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DBEEB" w14:textId="77777777" w:rsidR="008D2A9C" w:rsidRPr="001E5D32" w:rsidRDefault="008D2A9C" w:rsidP="001E5D32">
      <w:pPr>
        <w:spacing w:line="360" w:lineRule="auto"/>
        <w:rPr>
          <w:rFonts w:ascii="Book Antiqua" w:hAnsi="Book Antiqua" w:cs="Tahoma"/>
          <w:b/>
          <w:color w:val="000000" w:themeColor="text1"/>
          <w:sz w:val="24"/>
        </w:rPr>
      </w:pPr>
      <w:r w:rsidRPr="001E5D32">
        <w:rPr>
          <w:rFonts w:ascii="Book Antiqua" w:hAnsi="Book Antiqua" w:cs="Tahoma"/>
          <w:b/>
          <w:color w:val="000000" w:themeColor="text1"/>
          <w:sz w:val="24"/>
        </w:rPr>
        <w:t>Name of journal: World Journal of Hepatology</w:t>
      </w:r>
    </w:p>
    <w:p w14:paraId="70120227" w14:textId="77777777" w:rsidR="008D2A9C" w:rsidRPr="001E5D32" w:rsidRDefault="008D2A9C" w:rsidP="001E5D32">
      <w:pPr>
        <w:spacing w:line="360" w:lineRule="auto"/>
        <w:rPr>
          <w:rFonts w:ascii="Book Antiqua" w:hAnsi="Book Antiqua" w:cs="Tahoma"/>
          <w:b/>
          <w:color w:val="000000" w:themeColor="text1"/>
          <w:sz w:val="24"/>
        </w:rPr>
      </w:pPr>
      <w:r w:rsidRPr="001E5D32">
        <w:rPr>
          <w:rFonts w:ascii="Book Antiqua" w:hAnsi="Book Antiqua" w:cs="Tahoma"/>
          <w:b/>
          <w:color w:val="000000" w:themeColor="text1"/>
          <w:sz w:val="24"/>
        </w:rPr>
        <w:t>ESPS Manuscript NO: 13640</w:t>
      </w:r>
    </w:p>
    <w:p w14:paraId="7DE988A0" w14:textId="77777777" w:rsidR="008D2A9C" w:rsidRPr="001E5D32" w:rsidRDefault="008D2A9C" w:rsidP="001E5D32">
      <w:pPr>
        <w:spacing w:line="360" w:lineRule="auto"/>
        <w:rPr>
          <w:rFonts w:ascii="Book Antiqua" w:hAnsi="Book Antiqua" w:cs="Tahoma"/>
          <w:b/>
          <w:color w:val="000000" w:themeColor="text1"/>
          <w:sz w:val="24"/>
        </w:rPr>
      </w:pPr>
      <w:r w:rsidRPr="001E5D32">
        <w:rPr>
          <w:rFonts w:ascii="Book Antiqua" w:hAnsi="Book Antiqua" w:cs="Tahoma"/>
          <w:b/>
          <w:color w:val="000000" w:themeColor="text1"/>
          <w:sz w:val="24"/>
        </w:rPr>
        <w:t>Columns: REVIEW</w:t>
      </w:r>
    </w:p>
    <w:p w14:paraId="032B6913" w14:textId="77777777" w:rsidR="008272AD" w:rsidRPr="001E5D32" w:rsidRDefault="008272AD" w:rsidP="001E5D32">
      <w:pPr>
        <w:spacing w:line="360" w:lineRule="auto"/>
        <w:rPr>
          <w:rFonts w:ascii="Book Antiqua" w:hAnsi="Book Antiqua" w:cs="Tahoma"/>
          <w:b/>
          <w:sz w:val="24"/>
        </w:rPr>
      </w:pPr>
    </w:p>
    <w:p w14:paraId="336AB6A0" w14:textId="6B0F53E0" w:rsidR="008E1A70" w:rsidRPr="001E5D32" w:rsidRDefault="00CE241E" w:rsidP="001E5D32">
      <w:pPr>
        <w:spacing w:line="360" w:lineRule="auto"/>
        <w:rPr>
          <w:rFonts w:ascii="Book Antiqua" w:hAnsi="Book Antiqua"/>
          <w:b/>
          <w:sz w:val="24"/>
        </w:rPr>
      </w:pPr>
      <w:r w:rsidRPr="001E5D32">
        <w:rPr>
          <w:rFonts w:ascii="Book Antiqua" w:hAnsi="Book Antiqua"/>
          <w:b/>
          <w:sz w:val="24"/>
        </w:rPr>
        <w:t>Composite prognostic models</w:t>
      </w:r>
      <w:r w:rsidR="008E1A70" w:rsidRPr="001E5D32">
        <w:rPr>
          <w:rFonts w:ascii="Book Antiqua" w:hAnsi="Book Antiqua"/>
          <w:b/>
          <w:sz w:val="24"/>
        </w:rPr>
        <w:t xml:space="preserve"> across the </w:t>
      </w:r>
      <w:r w:rsidR="00202183" w:rsidRPr="00202183">
        <w:rPr>
          <w:rFonts w:ascii="Book Antiqua" w:hAnsi="Book Antiqua"/>
          <w:b/>
          <w:sz w:val="24"/>
        </w:rPr>
        <w:t>non-alcoholic fatty liver disease</w:t>
      </w:r>
      <w:r w:rsidR="008E1A70" w:rsidRPr="001E5D32">
        <w:rPr>
          <w:rFonts w:ascii="Book Antiqua" w:hAnsi="Book Antiqua"/>
          <w:b/>
          <w:sz w:val="24"/>
        </w:rPr>
        <w:t xml:space="preserve"> spectrum: </w:t>
      </w:r>
      <w:r w:rsidR="00D54B17" w:rsidRPr="001E5D32">
        <w:rPr>
          <w:rFonts w:ascii="Book Antiqua" w:hAnsi="Book Antiqua"/>
          <w:b/>
          <w:sz w:val="24"/>
        </w:rPr>
        <w:t xml:space="preserve">Clinical </w:t>
      </w:r>
      <w:r w:rsidRPr="001E5D32">
        <w:rPr>
          <w:rFonts w:ascii="Book Antiqua" w:hAnsi="Book Antiqua"/>
          <w:b/>
          <w:sz w:val="24"/>
        </w:rPr>
        <w:t>application</w:t>
      </w:r>
      <w:r w:rsidR="00126A93" w:rsidRPr="001E5D32">
        <w:rPr>
          <w:rFonts w:ascii="Book Antiqua" w:hAnsi="Book Antiqua"/>
          <w:b/>
          <w:sz w:val="24"/>
        </w:rPr>
        <w:t xml:space="preserve"> in developing countries</w:t>
      </w:r>
    </w:p>
    <w:p w14:paraId="1FECDEDD" w14:textId="77777777" w:rsidR="008E1A70" w:rsidRPr="001E5D32" w:rsidRDefault="008E1A70" w:rsidP="001E5D32">
      <w:pPr>
        <w:spacing w:line="360" w:lineRule="auto"/>
        <w:rPr>
          <w:rFonts w:ascii="Book Antiqua" w:hAnsi="Book Antiqua"/>
          <w:b/>
          <w:sz w:val="24"/>
        </w:rPr>
      </w:pPr>
    </w:p>
    <w:p w14:paraId="5D2E7A62" w14:textId="77777777" w:rsidR="008E1A70" w:rsidRPr="001E5D32" w:rsidRDefault="008E1A70" w:rsidP="001E5D32">
      <w:pPr>
        <w:spacing w:line="360" w:lineRule="auto"/>
        <w:rPr>
          <w:rFonts w:ascii="Book Antiqua" w:hAnsi="Book Antiqua"/>
          <w:sz w:val="24"/>
        </w:rPr>
      </w:pPr>
      <w:r w:rsidRPr="001E5D32">
        <w:rPr>
          <w:rFonts w:ascii="Book Antiqua" w:hAnsi="Book Antiqua"/>
          <w:sz w:val="24"/>
        </w:rPr>
        <w:t>Lückhoff HK</w:t>
      </w:r>
      <w:r w:rsidRPr="001E5D32">
        <w:rPr>
          <w:rFonts w:ascii="Book Antiqua" w:hAnsi="Book Antiqua" w:cs="Tahoma"/>
          <w:i/>
          <w:kern w:val="0"/>
          <w:sz w:val="24"/>
        </w:rPr>
        <w:t xml:space="preserve"> et al</w:t>
      </w:r>
      <w:r w:rsidRPr="001E5D32">
        <w:rPr>
          <w:rFonts w:ascii="Book Antiqua" w:hAnsi="Book Antiqua" w:cs="Tahoma"/>
          <w:kern w:val="0"/>
          <w:sz w:val="24"/>
        </w:rPr>
        <w:t xml:space="preserve">. </w:t>
      </w:r>
      <w:r w:rsidRPr="001E5D32">
        <w:rPr>
          <w:rFonts w:ascii="Book Antiqua" w:hAnsi="Book Antiqua"/>
          <w:sz w:val="24"/>
        </w:rPr>
        <w:t xml:space="preserve">Non-invasive evaluation of NAFLD severity </w:t>
      </w:r>
    </w:p>
    <w:p w14:paraId="5B19E0FC" w14:textId="77777777" w:rsidR="008E1A70" w:rsidRPr="001E5D32" w:rsidRDefault="008E1A70" w:rsidP="001E5D32">
      <w:pPr>
        <w:spacing w:line="360" w:lineRule="auto"/>
        <w:rPr>
          <w:rFonts w:ascii="Book Antiqua" w:hAnsi="Book Antiqua"/>
          <w:sz w:val="24"/>
        </w:rPr>
      </w:pPr>
    </w:p>
    <w:p w14:paraId="0AD90628" w14:textId="77777777" w:rsidR="008E1A70" w:rsidRPr="001E5D32" w:rsidRDefault="008E1A70" w:rsidP="001E5D32">
      <w:pPr>
        <w:spacing w:line="360" w:lineRule="auto"/>
        <w:rPr>
          <w:rFonts w:ascii="Book Antiqua" w:hAnsi="Book Antiqua"/>
          <w:sz w:val="24"/>
        </w:rPr>
      </w:pPr>
      <w:r w:rsidRPr="001E5D32">
        <w:rPr>
          <w:rFonts w:ascii="Book Antiqua" w:hAnsi="Book Antiqua"/>
          <w:sz w:val="24"/>
        </w:rPr>
        <w:t>Hilmar K Lückhoff, Frederik C Kruger, Maritha J Kotze</w:t>
      </w:r>
    </w:p>
    <w:p w14:paraId="42CDE181" w14:textId="77777777" w:rsidR="00DF1971" w:rsidRPr="001E5D32" w:rsidRDefault="00DF1971" w:rsidP="001E5D32">
      <w:pPr>
        <w:spacing w:line="360" w:lineRule="auto"/>
        <w:rPr>
          <w:rFonts w:ascii="Book Antiqua" w:hAnsi="Book Antiqua"/>
          <w:b/>
          <w:sz w:val="24"/>
        </w:rPr>
      </w:pPr>
    </w:p>
    <w:p w14:paraId="6F50FBCF" w14:textId="32636273" w:rsidR="00F85196" w:rsidRPr="001E5D32" w:rsidRDefault="008E1A70" w:rsidP="001E5D32">
      <w:pPr>
        <w:spacing w:line="360" w:lineRule="auto"/>
        <w:rPr>
          <w:rFonts w:ascii="Book Antiqua" w:hAnsi="Book Antiqua"/>
          <w:sz w:val="24"/>
        </w:rPr>
      </w:pPr>
      <w:r w:rsidRPr="001E5D32">
        <w:rPr>
          <w:rFonts w:ascii="Book Antiqua" w:hAnsi="Book Antiqua"/>
          <w:b/>
          <w:sz w:val="24"/>
        </w:rPr>
        <w:t>H</w:t>
      </w:r>
      <w:r w:rsidR="00F85196" w:rsidRPr="001E5D32">
        <w:rPr>
          <w:rFonts w:ascii="Book Antiqua" w:hAnsi="Book Antiqua"/>
          <w:b/>
          <w:sz w:val="24"/>
        </w:rPr>
        <w:t>ilmar K Lückhoff</w:t>
      </w:r>
      <w:r w:rsidR="00F85196" w:rsidRPr="001E5D32">
        <w:rPr>
          <w:rFonts w:ascii="Book Antiqua" w:hAnsi="Book Antiqua"/>
          <w:sz w:val="24"/>
        </w:rPr>
        <w:t>, Division of Anatomical Pathology, Department of Pathology, Faculty of Medicine and Health Sciences, Stellenbosch University, Tygerberg, Bellville</w:t>
      </w:r>
      <w:r w:rsidR="00FD6070" w:rsidRPr="001E5D32">
        <w:rPr>
          <w:rFonts w:ascii="Book Antiqua" w:hAnsi="Book Antiqua" w:hint="eastAsia"/>
          <w:sz w:val="24"/>
        </w:rPr>
        <w:t xml:space="preserve"> </w:t>
      </w:r>
      <w:r w:rsidR="00FD6070" w:rsidRPr="001E5D32">
        <w:rPr>
          <w:rFonts w:ascii="Book Antiqua" w:hAnsi="Book Antiqua"/>
          <w:sz w:val="24"/>
        </w:rPr>
        <w:t>7530</w:t>
      </w:r>
      <w:r w:rsidR="00F85196" w:rsidRPr="001E5D32">
        <w:rPr>
          <w:rFonts w:ascii="Book Antiqua" w:hAnsi="Book Antiqua"/>
          <w:sz w:val="24"/>
        </w:rPr>
        <w:t xml:space="preserve">, Cape Town, </w:t>
      </w:r>
      <w:r w:rsidR="00D54B17" w:rsidRPr="001E5D32">
        <w:rPr>
          <w:rFonts w:ascii="Book Antiqua" w:hAnsi="Book Antiqua"/>
          <w:sz w:val="24"/>
        </w:rPr>
        <w:t>Western Cape, South Africa</w:t>
      </w:r>
    </w:p>
    <w:p w14:paraId="10D92E43" w14:textId="77777777" w:rsidR="00F85196" w:rsidRPr="001E5D32" w:rsidRDefault="00F85196" w:rsidP="001E5D32">
      <w:pPr>
        <w:spacing w:line="360" w:lineRule="auto"/>
        <w:rPr>
          <w:rFonts w:ascii="Book Antiqua" w:hAnsi="Book Antiqua"/>
          <w:b/>
          <w:sz w:val="24"/>
        </w:rPr>
      </w:pPr>
    </w:p>
    <w:p w14:paraId="76D06FC4" w14:textId="192550E5" w:rsidR="00E029A5" w:rsidRPr="001E5D32" w:rsidRDefault="008E1A70" w:rsidP="001E5D32">
      <w:pPr>
        <w:spacing w:line="360" w:lineRule="auto"/>
        <w:rPr>
          <w:rFonts w:ascii="Book Antiqua" w:hAnsi="Book Antiqua"/>
          <w:sz w:val="24"/>
        </w:rPr>
      </w:pPr>
      <w:r w:rsidRPr="001E5D32">
        <w:rPr>
          <w:rFonts w:ascii="Book Antiqua" w:hAnsi="Book Antiqua"/>
          <w:b/>
          <w:sz w:val="24"/>
        </w:rPr>
        <w:t>Maritha J Kotze</w:t>
      </w:r>
      <w:r w:rsidRPr="001E5D32">
        <w:rPr>
          <w:rFonts w:ascii="Book Antiqua" w:hAnsi="Book Antiqua"/>
          <w:sz w:val="24"/>
        </w:rPr>
        <w:t>, Division of Anatomical Pathology, Department of Pathology, Faculty of Medicine and Health Sci</w:t>
      </w:r>
      <w:r w:rsidR="00F85196" w:rsidRPr="001E5D32">
        <w:rPr>
          <w:rFonts w:ascii="Book Antiqua" w:hAnsi="Book Antiqua"/>
          <w:sz w:val="24"/>
        </w:rPr>
        <w:t>ences, Stellenbosch University</w:t>
      </w:r>
      <w:r w:rsidRPr="001E5D32">
        <w:rPr>
          <w:rFonts w:ascii="Book Antiqua" w:hAnsi="Book Antiqua"/>
          <w:sz w:val="24"/>
        </w:rPr>
        <w:t xml:space="preserve">, </w:t>
      </w:r>
      <w:r w:rsidR="00F85196" w:rsidRPr="001E5D32">
        <w:rPr>
          <w:rFonts w:ascii="Book Antiqua" w:hAnsi="Book Antiqua"/>
          <w:sz w:val="24"/>
        </w:rPr>
        <w:t>T</w:t>
      </w:r>
      <w:r w:rsidR="00FD6070" w:rsidRPr="001E5D32">
        <w:rPr>
          <w:rFonts w:ascii="Book Antiqua" w:hAnsi="Book Antiqua"/>
          <w:sz w:val="24"/>
        </w:rPr>
        <w:t>ygerberg, Bellville</w:t>
      </w:r>
      <w:r w:rsidR="00FD6070" w:rsidRPr="001E5D32">
        <w:rPr>
          <w:rFonts w:ascii="Book Antiqua" w:hAnsi="Book Antiqua" w:hint="eastAsia"/>
          <w:sz w:val="24"/>
        </w:rPr>
        <w:t xml:space="preserve"> </w:t>
      </w:r>
      <w:r w:rsidR="00FD6070" w:rsidRPr="001E5D32">
        <w:rPr>
          <w:rFonts w:ascii="Book Antiqua" w:hAnsi="Book Antiqua"/>
          <w:sz w:val="24"/>
        </w:rPr>
        <w:t>7530, Cape Town,</w:t>
      </w:r>
      <w:r w:rsidR="00D54B17" w:rsidRPr="001E5D32">
        <w:rPr>
          <w:rFonts w:ascii="Book Antiqua" w:hAnsi="Book Antiqua"/>
          <w:sz w:val="24"/>
        </w:rPr>
        <w:t xml:space="preserve"> Western Cape, South Africa</w:t>
      </w:r>
    </w:p>
    <w:p w14:paraId="355CB195" w14:textId="77777777" w:rsidR="00E029A5" w:rsidRPr="001E5D32" w:rsidRDefault="00E029A5" w:rsidP="001E5D32">
      <w:pPr>
        <w:spacing w:line="360" w:lineRule="auto"/>
        <w:rPr>
          <w:rFonts w:ascii="Book Antiqua" w:hAnsi="Book Antiqua"/>
          <w:sz w:val="24"/>
        </w:rPr>
      </w:pPr>
    </w:p>
    <w:p w14:paraId="401572E0" w14:textId="79916283" w:rsidR="008E1A70" w:rsidRPr="001E5D32" w:rsidRDefault="008E1A70" w:rsidP="001E5D32">
      <w:pPr>
        <w:spacing w:line="360" w:lineRule="auto"/>
        <w:rPr>
          <w:rFonts w:ascii="Book Antiqua" w:hAnsi="Book Antiqua"/>
          <w:sz w:val="24"/>
        </w:rPr>
      </w:pPr>
      <w:r w:rsidRPr="001E5D32">
        <w:rPr>
          <w:rFonts w:ascii="Book Antiqua" w:hAnsi="Book Antiqua"/>
          <w:b/>
          <w:sz w:val="24"/>
        </w:rPr>
        <w:t>Frederik C Kruger</w:t>
      </w:r>
      <w:r w:rsidRPr="001E5D32">
        <w:rPr>
          <w:rFonts w:ascii="Book Antiqua" w:hAnsi="Book Antiqua"/>
          <w:sz w:val="24"/>
        </w:rPr>
        <w:t xml:space="preserve">, Gastroenterology Unit, Durbanville Medi-Clinic, </w:t>
      </w:r>
      <w:r w:rsidR="00FD6070" w:rsidRPr="001E5D32">
        <w:rPr>
          <w:rFonts w:ascii="Book Antiqua" w:hAnsi="Book Antiqua"/>
          <w:sz w:val="24"/>
        </w:rPr>
        <w:t>Durbanville</w:t>
      </w:r>
      <w:r w:rsidR="00FD6070" w:rsidRPr="001E5D32">
        <w:rPr>
          <w:rFonts w:ascii="Book Antiqua" w:hAnsi="Book Antiqua" w:hint="eastAsia"/>
          <w:sz w:val="24"/>
        </w:rPr>
        <w:t xml:space="preserve"> </w:t>
      </w:r>
      <w:r w:rsidR="00FD6070" w:rsidRPr="001E5D32">
        <w:rPr>
          <w:rFonts w:ascii="Book Antiqua" w:hAnsi="Book Antiqua"/>
          <w:sz w:val="24"/>
        </w:rPr>
        <w:t>7551, Cape Town</w:t>
      </w:r>
      <w:r w:rsidR="00F85196" w:rsidRPr="001E5D32">
        <w:rPr>
          <w:rFonts w:ascii="Book Antiqua" w:hAnsi="Book Antiqua"/>
          <w:sz w:val="24"/>
        </w:rPr>
        <w:t xml:space="preserve">, Western Cape, </w:t>
      </w:r>
      <w:r w:rsidRPr="001E5D32">
        <w:rPr>
          <w:rFonts w:ascii="Book Antiqua" w:hAnsi="Book Antiqua"/>
          <w:sz w:val="24"/>
        </w:rPr>
        <w:t>South Africa</w:t>
      </w:r>
    </w:p>
    <w:p w14:paraId="11E4DBBC" w14:textId="77777777" w:rsidR="008E1A70" w:rsidRPr="001E5D32" w:rsidRDefault="008E1A70" w:rsidP="001E5D32">
      <w:pPr>
        <w:spacing w:line="360" w:lineRule="auto"/>
        <w:rPr>
          <w:rFonts w:ascii="Book Antiqua" w:hAnsi="Book Antiqua"/>
          <w:b/>
          <w:sz w:val="24"/>
        </w:rPr>
      </w:pPr>
    </w:p>
    <w:p w14:paraId="13CE8567" w14:textId="6203F141" w:rsidR="008E1A70" w:rsidRPr="001E5D32" w:rsidRDefault="008E1A70" w:rsidP="001E5D32">
      <w:pPr>
        <w:spacing w:line="360" w:lineRule="auto"/>
        <w:rPr>
          <w:rFonts w:ascii="Book Antiqua" w:hAnsi="Book Antiqua"/>
          <w:sz w:val="24"/>
        </w:rPr>
      </w:pPr>
      <w:r w:rsidRPr="001E5D32">
        <w:rPr>
          <w:rFonts w:ascii="Book Antiqua" w:hAnsi="Book Antiqua"/>
          <w:b/>
          <w:sz w:val="24"/>
        </w:rPr>
        <w:t xml:space="preserve">Author contributions: </w:t>
      </w:r>
      <w:r w:rsidRPr="001E5D32">
        <w:rPr>
          <w:rFonts w:ascii="Book Antiqua" w:hAnsi="Book Antiqua"/>
          <w:sz w:val="24"/>
        </w:rPr>
        <w:t xml:space="preserve">Lückhoff HK, Kruger FC and Kotze MJ contributed </w:t>
      </w:r>
      <w:r w:rsidR="00FD6070" w:rsidRPr="001E5D32">
        <w:rPr>
          <w:rFonts w:ascii="Book Antiqua" w:hAnsi="Book Antiqua" w:hint="eastAsia"/>
          <w:sz w:val="24"/>
        </w:rPr>
        <w:t>equal</w:t>
      </w:r>
      <w:r w:rsidRPr="001E5D32">
        <w:rPr>
          <w:rFonts w:ascii="Book Antiqua" w:hAnsi="Book Antiqua"/>
          <w:sz w:val="24"/>
        </w:rPr>
        <w:t>ly to this paper.</w:t>
      </w:r>
    </w:p>
    <w:p w14:paraId="0A60CF60" w14:textId="77777777" w:rsidR="00195906" w:rsidRPr="001E5D32" w:rsidRDefault="00195906" w:rsidP="001E5D32">
      <w:pPr>
        <w:spacing w:line="360" w:lineRule="auto"/>
        <w:rPr>
          <w:rFonts w:ascii="Book Antiqua" w:hAnsi="Book Antiqua"/>
          <w:b/>
          <w:sz w:val="24"/>
        </w:rPr>
      </w:pPr>
    </w:p>
    <w:p w14:paraId="0C59E7BD" w14:textId="7E5087A1" w:rsidR="00195906" w:rsidRPr="001E5D32" w:rsidRDefault="00195906" w:rsidP="001E5D32">
      <w:pPr>
        <w:spacing w:line="360" w:lineRule="auto"/>
        <w:rPr>
          <w:rFonts w:ascii="Book Antiqua" w:eastAsia="Times New Roman" w:hAnsi="Book Antiqua"/>
          <w:b/>
          <w:sz w:val="24"/>
          <w:lang w:val="en-GB"/>
        </w:rPr>
      </w:pPr>
      <w:r w:rsidRPr="001E5D32">
        <w:rPr>
          <w:rFonts w:ascii="Book Antiqua" w:eastAsia="Times New Roman" w:hAnsi="Book Antiqua" w:cs="Gulim"/>
          <w:b/>
          <w:color w:val="000000"/>
          <w:sz w:val="24"/>
        </w:rPr>
        <w:t>Conflict-of-interest</w:t>
      </w:r>
      <w:r w:rsidRPr="001E5D32">
        <w:rPr>
          <w:rFonts w:ascii="Book Antiqua" w:hAnsi="Book Antiqua" w:cs="Gulim"/>
          <w:b/>
          <w:color w:val="000000"/>
          <w:sz w:val="24"/>
        </w:rPr>
        <w:t>:</w:t>
      </w:r>
      <w:r w:rsidRPr="001E5D32">
        <w:rPr>
          <w:rFonts w:ascii="Book Antiqua" w:eastAsiaTheme="minorEastAsia" w:hAnsi="Book Antiqua" w:hint="eastAsia"/>
          <w:b/>
          <w:sz w:val="24"/>
          <w:lang w:val="en-GB"/>
        </w:rPr>
        <w:t xml:space="preserve"> </w:t>
      </w:r>
      <w:r w:rsidRPr="001E5D32">
        <w:rPr>
          <w:rFonts w:ascii="Book Antiqua" w:eastAsia="Times New Roman" w:hAnsi="Book Antiqua"/>
          <w:sz w:val="24"/>
          <w:lang w:val="en-GB"/>
        </w:rPr>
        <w:t>Prof Kotze</w:t>
      </w:r>
      <w:r w:rsidRPr="001E5D32">
        <w:rPr>
          <w:rFonts w:ascii="Book Antiqua" w:eastAsiaTheme="minorEastAsia" w:hAnsi="Book Antiqua" w:hint="eastAsia"/>
          <w:sz w:val="24"/>
          <w:lang w:val="en-GB"/>
        </w:rPr>
        <w:t xml:space="preserve"> </w:t>
      </w:r>
      <w:r w:rsidRPr="001E5D32">
        <w:rPr>
          <w:rFonts w:ascii="Book Antiqua" w:eastAsiaTheme="minorEastAsia" w:hAnsi="Book Antiqua"/>
          <w:sz w:val="24"/>
          <w:lang w:val="en-GB"/>
        </w:rPr>
        <w:t>MJ</w:t>
      </w:r>
      <w:r w:rsidRPr="001E5D32">
        <w:rPr>
          <w:rFonts w:ascii="Book Antiqua" w:eastAsia="Times New Roman" w:hAnsi="Book Antiqua"/>
          <w:sz w:val="24"/>
          <w:lang w:val="en-GB"/>
        </w:rPr>
        <w:t xml:space="preserve"> is a director and shareholder of Gknowmix (Pty) Ltd. that has developed a database tool for research translation under the auspices of the Innovation Centre of the South African Medical Research Council. The other authors declared no conflict of interest and no writing assistance was obtained in the preparation of this manuscript.</w:t>
      </w:r>
    </w:p>
    <w:p w14:paraId="04C3F1DF" w14:textId="77777777" w:rsidR="00D54B17" w:rsidRPr="001E5D32" w:rsidRDefault="00D54B17" w:rsidP="001E5D32">
      <w:pPr>
        <w:pStyle w:val="CommentText"/>
        <w:adjustRightInd w:val="0"/>
        <w:snapToGrid w:val="0"/>
        <w:spacing w:line="360" w:lineRule="auto"/>
        <w:jc w:val="both"/>
        <w:rPr>
          <w:rFonts w:ascii="Book Antiqua" w:hAnsi="Book Antiqua" w:cs="Gulim"/>
          <w:b/>
          <w:color w:val="000000"/>
          <w:sz w:val="24"/>
        </w:rPr>
      </w:pPr>
      <w:r w:rsidRPr="001E5D32">
        <w:rPr>
          <w:rFonts w:ascii="Book Antiqua" w:eastAsia="Times New Roman" w:hAnsi="Book Antiqua" w:cs="Gulim"/>
          <w:b/>
          <w:color w:val="000000"/>
          <w:sz w:val="24"/>
        </w:rPr>
        <w:t xml:space="preserve"> </w:t>
      </w:r>
    </w:p>
    <w:p w14:paraId="6C22B620" w14:textId="77777777" w:rsidR="00D54B17" w:rsidRPr="001E5D32" w:rsidRDefault="00D54B17" w:rsidP="001E5D32">
      <w:pPr>
        <w:widowControl/>
        <w:spacing w:line="360" w:lineRule="auto"/>
        <w:rPr>
          <w:rFonts w:ascii="Book Antiqua" w:hAnsi="Book Antiqua" w:cs="宋体"/>
          <w:color w:val="000000" w:themeColor="text1"/>
          <w:kern w:val="0"/>
          <w:sz w:val="24"/>
        </w:rPr>
      </w:pPr>
      <w:bookmarkStart w:id="0" w:name="OLE_LINK507"/>
      <w:bookmarkStart w:id="1" w:name="OLE_LINK506"/>
      <w:bookmarkStart w:id="2" w:name="OLE_LINK496"/>
      <w:bookmarkStart w:id="3" w:name="OLE_LINK479"/>
      <w:r w:rsidRPr="001E5D32">
        <w:rPr>
          <w:rFonts w:ascii="Book Antiqua" w:hAnsi="Book Antiqua" w:cs="宋体"/>
          <w:b/>
          <w:color w:val="000000" w:themeColor="text1"/>
          <w:kern w:val="0"/>
          <w:sz w:val="24"/>
        </w:rPr>
        <w:lastRenderedPageBreak/>
        <w:t xml:space="preserve">Open-Access: </w:t>
      </w:r>
      <w:r w:rsidRPr="001E5D32">
        <w:rPr>
          <w:rFonts w:ascii="Book Antiqua" w:hAnsi="Book Antiqua" w:cs="宋体"/>
          <w:color w:val="000000" w:themeColor="text1"/>
          <w:kern w:val="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E5D32">
          <w:rPr>
            <w:rFonts w:ascii="Book Antiqua" w:hAnsi="Book Antiqua" w:cs="宋体"/>
            <w:color w:val="000000" w:themeColor="text1"/>
            <w:kern w:val="0"/>
            <w:sz w:val="24"/>
            <w:u w:val="single"/>
          </w:rPr>
          <w:t>http://creativecommons.org/licenses/by-nc/4.0/</w:t>
        </w:r>
      </w:hyperlink>
      <w:bookmarkEnd w:id="0"/>
      <w:bookmarkEnd w:id="1"/>
      <w:bookmarkEnd w:id="2"/>
      <w:bookmarkEnd w:id="3"/>
    </w:p>
    <w:p w14:paraId="78F8B2C6" w14:textId="77777777" w:rsidR="00F85196" w:rsidRPr="001E5D32" w:rsidRDefault="00F85196" w:rsidP="001E5D32">
      <w:pPr>
        <w:spacing w:line="360" w:lineRule="auto"/>
        <w:rPr>
          <w:rFonts w:ascii="Book Antiqua" w:hAnsi="Book Antiqua"/>
          <w:b/>
          <w:sz w:val="24"/>
        </w:rPr>
      </w:pPr>
    </w:p>
    <w:p w14:paraId="344F4219" w14:textId="26B79E29" w:rsidR="008272AD" w:rsidRPr="001E5D32" w:rsidRDefault="008E1A70" w:rsidP="001E5D32">
      <w:pPr>
        <w:spacing w:line="360" w:lineRule="auto"/>
        <w:rPr>
          <w:rFonts w:ascii="Book Antiqua" w:hAnsi="Book Antiqua"/>
          <w:sz w:val="24"/>
        </w:rPr>
      </w:pPr>
      <w:r w:rsidRPr="001E5D32">
        <w:rPr>
          <w:rFonts w:ascii="Book Antiqua" w:hAnsi="Book Antiqua"/>
          <w:b/>
          <w:sz w:val="24"/>
        </w:rPr>
        <w:t>Correspondence to: Hil</w:t>
      </w:r>
      <w:r w:rsidR="00D70884" w:rsidRPr="001E5D32">
        <w:rPr>
          <w:rFonts w:ascii="Book Antiqua" w:hAnsi="Book Antiqua"/>
          <w:b/>
          <w:sz w:val="24"/>
        </w:rPr>
        <w:t>mar K Lückhoff, MBChB, HonsBSc</w:t>
      </w:r>
      <w:r w:rsidRPr="001E5D32">
        <w:rPr>
          <w:rFonts w:ascii="Book Antiqua" w:hAnsi="Book Antiqua"/>
          <w:sz w:val="24"/>
        </w:rPr>
        <w:t>, Division of Anatomical Pathology, Department of Pathology, Faculty of Medicine and Health Sciences, Stellenbosch University, Tygerberg,</w:t>
      </w:r>
      <w:r w:rsidR="001E5D32" w:rsidRPr="001E5D32">
        <w:rPr>
          <w:rFonts w:ascii="Book Antiqua" w:hAnsi="Book Antiqua"/>
          <w:sz w:val="24"/>
        </w:rPr>
        <w:t xml:space="preserve"> Bellville</w:t>
      </w:r>
      <w:r w:rsidR="001E5D32" w:rsidRPr="001E5D32">
        <w:rPr>
          <w:rFonts w:ascii="Book Antiqua" w:hAnsi="Book Antiqua" w:hint="eastAsia"/>
          <w:sz w:val="24"/>
        </w:rPr>
        <w:t xml:space="preserve"> </w:t>
      </w:r>
      <w:r w:rsidR="001E5D32" w:rsidRPr="001E5D32">
        <w:rPr>
          <w:rFonts w:ascii="Book Antiqua" w:hAnsi="Book Antiqua"/>
          <w:sz w:val="24"/>
        </w:rPr>
        <w:t>7530, Cape Town, Western Cape,</w:t>
      </w:r>
      <w:r w:rsidRPr="001E5D32">
        <w:rPr>
          <w:rFonts w:ascii="Book Antiqua" w:hAnsi="Book Antiqua"/>
          <w:sz w:val="24"/>
        </w:rPr>
        <w:t xml:space="preserve"> South Africa.</w:t>
      </w:r>
      <w:r w:rsidR="00D54B17" w:rsidRPr="001E5D32">
        <w:rPr>
          <w:rFonts w:ascii="Book Antiqua" w:hAnsi="Book Antiqua"/>
          <w:sz w:val="24"/>
        </w:rPr>
        <w:t xml:space="preserve"> </w:t>
      </w:r>
      <w:hyperlink r:id="rId9" w:history="1">
        <w:r w:rsidR="00D54B17" w:rsidRPr="001E5D32">
          <w:rPr>
            <w:rStyle w:val="Hyperlink"/>
            <w:rFonts w:ascii="Book Antiqua" w:hAnsi="Book Antiqua"/>
            <w:sz w:val="24"/>
          </w:rPr>
          <w:t>hilmarklausl@gmail.com</w:t>
        </w:r>
      </w:hyperlink>
    </w:p>
    <w:p w14:paraId="2CA7E3B1" w14:textId="77777777" w:rsidR="00D54B17" w:rsidRPr="001E5D32" w:rsidRDefault="00D54B17" w:rsidP="001E5D32">
      <w:pPr>
        <w:spacing w:line="360" w:lineRule="auto"/>
        <w:rPr>
          <w:rFonts w:ascii="Book Antiqua" w:hAnsi="Book Antiqua"/>
          <w:sz w:val="24"/>
        </w:rPr>
      </w:pPr>
    </w:p>
    <w:p w14:paraId="5FA7783F" w14:textId="48D1EB26" w:rsidR="008272AD" w:rsidRPr="001E5D32" w:rsidRDefault="008272AD" w:rsidP="001E5D32">
      <w:pPr>
        <w:spacing w:line="360" w:lineRule="auto"/>
        <w:rPr>
          <w:rFonts w:ascii="Book Antiqua" w:hAnsi="Book Antiqua"/>
          <w:sz w:val="24"/>
        </w:rPr>
      </w:pPr>
      <w:r w:rsidRPr="001E5D32">
        <w:rPr>
          <w:rFonts w:ascii="Book Antiqua" w:hAnsi="Book Antiqua"/>
          <w:b/>
          <w:sz w:val="24"/>
        </w:rPr>
        <w:t>T</w:t>
      </w:r>
      <w:r w:rsidR="00D54B17" w:rsidRPr="001E5D32">
        <w:rPr>
          <w:rFonts w:ascii="Book Antiqua" w:hAnsi="Book Antiqua"/>
          <w:b/>
          <w:sz w:val="24"/>
        </w:rPr>
        <w:t>elephone</w:t>
      </w:r>
      <w:r w:rsidR="00F85196" w:rsidRPr="001E5D32">
        <w:rPr>
          <w:rFonts w:ascii="Book Antiqua" w:hAnsi="Book Antiqua"/>
          <w:b/>
          <w:sz w:val="24"/>
        </w:rPr>
        <w:t>:</w:t>
      </w:r>
      <w:r w:rsidR="00F85196" w:rsidRPr="001E5D32">
        <w:rPr>
          <w:rFonts w:ascii="Book Antiqua" w:hAnsi="Book Antiqua"/>
          <w:sz w:val="24"/>
        </w:rPr>
        <w:t xml:space="preserve"> +27-21-</w:t>
      </w:r>
      <w:r w:rsidRPr="001E5D32">
        <w:rPr>
          <w:rFonts w:ascii="Book Antiqua" w:hAnsi="Book Antiqua"/>
          <w:sz w:val="24"/>
        </w:rPr>
        <w:t>9389324</w:t>
      </w:r>
    </w:p>
    <w:p w14:paraId="0807E319" w14:textId="239A6A00" w:rsidR="008272AD" w:rsidRPr="001E5D32" w:rsidRDefault="008272AD" w:rsidP="001E5D32">
      <w:pPr>
        <w:spacing w:line="360" w:lineRule="auto"/>
        <w:rPr>
          <w:rFonts w:ascii="Book Antiqua" w:hAnsi="Book Antiqua"/>
          <w:b/>
          <w:sz w:val="24"/>
        </w:rPr>
      </w:pPr>
      <w:r w:rsidRPr="001E5D32">
        <w:rPr>
          <w:rFonts w:ascii="Book Antiqua" w:hAnsi="Book Antiqua"/>
          <w:b/>
          <w:sz w:val="24"/>
        </w:rPr>
        <w:t xml:space="preserve">Fax: </w:t>
      </w:r>
      <w:r w:rsidR="00F85196" w:rsidRPr="001E5D32">
        <w:rPr>
          <w:rFonts w:ascii="Book Antiqua" w:hAnsi="Book Antiqua"/>
          <w:sz w:val="24"/>
        </w:rPr>
        <w:t>+27-21-9389324</w:t>
      </w:r>
    </w:p>
    <w:p w14:paraId="0AB48183" w14:textId="76566C15" w:rsidR="00195906" w:rsidRPr="001E5D32" w:rsidRDefault="00195906" w:rsidP="001E5D32">
      <w:pPr>
        <w:spacing w:line="360" w:lineRule="auto"/>
        <w:rPr>
          <w:rFonts w:ascii="Book Antiqua" w:hAnsi="Book Antiqua"/>
          <w:b/>
          <w:sz w:val="24"/>
        </w:rPr>
      </w:pPr>
      <w:bookmarkStart w:id="4" w:name="OLE_LINK3"/>
      <w:bookmarkStart w:id="5" w:name="OLE_LINK4"/>
      <w:r w:rsidRPr="001E5D32">
        <w:rPr>
          <w:rFonts w:ascii="Book Antiqua" w:hAnsi="Book Antiqua"/>
          <w:b/>
          <w:sz w:val="24"/>
        </w:rPr>
        <w:t xml:space="preserve">Received: </w:t>
      </w:r>
      <w:r w:rsidRPr="001E5D32">
        <w:rPr>
          <w:rFonts w:ascii="Book Antiqua" w:hAnsi="Book Antiqua"/>
          <w:sz w:val="24"/>
        </w:rPr>
        <w:t xml:space="preserve">August </w:t>
      </w:r>
      <w:r w:rsidRPr="001E5D32">
        <w:rPr>
          <w:rFonts w:ascii="Book Antiqua" w:hAnsi="Book Antiqua" w:hint="eastAsia"/>
          <w:sz w:val="24"/>
        </w:rPr>
        <w:t>28, 2014</w:t>
      </w:r>
    </w:p>
    <w:p w14:paraId="49D94506" w14:textId="18BD17A1" w:rsidR="00195906" w:rsidRPr="001E5D32" w:rsidRDefault="00195906" w:rsidP="001E5D32">
      <w:pPr>
        <w:spacing w:line="360" w:lineRule="auto"/>
        <w:rPr>
          <w:rFonts w:ascii="Book Antiqua" w:hAnsi="Book Antiqua"/>
          <w:b/>
          <w:sz w:val="24"/>
        </w:rPr>
      </w:pPr>
      <w:r w:rsidRPr="001E5D32">
        <w:rPr>
          <w:rFonts w:ascii="Book Antiqua" w:hAnsi="Book Antiqua" w:hint="eastAsia"/>
          <w:b/>
          <w:sz w:val="24"/>
        </w:rPr>
        <w:t>Peer-review started</w:t>
      </w:r>
      <w:r w:rsidRPr="001E5D32">
        <w:rPr>
          <w:rFonts w:ascii="Book Antiqua" w:hAnsi="Book Antiqua"/>
          <w:b/>
          <w:sz w:val="24"/>
        </w:rPr>
        <w:t>:</w:t>
      </w:r>
      <w:r w:rsidRPr="001E5D32">
        <w:rPr>
          <w:rFonts w:ascii="Book Antiqua" w:hAnsi="Book Antiqua" w:hint="eastAsia"/>
          <w:b/>
          <w:sz w:val="24"/>
        </w:rPr>
        <w:t xml:space="preserve"> </w:t>
      </w:r>
      <w:r w:rsidRPr="001E5D32">
        <w:rPr>
          <w:rFonts w:ascii="Book Antiqua" w:hAnsi="Book Antiqua"/>
          <w:sz w:val="24"/>
        </w:rPr>
        <w:t xml:space="preserve">August </w:t>
      </w:r>
      <w:r w:rsidRPr="001E5D32">
        <w:rPr>
          <w:rFonts w:ascii="Book Antiqua" w:hAnsi="Book Antiqua" w:hint="eastAsia"/>
          <w:sz w:val="24"/>
        </w:rPr>
        <w:t>28, 2014</w:t>
      </w:r>
    </w:p>
    <w:p w14:paraId="2F39C721" w14:textId="78F1D4B5" w:rsidR="00195906" w:rsidRPr="001E5D32" w:rsidRDefault="00195906" w:rsidP="001E5D32">
      <w:pPr>
        <w:spacing w:line="360" w:lineRule="auto"/>
        <w:rPr>
          <w:rFonts w:ascii="Book Antiqua" w:hAnsi="Book Antiqua"/>
          <w:b/>
          <w:sz w:val="24"/>
        </w:rPr>
      </w:pPr>
      <w:r w:rsidRPr="001E5D32">
        <w:rPr>
          <w:rFonts w:ascii="Book Antiqua" w:hAnsi="Book Antiqua"/>
          <w:b/>
          <w:sz w:val="24"/>
        </w:rPr>
        <w:t>First decision:</w:t>
      </w:r>
      <w:r w:rsidRPr="001E5D32">
        <w:rPr>
          <w:rFonts w:ascii="Book Antiqua" w:hAnsi="Book Antiqua" w:hint="eastAsia"/>
          <w:b/>
          <w:sz w:val="24"/>
        </w:rPr>
        <w:t xml:space="preserve"> </w:t>
      </w:r>
      <w:r w:rsidRPr="001E5D32">
        <w:rPr>
          <w:rFonts w:ascii="Book Antiqua" w:hAnsi="Book Antiqua"/>
          <w:sz w:val="24"/>
        </w:rPr>
        <w:t>November</w:t>
      </w:r>
      <w:r w:rsidRPr="001E5D32">
        <w:rPr>
          <w:rFonts w:ascii="Book Antiqua" w:hAnsi="Book Antiqua" w:hint="eastAsia"/>
          <w:sz w:val="24"/>
        </w:rPr>
        <w:t xml:space="preserve"> 14, 2014</w:t>
      </w:r>
    </w:p>
    <w:p w14:paraId="56990F8F" w14:textId="061EFE3A" w:rsidR="00195906" w:rsidRPr="001E5D32" w:rsidRDefault="00195906" w:rsidP="001E5D32">
      <w:pPr>
        <w:spacing w:line="360" w:lineRule="auto"/>
        <w:rPr>
          <w:rFonts w:ascii="Book Antiqua" w:hAnsi="Book Antiqua"/>
          <w:b/>
          <w:sz w:val="24"/>
        </w:rPr>
      </w:pPr>
      <w:r w:rsidRPr="001E5D32">
        <w:rPr>
          <w:rFonts w:ascii="Book Antiqua" w:hAnsi="Book Antiqua"/>
          <w:b/>
          <w:sz w:val="24"/>
        </w:rPr>
        <w:t xml:space="preserve">Revised: </w:t>
      </w:r>
      <w:r w:rsidRPr="001E5D32">
        <w:rPr>
          <w:rFonts w:ascii="Book Antiqua" w:hAnsi="Book Antiqua"/>
          <w:sz w:val="24"/>
        </w:rPr>
        <w:t>December</w:t>
      </w:r>
      <w:r w:rsidRPr="001E5D32">
        <w:rPr>
          <w:rFonts w:ascii="Book Antiqua" w:hAnsi="Book Antiqua" w:hint="eastAsia"/>
          <w:sz w:val="24"/>
        </w:rPr>
        <w:t xml:space="preserve"> 18, 2014</w:t>
      </w:r>
    </w:p>
    <w:p w14:paraId="48F6C13B" w14:textId="3CD3DFDD" w:rsidR="00195906" w:rsidRPr="001E5D32" w:rsidRDefault="00195906" w:rsidP="001E5D32">
      <w:pPr>
        <w:spacing w:line="360" w:lineRule="auto"/>
        <w:rPr>
          <w:rFonts w:ascii="Book Antiqua" w:hAnsi="Book Antiqua"/>
          <w:b/>
          <w:sz w:val="24"/>
        </w:rPr>
      </w:pPr>
      <w:r w:rsidRPr="001E5D32">
        <w:rPr>
          <w:rFonts w:ascii="Book Antiqua" w:hAnsi="Book Antiqua"/>
          <w:b/>
          <w:sz w:val="24"/>
        </w:rPr>
        <w:t>Accepted:</w:t>
      </w:r>
      <w:r w:rsidR="00F459B0" w:rsidRPr="00F459B0">
        <w:t xml:space="preserve"> </w:t>
      </w:r>
      <w:r w:rsidR="00F459B0" w:rsidRPr="00F459B0">
        <w:rPr>
          <w:rFonts w:ascii="Book Antiqua" w:hAnsi="Book Antiqua"/>
          <w:sz w:val="24"/>
        </w:rPr>
        <w:t>March 30, 2015</w:t>
      </w:r>
      <w:r w:rsidRPr="001E5D32">
        <w:rPr>
          <w:rFonts w:ascii="Book Antiqua" w:hAnsi="Book Antiqua"/>
          <w:b/>
          <w:sz w:val="24"/>
        </w:rPr>
        <w:t xml:space="preserve">  </w:t>
      </w:r>
    </w:p>
    <w:p w14:paraId="3D5FDDEF" w14:textId="77777777" w:rsidR="00195906" w:rsidRPr="001E5D32" w:rsidRDefault="00195906" w:rsidP="001E5D32">
      <w:pPr>
        <w:spacing w:line="360" w:lineRule="auto"/>
        <w:rPr>
          <w:rFonts w:ascii="Book Antiqua" w:hAnsi="Book Antiqua"/>
          <w:b/>
          <w:sz w:val="24"/>
        </w:rPr>
      </w:pPr>
      <w:r w:rsidRPr="001E5D32">
        <w:rPr>
          <w:rFonts w:ascii="Book Antiqua" w:hAnsi="Book Antiqua"/>
          <w:b/>
          <w:sz w:val="24"/>
        </w:rPr>
        <w:t>Article in press:</w:t>
      </w:r>
    </w:p>
    <w:p w14:paraId="21D1EA13" w14:textId="77777777" w:rsidR="00195906" w:rsidRPr="001E5D32" w:rsidRDefault="00195906" w:rsidP="001E5D32">
      <w:pPr>
        <w:spacing w:line="360" w:lineRule="auto"/>
        <w:rPr>
          <w:rFonts w:ascii="Book Antiqua" w:hAnsi="Book Antiqua"/>
          <w:b/>
          <w:sz w:val="24"/>
        </w:rPr>
      </w:pPr>
      <w:r w:rsidRPr="001E5D32">
        <w:rPr>
          <w:rFonts w:ascii="Book Antiqua" w:hAnsi="Book Antiqua"/>
          <w:b/>
          <w:sz w:val="24"/>
        </w:rPr>
        <w:t xml:space="preserve">Published online: </w:t>
      </w:r>
    </w:p>
    <w:bookmarkEnd w:id="4"/>
    <w:bookmarkEnd w:id="5"/>
    <w:p w14:paraId="36DC841F" w14:textId="77777777" w:rsidR="004A1328" w:rsidRPr="001E5D32" w:rsidRDefault="004A1328" w:rsidP="001E5D32">
      <w:pPr>
        <w:spacing w:line="360" w:lineRule="auto"/>
        <w:rPr>
          <w:rFonts w:ascii="Book Antiqua" w:hAnsi="Book Antiqua"/>
          <w:sz w:val="24"/>
        </w:rPr>
      </w:pPr>
    </w:p>
    <w:p w14:paraId="7385544E" w14:textId="77777777" w:rsidR="00C31224" w:rsidRPr="001E5D32" w:rsidRDefault="007265D3" w:rsidP="001E5D32">
      <w:pPr>
        <w:spacing w:line="360" w:lineRule="auto"/>
        <w:rPr>
          <w:rFonts w:ascii="Book Antiqua" w:hAnsi="Book Antiqua"/>
          <w:b/>
          <w:sz w:val="24"/>
        </w:rPr>
      </w:pPr>
      <w:r w:rsidRPr="001E5D32">
        <w:rPr>
          <w:rFonts w:ascii="Book Antiqua" w:hAnsi="Book Antiqua"/>
          <w:b/>
          <w:sz w:val="24"/>
        </w:rPr>
        <w:t>Ab</w:t>
      </w:r>
      <w:r w:rsidR="008E1A70" w:rsidRPr="001E5D32">
        <w:rPr>
          <w:rFonts w:ascii="Book Antiqua" w:hAnsi="Book Antiqua"/>
          <w:b/>
          <w:sz w:val="24"/>
        </w:rPr>
        <w:t xml:space="preserve">stract </w:t>
      </w:r>
    </w:p>
    <w:p w14:paraId="4F0AE1DD" w14:textId="36F6232B" w:rsidR="002971A9" w:rsidRDefault="00195906" w:rsidP="001E5D32">
      <w:pPr>
        <w:spacing w:line="360" w:lineRule="auto"/>
        <w:rPr>
          <w:rFonts w:ascii="Book Antiqua" w:hAnsi="Book Antiqua"/>
          <w:sz w:val="24"/>
        </w:rPr>
      </w:pPr>
      <w:r w:rsidRPr="001E5D32">
        <w:rPr>
          <w:rFonts w:ascii="Book Antiqua" w:hAnsi="Book Antiqua"/>
          <w:sz w:val="24"/>
        </w:rPr>
        <w:t xml:space="preserve">Heterogeneity in clinical presentation, histological severity, prognosis and therapeutic outcomes characteristic of non-alcoholic fatty liver disease (NAFLD) necessitates the development of scientifically sound classification schemes to assist clinicians in stratifying patients into meaningful prognostic subgroups. The need for replacement of invasive liver biopsies as the standard method whereby NAFLD is diagnosed, graded and staged with biomarkers of histological severity injury led to the development of composite prognostic models as potentially viable surrogate alternatives. In the present article, we review existing scoring systems used to </w:t>
      </w:r>
      <w:r w:rsidRPr="001E5D32">
        <w:rPr>
          <w:rFonts w:ascii="Book Antiqua" w:hAnsi="Book Antiqua" w:hint="eastAsia"/>
          <w:sz w:val="24"/>
        </w:rPr>
        <w:t>(</w:t>
      </w:r>
      <w:r w:rsidRPr="001E5D32">
        <w:rPr>
          <w:rFonts w:ascii="Book Antiqua" w:hAnsi="Book Antiqua"/>
          <w:sz w:val="24"/>
        </w:rPr>
        <w:t>1)</w:t>
      </w:r>
      <w:r w:rsidRPr="001E5D32">
        <w:rPr>
          <w:rFonts w:ascii="Book Antiqua" w:hAnsi="Book Antiqua" w:hint="eastAsia"/>
          <w:sz w:val="24"/>
        </w:rPr>
        <w:t xml:space="preserve"> </w:t>
      </w:r>
      <w:r w:rsidRPr="001E5D32">
        <w:rPr>
          <w:rFonts w:ascii="Book Antiqua" w:hAnsi="Book Antiqua"/>
          <w:sz w:val="24"/>
        </w:rPr>
        <w:t>confirm the presence of undiagnosed hepatosteatosis</w:t>
      </w:r>
      <w:r w:rsidRPr="001E5D32">
        <w:rPr>
          <w:rFonts w:ascii="Book Antiqua" w:hAnsi="Book Antiqua" w:hint="eastAsia"/>
          <w:sz w:val="24"/>
        </w:rPr>
        <w:t>;</w:t>
      </w:r>
      <w:r w:rsidRPr="001E5D32">
        <w:rPr>
          <w:rFonts w:ascii="Book Antiqua" w:hAnsi="Book Antiqua"/>
          <w:sz w:val="24"/>
        </w:rPr>
        <w:t xml:space="preserve"> 2) distinguish between simple steatosis and NASH</w:t>
      </w:r>
      <w:r w:rsidRPr="001E5D32">
        <w:rPr>
          <w:rFonts w:ascii="Book Antiqua" w:hAnsi="Book Antiqua" w:hint="eastAsia"/>
          <w:sz w:val="24"/>
        </w:rPr>
        <w:t>;</w:t>
      </w:r>
      <w:r w:rsidRPr="001E5D32">
        <w:rPr>
          <w:rFonts w:ascii="Book Antiqua" w:hAnsi="Book Antiqua"/>
          <w:sz w:val="24"/>
        </w:rPr>
        <w:t xml:space="preserve"> and </w:t>
      </w:r>
      <w:r w:rsidRPr="001E5D32">
        <w:rPr>
          <w:rFonts w:ascii="Book Antiqua" w:hAnsi="Book Antiqua" w:hint="eastAsia"/>
          <w:sz w:val="24"/>
        </w:rPr>
        <w:t>(</w:t>
      </w:r>
      <w:r w:rsidRPr="001E5D32">
        <w:rPr>
          <w:rFonts w:ascii="Book Antiqua" w:hAnsi="Book Antiqua"/>
          <w:sz w:val="24"/>
        </w:rPr>
        <w:t xml:space="preserve">3) predict advanced hepatic fibrosis, with particular emphasis on the role of NAFLD as an independent cardio-metabolic risk factor. In addition, the incorporation of functional genomic markers and/or application of emerging imaging technologies </w:t>
      </w:r>
      <w:r w:rsidR="006E0031">
        <w:rPr>
          <w:rFonts w:ascii="Book Antiqua" w:hAnsi="Book Antiqua" w:hint="eastAsia"/>
          <w:sz w:val="24"/>
        </w:rPr>
        <w:t>are</w:t>
      </w:r>
      <w:r w:rsidRPr="001E5D32">
        <w:rPr>
          <w:rFonts w:ascii="Book Antiqua" w:hAnsi="Book Antiqua"/>
          <w:sz w:val="24"/>
        </w:rPr>
        <w:t xml:space="preserve"> discussed as a means to improve the diagnostic accuracy and predictive performance of promising composite models found to be most appropriate for widespread clinical adoption.</w:t>
      </w:r>
    </w:p>
    <w:p w14:paraId="566E78C9" w14:textId="77777777" w:rsidR="00380EDC" w:rsidRPr="001E5D32" w:rsidRDefault="00380EDC" w:rsidP="001E5D32">
      <w:pPr>
        <w:spacing w:line="360" w:lineRule="auto"/>
        <w:rPr>
          <w:rFonts w:ascii="Book Antiqua" w:hAnsi="Book Antiqua"/>
          <w:sz w:val="24"/>
        </w:rPr>
      </w:pPr>
    </w:p>
    <w:p w14:paraId="606A47D6" w14:textId="23B33ACE" w:rsidR="008E1A70" w:rsidRPr="001E5D32" w:rsidRDefault="008E1A70" w:rsidP="001E5D32">
      <w:pPr>
        <w:spacing w:line="360" w:lineRule="auto"/>
        <w:rPr>
          <w:rFonts w:ascii="Book Antiqua" w:hAnsi="Book Antiqua"/>
          <w:sz w:val="24"/>
        </w:rPr>
      </w:pPr>
      <w:r w:rsidRPr="001E5D32">
        <w:rPr>
          <w:rFonts w:ascii="Book Antiqua" w:hAnsi="Book Antiqua"/>
          <w:b/>
          <w:sz w:val="24"/>
        </w:rPr>
        <w:t>Key words:</w:t>
      </w:r>
      <w:r w:rsidRPr="001E5D32">
        <w:rPr>
          <w:rFonts w:ascii="Book Antiqua" w:hAnsi="Book Antiqua"/>
          <w:sz w:val="24"/>
        </w:rPr>
        <w:t xml:space="preserve"> Non-alcoholic fatty liver disease; </w:t>
      </w:r>
      <w:r w:rsidR="00D54B17" w:rsidRPr="001E5D32">
        <w:rPr>
          <w:rFonts w:ascii="Book Antiqua" w:hAnsi="Book Antiqua"/>
          <w:sz w:val="24"/>
        </w:rPr>
        <w:t xml:space="preserve">Liver </w:t>
      </w:r>
      <w:r w:rsidR="00445B0E" w:rsidRPr="001E5D32">
        <w:rPr>
          <w:rFonts w:ascii="Book Antiqua" w:hAnsi="Book Antiqua"/>
          <w:sz w:val="24"/>
        </w:rPr>
        <w:t xml:space="preserve">biopsy; </w:t>
      </w:r>
      <w:r w:rsidR="00D54B17" w:rsidRPr="001E5D32">
        <w:rPr>
          <w:rFonts w:ascii="Book Antiqua" w:hAnsi="Book Antiqua"/>
          <w:sz w:val="24"/>
        </w:rPr>
        <w:t>Non-</w:t>
      </w:r>
      <w:r w:rsidR="00445B0E" w:rsidRPr="001E5D32">
        <w:rPr>
          <w:rFonts w:ascii="Book Antiqua" w:hAnsi="Book Antiqua"/>
          <w:sz w:val="24"/>
        </w:rPr>
        <w:t>invasive biomarkers</w:t>
      </w:r>
      <w:r w:rsidRPr="001E5D32">
        <w:rPr>
          <w:rFonts w:ascii="Book Antiqua" w:hAnsi="Book Antiqua"/>
          <w:sz w:val="24"/>
        </w:rPr>
        <w:t xml:space="preserve">; </w:t>
      </w:r>
      <w:r w:rsidR="00D54B17" w:rsidRPr="001E5D32">
        <w:rPr>
          <w:rFonts w:ascii="Book Antiqua" w:hAnsi="Book Antiqua"/>
          <w:sz w:val="24"/>
        </w:rPr>
        <w:t xml:space="preserve">Histological </w:t>
      </w:r>
      <w:r w:rsidRPr="001E5D32">
        <w:rPr>
          <w:rFonts w:ascii="Book Antiqua" w:hAnsi="Book Antiqua"/>
          <w:sz w:val="24"/>
        </w:rPr>
        <w:t xml:space="preserve">severity; </w:t>
      </w:r>
      <w:r w:rsidR="00D54B17" w:rsidRPr="001E5D32">
        <w:rPr>
          <w:rFonts w:ascii="Book Antiqua" w:hAnsi="Book Antiqua"/>
          <w:sz w:val="24"/>
        </w:rPr>
        <w:t>Genomics</w:t>
      </w:r>
      <w:r w:rsidR="00774576" w:rsidRPr="001E5D32">
        <w:rPr>
          <w:rFonts w:ascii="Book Antiqua" w:hAnsi="Book Antiqua"/>
          <w:sz w:val="24"/>
        </w:rPr>
        <w:t xml:space="preserve">; </w:t>
      </w:r>
      <w:r w:rsidR="00D54B17" w:rsidRPr="001E5D32">
        <w:rPr>
          <w:rFonts w:ascii="Book Antiqua" w:hAnsi="Book Antiqua"/>
          <w:sz w:val="24"/>
        </w:rPr>
        <w:t>Steatohepatitis</w:t>
      </w:r>
    </w:p>
    <w:p w14:paraId="03EC3A35" w14:textId="77777777" w:rsidR="00E61EE7" w:rsidRPr="001E5D32" w:rsidRDefault="00E61EE7" w:rsidP="001E5D32">
      <w:pPr>
        <w:spacing w:line="360" w:lineRule="auto"/>
        <w:rPr>
          <w:rFonts w:ascii="Book Antiqua" w:hAnsi="Book Antiqua"/>
          <w:b/>
          <w:sz w:val="24"/>
        </w:rPr>
      </w:pPr>
    </w:p>
    <w:p w14:paraId="47FC369E" w14:textId="77777777" w:rsidR="00195906" w:rsidRPr="001E5D32" w:rsidRDefault="00195906" w:rsidP="001E5D32">
      <w:pPr>
        <w:spacing w:line="360" w:lineRule="auto"/>
        <w:rPr>
          <w:rFonts w:ascii="Book Antiqua" w:hAnsi="Book Antiqua"/>
          <w:i/>
          <w:iCs/>
          <w:sz w:val="24"/>
        </w:rPr>
      </w:pPr>
      <w:r w:rsidRPr="001E5D32">
        <w:rPr>
          <w:rFonts w:ascii="Book Antiqua" w:hAnsi="Book Antiqua" w:cs="Tahoma"/>
          <w:b/>
          <w:color w:val="000000"/>
          <w:sz w:val="24"/>
          <w:lang w:val="en-GB" w:eastAsia="ja-JP"/>
        </w:rPr>
        <w:t xml:space="preserve">© </w:t>
      </w:r>
      <w:r w:rsidRPr="001E5D32">
        <w:rPr>
          <w:rFonts w:ascii="Book Antiqua" w:eastAsia="AdvTimes" w:hAnsi="Book Antiqua" w:cs="AdvTimes"/>
          <w:b/>
          <w:color w:val="000000"/>
          <w:sz w:val="24"/>
          <w:lang w:val="fr-FR" w:eastAsia="ja-JP"/>
        </w:rPr>
        <w:t>The Author(s) 2015.</w:t>
      </w:r>
      <w:r w:rsidRPr="001E5D32">
        <w:rPr>
          <w:rFonts w:ascii="Book Antiqua" w:eastAsia="AdvTimes" w:hAnsi="Book Antiqua" w:cs="AdvTimes"/>
          <w:color w:val="000000"/>
          <w:sz w:val="24"/>
          <w:lang w:val="fr-FR" w:eastAsia="ja-JP"/>
        </w:rPr>
        <w:t xml:space="preserve"> Published by </w:t>
      </w:r>
      <w:r w:rsidRPr="001E5D32">
        <w:rPr>
          <w:rFonts w:ascii="Book Antiqua" w:hAnsi="Book Antiqua" w:cs="Arial Unicode MS"/>
          <w:color w:val="000000"/>
          <w:sz w:val="24"/>
          <w:lang w:val="en-GB" w:eastAsia="ja-JP"/>
        </w:rPr>
        <w:t>Baishideng Publishing Group Inc.</w:t>
      </w:r>
      <w:r w:rsidRPr="001E5D32">
        <w:rPr>
          <w:rFonts w:ascii="Book Antiqua" w:hAnsi="Book Antiqua" w:cs="Arial Unicode MS"/>
          <w:sz w:val="24"/>
          <w:lang w:val="en-GB" w:eastAsia="ja-JP"/>
        </w:rPr>
        <w:t xml:space="preserve"> </w:t>
      </w:r>
      <w:r w:rsidRPr="001E5D32">
        <w:rPr>
          <w:rFonts w:ascii="Book Antiqua" w:hAnsi="Book Antiqua" w:cs="Arial Unicode MS"/>
          <w:sz w:val="24"/>
          <w:lang w:val="fr-FR" w:eastAsia="ja-JP"/>
        </w:rPr>
        <w:t>All rights reserved</w:t>
      </w:r>
      <w:r w:rsidRPr="001E5D32">
        <w:rPr>
          <w:rFonts w:ascii="Book Antiqua" w:hAnsi="Book Antiqua" w:cs="Arial Unicode MS" w:hint="eastAsia"/>
          <w:sz w:val="24"/>
          <w:lang w:val="fr-FR"/>
        </w:rPr>
        <w:t>.</w:t>
      </w:r>
    </w:p>
    <w:p w14:paraId="56ABF68D" w14:textId="77777777" w:rsidR="001309C9" w:rsidRPr="001E5D32" w:rsidRDefault="001309C9" w:rsidP="001E5D32">
      <w:pPr>
        <w:spacing w:line="360" w:lineRule="auto"/>
        <w:rPr>
          <w:rFonts w:ascii="Book Antiqua" w:hAnsi="Book Antiqua"/>
          <w:b/>
          <w:sz w:val="24"/>
        </w:rPr>
      </w:pPr>
    </w:p>
    <w:p w14:paraId="3EE070CE" w14:textId="0834E171" w:rsidR="008E1518" w:rsidRPr="001E5D32" w:rsidRDefault="008E1A70" w:rsidP="001E5D32">
      <w:pPr>
        <w:spacing w:line="360" w:lineRule="auto"/>
        <w:rPr>
          <w:rFonts w:ascii="Book Antiqua" w:hAnsi="Book Antiqua"/>
          <w:sz w:val="24"/>
        </w:rPr>
      </w:pPr>
      <w:r w:rsidRPr="001E5D32">
        <w:rPr>
          <w:rFonts w:ascii="Book Antiqua" w:hAnsi="Book Antiqua"/>
          <w:b/>
          <w:sz w:val="24"/>
        </w:rPr>
        <w:t>Core tip:</w:t>
      </w:r>
      <w:r w:rsidR="00A95B81" w:rsidRPr="001E5D32">
        <w:rPr>
          <w:rFonts w:ascii="Book Antiqua" w:hAnsi="Book Antiqua"/>
          <w:sz w:val="24"/>
        </w:rPr>
        <w:t xml:space="preserve"> </w:t>
      </w:r>
      <w:r w:rsidR="008E1518" w:rsidRPr="001E5D32">
        <w:rPr>
          <w:rFonts w:ascii="Book Antiqua" w:hAnsi="Book Antiqua"/>
          <w:sz w:val="24"/>
        </w:rPr>
        <w:t xml:space="preserve">Non-alcoholic fatty liver disease (NAFLD) remains largely underdiagnosed and undertreated in general practice. In view of the limitations inherent to liver biopsy and peripheral </w:t>
      </w:r>
      <w:r w:rsidR="00C91818" w:rsidRPr="001E5D32">
        <w:rPr>
          <w:rFonts w:ascii="Book Antiqua" w:hAnsi="Book Antiqua"/>
          <w:sz w:val="24"/>
        </w:rPr>
        <w:t xml:space="preserve">surrogate </w:t>
      </w:r>
      <w:r w:rsidR="008E1518" w:rsidRPr="001E5D32">
        <w:rPr>
          <w:rFonts w:ascii="Book Antiqua" w:hAnsi="Book Antiqua"/>
          <w:sz w:val="24"/>
        </w:rPr>
        <w:t xml:space="preserve">biomarkers </w:t>
      </w:r>
      <w:r w:rsidR="00C91818" w:rsidRPr="001E5D32">
        <w:rPr>
          <w:rFonts w:ascii="Book Antiqua" w:hAnsi="Book Antiqua"/>
          <w:sz w:val="24"/>
        </w:rPr>
        <w:t xml:space="preserve">used in the diagnosis and assessment of histological severity in NAFLD, </w:t>
      </w:r>
      <w:r w:rsidR="008E1518" w:rsidRPr="001E5D32">
        <w:rPr>
          <w:rFonts w:ascii="Book Antiqua" w:hAnsi="Book Antiqua"/>
          <w:sz w:val="24"/>
        </w:rPr>
        <w:t xml:space="preserve">a number of composite prognostic models have </w:t>
      </w:r>
      <w:r w:rsidR="00C91818" w:rsidRPr="001E5D32">
        <w:rPr>
          <w:rFonts w:ascii="Book Antiqua" w:hAnsi="Book Antiqua"/>
          <w:sz w:val="24"/>
        </w:rPr>
        <w:t>entered the clinical domain as potentially viable</w:t>
      </w:r>
      <w:r w:rsidR="008E1518" w:rsidRPr="001E5D32">
        <w:rPr>
          <w:rFonts w:ascii="Book Antiqua" w:hAnsi="Book Antiqua"/>
          <w:sz w:val="24"/>
        </w:rPr>
        <w:t xml:space="preserve"> alternatives. Lifestyle-based intervention remains the cornerstone of treatment in patients with NAFLD. The widespread clinical adoption of composite diagnostic and predictive models could however prove useful in informing clinical and therapeutic decision making with the goal of adding value to patient care across the NAFLD spectrum.</w:t>
      </w:r>
    </w:p>
    <w:p w14:paraId="27189784" w14:textId="77777777" w:rsidR="00195906" w:rsidRPr="001E5D32" w:rsidRDefault="00195906" w:rsidP="001E5D32">
      <w:pPr>
        <w:spacing w:line="360" w:lineRule="auto"/>
        <w:rPr>
          <w:rFonts w:ascii="Book Antiqua" w:hAnsi="Book Antiqua"/>
          <w:b/>
          <w:sz w:val="24"/>
        </w:rPr>
      </w:pPr>
    </w:p>
    <w:p w14:paraId="30407979" w14:textId="2C50EC13" w:rsidR="00195906" w:rsidRPr="001E5D32" w:rsidRDefault="00195906" w:rsidP="001E5D32">
      <w:pPr>
        <w:spacing w:line="360" w:lineRule="auto"/>
        <w:rPr>
          <w:rFonts w:ascii="Book Antiqua" w:hAnsi="Book Antiqua"/>
          <w:sz w:val="24"/>
        </w:rPr>
      </w:pPr>
      <w:r w:rsidRPr="001E5D32">
        <w:rPr>
          <w:rFonts w:ascii="Book Antiqua" w:hAnsi="Book Antiqua"/>
          <w:sz w:val="24"/>
        </w:rPr>
        <w:t>Lückhoff HK</w:t>
      </w:r>
      <w:r w:rsidRPr="001E5D32">
        <w:rPr>
          <w:rFonts w:ascii="Book Antiqua" w:hAnsi="Book Antiqua" w:cs="Tahoma" w:hint="eastAsia"/>
          <w:i/>
          <w:kern w:val="0"/>
          <w:sz w:val="24"/>
        </w:rPr>
        <w:t xml:space="preserve">, </w:t>
      </w:r>
      <w:r w:rsidRPr="001E5D32">
        <w:rPr>
          <w:rFonts w:ascii="Book Antiqua" w:hAnsi="Book Antiqua"/>
          <w:sz w:val="24"/>
        </w:rPr>
        <w:t>Kruger</w:t>
      </w:r>
      <w:r w:rsidRPr="001E5D32">
        <w:rPr>
          <w:rFonts w:ascii="Book Antiqua" w:hAnsi="Book Antiqua" w:hint="eastAsia"/>
          <w:sz w:val="24"/>
        </w:rPr>
        <w:t xml:space="preserve"> FC, </w:t>
      </w:r>
      <w:r w:rsidRPr="001E5D32">
        <w:rPr>
          <w:rFonts w:ascii="Book Antiqua" w:hAnsi="Book Antiqua"/>
          <w:sz w:val="24"/>
        </w:rPr>
        <w:t>Kotze</w:t>
      </w:r>
      <w:r w:rsidRPr="001E5D32">
        <w:rPr>
          <w:rFonts w:ascii="Book Antiqua" w:hAnsi="Book Antiqua" w:hint="eastAsia"/>
          <w:sz w:val="24"/>
        </w:rPr>
        <w:t xml:space="preserve"> MJ. </w:t>
      </w:r>
      <w:r w:rsidRPr="001E5D32">
        <w:rPr>
          <w:rFonts w:ascii="Book Antiqua" w:hAnsi="Book Antiqua"/>
          <w:sz w:val="24"/>
        </w:rPr>
        <w:t xml:space="preserve">Composite prognostic models across the </w:t>
      </w:r>
      <w:r w:rsidR="00202183" w:rsidRPr="001E5D32">
        <w:rPr>
          <w:rFonts w:ascii="Book Antiqua" w:hAnsi="Book Antiqua"/>
          <w:sz w:val="24"/>
        </w:rPr>
        <w:t>non-alcoholic fatty liver disease</w:t>
      </w:r>
      <w:r w:rsidRPr="001E5D32">
        <w:rPr>
          <w:rFonts w:ascii="Book Antiqua" w:hAnsi="Book Antiqua"/>
          <w:sz w:val="24"/>
        </w:rPr>
        <w:t xml:space="preserve"> spectrum: Clinical application in developing countries</w:t>
      </w:r>
      <w:r w:rsidRPr="001E5D32">
        <w:rPr>
          <w:rFonts w:ascii="Book Antiqua" w:hAnsi="Book Antiqua" w:hint="eastAsia"/>
          <w:sz w:val="24"/>
        </w:rPr>
        <w:t xml:space="preserve">. </w:t>
      </w:r>
      <w:r w:rsidR="00D37176" w:rsidRPr="001E5D32">
        <w:rPr>
          <w:rFonts w:ascii="Book Antiqua" w:hAnsi="Book Antiqua"/>
          <w:i/>
          <w:iCs/>
          <w:sz w:val="24"/>
        </w:rPr>
        <w:t>World J Hepatol</w:t>
      </w:r>
      <w:r w:rsidR="00D37176" w:rsidRPr="001E5D32">
        <w:rPr>
          <w:rFonts w:ascii="Book Antiqua" w:hAnsi="Book Antiqua" w:hint="eastAsia"/>
          <w:iCs/>
          <w:sz w:val="24"/>
        </w:rPr>
        <w:t xml:space="preserve"> 2015; </w:t>
      </w:r>
      <w:r w:rsidR="00D37176" w:rsidRPr="001E5D32">
        <w:rPr>
          <w:rFonts w:ascii="Book Antiqua" w:hAnsi="Book Antiqua"/>
          <w:iCs/>
          <w:sz w:val="24"/>
        </w:rPr>
        <w:t>In</w:t>
      </w:r>
      <w:r w:rsidR="00D37176" w:rsidRPr="001E5D32">
        <w:rPr>
          <w:rFonts w:ascii="Book Antiqua" w:hAnsi="Book Antiqua" w:hint="eastAsia"/>
          <w:iCs/>
          <w:sz w:val="24"/>
        </w:rPr>
        <w:t xml:space="preserve"> press</w:t>
      </w:r>
    </w:p>
    <w:p w14:paraId="3E67DB4E" w14:textId="77777777" w:rsidR="00195906" w:rsidRPr="001E5D32" w:rsidRDefault="00195906" w:rsidP="001E5D32">
      <w:pPr>
        <w:spacing w:line="360" w:lineRule="auto"/>
        <w:rPr>
          <w:rFonts w:ascii="Book Antiqua" w:hAnsi="Book Antiqua"/>
          <w:sz w:val="24"/>
        </w:rPr>
      </w:pPr>
    </w:p>
    <w:p w14:paraId="0FDDE8D5" w14:textId="77777777" w:rsidR="00184F7C" w:rsidRPr="001E5D32" w:rsidRDefault="00184F7C" w:rsidP="001E5D32">
      <w:pPr>
        <w:spacing w:line="360" w:lineRule="auto"/>
        <w:rPr>
          <w:rFonts w:ascii="Book Antiqua" w:hAnsi="Book Antiqua"/>
          <w:b/>
          <w:sz w:val="24"/>
        </w:rPr>
      </w:pPr>
      <w:r w:rsidRPr="001E5D32">
        <w:rPr>
          <w:rFonts w:ascii="Book Antiqua" w:hAnsi="Book Antiqua"/>
          <w:b/>
          <w:sz w:val="24"/>
        </w:rPr>
        <w:t>I</w:t>
      </w:r>
      <w:r w:rsidR="006B2DF7" w:rsidRPr="001E5D32">
        <w:rPr>
          <w:rFonts w:ascii="Book Antiqua" w:hAnsi="Book Antiqua"/>
          <w:b/>
          <w:sz w:val="24"/>
        </w:rPr>
        <w:t>NTRODUCTION</w:t>
      </w:r>
    </w:p>
    <w:p w14:paraId="50D6B39B" w14:textId="56B3195B" w:rsidR="008A6B6F" w:rsidRPr="001E5D32" w:rsidRDefault="00184F7C" w:rsidP="001E5D32">
      <w:pPr>
        <w:spacing w:line="360" w:lineRule="auto"/>
        <w:rPr>
          <w:rFonts w:ascii="Book Antiqua" w:hAnsi="Book Antiqua"/>
          <w:sz w:val="24"/>
        </w:rPr>
      </w:pPr>
      <w:r w:rsidRPr="001E5D32">
        <w:rPr>
          <w:rFonts w:ascii="Book Antiqua" w:hAnsi="Book Antiqua"/>
          <w:sz w:val="24"/>
        </w:rPr>
        <w:t xml:space="preserve">In coming decades, </w:t>
      </w:r>
      <w:r w:rsidR="00CE241E" w:rsidRPr="001E5D32">
        <w:rPr>
          <w:rFonts w:ascii="Book Antiqua" w:hAnsi="Book Antiqua"/>
          <w:sz w:val="24"/>
        </w:rPr>
        <w:t>the developing world is</w:t>
      </w:r>
      <w:r w:rsidRPr="001E5D32">
        <w:rPr>
          <w:rFonts w:ascii="Book Antiqua" w:hAnsi="Book Antiqua"/>
          <w:sz w:val="24"/>
        </w:rPr>
        <w:t xml:space="preserve"> expected to bear an increasingly dispr</w:t>
      </w:r>
      <w:r w:rsidR="00CE241E" w:rsidRPr="001E5D32">
        <w:rPr>
          <w:rFonts w:ascii="Book Antiqua" w:hAnsi="Book Antiqua"/>
          <w:sz w:val="24"/>
        </w:rPr>
        <w:t xml:space="preserve">oportionate share of the overall </w:t>
      </w:r>
      <w:r w:rsidR="00814072" w:rsidRPr="001E5D32">
        <w:rPr>
          <w:rFonts w:ascii="Book Antiqua" w:hAnsi="Book Antiqua"/>
          <w:sz w:val="24"/>
        </w:rPr>
        <w:t xml:space="preserve">health and financial </w:t>
      </w:r>
      <w:r w:rsidR="00CE241E" w:rsidRPr="001E5D32">
        <w:rPr>
          <w:rFonts w:ascii="Book Antiqua" w:hAnsi="Book Antiqua"/>
          <w:sz w:val="24"/>
        </w:rPr>
        <w:t>burden</w:t>
      </w:r>
      <w:r w:rsidRPr="001E5D32">
        <w:rPr>
          <w:rFonts w:ascii="Book Antiqua" w:hAnsi="Book Antiqua"/>
          <w:sz w:val="24"/>
        </w:rPr>
        <w:t xml:space="preserve"> attributable to chronic non-communicable diseases (NCDs) </w:t>
      </w:r>
      <w:r w:rsidR="00CE241E" w:rsidRPr="001E5D32">
        <w:rPr>
          <w:rFonts w:ascii="Book Antiqua" w:hAnsi="Book Antiqua"/>
          <w:sz w:val="24"/>
        </w:rPr>
        <w:t xml:space="preserve">once </w:t>
      </w:r>
      <w:r w:rsidRPr="001E5D32">
        <w:rPr>
          <w:rFonts w:ascii="Book Antiqua" w:hAnsi="Book Antiqua"/>
          <w:sz w:val="24"/>
        </w:rPr>
        <w:t xml:space="preserve">considered merely </w:t>
      </w:r>
      <w:r w:rsidR="00CE241E" w:rsidRPr="001E5D32">
        <w:rPr>
          <w:rFonts w:ascii="Book Antiqua" w:hAnsi="Book Antiqua"/>
          <w:sz w:val="24"/>
        </w:rPr>
        <w:t>as</w:t>
      </w:r>
      <w:r w:rsidR="00637570" w:rsidRPr="001E5D32">
        <w:rPr>
          <w:rFonts w:ascii="Book Antiqua" w:hAnsi="Book Antiqua"/>
          <w:sz w:val="24"/>
        </w:rPr>
        <w:t xml:space="preserve"> reflections</w:t>
      </w:r>
      <w:r w:rsidRPr="001E5D32">
        <w:rPr>
          <w:rFonts w:ascii="Book Antiqua" w:hAnsi="Book Antiqua"/>
          <w:sz w:val="24"/>
        </w:rPr>
        <w:t xml:space="preserve"> o</w:t>
      </w:r>
      <w:r w:rsidR="008F3942" w:rsidRPr="001E5D32">
        <w:rPr>
          <w:rFonts w:ascii="Book Antiqua" w:hAnsi="Book Antiqua"/>
          <w:sz w:val="24"/>
        </w:rPr>
        <w:t>f affluence</w:t>
      </w:r>
      <w:r w:rsidR="008F3942" w:rsidRPr="001E5D32">
        <w:rPr>
          <w:rFonts w:ascii="Book Antiqua" w:hAnsi="Book Antiqua" w:hint="eastAsia"/>
          <w:sz w:val="24"/>
          <w:vertAlign w:val="superscript"/>
        </w:rPr>
        <w:t>[</w:t>
      </w:r>
      <w:r w:rsidR="002C4BCE" w:rsidRPr="001E5D32">
        <w:rPr>
          <w:rFonts w:ascii="Book Antiqua" w:hAnsi="Book Antiqua"/>
          <w:sz w:val="24"/>
          <w:vertAlign w:val="superscript"/>
        </w:rPr>
        <w:t>1,2]</w:t>
      </w:r>
      <w:r w:rsidR="002C4BCE" w:rsidRPr="001E5D32">
        <w:rPr>
          <w:rFonts w:ascii="Book Antiqua" w:hAnsi="Book Antiqua"/>
          <w:sz w:val="24"/>
        </w:rPr>
        <w:t>.</w:t>
      </w:r>
      <w:r w:rsidRPr="001E5D32">
        <w:rPr>
          <w:rFonts w:ascii="Book Antiqua" w:hAnsi="Book Antiqua"/>
          <w:sz w:val="24"/>
        </w:rPr>
        <w:t xml:space="preserve"> Economic prosperity is inexorably linked to a globalization of modernity which fuels an ongoing reversal of the social obesity gradient in </w:t>
      </w:r>
      <w:r w:rsidR="00CE241E" w:rsidRPr="001E5D32">
        <w:rPr>
          <w:rFonts w:ascii="Book Antiqua" w:hAnsi="Book Antiqua"/>
          <w:sz w:val="24"/>
        </w:rPr>
        <w:t>non-industrialized nations</w:t>
      </w:r>
      <w:r w:rsidR="002C4BCE" w:rsidRPr="001E5D32">
        <w:rPr>
          <w:rFonts w:ascii="Book Antiqua" w:hAnsi="Book Antiqua"/>
          <w:sz w:val="24"/>
          <w:vertAlign w:val="superscript"/>
        </w:rPr>
        <w:t>[3,4]</w:t>
      </w:r>
      <w:r w:rsidRPr="001E5D32">
        <w:rPr>
          <w:rFonts w:ascii="Book Antiqua" w:hAnsi="Book Antiqua"/>
          <w:sz w:val="24"/>
        </w:rPr>
        <w:t xml:space="preserve">. This epidemiological trend is mirrored in the emergence of non-alcoholic fatty liver disease (NAFLD) as a major </w:t>
      </w:r>
      <w:r w:rsidR="00E718C4" w:rsidRPr="001E5D32">
        <w:rPr>
          <w:rFonts w:ascii="Book Antiqua" w:hAnsi="Book Antiqua"/>
          <w:sz w:val="24"/>
        </w:rPr>
        <w:t>health concern in non-occidental countries, affecting individuals</w:t>
      </w:r>
      <w:r w:rsidR="008E5F28" w:rsidRPr="001E5D32">
        <w:rPr>
          <w:rFonts w:ascii="Book Antiqua" w:hAnsi="Book Antiqua"/>
          <w:sz w:val="24"/>
        </w:rPr>
        <w:t xml:space="preserve"> </w:t>
      </w:r>
      <w:r w:rsidRPr="001E5D32">
        <w:rPr>
          <w:rFonts w:ascii="Book Antiqua" w:hAnsi="Book Antiqua"/>
          <w:sz w:val="24"/>
        </w:rPr>
        <w:t>across boundaries for age, sex and an</w:t>
      </w:r>
      <w:r w:rsidR="001C7B8E" w:rsidRPr="001E5D32">
        <w:rPr>
          <w:rFonts w:ascii="Book Antiqua" w:hAnsi="Book Antiqua"/>
          <w:sz w:val="24"/>
        </w:rPr>
        <w:t>cestral background</w:t>
      </w:r>
      <w:r w:rsidR="002C4BCE" w:rsidRPr="001E5D32">
        <w:rPr>
          <w:rFonts w:ascii="Book Antiqua" w:hAnsi="Book Antiqua"/>
          <w:sz w:val="24"/>
          <w:vertAlign w:val="superscript"/>
        </w:rPr>
        <w:t>[5]</w:t>
      </w:r>
      <w:r w:rsidR="002C4BCE" w:rsidRPr="001E5D32">
        <w:rPr>
          <w:rFonts w:ascii="Book Antiqua" w:hAnsi="Book Antiqua"/>
          <w:sz w:val="24"/>
        </w:rPr>
        <w:t>.</w:t>
      </w:r>
      <w:r w:rsidRPr="001E5D32">
        <w:rPr>
          <w:rFonts w:ascii="Book Antiqua" w:hAnsi="Book Antiqua"/>
          <w:sz w:val="24"/>
        </w:rPr>
        <w:t xml:space="preserve"> Despite growing evidence as to its magnitude and preventability, this “hepatic pandemic” remains largely underdiagnosed and undertreated in </w:t>
      </w:r>
      <w:r w:rsidR="001C7B8E" w:rsidRPr="001E5D32">
        <w:rPr>
          <w:rFonts w:ascii="Book Antiqua" w:hAnsi="Book Antiqua"/>
          <w:sz w:val="24"/>
        </w:rPr>
        <w:t>routine medical practice</w:t>
      </w:r>
      <w:r w:rsidR="002C4BCE" w:rsidRPr="001E5D32">
        <w:rPr>
          <w:rFonts w:ascii="Book Antiqua" w:hAnsi="Book Antiqua"/>
          <w:sz w:val="24"/>
          <w:vertAlign w:val="superscript"/>
        </w:rPr>
        <w:t>[6]</w:t>
      </w:r>
      <w:r w:rsidR="002C4BCE" w:rsidRPr="001E5D32">
        <w:rPr>
          <w:rFonts w:ascii="Book Antiqua" w:hAnsi="Book Antiqua"/>
          <w:sz w:val="24"/>
        </w:rPr>
        <w:t>.</w:t>
      </w:r>
    </w:p>
    <w:p w14:paraId="08E1CF3D" w14:textId="45ED4AB9" w:rsidR="00445B0E" w:rsidRPr="001E5D32" w:rsidRDefault="00184F7C" w:rsidP="001E5D32">
      <w:pPr>
        <w:spacing w:line="360" w:lineRule="auto"/>
        <w:ind w:firstLineChars="200" w:firstLine="480"/>
        <w:rPr>
          <w:rFonts w:ascii="Book Antiqua" w:hAnsi="Book Antiqua"/>
          <w:sz w:val="24"/>
        </w:rPr>
      </w:pPr>
      <w:r w:rsidRPr="001E5D32">
        <w:rPr>
          <w:rFonts w:ascii="Book Antiqua" w:hAnsi="Book Antiqua"/>
          <w:sz w:val="24"/>
        </w:rPr>
        <w:t xml:space="preserve">NAFLD </w:t>
      </w:r>
      <w:r w:rsidR="00CE241E" w:rsidRPr="001E5D32">
        <w:rPr>
          <w:rFonts w:ascii="Book Antiqua" w:hAnsi="Book Antiqua"/>
          <w:sz w:val="24"/>
        </w:rPr>
        <w:t xml:space="preserve">encompasses a broad spectrum of hepatic abnormalities and is typified by marked </w:t>
      </w:r>
      <w:r w:rsidRPr="001E5D32">
        <w:rPr>
          <w:rFonts w:ascii="Book Antiqua" w:hAnsi="Book Antiqua"/>
          <w:sz w:val="24"/>
        </w:rPr>
        <w:t>inter-individual heterogen</w:t>
      </w:r>
      <w:r w:rsidR="00CE241E" w:rsidRPr="001E5D32">
        <w:rPr>
          <w:rFonts w:ascii="Book Antiqua" w:hAnsi="Book Antiqua"/>
          <w:sz w:val="24"/>
        </w:rPr>
        <w:t xml:space="preserve">eity in </w:t>
      </w:r>
      <w:r w:rsidR="00637570" w:rsidRPr="001E5D32">
        <w:rPr>
          <w:rFonts w:ascii="Book Antiqua" w:hAnsi="Book Antiqua"/>
          <w:sz w:val="24"/>
        </w:rPr>
        <w:t xml:space="preserve">clinical </w:t>
      </w:r>
      <w:r w:rsidR="00EE31DA" w:rsidRPr="001E5D32">
        <w:rPr>
          <w:rFonts w:ascii="Book Antiqua" w:hAnsi="Book Antiqua"/>
          <w:sz w:val="24"/>
        </w:rPr>
        <w:t xml:space="preserve">presentation, </w:t>
      </w:r>
      <w:r w:rsidR="00637570" w:rsidRPr="001E5D32">
        <w:rPr>
          <w:rFonts w:ascii="Book Antiqua" w:hAnsi="Book Antiqua"/>
          <w:sz w:val="24"/>
        </w:rPr>
        <w:t xml:space="preserve">histological severity, </w:t>
      </w:r>
      <w:r w:rsidR="00EE31DA" w:rsidRPr="001E5D32">
        <w:rPr>
          <w:rFonts w:ascii="Book Antiqua" w:hAnsi="Book Antiqua"/>
          <w:sz w:val="24"/>
        </w:rPr>
        <w:t xml:space="preserve">prognosis and therapeutic outcomes. </w:t>
      </w:r>
      <w:r w:rsidR="00CE241E" w:rsidRPr="001E5D32">
        <w:rPr>
          <w:rFonts w:ascii="Book Antiqua" w:hAnsi="Book Antiqua"/>
          <w:sz w:val="24"/>
        </w:rPr>
        <w:t xml:space="preserve">While the majority of </w:t>
      </w:r>
      <w:r w:rsidR="002D0CF8" w:rsidRPr="001E5D32">
        <w:rPr>
          <w:rFonts w:ascii="Book Antiqua" w:hAnsi="Book Antiqua"/>
          <w:sz w:val="24"/>
        </w:rPr>
        <w:t xml:space="preserve">uncomplicated </w:t>
      </w:r>
      <w:r w:rsidR="00CE241E" w:rsidRPr="001E5D32">
        <w:rPr>
          <w:rFonts w:ascii="Book Antiqua" w:hAnsi="Book Antiqua"/>
          <w:sz w:val="24"/>
        </w:rPr>
        <w:t>steatosis</w:t>
      </w:r>
      <w:r w:rsidR="00EE31DA" w:rsidRPr="001E5D32">
        <w:rPr>
          <w:rFonts w:ascii="Book Antiqua" w:hAnsi="Book Antiqua"/>
          <w:sz w:val="24"/>
        </w:rPr>
        <w:t xml:space="preserve"> </w:t>
      </w:r>
      <w:r w:rsidR="00CE241E" w:rsidRPr="001E5D32">
        <w:rPr>
          <w:rFonts w:ascii="Book Antiqua" w:hAnsi="Book Antiqua"/>
          <w:sz w:val="24"/>
        </w:rPr>
        <w:t xml:space="preserve">is non-progressive, </w:t>
      </w:r>
      <w:r w:rsidRPr="001E5D32">
        <w:rPr>
          <w:rFonts w:ascii="Book Antiqua" w:hAnsi="Book Antiqua"/>
          <w:sz w:val="24"/>
        </w:rPr>
        <w:t xml:space="preserve">~20-30% of patients will develop </w:t>
      </w:r>
      <w:r w:rsidR="00CE241E" w:rsidRPr="001E5D32">
        <w:rPr>
          <w:rFonts w:ascii="Book Antiqua" w:hAnsi="Book Antiqua"/>
          <w:sz w:val="24"/>
        </w:rPr>
        <w:t xml:space="preserve">steotohepatitis (NASH), a more aggressive </w:t>
      </w:r>
      <w:r w:rsidR="00EE31DA" w:rsidRPr="001E5D32">
        <w:rPr>
          <w:rFonts w:ascii="Book Antiqua" w:hAnsi="Book Antiqua"/>
          <w:sz w:val="24"/>
        </w:rPr>
        <w:t xml:space="preserve">necro-inflammatory </w:t>
      </w:r>
      <w:r w:rsidR="00CE241E" w:rsidRPr="001E5D32">
        <w:rPr>
          <w:rFonts w:ascii="Book Antiqua" w:hAnsi="Book Antiqua"/>
          <w:sz w:val="24"/>
        </w:rPr>
        <w:t xml:space="preserve">phenotype </w:t>
      </w:r>
      <w:r w:rsidR="00EE31DA" w:rsidRPr="001E5D32">
        <w:rPr>
          <w:rFonts w:ascii="Book Antiqua" w:hAnsi="Book Antiqua"/>
          <w:sz w:val="24"/>
        </w:rPr>
        <w:t xml:space="preserve">associated with increased risk for </w:t>
      </w:r>
      <w:r w:rsidR="00644412" w:rsidRPr="001E5D32">
        <w:rPr>
          <w:rFonts w:ascii="Book Antiqua" w:hAnsi="Book Antiqua"/>
          <w:sz w:val="24"/>
        </w:rPr>
        <w:t xml:space="preserve">advanced </w:t>
      </w:r>
      <w:r w:rsidR="00EE31DA" w:rsidRPr="001E5D32">
        <w:rPr>
          <w:rFonts w:ascii="Book Antiqua" w:hAnsi="Book Antiqua"/>
          <w:sz w:val="24"/>
        </w:rPr>
        <w:t>fibrosis</w:t>
      </w:r>
      <w:r w:rsidR="00644412" w:rsidRPr="001E5D32">
        <w:rPr>
          <w:rFonts w:ascii="Book Antiqua" w:hAnsi="Book Antiqua"/>
          <w:sz w:val="24"/>
        </w:rPr>
        <w:t xml:space="preserve"> predisposing towards </w:t>
      </w:r>
      <w:r w:rsidRPr="001E5D32">
        <w:rPr>
          <w:rFonts w:ascii="Book Antiqua" w:hAnsi="Book Antiqua"/>
          <w:sz w:val="24"/>
        </w:rPr>
        <w:t>cirrhosis, portal hypertensio</w:t>
      </w:r>
      <w:r w:rsidR="00EE31DA" w:rsidRPr="001E5D32">
        <w:rPr>
          <w:rFonts w:ascii="Book Antiqua" w:hAnsi="Book Antiqua"/>
          <w:sz w:val="24"/>
        </w:rPr>
        <w:t xml:space="preserve">n, decompensated liver failure and </w:t>
      </w:r>
      <w:r w:rsidR="00B9095E" w:rsidRPr="001E5D32">
        <w:rPr>
          <w:rFonts w:ascii="Book Antiqua" w:hAnsi="Book Antiqua"/>
          <w:sz w:val="24"/>
        </w:rPr>
        <w:t>hepatocellular carcinoma</w:t>
      </w:r>
      <w:r w:rsidR="002C4BCE" w:rsidRPr="001E5D32">
        <w:rPr>
          <w:rFonts w:ascii="Book Antiqua" w:hAnsi="Book Antiqua"/>
          <w:sz w:val="24"/>
          <w:vertAlign w:val="superscript"/>
        </w:rPr>
        <w:t>[7,8]</w:t>
      </w:r>
      <w:r w:rsidR="002C4BCE" w:rsidRPr="001E5D32">
        <w:rPr>
          <w:rFonts w:ascii="Book Antiqua" w:hAnsi="Book Antiqua"/>
          <w:sz w:val="24"/>
        </w:rPr>
        <w:t>.</w:t>
      </w:r>
      <w:r w:rsidRPr="001E5D32">
        <w:rPr>
          <w:rFonts w:ascii="Book Antiqua" w:hAnsi="Book Antiqua"/>
          <w:sz w:val="24"/>
        </w:rPr>
        <w:t xml:space="preserve"> </w:t>
      </w:r>
      <w:r w:rsidR="00EE31DA" w:rsidRPr="001E5D32">
        <w:rPr>
          <w:rFonts w:ascii="Book Antiqua" w:hAnsi="Book Antiqua"/>
          <w:sz w:val="24"/>
        </w:rPr>
        <w:t>The pathological evaluation</w:t>
      </w:r>
      <w:r w:rsidRPr="001E5D32">
        <w:rPr>
          <w:rFonts w:ascii="Book Antiqua" w:hAnsi="Book Antiqua"/>
          <w:sz w:val="24"/>
        </w:rPr>
        <w:t xml:space="preserve"> and classification of </w:t>
      </w:r>
      <w:r w:rsidR="00BA50DE" w:rsidRPr="001E5D32">
        <w:rPr>
          <w:rFonts w:ascii="Book Antiqua" w:hAnsi="Book Antiqua"/>
          <w:sz w:val="24"/>
        </w:rPr>
        <w:t xml:space="preserve">biopsied </w:t>
      </w:r>
      <w:r w:rsidRPr="001E5D32">
        <w:rPr>
          <w:rFonts w:ascii="Book Antiqua" w:hAnsi="Book Antiqua"/>
          <w:sz w:val="24"/>
        </w:rPr>
        <w:t xml:space="preserve">liver </w:t>
      </w:r>
      <w:r w:rsidR="00BA50DE" w:rsidRPr="001E5D32">
        <w:rPr>
          <w:rFonts w:ascii="Book Antiqua" w:hAnsi="Book Antiqua"/>
          <w:sz w:val="24"/>
        </w:rPr>
        <w:t>tissue remains</w:t>
      </w:r>
      <w:r w:rsidRPr="001E5D32">
        <w:rPr>
          <w:rFonts w:ascii="Book Antiqua" w:hAnsi="Book Antiqua"/>
          <w:sz w:val="24"/>
        </w:rPr>
        <w:t xml:space="preserve"> definitive </w:t>
      </w:r>
      <w:r w:rsidR="00EE31DA" w:rsidRPr="001E5D32">
        <w:rPr>
          <w:rFonts w:ascii="Book Antiqua" w:hAnsi="Book Antiqua"/>
          <w:sz w:val="24"/>
        </w:rPr>
        <w:t>standard investigation</w:t>
      </w:r>
      <w:r w:rsidRPr="001E5D32">
        <w:rPr>
          <w:rFonts w:ascii="Book Antiqua" w:hAnsi="Book Antiqua"/>
          <w:sz w:val="24"/>
        </w:rPr>
        <w:t xml:space="preserve"> whereby </w:t>
      </w:r>
      <w:r w:rsidR="00EE31DA" w:rsidRPr="001E5D32">
        <w:rPr>
          <w:rFonts w:ascii="Book Antiqua" w:hAnsi="Book Antiqua"/>
          <w:sz w:val="24"/>
        </w:rPr>
        <w:t>a suspected diagnosis of NAFLD is confirmed and hi</w:t>
      </w:r>
      <w:r w:rsidR="00BA50DE" w:rsidRPr="001E5D32">
        <w:rPr>
          <w:rFonts w:ascii="Book Antiqua" w:hAnsi="Book Antiqua"/>
          <w:sz w:val="24"/>
        </w:rPr>
        <w:t>stological severity quantified to assist prognostication and the selection of appropriate therapeutic intervention</w:t>
      </w:r>
      <w:r w:rsidR="002C4BCE" w:rsidRPr="001E5D32">
        <w:rPr>
          <w:rFonts w:ascii="Book Antiqua" w:hAnsi="Book Antiqua"/>
          <w:sz w:val="24"/>
          <w:vertAlign w:val="superscript"/>
        </w:rPr>
        <w:t>[9]</w:t>
      </w:r>
      <w:r w:rsidRPr="001E5D32">
        <w:rPr>
          <w:rFonts w:ascii="Book Antiqua" w:hAnsi="Book Antiqua"/>
          <w:sz w:val="24"/>
        </w:rPr>
        <w:t xml:space="preserve">. </w:t>
      </w:r>
      <w:r w:rsidR="00EE31DA" w:rsidRPr="001E5D32">
        <w:rPr>
          <w:rFonts w:ascii="Book Antiqua" w:hAnsi="Book Antiqua"/>
          <w:sz w:val="24"/>
        </w:rPr>
        <w:t>This approach is</w:t>
      </w:r>
      <w:r w:rsidR="00BA50DE" w:rsidRPr="001E5D32">
        <w:rPr>
          <w:rFonts w:ascii="Book Antiqua" w:hAnsi="Book Antiqua"/>
          <w:sz w:val="24"/>
        </w:rPr>
        <w:t xml:space="preserve"> to an extent</w:t>
      </w:r>
      <w:r w:rsidR="00EE31DA" w:rsidRPr="001E5D32">
        <w:rPr>
          <w:rFonts w:ascii="Book Antiqua" w:hAnsi="Book Antiqua"/>
          <w:sz w:val="24"/>
        </w:rPr>
        <w:t xml:space="preserve"> advantageous </w:t>
      </w:r>
      <w:r w:rsidR="00BA50DE" w:rsidRPr="001E5D32">
        <w:rPr>
          <w:rFonts w:ascii="Book Antiqua" w:hAnsi="Book Antiqua"/>
          <w:sz w:val="24"/>
        </w:rPr>
        <w:t>as it</w:t>
      </w:r>
      <w:r w:rsidR="0076039C" w:rsidRPr="001E5D32">
        <w:rPr>
          <w:rFonts w:ascii="Book Antiqua" w:hAnsi="Book Antiqua"/>
          <w:sz w:val="24"/>
        </w:rPr>
        <w:t xml:space="preserve"> allows</w:t>
      </w:r>
      <w:r w:rsidR="00EE31DA" w:rsidRPr="001E5D32">
        <w:rPr>
          <w:rFonts w:ascii="Book Antiqua" w:hAnsi="Book Antiqua"/>
          <w:sz w:val="24"/>
        </w:rPr>
        <w:t xml:space="preserve"> for the </w:t>
      </w:r>
      <w:r w:rsidRPr="001E5D32">
        <w:rPr>
          <w:rFonts w:ascii="Book Antiqua" w:hAnsi="Book Antiqua"/>
          <w:sz w:val="24"/>
        </w:rPr>
        <w:t xml:space="preserve">concurrent assessment of multiple histological parameters </w:t>
      </w:r>
      <w:r w:rsidR="00EE31DA" w:rsidRPr="001E5D32">
        <w:rPr>
          <w:rFonts w:ascii="Book Antiqua" w:hAnsi="Book Antiqua"/>
          <w:sz w:val="24"/>
        </w:rPr>
        <w:t xml:space="preserve">and </w:t>
      </w:r>
      <w:r w:rsidRPr="001E5D32">
        <w:rPr>
          <w:rFonts w:ascii="Book Antiqua" w:hAnsi="Book Antiqua"/>
          <w:sz w:val="24"/>
        </w:rPr>
        <w:t xml:space="preserve">may </w:t>
      </w:r>
      <w:r w:rsidR="00BA50DE" w:rsidRPr="001E5D32">
        <w:rPr>
          <w:rFonts w:ascii="Book Antiqua" w:hAnsi="Book Antiqua"/>
          <w:sz w:val="24"/>
        </w:rPr>
        <w:t xml:space="preserve">help </w:t>
      </w:r>
      <w:r w:rsidRPr="001E5D32">
        <w:rPr>
          <w:rFonts w:ascii="Book Antiqua" w:hAnsi="Book Antiqua"/>
          <w:sz w:val="24"/>
        </w:rPr>
        <w:t>identify unexpected he</w:t>
      </w:r>
      <w:r w:rsidR="00EE31DA" w:rsidRPr="001E5D32">
        <w:rPr>
          <w:rFonts w:ascii="Book Antiqua" w:hAnsi="Book Antiqua"/>
          <w:sz w:val="24"/>
        </w:rPr>
        <w:t xml:space="preserve">patic </w:t>
      </w:r>
      <w:r w:rsidR="002C4BCE" w:rsidRPr="001E5D32">
        <w:rPr>
          <w:rFonts w:ascii="Book Antiqua" w:hAnsi="Book Antiqua"/>
          <w:sz w:val="24"/>
        </w:rPr>
        <w:t>pathology</w:t>
      </w:r>
      <w:r w:rsidRPr="001E5D32">
        <w:rPr>
          <w:rFonts w:ascii="Book Antiqua" w:hAnsi="Book Antiqua"/>
          <w:sz w:val="24"/>
        </w:rPr>
        <w:t xml:space="preserve"> or comorbidities. </w:t>
      </w:r>
      <w:r w:rsidR="00EE31DA" w:rsidRPr="001E5D32">
        <w:rPr>
          <w:rFonts w:ascii="Book Antiqua" w:hAnsi="Book Antiqua"/>
          <w:sz w:val="24"/>
        </w:rPr>
        <w:t>Liver biopsy is howe</w:t>
      </w:r>
      <w:r w:rsidR="002C4BCE" w:rsidRPr="001E5D32">
        <w:rPr>
          <w:rFonts w:ascii="Book Antiqua" w:hAnsi="Book Antiqua"/>
          <w:sz w:val="24"/>
        </w:rPr>
        <w:t>ver limited insofar as it is an</w:t>
      </w:r>
      <w:r w:rsidR="00EE31DA" w:rsidRPr="001E5D32">
        <w:rPr>
          <w:rFonts w:ascii="Book Antiqua" w:hAnsi="Book Antiqua"/>
          <w:sz w:val="24"/>
        </w:rPr>
        <w:t xml:space="preserve"> </w:t>
      </w:r>
      <w:r w:rsidR="002C4BCE" w:rsidRPr="001E5D32">
        <w:rPr>
          <w:rFonts w:ascii="Book Antiqua" w:hAnsi="Book Antiqua"/>
          <w:sz w:val="24"/>
        </w:rPr>
        <w:t xml:space="preserve">invasive, </w:t>
      </w:r>
      <w:r w:rsidR="00EE31DA" w:rsidRPr="001E5D32">
        <w:rPr>
          <w:rFonts w:ascii="Book Antiqua" w:hAnsi="Book Antiqua"/>
          <w:sz w:val="24"/>
        </w:rPr>
        <w:t>expensive and time-consuming proc</w:t>
      </w:r>
      <w:r w:rsidR="002C4BCE" w:rsidRPr="001E5D32">
        <w:rPr>
          <w:rFonts w:ascii="Book Antiqua" w:hAnsi="Book Antiqua"/>
          <w:sz w:val="24"/>
        </w:rPr>
        <w:t xml:space="preserve">edure which poses </w:t>
      </w:r>
      <w:r w:rsidR="00644412" w:rsidRPr="001E5D32">
        <w:rPr>
          <w:rFonts w:ascii="Book Antiqua" w:hAnsi="Book Antiqua"/>
          <w:sz w:val="24"/>
        </w:rPr>
        <w:t xml:space="preserve">significant </w:t>
      </w:r>
      <w:r w:rsidR="002C4BCE" w:rsidRPr="001E5D32">
        <w:rPr>
          <w:rFonts w:ascii="Book Antiqua" w:hAnsi="Book Antiqua"/>
          <w:sz w:val="24"/>
        </w:rPr>
        <w:t>physical risk, including a 0.1% risk of mortality</w:t>
      </w:r>
      <w:r w:rsidR="008E1518" w:rsidRPr="001E5D32">
        <w:rPr>
          <w:rFonts w:ascii="Book Antiqua" w:hAnsi="Book Antiqua"/>
          <w:sz w:val="24"/>
          <w:vertAlign w:val="superscript"/>
        </w:rPr>
        <w:t>[9]</w:t>
      </w:r>
      <w:r w:rsidR="002C4BCE" w:rsidRPr="001E5D32">
        <w:rPr>
          <w:rFonts w:ascii="Book Antiqua" w:hAnsi="Book Antiqua"/>
          <w:sz w:val="24"/>
        </w:rPr>
        <w:t xml:space="preserve">. Moreover, it is </w:t>
      </w:r>
      <w:r w:rsidR="00EE31DA" w:rsidRPr="001E5D32">
        <w:rPr>
          <w:rFonts w:ascii="Book Antiqua" w:hAnsi="Book Antiqua"/>
          <w:sz w:val="24"/>
        </w:rPr>
        <w:t xml:space="preserve">subject to </w:t>
      </w:r>
      <w:r w:rsidRPr="001E5D32">
        <w:rPr>
          <w:rFonts w:ascii="Book Antiqua" w:hAnsi="Book Antiqua"/>
          <w:sz w:val="24"/>
        </w:rPr>
        <w:t xml:space="preserve">sampling error </w:t>
      </w:r>
      <w:r w:rsidR="00644412" w:rsidRPr="001E5D32">
        <w:rPr>
          <w:rFonts w:ascii="Book Antiqua" w:hAnsi="Book Antiqua"/>
          <w:sz w:val="24"/>
        </w:rPr>
        <w:t>and intra- as well as inter-</w:t>
      </w:r>
      <w:r w:rsidRPr="001E5D32">
        <w:rPr>
          <w:rFonts w:ascii="Book Antiqua" w:hAnsi="Book Antiqua"/>
          <w:sz w:val="24"/>
        </w:rPr>
        <w:t>observer variability in interpretation</w:t>
      </w:r>
      <w:r w:rsidR="002C4BCE" w:rsidRPr="001E5D32">
        <w:rPr>
          <w:rFonts w:ascii="Book Antiqua" w:hAnsi="Book Antiqua"/>
          <w:sz w:val="24"/>
        </w:rPr>
        <w:t>, and does not adequately reflect</w:t>
      </w:r>
      <w:r w:rsidRPr="001E5D32">
        <w:rPr>
          <w:rFonts w:ascii="Book Antiqua" w:hAnsi="Book Antiqua"/>
          <w:sz w:val="24"/>
        </w:rPr>
        <w:t xml:space="preserve"> dynamic changes in</w:t>
      </w:r>
      <w:r w:rsidR="00EE31DA" w:rsidRPr="001E5D32">
        <w:rPr>
          <w:rFonts w:ascii="Book Antiqua" w:hAnsi="Book Antiqua"/>
          <w:sz w:val="24"/>
        </w:rPr>
        <w:t xml:space="preserve"> disease severity</w:t>
      </w:r>
      <w:r w:rsidRPr="001E5D32">
        <w:rPr>
          <w:rFonts w:ascii="Book Antiqua" w:hAnsi="Book Antiqua"/>
          <w:sz w:val="24"/>
        </w:rPr>
        <w:t xml:space="preserve"> over time. </w:t>
      </w:r>
      <w:r w:rsidR="00EE31DA" w:rsidRPr="001E5D32">
        <w:rPr>
          <w:rFonts w:ascii="Book Antiqua" w:hAnsi="Book Antiqua"/>
          <w:sz w:val="24"/>
        </w:rPr>
        <w:t>Given its restricted availability in resource-limited settings, compounded by the high overall preva</w:t>
      </w:r>
      <w:r w:rsidR="00BA50DE" w:rsidRPr="001E5D32">
        <w:rPr>
          <w:rFonts w:ascii="Book Antiqua" w:hAnsi="Book Antiqua"/>
          <w:sz w:val="24"/>
        </w:rPr>
        <w:t xml:space="preserve">lence of NAFLD, liver biopsy may </w:t>
      </w:r>
      <w:r w:rsidR="00EE31DA" w:rsidRPr="001E5D32">
        <w:rPr>
          <w:rFonts w:ascii="Book Antiqua" w:hAnsi="Book Antiqua"/>
          <w:sz w:val="24"/>
        </w:rPr>
        <w:t>not always</w:t>
      </w:r>
      <w:r w:rsidR="00BA50DE" w:rsidRPr="001E5D32">
        <w:rPr>
          <w:rFonts w:ascii="Book Antiqua" w:hAnsi="Book Antiqua"/>
          <w:sz w:val="24"/>
        </w:rPr>
        <w:t xml:space="preserve"> be</w:t>
      </w:r>
      <w:r w:rsidR="00EE31DA" w:rsidRPr="001E5D32">
        <w:rPr>
          <w:rFonts w:ascii="Book Antiqua" w:hAnsi="Book Antiqua"/>
          <w:sz w:val="24"/>
        </w:rPr>
        <w:t xml:space="preserve"> logistically</w:t>
      </w:r>
      <w:r w:rsidRPr="001E5D32">
        <w:rPr>
          <w:rFonts w:ascii="Book Antiqua" w:hAnsi="Book Antiqua"/>
          <w:sz w:val="24"/>
        </w:rPr>
        <w:t xml:space="preserve"> feasible in </w:t>
      </w:r>
      <w:r w:rsidR="00EE31DA" w:rsidRPr="001E5D32">
        <w:rPr>
          <w:rFonts w:ascii="Book Antiqua" w:hAnsi="Book Antiqua"/>
          <w:sz w:val="24"/>
        </w:rPr>
        <w:t>the developing world</w:t>
      </w:r>
      <w:r w:rsidR="002C4BCE" w:rsidRPr="001E5D32">
        <w:rPr>
          <w:rFonts w:ascii="Book Antiqua" w:hAnsi="Book Antiqua"/>
          <w:sz w:val="24"/>
          <w:vertAlign w:val="superscript"/>
        </w:rPr>
        <w:t>[10]</w:t>
      </w:r>
      <w:r w:rsidR="002C4BCE" w:rsidRPr="001E5D32">
        <w:rPr>
          <w:rFonts w:ascii="Book Antiqua" w:hAnsi="Book Antiqua"/>
          <w:sz w:val="24"/>
        </w:rPr>
        <w:t>.</w:t>
      </w:r>
      <w:r w:rsidRPr="001E5D32">
        <w:rPr>
          <w:rFonts w:ascii="Book Antiqua" w:hAnsi="Book Antiqua"/>
          <w:sz w:val="24"/>
        </w:rPr>
        <w:t xml:space="preserve"> </w:t>
      </w:r>
    </w:p>
    <w:p w14:paraId="59D8186C" w14:textId="31C81D12" w:rsidR="003602E5" w:rsidRPr="001E5D32" w:rsidRDefault="0076039C" w:rsidP="001E5D32">
      <w:pPr>
        <w:spacing w:line="360" w:lineRule="auto"/>
        <w:ind w:firstLineChars="200" w:firstLine="480"/>
        <w:rPr>
          <w:rFonts w:ascii="Book Antiqua" w:hAnsi="Book Antiqua"/>
          <w:sz w:val="24"/>
        </w:rPr>
      </w:pPr>
      <w:r w:rsidRPr="001E5D32">
        <w:rPr>
          <w:rFonts w:ascii="Book Antiqua" w:hAnsi="Book Antiqua"/>
          <w:sz w:val="24"/>
        </w:rPr>
        <w:t xml:space="preserve">An appreciation for the abovementioned </w:t>
      </w:r>
      <w:r w:rsidR="00EE394D" w:rsidRPr="001E5D32">
        <w:rPr>
          <w:rFonts w:ascii="Book Antiqua" w:hAnsi="Book Antiqua"/>
          <w:sz w:val="24"/>
        </w:rPr>
        <w:t>shortcomings creates</w:t>
      </w:r>
      <w:r w:rsidR="00184F7C" w:rsidRPr="001E5D32">
        <w:rPr>
          <w:rFonts w:ascii="Book Antiqua" w:hAnsi="Book Antiqua"/>
          <w:sz w:val="24"/>
        </w:rPr>
        <w:t xml:space="preserve"> an incentive to develop and validate robust and cost-effective</w:t>
      </w:r>
      <w:r w:rsidR="00637570" w:rsidRPr="001E5D32">
        <w:rPr>
          <w:rFonts w:ascii="Book Antiqua" w:hAnsi="Book Antiqua"/>
          <w:sz w:val="24"/>
        </w:rPr>
        <w:t xml:space="preserve"> risk classification</w:t>
      </w:r>
      <w:r w:rsidR="00184F7C" w:rsidRPr="001E5D32">
        <w:rPr>
          <w:rFonts w:ascii="Book Antiqua" w:hAnsi="Book Antiqua"/>
          <w:sz w:val="24"/>
        </w:rPr>
        <w:t xml:space="preserve"> tools as potentially via</w:t>
      </w:r>
      <w:r w:rsidR="00EE31DA" w:rsidRPr="001E5D32">
        <w:rPr>
          <w:rFonts w:ascii="Book Antiqua" w:hAnsi="Book Antiqua"/>
          <w:sz w:val="24"/>
        </w:rPr>
        <w:t>ble alternatives</w:t>
      </w:r>
      <w:r w:rsidR="00184F7C" w:rsidRPr="001E5D32">
        <w:rPr>
          <w:rFonts w:ascii="Book Antiqua" w:hAnsi="Book Antiqua"/>
          <w:sz w:val="24"/>
        </w:rPr>
        <w:t xml:space="preserve">. Growing insight into the molecular and genetic mechanisms underlying </w:t>
      </w:r>
      <w:r w:rsidR="00EE394D" w:rsidRPr="001E5D32">
        <w:rPr>
          <w:rFonts w:ascii="Book Antiqua" w:hAnsi="Book Antiqua"/>
          <w:sz w:val="24"/>
        </w:rPr>
        <w:t xml:space="preserve">the </w:t>
      </w:r>
      <w:r w:rsidR="00EE31DA" w:rsidRPr="001E5D32">
        <w:rPr>
          <w:rFonts w:ascii="Book Antiqua" w:hAnsi="Book Antiqua"/>
          <w:sz w:val="24"/>
        </w:rPr>
        <w:t>development and pathogenic</w:t>
      </w:r>
      <w:r w:rsidR="00EE394D" w:rsidRPr="001E5D32">
        <w:rPr>
          <w:rFonts w:ascii="Book Antiqua" w:hAnsi="Book Antiqua"/>
          <w:sz w:val="24"/>
        </w:rPr>
        <w:t xml:space="preserve"> progression of NAFLD </w:t>
      </w:r>
      <w:r w:rsidR="00644412" w:rsidRPr="001E5D32">
        <w:rPr>
          <w:rFonts w:ascii="Book Antiqua" w:hAnsi="Book Antiqua"/>
          <w:sz w:val="24"/>
        </w:rPr>
        <w:t>h</w:t>
      </w:r>
      <w:r w:rsidR="00EE394D" w:rsidRPr="001E5D32">
        <w:rPr>
          <w:rFonts w:ascii="Book Antiqua" w:hAnsi="Book Antiqua"/>
          <w:sz w:val="24"/>
        </w:rPr>
        <w:t>as</w:t>
      </w:r>
      <w:r w:rsidR="00EE31DA" w:rsidRPr="001E5D32">
        <w:rPr>
          <w:rFonts w:ascii="Book Antiqua" w:hAnsi="Book Antiqua"/>
          <w:sz w:val="24"/>
        </w:rPr>
        <w:t xml:space="preserve"> </w:t>
      </w:r>
      <w:r w:rsidR="00184F7C" w:rsidRPr="001E5D32">
        <w:rPr>
          <w:rFonts w:ascii="Book Antiqua" w:hAnsi="Book Antiqua"/>
          <w:sz w:val="24"/>
        </w:rPr>
        <w:t xml:space="preserve">led to the identification of novel </w:t>
      </w:r>
      <w:r w:rsidR="00BA50DE" w:rsidRPr="001E5D32">
        <w:rPr>
          <w:rFonts w:ascii="Book Antiqua" w:hAnsi="Book Antiqua"/>
          <w:sz w:val="24"/>
        </w:rPr>
        <w:t>peripheral</w:t>
      </w:r>
      <w:r w:rsidR="00184F7C" w:rsidRPr="001E5D32">
        <w:rPr>
          <w:rFonts w:ascii="Book Antiqua" w:hAnsi="Book Antiqua"/>
          <w:sz w:val="24"/>
        </w:rPr>
        <w:t xml:space="preserve"> </w:t>
      </w:r>
      <w:r w:rsidR="00BA50DE" w:rsidRPr="001E5D32">
        <w:rPr>
          <w:rFonts w:ascii="Book Antiqua" w:hAnsi="Book Antiqua"/>
          <w:sz w:val="24"/>
        </w:rPr>
        <w:t>bio</w:t>
      </w:r>
      <w:r w:rsidR="00184F7C" w:rsidRPr="001E5D32">
        <w:rPr>
          <w:rFonts w:ascii="Book Antiqua" w:hAnsi="Book Antiqua"/>
          <w:sz w:val="24"/>
        </w:rPr>
        <w:t xml:space="preserve">markers (Table 1) allowing for the </w:t>
      </w:r>
      <w:r w:rsidR="00BA50DE" w:rsidRPr="001E5D32">
        <w:rPr>
          <w:rFonts w:ascii="Book Antiqua" w:hAnsi="Book Antiqua"/>
          <w:sz w:val="24"/>
        </w:rPr>
        <w:t>non-invasive</w:t>
      </w:r>
      <w:r w:rsidR="00EE31DA" w:rsidRPr="001E5D32">
        <w:rPr>
          <w:rFonts w:ascii="Book Antiqua" w:hAnsi="Book Antiqua"/>
          <w:sz w:val="24"/>
        </w:rPr>
        <w:t xml:space="preserve"> assessment of</w:t>
      </w:r>
      <w:r w:rsidR="00184F7C" w:rsidRPr="001E5D32">
        <w:rPr>
          <w:rFonts w:ascii="Book Antiqua" w:hAnsi="Book Antiqua"/>
          <w:sz w:val="24"/>
        </w:rPr>
        <w:t xml:space="preserve"> underlying hepatic injury. </w:t>
      </w:r>
      <w:r w:rsidR="00EE394D" w:rsidRPr="001E5D32">
        <w:rPr>
          <w:rFonts w:ascii="Book Antiqua" w:hAnsi="Book Antiqua"/>
          <w:sz w:val="24"/>
        </w:rPr>
        <w:t>The</w:t>
      </w:r>
      <w:r w:rsidR="00BA50DE" w:rsidRPr="001E5D32">
        <w:rPr>
          <w:rFonts w:ascii="Book Antiqua" w:hAnsi="Book Antiqua"/>
          <w:sz w:val="24"/>
        </w:rPr>
        <w:t xml:space="preserve"> recognition that individual risk markers have insufficient discriminatory power and limited clinical utility in stratifying patients into meaningful prognostic subgroups </w:t>
      </w:r>
      <w:r w:rsidR="00EE394D" w:rsidRPr="001E5D32">
        <w:rPr>
          <w:rFonts w:ascii="Book Antiqua" w:hAnsi="Book Antiqua"/>
          <w:sz w:val="24"/>
        </w:rPr>
        <w:t>has led to the</w:t>
      </w:r>
      <w:r w:rsidR="00BA50DE" w:rsidRPr="001E5D32">
        <w:rPr>
          <w:rFonts w:ascii="Book Antiqua" w:hAnsi="Book Antiqua"/>
          <w:sz w:val="24"/>
        </w:rPr>
        <w:t xml:space="preserve"> development and validation of </w:t>
      </w:r>
      <w:r w:rsidR="00184F7C" w:rsidRPr="001E5D32">
        <w:rPr>
          <w:rFonts w:ascii="Book Antiqua" w:hAnsi="Book Antiqua"/>
          <w:sz w:val="24"/>
        </w:rPr>
        <w:t xml:space="preserve">composite diagnostic and predictive models </w:t>
      </w:r>
      <w:r w:rsidR="00BA50DE" w:rsidRPr="001E5D32">
        <w:rPr>
          <w:rFonts w:ascii="Book Antiqua" w:hAnsi="Book Antiqua"/>
          <w:sz w:val="24"/>
        </w:rPr>
        <w:t>as potentially viable</w:t>
      </w:r>
      <w:r w:rsidR="00EE394D" w:rsidRPr="001E5D32">
        <w:rPr>
          <w:rFonts w:ascii="Book Antiqua" w:hAnsi="Book Antiqua"/>
          <w:sz w:val="24"/>
        </w:rPr>
        <w:t xml:space="preserve"> </w:t>
      </w:r>
      <w:r w:rsidR="00637570" w:rsidRPr="001E5D32">
        <w:rPr>
          <w:rFonts w:ascii="Book Antiqua" w:hAnsi="Book Antiqua"/>
          <w:sz w:val="24"/>
        </w:rPr>
        <w:t>alternatives</w:t>
      </w:r>
      <w:r w:rsidR="003602E5" w:rsidRPr="001E5D32">
        <w:rPr>
          <w:rFonts w:ascii="Book Antiqua" w:hAnsi="Book Antiqua"/>
          <w:sz w:val="24"/>
          <w:vertAlign w:val="superscript"/>
        </w:rPr>
        <w:t>[17-20]</w:t>
      </w:r>
      <w:r w:rsidR="003602E5" w:rsidRPr="001E5D32">
        <w:rPr>
          <w:rFonts w:ascii="Book Antiqua" w:hAnsi="Book Antiqua"/>
          <w:sz w:val="24"/>
        </w:rPr>
        <w:t>.</w:t>
      </w:r>
    </w:p>
    <w:p w14:paraId="418859BD" w14:textId="004339B8" w:rsidR="00184F7C" w:rsidRPr="001E5D32" w:rsidRDefault="00C5467B" w:rsidP="001E5D32">
      <w:pPr>
        <w:spacing w:line="360" w:lineRule="auto"/>
        <w:ind w:firstLineChars="200" w:firstLine="480"/>
        <w:rPr>
          <w:rFonts w:ascii="Book Antiqua" w:hAnsi="Book Antiqua"/>
          <w:sz w:val="24"/>
        </w:rPr>
      </w:pPr>
      <w:r w:rsidRPr="001E5D32">
        <w:rPr>
          <w:rFonts w:ascii="Book Antiqua" w:hAnsi="Book Antiqua"/>
          <w:sz w:val="24"/>
        </w:rPr>
        <w:t xml:space="preserve">A growing number of complex and often patented </w:t>
      </w:r>
      <w:r w:rsidR="00BA50DE" w:rsidRPr="001E5D32">
        <w:rPr>
          <w:rFonts w:ascii="Book Antiqua" w:hAnsi="Book Antiqua"/>
          <w:sz w:val="24"/>
        </w:rPr>
        <w:t>biomarker</w:t>
      </w:r>
      <w:r w:rsidRPr="001E5D32">
        <w:rPr>
          <w:rFonts w:ascii="Book Antiqua" w:hAnsi="Book Antiqua"/>
          <w:sz w:val="24"/>
        </w:rPr>
        <w:t xml:space="preserve"> panels </w:t>
      </w:r>
      <w:r w:rsidR="00BA50DE" w:rsidRPr="001E5D32">
        <w:rPr>
          <w:rFonts w:ascii="Book Antiqua" w:hAnsi="Book Antiqua"/>
          <w:sz w:val="24"/>
        </w:rPr>
        <w:t xml:space="preserve">and risk classification schemes </w:t>
      </w:r>
      <w:r w:rsidRPr="001E5D32">
        <w:rPr>
          <w:rFonts w:ascii="Book Antiqua" w:hAnsi="Book Antiqua"/>
          <w:sz w:val="24"/>
        </w:rPr>
        <w:t xml:space="preserve">have recently entered the clinical domain. Their use is however not always applicable in resource-limited settings. In the present article, we provide an overview of non-invasive composite models used to </w:t>
      </w:r>
      <w:r w:rsidR="00195906" w:rsidRPr="001E5D32">
        <w:rPr>
          <w:rFonts w:ascii="Book Antiqua" w:hAnsi="Book Antiqua" w:hint="eastAsia"/>
          <w:sz w:val="24"/>
        </w:rPr>
        <w:t>(</w:t>
      </w:r>
      <w:r w:rsidRPr="001E5D32">
        <w:rPr>
          <w:rFonts w:ascii="Book Antiqua" w:hAnsi="Book Antiqua"/>
          <w:sz w:val="24"/>
        </w:rPr>
        <w:t>1)</w:t>
      </w:r>
      <w:r w:rsidR="00BA50DE" w:rsidRPr="001E5D32">
        <w:rPr>
          <w:rFonts w:ascii="Book Antiqua" w:hAnsi="Book Antiqua"/>
          <w:sz w:val="24"/>
        </w:rPr>
        <w:t xml:space="preserve"> confirm the presence</w:t>
      </w:r>
      <w:r w:rsidR="00195906" w:rsidRPr="001E5D32">
        <w:rPr>
          <w:rFonts w:ascii="Book Antiqua" w:hAnsi="Book Antiqua"/>
          <w:sz w:val="24"/>
        </w:rPr>
        <w:t xml:space="preserve"> of undiagnosed hepatosteatosis</w:t>
      </w:r>
      <w:r w:rsidR="00195906" w:rsidRPr="001E5D32">
        <w:rPr>
          <w:rFonts w:ascii="Book Antiqua" w:hAnsi="Book Antiqua" w:hint="eastAsia"/>
          <w:sz w:val="24"/>
        </w:rPr>
        <w:t>;</w:t>
      </w:r>
      <w:r w:rsidRPr="001E5D32">
        <w:rPr>
          <w:rFonts w:ascii="Book Antiqua" w:hAnsi="Book Antiqua"/>
          <w:sz w:val="24"/>
        </w:rPr>
        <w:t xml:space="preserve"> </w:t>
      </w:r>
      <w:r w:rsidR="00195906" w:rsidRPr="001E5D32">
        <w:rPr>
          <w:rFonts w:ascii="Book Antiqua" w:hAnsi="Book Antiqua" w:hint="eastAsia"/>
          <w:sz w:val="24"/>
        </w:rPr>
        <w:t>(</w:t>
      </w:r>
      <w:r w:rsidRPr="001E5D32">
        <w:rPr>
          <w:rFonts w:ascii="Book Antiqua" w:hAnsi="Book Antiqua"/>
          <w:sz w:val="24"/>
        </w:rPr>
        <w:t>2) differentiate between simple fatty liver and NASH</w:t>
      </w:r>
      <w:r w:rsidR="00195906" w:rsidRPr="001E5D32">
        <w:rPr>
          <w:rFonts w:ascii="Book Antiqua" w:hAnsi="Book Antiqua" w:hint="eastAsia"/>
          <w:sz w:val="24"/>
        </w:rPr>
        <w:t>;</w:t>
      </w:r>
      <w:r w:rsidRPr="001E5D32">
        <w:rPr>
          <w:rFonts w:ascii="Book Antiqua" w:hAnsi="Book Antiqua"/>
          <w:sz w:val="24"/>
        </w:rPr>
        <w:t xml:space="preserve"> </w:t>
      </w:r>
      <w:r w:rsidR="00BA50DE" w:rsidRPr="001E5D32">
        <w:rPr>
          <w:rFonts w:ascii="Book Antiqua" w:hAnsi="Book Antiqua"/>
          <w:sz w:val="24"/>
        </w:rPr>
        <w:t xml:space="preserve">and </w:t>
      </w:r>
      <w:r w:rsidR="00195906" w:rsidRPr="001E5D32">
        <w:rPr>
          <w:rFonts w:ascii="Book Antiqua" w:hAnsi="Book Antiqua" w:hint="eastAsia"/>
          <w:sz w:val="24"/>
        </w:rPr>
        <w:t>(</w:t>
      </w:r>
      <w:r w:rsidR="00BA50DE" w:rsidRPr="001E5D32">
        <w:rPr>
          <w:rFonts w:ascii="Book Antiqua" w:hAnsi="Book Antiqua"/>
          <w:sz w:val="24"/>
        </w:rPr>
        <w:t>3</w:t>
      </w:r>
      <w:r w:rsidRPr="001E5D32">
        <w:rPr>
          <w:rFonts w:ascii="Book Antiqua" w:hAnsi="Book Antiqua"/>
          <w:sz w:val="24"/>
        </w:rPr>
        <w:t>) predict advanced hepatic fibrosis, with particular emphasis on the relationship between histological severity and cardio-metabolic r</w:t>
      </w:r>
      <w:r w:rsidR="0076039C" w:rsidRPr="001E5D32">
        <w:rPr>
          <w:rFonts w:ascii="Book Antiqua" w:hAnsi="Book Antiqua"/>
          <w:sz w:val="24"/>
        </w:rPr>
        <w:t xml:space="preserve">isk. The </w:t>
      </w:r>
      <w:r w:rsidRPr="001E5D32">
        <w:rPr>
          <w:rFonts w:ascii="Book Antiqua" w:hAnsi="Book Antiqua"/>
          <w:sz w:val="24"/>
        </w:rPr>
        <w:t>advantages and shortcomings</w:t>
      </w:r>
      <w:r w:rsidR="0076039C" w:rsidRPr="001E5D32">
        <w:rPr>
          <w:rFonts w:ascii="Book Antiqua" w:hAnsi="Book Antiqua"/>
          <w:sz w:val="24"/>
        </w:rPr>
        <w:t xml:space="preserve"> of these models</w:t>
      </w:r>
      <w:r w:rsidRPr="001E5D32">
        <w:rPr>
          <w:rFonts w:ascii="Book Antiqua" w:hAnsi="Book Antiqua"/>
          <w:sz w:val="24"/>
        </w:rPr>
        <w:t xml:space="preserve"> are discussed in relation to the potential added value of emerging genomic applications as a means of improving their performance, </w:t>
      </w:r>
      <w:r w:rsidR="0076039C" w:rsidRPr="001E5D32">
        <w:rPr>
          <w:rFonts w:ascii="Book Antiqua" w:hAnsi="Book Antiqua"/>
          <w:sz w:val="24"/>
        </w:rPr>
        <w:t>weighed against the reality of its</w:t>
      </w:r>
      <w:r w:rsidRPr="001E5D32">
        <w:rPr>
          <w:rFonts w:ascii="Book Antiqua" w:hAnsi="Book Antiqua"/>
          <w:sz w:val="24"/>
        </w:rPr>
        <w:t xml:space="preserve"> implementation. In conclusion, suggestions are provided as to how ongoing research may confirm their clinical utility as robust and cost-effective population-based screening tools used to facilitate prognostication, assist</w:t>
      </w:r>
      <w:r w:rsidR="0076039C" w:rsidRPr="001E5D32">
        <w:rPr>
          <w:rFonts w:ascii="Book Antiqua" w:hAnsi="Book Antiqua"/>
          <w:sz w:val="24"/>
        </w:rPr>
        <w:t xml:space="preserve"> in</w:t>
      </w:r>
      <w:r w:rsidRPr="001E5D32">
        <w:rPr>
          <w:rFonts w:ascii="Book Antiqua" w:hAnsi="Book Antiqua"/>
          <w:sz w:val="24"/>
        </w:rPr>
        <w:t xml:space="preserve"> the selection of appropriate treatment and intervention strategies, predict adverse clinical outcomes, and ultimately allow for the more goal-directed use of liver biopsy in developing nations.</w:t>
      </w:r>
    </w:p>
    <w:p w14:paraId="2E09FBD8" w14:textId="77777777" w:rsidR="00195906" w:rsidRPr="001E5D32" w:rsidRDefault="00195906" w:rsidP="001E5D32">
      <w:pPr>
        <w:spacing w:line="360" w:lineRule="auto"/>
        <w:ind w:firstLineChars="200" w:firstLine="480"/>
        <w:rPr>
          <w:rFonts w:ascii="Book Antiqua" w:hAnsi="Book Antiqua"/>
          <w:sz w:val="24"/>
        </w:rPr>
      </w:pPr>
    </w:p>
    <w:p w14:paraId="26E76E18" w14:textId="77777777" w:rsidR="002D0CF8" w:rsidRPr="001E5D32" w:rsidRDefault="002D0CF8" w:rsidP="001E5D32">
      <w:pPr>
        <w:spacing w:line="360" w:lineRule="auto"/>
        <w:rPr>
          <w:rFonts w:ascii="Book Antiqua" w:hAnsi="Book Antiqua"/>
          <w:b/>
          <w:sz w:val="24"/>
        </w:rPr>
      </w:pPr>
      <w:r w:rsidRPr="001E5D32">
        <w:rPr>
          <w:rFonts w:ascii="Book Antiqua" w:hAnsi="Book Antiqua"/>
          <w:b/>
          <w:sz w:val="24"/>
        </w:rPr>
        <w:t>COMPOSITE DIAGNOSTIC MODELS FOR HEPATIC STEATOSIS</w:t>
      </w:r>
    </w:p>
    <w:p w14:paraId="0E69BE59" w14:textId="465958CA" w:rsidR="00644412" w:rsidRPr="001E5D32" w:rsidRDefault="00184F7C" w:rsidP="001E5D32">
      <w:pPr>
        <w:spacing w:line="360" w:lineRule="auto"/>
        <w:rPr>
          <w:rFonts w:ascii="Book Antiqua" w:hAnsi="Book Antiqua"/>
          <w:sz w:val="24"/>
        </w:rPr>
      </w:pPr>
      <w:r w:rsidRPr="001E5D32">
        <w:rPr>
          <w:rFonts w:ascii="Book Antiqua" w:hAnsi="Book Antiqua"/>
          <w:sz w:val="24"/>
        </w:rPr>
        <w:t>Intra-hepatocyte accumulation of neutral triglycerides in excess of 5% of liver mass is the defining pathological feature of NAFLD. Once considered a “first hit” mechanism underlying its etiology, this is now rather thought to protect against oxidative stress driven by increased intra-hepatic free fatty acid (FFA) flux arising in the context of visceral adiposity and insulin resistance (IR) as components of the metaboli</w:t>
      </w:r>
      <w:r w:rsidR="001C7B8E" w:rsidRPr="001E5D32">
        <w:rPr>
          <w:rFonts w:ascii="Book Antiqua" w:hAnsi="Book Antiqua"/>
          <w:sz w:val="24"/>
        </w:rPr>
        <w:t>c syndrome</w:t>
      </w:r>
      <w:r w:rsidR="0094144C" w:rsidRPr="001E5D32">
        <w:rPr>
          <w:rFonts w:ascii="Book Antiqua" w:hAnsi="Book Antiqua"/>
          <w:sz w:val="24"/>
          <w:vertAlign w:val="superscript"/>
        </w:rPr>
        <w:t>[21]</w:t>
      </w:r>
      <w:r w:rsidR="0094144C" w:rsidRPr="001E5D32">
        <w:rPr>
          <w:rFonts w:ascii="Book Antiqua" w:hAnsi="Book Antiqua"/>
          <w:sz w:val="24"/>
        </w:rPr>
        <w:t>.</w:t>
      </w:r>
      <w:r w:rsidRPr="001E5D32">
        <w:rPr>
          <w:rFonts w:ascii="Book Antiqua" w:hAnsi="Book Antiqua"/>
          <w:sz w:val="24"/>
        </w:rPr>
        <w:t xml:space="preserve"> Alanine (ALT) and aspartate aminotransferase (AST) levels are commonly elevated in patients with this condition, and increased ALT reliably predicts the development of adverse cardiac events and ca</w:t>
      </w:r>
      <w:r w:rsidR="001C7B8E" w:rsidRPr="001E5D32">
        <w:rPr>
          <w:rFonts w:ascii="Book Antiqua" w:hAnsi="Book Antiqua"/>
          <w:sz w:val="24"/>
        </w:rPr>
        <w:t>rdiovascular mortality</w:t>
      </w:r>
      <w:r w:rsidR="0094144C" w:rsidRPr="001E5D32">
        <w:rPr>
          <w:rFonts w:ascii="Book Antiqua" w:hAnsi="Book Antiqua"/>
          <w:sz w:val="24"/>
          <w:vertAlign w:val="superscript"/>
        </w:rPr>
        <w:t>[22,23]</w:t>
      </w:r>
      <w:r w:rsidRPr="001E5D32">
        <w:rPr>
          <w:rFonts w:ascii="Book Antiqua" w:hAnsi="Book Antiqua"/>
          <w:sz w:val="24"/>
        </w:rPr>
        <w:t>. Although used to determine eligibility for further diagnostic work-up and imaging, liver enzymes may however remain normal in up to 80% of NAF</w:t>
      </w:r>
      <w:r w:rsidR="008A5055" w:rsidRPr="001E5D32">
        <w:rPr>
          <w:rFonts w:ascii="Book Antiqua" w:hAnsi="Book Antiqua"/>
          <w:sz w:val="24"/>
        </w:rPr>
        <w:t>LD cases</w:t>
      </w:r>
      <w:r w:rsidR="0094144C" w:rsidRPr="001E5D32">
        <w:rPr>
          <w:rFonts w:ascii="Book Antiqua" w:hAnsi="Book Antiqua"/>
          <w:sz w:val="24"/>
          <w:vertAlign w:val="superscript"/>
        </w:rPr>
        <w:t>[24]</w:t>
      </w:r>
      <w:r w:rsidR="001C7B8E" w:rsidRPr="001E5D32">
        <w:rPr>
          <w:rFonts w:ascii="Book Antiqua" w:hAnsi="Book Antiqua"/>
          <w:sz w:val="24"/>
        </w:rPr>
        <w:t xml:space="preserve">. </w:t>
      </w:r>
      <w:r w:rsidR="00156299" w:rsidRPr="001E5D32">
        <w:rPr>
          <w:rFonts w:ascii="Book Antiqua" w:hAnsi="Book Antiqua"/>
          <w:sz w:val="24"/>
        </w:rPr>
        <w:t xml:space="preserve">In addition, while elevated </w:t>
      </w:r>
      <w:r w:rsidRPr="001E5D32">
        <w:rPr>
          <w:rFonts w:ascii="Book Antiqua" w:hAnsi="Book Antiqua"/>
          <w:sz w:val="24"/>
        </w:rPr>
        <w:t xml:space="preserve">gamma glutamyl-transferase (GGT) has greater specificity for hepatosteatosis and is a sensitive marker for </w:t>
      </w:r>
      <w:r w:rsidR="00AF4156" w:rsidRPr="001E5D32">
        <w:rPr>
          <w:rFonts w:ascii="Book Antiqua" w:hAnsi="Book Antiqua"/>
          <w:sz w:val="24"/>
        </w:rPr>
        <w:t xml:space="preserve">early </w:t>
      </w:r>
      <w:r w:rsidRPr="001E5D32">
        <w:rPr>
          <w:rFonts w:ascii="Book Antiqua" w:hAnsi="Book Antiqua"/>
          <w:sz w:val="24"/>
        </w:rPr>
        <w:t xml:space="preserve">IR, </w:t>
      </w:r>
      <w:r w:rsidR="00156299" w:rsidRPr="001E5D32">
        <w:rPr>
          <w:rFonts w:ascii="Book Antiqua" w:hAnsi="Book Antiqua"/>
          <w:sz w:val="24"/>
        </w:rPr>
        <w:t xml:space="preserve">it is appreciated that </w:t>
      </w:r>
      <w:r w:rsidRPr="001E5D32">
        <w:rPr>
          <w:rFonts w:ascii="Book Antiqua" w:hAnsi="Book Antiqua"/>
          <w:sz w:val="24"/>
        </w:rPr>
        <w:t xml:space="preserve">no single biochemical test is considered ideal for confirming a suspected diagnosis of NAFLD. </w:t>
      </w:r>
    </w:p>
    <w:p w14:paraId="2738A671" w14:textId="7A8E303C" w:rsidR="00644412" w:rsidRPr="001E5D32" w:rsidRDefault="00184F7C" w:rsidP="001E5D32">
      <w:pPr>
        <w:spacing w:line="360" w:lineRule="auto"/>
        <w:ind w:firstLineChars="200" w:firstLine="480"/>
        <w:rPr>
          <w:rFonts w:ascii="Book Antiqua" w:hAnsi="Book Antiqua"/>
          <w:sz w:val="24"/>
        </w:rPr>
      </w:pPr>
      <w:r w:rsidRPr="001E5D32">
        <w:rPr>
          <w:rFonts w:ascii="Book Antiqua" w:hAnsi="Book Antiqua"/>
          <w:sz w:val="24"/>
        </w:rPr>
        <w:t xml:space="preserve">Imaging modalities such as ultrasonography (US) further have limited </w:t>
      </w:r>
      <w:r w:rsidR="00156299" w:rsidRPr="001E5D32">
        <w:rPr>
          <w:rFonts w:ascii="Book Antiqua" w:hAnsi="Book Antiqua"/>
          <w:sz w:val="24"/>
        </w:rPr>
        <w:t>diagnostic utility</w:t>
      </w:r>
      <w:r w:rsidRPr="001E5D32">
        <w:rPr>
          <w:rFonts w:ascii="Book Antiqua" w:hAnsi="Book Antiqua"/>
          <w:sz w:val="24"/>
        </w:rPr>
        <w:t xml:space="preserve"> in moderate steatosis, while the application of more complex technologies in resource-limited environments is </w:t>
      </w:r>
      <w:r w:rsidR="00156299" w:rsidRPr="001E5D32">
        <w:rPr>
          <w:rFonts w:ascii="Book Antiqua" w:hAnsi="Book Antiqua"/>
          <w:sz w:val="24"/>
        </w:rPr>
        <w:t xml:space="preserve">still largely </w:t>
      </w:r>
      <w:r w:rsidR="00644412" w:rsidRPr="001E5D32">
        <w:rPr>
          <w:rFonts w:ascii="Book Antiqua" w:hAnsi="Book Antiqua"/>
          <w:sz w:val="24"/>
        </w:rPr>
        <w:t xml:space="preserve">restricted by their expense. </w:t>
      </w:r>
      <w:r w:rsidRPr="001E5D32">
        <w:rPr>
          <w:rFonts w:ascii="Book Antiqua" w:hAnsi="Book Antiqua"/>
          <w:sz w:val="24"/>
        </w:rPr>
        <w:t>Whether routine screening for hepatic steatosis in high-risk asymptomatic patients is practical or cost-effective remains subject to debate, as the vast majority are likely to present with uncomplicated and non-progressive disease. Its identification is however of significant clinical relevance, since even uncomplicated fatty liver, once regarded as relatively benign and showing a favorable prognosis, is associated with increased risk for overall and liver-related</w:t>
      </w:r>
      <w:r w:rsidR="0094144C" w:rsidRPr="001E5D32">
        <w:rPr>
          <w:rFonts w:ascii="Book Antiqua" w:hAnsi="Book Antiqua"/>
          <w:sz w:val="24"/>
        </w:rPr>
        <w:t xml:space="preserve"> mo</w:t>
      </w:r>
      <w:r w:rsidR="001C7B8E" w:rsidRPr="001E5D32">
        <w:rPr>
          <w:rFonts w:ascii="Book Antiqua" w:hAnsi="Book Antiqua"/>
          <w:sz w:val="24"/>
        </w:rPr>
        <w:t>rtality</w:t>
      </w:r>
      <w:r w:rsidR="004E0A88" w:rsidRPr="001E5D32">
        <w:rPr>
          <w:rFonts w:ascii="Book Antiqua" w:hAnsi="Book Antiqua"/>
          <w:sz w:val="24"/>
          <w:vertAlign w:val="superscript"/>
        </w:rPr>
        <w:t>[25,26]</w:t>
      </w:r>
      <w:r w:rsidRPr="001E5D32">
        <w:rPr>
          <w:rFonts w:ascii="Book Antiqua" w:hAnsi="Book Antiqua"/>
          <w:sz w:val="24"/>
        </w:rPr>
        <w:t xml:space="preserve">. </w:t>
      </w:r>
    </w:p>
    <w:p w14:paraId="597798B1" w14:textId="570CD2D3" w:rsidR="00184F7C" w:rsidRPr="001E5D32" w:rsidRDefault="00184F7C" w:rsidP="001E5D32">
      <w:pPr>
        <w:spacing w:line="360" w:lineRule="auto"/>
        <w:ind w:firstLineChars="200" w:firstLine="480"/>
        <w:rPr>
          <w:rFonts w:ascii="Book Antiqua" w:hAnsi="Book Antiqua"/>
          <w:sz w:val="24"/>
        </w:rPr>
      </w:pPr>
      <w:r w:rsidRPr="001E5D32">
        <w:rPr>
          <w:rFonts w:ascii="Book Antiqua" w:hAnsi="Book Antiqua"/>
          <w:sz w:val="24"/>
        </w:rPr>
        <w:t>Emerging evidence suggests that hepatic steatosis independently predicts the development of new-onset ischemic heart disease as well as adverse cardiac events irrespective of traditiona</w:t>
      </w:r>
      <w:r w:rsidR="001C7B8E" w:rsidRPr="001E5D32">
        <w:rPr>
          <w:rFonts w:ascii="Book Antiqua" w:hAnsi="Book Antiqua"/>
          <w:sz w:val="24"/>
        </w:rPr>
        <w:t>l cardio-metabolic traits</w:t>
      </w:r>
      <w:r w:rsidR="004E0A88" w:rsidRPr="001E5D32">
        <w:rPr>
          <w:rFonts w:ascii="Book Antiqua" w:hAnsi="Book Antiqua"/>
          <w:sz w:val="24"/>
          <w:vertAlign w:val="superscript"/>
        </w:rPr>
        <w:t>[27,28]</w:t>
      </w:r>
      <w:r w:rsidRPr="001E5D32">
        <w:rPr>
          <w:rFonts w:ascii="Book Antiqua" w:hAnsi="Book Antiqua"/>
          <w:sz w:val="24"/>
        </w:rPr>
        <w:t xml:space="preserve">. </w:t>
      </w:r>
      <w:r w:rsidR="0076039C" w:rsidRPr="001E5D32">
        <w:rPr>
          <w:rFonts w:ascii="Book Antiqua" w:hAnsi="Book Antiqua"/>
          <w:sz w:val="24"/>
        </w:rPr>
        <w:t>The importance of hepatosteatosis as</w:t>
      </w:r>
      <w:r w:rsidRPr="001E5D32">
        <w:rPr>
          <w:rFonts w:ascii="Book Antiqua" w:hAnsi="Book Antiqua"/>
          <w:sz w:val="24"/>
        </w:rPr>
        <w:t xml:space="preserve"> predictor of adverse clinical outcomes and mortality in patients with established cardiovascular disease (CVD) however rema</w:t>
      </w:r>
      <w:r w:rsidR="004E0A88" w:rsidRPr="001E5D32">
        <w:rPr>
          <w:rFonts w:ascii="Book Antiqua" w:hAnsi="Book Antiqua"/>
          <w:sz w:val="24"/>
        </w:rPr>
        <w:t xml:space="preserve">ins </w:t>
      </w:r>
      <w:r w:rsidR="0070575E" w:rsidRPr="001E5D32">
        <w:rPr>
          <w:rFonts w:ascii="Book Antiqua" w:hAnsi="Book Antiqua"/>
          <w:sz w:val="24"/>
        </w:rPr>
        <w:t>uncertain</w:t>
      </w:r>
      <w:r w:rsidR="004E0A88" w:rsidRPr="001E5D32">
        <w:rPr>
          <w:rFonts w:ascii="Book Antiqua" w:hAnsi="Book Antiqua"/>
          <w:sz w:val="24"/>
          <w:vertAlign w:val="superscript"/>
        </w:rPr>
        <w:t>[29]</w:t>
      </w:r>
      <w:r w:rsidRPr="001E5D32">
        <w:rPr>
          <w:rFonts w:ascii="Book Antiqua" w:hAnsi="Book Antiqua"/>
          <w:sz w:val="24"/>
        </w:rPr>
        <w:t xml:space="preserve">. Results from prior investigation into the value of existing clinical stratification tools in estimating cardio-metabolic risk and predicting new-onset CVD in patients with the metabolic syndrome and/or NAFLD are </w:t>
      </w:r>
      <w:r w:rsidR="001C7B8E" w:rsidRPr="001E5D32">
        <w:rPr>
          <w:rFonts w:ascii="Book Antiqua" w:hAnsi="Book Antiqua"/>
          <w:sz w:val="24"/>
        </w:rPr>
        <w:t>conflicting</w:t>
      </w:r>
      <w:r w:rsidR="004E0A88" w:rsidRPr="001E5D32">
        <w:rPr>
          <w:rFonts w:ascii="Book Antiqua" w:hAnsi="Book Antiqua"/>
          <w:sz w:val="24"/>
          <w:vertAlign w:val="superscript"/>
        </w:rPr>
        <w:t>[30]</w:t>
      </w:r>
      <w:r w:rsidRPr="001E5D32">
        <w:rPr>
          <w:rFonts w:ascii="Book Antiqua" w:hAnsi="Book Antiqua"/>
          <w:sz w:val="24"/>
        </w:rPr>
        <w:t xml:space="preserve">. Multiple studies have </w:t>
      </w:r>
      <w:r w:rsidR="00E718C4" w:rsidRPr="001E5D32">
        <w:rPr>
          <w:rFonts w:ascii="Book Antiqua" w:hAnsi="Book Antiqua"/>
          <w:sz w:val="24"/>
        </w:rPr>
        <w:t xml:space="preserve">further </w:t>
      </w:r>
      <w:r w:rsidRPr="001E5D32">
        <w:rPr>
          <w:rFonts w:ascii="Book Antiqua" w:hAnsi="Book Antiqua"/>
          <w:sz w:val="24"/>
        </w:rPr>
        <w:t xml:space="preserve">reported positive correlations between </w:t>
      </w:r>
      <w:r w:rsidR="00537CA8" w:rsidRPr="001E5D32">
        <w:rPr>
          <w:rFonts w:ascii="Book Antiqua" w:hAnsi="Book Antiqua"/>
          <w:sz w:val="24"/>
        </w:rPr>
        <w:t>the severity</w:t>
      </w:r>
      <w:r w:rsidRPr="001E5D32">
        <w:rPr>
          <w:rFonts w:ascii="Book Antiqua" w:hAnsi="Book Antiqua"/>
          <w:sz w:val="24"/>
        </w:rPr>
        <w:t xml:space="preserve"> of hepatic steatosis and proportional derangements in several early markers of subclinical atherosclerotic burden</w:t>
      </w:r>
      <w:r w:rsidR="0029757F" w:rsidRPr="001E5D32">
        <w:rPr>
          <w:rFonts w:ascii="Book Antiqua" w:hAnsi="Book Antiqua"/>
          <w:sz w:val="24"/>
        </w:rPr>
        <w:t xml:space="preserve"> and cardiovascular risk</w:t>
      </w:r>
      <w:r w:rsidR="0085724C" w:rsidRPr="001E5D32">
        <w:rPr>
          <w:rFonts w:ascii="Book Antiqua" w:hAnsi="Book Antiqua"/>
          <w:sz w:val="24"/>
          <w:vertAlign w:val="superscript"/>
        </w:rPr>
        <w:t>[31-33]</w:t>
      </w:r>
      <w:r w:rsidR="001C7B8E" w:rsidRPr="001E5D32">
        <w:rPr>
          <w:rFonts w:ascii="Book Antiqua" w:hAnsi="Book Antiqua"/>
          <w:sz w:val="24"/>
          <w:vertAlign w:val="superscript"/>
        </w:rPr>
        <w:t xml:space="preserve"> </w:t>
      </w:r>
      <w:r w:rsidRPr="001E5D32">
        <w:rPr>
          <w:rFonts w:ascii="Book Antiqua" w:hAnsi="Book Antiqua"/>
          <w:sz w:val="24"/>
        </w:rPr>
        <w:t xml:space="preserve">. Composite scoring systems validated against measures of steatosis severity may therefore prove useful as non-invasive tools in the diagnosis of NAFLD. </w:t>
      </w:r>
    </w:p>
    <w:p w14:paraId="43B5A3A1" w14:textId="6E01F0DA" w:rsidR="002D0CF8" w:rsidRPr="001E5D32" w:rsidRDefault="00184F7C" w:rsidP="001E5D32">
      <w:pPr>
        <w:spacing w:line="360" w:lineRule="auto"/>
        <w:ind w:firstLineChars="200" w:firstLine="480"/>
        <w:rPr>
          <w:rFonts w:ascii="Book Antiqua" w:hAnsi="Book Antiqua"/>
          <w:sz w:val="24"/>
        </w:rPr>
      </w:pPr>
      <w:r w:rsidRPr="001E5D32">
        <w:rPr>
          <w:rFonts w:ascii="Book Antiqua" w:hAnsi="Book Antiqua"/>
          <w:sz w:val="24"/>
        </w:rPr>
        <w:t xml:space="preserve">Several diagnostic models for hepatic steatosis have been developed to date. Anthropometric correlates for central obesity, fasting triglycerides and GGT levels are utilized </w:t>
      </w:r>
      <w:r w:rsidR="00644412" w:rsidRPr="001E5D32">
        <w:rPr>
          <w:rFonts w:ascii="Book Antiqua" w:hAnsi="Book Antiqua"/>
          <w:sz w:val="24"/>
        </w:rPr>
        <w:t xml:space="preserve">in the fatty liver index (FLI) </w:t>
      </w:r>
      <w:r w:rsidRPr="001E5D32">
        <w:rPr>
          <w:rFonts w:ascii="Book Antiqua" w:hAnsi="Book Antiqua"/>
          <w:sz w:val="24"/>
        </w:rPr>
        <w:t xml:space="preserve">commonly used in epidemiological studies, </w:t>
      </w:r>
      <w:r w:rsidR="00644412" w:rsidRPr="001E5D32">
        <w:rPr>
          <w:rFonts w:ascii="Book Antiqua" w:hAnsi="Book Antiqua"/>
          <w:sz w:val="24"/>
        </w:rPr>
        <w:t>which along with its</w:t>
      </w:r>
      <w:r w:rsidRPr="001E5D32">
        <w:rPr>
          <w:rFonts w:ascii="Book Antiqua" w:hAnsi="Book Antiqua"/>
          <w:sz w:val="24"/>
        </w:rPr>
        <w:t xml:space="preserve"> sex-specific derivative, the lipid accumulation pr</w:t>
      </w:r>
      <w:r w:rsidR="00644412" w:rsidRPr="001E5D32">
        <w:rPr>
          <w:rFonts w:ascii="Book Antiqua" w:hAnsi="Book Antiqua"/>
          <w:sz w:val="24"/>
        </w:rPr>
        <w:t xml:space="preserve">oduct (LAP), accurately predicts </w:t>
      </w:r>
      <w:r w:rsidRPr="001E5D32">
        <w:rPr>
          <w:rFonts w:ascii="Book Antiqua" w:hAnsi="Book Antiqua"/>
          <w:sz w:val="24"/>
        </w:rPr>
        <w:t xml:space="preserve">the presence of hepatic steatosis, and </w:t>
      </w:r>
      <w:r w:rsidR="00644412" w:rsidRPr="001E5D32">
        <w:rPr>
          <w:rFonts w:ascii="Book Antiqua" w:hAnsi="Book Antiqua"/>
          <w:sz w:val="24"/>
        </w:rPr>
        <w:t xml:space="preserve">could </w:t>
      </w:r>
      <w:r w:rsidRPr="001E5D32">
        <w:rPr>
          <w:rFonts w:ascii="Book Antiqua" w:hAnsi="Book Antiqua"/>
          <w:sz w:val="24"/>
        </w:rPr>
        <w:t>help clinicians identify patients at increased cardio-metabolic risk eligible for further diagnostic evaluation and for whom suitable lifestyle-based interventions may be indica</w:t>
      </w:r>
      <w:r w:rsidR="001C7B8E" w:rsidRPr="001E5D32">
        <w:rPr>
          <w:rFonts w:ascii="Book Antiqua" w:hAnsi="Book Antiqua"/>
          <w:sz w:val="24"/>
        </w:rPr>
        <w:t>ted</w:t>
      </w:r>
      <w:r w:rsidR="0085724C" w:rsidRPr="001E5D32">
        <w:rPr>
          <w:rFonts w:ascii="Book Antiqua" w:hAnsi="Book Antiqua"/>
          <w:sz w:val="24"/>
          <w:vertAlign w:val="superscript"/>
        </w:rPr>
        <w:t>[34-37]</w:t>
      </w:r>
      <w:r w:rsidRPr="001E5D32">
        <w:rPr>
          <w:rFonts w:ascii="Book Antiqua" w:hAnsi="Book Antiqua"/>
          <w:sz w:val="24"/>
        </w:rPr>
        <w:t xml:space="preserve">. Subsequently developed models such as the NAFLD liver </w:t>
      </w:r>
      <w:r w:rsidR="001C7B8E" w:rsidRPr="001E5D32">
        <w:rPr>
          <w:rFonts w:ascii="Book Antiqua" w:hAnsi="Book Antiqua"/>
          <w:sz w:val="24"/>
        </w:rPr>
        <w:t>fat score</w:t>
      </w:r>
      <w:r w:rsidR="000C252A" w:rsidRPr="001E5D32">
        <w:rPr>
          <w:rFonts w:ascii="Book Antiqua" w:hAnsi="Book Antiqua"/>
          <w:sz w:val="24"/>
          <w:vertAlign w:val="superscript"/>
        </w:rPr>
        <w:t>[38]</w:t>
      </w:r>
      <w:r w:rsidRPr="001E5D32">
        <w:rPr>
          <w:rFonts w:ascii="Book Antiqua" w:hAnsi="Book Antiqua"/>
          <w:sz w:val="24"/>
        </w:rPr>
        <w:t xml:space="preserve"> substitute GGT for the AST/ALT ratio (AAR) in additio</w:t>
      </w:r>
      <w:r w:rsidR="00445B0E" w:rsidRPr="001E5D32">
        <w:rPr>
          <w:rFonts w:ascii="Book Antiqua" w:hAnsi="Book Antiqua"/>
          <w:sz w:val="24"/>
        </w:rPr>
        <w:t xml:space="preserve">n to incorporating clinical </w:t>
      </w:r>
      <w:r w:rsidRPr="001E5D32">
        <w:rPr>
          <w:rFonts w:ascii="Book Antiqua" w:hAnsi="Book Antiqua"/>
          <w:sz w:val="24"/>
        </w:rPr>
        <w:t>or biochemical markers of IR. A particular advantage of recent panels is the ability to not only identify hepatic steatosis using a high cut-off value, but also reliably exclude it using a low c</w:t>
      </w:r>
      <w:r w:rsidR="001C7B8E" w:rsidRPr="001E5D32">
        <w:rPr>
          <w:rFonts w:ascii="Book Antiqua" w:hAnsi="Book Antiqua"/>
          <w:sz w:val="24"/>
        </w:rPr>
        <w:t>ut-off value</w:t>
      </w:r>
      <w:r w:rsidR="001C7B8E" w:rsidRPr="001E5D32">
        <w:rPr>
          <w:rFonts w:ascii="Book Antiqua" w:hAnsi="Book Antiqua"/>
          <w:sz w:val="24"/>
          <w:vertAlign w:val="superscript"/>
        </w:rPr>
        <w:t>[</w:t>
      </w:r>
      <w:r w:rsidR="000C252A" w:rsidRPr="001E5D32">
        <w:rPr>
          <w:rFonts w:ascii="Book Antiqua" w:hAnsi="Book Antiqua"/>
          <w:sz w:val="24"/>
          <w:vertAlign w:val="superscript"/>
        </w:rPr>
        <w:t>39,40]</w:t>
      </w:r>
      <w:r w:rsidRPr="001E5D32">
        <w:rPr>
          <w:rFonts w:ascii="Book Antiqua" w:hAnsi="Book Antiqua"/>
          <w:sz w:val="24"/>
        </w:rPr>
        <w:t>. The widespread clinical use of these models is currently restricted by their limited utility in quantifying steatosis severity in obese patients</w:t>
      </w:r>
      <w:r w:rsidR="00644412" w:rsidRPr="001E5D32">
        <w:rPr>
          <w:rFonts w:ascii="Book Antiqua" w:hAnsi="Book Antiqua"/>
          <w:sz w:val="24"/>
        </w:rPr>
        <w:t xml:space="preserve"> in addition to </w:t>
      </w:r>
      <w:r w:rsidR="00AA2921" w:rsidRPr="001E5D32">
        <w:rPr>
          <w:rFonts w:ascii="Book Antiqua" w:hAnsi="Book Antiqua"/>
          <w:sz w:val="24"/>
        </w:rPr>
        <w:t>not accurately predict</w:t>
      </w:r>
      <w:r w:rsidR="00644412" w:rsidRPr="001E5D32">
        <w:rPr>
          <w:rFonts w:ascii="Book Antiqua" w:hAnsi="Book Antiqua"/>
          <w:sz w:val="24"/>
        </w:rPr>
        <w:t>ing</w:t>
      </w:r>
      <w:r w:rsidR="00AA2921" w:rsidRPr="001E5D32">
        <w:rPr>
          <w:rFonts w:ascii="Book Antiqua" w:hAnsi="Book Antiqua"/>
          <w:sz w:val="24"/>
        </w:rPr>
        <w:t xml:space="preserve"> new-onset ischemic heart disease or cardiovascular mortality</w:t>
      </w:r>
      <w:r w:rsidR="000C252A" w:rsidRPr="001E5D32">
        <w:rPr>
          <w:rFonts w:ascii="Book Antiqua" w:hAnsi="Book Antiqua"/>
          <w:sz w:val="24"/>
          <w:vertAlign w:val="superscript"/>
        </w:rPr>
        <w:t>[41-43]</w:t>
      </w:r>
      <w:r w:rsidR="000C252A" w:rsidRPr="001E5D32">
        <w:rPr>
          <w:rFonts w:ascii="Book Antiqua" w:hAnsi="Book Antiqua"/>
          <w:sz w:val="24"/>
        </w:rPr>
        <w:t>.</w:t>
      </w:r>
    </w:p>
    <w:p w14:paraId="500F698E" w14:textId="77777777" w:rsidR="00195906" w:rsidRPr="001E5D32" w:rsidRDefault="00195906" w:rsidP="001E5D32">
      <w:pPr>
        <w:spacing w:line="360" w:lineRule="auto"/>
        <w:ind w:firstLineChars="200" w:firstLine="480"/>
        <w:rPr>
          <w:rFonts w:ascii="Book Antiqua" w:hAnsi="Book Antiqua"/>
          <w:sz w:val="24"/>
        </w:rPr>
      </w:pPr>
    </w:p>
    <w:p w14:paraId="2A5327BD" w14:textId="77777777" w:rsidR="00184F7C" w:rsidRPr="001E5D32" w:rsidRDefault="002D0CF8" w:rsidP="001E5D32">
      <w:pPr>
        <w:spacing w:line="360" w:lineRule="auto"/>
        <w:rPr>
          <w:rFonts w:ascii="Book Antiqua" w:hAnsi="Book Antiqua"/>
          <w:b/>
          <w:sz w:val="24"/>
        </w:rPr>
      </w:pPr>
      <w:r w:rsidRPr="001E5D32">
        <w:rPr>
          <w:rFonts w:ascii="Book Antiqua" w:hAnsi="Book Antiqua"/>
          <w:b/>
          <w:sz w:val="24"/>
        </w:rPr>
        <w:t>COMPOSITE DIAGNOSTIC MODELS FOR NASH</w:t>
      </w:r>
    </w:p>
    <w:p w14:paraId="14B723A6" w14:textId="610DC94F" w:rsidR="008F4152" w:rsidRPr="001E5D32" w:rsidRDefault="0003533D"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Liver-specific therapeutic interventions</w:t>
      </w:r>
      <w:r w:rsidR="00184F7C" w:rsidRPr="001E5D32">
        <w:rPr>
          <w:rFonts w:ascii="Book Antiqua" w:eastAsia="Times New Roman" w:hAnsi="Book Antiqua"/>
          <w:sz w:val="24"/>
          <w:lang w:val="en-GB"/>
        </w:rPr>
        <w:t xml:space="preserve"> such as thiazelidinedione pharmacotherapy </w:t>
      </w:r>
      <w:r w:rsidR="00156299" w:rsidRPr="001E5D32">
        <w:rPr>
          <w:rFonts w:ascii="Book Antiqua" w:eastAsia="Times New Roman" w:hAnsi="Book Antiqua"/>
          <w:sz w:val="24"/>
          <w:lang w:val="en-GB"/>
        </w:rPr>
        <w:t xml:space="preserve">could </w:t>
      </w:r>
      <w:r w:rsidR="00184F7C" w:rsidRPr="001E5D32">
        <w:rPr>
          <w:rFonts w:ascii="Book Antiqua" w:eastAsia="Times New Roman" w:hAnsi="Book Antiqua"/>
          <w:sz w:val="24"/>
          <w:lang w:val="en-GB"/>
        </w:rPr>
        <w:t xml:space="preserve">pose </w:t>
      </w:r>
      <w:r w:rsidR="00156299" w:rsidRPr="001E5D32">
        <w:rPr>
          <w:rFonts w:ascii="Book Antiqua" w:eastAsia="Times New Roman" w:hAnsi="Book Antiqua"/>
          <w:sz w:val="24"/>
          <w:lang w:val="en-GB"/>
        </w:rPr>
        <w:t xml:space="preserve">specific </w:t>
      </w:r>
      <w:r w:rsidR="00184F7C" w:rsidRPr="001E5D32">
        <w:rPr>
          <w:rFonts w:ascii="Book Antiqua" w:eastAsia="Times New Roman" w:hAnsi="Book Antiqua"/>
          <w:sz w:val="24"/>
          <w:lang w:val="en-GB"/>
        </w:rPr>
        <w:t>benefi</w:t>
      </w:r>
      <w:r w:rsidR="004928D9" w:rsidRPr="001E5D32">
        <w:rPr>
          <w:rFonts w:ascii="Book Antiqua" w:eastAsia="Times New Roman" w:hAnsi="Book Antiqua"/>
          <w:sz w:val="24"/>
          <w:lang w:val="en-GB"/>
        </w:rPr>
        <w:t>t in non-cirrhotic NASH</w:t>
      </w:r>
      <w:r w:rsidR="000C252A" w:rsidRPr="001E5D32">
        <w:rPr>
          <w:rFonts w:ascii="Book Antiqua" w:eastAsia="Times New Roman" w:hAnsi="Book Antiqua"/>
          <w:sz w:val="24"/>
          <w:vertAlign w:val="superscript"/>
          <w:lang w:val="en-GB"/>
        </w:rPr>
        <w:t>[44]</w:t>
      </w:r>
      <w:r w:rsidR="00644412" w:rsidRPr="001E5D32">
        <w:rPr>
          <w:rFonts w:ascii="Book Antiqua" w:eastAsia="Times New Roman" w:hAnsi="Book Antiqua"/>
          <w:sz w:val="24"/>
          <w:lang w:val="en-GB"/>
        </w:rPr>
        <w:t xml:space="preserve">. There </w:t>
      </w:r>
      <w:r w:rsidRPr="001E5D32">
        <w:rPr>
          <w:rFonts w:ascii="Book Antiqua" w:eastAsia="Times New Roman" w:hAnsi="Book Antiqua"/>
          <w:sz w:val="24"/>
          <w:lang w:val="en-GB"/>
        </w:rPr>
        <w:t xml:space="preserve">is still </w:t>
      </w:r>
      <w:r w:rsidR="00644412" w:rsidRPr="001E5D32">
        <w:rPr>
          <w:rFonts w:ascii="Book Antiqua" w:eastAsia="Times New Roman" w:hAnsi="Book Antiqua"/>
          <w:sz w:val="24"/>
          <w:lang w:val="en-GB"/>
        </w:rPr>
        <w:t xml:space="preserve">however </w:t>
      </w:r>
      <w:r w:rsidR="004928D9" w:rsidRPr="001E5D32">
        <w:rPr>
          <w:rFonts w:ascii="Book Antiqua" w:eastAsia="Times New Roman" w:hAnsi="Book Antiqua"/>
          <w:sz w:val="24"/>
          <w:lang w:val="en-GB"/>
        </w:rPr>
        <w:t xml:space="preserve">insufficient evidence to justify the routine </w:t>
      </w:r>
      <w:r w:rsidRPr="001E5D32">
        <w:rPr>
          <w:rFonts w:ascii="Book Antiqua" w:eastAsia="Times New Roman" w:hAnsi="Book Antiqua"/>
          <w:sz w:val="24"/>
          <w:lang w:val="en-GB"/>
        </w:rPr>
        <w:t xml:space="preserve">clinical use of any specific targeted treatments at this time. Numerous studies </w:t>
      </w:r>
      <w:r w:rsidR="0037269B" w:rsidRPr="001E5D32">
        <w:rPr>
          <w:rFonts w:ascii="Book Antiqua" w:eastAsia="Times New Roman" w:hAnsi="Book Antiqua"/>
          <w:sz w:val="24"/>
          <w:lang w:val="en-GB"/>
        </w:rPr>
        <w:t>have shown</w:t>
      </w:r>
      <w:r w:rsidRPr="001E5D32">
        <w:rPr>
          <w:rFonts w:ascii="Book Antiqua" w:eastAsia="Times New Roman" w:hAnsi="Book Antiqua"/>
          <w:sz w:val="24"/>
          <w:lang w:val="en-GB"/>
        </w:rPr>
        <w:t xml:space="preserve"> that a ~10% reduction in body weight</w:t>
      </w:r>
      <w:r w:rsidR="00C6029B" w:rsidRPr="001E5D32">
        <w:rPr>
          <w:rFonts w:ascii="Book Antiqua" w:eastAsia="Times New Roman" w:hAnsi="Book Antiqua"/>
          <w:sz w:val="24"/>
          <w:lang w:val="en-GB"/>
        </w:rPr>
        <w:t xml:space="preserve"> improves both</w:t>
      </w:r>
      <w:r w:rsidRPr="001E5D32">
        <w:rPr>
          <w:rFonts w:ascii="Book Antiqua" w:eastAsia="Times New Roman" w:hAnsi="Book Antiqua"/>
          <w:sz w:val="24"/>
          <w:lang w:val="en-GB"/>
        </w:rPr>
        <w:t xml:space="preserve"> metabolic abnormalities </w:t>
      </w:r>
      <w:r w:rsidR="00C6029B" w:rsidRPr="001E5D32">
        <w:rPr>
          <w:rFonts w:ascii="Book Antiqua" w:eastAsia="Times New Roman" w:hAnsi="Book Antiqua"/>
          <w:sz w:val="24"/>
          <w:lang w:val="en-GB"/>
        </w:rPr>
        <w:t>and</w:t>
      </w:r>
      <w:r w:rsidRPr="001E5D32">
        <w:rPr>
          <w:rFonts w:ascii="Book Antiqua" w:eastAsia="Times New Roman" w:hAnsi="Book Antiqua"/>
          <w:sz w:val="24"/>
          <w:lang w:val="en-GB"/>
        </w:rPr>
        <w:t xml:space="preserve"> </w:t>
      </w:r>
      <w:r w:rsidR="0037269B" w:rsidRPr="001E5D32">
        <w:rPr>
          <w:rFonts w:ascii="Book Antiqua" w:eastAsia="Times New Roman" w:hAnsi="Book Antiqua"/>
          <w:sz w:val="24"/>
          <w:lang w:val="en-GB"/>
        </w:rPr>
        <w:t>histological</w:t>
      </w:r>
      <w:r w:rsidRPr="001E5D32">
        <w:rPr>
          <w:rFonts w:ascii="Book Antiqua" w:eastAsia="Times New Roman" w:hAnsi="Book Antiqua"/>
          <w:sz w:val="24"/>
          <w:lang w:val="en-GB"/>
        </w:rPr>
        <w:t xml:space="preserve"> changes in </w:t>
      </w:r>
      <w:r w:rsidR="0037269B" w:rsidRPr="001E5D32">
        <w:rPr>
          <w:rFonts w:ascii="Book Antiqua" w:eastAsia="Times New Roman" w:hAnsi="Book Antiqua"/>
          <w:sz w:val="24"/>
          <w:lang w:val="en-GB"/>
        </w:rPr>
        <w:t>patients with NAFLD/NASH</w:t>
      </w:r>
      <w:r w:rsidR="00EE394D" w:rsidRPr="001E5D32">
        <w:rPr>
          <w:rFonts w:ascii="Book Antiqua" w:eastAsia="Times New Roman" w:hAnsi="Book Antiqua"/>
          <w:sz w:val="24"/>
          <w:lang w:val="en-GB"/>
        </w:rPr>
        <w:t xml:space="preserve"> and as </w:t>
      </w:r>
      <w:r w:rsidR="00C6029B" w:rsidRPr="001E5D32">
        <w:rPr>
          <w:rFonts w:ascii="Book Antiqua" w:eastAsia="Times New Roman" w:hAnsi="Book Antiqua"/>
          <w:sz w:val="24"/>
          <w:lang w:val="en-GB"/>
        </w:rPr>
        <w:t xml:space="preserve">such, </w:t>
      </w:r>
      <w:r w:rsidR="0037269B" w:rsidRPr="001E5D32">
        <w:rPr>
          <w:rFonts w:ascii="Book Antiqua" w:eastAsia="Times New Roman" w:hAnsi="Book Antiqua"/>
          <w:sz w:val="24"/>
          <w:lang w:val="en-GB"/>
        </w:rPr>
        <w:t xml:space="preserve">a </w:t>
      </w:r>
      <w:r w:rsidRPr="001E5D32">
        <w:rPr>
          <w:rFonts w:ascii="Book Antiqua" w:eastAsia="Times New Roman" w:hAnsi="Book Antiqua"/>
          <w:sz w:val="24"/>
          <w:lang w:val="en-GB"/>
        </w:rPr>
        <w:t xml:space="preserve">multidisciplinary lifestyle-based </w:t>
      </w:r>
      <w:r w:rsidR="0037269B" w:rsidRPr="001E5D32">
        <w:rPr>
          <w:rFonts w:ascii="Book Antiqua" w:eastAsia="Times New Roman" w:hAnsi="Book Antiqua"/>
          <w:sz w:val="24"/>
          <w:lang w:val="en-GB"/>
        </w:rPr>
        <w:t xml:space="preserve">therapeutic </w:t>
      </w:r>
      <w:r w:rsidRPr="001E5D32">
        <w:rPr>
          <w:rFonts w:ascii="Book Antiqua" w:eastAsia="Times New Roman" w:hAnsi="Book Antiqua"/>
          <w:sz w:val="24"/>
          <w:lang w:val="en-GB"/>
        </w:rPr>
        <w:t xml:space="preserve">approach </w:t>
      </w:r>
      <w:r w:rsidR="0037269B" w:rsidRPr="001E5D32">
        <w:rPr>
          <w:rFonts w:ascii="Book Antiqua" w:eastAsia="Times New Roman" w:hAnsi="Book Antiqua"/>
          <w:sz w:val="24"/>
          <w:lang w:val="en-GB"/>
        </w:rPr>
        <w:t>incorporating a</w:t>
      </w:r>
      <w:r w:rsidRPr="001E5D32">
        <w:rPr>
          <w:rFonts w:ascii="Book Antiqua" w:eastAsia="Times New Roman" w:hAnsi="Book Antiqua"/>
          <w:sz w:val="24"/>
          <w:lang w:val="en-GB"/>
        </w:rPr>
        <w:t xml:space="preserve"> tailored low-calorie dietary regimen </w:t>
      </w:r>
      <w:r w:rsidR="0037269B" w:rsidRPr="001E5D32">
        <w:rPr>
          <w:rFonts w:ascii="Book Antiqua" w:eastAsia="Times New Roman" w:hAnsi="Book Antiqua"/>
          <w:sz w:val="24"/>
          <w:lang w:val="en-GB"/>
        </w:rPr>
        <w:t xml:space="preserve">and </w:t>
      </w:r>
      <w:r w:rsidRPr="001E5D32">
        <w:rPr>
          <w:rFonts w:ascii="Book Antiqua" w:eastAsia="Times New Roman" w:hAnsi="Book Antiqua"/>
          <w:sz w:val="24"/>
          <w:lang w:val="en-GB"/>
        </w:rPr>
        <w:t xml:space="preserve">moderate physical exercise remains the cornerstone of treatment for </w:t>
      </w:r>
      <w:r w:rsidR="0037269B" w:rsidRPr="001E5D32">
        <w:rPr>
          <w:rFonts w:ascii="Book Antiqua" w:eastAsia="Times New Roman" w:hAnsi="Book Antiqua"/>
          <w:sz w:val="24"/>
          <w:lang w:val="en-GB"/>
        </w:rPr>
        <w:t>this condition</w:t>
      </w:r>
      <w:r w:rsidRPr="001E5D32">
        <w:rPr>
          <w:rFonts w:ascii="Book Antiqua" w:eastAsia="Times New Roman" w:hAnsi="Book Antiqua"/>
          <w:sz w:val="24"/>
          <w:vertAlign w:val="superscript"/>
          <w:lang w:val="en-GB"/>
        </w:rPr>
        <w:t>[</w:t>
      </w:r>
      <w:r w:rsidR="00195906" w:rsidRPr="001E5D32">
        <w:rPr>
          <w:rFonts w:ascii="Book Antiqua" w:eastAsia="Times New Roman" w:hAnsi="Book Antiqua"/>
          <w:sz w:val="24"/>
          <w:vertAlign w:val="superscript"/>
          <w:lang w:val="en-GB"/>
        </w:rPr>
        <w:t>45</w:t>
      </w:r>
      <w:r w:rsidR="00195906" w:rsidRPr="001E5D32">
        <w:rPr>
          <w:rFonts w:ascii="Book Antiqua" w:eastAsiaTheme="minorEastAsia" w:hAnsi="Book Antiqua" w:hint="eastAsia"/>
          <w:sz w:val="24"/>
          <w:vertAlign w:val="superscript"/>
          <w:lang w:val="en-GB"/>
        </w:rPr>
        <w:t>-</w:t>
      </w:r>
      <w:r w:rsidR="00BC51C9" w:rsidRPr="001E5D32">
        <w:rPr>
          <w:rFonts w:ascii="Book Antiqua" w:eastAsia="Times New Roman" w:hAnsi="Book Antiqua"/>
          <w:sz w:val="24"/>
          <w:vertAlign w:val="superscript"/>
          <w:lang w:val="en-GB"/>
        </w:rPr>
        <w:t>47</w:t>
      </w:r>
      <w:r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xml:space="preserve">. </w:t>
      </w:r>
      <w:r w:rsidR="00DC43E1" w:rsidRPr="001E5D32">
        <w:rPr>
          <w:rFonts w:ascii="Book Antiqua" w:eastAsia="Times New Roman" w:hAnsi="Book Antiqua"/>
          <w:sz w:val="24"/>
          <w:lang w:val="en-GB"/>
        </w:rPr>
        <w:t>To</w:t>
      </w:r>
      <w:r w:rsidR="00CB2509" w:rsidRPr="001E5D32">
        <w:rPr>
          <w:rFonts w:ascii="Book Antiqua" w:eastAsia="Times New Roman" w:hAnsi="Book Antiqua"/>
          <w:sz w:val="24"/>
          <w:lang w:val="en-GB"/>
        </w:rPr>
        <w:t xml:space="preserve"> ensure the successful implementation of population-based lifestyle intervention programs aimed at preventing the onset or progression of NAFLD in resource-limited healthcare setting</w:t>
      </w:r>
      <w:r w:rsidR="00DC43E1" w:rsidRPr="001E5D32">
        <w:rPr>
          <w:rFonts w:ascii="Book Antiqua" w:eastAsia="Times New Roman" w:hAnsi="Book Antiqua"/>
          <w:sz w:val="24"/>
          <w:lang w:val="en-GB"/>
        </w:rPr>
        <w:t>s</w:t>
      </w:r>
      <w:r w:rsidR="00CB2509" w:rsidRPr="001E5D32">
        <w:rPr>
          <w:rFonts w:ascii="Book Antiqua" w:eastAsia="Times New Roman" w:hAnsi="Book Antiqua"/>
          <w:sz w:val="24"/>
          <w:lang w:val="en-GB"/>
        </w:rPr>
        <w:t xml:space="preserve">, it is imperative to foster collaboration between clinicians and the public sector in accordance with standardized guidelines </w:t>
      </w:r>
      <w:r w:rsidR="00C6029B" w:rsidRPr="001E5D32">
        <w:rPr>
          <w:rFonts w:ascii="Book Antiqua" w:eastAsia="Times New Roman" w:hAnsi="Book Antiqua"/>
          <w:sz w:val="24"/>
          <w:lang w:val="en-GB"/>
        </w:rPr>
        <w:t xml:space="preserve">and assisted </w:t>
      </w:r>
      <w:r w:rsidR="00CB2509" w:rsidRPr="001E5D32">
        <w:rPr>
          <w:rFonts w:ascii="Book Antiqua" w:eastAsia="Times New Roman" w:hAnsi="Book Antiqua"/>
          <w:sz w:val="24"/>
          <w:lang w:val="en-GB"/>
        </w:rPr>
        <w:t>by the necessary ethico-le</w:t>
      </w:r>
      <w:r w:rsidR="001C7B8E" w:rsidRPr="001E5D32">
        <w:rPr>
          <w:rFonts w:ascii="Book Antiqua" w:eastAsia="Times New Roman" w:hAnsi="Book Antiqua"/>
          <w:sz w:val="24"/>
          <w:lang w:val="en-GB"/>
        </w:rPr>
        <w:t>gal and governmental frameworks</w:t>
      </w:r>
      <w:r w:rsidR="00CB2509" w:rsidRPr="001E5D32">
        <w:rPr>
          <w:rFonts w:ascii="Book Antiqua" w:eastAsia="Times New Roman" w:hAnsi="Book Antiqua"/>
          <w:sz w:val="24"/>
          <w:vertAlign w:val="superscript"/>
          <w:lang w:val="en-GB"/>
        </w:rPr>
        <w:t>[</w:t>
      </w:r>
      <w:r w:rsidR="00BC51C9" w:rsidRPr="001E5D32">
        <w:rPr>
          <w:rFonts w:ascii="Book Antiqua" w:eastAsia="Times New Roman" w:hAnsi="Book Antiqua"/>
          <w:sz w:val="24"/>
          <w:vertAlign w:val="superscript"/>
          <w:lang w:val="en-GB"/>
        </w:rPr>
        <w:t>48</w:t>
      </w:r>
      <w:r w:rsidR="00CB2509" w:rsidRPr="001E5D32">
        <w:rPr>
          <w:rFonts w:ascii="Book Antiqua" w:eastAsia="Times New Roman" w:hAnsi="Book Antiqua"/>
          <w:sz w:val="24"/>
          <w:vertAlign w:val="superscript"/>
          <w:lang w:val="en-GB"/>
        </w:rPr>
        <w:t>]</w:t>
      </w:r>
      <w:r w:rsidR="00CB2509" w:rsidRPr="001E5D32">
        <w:rPr>
          <w:rFonts w:ascii="Book Antiqua" w:eastAsia="Times New Roman" w:hAnsi="Book Antiqua"/>
          <w:sz w:val="24"/>
          <w:lang w:val="en-GB"/>
        </w:rPr>
        <w:t>.</w:t>
      </w:r>
    </w:p>
    <w:p w14:paraId="10D503C0" w14:textId="31674730" w:rsidR="001309C9" w:rsidRPr="001E5D32" w:rsidRDefault="0003533D" w:rsidP="001E5D32">
      <w:pPr>
        <w:spacing w:line="360" w:lineRule="auto"/>
        <w:ind w:firstLineChars="200" w:firstLine="480"/>
        <w:rPr>
          <w:rFonts w:ascii="Book Antiqua" w:eastAsiaTheme="minorEastAsia" w:hAnsi="Book Antiqua"/>
          <w:sz w:val="24"/>
          <w:lang w:val="en-GB"/>
        </w:rPr>
      </w:pPr>
      <w:r w:rsidRPr="001E5D32">
        <w:rPr>
          <w:rFonts w:ascii="Book Antiqua" w:eastAsia="Times New Roman" w:hAnsi="Book Antiqua"/>
          <w:sz w:val="24"/>
          <w:lang w:val="en-GB"/>
        </w:rPr>
        <w:t xml:space="preserve">It can </w:t>
      </w:r>
      <w:r w:rsidR="00CB2509" w:rsidRPr="001E5D32">
        <w:rPr>
          <w:rFonts w:ascii="Book Antiqua" w:eastAsia="Times New Roman" w:hAnsi="Book Antiqua"/>
          <w:sz w:val="24"/>
          <w:lang w:val="en-GB"/>
        </w:rPr>
        <w:t xml:space="preserve">be </w:t>
      </w:r>
      <w:r w:rsidR="0037269B" w:rsidRPr="001E5D32">
        <w:rPr>
          <w:rFonts w:ascii="Book Antiqua" w:eastAsia="Times New Roman" w:hAnsi="Book Antiqua"/>
          <w:sz w:val="24"/>
          <w:lang w:val="en-GB"/>
        </w:rPr>
        <w:t>argued</w:t>
      </w:r>
      <w:r w:rsidRPr="001E5D32">
        <w:rPr>
          <w:rFonts w:ascii="Book Antiqua" w:eastAsia="Times New Roman" w:hAnsi="Book Antiqua"/>
          <w:sz w:val="24"/>
          <w:lang w:val="en-GB"/>
        </w:rPr>
        <w:t xml:space="preserve"> that the abovementioned findings </w:t>
      </w:r>
      <w:r w:rsidR="004928D9" w:rsidRPr="001E5D32">
        <w:rPr>
          <w:rFonts w:ascii="Book Antiqua" w:eastAsia="Times New Roman" w:hAnsi="Book Antiqua"/>
          <w:sz w:val="24"/>
          <w:lang w:val="en-GB"/>
        </w:rPr>
        <w:t xml:space="preserve">call into question the validity of diagnostic confirmation for </w:t>
      </w:r>
      <w:r w:rsidRPr="001E5D32">
        <w:rPr>
          <w:rFonts w:ascii="Book Antiqua" w:eastAsia="Times New Roman" w:hAnsi="Book Antiqua"/>
          <w:sz w:val="24"/>
          <w:lang w:val="en-GB"/>
        </w:rPr>
        <w:t>NASH</w:t>
      </w:r>
      <w:r w:rsidR="0037269B" w:rsidRPr="001E5D32">
        <w:rPr>
          <w:rFonts w:ascii="Book Antiqua" w:eastAsia="Times New Roman" w:hAnsi="Book Antiqua"/>
          <w:sz w:val="24"/>
          <w:lang w:val="en-GB"/>
        </w:rPr>
        <w:t>. D</w:t>
      </w:r>
      <w:r w:rsidR="004928D9" w:rsidRPr="001E5D32">
        <w:rPr>
          <w:rFonts w:ascii="Book Antiqua" w:eastAsia="Times New Roman" w:hAnsi="Book Antiqua"/>
          <w:sz w:val="24"/>
          <w:lang w:val="en-GB"/>
        </w:rPr>
        <w:t xml:space="preserve">elineating </w:t>
      </w:r>
      <w:r w:rsidR="00184F7C" w:rsidRPr="001E5D32">
        <w:rPr>
          <w:rFonts w:ascii="Book Antiqua" w:eastAsia="Times New Roman" w:hAnsi="Book Antiqua"/>
          <w:sz w:val="24"/>
          <w:lang w:val="en-GB"/>
        </w:rPr>
        <w:t xml:space="preserve">between uncomplicated steatosis and </w:t>
      </w:r>
      <w:r w:rsidRPr="001E5D32">
        <w:rPr>
          <w:rFonts w:ascii="Book Antiqua" w:eastAsia="Times New Roman" w:hAnsi="Book Antiqua"/>
          <w:sz w:val="24"/>
          <w:lang w:val="en-GB"/>
        </w:rPr>
        <w:t>this more aggressive phenotype</w:t>
      </w:r>
      <w:r w:rsidR="0037269B" w:rsidRPr="001E5D32">
        <w:rPr>
          <w:rFonts w:ascii="Book Antiqua" w:eastAsia="Times New Roman" w:hAnsi="Book Antiqua"/>
          <w:sz w:val="24"/>
          <w:lang w:val="en-GB"/>
        </w:rPr>
        <w:t xml:space="preserve"> however</w:t>
      </w:r>
      <w:r w:rsidR="00184F7C" w:rsidRPr="001E5D32">
        <w:rPr>
          <w:rFonts w:ascii="Book Antiqua" w:eastAsia="Times New Roman" w:hAnsi="Book Antiqua"/>
          <w:sz w:val="24"/>
          <w:lang w:val="en-GB"/>
        </w:rPr>
        <w:t xml:space="preserve"> has important prognostic significance, since compared to </w:t>
      </w:r>
      <w:r w:rsidR="00644412" w:rsidRPr="001E5D32">
        <w:rPr>
          <w:rFonts w:ascii="Book Antiqua" w:eastAsia="Times New Roman" w:hAnsi="Book Antiqua"/>
          <w:sz w:val="24"/>
          <w:lang w:val="en-GB"/>
        </w:rPr>
        <w:t xml:space="preserve">patients with </w:t>
      </w:r>
      <w:r w:rsidR="00184F7C" w:rsidRPr="001E5D32">
        <w:rPr>
          <w:rFonts w:ascii="Book Antiqua" w:eastAsia="Times New Roman" w:hAnsi="Book Antiqua"/>
          <w:sz w:val="24"/>
          <w:lang w:val="en-GB"/>
        </w:rPr>
        <w:t xml:space="preserve">simple fatty liver, </w:t>
      </w:r>
      <w:r w:rsidR="00644412" w:rsidRPr="001E5D32">
        <w:rPr>
          <w:rFonts w:ascii="Book Antiqua" w:eastAsia="Times New Roman" w:hAnsi="Book Antiqua"/>
          <w:sz w:val="24"/>
          <w:lang w:val="en-GB"/>
        </w:rPr>
        <w:t>those with</w:t>
      </w:r>
      <w:r w:rsidR="00184F7C" w:rsidRPr="001E5D32">
        <w:rPr>
          <w:rFonts w:ascii="Book Antiqua" w:eastAsia="Times New Roman" w:hAnsi="Book Antiqua"/>
          <w:sz w:val="24"/>
          <w:lang w:val="en-GB"/>
        </w:rPr>
        <w:t xml:space="preserve"> steatohepatitis are at greater risk for cardiovascular as well as liver-related</w:t>
      </w:r>
      <w:r w:rsidR="008F4152" w:rsidRPr="001E5D32">
        <w:rPr>
          <w:rFonts w:ascii="Book Antiqua" w:eastAsia="Times New Roman" w:hAnsi="Book Antiqua"/>
          <w:sz w:val="24"/>
          <w:lang w:val="en-GB"/>
        </w:rPr>
        <w:t xml:space="preserve"> mortality</w:t>
      </w:r>
      <w:r w:rsidR="000C252A" w:rsidRPr="001E5D32">
        <w:rPr>
          <w:rFonts w:ascii="Book Antiqua" w:eastAsia="Times New Roman" w:hAnsi="Book Antiqua"/>
          <w:sz w:val="24"/>
          <w:vertAlign w:val="superscript"/>
          <w:lang w:val="en-GB"/>
        </w:rPr>
        <w:t>[</w:t>
      </w:r>
      <w:r w:rsidR="00BC51C9" w:rsidRPr="001E5D32">
        <w:rPr>
          <w:rFonts w:ascii="Book Antiqua" w:eastAsia="Times New Roman" w:hAnsi="Book Antiqua"/>
          <w:sz w:val="24"/>
          <w:vertAlign w:val="superscript"/>
          <w:lang w:val="en-GB"/>
        </w:rPr>
        <w:t>49</w:t>
      </w:r>
      <w:r w:rsidR="000C252A" w:rsidRPr="001E5D32">
        <w:rPr>
          <w:rFonts w:ascii="Book Antiqua" w:eastAsia="Times New Roman" w:hAnsi="Book Antiqua"/>
          <w:sz w:val="24"/>
          <w:vertAlign w:val="superscript"/>
          <w:lang w:val="en-GB"/>
        </w:rPr>
        <w:t>]</w:t>
      </w:r>
      <w:r w:rsidR="00184F7C" w:rsidRPr="001E5D32">
        <w:rPr>
          <w:rFonts w:ascii="Book Antiqua" w:eastAsia="Times New Roman" w:hAnsi="Book Antiqua"/>
          <w:sz w:val="24"/>
          <w:lang w:val="en-GB"/>
        </w:rPr>
        <w:t xml:space="preserve">. The association between NASH and increased cardio-metabolic risk is further evidenced by </w:t>
      </w:r>
      <w:r w:rsidR="00644412" w:rsidRPr="001E5D32">
        <w:rPr>
          <w:rFonts w:ascii="Book Antiqua" w:eastAsia="Times New Roman" w:hAnsi="Book Antiqua"/>
          <w:sz w:val="24"/>
          <w:lang w:val="en-GB"/>
        </w:rPr>
        <w:t>a</w:t>
      </w:r>
      <w:r w:rsidR="00184F7C" w:rsidRPr="001E5D32">
        <w:rPr>
          <w:rFonts w:ascii="Book Antiqua" w:eastAsia="Times New Roman" w:hAnsi="Book Antiqua"/>
          <w:sz w:val="24"/>
          <w:lang w:val="en-GB"/>
        </w:rPr>
        <w:t xml:space="preserve"> significant correlations reported between the extent of necro-inflammatory injury and the degree of endothelial as well as diastolic dysfuncti</w:t>
      </w:r>
      <w:r w:rsidR="008F4152" w:rsidRPr="001E5D32">
        <w:rPr>
          <w:rFonts w:ascii="Book Antiqua" w:eastAsia="Times New Roman" w:hAnsi="Book Antiqua"/>
          <w:sz w:val="24"/>
          <w:lang w:val="en-GB"/>
        </w:rPr>
        <w:t>on</w:t>
      </w:r>
      <w:r w:rsidR="000C252A" w:rsidRPr="001E5D32">
        <w:rPr>
          <w:rFonts w:ascii="Book Antiqua" w:eastAsia="Times New Roman" w:hAnsi="Book Antiqua"/>
          <w:sz w:val="24"/>
          <w:vertAlign w:val="superscript"/>
          <w:lang w:val="en-GB"/>
        </w:rPr>
        <w:t>[</w:t>
      </w:r>
      <w:r w:rsidR="00BC51C9" w:rsidRPr="001E5D32">
        <w:rPr>
          <w:rFonts w:ascii="Book Antiqua" w:eastAsia="Times New Roman" w:hAnsi="Book Antiqua"/>
          <w:sz w:val="24"/>
          <w:vertAlign w:val="superscript"/>
          <w:lang w:val="en-GB"/>
        </w:rPr>
        <w:t>50</w:t>
      </w:r>
      <w:r w:rsidR="00195906" w:rsidRPr="001E5D32">
        <w:rPr>
          <w:rFonts w:ascii="Book Antiqua" w:eastAsiaTheme="minorEastAsia" w:hAnsi="Book Antiqua" w:hint="eastAsia"/>
          <w:sz w:val="24"/>
          <w:vertAlign w:val="superscript"/>
          <w:lang w:val="en-GB"/>
        </w:rPr>
        <w:t>,</w:t>
      </w:r>
      <w:r w:rsidR="00BC51C9" w:rsidRPr="001E5D32">
        <w:rPr>
          <w:rFonts w:ascii="Book Antiqua" w:eastAsia="Times New Roman" w:hAnsi="Book Antiqua"/>
          <w:sz w:val="24"/>
          <w:vertAlign w:val="superscript"/>
          <w:lang w:val="en-GB"/>
        </w:rPr>
        <w:t>51</w:t>
      </w:r>
      <w:r w:rsidR="000C252A" w:rsidRPr="001E5D32">
        <w:rPr>
          <w:rFonts w:ascii="Book Antiqua" w:eastAsia="Times New Roman" w:hAnsi="Book Antiqua"/>
          <w:sz w:val="24"/>
          <w:vertAlign w:val="superscript"/>
          <w:lang w:val="en-GB"/>
        </w:rPr>
        <w:t>]</w:t>
      </w:r>
      <w:r w:rsidR="00184F7C" w:rsidRPr="001E5D32">
        <w:rPr>
          <w:rFonts w:ascii="Book Antiqua" w:eastAsia="Times New Roman" w:hAnsi="Book Antiqua"/>
          <w:sz w:val="24"/>
          <w:lang w:val="en-GB"/>
        </w:rPr>
        <w:t xml:space="preserve">. A number of simple composite diagnostic models for NASH have been developed to date, largely incorporating readily available clinical data in addition to several routinely performed biochemical tests (Table 2). </w:t>
      </w:r>
    </w:p>
    <w:p w14:paraId="68F0B310" w14:textId="77777777" w:rsidR="00195906" w:rsidRPr="001E5D32" w:rsidRDefault="00195906" w:rsidP="001E5D32">
      <w:pPr>
        <w:spacing w:line="360" w:lineRule="auto"/>
        <w:ind w:firstLineChars="200" w:firstLine="480"/>
        <w:rPr>
          <w:rFonts w:ascii="Book Antiqua" w:eastAsiaTheme="minorEastAsia" w:hAnsi="Book Antiqua"/>
          <w:sz w:val="24"/>
          <w:lang w:val="en-GB"/>
        </w:rPr>
      </w:pPr>
    </w:p>
    <w:p w14:paraId="4B0859D2" w14:textId="77777777" w:rsidR="00184F7C" w:rsidRPr="001E5D32" w:rsidRDefault="00184F7C" w:rsidP="001E5D32">
      <w:pPr>
        <w:spacing w:line="360" w:lineRule="auto"/>
        <w:rPr>
          <w:rFonts w:ascii="Book Antiqua" w:eastAsia="Times New Roman" w:hAnsi="Book Antiqua"/>
          <w:b/>
          <w:sz w:val="24"/>
          <w:lang w:val="en-GB"/>
        </w:rPr>
      </w:pPr>
      <w:r w:rsidRPr="001E5D32">
        <w:rPr>
          <w:rFonts w:ascii="Book Antiqua" w:eastAsia="Times New Roman" w:hAnsi="Book Antiqua"/>
          <w:b/>
          <w:i/>
          <w:sz w:val="24"/>
          <w:lang w:val="en-GB"/>
        </w:rPr>
        <w:t xml:space="preserve">Socio-demographic characteristics </w:t>
      </w:r>
    </w:p>
    <w:p w14:paraId="72F4CE3A" w14:textId="3AB6F489" w:rsidR="008F4152" w:rsidRPr="001E5D32" w:rsidRDefault="00184F7C" w:rsidP="001E5D32">
      <w:pPr>
        <w:spacing w:line="360" w:lineRule="auto"/>
        <w:rPr>
          <w:rFonts w:ascii="Book Antiqua" w:eastAsiaTheme="minorEastAsia" w:hAnsi="Book Antiqua"/>
          <w:sz w:val="24"/>
          <w:lang w:val="en-GB"/>
        </w:rPr>
      </w:pPr>
      <w:r w:rsidRPr="001E5D32">
        <w:rPr>
          <w:rFonts w:ascii="Book Antiqua" w:eastAsia="Times New Roman" w:hAnsi="Book Antiqua"/>
          <w:sz w:val="24"/>
          <w:lang w:val="en-GB"/>
        </w:rPr>
        <w:t>Epidemiological studies have reported marked gender-specific and population-related disparity in the prevalence and severity of NAFLD, with ethnicity and sex considered co-dependent risk modifiers further influenced by age as well as environmental exposures acting on a genetic</w:t>
      </w:r>
      <w:r w:rsidR="008F4152" w:rsidRPr="001E5D32">
        <w:rPr>
          <w:rFonts w:ascii="Book Antiqua" w:eastAsia="Times New Roman" w:hAnsi="Book Antiqua"/>
          <w:sz w:val="24"/>
          <w:lang w:val="en-GB"/>
        </w:rPr>
        <w:t xml:space="preserve"> background</w:t>
      </w:r>
      <w:r w:rsidR="00AD5DF3"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57,58</w:t>
      </w:r>
      <w:r w:rsidR="00AD5DF3"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Such evidence emphasizes the importance of a population-based approach</w:t>
      </w:r>
      <w:r w:rsidR="00644412" w:rsidRPr="001E5D32">
        <w:rPr>
          <w:rFonts w:ascii="Book Antiqua" w:eastAsia="Times New Roman" w:hAnsi="Book Antiqua"/>
          <w:sz w:val="24"/>
          <w:lang w:val="en-GB"/>
        </w:rPr>
        <w:t xml:space="preserve"> to chronic disease risk screening</w:t>
      </w:r>
      <w:r w:rsidRPr="001E5D32">
        <w:rPr>
          <w:rFonts w:ascii="Book Antiqua" w:eastAsia="Times New Roman" w:hAnsi="Book Antiqua"/>
          <w:sz w:val="24"/>
          <w:lang w:val="en-GB"/>
        </w:rPr>
        <w:t xml:space="preserve"> integrating socio-demographic variables in developing composite risk models for application as scree</w:t>
      </w:r>
      <w:r w:rsidR="00461B32" w:rsidRPr="001E5D32">
        <w:rPr>
          <w:rFonts w:ascii="Book Antiqua" w:eastAsia="Times New Roman" w:hAnsi="Book Antiqua"/>
          <w:sz w:val="24"/>
          <w:lang w:val="en-GB"/>
        </w:rPr>
        <w:t>ning tools</w:t>
      </w:r>
      <w:r w:rsidRPr="001E5D32">
        <w:rPr>
          <w:rFonts w:ascii="Book Antiqua" w:eastAsia="Times New Roman" w:hAnsi="Book Antiqua"/>
          <w:sz w:val="24"/>
          <w:lang w:val="en-GB"/>
        </w:rPr>
        <w:t>. The incidence of NASH is higher in females particularly of older age, while risk for progression to this inflammatory phenotype is inverse</w:t>
      </w:r>
      <w:r w:rsidR="008F4152" w:rsidRPr="001E5D32">
        <w:rPr>
          <w:rFonts w:ascii="Book Antiqua" w:eastAsia="Times New Roman" w:hAnsi="Book Antiqua"/>
          <w:sz w:val="24"/>
          <w:lang w:val="en-GB"/>
        </w:rPr>
        <w:t>ly related to African ancestry</w:t>
      </w:r>
      <w:r w:rsidR="008F4152"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59</w:t>
      </w:r>
      <w:r w:rsidR="00AD5DF3"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xml:space="preserve">. These observations are reflected in the inclusion of non-black ethnicity and female sex in the NASH </w:t>
      </w:r>
      <w:r w:rsidR="002D0CF8" w:rsidRPr="001E5D32">
        <w:rPr>
          <w:rFonts w:ascii="Book Antiqua" w:eastAsia="Times New Roman" w:hAnsi="Book Antiqua"/>
          <w:sz w:val="24"/>
          <w:lang w:val="en-GB"/>
        </w:rPr>
        <w:t>clinical scoring system for morbid obesity</w:t>
      </w:r>
      <w:r w:rsidR="00AD5DF3"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54</w:t>
      </w:r>
      <w:r w:rsidR="00AD5DF3" w:rsidRPr="001E5D32">
        <w:rPr>
          <w:rFonts w:ascii="Book Antiqua" w:eastAsia="Times New Roman" w:hAnsi="Book Antiqua"/>
          <w:sz w:val="24"/>
          <w:vertAlign w:val="superscript"/>
          <w:lang w:val="en-GB"/>
        </w:rPr>
        <w:t>]</w:t>
      </w:r>
      <w:r w:rsidRPr="001E5D32">
        <w:rPr>
          <w:rFonts w:ascii="Book Antiqua" w:eastAsia="Times New Roman" w:hAnsi="Book Antiqua"/>
          <w:sz w:val="24"/>
          <w:vertAlign w:val="superscript"/>
          <w:lang w:val="en-GB"/>
        </w:rPr>
        <w:t xml:space="preserve"> </w:t>
      </w:r>
      <w:r w:rsidRPr="001E5D32">
        <w:rPr>
          <w:rFonts w:ascii="Book Antiqua" w:eastAsia="Times New Roman" w:hAnsi="Book Antiqua"/>
          <w:sz w:val="24"/>
          <w:lang w:val="en-GB"/>
        </w:rPr>
        <w:t>and NASH pre</w:t>
      </w:r>
      <w:r w:rsidR="008A5055" w:rsidRPr="001E5D32">
        <w:rPr>
          <w:rFonts w:ascii="Book Antiqua" w:eastAsia="Times New Roman" w:hAnsi="Book Antiqua"/>
          <w:sz w:val="24"/>
          <w:lang w:val="en-GB"/>
        </w:rPr>
        <w:t>dictive index</w:t>
      </w:r>
      <w:r w:rsidR="00AD5DF3"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56</w:t>
      </w:r>
      <w:r w:rsidR="00AD5DF3"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xml:space="preserve">, respectively. </w:t>
      </w:r>
    </w:p>
    <w:p w14:paraId="6222BDD9" w14:textId="77777777" w:rsidR="00195906" w:rsidRPr="001E5D32" w:rsidRDefault="00195906" w:rsidP="001E5D32">
      <w:pPr>
        <w:spacing w:line="360" w:lineRule="auto"/>
        <w:rPr>
          <w:rFonts w:ascii="Book Antiqua" w:eastAsiaTheme="minorEastAsia" w:hAnsi="Book Antiqua"/>
          <w:sz w:val="24"/>
          <w:lang w:val="en-GB"/>
        </w:rPr>
      </w:pPr>
    </w:p>
    <w:p w14:paraId="4C90DBBF" w14:textId="77777777" w:rsidR="00184F7C" w:rsidRPr="001E5D32" w:rsidRDefault="00184F7C" w:rsidP="001E5D32">
      <w:pPr>
        <w:spacing w:line="360" w:lineRule="auto"/>
        <w:rPr>
          <w:rFonts w:ascii="Book Antiqua" w:eastAsia="Times New Roman" w:hAnsi="Book Antiqua"/>
          <w:b/>
          <w:i/>
          <w:sz w:val="24"/>
          <w:lang w:val="en-GB"/>
        </w:rPr>
      </w:pPr>
      <w:r w:rsidRPr="001E5D32">
        <w:rPr>
          <w:rFonts w:ascii="Book Antiqua" w:eastAsia="Times New Roman" w:hAnsi="Book Antiqua"/>
          <w:b/>
          <w:i/>
          <w:sz w:val="24"/>
          <w:lang w:val="en-GB"/>
        </w:rPr>
        <w:t xml:space="preserve">Cardio-metabolic risk traits </w:t>
      </w:r>
    </w:p>
    <w:p w14:paraId="34988627" w14:textId="7ED6DBF4" w:rsidR="008F4152" w:rsidRPr="001E5D32" w:rsidRDefault="00184F7C" w:rsidP="001E5D32">
      <w:pPr>
        <w:spacing w:line="360" w:lineRule="auto"/>
        <w:rPr>
          <w:rFonts w:ascii="Book Antiqua" w:eastAsiaTheme="minorEastAsia" w:hAnsi="Book Antiqua"/>
          <w:sz w:val="24"/>
          <w:lang w:val="en-GB"/>
        </w:rPr>
      </w:pPr>
      <w:r w:rsidRPr="001E5D32">
        <w:rPr>
          <w:rFonts w:ascii="Book Antiqua" w:eastAsia="Times New Roman" w:hAnsi="Book Antiqua"/>
          <w:sz w:val="24"/>
          <w:lang w:val="en-GB"/>
        </w:rPr>
        <w:t>The near-universal incorporation of cardiovascular risk traits defined b</w:t>
      </w:r>
      <w:r w:rsidR="00644412" w:rsidRPr="001E5D32">
        <w:rPr>
          <w:rFonts w:ascii="Book Antiqua" w:eastAsia="Times New Roman" w:hAnsi="Book Antiqua"/>
          <w:sz w:val="24"/>
          <w:lang w:val="en-GB"/>
        </w:rPr>
        <w:t>y the metabolic syndrome as a component</w:t>
      </w:r>
      <w:r w:rsidRPr="001E5D32">
        <w:rPr>
          <w:rFonts w:ascii="Book Antiqua" w:eastAsia="Times New Roman" w:hAnsi="Book Antiqua"/>
          <w:sz w:val="24"/>
          <w:lang w:val="en-GB"/>
        </w:rPr>
        <w:t xml:space="preserve"> of diagnostic models for NASH accords with the well-evidenced association between these e</w:t>
      </w:r>
      <w:r w:rsidR="008F4152" w:rsidRPr="001E5D32">
        <w:rPr>
          <w:rFonts w:ascii="Book Antiqua" w:eastAsia="Times New Roman" w:hAnsi="Book Antiqua"/>
          <w:sz w:val="24"/>
          <w:lang w:val="en-GB"/>
        </w:rPr>
        <w:t>ntities</w:t>
      </w:r>
      <w:r w:rsidR="00AD5DF3"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60</w:t>
      </w:r>
      <w:r w:rsidR="00AD5DF3"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Direct biochemical confirmation or clinical approximation o</w:t>
      </w:r>
      <w:r w:rsidR="00644412" w:rsidRPr="001E5D32">
        <w:rPr>
          <w:rFonts w:ascii="Book Antiqua" w:eastAsia="Times New Roman" w:hAnsi="Book Antiqua"/>
          <w:sz w:val="24"/>
          <w:lang w:val="en-GB"/>
        </w:rPr>
        <w:t>f IR is of particular relevance in this regard, as</w:t>
      </w:r>
      <w:r w:rsidRPr="001E5D32">
        <w:rPr>
          <w:rFonts w:ascii="Book Antiqua" w:eastAsia="Times New Roman" w:hAnsi="Book Antiqua"/>
          <w:sz w:val="24"/>
          <w:lang w:val="en-GB"/>
        </w:rPr>
        <w:t xml:space="preserve"> insulin-mediated intra-hepatic FFA flux pote</w:t>
      </w:r>
      <w:r w:rsidR="00644412" w:rsidRPr="001E5D32">
        <w:rPr>
          <w:rFonts w:ascii="Book Antiqua" w:eastAsia="Times New Roman" w:hAnsi="Book Antiqua"/>
          <w:sz w:val="24"/>
          <w:lang w:val="en-GB"/>
        </w:rPr>
        <w:t xml:space="preserve">ntiates cardiomyocyte ischemia contributing towards </w:t>
      </w:r>
      <w:r w:rsidRPr="001E5D32">
        <w:rPr>
          <w:rFonts w:ascii="Book Antiqua" w:eastAsia="Times New Roman" w:hAnsi="Book Antiqua"/>
          <w:sz w:val="24"/>
          <w:lang w:val="en-GB"/>
        </w:rPr>
        <w:t xml:space="preserve">diastolic dysfunction, adaptive remodelling and </w:t>
      </w:r>
      <w:r w:rsidR="00644412" w:rsidRPr="001E5D32">
        <w:rPr>
          <w:rFonts w:ascii="Book Antiqua" w:eastAsia="Times New Roman" w:hAnsi="Book Antiqua"/>
          <w:sz w:val="24"/>
          <w:lang w:val="en-GB"/>
        </w:rPr>
        <w:t xml:space="preserve">subsequent </w:t>
      </w:r>
      <w:r w:rsidRPr="001E5D32">
        <w:rPr>
          <w:rFonts w:ascii="Book Antiqua" w:eastAsia="Times New Roman" w:hAnsi="Book Antiqua"/>
          <w:sz w:val="24"/>
          <w:lang w:val="en-GB"/>
        </w:rPr>
        <w:t xml:space="preserve">cardiac injury. IR is therefore considered the primary mechanism underlying the emergence of a distinct “dysfunctional cardiovascular phenotype” of NAFLD, particularly associated with increased </w:t>
      </w:r>
      <w:r w:rsidR="008F4152" w:rsidRPr="001E5D32">
        <w:rPr>
          <w:rFonts w:ascii="Book Antiqua" w:eastAsia="Times New Roman" w:hAnsi="Book Antiqua"/>
          <w:sz w:val="24"/>
          <w:lang w:val="en-GB"/>
        </w:rPr>
        <w:t>cardio-metabolic risk</w:t>
      </w:r>
      <w:r w:rsidR="00AD5DF3"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61</w:t>
      </w:r>
      <w:r w:rsidR="00AD5DF3"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xml:space="preserve">. </w:t>
      </w:r>
    </w:p>
    <w:p w14:paraId="69DA1D9F" w14:textId="77777777" w:rsidR="00195906" w:rsidRPr="001E5D32" w:rsidRDefault="00195906" w:rsidP="001E5D32">
      <w:pPr>
        <w:spacing w:line="360" w:lineRule="auto"/>
        <w:rPr>
          <w:rFonts w:ascii="Book Antiqua" w:eastAsiaTheme="minorEastAsia" w:hAnsi="Book Antiqua"/>
          <w:sz w:val="24"/>
          <w:lang w:val="en-GB"/>
        </w:rPr>
      </w:pPr>
    </w:p>
    <w:p w14:paraId="1525AF24" w14:textId="77777777" w:rsidR="00184F7C" w:rsidRPr="001E5D32" w:rsidRDefault="00184F7C" w:rsidP="001E5D32">
      <w:pPr>
        <w:spacing w:line="360" w:lineRule="auto"/>
        <w:rPr>
          <w:rFonts w:ascii="Book Antiqua" w:eastAsia="Times New Roman" w:hAnsi="Book Antiqua"/>
          <w:b/>
          <w:i/>
          <w:sz w:val="24"/>
          <w:lang w:val="en-GB"/>
        </w:rPr>
      </w:pPr>
      <w:r w:rsidRPr="001E5D32">
        <w:rPr>
          <w:rFonts w:ascii="Book Antiqua" w:eastAsia="Times New Roman" w:hAnsi="Book Antiqua"/>
          <w:b/>
          <w:i/>
          <w:sz w:val="24"/>
          <w:lang w:val="en-GB"/>
        </w:rPr>
        <w:t xml:space="preserve">Liver enzyme levels </w:t>
      </w:r>
    </w:p>
    <w:p w14:paraId="5A5F4A6D" w14:textId="65E26C6A" w:rsidR="008F4152" w:rsidRPr="001E5D32" w:rsidRDefault="00184F7C" w:rsidP="001E5D32">
      <w:pPr>
        <w:spacing w:line="360" w:lineRule="auto"/>
        <w:rPr>
          <w:rFonts w:ascii="Book Antiqua" w:eastAsiaTheme="minorEastAsia" w:hAnsi="Book Antiqua"/>
          <w:sz w:val="24"/>
          <w:lang w:val="en-GB"/>
        </w:rPr>
      </w:pPr>
      <w:r w:rsidRPr="001E5D32">
        <w:rPr>
          <w:rFonts w:ascii="Book Antiqua" w:eastAsia="Times New Roman" w:hAnsi="Book Antiqua"/>
          <w:sz w:val="24"/>
          <w:lang w:val="en-GB"/>
        </w:rPr>
        <w:t>Separately, an el</w:t>
      </w:r>
      <w:r w:rsidR="00336488" w:rsidRPr="001E5D32">
        <w:rPr>
          <w:rFonts w:ascii="Book Antiqua" w:eastAsia="Times New Roman" w:hAnsi="Book Antiqua"/>
          <w:sz w:val="24"/>
          <w:lang w:val="en-GB"/>
        </w:rPr>
        <w:t>evation in either AST or ALT is</w:t>
      </w:r>
      <w:r w:rsidRPr="001E5D32">
        <w:rPr>
          <w:rFonts w:ascii="Book Antiqua" w:eastAsia="Times New Roman" w:hAnsi="Book Antiqua"/>
          <w:sz w:val="24"/>
          <w:lang w:val="en-GB"/>
        </w:rPr>
        <w:t xml:space="preserve"> not considered</w:t>
      </w:r>
      <w:r w:rsidR="005A10B7" w:rsidRPr="001E5D32">
        <w:rPr>
          <w:rFonts w:ascii="Book Antiqua" w:eastAsia="Times New Roman" w:hAnsi="Book Antiqua"/>
          <w:sz w:val="24"/>
          <w:lang w:val="en-GB"/>
        </w:rPr>
        <w:t xml:space="preserve"> a reliable indicator</w:t>
      </w:r>
      <w:r w:rsidRPr="001E5D32">
        <w:rPr>
          <w:rFonts w:ascii="Book Antiqua" w:eastAsia="Times New Roman" w:hAnsi="Book Antiqua"/>
          <w:sz w:val="24"/>
          <w:lang w:val="en-GB"/>
        </w:rPr>
        <w:t xml:space="preserve"> of necro-inflammatory h</w:t>
      </w:r>
      <w:r w:rsidR="00786DF8" w:rsidRPr="001E5D32">
        <w:rPr>
          <w:rFonts w:ascii="Book Antiqua" w:eastAsia="Times New Roman" w:hAnsi="Book Antiqua"/>
          <w:sz w:val="24"/>
          <w:lang w:val="en-GB"/>
        </w:rPr>
        <w:t xml:space="preserve">epatic injury, and </w:t>
      </w:r>
      <w:r w:rsidR="002D0CF8" w:rsidRPr="001E5D32">
        <w:rPr>
          <w:rFonts w:ascii="Book Antiqua" w:eastAsia="Times New Roman" w:hAnsi="Book Antiqua"/>
          <w:sz w:val="24"/>
          <w:lang w:val="en-GB"/>
        </w:rPr>
        <w:t>a</w:t>
      </w:r>
      <w:r w:rsidRPr="001E5D32">
        <w:rPr>
          <w:rFonts w:ascii="Book Antiqua" w:eastAsia="Times New Roman" w:hAnsi="Book Antiqua"/>
          <w:sz w:val="24"/>
          <w:lang w:val="en-GB"/>
        </w:rPr>
        <w:t>s such, normal levels do not confidently exclude a diagn</w:t>
      </w:r>
      <w:r w:rsidR="008F4152" w:rsidRPr="001E5D32">
        <w:rPr>
          <w:rFonts w:ascii="Book Antiqua" w:eastAsia="Times New Roman" w:hAnsi="Book Antiqua"/>
          <w:sz w:val="24"/>
          <w:lang w:val="en-GB"/>
        </w:rPr>
        <w:t>osis of NASH</w:t>
      </w:r>
      <w:r w:rsidR="00AD5DF3"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62</w:t>
      </w:r>
      <w:r w:rsidR="00AD5DF3"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xml:space="preserve">. Increased GGT however independently predicts not only </w:t>
      </w:r>
      <w:r w:rsidR="008F4152" w:rsidRPr="001E5D32">
        <w:rPr>
          <w:rFonts w:ascii="Book Antiqua" w:eastAsia="Times New Roman" w:hAnsi="Book Antiqua"/>
          <w:sz w:val="24"/>
          <w:lang w:val="en-GB"/>
        </w:rPr>
        <w:t>progression to NASH</w:t>
      </w:r>
      <w:r w:rsidR="00AD5DF3"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63</w:t>
      </w:r>
      <w:r w:rsidR="00AD5DF3" w:rsidRPr="001E5D32">
        <w:rPr>
          <w:rFonts w:ascii="Book Antiqua" w:eastAsia="Times New Roman" w:hAnsi="Book Antiqua"/>
          <w:sz w:val="24"/>
          <w:vertAlign w:val="superscript"/>
          <w:lang w:val="en-GB"/>
        </w:rPr>
        <w:t>]</w:t>
      </w:r>
      <w:r w:rsidR="00AD5DF3" w:rsidRPr="001E5D32">
        <w:rPr>
          <w:rFonts w:ascii="Book Antiqua" w:eastAsia="Times New Roman" w:hAnsi="Book Antiqua"/>
          <w:sz w:val="24"/>
          <w:lang w:val="en-GB"/>
        </w:rPr>
        <w:t xml:space="preserve"> </w:t>
      </w:r>
      <w:r w:rsidR="006B618B" w:rsidRPr="001E5D32">
        <w:rPr>
          <w:rFonts w:ascii="Book Antiqua" w:eastAsia="Times New Roman" w:hAnsi="Book Antiqua"/>
          <w:sz w:val="24"/>
          <w:lang w:val="en-GB"/>
        </w:rPr>
        <w:t>but also the new-onset CVD in additio</w:t>
      </w:r>
      <w:r w:rsidR="008F4152" w:rsidRPr="001E5D32">
        <w:rPr>
          <w:rFonts w:ascii="Book Antiqua" w:eastAsia="Times New Roman" w:hAnsi="Book Antiqua"/>
          <w:sz w:val="24"/>
          <w:lang w:val="en-GB"/>
        </w:rPr>
        <w:t>n to cardiac mortality</w:t>
      </w:r>
      <w:r w:rsidR="00AD5DF3"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64</w:t>
      </w:r>
      <w:r w:rsidR="00AD5DF3" w:rsidRPr="001E5D32">
        <w:rPr>
          <w:rFonts w:ascii="Book Antiqua" w:eastAsia="Times New Roman" w:hAnsi="Book Antiqua"/>
          <w:sz w:val="24"/>
          <w:vertAlign w:val="superscript"/>
          <w:lang w:val="en-GB"/>
        </w:rPr>
        <w:t>]</w:t>
      </w:r>
      <w:r w:rsidR="00AD5DF3" w:rsidRPr="001E5D32">
        <w:rPr>
          <w:rFonts w:ascii="Book Antiqua" w:eastAsia="Times New Roman" w:hAnsi="Book Antiqua"/>
          <w:sz w:val="24"/>
          <w:lang w:val="en-GB"/>
        </w:rPr>
        <w:t>.</w:t>
      </w:r>
    </w:p>
    <w:p w14:paraId="6FAF5D43" w14:textId="77777777" w:rsidR="00195906" w:rsidRPr="001E5D32" w:rsidRDefault="00195906" w:rsidP="001E5D32">
      <w:pPr>
        <w:spacing w:line="360" w:lineRule="auto"/>
        <w:rPr>
          <w:rFonts w:ascii="Book Antiqua" w:eastAsiaTheme="minorEastAsia" w:hAnsi="Book Antiqua"/>
          <w:sz w:val="24"/>
          <w:lang w:val="en-GB"/>
        </w:rPr>
      </w:pPr>
    </w:p>
    <w:p w14:paraId="21BD0DD7" w14:textId="77777777" w:rsidR="00184F7C" w:rsidRPr="001E5D32" w:rsidRDefault="008719FA" w:rsidP="001E5D32">
      <w:pPr>
        <w:spacing w:line="360" w:lineRule="auto"/>
        <w:rPr>
          <w:rFonts w:ascii="Book Antiqua" w:eastAsia="Times New Roman" w:hAnsi="Book Antiqua"/>
          <w:b/>
          <w:i/>
          <w:sz w:val="24"/>
          <w:lang w:val="en-GB"/>
        </w:rPr>
      </w:pPr>
      <w:r w:rsidRPr="001E5D32">
        <w:rPr>
          <w:rFonts w:ascii="Book Antiqua" w:eastAsia="Times New Roman" w:hAnsi="Book Antiqua"/>
          <w:b/>
          <w:i/>
          <w:sz w:val="24"/>
          <w:lang w:val="en-GB"/>
        </w:rPr>
        <w:t xml:space="preserve">Obstructive sleep apnoea </w:t>
      </w:r>
    </w:p>
    <w:p w14:paraId="51659BB7" w14:textId="70E0A5BF" w:rsidR="00BA50DE" w:rsidRPr="001E5D32" w:rsidRDefault="00BA0211" w:rsidP="001E5D32">
      <w:pPr>
        <w:spacing w:line="360" w:lineRule="auto"/>
        <w:rPr>
          <w:rFonts w:ascii="Book Antiqua" w:eastAsiaTheme="minorEastAsia" w:hAnsi="Book Antiqua"/>
          <w:sz w:val="24"/>
          <w:lang w:val="en-GB"/>
        </w:rPr>
      </w:pPr>
      <w:r w:rsidRPr="001E5D32">
        <w:rPr>
          <w:rFonts w:ascii="Book Antiqua" w:eastAsia="Times New Roman" w:hAnsi="Book Antiqua"/>
          <w:sz w:val="24"/>
          <w:lang w:val="en-GB"/>
        </w:rPr>
        <w:t xml:space="preserve">The association between </w:t>
      </w:r>
      <w:r w:rsidR="0070575E" w:rsidRPr="001E5D32">
        <w:rPr>
          <w:rFonts w:ascii="Book Antiqua" w:eastAsia="Times New Roman" w:hAnsi="Book Antiqua"/>
          <w:sz w:val="24"/>
          <w:lang w:val="en-GB"/>
        </w:rPr>
        <w:t xml:space="preserve">obstructive sleep apnoea (OSA) </w:t>
      </w:r>
      <w:r w:rsidRPr="001E5D32">
        <w:rPr>
          <w:rFonts w:ascii="Book Antiqua" w:eastAsia="Times New Roman" w:hAnsi="Book Antiqua"/>
          <w:sz w:val="24"/>
          <w:lang w:val="en-GB"/>
        </w:rPr>
        <w:t xml:space="preserve">and central obesity as well as the </w:t>
      </w:r>
      <w:r w:rsidR="0070575E" w:rsidRPr="001E5D32">
        <w:rPr>
          <w:rFonts w:ascii="Book Antiqua" w:eastAsia="Times New Roman" w:hAnsi="Book Antiqua"/>
          <w:sz w:val="24"/>
          <w:lang w:val="en-GB"/>
        </w:rPr>
        <w:t>metabolic syndrome validates its incorporation</w:t>
      </w:r>
      <w:r w:rsidR="001951EA" w:rsidRPr="001E5D32">
        <w:rPr>
          <w:rFonts w:ascii="Book Antiqua" w:eastAsia="Times New Roman" w:hAnsi="Book Antiqua"/>
          <w:sz w:val="24"/>
          <w:lang w:val="en-GB"/>
        </w:rPr>
        <w:t xml:space="preserve"> into several diagnostic models for NASH.</w:t>
      </w:r>
      <w:r w:rsidR="00AF4156" w:rsidRPr="001E5D32">
        <w:rPr>
          <w:rFonts w:ascii="Book Antiqua" w:eastAsia="Times New Roman" w:hAnsi="Book Antiqua"/>
          <w:sz w:val="24"/>
          <w:lang w:val="en-GB"/>
        </w:rPr>
        <w:t xml:space="preserve"> </w:t>
      </w:r>
      <w:r w:rsidR="0070575E" w:rsidRPr="001E5D32">
        <w:rPr>
          <w:rFonts w:ascii="Book Antiqua" w:eastAsia="Times New Roman" w:hAnsi="Book Antiqua"/>
          <w:sz w:val="24"/>
          <w:lang w:val="en-GB"/>
        </w:rPr>
        <w:t>Severe c</w:t>
      </w:r>
      <w:r w:rsidR="001951EA" w:rsidRPr="001E5D32">
        <w:rPr>
          <w:rFonts w:ascii="Book Antiqua" w:eastAsia="Times New Roman" w:hAnsi="Book Antiqua"/>
          <w:sz w:val="24"/>
          <w:lang w:val="en-GB"/>
        </w:rPr>
        <w:t xml:space="preserve">hronic hypoxemia is positively correlated with steatosis grade </w:t>
      </w:r>
      <w:r w:rsidR="0070575E" w:rsidRPr="001E5D32">
        <w:rPr>
          <w:rFonts w:ascii="Book Antiqua" w:eastAsia="Times New Roman" w:hAnsi="Book Antiqua"/>
          <w:sz w:val="24"/>
          <w:lang w:val="en-GB"/>
        </w:rPr>
        <w:t xml:space="preserve">and indirectly </w:t>
      </w:r>
      <w:r w:rsidR="001951EA" w:rsidRPr="001E5D32">
        <w:rPr>
          <w:rFonts w:ascii="Book Antiqua" w:eastAsia="Times New Roman" w:hAnsi="Book Antiqua"/>
          <w:sz w:val="24"/>
          <w:lang w:val="en-GB"/>
        </w:rPr>
        <w:t>prom</w:t>
      </w:r>
      <w:r w:rsidR="0070575E" w:rsidRPr="001E5D32">
        <w:rPr>
          <w:rFonts w:ascii="Book Antiqua" w:eastAsia="Times New Roman" w:hAnsi="Book Antiqua"/>
          <w:sz w:val="24"/>
          <w:lang w:val="en-GB"/>
        </w:rPr>
        <w:t>otes</w:t>
      </w:r>
      <w:r w:rsidR="001951EA" w:rsidRPr="001E5D32">
        <w:rPr>
          <w:rFonts w:ascii="Book Antiqua" w:eastAsia="Times New Roman" w:hAnsi="Book Antiqua"/>
          <w:sz w:val="24"/>
          <w:lang w:val="en-GB"/>
        </w:rPr>
        <w:t xml:space="preserve"> hepatic necro-inflammation</w:t>
      </w:r>
      <w:r w:rsidR="00AD5DF3"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65</w:t>
      </w:r>
      <w:r w:rsidR="00AD5DF3" w:rsidRPr="001E5D32">
        <w:rPr>
          <w:rFonts w:ascii="Book Antiqua" w:eastAsia="Times New Roman" w:hAnsi="Book Antiqua"/>
          <w:sz w:val="24"/>
          <w:vertAlign w:val="superscript"/>
          <w:lang w:val="en-GB"/>
        </w:rPr>
        <w:t>]</w:t>
      </w:r>
      <w:r w:rsidRPr="001E5D32">
        <w:rPr>
          <w:rFonts w:ascii="Book Antiqua" w:eastAsia="Times New Roman" w:hAnsi="Book Antiqua"/>
          <w:sz w:val="24"/>
          <w:vertAlign w:val="superscript"/>
          <w:lang w:val="en-GB"/>
        </w:rPr>
        <w:t xml:space="preserve"> </w:t>
      </w:r>
      <w:r w:rsidRPr="001E5D32">
        <w:rPr>
          <w:rFonts w:ascii="Book Antiqua" w:eastAsia="Times New Roman" w:hAnsi="Book Antiqua"/>
          <w:sz w:val="24"/>
          <w:lang w:val="en-GB"/>
        </w:rPr>
        <w:t xml:space="preserve">although its association with </w:t>
      </w:r>
      <w:r w:rsidR="00E95DCE" w:rsidRPr="001E5D32">
        <w:rPr>
          <w:rFonts w:ascii="Book Antiqua" w:eastAsia="Times New Roman" w:hAnsi="Book Antiqua"/>
          <w:sz w:val="24"/>
          <w:lang w:val="en-GB"/>
        </w:rPr>
        <w:t xml:space="preserve">other determinants of histological injury remains </w:t>
      </w:r>
      <w:r w:rsidR="0070575E" w:rsidRPr="001E5D32">
        <w:rPr>
          <w:rFonts w:ascii="Book Antiqua" w:eastAsia="Times New Roman" w:hAnsi="Book Antiqua"/>
          <w:sz w:val="24"/>
          <w:lang w:val="en-GB"/>
        </w:rPr>
        <w:t>unclear</w:t>
      </w:r>
      <w:r w:rsidR="00AD5DF3"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66,67</w:t>
      </w:r>
      <w:r w:rsidR="00AD5DF3" w:rsidRPr="001E5D32">
        <w:rPr>
          <w:rFonts w:ascii="Book Antiqua" w:eastAsia="Times New Roman" w:hAnsi="Book Antiqua"/>
          <w:sz w:val="24"/>
          <w:vertAlign w:val="superscript"/>
          <w:lang w:val="en-GB"/>
        </w:rPr>
        <w:t>]</w:t>
      </w:r>
      <w:r w:rsidR="00AF4156" w:rsidRPr="001E5D32">
        <w:rPr>
          <w:rFonts w:ascii="Book Antiqua" w:eastAsia="Times New Roman" w:hAnsi="Book Antiqua"/>
          <w:sz w:val="24"/>
          <w:lang w:val="en-GB"/>
        </w:rPr>
        <w:t xml:space="preserve">. </w:t>
      </w:r>
      <w:r w:rsidR="00184F7C" w:rsidRPr="001E5D32">
        <w:rPr>
          <w:rFonts w:ascii="Book Antiqua" w:eastAsia="Times New Roman" w:hAnsi="Book Antiqua"/>
          <w:sz w:val="24"/>
          <w:lang w:val="en-GB"/>
        </w:rPr>
        <w:t>Intermittent hypoxia in</w:t>
      </w:r>
      <w:r w:rsidR="00AF4156" w:rsidRPr="001E5D32">
        <w:rPr>
          <w:rFonts w:ascii="Book Antiqua" w:eastAsia="Times New Roman" w:hAnsi="Book Antiqua"/>
          <w:sz w:val="24"/>
          <w:lang w:val="en-GB"/>
        </w:rPr>
        <w:t xml:space="preserve">duces intra-hepatic FFA flux </w:t>
      </w:r>
      <w:r w:rsidR="001951EA" w:rsidRPr="001E5D32">
        <w:rPr>
          <w:rFonts w:ascii="Book Antiqua" w:eastAsia="Times New Roman" w:hAnsi="Book Antiqua"/>
          <w:sz w:val="24"/>
          <w:lang w:val="en-GB"/>
        </w:rPr>
        <w:t xml:space="preserve">which </w:t>
      </w:r>
      <w:r w:rsidR="00184F7C" w:rsidRPr="001E5D32">
        <w:rPr>
          <w:rFonts w:ascii="Book Antiqua" w:eastAsia="Times New Roman" w:hAnsi="Book Antiqua"/>
          <w:sz w:val="24"/>
          <w:lang w:val="en-GB"/>
        </w:rPr>
        <w:t>promote</w:t>
      </w:r>
      <w:r w:rsidR="001951EA" w:rsidRPr="001E5D32">
        <w:rPr>
          <w:rFonts w:ascii="Book Antiqua" w:eastAsia="Times New Roman" w:hAnsi="Book Antiqua"/>
          <w:sz w:val="24"/>
          <w:lang w:val="en-GB"/>
        </w:rPr>
        <w:t>s</w:t>
      </w:r>
      <w:r w:rsidR="00184F7C" w:rsidRPr="001E5D32">
        <w:rPr>
          <w:rFonts w:ascii="Book Antiqua" w:eastAsia="Times New Roman" w:hAnsi="Book Antiqua"/>
          <w:sz w:val="24"/>
          <w:lang w:val="en-GB"/>
        </w:rPr>
        <w:t xml:space="preserve"> </w:t>
      </w:r>
      <w:r w:rsidR="001951EA" w:rsidRPr="001E5D32">
        <w:rPr>
          <w:rFonts w:ascii="Book Antiqua" w:eastAsia="Times New Roman" w:hAnsi="Book Antiqua"/>
          <w:sz w:val="24"/>
          <w:lang w:val="en-GB"/>
        </w:rPr>
        <w:t>progression to NASH via 1) activation of</w:t>
      </w:r>
      <w:r w:rsidR="00184F7C" w:rsidRPr="001E5D32">
        <w:rPr>
          <w:rFonts w:ascii="Book Antiqua" w:eastAsia="Times New Roman" w:hAnsi="Book Antiqua"/>
          <w:sz w:val="24"/>
          <w:lang w:val="en-GB"/>
        </w:rPr>
        <w:t xml:space="preserve"> nuclear factor kap</w:t>
      </w:r>
      <w:r w:rsidR="001951EA" w:rsidRPr="001E5D32">
        <w:rPr>
          <w:rFonts w:ascii="Book Antiqua" w:eastAsia="Times New Roman" w:hAnsi="Book Antiqua"/>
          <w:sz w:val="24"/>
          <w:lang w:val="en-GB"/>
        </w:rPr>
        <w:t xml:space="preserve">pa beta (NF-KB) and increased </w:t>
      </w:r>
      <w:r w:rsidR="00184F7C" w:rsidRPr="001E5D32">
        <w:rPr>
          <w:rFonts w:ascii="Book Antiqua" w:eastAsia="Times New Roman" w:hAnsi="Book Antiqua"/>
          <w:sz w:val="24"/>
          <w:lang w:val="en-GB"/>
        </w:rPr>
        <w:t>production of pro</w:t>
      </w:r>
      <w:r w:rsidR="001951EA" w:rsidRPr="001E5D32">
        <w:rPr>
          <w:rFonts w:ascii="Book Antiqua" w:eastAsia="Times New Roman" w:hAnsi="Book Antiqua"/>
          <w:sz w:val="24"/>
          <w:lang w:val="en-GB"/>
        </w:rPr>
        <w:t>-inflammatory adipocytokines, as well as 2) up-regulation of</w:t>
      </w:r>
      <w:r w:rsidR="00184F7C" w:rsidRPr="001E5D32">
        <w:rPr>
          <w:rFonts w:ascii="Book Antiqua" w:eastAsia="Times New Roman" w:hAnsi="Book Antiqua"/>
          <w:sz w:val="24"/>
          <w:lang w:val="en-GB"/>
        </w:rPr>
        <w:t xml:space="preserve"> reactive oxygen species (ROS) synthesis</w:t>
      </w:r>
      <w:r w:rsidR="001951EA" w:rsidRPr="001E5D32">
        <w:rPr>
          <w:rFonts w:ascii="Book Antiqua" w:eastAsia="Times New Roman" w:hAnsi="Book Antiqua"/>
          <w:sz w:val="24"/>
          <w:lang w:val="en-GB"/>
        </w:rPr>
        <w:t xml:space="preserve"> mediated by</w:t>
      </w:r>
      <w:r w:rsidR="00647954" w:rsidRPr="001E5D32">
        <w:rPr>
          <w:rFonts w:ascii="Book Antiqua" w:eastAsia="Times New Roman" w:hAnsi="Book Antiqua"/>
          <w:sz w:val="24"/>
          <w:lang w:val="en-GB"/>
        </w:rPr>
        <w:t xml:space="preserve"> the NADPH oxidase complex</w:t>
      </w:r>
      <w:r w:rsidR="00AD5DF3"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68</w:t>
      </w:r>
      <w:r w:rsidR="00AD5DF3" w:rsidRPr="001E5D32">
        <w:rPr>
          <w:rFonts w:ascii="Book Antiqua" w:eastAsia="Times New Roman" w:hAnsi="Book Antiqua"/>
          <w:sz w:val="24"/>
          <w:vertAlign w:val="superscript"/>
          <w:lang w:val="en-GB"/>
        </w:rPr>
        <w:t>]</w:t>
      </w:r>
      <w:r w:rsidR="00AD5DF3" w:rsidRPr="001E5D32">
        <w:rPr>
          <w:rFonts w:ascii="Book Antiqua" w:eastAsia="Times New Roman" w:hAnsi="Book Antiqua"/>
          <w:sz w:val="24"/>
          <w:lang w:val="en-GB"/>
        </w:rPr>
        <w:t>.</w:t>
      </w:r>
    </w:p>
    <w:p w14:paraId="3599C0E3" w14:textId="77777777" w:rsidR="00195906" w:rsidRPr="001E5D32" w:rsidRDefault="00195906" w:rsidP="001E5D32">
      <w:pPr>
        <w:spacing w:line="360" w:lineRule="auto"/>
        <w:rPr>
          <w:rFonts w:ascii="Book Antiqua" w:eastAsiaTheme="minorEastAsia" w:hAnsi="Book Antiqua"/>
          <w:sz w:val="24"/>
          <w:lang w:val="en-GB"/>
        </w:rPr>
      </w:pPr>
    </w:p>
    <w:p w14:paraId="528CC8DA" w14:textId="473A14EC" w:rsidR="00184F7C" w:rsidRPr="001E5D32" w:rsidRDefault="007265D3" w:rsidP="001E5D32">
      <w:pPr>
        <w:spacing w:line="360" w:lineRule="auto"/>
        <w:rPr>
          <w:rFonts w:ascii="Book Antiqua" w:eastAsia="Times New Roman" w:hAnsi="Book Antiqua"/>
          <w:b/>
          <w:i/>
          <w:sz w:val="24"/>
          <w:lang w:val="en-GB"/>
        </w:rPr>
      </w:pPr>
      <w:r w:rsidRPr="001E5D32">
        <w:rPr>
          <w:rFonts w:ascii="Book Antiqua" w:eastAsia="Times New Roman" w:hAnsi="Book Antiqua"/>
          <w:b/>
          <w:i/>
          <w:sz w:val="24"/>
          <w:lang w:val="en-GB"/>
        </w:rPr>
        <w:t>Oxidative and inflammatory biomarkers</w:t>
      </w:r>
    </w:p>
    <w:p w14:paraId="63D4EDF9" w14:textId="4CCF6AC0" w:rsidR="00814072" w:rsidRPr="001E5D32" w:rsidRDefault="00184F7C" w:rsidP="001E5D32">
      <w:pPr>
        <w:spacing w:line="360" w:lineRule="auto"/>
        <w:rPr>
          <w:rFonts w:ascii="Book Antiqua" w:eastAsiaTheme="minorEastAsia" w:hAnsi="Book Antiqua"/>
          <w:sz w:val="24"/>
          <w:lang w:val="en-GB"/>
        </w:rPr>
      </w:pPr>
      <w:r w:rsidRPr="001E5D32">
        <w:rPr>
          <w:rFonts w:ascii="Book Antiqua" w:eastAsia="Times New Roman" w:hAnsi="Book Antiqua"/>
          <w:sz w:val="24"/>
          <w:lang w:val="en-GB"/>
        </w:rPr>
        <w:t xml:space="preserve">Chronic inflammation and oxidative stress are considered important “second-hit” pathogenic mechanisms underlying progression to NASH. </w:t>
      </w:r>
      <w:r w:rsidR="004560CA" w:rsidRPr="001E5D32">
        <w:rPr>
          <w:rFonts w:ascii="Book Antiqua" w:eastAsia="Times New Roman" w:hAnsi="Book Antiqua"/>
          <w:sz w:val="24"/>
          <w:lang w:val="en-GB"/>
        </w:rPr>
        <w:t>The relationship between the metabolic syndrome and high-sensitivity C-reactive protei</w:t>
      </w:r>
      <w:r w:rsidR="007465D4" w:rsidRPr="001E5D32">
        <w:rPr>
          <w:rFonts w:ascii="Book Antiqua" w:eastAsia="Times New Roman" w:hAnsi="Book Antiqua"/>
          <w:sz w:val="24"/>
          <w:lang w:val="en-GB"/>
        </w:rPr>
        <w:t>n (hs-CRP) is well-recog</w:t>
      </w:r>
      <w:r w:rsidR="00647954" w:rsidRPr="001E5D32">
        <w:rPr>
          <w:rFonts w:ascii="Book Antiqua" w:eastAsia="Times New Roman" w:hAnsi="Book Antiqua"/>
          <w:sz w:val="24"/>
          <w:lang w:val="en-GB"/>
        </w:rPr>
        <w:t>nized</w:t>
      </w:r>
      <w:r w:rsidR="007465D4"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69</w:t>
      </w:r>
      <w:r w:rsidR="004560CA" w:rsidRPr="001E5D32">
        <w:rPr>
          <w:rFonts w:ascii="Book Antiqua" w:eastAsia="Times New Roman" w:hAnsi="Book Antiqua"/>
          <w:sz w:val="24"/>
          <w:vertAlign w:val="superscript"/>
          <w:lang w:val="en-GB"/>
        </w:rPr>
        <w:t>]</w:t>
      </w:r>
      <w:r w:rsidR="004560CA" w:rsidRPr="001E5D32">
        <w:rPr>
          <w:rFonts w:ascii="Book Antiqua" w:eastAsia="Times New Roman" w:hAnsi="Book Antiqua"/>
          <w:sz w:val="24"/>
          <w:lang w:val="en-GB"/>
        </w:rPr>
        <w:t xml:space="preserve"> and a preponderance of evidence now supports its</w:t>
      </w:r>
      <w:r w:rsidR="00BA50DE" w:rsidRPr="001E5D32">
        <w:rPr>
          <w:rFonts w:ascii="Book Antiqua" w:eastAsia="Times New Roman" w:hAnsi="Book Antiqua"/>
          <w:sz w:val="24"/>
          <w:lang w:val="en-GB"/>
        </w:rPr>
        <w:t xml:space="preserve"> </w:t>
      </w:r>
      <w:r w:rsidR="00763373" w:rsidRPr="001E5D32">
        <w:rPr>
          <w:rFonts w:ascii="Book Antiqua" w:eastAsia="Times New Roman" w:hAnsi="Book Antiqua"/>
          <w:sz w:val="24"/>
          <w:lang w:val="en-GB"/>
        </w:rPr>
        <w:t>utility</w:t>
      </w:r>
      <w:r w:rsidR="004560CA" w:rsidRPr="001E5D32">
        <w:rPr>
          <w:rFonts w:ascii="Book Antiqua" w:eastAsia="Times New Roman" w:hAnsi="Book Antiqua"/>
          <w:sz w:val="24"/>
          <w:lang w:val="en-GB"/>
        </w:rPr>
        <w:t xml:space="preserve"> </w:t>
      </w:r>
      <w:r w:rsidR="00BA50DE" w:rsidRPr="001E5D32">
        <w:rPr>
          <w:rFonts w:ascii="Book Antiqua" w:eastAsia="Times New Roman" w:hAnsi="Book Antiqua"/>
          <w:sz w:val="24"/>
          <w:lang w:val="en-GB"/>
        </w:rPr>
        <w:t>as a reliable predictive marker for</w:t>
      </w:r>
      <w:r w:rsidR="004560CA" w:rsidRPr="001E5D32">
        <w:rPr>
          <w:rFonts w:ascii="Book Antiqua" w:eastAsia="Times New Roman" w:hAnsi="Book Antiqua"/>
          <w:sz w:val="24"/>
          <w:lang w:val="en-GB"/>
        </w:rPr>
        <w:t xml:space="preserve"> new-onset </w:t>
      </w:r>
      <w:r w:rsidR="00112C8D" w:rsidRPr="001E5D32">
        <w:rPr>
          <w:rFonts w:ascii="Book Antiqua" w:eastAsia="Times New Roman" w:hAnsi="Book Antiqua"/>
          <w:sz w:val="24"/>
          <w:lang w:val="en-GB"/>
        </w:rPr>
        <w:t>CVD</w:t>
      </w:r>
      <w:r w:rsidR="004560CA" w:rsidRPr="001E5D32">
        <w:rPr>
          <w:rFonts w:ascii="Book Antiqua" w:eastAsia="Times New Roman" w:hAnsi="Book Antiqua"/>
          <w:sz w:val="24"/>
          <w:lang w:val="en-GB"/>
        </w:rPr>
        <w:t xml:space="preserve"> and </w:t>
      </w:r>
      <w:r w:rsidR="00647954" w:rsidRPr="001E5D32">
        <w:rPr>
          <w:rFonts w:ascii="Book Antiqua" w:eastAsia="Times New Roman" w:hAnsi="Book Antiqua"/>
          <w:sz w:val="24"/>
          <w:lang w:val="en-GB"/>
        </w:rPr>
        <w:t>subclinical atherosclerosis</w:t>
      </w:r>
      <w:r w:rsidR="007465D4"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70-73</w:t>
      </w:r>
      <w:r w:rsidR="004560CA" w:rsidRPr="001E5D32">
        <w:rPr>
          <w:rFonts w:ascii="Book Antiqua" w:eastAsia="Times New Roman" w:hAnsi="Book Antiqua"/>
          <w:sz w:val="24"/>
          <w:vertAlign w:val="superscript"/>
          <w:lang w:val="en-GB"/>
        </w:rPr>
        <w:t>]</w:t>
      </w:r>
      <w:r w:rsidR="00647954" w:rsidRPr="001E5D32">
        <w:rPr>
          <w:rFonts w:ascii="Book Antiqua" w:eastAsia="Times New Roman" w:hAnsi="Book Antiqua"/>
          <w:sz w:val="24"/>
          <w:vertAlign w:val="superscript"/>
          <w:lang w:val="en-GB"/>
        </w:rPr>
        <w:t xml:space="preserve"> </w:t>
      </w:r>
      <w:r w:rsidR="004560CA" w:rsidRPr="001E5D32">
        <w:rPr>
          <w:rFonts w:ascii="Book Antiqua" w:eastAsia="Times New Roman" w:hAnsi="Book Antiqua"/>
          <w:sz w:val="24"/>
          <w:lang w:val="en-GB"/>
        </w:rPr>
        <w:t>. The</w:t>
      </w:r>
      <w:r w:rsidR="00763373" w:rsidRPr="001E5D32">
        <w:rPr>
          <w:rFonts w:ascii="Book Antiqua" w:eastAsia="Times New Roman" w:hAnsi="Book Antiqua"/>
          <w:sz w:val="24"/>
          <w:lang w:val="en-GB"/>
        </w:rPr>
        <w:t xml:space="preserve">re is however general concern regarding the putative value of </w:t>
      </w:r>
      <w:r w:rsidRPr="001E5D32">
        <w:rPr>
          <w:rFonts w:ascii="Book Antiqua" w:eastAsia="Times New Roman" w:hAnsi="Book Antiqua"/>
          <w:sz w:val="24"/>
          <w:lang w:val="en-GB"/>
        </w:rPr>
        <w:t xml:space="preserve">adipocytokines, acute phase reactants (APR) and oxidative biomarkers </w:t>
      </w:r>
      <w:r w:rsidR="00763373" w:rsidRPr="001E5D32">
        <w:rPr>
          <w:rFonts w:ascii="Book Antiqua" w:eastAsia="Times New Roman" w:hAnsi="Book Antiqua"/>
          <w:sz w:val="24"/>
          <w:lang w:val="en-GB"/>
        </w:rPr>
        <w:t xml:space="preserve">in the diagnosis of NASH due to their general lack of </w:t>
      </w:r>
      <w:r w:rsidR="00647954" w:rsidRPr="001E5D32">
        <w:rPr>
          <w:rFonts w:ascii="Book Antiqua" w:eastAsia="Times New Roman" w:hAnsi="Book Antiqua"/>
          <w:sz w:val="24"/>
          <w:lang w:val="en-GB"/>
        </w:rPr>
        <w:t>specificity</w:t>
      </w:r>
      <w:r w:rsidR="00AD5DF3"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74</w:t>
      </w:r>
      <w:r w:rsidR="00AD5DF3" w:rsidRPr="001E5D32">
        <w:rPr>
          <w:rFonts w:ascii="Book Antiqua" w:eastAsia="Times New Roman" w:hAnsi="Book Antiqua"/>
          <w:sz w:val="24"/>
          <w:vertAlign w:val="superscript"/>
          <w:lang w:val="en-GB"/>
        </w:rPr>
        <w:t>]</w:t>
      </w:r>
      <w:r w:rsidR="00BA50DE" w:rsidRPr="001E5D32">
        <w:rPr>
          <w:rFonts w:ascii="Book Antiqua" w:eastAsia="Times New Roman" w:hAnsi="Book Antiqua"/>
          <w:sz w:val="24"/>
          <w:lang w:val="en-GB"/>
        </w:rPr>
        <w:t>. While pl</w:t>
      </w:r>
      <w:r w:rsidRPr="001E5D32">
        <w:rPr>
          <w:rFonts w:ascii="Book Antiqua" w:eastAsia="Times New Roman" w:hAnsi="Book Antiqua"/>
          <w:sz w:val="24"/>
          <w:lang w:val="en-GB"/>
        </w:rPr>
        <w:t>asma caspase-genera</w:t>
      </w:r>
      <w:r w:rsidR="00931C00" w:rsidRPr="001E5D32">
        <w:rPr>
          <w:rFonts w:ascii="Book Antiqua" w:eastAsia="Times New Roman" w:hAnsi="Book Antiqua"/>
          <w:sz w:val="24"/>
          <w:lang w:val="en-GB"/>
        </w:rPr>
        <w:t xml:space="preserve">ted cytokeratin-18 (CK-18) </w:t>
      </w:r>
      <w:r w:rsidR="00BA50DE" w:rsidRPr="001E5D32">
        <w:rPr>
          <w:rFonts w:ascii="Book Antiqua" w:eastAsia="Times New Roman" w:hAnsi="Book Antiqua"/>
          <w:sz w:val="24"/>
          <w:lang w:val="en-GB"/>
        </w:rPr>
        <w:t xml:space="preserve">reflecting hepatocyte apoptosis is </w:t>
      </w:r>
      <w:r w:rsidR="00931C00" w:rsidRPr="001E5D32">
        <w:rPr>
          <w:rFonts w:ascii="Book Antiqua" w:eastAsia="Times New Roman" w:hAnsi="Book Antiqua"/>
          <w:sz w:val="24"/>
          <w:lang w:val="en-GB"/>
        </w:rPr>
        <w:t xml:space="preserve">considered a </w:t>
      </w:r>
      <w:r w:rsidRPr="001E5D32">
        <w:rPr>
          <w:rFonts w:ascii="Book Antiqua" w:eastAsia="Times New Roman" w:hAnsi="Book Antiqua"/>
          <w:sz w:val="24"/>
          <w:lang w:val="en-GB"/>
        </w:rPr>
        <w:t>highly accurate and potentially useful non-invasive diagnostic marker</w:t>
      </w:r>
      <w:r w:rsidR="00647954" w:rsidRPr="001E5D32">
        <w:rPr>
          <w:rFonts w:ascii="Book Antiqua" w:eastAsia="Times New Roman" w:hAnsi="Book Antiqua"/>
          <w:sz w:val="24"/>
          <w:lang w:val="en-GB"/>
        </w:rPr>
        <w:t xml:space="preserve"> for NASH</w:t>
      </w:r>
      <w:r w:rsidR="00AD5DF3"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75</w:t>
      </w:r>
      <w:r w:rsidR="00BA50DE" w:rsidRPr="001E5D32">
        <w:rPr>
          <w:rFonts w:ascii="Book Antiqua" w:eastAsia="Times New Roman" w:hAnsi="Book Antiqua"/>
          <w:sz w:val="24"/>
          <w:vertAlign w:val="superscript"/>
          <w:lang w:val="en-GB"/>
        </w:rPr>
        <w:t>]</w:t>
      </w:r>
      <w:r w:rsidR="00BA50DE" w:rsidRPr="001E5D32">
        <w:rPr>
          <w:rFonts w:ascii="Book Antiqua" w:eastAsia="Times New Roman" w:hAnsi="Book Antiqua"/>
          <w:sz w:val="24"/>
          <w:lang w:val="en-GB"/>
        </w:rPr>
        <w:t xml:space="preserve">, </w:t>
      </w:r>
      <w:r w:rsidRPr="001E5D32">
        <w:rPr>
          <w:rFonts w:ascii="Book Antiqua" w:eastAsia="Times New Roman" w:hAnsi="Book Antiqua"/>
          <w:sz w:val="24"/>
          <w:lang w:val="en-GB"/>
        </w:rPr>
        <w:t>the low sensitivity of CK-18</w:t>
      </w:r>
      <w:r w:rsidR="00BA50DE" w:rsidRPr="001E5D32">
        <w:rPr>
          <w:rFonts w:ascii="Book Antiqua" w:eastAsia="Times New Roman" w:hAnsi="Book Antiqua"/>
          <w:sz w:val="24"/>
          <w:lang w:val="en-GB"/>
        </w:rPr>
        <w:t xml:space="preserve"> </w:t>
      </w:r>
      <w:r w:rsidRPr="001E5D32">
        <w:rPr>
          <w:rFonts w:ascii="Book Antiqua" w:eastAsia="Times New Roman" w:hAnsi="Book Antiqua"/>
          <w:sz w:val="24"/>
          <w:lang w:val="en-GB"/>
        </w:rPr>
        <w:t>limits its potential viability as screening tool in the cli</w:t>
      </w:r>
      <w:r w:rsidR="00647954" w:rsidRPr="001E5D32">
        <w:rPr>
          <w:rFonts w:ascii="Book Antiqua" w:eastAsia="Times New Roman" w:hAnsi="Book Antiqua"/>
          <w:sz w:val="24"/>
          <w:lang w:val="en-GB"/>
        </w:rPr>
        <w:t>nical setting</w:t>
      </w:r>
      <w:r w:rsidR="00AD5DF3"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76</w:t>
      </w:r>
      <w:r w:rsidR="00AD5DF3"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xml:space="preserve">. It also remains unclear to what extent the incorporation of CK-18 into composite </w:t>
      </w:r>
      <w:r w:rsidR="00230416" w:rsidRPr="001E5D32">
        <w:rPr>
          <w:rFonts w:ascii="Book Antiqua" w:eastAsia="Times New Roman" w:hAnsi="Book Antiqua"/>
          <w:sz w:val="24"/>
          <w:lang w:val="en-GB"/>
        </w:rPr>
        <w:t>diagnostic models</w:t>
      </w:r>
      <w:r w:rsidRPr="001E5D32">
        <w:rPr>
          <w:rFonts w:ascii="Book Antiqua" w:eastAsia="Times New Roman" w:hAnsi="Book Antiqua"/>
          <w:sz w:val="24"/>
          <w:lang w:val="en-GB"/>
        </w:rPr>
        <w:t xml:space="preserve"> is det</w:t>
      </w:r>
      <w:r w:rsidR="00230416" w:rsidRPr="001E5D32">
        <w:rPr>
          <w:rFonts w:ascii="Book Antiqua" w:eastAsia="Times New Roman" w:hAnsi="Book Antiqua"/>
          <w:sz w:val="24"/>
          <w:lang w:val="en-GB"/>
        </w:rPr>
        <w:t>erministic of their</w:t>
      </w:r>
      <w:r w:rsidR="00AF7141" w:rsidRPr="001E5D32">
        <w:rPr>
          <w:rFonts w:ascii="Book Antiqua" w:eastAsia="Times New Roman" w:hAnsi="Book Antiqua"/>
          <w:sz w:val="24"/>
          <w:lang w:val="en-GB"/>
        </w:rPr>
        <w:t xml:space="preserve"> accuracy. </w:t>
      </w:r>
    </w:p>
    <w:p w14:paraId="66898D5E" w14:textId="77777777" w:rsidR="00195906" w:rsidRPr="001E5D32" w:rsidRDefault="00195906" w:rsidP="001E5D32">
      <w:pPr>
        <w:spacing w:line="360" w:lineRule="auto"/>
        <w:rPr>
          <w:rFonts w:ascii="Book Antiqua" w:eastAsiaTheme="minorEastAsia" w:hAnsi="Book Antiqua"/>
          <w:sz w:val="24"/>
          <w:lang w:val="en-GB"/>
        </w:rPr>
      </w:pPr>
    </w:p>
    <w:p w14:paraId="6C3B456A" w14:textId="38E2EE2B" w:rsidR="00344396" w:rsidRPr="001E5D32" w:rsidRDefault="00344396" w:rsidP="001E5D32">
      <w:pPr>
        <w:spacing w:line="360" w:lineRule="auto"/>
        <w:rPr>
          <w:rFonts w:ascii="Book Antiqua" w:eastAsia="Times New Roman" w:hAnsi="Book Antiqua"/>
          <w:b/>
          <w:i/>
          <w:sz w:val="24"/>
          <w:lang w:val="en-GB"/>
        </w:rPr>
      </w:pPr>
      <w:r w:rsidRPr="001E5D32">
        <w:rPr>
          <w:rFonts w:ascii="Book Antiqua" w:eastAsia="Times New Roman" w:hAnsi="Book Antiqua"/>
          <w:b/>
          <w:i/>
          <w:sz w:val="24"/>
          <w:lang w:val="en-GB"/>
        </w:rPr>
        <w:t>Iron parameters</w:t>
      </w:r>
    </w:p>
    <w:p w14:paraId="0B7F2422" w14:textId="3A1E5098" w:rsidR="00BA50DE" w:rsidRPr="001E5D32" w:rsidRDefault="004560CA" w:rsidP="001E5D32">
      <w:pPr>
        <w:spacing w:line="360" w:lineRule="auto"/>
        <w:rPr>
          <w:rFonts w:ascii="Book Antiqua" w:eastAsiaTheme="minorHAnsi" w:hAnsi="Book Antiqua" w:cs="Arial"/>
          <w:kern w:val="0"/>
          <w:sz w:val="24"/>
          <w:lang w:val="en-ZA" w:eastAsia="en-US"/>
        </w:rPr>
      </w:pPr>
      <w:r w:rsidRPr="001E5D32">
        <w:rPr>
          <w:rFonts w:ascii="Book Antiqua" w:eastAsia="Times New Roman" w:hAnsi="Book Antiqua"/>
          <w:sz w:val="24"/>
          <w:lang w:val="en-GB"/>
        </w:rPr>
        <w:t>Emerging evidence suggests that ferritin is not only in</w:t>
      </w:r>
      <w:r w:rsidR="009B490B" w:rsidRPr="001E5D32">
        <w:rPr>
          <w:rFonts w:ascii="Book Antiqua" w:eastAsia="Times New Roman" w:hAnsi="Book Antiqua"/>
          <w:sz w:val="24"/>
          <w:lang w:val="en-GB"/>
        </w:rPr>
        <w:t xml:space="preserve">dependently associated with </w:t>
      </w:r>
      <w:r w:rsidRPr="001E5D32">
        <w:rPr>
          <w:rFonts w:ascii="Book Antiqua" w:eastAsia="Times New Roman" w:hAnsi="Book Antiqua"/>
          <w:sz w:val="24"/>
          <w:lang w:val="en-GB"/>
        </w:rPr>
        <w:t>diagnostic features of the metabolic syndrome, but reliably predicts its pres</w:t>
      </w:r>
      <w:r w:rsidR="00763373" w:rsidRPr="001E5D32">
        <w:rPr>
          <w:rFonts w:ascii="Book Antiqua" w:eastAsia="Times New Roman" w:hAnsi="Book Antiqua"/>
          <w:sz w:val="24"/>
          <w:lang w:val="en-GB"/>
        </w:rPr>
        <w:t xml:space="preserve">entation as composite entity as well as </w:t>
      </w:r>
      <w:r w:rsidR="009B490B" w:rsidRPr="001E5D32">
        <w:rPr>
          <w:rFonts w:ascii="Book Antiqua" w:eastAsia="Times New Roman" w:hAnsi="Book Antiqua"/>
          <w:sz w:val="24"/>
          <w:lang w:val="en-GB"/>
        </w:rPr>
        <w:t xml:space="preserve">the </w:t>
      </w:r>
      <w:r w:rsidRPr="001E5D32">
        <w:rPr>
          <w:rFonts w:ascii="Book Antiqua" w:eastAsia="Times New Roman" w:hAnsi="Book Antiqua"/>
          <w:sz w:val="24"/>
          <w:lang w:val="en-GB"/>
        </w:rPr>
        <w:t>onset of full-blown type II diabetes mellitus (DM II)</w:t>
      </w:r>
      <w:r w:rsidR="00647954" w:rsidRPr="001E5D32">
        <w:rPr>
          <w:rFonts w:ascii="Book Antiqua" w:eastAsia="Times New Roman" w:hAnsi="Book Antiqua"/>
          <w:sz w:val="24"/>
          <w:lang w:val="en-GB"/>
        </w:rPr>
        <w:t xml:space="preserve"> and adverse cardiac events</w:t>
      </w:r>
      <w:r w:rsidR="004C502F"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77-79</w:t>
      </w:r>
      <w:r w:rsidR="004C502F" w:rsidRPr="001E5D32">
        <w:rPr>
          <w:rFonts w:ascii="Book Antiqua" w:eastAsia="Times New Roman" w:hAnsi="Book Antiqua"/>
          <w:sz w:val="24"/>
          <w:vertAlign w:val="superscript"/>
          <w:lang w:val="en-GB"/>
        </w:rPr>
        <w:t>]</w:t>
      </w:r>
      <w:r w:rsidR="004C502F" w:rsidRPr="001E5D32">
        <w:rPr>
          <w:rFonts w:ascii="Book Antiqua" w:eastAsia="Times New Roman" w:hAnsi="Book Antiqua"/>
          <w:sz w:val="24"/>
          <w:lang w:val="en-GB"/>
        </w:rPr>
        <w:t xml:space="preserve">. </w:t>
      </w:r>
      <w:r w:rsidR="00763373" w:rsidRPr="001E5D32">
        <w:rPr>
          <w:rFonts w:ascii="Book Antiqua" w:eastAsiaTheme="minorHAnsi" w:hAnsi="Book Antiqua" w:cs="Arial"/>
          <w:kern w:val="0"/>
          <w:sz w:val="24"/>
          <w:lang w:val="en-ZA" w:eastAsia="en-US"/>
        </w:rPr>
        <w:t>It has been proposed that the</w:t>
      </w:r>
      <w:r w:rsidRPr="001E5D32">
        <w:rPr>
          <w:rFonts w:ascii="Book Antiqua" w:eastAsiaTheme="minorHAnsi" w:hAnsi="Book Antiqua" w:cs="Arial"/>
          <w:kern w:val="0"/>
          <w:sz w:val="24"/>
          <w:lang w:val="en-ZA" w:eastAsia="en-US"/>
        </w:rPr>
        <w:t xml:space="preserve"> well-evidenced pathogenic r</w:t>
      </w:r>
      <w:r w:rsidR="00763373" w:rsidRPr="001E5D32">
        <w:rPr>
          <w:rFonts w:ascii="Book Antiqua" w:eastAsiaTheme="minorHAnsi" w:hAnsi="Book Antiqua" w:cs="Arial"/>
          <w:kern w:val="0"/>
          <w:sz w:val="24"/>
          <w:lang w:val="en-ZA" w:eastAsia="en-US"/>
        </w:rPr>
        <w:t>elationship between hyperferritinemia and the metabolic syndrome</w:t>
      </w:r>
      <w:r w:rsidRPr="001E5D32">
        <w:rPr>
          <w:rFonts w:ascii="Book Antiqua" w:eastAsiaTheme="minorHAnsi" w:hAnsi="Book Antiqua" w:cs="Arial"/>
          <w:kern w:val="0"/>
          <w:sz w:val="24"/>
          <w:lang w:val="en-ZA" w:eastAsia="en-US"/>
        </w:rPr>
        <w:t xml:space="preserve"> </w:t>
      </w:r>
      <w:r w:rsidR="00763373" w:rsidRPr="001E5D32">
        <w:rPr>
          <w:rFonts w:ascii="Book Antiqua" w:eastAsiaTheme="minorHAnsi" w:hAnsi="Book Antiqua" w:cs="Arial"/>
          <w:kern w:val="0"/>
          <w:sz w:val="24"/>
          <w:lang w:val="en-ZA" w:eastAsia="en-US"/>
        </w:rPr>
        <w:t>is</w:t>
      </w:r>
      <w:r w:rsidRPr="001E5D32">
        <w:rPr>
          <w:rFonts w:ascii="Book Antiqua" w:eastAsiaTheme="minorHAnsi" w:hAnsi="Book Antiqua" w:cs="Arial"/>
          <w:kern w:val="0"/>
          <w:sz w:val="24"/>
          <w:lang w:val="en-ZA" w:eastAsia="en-US"/>
        </w:rPr>
        <w:t xml:space="preserve"> mediated by undiagnosed hepatoste</w:t>
      </w:r>
      <w:r w:rsidR="00647954" w:rsidRPr="001E5D32">
        <w:rPr>
          <w:rFonts w:ascii="Book Antiqua" w:eastAsiaTheme="minorHAnsi" w:hAnsi="Book Antiqua" w:cs="Arial"/>
          <w:kern w:val="0"/>
          <w:sz w:val="24"/>
          <w:lang w:val="en-ZA" w:eastAsia="en-US"/>
        </w:rPr>
        <w:t>atosis</w:t>
      </w:r>
      <w:r w:rsidR="007465D4" w:rsidRPr="001E5D32">
        <w:rPr>
          <w:rFonts w:ascii="Book Antiqua" w:eastAsiaTheme="minorHAnsi" w:hAnsi="Book Antiqua" w:cs="Arial"/>
          <w:kern w:val="0"/>
          <w:sz w:val="24"/>
          <w:vertAlign w:val="superscript"/>
          <w:lang w:val="en-ZA" w:eastAsia="en-US"/>
        </w:rPr>
        <w:t>[</w:t>
      </w:r>
      <w:r w:rsidR="00786DF8" w:rsidRPr="001E5D32">
        <w:rPr>
          <w:rFonts w:ascii="Book Antiqua" w:eastAsiaTheme="minorHAnsi" w:hAnsi="Book Antiqua" w:cs="Arial"/>
          <w:kern w:val="0"/>
          <w:sz w:val="24"/>
          <w:vertAlign w:val="superscript"/>
          <w:lang w:val="en-ZA" w:eastAsia="en-US"/>
        </w:rPr>
        <w:t>80</w:t>
      </w:r>
      <w:r w:rsidR="007465D4" w:rsidRPr="001E5D32">
        <w:rPr>
          <w:rFonts w:ascii="Book Antiqua" w:eastAsiaTheme="minorHAnsi" w:hAnsi="Book Antiqua" w:cs="Arial"/>
          <w:kern w:val="0"/>
          <w:sz w:val="24"/>
          <w:vertAlign w:val="superscript"/>
          <w:lang w:val="en-ZA" w:eastAsia="en-US"/>
        </w:rPr>
        <w:t>]</w:t>
      </w:r>
      <w:r w:rsidRPr="001E5D32">
        <w:rPr>
          <w:rFonts w:ascii="Book Antiqua" w:eastAsiaTheme="minorHAnsi" w:hAnsi="Book Antiqua" w:cs="Arial"/>
          <w:kern w:val="0"/>
          <w:sz w:val="24"/>
          <w:lang w:val="en-ZA" w:eastAsia="en-US"/>
        </w:rPr>
        <w:t xml:space="preserve"> which in turn exacerbates</w:t>
      </w:r>
      <w:r w:rsidR="00763373" w:rsidRPr="001E5D32">
        <w:rPr>
          <w:rFonts w:ascii="Book Antiqua" w:eastAsiaTheme="minorHAnsi" w:hAnsi="Book Antiqua" w:cs="Arial"/>
          <w:kern w:val="0"/>
          <w:sz w:val="24"/>
          <w:lang w:val="en-ZA" w:eastAsia="en-US"/>
        </w:rPr>
        <w:t xml:space="preserve"> the association between this condition and increased risk for DM II and </w:t>
      </w:r>
      <w:r w:rsidRPr="001E5D32">
        <w:rPr>
          <w:rFonts w:ascii="Book Antiqua" w:eastAsiaTheme="minorHAnsi" w:hAnsi="Book Antiqua" w:cs="Arial"/>
          <w:kern w:val="0"/>
          <w:sz w:val="24"/>
          <w:lang w:val="en-ZA" w:eastAsia="en-US"/>
        </w:rPr>
        <w:t>atheroscleroti</w:t>
      </w:r>
      <w:r w:rsidR="00763373" w:rsidRPr="001E5D32">
        <w:rPr>
          <w:rFonts w:ascii="Book Antiqua" w:eastAsiaTheme="minorHAnsi" w:hAnsi="Book Antiqua" w:cs="Arial"/>
          <w:kern w:val="0"/>
          <w:sz w:val="24"/>
          <w:lang w:val="en-ZA" w:eastAsia="en-US"/>
        </w:rPr>
        <w:t>c disease</w:t>
      </w:r>
      <w:r w:rsidR="007465D4" w:rsidRPr="001E5D32">
        <w:rPr>
          <w:rFonts w:ascii="Book Antiqua" w:eastAsiaTheme="minorHAnsi" w:hAnsi="Book Antiqua" w:cs="Arial"/>
          <w:kern w:val="0"/>
          <w:sz w:val="24"/>
          <w:vertAlign w:val="superscript"/>
          <w:lang w:val="en-ZA" w:eastAsia="en-US"/>
        </w:rPr>
        <w:t>[</w:t>
      </w:r>
      <w:r w:rsidR="00786DF8" w:rsidRPr="001E5D32">
        <w:rPr>
          <w:rFonts w:ascii="Book Antiqua" w:eastAsiaTheme="minorHAnsi" w:hAnsi="Book Antiqua" w:cs="Arial"/>
          <w:kern w:val="0"/>
          <w:sz w:val="24"/>
          <w:vertAlign w:val="superscript"/>
          <w:lang w:val="en-ZA" w:eastAsia="en-US"/>
        </w:rPr>
        <w:t>81</w:t>
      </w:r>
      <w:r w:rsidR="007465D4" w:rsidRPr="001E5D32">
        <w:rPr>
          <w:rFonts w:ascii="Book Antiqua" w:eastAsiaTheme="minorHAnsi" w:hAnsi="Book Antiqua" w:cs="Arial"/>
          <w:kern w:val="0"/>
          <w:sz w:val="24"/>
          <w:vertAlign w:val="superscript"/>
          <w:lang w:val="en-ZA" w:eastAsia="en-US"/>
        </w:rPr>
        <w:t>]</w:t>
      </w:r>
      <w:r w:rsidRPr="001E5D32">
        <w:rPr>
          <w:rFonts w:ascii="Book Antiqua" w:eastAsiaTheme="minorHAnsi" w:hAnsi="Book Antiqua" w:cs="Arial"/>
          <w:kern w:val="0"/>
          <w:sz w:val="24"/>
          <w:lang w:val="en-ZA" w:eastAsia="en-US"/>
        </w:rPr>
        <w:t xml:space="preserve">. </w:t>
      </w:r>
      <w:r w:rsidR="0070575E" w:rsidRPr="001E5D32">
        <w:rPr>
          <w:rFonts w:ascii="Book Antiqua" w:eastAsiaTheme="minorHAnsi" w:hAnsi="Book Antiqua" w:cs="Arial"/>
          <w:kern w:val="0"/>
          <w:sz w:val="24"/>
          <w:lang w:val="en-ZA" w:eastAsia="en-US"/>
        </w:rPr>
        <w:t xml:space="preserve">Up to </w:t>
      </w:r>
      <w:r w:rsidR="00763373" w:rsidRPr="001E5D32">
        <w:rPr>
          <w:rFonts w:ascii="Book Antiqua" w:eastAsiaTheme="minorHAnsi" w:hAnsi="Book Antiqua" w:cs="Arial"/>
          <w:kern w:val="0"/>
          <w:sz w:val="24"/>
          <w:lang w:val="en-ZA" w:eastAsia="en-US"/>
        </w:rPr>
        <w:t xml:space="preserve">30% of NAFLD patients present with </w:t>
      </w:r>
      <w:r w:rsidR="001676F4" w:rsidRPr="001E5D32">
        <w:rPr>
          <w:rFonts w:ascii="Book Antiqua" w:eastAsiaTheme="minorHAnsi" w:hAnsi="Book Antiqua" w:cs="Arial"/>
          <w:kern w:val="0"/>
          <w:sz w:val="24"/>
          <w:lang w:val="en-ZA" w:eastAsia="en-US"/>
        </w:rPr>
        <w:t>baseline hyperferritinemia</w:t>
      </w:r>
      <w:r w:rsidR="00032BF3" w:rsidRPr="001E5D32">
        <w:rPr>
          <w:rFonts w:ascii="Book Antiqua" w:eastAsiaTheme="minorHAnsi" w:hAnsi="Book Antiqua" w:cs="Arial"/>
          <w:kern w:val="0"/>
          <w:sz w:val="24"/>
          <w:vertAlign w:val="superscript"/>
          <w:lang w:val="en-ZA" w:eastAsia="en-US"/>
        </w:rPr>
        <w:t>[</w:t>
      </w:r>
      <w:r w:rsidR="00786DF8" w:rsidRPr="001E5D32">
        <w:rPr>
          <w:rFonts w:ascii="Book Antiqua" w:eastAsiaTheme="minorHAnsi" w:hAnsi="Book Antiqua" w:cs="Arial"/>
          <w:kern w:val="0"/>
          <w:sz w:val="24"/>
          <w:vertAlign w:val="superscript"/>
          <w:lang w:val="en-ZA" w:eastAsia="en-US"/>
        </w:rPr>
        <w:t>82</w:t>
      </w:r>
      <w:r w:rsidR="00112C8D" w:rsidRPr="001E5D32">
        <w:rPr>
          <w:rFonts w:ascii="Book Antiqua" w:eastAsiaTheme="minorHAnsi" w:hAnsi="Book Antiqua" w:cs="Arial"/>
          <w:kern w:val="0"/>
          <w:sz w:val="24"/>
          <w:vertAlign w:val="superscript"/>
          <w:lang w:val="en-ZA" w:eastAsia="en-US"/>
        </w:rPr>
        <w:t>]</w:t>
      </w:r>
      <w:r w:rsidR="00112C8D" w:rsidRPr="001E5D32">
        <w:rPr>
          <w:rFonts w:ascii="Book Antiqua" w:eastAsiaTheme="minorHAnsi" w:hAnsi="Book Antiqua" w:cs="Arial"/>
          <w:kern w:val="0"/>
          <w:sz w:val="24"/>
          <w:lang w:val="en-ZA" w:eastAsia="en-US"/>
        </w:rPr>
        <w:t xml:space="preserve"> </w:t>
      </w:r>
      <w:r w:rsidR="00763373" w:rsidRPr="001E5D32">
        <w:rPr>
          <w:rFonts w:ascii="Book Antiqua" w:eastAsiaTheme="minorHAnsi" w:hAnsi="Book Antiqua" w:cs="Arial"/>
          <w:kern w:val="0"/>
          <w:sz w:val="24"/>
          <w:lang w:val="en-ZA" w:eastAsia="en-US"/>
        </w:rPr>
        <w:t xml:space="preserve">considered a reliable predictive marker for NASH, </w:t>
      </w:r>
      <w:r w:rsidR="00032BF3" w:rsidRPr="001E5D32">
        <w:rPr>
          <w:rFonts w:ascii="Book Antiqua" w:eastAsiaTheme="minorHAnsi" w:hAnsi="Book Antiqua" w:cs="Arial"/>
          <w:kern w:val="0"/>
          <w:sz w:val="24"/>
          <w:lang w:val="en-ZA" w:eastAsia="en-US"/>
        </w:rPr>
        <w:t xml:space="preserve">validating its incorporation </w:t>
      </w:r>
      <w:r w:rsidR="00763373" w:rsidRPr="001E5D32">
        <w:rPr>
          <w:rFonts w:ascii="Book Antiqua" w:eastAsiaTheme="minorHAnsi" w:hAnsi="Book Antiqua" w:cs="Arial"/>
          <w:kern w:val="0"/>
          <w:sz w:val="24"/>
          <w:lang w:val="en-ZA" w:eastAsia="en-US"/>
        </w:rPr>
        <w:t>into the NAFIC score</w:t>
      </w:r>
      <w:r w:rsidR="00032BF3" w:rsidRPr="001E5D32">
        <w:rPr>
          <w:rFonts w:ascii="Book Antiqua" w:eastAsiaTheme="minorHAnsi" w:hAnsi="Book Antiqua" w:cs="Arial"/>
          <w:kern w:val="0"/>
          <w:sz w:val="24"/>
          <w:lang w:val="en-ZA" w:eastAsia="en-US"/>
        </w:rPr>
        <w:t xml:space="preserve"> shown to outperform both th</w:t>
      </w:r>
      <w:r w:rsidR="001676F4" w:rsidRPr="001E5D32">
        <w:rPr>
          <w:rFonts w:ascii="Book Antiqua" w:eastAsiaTheme="minorHAnsi" w:hAnsi="Book Antiqua" w:cs="Arial"/>
          <w:kern w:val="0"/>
          <w:sz w:val="24"/>
          <w:lang w:val="en-ZA" w:eastAsia="en-US"/>
        </w:rPr>
        <w:t>e HAIR score and Gholam’s model</w:t>
      </w:r>
      <w:r w:rsidR="00032BF3" w:rsidRPr="001E5D32">
        <w:rPr>
          <w:rFonts w:ascii="Book Antiqua" w:eastAsiaTheme="minorHAnsi" w:hAnsi="Book Antiqua" w:cs="Arial"/>
          <w:kern w:val="0"/>
          <w:sz w:val="24"/>
          <w:vertAlign w:val="superscript"/>
          <w:lang w:val="en-ZA" w:eastAsia="en-US"/>
        </w:rPr>
        <w:t>[</w:t>
      </w:r>
      <w:r w:rsidR="00786DF8" w:rsidRPr="001E5D32">
        <w:rPr>
          <w:rFonts w:ascii="Book Antiqua" w:eastAsiaTheme="minorHAnsi" w:hAnsi="Book Antiqua" w:cs="Arial"/>
          <w:kern w:val="0"/>
          <w:sz w:val="24"/>
          <w:vertAlign w:val="superscript"/>
          <w:lang w:val="en-ZA" w:eastAsia="en-US"/>
        </w:rPr>
        <w:t>83</w:t>
      </w:r>
      <w:r w:rsidR="00032BF3" w:rsidRPr="001E5D32">
        <w:rPr>
          <w:rFonts w:ascii="Book Antiqua" w:eastAsiaTheme="minorHAnsi" w:hAnsi="Book Antiqua" w:cs="Arial"/>
          <w:kern w:val="0"/>
          <w:sz w:val="24"/>
          <w:vertAlign w:val="superscript"/>
          <w:lang w:val="en-ZA" w:eastAsia="en-US"/>
        </w:rPr>
        <w:t>]</w:t>
      </w:r>
      <w:r w:rsidR="00032BF3" w:rsidRPr="001E5D32">
        <w:rPr>
          <w:rFonts w:ascii="Book Antiqua" w:eastAsiaTheme="minorHAnsi" w:hAnsi="Book Antiqua" w:cs="Arial"/>
          <w:kern w:val="0"/>
          <w:sz w:val="24"/>
          <w:lang w:val="en-ZA" w:eastAsia="en-US"/>
        </w:rPr>
        <w:t xml:space="preserve">. </w:t>
      </w:r>
      <w:r w:rsidR="00763373" w:rsidRPr="001E5D32">
        <w:rPr>
          <w:rFonts w:ascii="Book Antiqua" w:eastAsiaTheme="minorHAnsi" w:hAnsi="Book Antiqua" w:cs="Arial"/>
          <w:kern w:val="0"/>
          <w:sz w:val="24"/>
          <w:lang w:val="en-ZA" w:eastAsia="en-US"/>
        </w:rPr>
        <w:t>The utility of</w:t>
      </w:r>
      <w:r w:rsidR="00032BF3" w:rsidRPr="001E5D32">
        <w:rPr>
          <w:rFonts w:ascii="Book Antiqua" w:eastAsiaTheme="minorHAnsi" w:hAnsi="Book Antiqua" w:cs="Arial"/>
          <w:kern w:val="0"/>
          <w:sz w:val="24"/>
          <w:lang w:val="en-ZA" w:eastAsia="en-US"/>
        </w:rPr>
        <w:t xml:space="preserve"> ferritin </w:t>
      </w:r>
      <w:r w:rsidR="00763373" w:rsidRPr="001E5D32">
        <w:rPr>
          <w:rFonts w:ascii="Book Antiqua" w:eastAsiaTheme="minorHAnsi" w:hAnsi="Book Antiqua" w:cs="Arial"/>
          <w:kern w:val="0"/>
          <w:sz w:val="24"/>
          <w:lang w:val="en-ZA" w:eastAsia="en-US"/>
        </w:rPr>
        <w:t>in the non-invasive prediction of advanced hepatic fibrosis and</w:t>
      </w:r>
      <w:r w:rsidR="00032BF3" w:rsidRPr="001E5D32">
        <w:rPr>
          <w:rFonts w:ascii="Book Antiqua" w:eastAsiaTheme="minorHAnsi" w:hAnsi="Book Antiqua" w:cs="Arial"/>
          <w:kern w:val="0"/>
          <w:sz w:val="24"/>
          <w:lang w:val="en-ZA" w:eastAsia="en-US"/>
        </w:rPr>
        <w:t xml:space="preserve"> increased histological sev</w:t>
      </w:r>
      <w:r w:rsidR="001676F4" w:rsidRPr="001E5D32">
        <w:rPr>
          <w:rFonts w:ascii="Book Antiqua" w:eastAsiaTheme="minorHAnsi" w:hAnsi="Book Antiqua" w:cs="Arial"/>
          <w:kern w:val="0"/>
          <w:sz w:val="24"/>
          <w:lang w:val="en-ZA" w:eastAsia="en-US"/>
        </w:rPr>
        <w:t>erity however remains contested</w:t>
      </w:r>
      <w:r w:rsidR="00032BF3" w:rsidRPr="001E5D32">
        <w:rPr>
          <w:rFonts w:ascii="Book Antiqua" w:eastAsiaTheme="minorHAnsi" w:hAnsi="Book Antiqua" w:cs="Arial"/>
          <w:kern w:val="0"/>
          <w:sz w:val="24"/>
          <w:vertAlign w:val="superscript"/>
          <w:lang w:val="en-ZA" w:eastAsia="en-US"/>
        </w:rPr>
        <w:t>[</w:t>
      </w:r>
      <w:r w:rsidR="00786DF8" w:rsidRPr="001E5D32">
        <w:rPr>
          <w:rFonts w:ascii="Book Antiqua" w:eastAsiaTheme="minorHAnsi" w:hAnsi="Book Antiqua" w:cs="Arial"/>
          <w:kern w:val="0"/>
          <w:sz w:val="24"/>
          <w:vertAlign w:val="superscript"/>
          <w:lang w:val="en-ZA" w:eastAsia="en-US"/>
        </w:rPr>
        <w:t>84-87</w:t>
      </w:r>
      <w:r w:rsidR="00032BF3" w:rsidRPr="001E5D32">
        <w:rPr>
          <w:rFonts w:ascii="Book Antiqua" w:eastAsiaTheme="minorHAnsi" w:hAnsi="Book Antiqua" w:cs="Arial"/>
          <w:kern w:val="0"/>
          <w:sz w:val="24"/>
          <w:vertAlign w:val="superscript"/>
          <w:lang w:val="en-ZA" w:eastAsia="en-US"/>
        </w:rPr>
        <w:t>]</w:t>
      </w:r>
      <w:r w:rsidR="00032BF3" w:rsidRPr="001E5D32">
        <w:rPr>
          <w:rFonts w:ascii="Book Antiqua" w:eastAsiaTheme="minorHAnsi" w:hAnsi="Book Antiqua" w:cs="Arial"/>
          <w:kern w:val="0"/>
          <w:sz w:val="24"/>
          <w:lang w:val="en-ZA" w:eastAsia="en-US"/>
        </w:rPr>
        <w:t xml:space="preserve">. </w:t>
      </w:r>
    </w:p>
    <w:p w14:paraId="264E7F9A" w14:textId="1C3D932F" w:rsidR="00BA0211" w:rsidRPr="001E5D32" w:rsidRDefault="004807D4" w:rsidP="001E5D32">
      <w:pPr>
        <w:spacing w:line="360" w:lineRule="auto"/>
        <w:ind w:firstLineChars="200" w:firstLine="480"/>
        <w:rPr>
          <w:rFonts w:ascii="Book Antiqua" w:eastAsiaTheme="minorHAnsi" w:hAnsi="Book Antiqua" w:cs="Arial"/>
          <w:kern w:val="0"/>
          <w:sz w:val="24"/>
          <w:lang w:val="en-ZA" w:eastAsia="en-US"/>
        </w:rPr>
      </w:pPr>
      <w:r w:rsidRPr="001E5D32">
        <w:rPr>
          <w:rFonts w:ascii="Book Antiqua" w:eastAsiaTheme="minorHAnsi" w:hAnsi="Book Antiqua" w:cs="Arial"/>
          <w:kern w:val="0"/>
          <w:sz w:val="24"/>
          <w:lang w:val="en-ZA" w:eastAsia="en-US"/>
        </w:rPr>
        <w:t xml:space="preserve">In the absence of a corresponding elevation in transferrin saturation (TS), inflammation-mediated hyperferritinemia accompanied by decreased serum iron </w:t>
      </w:r>
      <w:r w:rsidR="00763373" w:rsidRPr="001E5D32">
        <w:rPr>
          <w:rFonts w:ascii="Book Antiqua" w:eastAsiaTheme="minorHAnsi" w:hAnsi="Book Antiqua" w:cs="Arial"/>
          <w:kern w:val="0"/>
          <w:sz w:val="24"/>
          <w:lang w:val="en-ZA" w:eastAsia="en-US"/>
        </w:rPr>
        <w:t>constituting a clinico-biochemical profile consistent with the</w:t>
      </w:r>
      <w:r w:rsidR="001676F4" w:rsidRPr="001E5D32">
        <w:rPr>
          <w:rFonts w:ascii="Book Antiqua" w:eastAsiaTheme="minorHAnsi" w:hAnsi="Book Antiqua" w:cs="Arial"/>
          <w:kern w:val="0"/>
          <w:sz w:val="24"/>
          <w:lang w:val="en-ZA" w:eastAsia="en-US"/>
        </w:rPr>
        <w:t xml:space="preserve"> “anaemia of chronic disease”</w:t>
      </w:r>
      <w:r w:rsidR="007465D4" w:rsidRPr="001E5D32">
        <w:rPr>
          <w:rFonts w:ascii="Book Antiqua" w:eastAsiaTheme="minorHAnsi" w:hAnsi="Book Antiqua" w:cs="Arial"/>
          <w:kern w:val="0"/>
          <w:sz w:val="24"/>
          <w:vertAlign w:val="superscript"/>
          <w:lang w:val="en-ZA" w:eastAsia="en-US"/>
        </w:rPr>
        <w:t>[</w:t>
      </w:r>
      <w:r w:rsidR="00786DF8" w:rsidRPr="001E5D32">
        <w:rPr>
          <w:rFonts w:ascii="Book Antiqua" w:eastAsiaTheme="minorHAnsi" w:hAnsi="Book Antiqua" w:cs="Arial"/>
          <w:kern w:val="0"/>
          <w:sz w:val="24"/>
          <w:vertAlign w:val="superscript"/>
          <w:lang w:val="en-ZA" w:eastAsia="en-US"/>
        </w:rPr>
        <w:t>88,89</w:t>
      </w:r>
      <w:r w:rsidR="007465D4" w:rsidRPr="001E5D32">
        <w:rPr>
          <w:rFonts w:ascii="Book Antiqua" w:eastAsiaTheme="minorHAnsi" w:hAnsi="Book Antiqua" w:cs="Arial"/>
          <w:kern w:val="0"/>
          <w:sz w:val="24"/>
          <w:vertAlign w:val="superscript"/>
          <w:lang w:val="en-ZA" w:eastAsia="en-US"/>
        </w:rPr>
        <w:t>]</w:t>
      </w:r>
      <w:r w:rsidR="004560CA" w:rsidRPr="001E5D32">
        <w:rPr>
          <w:rFonts w:ascii="Book Antiqua" w:eastAsiaTheme="minorHAnsi" w:hAnsi="Book Antiqua" w:cs="Arial"/>
          <w:kern w:val="0"/>
          <w:sz w:val="24"/>
          <w:lang w:val="en-ZA" w:eastAsia="en-US"/>
        </w:rPr>
        <w:t xml:space="preserve"> </w:t>
      </w:r>
      <w:r w:rsidR="00763373" w:rsidRPr="001E5D32">
        <w:rPr>
          <w:rFonts w:ascii="Book Antiqua" w:eastAsiaTheme="minorHAnsi" w:hAnsi="Book Antiqua" w:cs="Arial"/>
          <w:kern w:val="0"/>
          <w:sz w:val="24"/>
          <w:lang w:val="en-ZA" w:eastAsia="en-US"/>
        </w:rPr>
        <w:t xml:space="preserve">and </w:t>
      </w:r>
      <w:r w:rsidR="004560CA" w:rsidRPr="001E5D32">
        <w:rPr>
          <w:rFonts w:ascii="Book Antiqua" w:eastAsiaTheme="minorHAnsi" w:hAnsi="Book Antiqua" w:cs="Arial"/>
          <w:kern w:val="0"/>
          <w:sz w:val="24"/>
          <w:lang w:val="en-ZA" w:eastAsia="en-US"/>
        </w:rPr>
        <w:t>compatible wi</w:t>
      </w:r>
      <w:r w:rsidR="007465D4" w:rsidRPr="001E5D32">
        <w:rPr>
          <w:rFonts w:ascii="Book Antiqua" w:eastAsiaTheme="minorHAnsi" w:hAnsi="Book Antiqua" w:cs="Arial"/>
          <w:kern w:val="0"/>
          <w:sz w:val="24"/>
          <w:lang w:val="en-ZA" w:eastAsia="en-US"/>
        </w:rPr>
        <w:t xml:space="preserve">th </w:t>
      </w:r>
      <w:r w:rsidR="00763373" w:rsidRPr="001E5D32">
        <w:rPr>
          <w:rFonts w:ascii="Book Antiqua" w:eastAsiaTheme="minorHAnsi" w:hAnsi="Book Antiqua" w:cs="Arial"/>
          <w:kern w:val="0"/>
          <w:sz w:val="24"/>
          <w:lang w:val="en-ZA" w:eastAsia="en-US"/>
        </w:rPr>
        <w:t xml:space="preserve">a diagnosis of </w:t>
      </w:r>
      <w:r w:rsidR="007465D4" w:rsidRPr="001E5D32">
        <w:rPr>
          <w:rFonts w:ascii="Book Antiqua" w:eastAsiaTheme="minorHAnsi" w:hAnsi="Book Antiqua" w:cs="Arial"/>
          <w:kern w:val="0"/>
          <w:sz w:val="24"/>
          <w:lang w:val="en-ZA" w:eastAsia="en-US"/>
        </w:rPr>
        <w:t xml:space="preserve">hepatosteatosis and/or </w:t>
      </w:r>
      <w:r w:rsidR="00763373" w:rsidRPr="001E5D32">
        <w:rPr>
          <w:rFonts w:ascii="Book Antiqua" w:eastAsiaTheme="minorHAnsi" w:hAnsi="Book Antiqua" w:cs="Arial"/>
          <w:kern w:val="0"/>
          <w:sz w:val="24"/>
          <w:lang w:val="en-ZA" w:eastAsia="en-US"/>
        </w:rPr>
        <w:t>the dysmetaboli</w:t>
      </w:r>
      <w:r w:rsidR="001676F4" w:rsidRPr="001E5D32">
        <w:rPr>
          <w:rFonts w:ascii="Book Antiqua" w:eastAsiaTheme="minorHAnsi" w:hAnsi="Book Antiqua" w:cs="Arial"/>
          <w:kern w:val="0"/>
          <w:sz w:val="24"/>
          <w:lang w:val="en-ZA" w:eastAsia="en-US"/>
        </w:rPr>
        <w:t>c iron overload syndrome (DIOS)</w:t>
      </w:r>
      <w:r w:rsidR="007465D4" w:rsidRPr="001E5D32">
        <w:rPr>
          <w:rFonts w:ascii="Book Antiqua" w:eastAsiaTheme="minorHAnsi" w:hAnsi="Book Antiqua" w:cs="Arial"/>
          <w:kern w:val="0"/>
          <w:sz w:val="24"/>
          <w:vertAlign w:val="superscript"/>
          <w:lang w:val="en-ZA" w:eastAsia="en-US"/>
        </w:rPr>
        <w:t>[</w:t>
      </w:r>
      <w:r w:rsidR="00786DF8" w:rsidRPr="001E5D32">
        <w:rPr>
          <w:rFonts w:ascii="Book Antiqua" w:eastAsiaTheme="minorHAnsi" w:hAnsi="Book Antiqua" w:cs="Arial"/>
          <w:kern w:val="0"/>
          <w:sz w:val="24"/>
          <w:vertAlign w:val="superscript"/>
          <w:lang w:val="en-ZA" w:eastAsia="en-US"/>
        </w:rPr>
        <w:t>82</w:t>
      </w:r>
      <w:r w:rsidR="007465D4" w:rsidRPr="001E5D32">
        <w:rPr>
          <w:rFonts w:ascii="Book Antiqua" w:eastAsiaTheme="minorHAnsi" w:hAnsi="Book Antiqua" w:cs="Arial"/>
          <w:kern w:val="0"/>
          <w:sz w:val="24"/>
          <w:vertAlign w:val="superscript"/>
          <w:lang w:val="en-ZA" w:eastAsia="en-US"/>
        </w:rPr>
        <w:t>]</w:t>
      </w:r>
      <w:r w:rsidR="00DC43E1" w:rsidRPr="001E5D32">
        <w:rPr>
          <w:rFonts w:ascii="Book Antiqua" w:eastAsiaTheme="minorHAnsi" w:hAnsi="Book Antiqua" w:cs="Arial"/>
          <w:kern w:val="0"/>
          <w:sz w:val="24"/>
          <w:lang w:val="en-ZA" w:eastAsia="en-US"/>
        </w:rPr>
        <w:t xml:space="preserve">. </w:t>
      </w:r>
      <w:r w:rsidR="00763373" w:rsidRPr="001E5D32">
        <w:rPr>
          <w:rFonts w:ascii="Book Antiqua" w:eastAsiaTheme="minorHAnsi" w:hAnsi="Book Antiqua" w:cs="Arial"/>
          <w:kern w:val="0"/>
          <w:sz w:val="24"/>
          <w:lang w:val="en-ZA" w:eastAsia="en-US"/>
        </w:rPr>
        <w:t xml:space="preserve">Mendler </w:t>
      </w:r>
      <w:r w:rsidR="00195906" w:rsidRPr="001E5D32">
        <w:rPr>
          <w:rFonts w:ascii="Book Antiqua" w:eastAsiaTheme="minorEastAsia" w:hAnsi="Book Antiqua" w:cs="Arial"/>
          <w:i/>
          <w:kern w:val="0"/>
          <w:sz w:val="24"/>
          <w:lang w:val="en-ZA"/>
        </w:rPr>
        <w:t>et al</w:t>
      </w:r>
      <w:r w:rsidR="00763373" w:rsidRPr="001E5D32">
        <w:rPr>
          <w:rFonts w:ascii="Book Antiqua" w:eastAsiaTheme="minorHAnsi" w:hAnsi="Book Antiqua" w:cs="Arial"/>
          <w:kern w:val="0"/>
          <w:sz w:val="24"/>
          <w:vertAlign w:val="superscript"/>
          <w:lang w:val="en-ZA" w:eastAsia="en-US"/>
        </w:rPr>
        <w:t>[</w:t>
      </w:r>
      <w:r w:rsidR="00786DF8" w:rsidRPr="001E5D32">
        <w:rPr>
          <w:rFonts w:ascii="Book Antiqua" w:eastAsiaTheme="minorHAnsi" w:hAnsi="Book Antiqua" w:cs="Arial"/>
          <w:kern w:val="0"/>
          <w:sz w:val="24"/>
          <w:vertAlign w:val="superscript"/>
          <w:lang w:val="en-ZA" w:eastAsia="en-US"/>
        </w:rPr>
        <w:t>90</w:t>
      </w:r>
      <w:r w:rsidR="00763373" w:rsidRPr="001E5D32">
        <w:rPr>
          <w:rFonts w:ascii="Book Antiqua" w:eastAsiaTheme="minorHAnsi" w:hAnsi="Book Antiqua" w:cs="Arial"/>
          <w:kern w:val="0"/>
          <w:sz w:val="24"/>
          <w:vertAlign w:val="superscript"/>
          <w:lang w:val="en-ZA" w:eastAsia="en-US"/>
        </w:rPr>
        <w:t>]</w:t>
      </w:r>
      <w:r w:rsidR="00763373" w:rsidRPr="001E5D32">
        <w:rPr>
          <w:rFonts w:ascii="Book Antiqua" w:eastAsiaTheme="minorHAnsi" w:hAnsi="Book Antiqua" w:cs="Arial"/>
          <w:kern w:val="0"/>
          <w:sz w:val="24"/>
          <w:lang w:val="en-ZA" w:eastAsia="en-US"/>
        </w:rPr>
        <w:t xml:space="preserve"> </w:t>
      </w:r>
      <w:r w:rsidR="00753FE6" w:rsidRPr="001E5D32">
        <w:rPr>
          <w:rFonts w:ascii="Book Antiqua" w:eastAsiaTheme="minorHAnsi" w:hAnsi="Book Antiqua" w:cs="Arial"/>
          <w:kern w:val="0"/>
          <w:sz w:val="24"/>
          <w:lang w:val="en-ZA" w:eastAsia="en-US"/>
        </w:rPr>
        <w:t xml:space="preserve">first described the presence of unexplained mild-to-moderate sinusoidal hepatic siderosis invariably associated with decreased insulin sensitivity and termed this </w:t>
      </w:r>
      <w:r w:rsidR="00647954" w:rsidRPr="001E5D32">
        <w:rPr>
          <w:rFonts w:ascii="Book Antiqua" w:eastAsiaTheme="minorHAnsi" w:hAnsi="Book Antiqua" w:cs="Arial"/>
          <w:kern w:val="0"/>
          <w:sz w:val="24"/>
          <w:lang w:val="en-ZA" w:eastAsia="en-US"/>
        </w:rPr>
        <w:t>condition insulin</w:t>
      </w:r>
      <w:r w:rsidR="004560CA" w:rsidRPr="001E5D32">
        <w:rPr>
          <w:rFonts w:ascii="Book Antiqua" w:eastAsiaTheme="minorHAnsi" w:hAnsi="Book Antiqua" w:cs="Arial"/>
          <w:kern w:val="0"/>
          <w:sz w:val="24"/>
          <w:lang w:val="en-ZA" w:eastAsia="en-US"/>
        </w:rPr>
        <w:t xml:space="preserve"> resistance-associated hepatic iron overload (IR-HIO). In less than two decades, DIOS has emerged as an important dif</w:t>
      </w:r>
      <w:r w:rsidR="009B490B" w:rsidRPr="001E5D32">
        <w:rPr>
          <w:rFonts w:ascii="Book Antiqua" w:eastAsiaTheme="minorHAnsi" w:hAnsi="Book Antiqua" w:cs="Arial"/>
          <w:kern w:val="0"/>
          <w:sz w:val="24"/>
          <w:lang w:val="en-ZA" w:eastAsia="en-US"/>
        </w:rPr>
        <w:t xml:space="preserve">ferential diagnosis for type I </w:t>
      </w:r>
      <w:r w:rsidR="00763373" w:rsidRPr="001E5D32">
        <w:rPr>
          <w:rFonts w:ascii="Book Antiqua" w:eastAsiaTheme="minorHAnsi" w:hAnsi="Book Antiqua" w:cs="Arial"/>
          <w:kern w:val="0"/>
          <w:sz w:val="24"/>
          <w:lang w:val="en-ZA" w:eastAsia="en-US"/>
        </w:rPr>
        <w:t>genetic</w:t>
      </w:r>
      <w:r w:rsidR="00132FD1" w:rsidRPr="001E5D32">
        <w:rPr>
          <w:rFonts w:ascii="Book Antiqua" w:eastAsiaTheme="minorHAnsi" w:hAnsi="Book Antiqua" w:cs="Arial"/>
          <w:kern w:val="0"/>
          <w:sz w:val="24"/>
          <w:lang w:val="en-ZA" w:eastAsia="en-US"/>
        </w:rPr>
        <w:t xml:space="preserve"> hereditary hemochromatosis (HH</w:t>
      </w:r>
      <w:r w:rsidR="00763373" w:rsidRPr="001E5D32">
        <w:rPr>
          <w:rFonts w:ascii="Book Antiqua" w:eastAsiaTheme="minorHAnsi" w:hAnsi="Book Antiqua" w:cs="Arial"/>
          <w:kern w:val="0"/>
          <w:sz w:val="24"/>
          <w:lang w:val="en-ZA" w:eastAsia="en-US"/>
        </w:rPr>
        <w:t>)</w:t>
      </w:r>
      <w:r w:rsidR="004560CA" w:rsidRPr="001E5D32">
        <w:rPr>
          <w:rFonts w:ascii="Book Antiqua" w:eastAsiaTheme="minorHAnsi" w:hAnsi="Book Antiqua" w:cs="Arial"/>
          <w:kern w:val="0"/>
          <w:sz w:val="24"/>
          <w:lang w:val="en-ZA" w:eastAsia="en-US"/>
        </w:rPr>
        <w:t xml:space="preserve"> in patients at increased cardio-metabolic risk presenting with deranged iron profiles and a persistent elevation in liver </w:t>
      </w:r>
      <w:r w:rsidR="001676F4" w:rsidRPr="001E5D32">
        <w:rPr>
          <w:rFonts w:ascii="Book Antiqua" w:eastAsiaTheme="minorHAnsi" w:hAnsi="Book Antiqua" w:cs="Arial"/>
          <w:kern w:val="0"/>
          <w:sz w:val="24"/>
          <w:lang w:val="en-ZA" w:eastAsia="en-US"/>
        </w:rPr>
        <w:t>transaminases</w:t>
      </w:r>
      <w:r w:rsidR="00461F78" w:rsidRPr="001E5D32">
        <w:rPr>
          <w:rFonts w:ascii="Book Antiqua" w:eastAsiaTheme="minorHAnsi" w:hAnsi="Book Antiqua" w:cs="Arial"/>
          <w:kern w:val="0"/>
          <w:sz w:val="24"/>
          <w:vertAlign w:val="superscript"/>
          <w:lang w:val="en-ZA" w:eastAsia="en-US"/>
        </w:rPr>
        <w:t>[</w:t>
      </w:r>
      <w:r w:rsidR="00786DF8" w:rsidRPr="001E5D32">
        <w:rPr>
          <w:rFonts w:ascii="Book Antiqua" w:eastAsiaTheme="minorHAnsi" w:hAnsi="Book Antiqua" w:cs="Arial"/>
          <w:kern w:val="0"/>
          <w:sz w:val="24"/>
          <w:vertAlign w:val="superscript"/>
          <w:lang w:val="en-ZA" w:eastAsia="en-US"/>
        </w:rPr>
        <w:t>91</w:t>
      </w:r>
      <w:r w:rsidR="00461F78" w:rsidRPr="001E5D32">
        <w:rPr>
          <w:rFonts w:ascii="Book Antiqua" w:eastAsiaTheme="minorHAnsi" w:hAnsi="Book Antiqua" w:cs="Arial"/>
          <w:kern w:val="0"/>
          <w:sz w:val="24"/>
          <w:vertAlign w:val="superscript"/>
          <w:lang w:val="en-ZA" w:eastAsia="en-US"/>
        </w:rPr>
        <w:t>]</w:t>
      </w:r>
      <w:r w:rsidR="004560CA" w:rsidRPr="001E5D32">
        <w:rPr>
          <w:rFonts w:ascii="Book Antiqua" w:eastAsiaTheme="minorHAnsi" w:hAnsi="Book Antiqua" w:cs="Arial"/>
          <w:kern w:val="0"/>
          <w:sz w:val="24"/>
          <w:lang w:val="en-ZA" w:eastAsia="en-US"/>
        </w:rPr>
        <w:t xml:space="preserve">. </w:t>
      </w:r>
      <w:r w:rsidR="00383C10" w:rsidRPr="001E5D32">
        <w:rPr>
          <w:rFonts w:ascii="Book Antiqua" w:eastAsiaTheme="minorHAnsi" w:hAnsi="Book Antiqua" w:cs="Arial"/>
          <w:kern w:val="0"/>
          <w:sz w:val="24"/>
          <w:lang w:val="en-ZA" w:eastAsia="en-US"/>
        </w:rPr>
        <w:t>Due</w:t>
      </w:r>
      <w:r w:rsidR="00763373" w:rsidRPr="001E5D32">
        <w:rPr>
          <w:rFonts w:ascii="Book Antiqua" w:eastAsiaTheme="minorHAnsi" w:hAnsi="Book Antiqua" w:cs="Arial"/>
          <w:kern w:val="0"/>
          <w:sz w:val="24"/>
          <w:lang w:val="en-ZA" w:eastAsia="en-US"/>
        </w:rPr>
        <w:t xml:space="preserve"> to their striking </w:t>
      </w:r>
      <w:r w:rsidR="00786DF8" w:rsidRPr="001E5D32">
        <w:rPr>
          <w:rFonts w:ascii="Book Antiqua" w:eastAsiaTheme="minorHAnsi" w:hAnsi="Book Antiqua" w:cs="Arial"/>
          <w:kern w:val="0"/>
          <w:sz w:val="24"/>
          <w:lang w:val="en-ZA" w:eastAsia="en-US"/>
        </w:rPr>
        <w:t xml:space="preserve">similarities, </w:t>
      </w:r>
      <w:r w:rsidR="00383C10" w:rsidRPr="001E5D32">
        <w:rPr>
          <w:rFonts w:ascii="Book Antiqua" w:eastAsiaTheme="minorHAnsi" w:hAnsi="Book Antiqua" w:cs="Arial"/>
          <w:kern w:val="0"/>
          <w:sz w:val="24"/>
          <w:lang w:val="en-ZA" w:eastAsia="en-US"/>
        </w:rPr>
        <w:t xml:space="preserve">it has been proposed that </w:t>
      </w:r>
      <w:r w:rsidR="00786DF8" w:rsidRPr="001E5D32">
        <w:rPr>
          <w:rFonts w:ascii="Book Antiqua" w:eastAsiaTheme="minorHAnsi" w:hAnsi="Book Antiqua" w:cs="Arial"/>
          <w:kern w:val="0"/>
          <w:sz w:val="24"/>
          <w:lang w:val="en-ZA" w:eastAsia="en-US"/>
        </w:rPr>
        <w:t>a superficial distinction between the</w:t>
      </w:r>
      <w:r w:rsidR="004560CA" w:rsidRPr="001E5D32">
        <w:rPr>
          <w:rFonts w:ascii="Book Antiqua" w:eastAsiaTheme="minorHAnsi" w:hAnsi="Book Antiqua" w:cs="Arial"/>
          <w:kern w:val="0"/>
          <w:sz w:val="24"/>
          <w:lang w:val="en-ZA" w:eastAsia="en-US"/>
        </w:rPr>
        <w:t xml:space="preserve"> “iron phen</w:t>
      </w:r>
      <w:r w:rsidR="009B490B" w:rsidRPr="001E5D32">
        <w:rPr>
          <w:rFonts w:ascii="Book Antiqua" w:eastAsiaTheme="minorHAnsi" w:hAnsi="Book Antiqua" w:cs="Arial"/>
          <w:kern w:val="0"/>
          <w:sz w:val="24"/>
          <w:lang w:val="en-ZA" w:eastAsia="en-US"/>
        </w:rPr>
        <w:t>otype</w:t>
      </w:r>
      <w:r w:rsidR="00786DF8" w:rsidRPr="001E5D32">
        <w:rPr>
          <w:rFonts w:ascii="Book Antiqua" w:eastAsiaTheme="minorHAnsi" w:hAnsi="Book Antiqua" w:cs="Arial"/>
          <w:kern w:val="0"/>
          <w:sz w:val="24"/>
          <w:lang w:val="en-ZA" w:eastAsia="en-US"/>
        </w:rPr>
        <w:t>s</w:t>
      </w:r>
      <w:r w:rsidR="009B490B" w:rsidRPr="001E5D32">
        <w:rPr>
          <w:rFonts w:ascii="Book Antiqua" w:eastAsiaTheme="minorHAnsi" w:hAnsi="Book Antiqua" w:cs="Arial"/>
          <w:kern w:val="0"/>
          <w:sz w:val="24"/>
          <w:lang w:val="en-ZA" w:eastAsia="en-US"/>
        </w:rPr>
        <w:t xml:space="preserve"> of obesity” which characterize the metabolic syndr</w:t>
      </w:r>
      <w:r w:rsidR="00763373" w:rsidRPr="001E5D32">
        <w:rPr>
          <w:rFonts w:ascii="Book Antiqua" w:eastAsiaTheme="minorHAnsi" w:hAnsi="Book Antiqua" w:cs="Arial"/>
          <w:kern w:val="0"/>
          <w:sz w:val="24"/>
          <w:lang w:val="en-ZA" w:eastAsia="en-US"/>
        </w:rPr>
        <w:t xml:space="preserve">ome, NAFLD and DIOS </w:t>
      </w:r>
      <w:r w:rsidR="00786DF8" w:rsidRPr="001E5D32">
        <w:rPr>
          <w:rFonts w:ascii="Book Antiqua" w:eastAsiaTheme="minorHAnsi" w:hAnsi="Book Antiqua" w:cs="Arial"/>
          <w:kern w:val="0"/>
          <w:sz w:val="24"/>
          <w:lang w:val="en-ZA" w:eastAsia="en-US"/>
        </w:rPr>
        <w:t>in fact belies their</w:t>
      </w:r>
      <w:r w:rsidR="001676F4" w:rsidRPr="001E5D32">
        <w:rPr>
          <w:rFonts w:ascii="Book Antiqua" w:eastAsiaTheme="minorHAnsi" w:hAnsi="Book Antiqua" w:cs="Arial"/>
          <w:kern w:val="0"/>
          <w:sz w:val="24"/>
          <w:lang w:val="en-ZA" w:eastAsia="en-US"/>
        </w:rPr>
        <w:t xml:space="preserve"> common pathological basis</w:t>
      </w:r>
      <w:r w:rsidR="00461F78" w:rsidRPr="001E5D32">
        <w:rPr>
          <w:rFonts w:ascii="Book Antiqua" w:eastAsiaTheme="minorHAnsi" w:hAnsi="Book Antiqua" w:cs="Arial"/>
          <w:kern w:val="0"/>
          <w:sz w:val="24"/>
          <w:vertAlign w:val="superscript"/>
          <w:lang w:val="en-ZA" w:eastAsia="en-US"/>
        </w:rPr>
        <w:t>[</w:t>
      </w:r>
      <w:r w:rsidR="00786DF8" w:rsidRPr="001E5D32">
        <w:rPr>
          <w:rFonts w:ascii="Book Antiqua" w:eastAsiaTheme="minorHAnsi" w:hAnsi="Book Antiqua" w:cs="Arial"/>
          <w:kern w:val="0"/>
          <w:sz w:val="24"/>
          <w:vertAlign w:val="superscript"/>
          <w:lang w:val="en-ZA" w:eastAsia="en-US"/>
        </w:rPr>
        <w:t>82</w:t>
      </w:r>
      <w:r w:rsidR="00461F78" w:rsidRPr="001E5D32">
        <w:rPr>
          <w:rFonts w:ascii="Book Antiqua" w:eastAsiaTheme="minorHAnsi" w:hAnsi="Book Antiqua" w:cs="Arial"/>
          <w:kern w:val="0"/>
          <w:sz w:val="24"/>
          <w:vertAlign w:val="superscript"/>
          <w:lang w:val="en-ZA" w:eastAsia="en-US"/>
        </w:rPr>
        <w:t>]</w:t>
      </w:r>
      <w:r w:rsidR="009B490B" w:rsidRPr="001E5D32">
        <w:rPr>
          <w:rFonts w:ascii="Book Antiqua" w:eastAsiaTheme="minorHAnsi" w:hAnsi="Book Antiqua" w:cs="Arial"/>
          <w:kern w:val="0"/>
          <w:sz w:val="24"/>
          <w:lang w:val="en-ZA" w:eastAsia="en-US"/>
        </w:rPr>
        <w:t>.</w:t>
      </w:r>
      <w:r w:rsidR="00763373" w:rsidRPr="001E5D32">
        <w:rPr>
          <w:rFonts w:ascii="Book Antiqua" w:eastAsiaTheme="minorHAnsi" w:hAnsi="Book Antiqua" w:cs="Arial"/>
          <w:kern w:val="0"/>
          <w:sz w:val="24"/>
          <w:lang w:val="en-ZA" w:eastAsia="en-US"/>
        </w:rPr>
        <w:t xml:space="preserve"> </w:t>
      </w:r>
    </w:p>
    <w:p w14:paraId="1ED23A53" w14:textId="26B51B53" w:rsidR="00B946EC" w:rsidRPr="001E5D32" w:rsidRDefault="00BA0211" w:rsidP="001E5D32">
      <w:pPr>
        <w:spacing w:line="360" w:lineRule="auto"/>
        <w:ind w:firstLineChars="200" w:firstLine="480"/>
        <w:rPr>
          <w:rFonts w:ascii="Book Antiqua" w:eastAsiaTheme="minorEastAsia" w:hAnsi="Book Antiqua" w:cs="Arial"/>
          <w:kern w:val="0"/>
          <w:sz w:val="24"/>
          <w:lang w:val="en-ZA"/>
        </w:rPr>
      </w:pPr>
      <w:r w:rsidRPr="001E5D32">
        <w:rPr>
          <w:rFonts w:ascii="Book Antiqua" w:eastAsiaTheme="minorHAnsi" w:hAnsi="Book Antiqua" w:cs="Arial"/>
          <w:kern w:val="0"/>
          <w:sz w:val="24"/>
          <w:lang w:val="en-ZA" w:eastAsia="en-US"/>
        </w:rPr>
        <w:t xml:space="preserve">Standardized selection criteria for hemochromatosis (HFE) genotyping used to confirm a suspected diagnosis of </w:t>
      </w:r>
      <w:r w:rsidR="00132FD1" w:rsidRPr="001E5D32">
        <w:rPr>
          <w:rFonts w:ascii="Book Antiqua" w:eastAsiaTheme="minorHAnsi" w:hAnsi="Book Antiqua" w:cs="Arial"/>
          <w:kern w:val="0"/>
          <w:sz w:val="24"/>
          <w:lang w:val="en-ZA" w:eastAsia="en-US"/>
        </w:rPr>
        <w:t>genetic HH</w:t>
      </w:r>
      <w:r w:rsidR="00DC43E1" w:rsidRPr="001E5D32">
        <w:rPr>
          <w:rFonts w:ascii="Book Antiqua" w:eastAsiaTheme="minorHAnsi" w:hAnsi="Book Antiqua" w:cs="Arial"/>
          <w:kern w:val="0"/>
          <w:sz w:val="24"/>
          <w:lang w:val="en-ZA" w:eastAsia="en-US"/>
        </w:rPr>
        <w:t xml:space="preserve"> are alread</w:t>
      </w:r>
      <w:r w:rsidRPr="001E5D32">
        <w:rPr>
          <w:rFonts w:ascii="Book Antiqua" w:eastAsiaTheme="minorHAnsi" w:hAnsi="Book Antiqua" w:cs="Arial"/>
          <w:kern w:val="0"/>
          <w:sz w:val="24"/>
          <w:lang w:val="en-ZA" w:eastAsia="en-US"/>
        </w:rPr>
        <w:t>y in place based on well-established diagnostic algorithms.</w:t>
      </w:r>
      <w:r w:rsidR="0070575E" w:rsidRPr="001E5D32">
        <w:rPr>
          <w:rFonts w:ascii="Book Antiqua" w:eastAsiaTheme="minorHAnsi" w:hAnsi="Book Antiqua" w:cs="Arial"/>
          <w:kern w:val="0"/>
          <w:sz w:val="24"/>
          <w:lang w:val="en-ZA" w:eastAsia="en-US"/>
        </w:rPr>
        <w:t xml:space="preserve"> However, there remains</w:t>
      </w:r>
      <w:r w:rsidR="001E7AF9" w:rsidRPr="001E5D32">
        <w:rPr>
          <w:rFonts w:ascii="Book Antiqua" w:eastAsiaTheme="minorHAnsi" w:hAnsi="Book Antiqua" w:cs="Arial"/>
          <w:kern w:val="0"/>
          <w:sz w:val="24"/>
          <w:lang w:val="en-ZA" w:eastAsia="en-US"/>
        </w:rPr>
        <w:t xml:space="preserve"> </w:t>
      </w:r>
      <w:r w:rsidR="00F21494" w:rsidRPr="001E5D32">
        <w:rPr>
          <w:rFonts w:ascii="Book Antiqua" w:eastAsiaTheme="minorHAnsi" w:hAnsi="Book Antiqua" w:cs="Arial"/>
          <w:kern w:val="0"/>
          <w:sz w:val="24"/>
          <w:lang w:val="en-ZA" w:eastAsia="en-US"/>
        </w:rPr>
        <w:t xml:space="preserve">a </w:t>
      </w:r>
      <w:r w:rsidR="00DC43E1" w:rsidRPr="001E5D32">
        <w:rPr>
          <w:rFonts w:ascii="Book Antiqua" w:eastAsiaTheme="minorHAnsi" w:hAnsi="Book Antiqua" w:cs="Arial"/>
          <w:kern w:val="0"/>
          <w:sz w:val="24"/>
          <w:lang w:val="en-ZA" w:eastAsia="en-US"/>
        </w:rPr>
        <w:t xml:space="preserve">pressing need to develop </w:t>
      </w:r>
      <w:r w:rsidR="001E7AF9" w:rsidRPr="001E5D32">
        <w:rPr>
          <w:rFonts w:ascii="Book Antiqua" w:eastAsiaTheme="minorHAnsi" w:hAnsi="Book Antiqua" w:cs="Arial"/>
          <w:kern w:val="0"/>
          <w:sz w:val="24"/>
          <w:lang w:val="en-ZA" w:eastAsia="en-US"/>
        </w:rPr>
        <w:t xml:space="preserve">and validate </w:t>
      </w:r>
      <w:r w:rsidR="00DC43E1" w:rsidRPr="001E5D32">
        <w:rPr>
          <w:rFonts w:ascii="Book Antiqua" w:eastAsiaTheme="minorHAnsi" w:hAnsi="Book Antiqua" w:cs="Arial"/>
          <w:kern w:val="0"/>
          <w:sz w:val="24"/>
          <w:lang w:val="en-ZA" w:eastAsia="en-US"/>
        </w:rPr>
        <w:t xml:space="preserve">cost-effective non-invasive pre-screen diagnostic </w:t>
      </w:r>
      <w:r w:rsidR="001E7AF9" w:rsidRPr="001E5D32">
        <w:rPr>
          <w:rFonts w:ascii="Book Antiqua" w:eastAsiaTheme="minorHAnsi" w:hAnsi="Book Antiqua" w:cs="Arial"/>
          <w:kern w:val="0"/>
          <w:sz w:val="24"/>
          <w:lang w:val="en-ZA" w:eastAsia="en-US"/>
        </w:rPr>
        <w:t xml:space="preserve">algorithms to assist clinicians in differentiating </w:t>
      </w:r>
      <w:r w:rsidR="00132FD1" w:rsidRPr="001E5D32">
        <w:rPr>
          <w:rFonts w:ascii="Book Antiqua" w:eastAsiaTheme="minorHAnsi" w:hAnsi="Book Antiqua" w:cs="Arial"/>
          <w:kern w:val="0"/>
          <w:sz w:val="24"/>
          <w:lang w:val="en-ZA" w:eastAsia="en-US"/>
        </w:rPr>
        <w:t>between type I genetic HH</w:t>
      </w:r>
      <w:r w:rsidR="00DC43E1" w:rsidRPr="001E5D32">
        <w:rPr>
          <w:rFonts w:ascii="Book Antiqua" w:eastAsiaTheme="minorHAnsi" w:hAnsi="Book Antiqua" w:cs="Arial"/>
          <w:kern w:val="0"/>
          <w:sz w:val="24"/>
          <w:lang w:val="en-ZA" w:eastAsia="en-US"/>
        </w:rPr>
        <w:t xml:space="preserve"> and DIOS as common causes of hepatic siderosis with the goal of </w:t>
      </w:r>
      <w:r w:rsidR="001E7AF9" w:rsidRPr="001E5D32">
        <w:rPr>
          <w:rFonts w:ascii="Book Antiqua" w:eastAsiaTheme="minorHAnsi" w:hAnsi="Book Antiqua" w:cs="Arial"/>
          <w:kern w:val="0"/>
          <w:sz w:val="24"/>
          <w:lang w:val="en-ZA" w:eastAsia="en-US"/>
        </w:rPr>
        <w:t>informing clinical and therapeutic decision making.</w:t>
      </w:r>
      <w:r w:rsidR="00DC43E1" w:rsidRPr="001E5D32">
        <w:rPr>
          <w:rFonts w:ascii="Book Antiqua" w:eastAsiaTheme="minorHAnsi" w:hAnsi="Book Antiqua" w:cs="Arial"/>
          <w:kern w:val="0"/>
          <w:sz w:val="24"/>
          <w:lang w:val="en-ZA" w:eastAsia="en-US"/>
        </w:rPr>
        <w:t xml:space="preserve"> </w:t>
      </w:r>
      <w:r w:rsidR="00F21494" w:rsidRPr="001E5D32">
        <w:rPr>
          <w:rFonts w:ascii="Book Antiqua" w:eastAsiaTheme="minorHAnsi" w:hAnsi="Book Antiqua" w:cs="Arial"/>
          <w:kern w:val="0"/>
          <w:sz w:val="24"/>
          <w:lang w:val="en-ZA" w:eastAsia="en-US"/>
        </w:rPr>
        <w:t xml:space="preserve">Riva </w:t>
      </w:r>
      <w:r w:rsidR="00195906" w:rsidRPr="001E5D32">
        <w:rPr>
          <w:rFonts w:ascii="Book Antiqua" w:eastAsiaTheme="minorEastAsia" w:hAnsi="Book Antiqua" w:cs="Arial"/>
          <w:i/>
          <w:kern w:val="0"/>
          <w:sz w:val="24"/>
          <w:lang w:val="en-ZA"/>
        </w:rPr>
        <w:t>et al</w:t>
      </w:r>
      <w:r w:rsidR="00F21494" w:rsidRPr="001E5D32">
        <w:rPr>
          <w:rFonts w:ascii="Book Antiqua" w:eastAsiaTheme="minorHAnsi" w:hAnsi="Book Antiqua" w:cs="Arial"/>
          <w:kern w:val="0"/>
          <w:sz w:val="24"/>
          <w:vertAlign w:val="superscript"/>
          <w:lang w:val="en-ZA" w:eastAsia="en-US"/>
        </w:rPr>
        <w:t>[</w:t>
      </w:r>
      <w:r w:rsidR="00786DF8" w:rsidRPr="001E5D32">
        <w:rPr>
          <w:rFonts w:ascii="Book Antiqua" w:eastAsiaTheme="minorHAnsi" w:hAnsi="Book Antiqua" w:cs="Arial"/>
          <w:kern w:val="0"/>
          <w:sz w:val="24"/>
          <w:vertAlign w:val="superscript"/>
          <w:lang w:val="en-ZA" w:eastAsia="en-US"/>
        </w:rPr>
        <w:t>91</w:t>
      </w:r>
      <w:r w:rsidR="00383C10" w:rsidRPr="001E5D32">
        <w:rPr>
          <w:rFonts w:ascii="Book Antiqua" w:eastAsiaTheme="minorHAnsi" w:hAnsi="Book Antiqua" w:cs="Arial"/>
          <w:kern w:val="0"/>
          <w:sz w:val="24"/>
          <w:vertAlign w:val="superscript"/>
          <w:lang w:val="en-ZA" w:eastAsia="en-US"/>
        </w:rPr>
        <w:t>]</w:t>
      </w:r>
      <w:r w:rsidR="00383C10" w:rsidRPr="001E5D32">
        <w:rPr>
          <w:rFonts w:ascii="Book Antiqua" w:eastAsiaTheme="minorHAnsi" w:hAnsi="Book Antiqua" w:cs="Arial"/>
          <w:kern w:val="0"/>
          <w:sz w:val="24"/>
          <w:lang w:val="en-ZA" w:eastAsia="en-US"/>
        </w:rPr>
        <w:t xml:space="preserve"> </w:t>
      </w:r>
      <w:r w:rsidR="00EE4900" w:rsidRPr="001E5D32">
        <w:rPr>
          <w:rFonts w:ascii="Book Antiqua" w:eastAsiaTheme="minorHAnsi" w:hAnsi="Book Antiqua" w:cs="Arial"/>
          <w:kern w:val="0"/>
          <w:sz w:val="24"/>
          <w:lang w:val="en-ZA" w:eastAsia="en-US"/>
        </w:rPr>
        <w:t>re-evaluate</w:t>
      </w:r>
      <w:r w:rsidR="00383C10" w:rsidRPr="001E5D32">
        <w:rPr>
          <w:rFonts w:ascii="Book Antiqua" w:eastAsiaTheme="minorHAnsi" w:hAnsi="Book Antiqua" w:cs="Arial"/>
          <w:kern w:val="0"/>
          <w:sz w:val="24"/>
          <w:lang w:val="en-ZA" w:eastAsia="en-US"/>
        </w:rPr>
        <w:t>d</w:t>
      </w:r>
      <w:r w:rsidR="00F21494" w:rsidRPr="001E5D32">
        <w:rPr>
          <w:rFonts w:ascii="Book Antiqua" w:eastAsiaTheme="minorHAnsi" w:hAnsi="Book Antiqua" w:cs="Arial"/>
          <w:kern w:val="0"/>
          <w:sz w:val="24"/>
          <w:lang w:val="en-ZA" w:eastAsia="en-US"/>
        </w:rPr>
        <w:t xml:space="preserve"> t</w:t>
      </w:r>
      <w:r w:rsidR="00EE4900" w:rsidRPr="001E5D32">
        <w:rPr>
          <w:rFonts w:ascii="Book Antiqua" w:eastAsiaTheme="minorHAnsi" w:hAnsi="Book Antiqua" w:cs="Arial"/>
          <w:kern w:val="0"/>
          <w:sz w:val="24"/>
          <w:lang w:val="en-ZA" w:eastAsia="en-US"/>
        </w:rPr>
        <w:t>he d</w:t>
      </w:r>
      <w:r w:rsidR="00383C10" w:rsidRPr="001E5D32">
        <w:rPr>
          <w:rFonts w:ascii="Book Antiqua" w:eastAsiaTheme="minorHAnsi" w:hAnsi="Book Antiqua" w:cs="Arial"/>
          <w:kern w:val="0"/>
          <w:sz w:val="24"/>
          <w:lang w:val="en-ZA" w:eastAsia="en-US"/>
        </w:rPr>
        <w:t xml:space="preserve">iagnostic criteria for DIOS and showed that </w:t>
      </w:r>
      <w:r w:rsidR="00F21494" w:rsidRPr="001E5D32">
        <w:rPr>
          <w:rFonts w:ascii="Book Antiqua" w:eastAsiaTheme="minorHAnsi" w:hAnsi="Book Antiqua" w:cs="Arial"/>
          <w:kern w:val="0"/>
          <w:sz w:val="24"/>
          <w:lang w:val="en-ZA" w:eastAsia="en-US"/>
        </w:rPr>
        <w:t xml:space="preserve">the presence of two or more metabolic syndrome features and a normal TS percentage in patients with confirmed hepatosteatosis corresponded with mild to moderate hepatic siderosis showing a predominantly sinusoidal distribution typical of “classic” DIOS. </w:t>
      </w:r>
      <w:r w:rsidR="00383C10" w:rsidRPr="001E5D32">
        <w:rPr>
          <w:rFonts w:ascii="Book Antiqua" w:eastAsiaTheme="minorHAnsi" w:hAnsi="Book Antiqua" w:cs="Arial"/>
          <w:kern w:val="0"/>
          <w:sz w:val="24"/>
          <w:lang w:val="en-ZA" w:eastAsia="en-US"/>
        </w:rPr>
        <w:t>By</w:t>
      </w:r>
      <w:r w:rsidR="00EE4900" w:rsidRPr="001E5D32">
        <w:rPr>
          <w:rFonts w:ascii="Book Antiqua" w:eastAsiaTheme="minorHAnsi" w:hAnsi="Book Antiqua" w:cs="Arial"/>
          <w:kern w:val="0"/>
          <w:sz w:val="24"/>
          <w:lang w:val="en-ZA" w:eastAsia="en-US"/>
        </w:rPr>
        <w:t xml:space="preserve"> comparison, a</w:t>
      </w:r>
      <w:r w:rsidR="00F21494" w:rsidRPr="001E5D32">
        <w:rPr>
          <w:rFonts w:ascii="Book Antiqua" w:eastAsiaTheme="minorHAnsi" w:hAnsi="Book Antiqua" w:cs="Arial"/>
          <w:kern w:val="0"/>
          <w:sz w:val="24"/>
          <w:lang w:val="en-ZA" w:eastAsia="en-US"/>
        </w:rPr>
        <w:t xml:space="preserve"> significant peripheral elevation in TS dissociated from cardio-metabolic risk traits corresponded to more severe hepatocellular iron accumulation consistent with the histolog</w:t>
      </w:r>
      <w:r w:rsidR="00132FD1" w:rsidRPr="001E5D32">
        <w:rPr>
          <w:rFonts w:ascii="Book Antiqua" w:eastAsiaTheme="minorHAnsi" w:hAnsi="Book Antiqua" w:cs="Arial"/>
          <w:kern w:val="0"/>
          <w:sz w:val="24"/>
          <w:lang w:val="en-ZA" w:eastAsia="en-US"/>
        </w:rPr>
        <w:t xml:space="preserve">ical presentation of genetic HH. </w:t>
      </w:r>
      <w:r w:rsidR="00B946EC" w:rsidRPr="001E5D32">
        <w:rPr>
          <w:rFonts w:ascii="Book Antiqua" w:eastAsiaTheme="minorHAnsi" w:hAnsi="Book Antiqua" w:cs="Arial"/>
          <w:kern w:val="0"/>
          <w:sz w:val="24"/>
          <w:lang w:val="en-ZA" w:eastAsia="en-US"/>
        </w:rPr>
        <w:t>In this context, the routine implementation of similar a validated diagnostic tool could assist clinicians in stratifying obese patients into meaningful subgroups based on the need for extended follow-up evaluation aimed at confirming a suspected diagnosis of hepatosteatosis and/or DIOS, in addition to identifying a subgroup set to derive optimal benefit from the timely implementation of suitable lifestyle-based intervention strategies and targeted therapeutic modalities aimed at decreasing cumulative cardio-metabolic risk for early on in the disease process.</w:t>
      </w:r>
    </w:p>
    <w:p w14:paraId="0CE5F5B4" w14:textId="77777777" w:rsidR="00195906" w:rsidRPr="001E5D32" w:rsidRDefault="00195906" w:rsidP="001E5D32">
      <w:pPr>
        <w:spacing w:line="360" w:lineRule="auto"/>
        <w:ind w:firstLineChars="200" w:firstLine="480"/>
        <w:rPr>
          <w:rFonts w:ascii="Book Antiqua" w:eastAsiaTheme="minorEastAsia" w:hAnsi="Book Antiqua" w:cs="Arial"/>
          <w:kern w:val="0"/>
          <w:sz w:val="24"/>
          <w:lang w:val="en-ZA"/>
        </w:rPr>
      </w:pPr>
    </w:p>
    <w:p w14:paraId="0CF61C31" w14:textId="77777777" w:rsidR="00184F7C" w:rsidRPr="001E5D32" w:rsidRDefault="00B51545"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 xml:space="preserve">COMPOSITE PREDICTIVE MODELS FOR ADVANCED HEPATIC FIBROSIS </w:t>
      </w:r>
    </w:p>
    <w:p w14:paraId="36CCBCA8" w14:textId="6C492035" w:rsidR="0000744E" w:rsidRPr="001E5D32" w:rsidRDefault="00184F7C"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Establishing the extent and severity of fibrotic injury in patients with NAFLD is of </w:t>
      </w:r>
      <w:r w:rsidR="0070575E" w:rsidRPr="001E5D32">
        <w:rPr>
          <w:rFonts w:ascii="Book Antiqua" w:eastAsia="Times New Roman" w:hAnsi="Book Antiqua"/>
          <w:sz w:val="24"/>
          <w:lang w:val="en-GB"/>
        </w:rPr>
        <w:t>significant clinical relevance to the reliable prediction</w:t>
      </w:r>
      <w:r w:rsidRPr="001E5D32">
        <w:rPr>
          <w:rFonts w:ascii="Book Antiqua" w:eastAsia="Times New Roman" w:hAnsi="Book Antiqua"/>
          <w:sz w:val="24"/>
          <w:lang w:val="en-GB"/>
        </w:rPr>
        <w:t xml:space="preserve"> of overall and liver-relate</w:t>
      </w:r>
      <w:r w:rsidR="008A5055" w:rsidRPr="001E5D32">
        <w:rPr>
          <w:rFonts w:ascii="Book Antiqua" w:eastAsia="Times New Roman" w:hAnsi="Book Antiqua"/>
          <w:sz w:val="24"/>
          <w:lang w:val="en-GB"/>
        </w:rPr>
        <w:t>d mortality</w:t>
      </w:r>
      <w:r w:rsidR="005F2C82"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92</w:t>
      </w:r>
      <w:r w:rsidR="005F2C82"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In additio</w:t>
      </w:r>
      <w:r w:rsidR="00D254D2" w:rsidRPr="001E5D32">
        <w:rPr>
          <w:rFonts w:ascii="Book Antiqua" w:eastAsia="Times New Roman" w:hAnsi="Book Antiqua"/>
          <w:sz w:val="24"/>
          <w:lang w:val="en-GB"/>
        </w:rPr>
        <w:t xml:space="preserve">n to its prognostic </w:t>
      </w:r>
      <w:r w:rsidR="00230416" w:rsidRPr="001E5D32">
        <w:rPr>
          <w:rFonts w:ascii="Book Antiqua" w:eastAsia="Times New Roman" w:hAnsi="Book Antiqua"/>
          <w:sz w:val="24"/>
          <w:lang w:val="en-GB"/>
        </w:rPr>
        <w:t>importance</w:t>
      </w:r>
      <w:r w:rsidRPr="001E5D32">
        <w:rPr>
          <w:rFonts w:ascii="Book Antiqua" w:eastAsia="Times New Roman" w:hAnsi="Book Antiqua"/>
          <w:sz w:val="24"/>
          <w:lang w:val="en-GB"/>
        </w:rPr>
        <w:t>, confirmation thereof may identify patients eligible for enrolment in screening programs aimed at monitoring risk for progression to cirrhosis and its associated complications</w:t>
      </w:r>
      <w:r w:rsidR="00797067"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93</w:t>
      </w:r>
      <w:r w:rsidR="00797067"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Fibrosis severity is moreover correlated with greater carotid intima media thickness (CIMT) measurements, decreased coronary blood flow (CBF) reserves as well as microvascular dysfunction, suggesting that patients with advanced fibrotic injury should be considered at high-risk for CVD, warranting more aggressive and sustained intervention via lifesty</w:t>
      </w:r>
      <w:r w:rsidR="0070575E" w:rsidRPr="001E5D32">
        <w:rPr>
          <w:rFonts w:ascii="Book Antiqua" w:eastAsia="Times New Roman" w:hAnsi="Book Antiqua"/>
          <w:sz w:val="24"/>
          <w:lang w:val="en-GB"/>
        </w:rPr>
        <w:t>le-based risk</w:t>
      </w:r>
      <w:r w:rsidR="008A5055" w:rsidRPr="001E5D32">
        <w:rPr>
          <w:rFonts w:ascii="Book Antiqua" w:eastAsia="Times New Roman" w:hAnsi="Book Antiqua"/>
          <w:sz w:val="24"/>
          <w:lang w:val="en-GB"/>
        </w:rPr>
        <w:t xml:space="preserve"> reduction methods</w:t>
      </w:r>
      <w:r w:rsidR="005F2C82" w:rsidRPr="001E5D32">
        <w:rPr>
          <w:rFonts w:ascii="Book Antiqua" w:eastAsia="Times New Roman" w:hAnsi="Book Antiqua"/>
          <w:sz w:val="24"/>
          <w:vertAlign w:val="superscript"/>
          <w:lang w:val="en-GB"/>
        </w:rPr>
        <w:t>[</w:t>
      </w:r>
      <w:r w:rsidR="00786DF8" w:rsidRPr="001E5D32">
        <w:rPr>
          <w:rFonts w:ascii="Book Antiqua" w:eastAsia="Times New Roman" w:hAnsi="Book Antiqua"/>
          <w:sz w:val="24"/>
          <w:vertAlign w:val="superscript"/>
          <w:lang w:val="en-GB"/>
        </w:rPr>
        <w:t>94,95</w:t>
      </w:r>
      <w:r w:rsidR="005F2C82" w:rsidRPr="001E5D32">
        <w:rPr>
          <w:rFonts w:ascii="Book Antiqua" w:eastAsia="Times New Roman" w:hAnsi="Book Antiqua"/>
          <w:sz w:val="24"/>
          <w:vertAlign w:val="superscript"/>
          <w:lang w:val="en-GB"/>
        </w:rPr>
        <w:t>]</w:t>
      </w:r>
      <w:r w:rsidR="005F2C82" w:rsidRPr="001E5D32">
        <w:rPr>
          <w:rFonts w:ascii="Book Antiqua" w:eastAsia="Times New Roman" w:hAnsi="Book Antiqua"/>
          <w:sz w:val="24"/>
          <w:lang w:val="en-GB"/>
        </w:rPr>
        <w:t>.</w:t>
      </w:r>
      <w:r w:rsidRPr="001E5D32">
        <w:rPr>
          <w:rFonts w:ascii="Book Antiqua" w:eastAsia="Times New Roman" w:hAnsi="Book Antiqua"/>
          <w:sz w:val="24"/>
          <w:lang w:val="en-GB"/>
        </w:rPr>
        <w:t xml:space="preserve"> Several scoring panels used for the prediction of advanced hepatic fibrosis are outlined in Table 3. </w:t>
      </w:r>
    </w:p>
    <w:p w14:paraId="3DDA0B5A" w14:textId="77777777" w:rsidR="00753FE6" w:rsidRPr="001E5D32" w:rsidRDefault="00753FE6" w:rsidP="001E5D32">
      <w:pPr>
        <w:spacing w:line="360" w:lineRule="auto"/>
        <w:rPr>
          <w:rFonts w:ascii="Book Antiqua" w:eastAsia="Times New Roman" w:hAnsi="Book Antiqua"/>
          <w:i/>
          <w:sz w:val="24"/>
          <w:lang w:val="en-GB"/>
        </w:rPr>
      </w:pPr>
    </w:p>
    <w:p w14:paraId="17BCF39E" w14:textId="77777777" w:rsidR="00184F7C" w:rsidRPr="001E5D32" w:rsidRDefault="00184F7C" w:rsidP="001E5D32">
      <w:pPr>
        <w:spacing w:line="360" w:lineRule="auto"/>
        <w:rPr>
          <w:rFonts w:ascii="Book Antiqua" w:eastAsia="Times New Roman" w:hAnsi="Book Antiqua"/>
          <w:b/>
          <w:i/>
          <w:sz w:val="24"/>
          <w:lang w:val="en-GB"/>
        </w:rPr>
      </w:pPr>
      <w:r w:rsidRPr="001E5D32">
        <w:rPr>
          <w:rFonts w:ascii="Book Antiqua" w:eastAsia="Times New Roman" w:hAnsi="Book Antiqua"/>
          <w:b/>
          <w:i/>
          <w:sz w:val="24"/>
          <w:lang w:val="en-GB"/>
        </w:rPr>
        <w:t xml:space="preserve">Socio-demographic characteristics </w:t>
      </w:r>
    </w:p>
    <w:p w14:paraId="279297E6" w14:textId="6E2E36F9" w:rsidR="00753FE6" w:rsidRPr="001E5D32" w:rsidRDefault="00184F7C"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 Risk for pathogenic progression and greater histological severity increases dramatic</w:t>
      </w:r>
      <w:r w:rsidR="008A5055" w:rsidRPr="001E5D32">
        <w:rPr>
          <w:rFonts w:ascii="Book Antiqua" w:eastAsia="Times New Roman" w:hAnsi="Book Antiqua"/>
          <w:sz w:val="24"/>
          <w:lang w:val="en-GB"/>
        </w:rPr>
        <w:t>ally with age</w:t>
      </w:r>
      <w:r w:rsidR="00AD1806"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107</w:t>
      </w:r>
      <w:r w:rsidR="00AD1806" w:rsidRPr="001E5D32">
        <w:rPr>
          <w:rFonts w:ascii="Book Antiqua" w:eastAsia="Times New Roman" w:hAnsi="Book Antiqua"/>
          <w:sz w:val="24"/>
          <w:vertAlign w:val="superscript"/>
          <w:lang w:val="en-GB"/>
        </w:rPr>
        <w:t>]</w:t>
      </w:r>
      <w:r w:rsidR="00AD1806" w:rsidRPr="001E5D32">
        <w:rPr>
          <w:rFonts w:ascii="Book Antiqua" w:eastAsia="Times New Roman" w:hAnsi="Book Antiqua"/>
          <w:sz w:val="24"/>
          <w:lang w:val="en-GB"/>
        </w:rPr>
        <w:t>.</w:t>
      </w:r>
      <w:r w:rsidRPr="001E5D32">
        <w:rPr>
          <w:rFonts w:ascii="Book Antiqua" w:eastAsia="Times New Roman" w:hAnsi="Book Antiqua"/>
          <w:sz w:val="24"/>
          <w:lang w:val="en-GB"/>
        </w:rPr>
        <w:t xml:space="preserve"> Older age is therefore considered a predictor variable in multiple composite models for advanced fibrosis. </w:t>
      </w:r>
    </w:p>
    <w:p w14:paraId="56FD95FF" w14:textId="77777777" w:rsidR="001309C9" w:rsidRPr="001E5D32" w:rsidRDefault="001309C9" w:rsidP="001E5D32">
      <w:pPr>
        <w:spacing w:line="360" w:lineRule="auto"/>
        <w:rPr>
          <w:rFonts w:ascii="Book Antiqua" w:eastAsia="Times New Roman" w:hAnsi="Book Antiqua"/>
          <w:sz w:val="24"/>
          <w:lang w:val="en-GB"/>
        </w:rPr>
      </w:pPr>
    </w:p>
    <w:p w14:paraId="528B17B3" w14:textId="77777777" w:rsidR="00184F7C" w:rsidRPr="001E5D32" w:rsidRDefault="00184F7C" w:rsidP="001E5D32">
      <w:pPr>
        <w:spacing w:line="360" w:lineRule="auto"/>
        <w:rPr>
          <w:rFonts w:ascii="Book Antiqua" w:eastAsia="Times New Roman" w:hAnsi="Book Antiqua"/>
          <w:b/>
          <w:i/>
          <w:sz w:val="24"/>
          <w:lang w:val="en-GB"/>
        </w:rPr>
      </w:pPr>
      <w:r w:rsidRPr="001E5D32">
        <w:rPr>
          <w:rFonts w:ascii="Book Antiqua" w:eastAsia="Times New Roman" w:hAnsi="Book Antiqua"/>
          <w:b/>
          <w:i/>
          <w:sz w:val="24"/>
          <w:lang w:val="en-GB"/>
        </w:rPr>
        <w:t xml:space="preserve">Cardio-metabolic risk traits and liver enzyme levels </w:t>
      </w:r>
    </w:p>
    <w:p w14:paraId="0335EE00" w14:textId="0EE6DFCE" w:rsidR="00FD0224" w:rsidRPr="001E5D32" w:rsidRDefault="00184F7C" w:rsidP="001E5D32">
      <w:pPr>
        <w:spacing w:line="360" w:lineRule="auto"/>
        <w:rPr>
          <w:rFonts w:ascii="Book Antiqua" w:eastAsiaTheme="minorEastAsia" w:hAnsi="Book Antiqua"/>
          <w:sz w:val="24"/>
          <w:lang w:val="en-GB"/>
        </w:rPr>
      </w:pPr>
      <w:r w:rsidRPr="001E5D32">
        <w:rPr>
          <w:rFonts w:ascii="Book Antiqua" w:eastAsia="Times New Roman" w:hAnsi="Book Antiqua"/>
          <w:sz w:val="24"/>
          <w:lang w:val="en-GB"/>
        </w:rPr>
        <w:t>The metabolic syndrome as composite entity, in addition to its individual components, are accurate predictors of histological severi</w:t>
      </w:r>
      <w:r w:rsidR="001676F4" w:rsidRPr="001E5D32">
        <w:rPr>
          <w:rFonts w:ascii="Book Antiqua" w:eastAsia="Times New Roman" w:hAnsi="Book Antiqua"/>
          <w:sz w:val="24"/>
          <w:lang w:val="en-GB"/>
        </w:rPr>
        <w:t>ty in NASH</w:t>
      </w:r>
      <w:r w:rsidR="00AD1806" w:rsidRPr="001E5D32">
        <w:rPr>
          <w:rFonts w:ascii="Book Antiqua" w:eastAsia="Times New Roman" w:hAnsi="Book Antiqua"/>
          <w:sz w:val="24"/>
          <w:vertAlign w:val="superscript"/>
          <w:lang w:val="en-GB"/>
        </w:rPr>
        <w:t>[</w:t>
      </w:r>
      <w:r w:rsidR="006A3615" w:rsidRPr="001E5D32">
        <w:rPr>
          <w:rFonts w:ascii="Book Antiqua" w:eastAsia="Times New Roman" w:hAnsi="Book Antiqua"/>
          <w:sz w:val="24"/>
          <w:vertAlign w:val="superscript"/>
          <w:lang w:val="en-GB"/>
        </w:rPr>
        <w:t>10</w:t>
      </w:r>
      <w:r w:rsidR="001E072A" w:rsidRPr="001E5D32">
        <w:rPr>
          <w:rFonts w:ascii="Book Antiqua" w:eastAsia="Times New Roman" w:hAnsi="Book Antiqua"/>
          <w:sz w:val="24"/>
          <w:vertAlign w:val="superscript"/>
          <w:lang w:val="en-GB"/>
        </w:rPr>
        <w:t>8</w:t>
      </w:r>
      <w:r w:rsidR="00AD1806"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xml:space="preserve">. </w:t>
      </w:r>
      <w:r w:rsidR="00AD1806" w:rsidRPr="001E5D32">
        <w:rPr>
          <w:rFonts w:ascii="Book Antiqua" w:eastAsia="Times New Roman" w:hAnsi="Book Antiqua"/>
          <w:sz w:val="24"/>
          <w:lang w:val="en-GB"/>
        </w:rPr>
        <w:t>The AAR is typically &lt;</w:t>
      </w:r>
      <w:r w:rsidR="00195906" w:rsidRPr="001E5D32">
        <w:rPr>
          <w:rFonts w:ascii="Book Antiqua" w:eastAsiaTheme="minorEastAsia" w:hAnsi="Book Antiqua" w:hint="eastAsia"/>
          <w:sz w:val="24"/>
          <w:lang w:val="en-GB"/>
        </w:rPr>
        <w:t xml:space="preserve"> </w:t>
      </w:r>
      <w:r w:rsidR="00AD1806" w:rsidRPr="001E5D32">
        <w:rPr>
          <w:rFonts w:ascii="Book Antiqua" w:eastAsia="Times New Roman" w:hAnsi="Book Antiqua"/>
          <w:sz w:val="24"/>
          <w:lang w:val="en-GB"/>
        </w:rPr>
        <w:t xml:space="preserve">1 in patients with uncomplicated NAFLD; however, </w:t>
      </w:r>
      <w:r w:rsidRPr="001E5D32">
        <w:rPr>
          <w:rFonts w:ascii="Book Antiqua" w:eastAsia="Times New Roman" w:hAnsi="Book Antiqua"/>
          <w:sz w:val="24"/>
          <w:lang w:val="en-GB"/>
        </w:rPr>
        <w:t xml:space="preserve">ALT levels decrease with resolution of necro-inflammation and </w:t>
      </w:r>
      <w:r w:rsidR="00AD1806" w:rsidRPr="001E5D32">
        <w:rPr>
          <w:rFonts w:ascii="Book Antiqua" w:eastAsia="Times New Roman" w:hAnsi="Book Antiqua"/>
          <w:sz w:val="24"/>
          <w:lang w:val="en-GB"/>
        </w:rPr>
        <w:t xml:space="preserve">as </w:t>
      </w:r>
      <w:r w:rsidRPr="001E5D32">
        <w:rPr>
          <w:rFonts w:ascii="Book Antiqua" w:eastAsia="Times New Roman" w:hAnsi="Book Antiqua"/>
          <w:sz w:val="24"/>
          <w:lang w:val="en-GB"/>
        </w:rPr>
        <w:t>fibrotic injury progresses, resulting in decreased clearance of AST from the sinusoidal space, this gradua</w:t>
      </w:r>
      <w:r w:rsidR="001676F4" w:rsidRPr="001E5D32">
        <w:rPr>
          <w:rFonts w:ascii="Book Antiqua" w:eastAsia="Times New Roman" w:hAnsi="Book Antiqua"/>
          <w:sz w:val="24"/>
          <w:lang w:val="en-GB"/>
        </w:rPr>
        <w:t>lly reverses</w:t>
      </w:r>
      <w:r w:rsidR="00AD1806"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62</w:t>
      </w:r>
      <w:r w:rsidR="00AD1806"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xml:space="preserve">. </w:t>
      </w:r>
      <w:r w:rsidR="00FD0224" w:rsidRPr="001E5D32">
        <w:rPr>
          <w:rFonts w:ascii="Book Antiqua" w:eastAsia="Times New Roman" w:hAnsi="Book Antiqua"/>
          <w:sz w:val="24"/>
          <w:lang w:val="en-GB"/>
        </w:rPr>
        <w:t>An AAR of &gt;1 is considered a reliable indicator of cirrhosis, while a cut-off value of 0.8 can be used to predict advanced hepatic fibrosis</w:t>
      </w:r>
      <w:r w:rsidR="00AD1806" w:rsidRPr="001E5D32">
        <w:rPr>
          <w:rFonts w:ascii="Book Antiqua" w:eastAsia="Times New Roman" w:hAnsi="Book Antiqua"/>
          <w:sz w:val="24"/>
          <w:vertAlign w:val="superscript"/>
          <w:lang w:val="en-GB"/>
        </w:rPr>
        <w:t>[</w:t>
      </w:r>
      <w:r w:rsidR="006A3615" w:rsidRPr="001E5D32">
        <w:rPr>
          <w:rFonts w:ascii="Book Antiqua" w:eastAsia="Times New Roman" w:hAnsi="Book Antiqua"/>
          <w:sz w:val="24"/>
          <w:vertAlign w:val="superscript"/>
          <w:lang w:val="en-GB"/>
        </w:rPr>
        <w:t>10</w:t>
      </w:r>
      <w:r w:rsidR="001E072A" w:rsidRPr="001E5D32">
        <w:rPr>
          <w:rFonts w:ascii="Book Antiqua" w:eastAsia="Times New Roman" w:hAnsi="Book Antiqua"/>
          <w:sz w:val="24"/>
          <w:vertAlign w:val="superscript"/>
          <w:lang w:val="en-GB"/>
        </w:rPr>
        <w:t>9</w:t>
      </w:r>
      <w:r w:rsidR="00AD1806"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xml:space="preserve">. </w:t>
      </w:r>
    </w:p>
    <w:p w14:paraId="36931F11" w14:textId="48AA3B49" w:rsidR="00A8273C" w:rsidRPr="001E5D32" w:rsidRDefault="00FD0224" w:rsidP="001E5D32">
      <w:pPr>
        <w:spacing w:line="360" w:lineRule="auto"/>
        <w:ind w:firstLineChars="200" w:firstLine="480"/>
        <w:rPr>
          <w:rFonts w:ascii="Book Antiqua" w:eastAsia="Times New Roman" w:hAnsi="Book Antiqua"/>
          <w:sz w:val="24"/>
          <w:lang w:val="en-GB"/>
        </w:rPr>
      </w:pPr>
      <w:r w:rsidRPr="001E5D32">
        <w:rPr>
          <w:rFonts w:ascii="Book Antiqua" w:eastAsia="Times New Roman" w:hAnsi="Book Antiqua"/>
          <w:sz w:val="24"/>
          <w:lang w:val="en-GB"/>
        </w:rPr>
        <w:t>The above</w:t>
      </w:r>
      <w:r w:rsidR="00383C10" w:rsidRPr="001E5D32">
        <w:rPr>
          <w:rFonts w:ascii="Book Antiqua" w:eastAsia="Times New Roman" w:hAnsi="Book Antiqua"/>
          <w:sz w:val="24"/>
          <w:lang w:val="en-GB"/>
        </w:rPr>
        <w:t>mentioned</w:t>
      </w:r>
      <w:r w:rsidRPr="001E5D32">
        <w:rPr>
          <w:rFonts w:ascii="Book Antiqua" w:eastAsia="Times New Roman" w:hAnsi="Book Antiqua"/>
          <w:sz w:val="24"/>
          <w:lang w:val="en-GB"/>
        </w:rPr>
        <w:t xml:space="preserve"> </w:t>
      </w:r>
      <w:r w:rsidR="00184F7C" w:rsidRPr="001E5D32">
        <w:rPr>
          <w:rFonts w:ascii="Book Antiqua" w:eastAsia="Times New Roman" w:hAnsi="Book Antiqua"/>
          <w:sz w:val="24"/>
          <w:lang w:val="en-GB"/>
        </w:rPr>
        <w:t>va</w:t>
      </w:r>
      <w:r w:rsidR="00383C10" w:rsidRPr="001E5D32">
        <w:rPr>
          <w:rFonts w:ascii="Book Antiqua" w:eastAsia="Times New Roman" w:hAnsi="Book Antiqua"/>
          <w:sz w:val="24"/>
          <w:lang w:val="en-GB"/>
        </w:rPr>
        <w:t xml:space="preserve">riables constitute the basis for </w:t>
      </w:r>
      <w:r w:rsidR="00184F7C" w:rsidRPr="001E5D32">
        <w:rPr>
          <w:rFonts w:ascii="Book Antiqua" w:eastAsia="Times New Roman" w:hAnsi="Book Antiqua"/>
          <w:sz w:val="24"/>
          <w:lang w:val="en-GB"/>
        </w:rPr>
        <w:t>most</w:t>
      </w:r>
      <w:r w:rsidR="00383C10" w:rsidRPr="001E5D32">
        <w:rPr>
          <w:rFonts w:ascii="Book Antiqua" w:eastAsia="Times New Roman" w:hAnsi="Book Antiqua"/>
          <w:sz w:val="24"/>
          <w:lang w:val="en-GB"/>
        </w:rPr>
        <w:t xml:space="preserve"> of the</w:t>
      </w:r>
      <w:r w:rsidR="00184F7C" w:rsidRPr="001E5D32">
        <w:rPr>
          <w:rFonts w:ascii="Book Antiqua" w:eastAsia="Times New Roman" w:hAnsi="Book Antiqua"/>
          <w:sz w:val="24"/>
          <w:lang w:val="en-GB"/>
        </w:rPr>
        <w:t xml:space="preserve"> </w:t>
      </w:r>
      <w:r w:rsidR="00383C10" w:rsidRPr="001E5D32">
        <w:rPr>
          <w:rFonts w:ascii="Book Antiqua" w:eastAsia="Times New Roman" w:hAnsi="Book Antiqua"/>
          <w:sz w:val="24"/>
          <w:lang w:val="en-GB"/>
        </w:rPr>
        <w:t xml:space="preserve">composite predictive </w:t>
      </w:r>
      <w:r w:rsidR="00184F7C" w:rsidRPr="001E5D32">
        <w:rPr>
          <w:rFonts w:ascii="Book Antiqua" w:eastAsia="Times New Roman" w:hAnsi="Book Antiqua"/>
          <w:sz w:val="24"/>
          <w:lang w:val="en-GB"/>
        </w:rPr>
        <w:t>mode</w:t>
      </w:r>
      <w:r w:rsidR="00DF7CE9" w:rsidRPr="001E5D32">
        <w:rPr>
          <w:rFonts w:ascii="Book Antiqua" w:eastAsia="Times New Roman" w:hAnsi="Book Antiqua"/>
          <w:sz w:val="24"/>
          <w:lang w:val="en-GB"/>
        </w:rPr>
        <w:t>ls</w:t>
      </w:r>
      <w:r w:rsidR="00383C10" w:rsidRPr="001E5D32">
        <w:rPr>
          <w:rFonts w:ascii="Book Antiqua" w:eastAsia="Times New Roman" w:hAnsi="Book Antiqua"/>
          <w:sz w:val="24"/>
          <w:lang w:val="en-GB"/>
        </w:rPr>
        <w:t xml:space="preserve"> for advanced hepatic fibrosis</w:t>
      </w:r>
      <w:r w:rsidR="00DF7CE9" w:rsidRPr="001E5D32">
        <w:rPr>
          <w:rFonts w:ascii="Book Antiqua" w:eastAsia="Times New Roman" w:hAnsi="Book Antiqua"/>
          <w:sz w:val="24"/>
          <w:lang w:val="en-GB"/>
        </w:rPr>
        <w:t xml:space="preserve"> developed to date.</w:t>
      </w:r>
      <w:r w:rsidRPr="001E5D32">
        <w:rPr>
          <w:rFonts w:ascii="Book Antiqua" w:eastAsia="Times New Roman" w:hAnsi="Book Antiqua"/>
          <w:sz w:val="24"/>
          <w:lang w:val="en-GB"/>
        </w:rPr>
        <w:t xml:space="preserve"> </w:t>
      </w:r>
      <w:r w:rsidR="00184F7C" w:rsidRPr="001E5D32">
        <w:rPr>
          <w:rFonts w:ascii="Book Antiqua" w:eastAsia="Times New Roman" w:hAnsi="Book Antiqua"/>
          <w:sz w:val="24"/>
          <w:lang w:val="en-GB"/>
        </w:rPr>
        <w:t>Despite the high specificity (100</w:t>
      </w:r>
      <w:r w:rsidR="00AD1806" w:rsidRPr="001E5D32">
        <w:rPr>
          <w:rFonts w:ascii="Book Antiqua" w:eastAsia="Times New Roman" w:hAnsi="Book Antiqua"/>
          <w:sz w:val="24"/>
          <w:lang w:val="en-GB"/>
        </w:rPr>
        <w:t>%) of the BAAT score,</w:t>
      </w:r>
      <w:r w:rsidR="00184F7C" w:rsidRPr="001E5D32">
        <w:rPr>
          <w:rFonts w:ascii="Book Antiqua" w:eastAsia="Times New Roman" w:hAnsi="Book Antiqua"/>
          <w:sz w:val="24"/>
          <w:lang w:val="en-GB"/>
        </w:rPr>
        <w:t xml:space="preserve"> its low sensitivity largely restricts a more widespread use in clinical practice. The NAFLD fibrosis score (NFS) has proven useful in accurately predicting as well as excluding advanced hepatic fibrosis using high and low cut-off values, re</w:t>
      </w:r>
      <w:r w:rsidR="00AD1806" w:rsidRPr="001E5D32">
        <w:rPr>
          <w:rFonts w:ascii="Book Antiqua" w:eastAsia="Times New Roman" w:hAnsi="Book Antiqua"/>
          <w:sz w:val="24"/>
          <w:lang w:val="en-GB"/>
        </w:rPr>
        <w:t>spectively</w:t>
      </w:r>
      <w:r w:rsidR="00184F7C" w:rsidRPr="001E5D32">
        <w:rPr>
          <w:rFonts w:ascii="Book Antiqua" w:eastAsia="Times New Roman" w:hAnsi="Book Antiqua"/>
          <w:sz w:val="24"/>
          <w:lang w:val="en-GB"/>
        </w:rPr>
        <w:t>. Although the NFS has been extensively investigated and validated in different population groups, it has limited utility in intermediate stages of non-severe fi</w:t>
      </w:r>
      <w:r w:rsidR="001676F4" w:rsidRPr="001E5D32">
        <w:rPr>
          <w:rFonts w:ascii="Book Antiqua" w:eastAsia="Times New Roman" w:hAnsi="Book Antiqua"/>
          <w:sz w:val="24"/>
          <w:lang w:val="en-GB"/>
        </w:rPr>
        <w:t>brosis</w:t>
      </w:r>
      <w:r w:rsidR="00AD1806"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110-112</w:t>
      </w:r>
      <w:r w:rsidR="00AD1806" w:rsidRPr="001E5D32">
        <w:rPr>
          <w:rFonts w:ascii="Book Antiqua" w:eastAsia="Times New Roman" w:hAnsi="Book Antiqua"/>
          <w:sz w:val="24"/>
          <w:vertAlign w:val="superscript"/>
          <w:lang w:val="en-GB"/>
        </w:rPr>
        <w:t>]</w:t>
      </w:r>
      <w:r w:rsidR="00AD1806" w:rsidRPr="001E5D32">
        <w:rPr>
          <w:rFonts w:ascii="Book Antiqua" w:eastAsia="Times New Roman" w:hAnsi="Book Antiqua"/>
          <w:sz w:val="24"/>
          <w:lang w:val="en-GB"/>
        </w:rPr>
        <w:t xml:space="preserve">. The BARD score </w:t>
      </w:r>
      <w:r w:rsidR="00184F7C" w:rsidRPr="001E5D32">
        <w:rPr>
          <w:rFonts w:ascii="Book Antiqua" w:eastAsia="Times New Roman" w:hAnsi="Book Antiqua"/>
          <w:sz w:val="24"/>
          <w:lang w:val="en-GB"/>
        </w:rPr>
        <w:t>compares favourably to the NFS, and is both easier to calculate and does not produce intermediary results of indeterminate significance. However, its utility is hampered by the significant proportion of patients who, despite mild disease severity, are allocated high total score</w:t>
      </w:r>
      <w:r w:rsidR="00AD1806" w:rsidRPr="001E5D32">
        <w:rPr>
          <w:rFonts w:ascii="Book Antiqua" w:eastAsia="Times New Roman" w:hAnsi="Book Antiqua"/>
          <w:sz w:val="24"/>
          <w:lang w:val="en-GB"/>
        </w:rPr>
        <w:t xml:space="preserve">s </w:t>
      </w:r>
      <w:r w:rsidR="001676F4" w:rsidRPr="001E5D32">
        <w:rPr>
          <w:rFonts w:ascii="Book Antiqua" w:eastAsia="Times New Roman" w:hAnsi="Book Antiqua"/>
          <w:sz w:val="24"/>
          <w:lang w:val="en-GB"/>
        </w:rPr>
        <w:t>due to obesity</w:t>
      </w:r>
      <w:r w:rsidR="00AD1806"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113,114</w:t>
      </w:r>
      <w:r w:rsidR="00AD1806" w:rsidRPr="001E5D32">
        <w:rPr>
          <w:rFonts w:ascii="Book Antiqua" w:eastAsia="Times New Roman" w:hAnsi="Book Antiqua"/>
          <w:sz w:val="24"/>
          <w:vertAlign w:val="superscript"/>
          <w:lang w:val="en-GB"/>
        </w:rPr>
        <w:t>]</w:t>
      </w:r>
      <w:r w:rsidR="00184F7C" w:rsidRPr="001E5D32">
        <w:rPr>
          <w:rFonts w:ascii="Book Antiqua" w:eastAsia="Times New Roman" w:hAnsi="Book Antiqua"/>
          <w:sz w:val="24"/>
          <w:lang w:val="en-GB"/>
        </w:rPr>
        <w:t>. Although the NFS and BARD score a</w:t>
      </w:r>
      <w:r w:rsidR="00212EA3" w:rsidRPr="001E5D32">
        <w:rPr>
          <w:rFonts w:ascii="Book Antiqua" w:eastAsia="Times New Roman" w:hAnsi="Book Antiqua"/>
          <w:sz w:val="24"/>
          <w:lang w:val="en-GB"/>
        </w:rPr>
        <w:t xml:space="preserve">ccurately predict the onset of </w:t>
      </w:r>
      <w:r w:rsidR="006326F8" w:rsidRPr="001E5D32">
        <w:rPr>
          <w:rFonts w:ascii="Book Antiqua" w:eastAsia="Times New Roman" w:hAnsi="Book Antiqua"/>
          <w:sz w:val="24"/>
          <w:lang w:val="en-GB"/>
        </w:rPr>
        <w:t>cirrhotic</w:t>
      </w:r>
      <w:r w:rsidR="00184F7C" w:rsidRPr="001E5D32">
        <w:rPr>
          <w:rFonts w:ascii="Book Antiqua" w:eastAsia="Times New Roman" w:hAnsi="Book Antiqua"/>
          <w:sz w:val="24"/>
          <w:lang w:val="en-GB"/>
        </w:rPr>
        <w:t xml:space="preserve"> complications and</w:t>
      </w:r>
      <w:r w:rsidR="00212EA3" w:rsidRPr="001E5D32">
        <w:rPr>
          <w:rFonts w:ascii="Book Antiqua" w:eastAsia="Times New Roman" w:hAnsi="Book Antiqua"/>
          <w:sz w:val="24"/>
          <w:lang w:val="en-GB"/>
        </w:rPr>
        <w:t xml:space="preserve"> </w:t>
      </w:r>
      <w:r w:rsidR="006326F8" w:rsidRPr="001E5D32">
        <w:rPr>
          <w:rFonts w:ascii="Book Antiqua" w:eastAsia="Times New Roman" w:hAnsi="Book Antiqua"/>
          <w:sz w:val="24"/>
          <w:lang w:val="en-GB"/>
        </w:rPr>
        <w:t xml:space="preserve">liver-related </w:t>
      </w:r>
      <w:r w:rsidR="00212EA3" w:rsidRPr="001E5D32">
        <w:rPr>
          <w:rFonts w:ascii="Book Antiqua" w:eastAsia="Times New Roman" w:hAnsi="Book Antiqua"/>
          <w:sz w:val="24"/>
          <w:lang w:val="en-GB"/>
        </w:rPr>
        <w:t xml:space="preserve">mortality, </w:t>
      </w:r>
      <w:r w:rsidR="00184F7C" w:rsidRPr="001E5D32">
        <w:rPr>
          <w:rFonts w:ascii="Book Antiqua" w:eastAsia="Times New Roman" w:hAnsi="Book Antiqua"/>
          <w:sz w:val="24"/>
          <w:lang w:val="en-GB"/>
        </w:rPr>
        <w:t>their clinical application towards th</w:t>
      </w:r>
      <w:r w:rsidR="006326F8" w:rsidRPr="001E5D32">
        <w:rPr>
          <w:rFonts w:ascii="Book Antiqua" w:eastAsia="Times New Roman" w:hAnsi="Book Antiqua"/>
          <w:sz w:val="24"/>
          <w:lang w:val="en-GB"/>
        </w:rPr>
        <w:t>ese goals is undermined by the</w:t>
      </w:r>
      <w:r w:rsidR="004C502F" w:rsidRPr="001E5D32">
        <w:rPr>
          <w:rFonts w:ascii="Book Antiqua" w:eastAsia="Times New Roman" w:hAnsi="Book Antiqua"/>
          <w:sz w:val="24"/>
          <w:lang w:val="en-GB"/>
        </w:rPr>
        <w:t xml:space="preserve"> inclusion of DM II</w:t>
      </w:r>
      <w:r w:rsidR="00184F7C" w:rsidRPr="001E5D32">
        <w:rPr>
          <w:rFonts w:ascii="Book Antiqua" w:eastAsia="Times New Roman" w:hAnsi="Book Antiqua"/>
          <w:sz w:val="24"/>
          <w:lang w:val="en-GB"/>
        </w:rPr>
        <w:t xml:space="preserve"> as</w:t>
      </w:r>
      <w:r w:rsidR="006326F8" w:rsidRPr="001E5D32">
        <w:rPr>
          <w:rFonts w:ascii="Book Antiqua" w:eastAsia="Times New Roman" w:hAnsi="Book Antiqua"/>
          <w:sz w:val="24"/>
          <w:lang w:val="en-GB"/>
        </w:rPr>
        <w:t xml:space="preserve"> independent predictor of adverse clinical outcome</w:t>
      </w:r>
      <w:r w:rsidR="001676F4"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15,116</w:t>
      </w:r>
      <w:r w:rsidR="00AD1806" w:rsidRPr="001E5D32">
        <w:rPr>
          <w:rFonts w:ascii="Book Antiqua" w:eastAsia="Times New Roman" w:hAnsi="Book Antiqua"/>
          <w:sz w:val="24"/>
          <w:vertAlign w:val="superscript"/>
          <w:lang w:val="en-GB"/>
        </w:rPr>
        <w:t>]</w:t>
      </w:r>
      <w:r w:rsidR="00AD1806" w:rsidRPr="001E5D32">
        <w:rPr>
          <w:rFonts w:ascii="Book Antiqua" w:eastAsia="Times New Roman" w:hAnsi="Book Antiqua"/>
          <w:sz w:val="24"/>
          <w:lang w:val="en-GB"/>
        </w:rPr>
        <w:t>.</w:t>
      </w:r>
    </w:p>
    <w:p w14:paraId="23949EA2" w14:textId="77777777" w:rsidR="00132FD1" w:rsidRPr="001E5D32" w:rsidRDefault="00132FD1" w:rsidP="001E5D32">
      <w:pPr>
        <w:spacing w:line="360" w:lineRule="auto"/>
        <w:rPr>
          <w:rFonts w:ascii="Book Antiqua" w:eastAsia="Times New Roman" w:hAnsi="Book Antiqua"/>
          <w:sz w:val="24"/>
          <w:lang w:val="en-GB"/>
        </w:rPr>
      </w:pPr>
    </w:p>
    <w:p w14:paraId="451BB1C8" w14:textId="77777777" w:rsidR="00184F7C" w:rsidRPr="001E5D32" w:rsidRDefault="00184F7C" w:rsidP="001E5D32">
      <w:pPr>
        <w:spacing w:line="360" w:lineRule="auto"/>
        <w:rPr>
          <w:rFonts w:ascii="Book Antiqua" w:eastAsia="Times New Roman" w:hAnsi="Book Antiqua"/>
          <w:b/>
          <w:i/>
          <w:sz w:val="24"/>
          <w:lang w:val="en-GB"/>
        </w:rPr>
      </w:pPr>
      <w:r w:rsidRPr="001E5D32">
        <w:rPr>
          <w:rFonts w:ascii="Book Antiqua" w:eastAsia="Times New Roman" w:hAnsi="Book Antiqua"/>
          <w:b/>
          <w:i/>
          <w:sz w:val="24"/>
          <w:lang w:val="en-GB"/>
        </w:rPr>
        <w:t xml:space="preserve">Markers of impaired hepatic functioning </w:t>
      </w:r>
    </w:p>
    <w:p w14:paraId="317F22F1" w14:textId="7910A944" w:rsidR="00DC43E1" w:rsidRPr="001E5D32" w:rsidRDefault="00184F7C"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Progression from severe hepatic fibrosis to cirrhosis ultimately leads to decompensated liver failure and portal hypertension, biochemically reflected as thrombocytopenia, increased prothrombin time, hypoalbu</w:t>
      </w:r>
      <w:r w:rsidR="00195906" w:rsidRPr="001E5D32">
        <w:rPr>
          <w:rFonts w:ascii="Book Antiqua" w:eastAsia="Times New Roman" w:hAnsi="Book Antiqua"/>
          <w:sz w:val="24"/>
          <w:lang w:val="en-GB"/>
        </w:rPr>
        <w:t>minemia and hyperbilirubinemia.</w:t>
      </w:r>
      <w:r w:rsidRPr="001E5D32">
        <w:rPr>
          <w:rFonts w:ascii="Book Antiqua" w:eastAsia="Times New Roman" w:hAnsi="Book Antiqua"/>
          <w:sz w:val="24"/>
          <w:lang w:val="en-GB"/>
        </w:rPr>
        <w:t xml:space="preserve"> Platelet count is an ideal biomarker for the prediction of advanced fibrosis in many chronic liv</w:t>
      </w:r>
      <w:r w:rsidR="001676F4" w:rsidRPr="001E5D32">
        <w:rPr>
          <w:rFonts w:ascii="Book Antiqua" w:eastAsia="Times New Roman" w:hAnsi="Book Antiqua"/>
          <w:sz w:val="24"/>
          <w:lang w:val="en-GB"/>
        </w:rPr>
        <w:t>er diseases</w:t>
      </w:r>
      <w:r w:rsidR="00CD41EA" w:rsidRPr="001E5D32">
        <w:rPr>
          <w:rFonts w:ascii="Book Antiqua" w:eastAsia="Times New Roman" w:hAnsi="Book Antiqua"/>
          <w:sz w:val="24"/>
          <w:vertAlign w:val="superscript"/>
          <w:lang w:val="en-GB"/>
        </w:rPr>
        <w:t>[</w:t>
      </w:r>
      <w:r w:rsidR="006A3615" w:rsidRPr="001E5D32">
        <w:rPr>
          <w:rFonts w:ascii="Book Antiqua" w:eastAsia="Times New Roman" w:hAnsi="Book Antiqua"/>
          <w:sz w:val="24"/>
          <w:vertAlign w:val="superscript"/>
          <w:lang w:val="en-GB"/>
        </w:rPr>
        <w:t>11</w:t>
      </w:r>
      <w:r w:rsidR="001E072A" w:rsidRPr="001E5D32">
        <w:rPr>
          <w:rFonts w:ascii="Book Antiqua" w:eastAsia="Times New Roman" w:hAnsi="Book Antiqua"/>
          <w:sz w:val="24"/>
          <w:vertAlign w:val="superscript"/>
          <w:lang w:val="en-GB"/>
        </w:rPr>
        <w:t>7</w:t>
      </w:r>
      <w:r w:rsidR="00CD41EA"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xml:space="preserve"> and features in multiple composite models currently available to the clinician. </w:t>
      </w:r>
      <w:r w:rsidR="005900C6" w:rsidRPr="001E5D32">
        <w:rPr>
          <w:rFonts w:ascii="Book Antiqua" w:eastAsia="Times New Roman" w:hAnsi="Book Antiqua"/>
          <w:sz w:val="24"/>
          <w:lang w:val="en-GB"/>
        </w:rPr>
        <w:t>The clinical relevance of the AST to platelet ratio index (APRI) as a simple screening tool to predict advanced fibrosis has been demonstrate</w:t>
      </w:r>
      <w:r w:rsidR="00690D01" w:rsidRPr="001E5D32">
        <w:rPr>
          <w:rFonts w:ascii="Book Antiqua" w:eastAsia="Times New Roman" w:hAnsi="Book Antiqua"/>
          <w:sz w:val="24"/>
          <w:lang w:val="en-GB"/>
        </w:rPr>
        <w:t xml:space="preserve">d in resource-limited settings </w:t>
      </w:r>
      <w:r w:rsidR="005900C6" w:rsidRPr="001E5D32">
        <w:rPr>
          <w:rFonts w:ascii="Book Antiqua" w:eastAsia="Times New Roman" w:hAnsi="Book Antiqua"/>
          <w:sz w:val="24"/>
          <w:lang w:val="en-GB"/>
        </w:rPr>
        <w:t xml:space="preserve">comparing favourably to the NFS with superior accuracy to the AAR. While the APRI </w:t>
      </w:r>
      <w:r w:rsidR="00275723" w:rsidRPr="001E5D32">
        <w:rPr>
          <w:rFonts w:ascii="Book Antiqua" w:eastAsia="Times New Roman" w:hAnsi="Book Antiqua"/>
          <w:sz w:val="24"/>
          <w:lang w:val="en-GB"/>
        </w:rPr>
        <w:t>could serve to</w:t>
      </w:r>
      <w:r w:rsidR="005900C6" w:rsidRPr="001E5D32">
        <w:rPr>
          <w:rFonts w:ascii="Book Antiqua" w:eastAsia="Times New Roman" w:hAnsi="Book Antiqua"/>
          <w:sz w:val="24"/>
          <w:lang w:val="en-GB"/>
        </w:rPr>
        <w:t xml:space="preserve"> decrease the need for</w:t>
      </w:r>
      <w:r w:rsidR="00275723" w:rsidRPr="001E5D32">
        <w:rPr>
          <w:rFonts w:ascii="Book Antiqua" w:eastAsia="Times New Roman" w:hAnsi="Book Antiqua"/>
          <w:sz w:val="24"/>
          <w:lang w:val="en-GB"/>
        </w:rPr>
        <w:t xml:space="preserve"> liver biopsy</w:t>
      </w:r>
      <w:r w:rsidR="00690D01" w:rsidRPr="001E5D32">
        <w:rPr>
          <w:rFonts w:ascii="Book Antiqua" w:eastAsia="Times New Roman" w:hAnsi="Book Antiqua"/>
          <w:sz w:val="24"/>
          <w:lang w:val="en-GB"/>
        </w:rPr>
        <w:t xml:space="preserve"> in this context, </w:t>
      </w:r>
      <w:r w:rsidR="005900C6" w:rsidRPr="001E5D32">
        <w:rPr>
          <w:rFonts w:ascii="Book Antiqua" w:eastAsia="Times New Roman" w:hAnsi="Book Antiqua"/>
          <w:sz w:val="24"/>
          <w:lang w:val="en-GB"/>
        </w:rPr>
        <w:t>its utility in the evaluation of intermediary stages of fibrosis severity remains unclear</w:t>
      </w:r>
      <w:r w:rsidR="00CD41EA"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118,119</w:t>
      </w:r>
      <w:r w:rsidR="00CD41EA" w:rsidRPr="001E5D32">
        <w:rPr>
          <w:rFonts w:ascii="Book Antiqua" w:eastAsia="Times New Roman" w:hAnsi="Book Antiqua"/>
          <w:sz w:val="24"/>
          <w:vertAlign w:val="superscript"/>
          <w:lang w:val="en-GB"/>
        </w:rPr>
        <w:t>]</w:t>
      </w:r>
      <w:r w:rsidR="00CD41EA" w:rsidRPr="001E5D32">
        <w:rPr>
          <w:rFonts w:ascii="Book Antiqua" w:eastAsia="Times New Roman" w:hAnsi="Book Antiqua"/>
          <w:sz w:val="24"/>
          <w:lang w:val="en-GB"/>
        </w:rPr>
        <w:t>.</w:t>
      </w:r>
      <w:r w:rsidRPr="001E5D32">
        <w:rPr>
          <w:rFonts w:ascii="Book Antiqua" w:eastAsia="Times New Roman" w:hAnsi="Book Antiqua"/>
          <w:sz w:val="24"/>
          <w:lang w:val="en-GB"/>
        </w:rPr>
        <w:t xml:space="preserve"> </w:t>
      </w:r>
    </w:p>
    <w:p w14:paraId="4BEF5067" w14:textId="3596D936" w:rsidR="0067054E" w:rsidRPr="001E5D32" w:rsidRDefault="00184F7C" w:rsidP="001E5D32">
      <w:pPr>
        <w:spacing w:line="360" w:lineRule="auto"/>
        <w:ind w:firstLineChars="200" w:firstLine="480"/>
        <w:rPr>
          <w:rFonts w:ascii="Book Antiqua" w:eastAsia="Times New Roman" w:hAnsi="Book Antiqua"/>
          <w:sz w:val="24"/>
          <w:lang w:val="en-GB"/>
        </w:rPr>
      </w:pPr>
      <w:r w:rsidRPr="001E5D32">
        <w:rPr>
          <w:rFonts w:ascii="Book Antiqua" w:eastAsia="Times New Roman" w:hAnsi="Book Antiqua"/>
          <w:sz w:val="24"/>
          <w:lang w:val="en-GB"/>
        </w:rPr>
        <w:t xml:space="preserve">Addition of age to the APRI yields the FIB-4 index, providing </w:t>
      </w:r>
      <w:r w:rsidR="00CD41EA" w:rsidRPr="001E5D32">
        <w:rPr>
          <w:rFonts w:ascii="Book Antiqua" w:eastAsia="Times New Roman" w:hAnsi="Book Antiqua"/>
          <w:sz w:val="24"/>
          <w:lang w:val="en-GB"/>
        </w:rPr>
        <w:t>a model which,</w:t>
      </w:r>
      <w:r w:rsidRPr="001E5D32">
        <w:rPr>
          <w:rFonts w:ascii="Book Antiqua" w:eastAsia="Times New Roman" w:hAnsi="Book Antiqua"/>
          <w:sz w:val="24"/>
          <w:lang w:val="en-GB"/>
        </w:rPr>
        <w:t xml:space="preserve"> while still easily and affordably calculable, consistently outperforms other non-invasive tools in comparative studies for the identification as well as exclusion of advanced hepatic fibrosi</w:t>
      </w:r>
      <w:r w:rsidR="001676F4" w:rsidRPr="001E5D32">
        <w:rPr>
          <w:rFonts w:ascii="Book Antiqua" w:eastAsia="Times New Roman" w:hAnsi="Book Antiqua"/>
          <w:sz w:val="24"/>
          <w:lang w:val="en-GB"/>
        </w:rPr>
        <w:t>s</w:t>
      </w:r>
      <w:r w:rsidR="00CD41EA"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120,121</w:t>
      </w:r>
      <w:r w:rsidR="00CD41EA" w:rsidRPr="001E5D32">
        <w:rPr>
          <w:rFonts w:ascii="Book Antiqua" w:eastAsia="Times New Roman" w:hAnsi="Book Antiqua"/>
          <w:sz w:val="24"/>
          <w:vertAlign w:val="superscript"/>
          <w:lang w:val="en-GB"/>
        </w:rPr>
        <w:t>]</w:t>
      </w:r>
      <w:r w:rsidR="00CD41EA" w:rsidRPr="001E5D32">
        <w:rPr>
          <w:rFonts w:ascii="Book Antiqua" w:eastAsia="Times New Roman" w:hAnsi="Book Antiqua"/>
          <w:sz w:val="24"/>
          <w:lang w:val="en-GB"/>
        </w:rPr>
        <w:t xml:space="preserve">. </w:t>
      </w:r>
      <w:r w:rsidRPr="001E5D32">
        <w:rPr>
          <w:rFonts w:ascii="Book Antiqua" w:eastAsia="Times New Roman" w:hAnsi="Book Antiqua"/>
          <w:sz w:val="24"/>
          <w:lang w:val="en-GB"/>
        </w:rPr>
        <w:t>The international normalized ratio (INR) is not only a significant independent predictor for advanced hepatic fibrosis in NAFLD, but improves the positive predictive value of the BARD score when incorporated as an additional variable, without compromising its negative pr</w:t>
      </w:r>
      <w:r w:rsidR="001676F4" w:rsidRPr="001E5D32">
        <w:rPr>
          <w:rFonts w:ascii="Book Antiqua" w:eastAsia="Times New Roman" w:hAnsi="Book Antiqua"/>
          <w:sz w:val="24"/>
          <w:lang w:val="en-GB"/>
        </w:rPr>
        <w:t>edictive value</w:t>
      </w:r>
      <w:r w:rsidR="00D953BA"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122</w:t>
      </w:r>
      <w:r w:rsidR="00D953BA"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xml:space="preserve">. Age, platelet count and/or INR are also included in several other predictive models which have not yet been validated in adult patients </w:t>
      </w:r>
      <w:r w:rsidR="001E3520" w:rsidRPr="001E5D32">
        <w:rPr>
          <w:rFonts w:ascii="Book Antiqua" w:eastAsia="Times New Roman" w:hAnsi="Book Antiqua"/>
          <w:sz w:val="24"/>
          <w:lang w:val="en-GB"/>
        </w:rPr>
        <w:t>with NAFLD</w:t>
      </w:r>
      <w:r w:rsidRPr="001E5D32">
        <w:rPr>
          <w:rFonts w:ascii="Book Antiqua" w:eastAsia="Times New Roman" w:hAnsi="Book Antiqua"/>
          <w:sz w:val="24"/>
          <w:lang w:val="en-GB"/>
        </w:rPr>
        <w:t>. These scoring panels incorporate a number of components known to independent</w:t>
      </w:r>
      <w:r w:rsidR="004C4229" w:rsidRPr="001E5D32">
        <w:rPr>
          <w:rFonts w:ascii="Book Antiqua" w:eastAsia="Times New Roman" w:hAnsi="Book Antiqua"/>
          <w:sz w:val="24"/>
          <w:lang w:val="en-GB"/>
        </w:rPr>
        <w:t>ly</w:t>
      </w:r>
      <w:r w:rsidRPr="001E5D32">
        <w:rPr>
          <w:rFonts w:ascii="Book Antiqua" w:eastAsia="Times New Roman" w:hAnsi="Book Antiqua"/>
          <w:sz w:val="24"/>
          <w:lang w:val="en-GB"/>
        </w:rPr>
        <w:t xml:space="preserve"> predict fibrosis severity in NAFLD, includi</w:t>
      </w:r>
      <w:r w:rsidR="006D4F52" w:rsidRPr="001E5D32">
        <w:rPr>
          <w:rFonts w:ascii="Book Antiqua" w:eastAsia="Times New Roman" w:hAnsi="Book Antiqua"/>
          <w:sz w:val="24"/>
          <w:lang w:val="en-GB"/>
        </w:rPr>
        <w:t>ng bilirubin</w:t>
      </w:r>
      <w:r w:rsidR="00541F6E"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123</w:t>
      </w:r>
      <w:r w:rsidR="00541F6E" w:rsidRPr="001E5D32">
        <w:rPr>
          <w:rFonts w:ascii="Book Antiqua" w:eastAsia="Times New Roman" w:hAnsi="Book Antiqua"/>
          <w:sz w:val="24"/>
          <w:vertAlign w:val="superscript"/>
          <w:lang w:val="en-GB"/>
        </w:rPr>
        <w:t>]</w:t>
      </w:r>
      <w:r w:rsidR="006D4F52" w:rsidRPr="001E5D32">
        <w:rPr>
          <w:rFonts w:ascii="Book Antiqua" w:eastAsia="Times New Roman" w:hAnsi="Book Antiqua"/>
          <w:sz w:val="24"/>
          <w:lang w:val="en-GB"/>
        </w:rPr>
        <w:t>, GGT</w:t>
      </w:r>
      <w:r w:rsidR="00541F6E"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124</w:t>
      </w:r>
      <w:r w:rsidR="00541F6E" w:rsidRPr="001E5D32">
        <w:rPr>
          <w:rFonts w:ascii="Book Antiqua" w:eastAsia="Times New Roman" w:hAnsi="Book Antiqua"/>
          <w:sz w:val="24"/>
          <w:vertAlign w:val="superscript"/>
          <w:lang w:val="en-GB"/>
        </w:rPr>
        <w:t>]</w:t>
      </w:r>
      <w:r w:rsidR="006D4F52" w:rsidRPr="001E5D32">
        <w:rPr>
          <w:rFonts w:ascii="Book Antiqua" w:eastAsia="Times New Roman" w:hAnsi="Book Antiqua"/>
          <w:sz w:val="24"/>
          <w:lang w:val="en-GB"/>
        </w:rPr>
        <w:t xml:space="preserve"> and albumin</w:t>
      </w:r>
      <w:r w:rsidR="00541F6E" w:rsidRPr="001E5D32">
        <w:rPr>
          <w:rFonts w:ascii="Book Antiqua" w:eastAsia="Times New Roman" w:hAnsi="Book Antiqua"/>
          <w:sz w:val="24"/>
          <w:vertAlign w:val="superscript"/>
          <w:lang w:val="en-GB"/>
        </w:rPr>
        <w:t>[</w:t>
      </w:r>
      <w:r w:rsidR="006A3615" w:rsidRPr="001E5D32">
        <w:rPr>
          <w:rFonts w:ascii="Book Antiqua" w:eastAsia="Times New Roman" w:hAnsi="Book Antiqua"/>
          <w:sz w:val="24"/>
          <w:vertAlign w:val="superscript"/>
          <w:lang w:val="en-GB"/>
        </w:rPr>
        <w:t>10</w:t>
      </w:r>
      <w:r w:rsidR="001E072A" w:rsidRPr="001E5D32">
        <w:rPr>
          <w:rFonts w:ascii="Book Antiqua" w:eastAsia="Times New Roman" w:hAnsi="Book Antiqua"/>
          <w:sz w:val="24"/>
          <w:vertAlign w:val="superscript"/>
          <w:lang w:val="en-GB"/>
        </w:rPr>
        <w:t>6</w:t>
      </w:r>
      <w:r w:rsidR="00541F6E" w:rsidRPr="001E5D32">
        <w:rPr>
          <w:rFonts w:ascii="Book Antiqua" w:eastAsia="Times New Roman" w:hAnsi="Book Antiqua"/>
          <w:sz w:val="24"/>
          <w:vertAlign w:val="superscript"/>
          <w:lang w:val="en-GB"/>
        </w:rPr>
        <w:t>]</w:t>
      </w:r>
      <w:r w:rsidR="00541F6E" w:rsidRPr="001E5D32">
        <w:rPr>
          <w:rFonts w:ascii="Book Antiqua" w:eastAsia="Times New Roman" w:hAnsi="Book Antiqua"/>
          <w:sz w:val="24"/>
          <w:lang w:val="en-GB"/>
        </w:rPr>
        <w:t>.</w:t>
      </w:r>
      <w:r w:rsidRPr="001E5D32">
        <w:rPr>
          <w:rFonts w:ascii="Book Antiqua" w:eastAsia="Times New Roman" w:hAnsi="Book Antiqua"/>
          <w:sz w:val="24"/>
          <w:lang w:val="en-GB"/>
        </w:rPr>
        <w:t xml:space="preserve"> </w:t>
      </w:r>
    </w:p>
    <w:p w14:paraId="750E2B75" w14:textId="77777777" w:rsidR="00585399" w:rsidRPr="001E5D32" w:rsidRDefault="00585399" w:rsidP="001E5D32">
      <w:pPr>
        <w:spacing w:line="360" w:lineRule="auto"/>
        <w:rPr>
          <w:rFonts w:ascii="Book Antiqua" w:eastAsia="Times New Roman" w:hAnsi="Book Antiqua"/>
          <w:sz w:val="24"/>
          <w:lang w:val="en-GB"/>
        </w:rPr>
      </w:pPr>
    </w:p>
    <w:p w14:paraId="238AF1C3" w14:textId="77777777" w:rsidR="00184F7C" w:rsidRPr="001E5D32" w:rsidRDefault="00184F7C" w:rsidP="001E5D32">
      <w:pPr>
        <w:spacing w:line="360" w:lineRule="auto"/>
        <w:rPr>
          <w:rFonts w:ascii="Book Antiqua" w:eastAsia="Times New Roman" w:hAnsi="Book Antiqua"/>
          <w:b/>
          <w:i/>
          <w:sz w:val="24"/>
          <w:lang w:val="en-GB"/>
        </w:rPr>
      </w:pPr>
      <w:r w:rsidRPr="001E5D32">
        <w:rPr>
          <w:rFonts w:ascii="Book Antiqua" w:eastAsia="Times New Roman" w:hAnsi="Book Antiqua"/>
          <w:b/>
          <w:i/>
          <w:sz w:val="24"/>
          <w:lang w:val="en-GB"/>
        </w:rPr>
        <w:t xml:space="preserve">Markers of hepatocellular turnover </w:t>
      </w:r>
    </w:p>
    <w:p w14:paraId="24699BB6" w14:textId="7933AE30" w:rsidR="00184F7C" w:rsidRPr="001E5D32" w:rsidRDefault="00184F7C"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Markers which reflect increased deposition or decreased degradation of extracellular matrix (ECM) components are obvious candidates for the evaluation of fibrosis severity in chronic liver disease. The accuracy of direct fibrotic biomarkers may exceed that for simple biomarker panels incorporating indirect </w:t>
      </w:r>
      <w:r w:rsidR="00541F6E" w:rsidRPr="001E5D32">
        <w:rPr>
          <w:rFonts w:ascii="Book Antiqua" w:eastAsia="Times New Roman" w:hAnsi="Book Antiqua"/>
          <w:sz w:val="24"/>
          <w:lang w:val="en-GB"/>
        </w:rPr>
        <w:t>mark</w:t>
      </w:r>
      <w:r w:rsidR="001C2C0F" w:rsidRPr="001E5D32">
        <w:rPr>
          <w:rFonts w:ascii="Book Antiqua" w:eastAsia="Times New Roman" w:hAnsi="Book Antiqua"/>
          <w:sz w:val="24"/>
          <w:lang w:val="en-GB"/>
        </w:rPr>
        <w:t>ers of hepatic dysfunction</w:t>
      </w:r>
      <w:r w:rsidR="00541F6E" w:rsidRPr="001E5D32">
        <w:rPr>
          <w:rFonts w:ascii="Book Antiqua" w:eastAsia="Times New Roman" w:hAnsi="Book Antiqua"/>
          <w:sz w:val="24"/>
          <w:vertAlign w:val="superscript"/>
          <w:lang w:val="en-GB"/>
        </w:rPr>
        <w:t>[</w:t>
      </w:r>
      <w:r w:rsidR="006A3615" w:rsidRPr="001E5D32">
        <w:rPr>
          <w:rFonts w:ascii="Book Antiqua" w:eastAsia="Times New Roman" w:hAnsi="Book Antiqua"/>
          <w:sz w:val="24"/>
          <w:vertAlign w:val="superscript"/>
          <w:lang w:val="en-GB"/>
        </w:rPr>
        <w:t>12</w:t>
      </w:r>
      <w:r w:rsidR="001E072A" w:rsidRPr="001E5D32">
        <w:rPr>
          <w:rFonts w:ascii="Book Antiqua" w:eastAsia="Times New Roman" w:hAnsi="Book Antiqua"/>
          <w:sz w:val="24"/>
          <w:vertAlign w:val="superscript"/>
          <w:lang w:val="en-GB"/>
        </w:rPr>
        <w:t>5</w:t>
      </w:r>
      <w:r w:rsidR="00541F6E"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ECM components are included in a number of complex patented biomarker panels, including the Original European Liver Fibrosis (OEL</w:t>
      </w:r>
      <w:r w:rsidR="001E3520" w:rsidRPr="001E5D32">
        <w:rPr>
          <w:rFonts w:ascii="Book Antiqua" w:eastAsia="Times New Roman" w:hAnsi="Book Antiqua"/>
          <w:sz w:val="24"/>
          <w:lang w:val="en-GB"/>
        </w:rPr>
        <w:t>F) score</w:t>
      </w:r>
      <w:r w:rsidRPr="001E5D32">
        <w:rPr>
          <w:rFonts w:ascii="Book Antiqua" w:eastAsia="Times New Roman" w:hAnsi="Book Antiqua"/>
          <w:sz w:val="24"/>
          <w:lang w:val="en-GB"/>
        </w:rPr>
        <w:t xml:space="preserve">, simplified </w:t>
      </w:r>
      <w:r w:rsidR="001E3520" w:rsidRPr="001E5D32">
        <w:rPr>
          <w:rFonts w:ascii="Book Antiqua" w:eastAsia="Times New Roman" w:hAnsi="Book Antiqua"/>
          <w:sz w:val="24"/>
          <w:lang w:val="en-GB"/>
        </w:rPr>
        <w:t xml:space="preserve">ELF </w:t>
      </w:r>
      <w:r w:rsidRPr="001E5D32">
        <w:rPr>
          <w:rFonts w:ascii="Book Antiqua" w:eastAsia="Times New Roman" w:hAnsi="Book Antiqua"/>
          <w:sz w:val="24"/>
          <w:lang w:val="en-GB"/>
        </w:rPr>
        <w:t>and NASH Diagnost</w:t>
      </w:r>
      <w:r w:rsidR="001E3520" w:rsidRPr="001E5D32">
        <w:rPr>
          <w:rFonts w:ascii="Book Antiqua" w:eastAsia="Times New Roman" w:hAnsi="Book Antiqua"/>
          <w:sz w:val="24"/>
          <w:lang w:val="en-GB"/>
        </w:rPr>
        <w:t>ics panel</w:t>
      </w:r>
      <w:r w:rsidRPr="001E5D32">
        <w:rPr>
          <w:rFonts w:ascii="Book Antiqua" w:eastAsia="Times New Roman" w:hAnsi="Book Antiqua"/>
          <w:sz w:val="24"/>
          <w:lang w:val="en-GB"/>
        </w:rPr>
        <w:t>. One of the most widely investigated direct biomarkers is the high molecular weight polysa</w:t>
      </w:r>
      <w:r w:rsidR="001E3520" w:rsidRPr="001E5D32">
        <w:rPr>
          <w:rFonts w:ascii="Book Antiqua" w:eastAsia="Times New Roman" w:hAnsi="Book Antiqua"/>
          <w:sz w:val="24"/>
          <w:lang w:val="en-GB"/>
        </w:rPr>
        <w:t xml:space="preserve">ccharide hyaluronic acid (HA), with increased </w:t>
      </w:r>
      <w:r w:rsidRPr="001E5D32">
        <w:rPr>
          <w:rFonts w:ascii="Book Antiqua" w:eastAsia="Times New Roman" w:hAnsi="Book Antiqua"/>
          <w:sz w:val="24"/>
          <w:lang w:val="en-GB"/>
        </w:rPr>
        <w:t xml:space="preserve">levels, resulting from accelerated collagen synthesis and decreased </w:t>
      </w:r>
      <w:r w:rsidR="001E3520" w:rsidRPr="001E5D32">
        <w:rPr>
          <w:rFonts w:ascii="Book Antiqua" w:eastAsia="Times New Roman" w:hAnsi="Book Antiqua"/>
          <w:sz w:val="24"/>
          <w:lang w:val="en-GB"/>
        </w:rPr>
        <w:t xml:space="preserve">hepatic </w:t>
      </w:r>
      <w:r w:rsidRPr="001E5D32">
        <w:rPr>
          <w:rFonts w:ascii="Book Antiqua" w:eastAsia="Times New Roman" w:hAnsi="Book Antiqua"/>
          <w:sz w:val="24"/>
          <w:lang w:val="en-GB"/>
        </w:rPr>
        <w:t xml:space="preserve">sinusoidal clearance, </w:t>
      </w:r>
      <w:r w:rsidR="001E3520" w:rsidRPr="001E5D32">
        <w:rPr>
          <w:rFonts w:ascii="Book Antiqua" w:eastAsia="Times New Roman" w:hAnsi="Book Antiqua"/>
          <w:sz w:val="24"/>
          <w:lang w:val="en-GB"/>
        </w:rPr>
        <w:t xml:space="preserve">shown to </w:t>
      </w:r>
      <w:r w:rsidRPr="001E5D32">
        <w:rPr>
          <w:rFonts w:ascii="Book Antiqua" w:eastAsia="Times New Roman" w:hAnsi="Book Antiqua"/>
          <w:sz w:val="24"/>
          <w:lang w:val="en-GB"/>
        </w:rPr>
        <w:t>accurately pred</w:t>
      </w:r>
      <w:r w:rsidR="001C2C0F" w:rsidRPr="001E5D32">
        <w:rPr>
          <w:rFonts w:ascii="Book Antiqua" w:eastAsia="Times New Roman" w:hAnsi="Book Antiqua"/>
          <w:sz w:val="24"/>
          <w:lang w:val="en-GB"/>
        </w:rPr>
        <w:t>ict advanced fibrosis in NAFLD</w:t>
      </w:r>
      <w:r w:rsidR="00541F6E"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126,127</w:t>
      </w:r>
      <w:r w:rsidR="00541F6E" w:rsidRPr="001E5D32">
        <w:rPr>
          <w:rFonts w:ascii="Book Antiqua" w:eastAsia="Times New Roman" w:hAnsi="Book Antiqua"/>
          <w:sz w:val="24"/>
          <w:vertAlign w:val="superscript"/>
          <w:lang w:val="en-GB"/>
        </w:rPr>
        <w:t>]</w:t>
      </w:r>
      <w:r w:rsidR="00541F6E" w:rsidRPr="001E5D32">
        <w:rPr>
          <w:rFonts w:ascii="Book Antiqua" w:eastAsia="Times New Roman" w:hAnsi="Book Antiqua"/>
          <w:sz w:val="24"/>
          <w:lang w:val="en-GB"/>
        </w:rPr>
        <w:t xml:space="preserve">. </w:t>
      </w:r>
      <w:r w:rsidRPr="001E5D32">
        <w:rPr>
          <w:rFonts w:ascii="Book Antiqua" w:eastAsia="Times New Roman" w:hAnsi="Book Antiqua"/>
          <w:sz w:val="24"/>
          <w:lang w:val="en-GB"/>
        </w:rPr>
        <w:t>However, a significant drawback to the use of ECM markers such as HA is their lack of liver-specificity, as levels are affected by diverse factors such as renal failure, extra-hepatic fibrogenesis and di</w:t>
      </w:r>
      <w:r w:rsidR="001C2C0F" w:rsidRPr="001E5D32">
        <w:rPr>
          <w:rFonts w:ascii="Book Antiqua" w:eastAsia="Times New Roman" w:hAnsi="Book Antiqua"/>
          <w:sz w:val="24"/>
          <w:lang w:val="en-GB"/>
        </w:rPr>
        <w:t>etary habits</w:t>
      </w:r>
      <w:r w:rsidR="00541F6E" w:rsidRPr="001E5D32">
        <w:rPr>
          <w:rFonts w:ascii="Book Antiqua" w:eastAsia="Times New Roman" w:hAnsi="Book Antiqua"/>
          <w:sz w:val="24"/>
          <w:vertAlign w:val="superscript"/>
          <w:lang w:val="en-GB"/>
        </w:rPr>
        <w:t>[</w:t>
      </w:r>
      <w:r w:rsidR="006A3615" w:rsidRPr="001E5D32">
        <w:rPr>
          <w:rFonts w:ascii="Book Antiqua" w:eastAsia="Times New Roman" w:hAnsi="Book Antiqua"/>
          <w:sz w:val="24"/>
          <w:vertAlign w:val="superscript"/>
          <w:lang w:val="en-GB"/>
        </w:rPr>
        <w:t>12</w:t>
      </w:r>
      <w:r w:rsidR="001E072A" w:rsidRPr="001E5D32">
        <w:rPr>
          <w:rFonts w:ascii="Book Antiqua" w:eastAsia="Times New Roman" w:hAnsi="Book Antiqua"/>
          <w:sz w:val="24"/>
          <w:vertAlign w:val="superscript"/>
          <w:lang w:val="en-GB"/>
        </w:rPr>
        <w:t>8</w:t>
      </w:r>
      <w:r w:rsidR="00541F6E" w:rsidRPr="001E5D32">
        <w:rPr>
          <w:rFonts w:ascii="Book Antiqua" w:eastAsia="Times New Roman" w:hAnsi="Book Antiqua"/>
          <w:sz w:val="24"/>
          <w:vertAlign w:val="superscript"/>
          <w:lang w:val="en-GB"/>
        </w:rPr>
        <w:t>]</w:t>
      </w:r>
      <w:r w:rsidR="00541F6E" w:rsidRPr="001E5D32">
        <w:rPr>
          <w:rFonts w:ascii="Book Antiqua" w:eastAsia="Times New Roman" w:hAnsi="Book Antiqua"/>
          <w:sz w:val="24"/>
          <w:lang w:val="en-GB"/>
        </w:rPr>
        <w:t>.</w:t>
      </w:r>
    </w:p>
    <w:p w14:paraId="02874EBE" w14:textId="77777777" w:rsidR="004C112E" w:rsidRPr="001E5D32" w:rsidRDefault="004C112E" w:rsidP="001E5D32">
      <w:pPr>
        <w:spacing w:line="360" w:lineRule="auto"/>
        <w:rPr>
          <w:rFonts w:ascii="Book Antiqua" w:eastAsia="Times New Roman" w:hAnsi="Book Antiqua"/>
          <w:sz w:val="24"/>
          <w:lang w:val="en-GB"/>
        </w:rPr>
      </w:pPr>
    </w:p>
    <w:p w14:paraId="1BE4764A" w14:textId="77777777" w:rsidR="00184F7C" w:rsidRPr="001E5D32" w:rsidRDefault="00B51545" w:rsidP="001E5D32">
      <w:pPr>
        <w:spacing w:line="360" w:lineRule="auto"/>
        <w:rPr>
          <w:rFonts w:ascii="Book Antiqua" w:eastAsia="Times New Roman" w:hAnsi="Book Antiqua"/>
          <w:i/>
          <w:sz w:val="24"/>
          <w:lang w:val="en-GB"/>
        </w:rPr>
      </w:pPr>
      <w:r w:rsidRPr="001E5D32">
        <w:rPr>
          <w:rFonts w:ascii="Book Antiqua" w:eastAsia="Times New Roman" w:hAnsi="Book Antiqua"/>
          <w:b/>
          <w:sz w:val="24"/>
          <w:lang w:val="en-GB"/>
        </w:rPr>
        <w:t>LIMITATIONS OF COMPOSITE PROGNOSTIC MODELS</w:t>
      </w:r>
    </w:p>
    <w:p w14:paraId="269AAF42" w14:textId="77777777" w:rsidR="00184F7C" w:rsidRPr="001E5D32" w:rsidRDefault="00184F7C"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Individual biomarkers used for the peripheral evaluation of hepatic injury in NAFLD invariably fall short of</w:t>
      </w:r>
      <w:r w:rsidR="00541F6E" w:rsidRPr="001E5D32">
        <w:rPr>
          <w:rFonts w:ascii="Book Antiqua" w:eastAsia="Times New Roman" w:hAnsi="Book Antiqua"/>
          <w:sz w:val="24"/>
          <w:lang w:val="en-GB"/>
        </w:rPr>
        <w:t xml:space="preserve"> </w:t>
      </w:r>
      <w:r w:rsidR="006326F8" w:rsidRPr="001E5D32">
        <w:rPr>
          <w:rFonts w:ascii="Book Antiqua" w:eastAsia="Times New Roman" w:hAnsi="Book Antiqua"/>
          <w:sz w:val="24"/>
          <w:lang w:val="en-GB"/>
        </w:rPr>
        <w:t>the hypothetical ideal. C</w:t>
      </w:r>
      <w:r w:rsidRPr="001E5D32">
        <w:rPr>
          <w:rFonts w:ascii="Book Antiqua" w:eastAsia="Times New Roman" w:hAnsi="Book Antiqua"/>
          <w:sz w:val="24"/>
          <w:lang w:val="en-GB"/>
        </w:rPr>
        <w:t>omposite diagnostic and predictive models show greater discriminatory power compared to single-varia</w:t>
      </w:r>
      <w:r w:rsidR="00931C00" w:rsidRPr="001E5D32">
        <w:rPr>
          <w:rFonts w:ascii="Book Antiqua" w:eastAsia="Times New Roman" w:hAnsi="Book Antiqua"/>
          <w:sz w:val="24"/>
          <w:lang w:val="en-GB"/>
        </w:rPr>
        <w:t>ble analysis</w:t>
      </w:r>
      <w:r w:rsidRPr="001E5D32">
        <w:rPr>
          <w:rFonts w:ascii="Book Antiqua" w:eastAsia="Times New Roman" w:hAnsi="Book Antiqua"/>
          <w:sz w:val="24"/>
          <w:lang w:val="en-GB"/>
        </w:rPr>
        <w:t xml:space="preserve"> and there is considerable interest in their potential value as non-invasive risk assessment tools. A number of important limitations however curre</w:t>
      </w:r>
      <w:r w:rsidR="00D8328E" w:rsidRPr="001E5D32">
        <w:rPr>
          <w:rFonts w:ascii="Book Antiqua" w:eastAsia="Times New Roman" w:hAnsi="Book Antiqua"/>
          <w:sz w:val="24"/>
          <w:lang w:val="en-GB"/>
        </w:rPr>
        <w:t>ntly impede their</w:t>
      </w:r>
      <w:r w:rsidRPr="001E5D32">
        <w:rPr>
          <w:rFonts w:ascii="Book Antiqua" w:eastAsia="Times New Roman" w:hAnsi="Book Antiqua"/>
          <w:sz w:val="24"/>
          <w:lang w:val="en-GB"/>
        </w:rPr>
        <w:t xml:space="preserve"> routine use in clinical practice, as outlined below.</w:t>
      </w:r>
    </w:p>
    <w:p w14:paraId="17422E34" w14:textId="77777777" w:rsidR="00184F7C" w:rsidRPr="001E5D32" w:rsidRDefault="00184F7C" w:rsidP="001E5D32">
      <w:pPr>
        <w:spacing w:line="360" w:lineRule="auto"/>
        <w:rPr>
          <w:rFonts w:ascii="Book Antiqua" w:eastAsia="Times New Roman" w:hAnsi="Book Antiqua"/>
          <w:b/>
          <w:i/>
          <w:sz w:val="24"/>
          <w:lang w:val="en-GB"/>
        </w:rPr>
      </w:pPr>
    </w:p>
    <w:p w14:paraId="60F32F58" w14:textId="77777777" w:rsidR="00184F7C" w:rsidRPr="001E5D32" w:rsidRDefault="00184F7C" w:rsidP="001E5D32">
      <w:pPr>
        <w:spacing w:line="360" w:lineRule="auto"/>
        <w:rPr>
          <w:rFonts w:ascii="Book Antiqua" w:eastAsia="Times New Roman" w:hAnsi="Book Antiqua"/>
          <w:i/>
          <w:sz w:val="24"/>
          <w:lang w:val="en-GB"/>
        </w:rPr>
      </w:pPr>
      <w:r w:rsidRPr="001E5D32">
        <w:rPr>
          <w:rFonts w:ascii="Book Antiqua" w:eastAsia="Times New Roman" w:hAnsi="Book Antiqua"/>
          <w:b/>
          <w:i/>
          <w:sz w:val="24"/>
          <w:lang w:val="en-GB"/>
        </w:rPr>
        <w:t xml:space="preserve">Diagnostic and predictive models are defined by variability  </w:t>
      </w:r>
    </w:p>
    <w:p w14:paraId="2722A3A3" w14:textId="7ABA52BA" w:rsidR="00AF7141" w:rsidRPr="001E5D32" w:rsidRDefault="00184F7C"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Different models which assess the same outcome may differ markedly in their composition as well as methods employed for risk calculation, and many were initially developed for use in other chronic liver diseases such as viral hepatitis. Existing models were constructed against histological end-points defined by variable classification schemes and evaluated using liver biopsy as an imperfect diagnostic standard.  Selection bias poses a major general concern, as initial studies often utilize heterogeneous and highly selected patient cohorts as well as different reference populations. Despite promising findings s</w:t>
      </w:r>
      <w:r w:rsidR="006C5CA6" w:rsidRPr="001E5D32">
        <w:rPr>
          <w:rFonts w:ascii="Book Antiqua" w:eastAsia="Times New Roman" w:hAnsi="Book Antiqua"/>
          <w:sz w:val="24"/>
          <w:lang w:val="en-GB"/>
        </w:rPr>
        <w:t>upporting their clinical value</w:t>
      </w:r>
      <w:r w:rsidRPr="001E5D32">
        <w:rPr>
          <w:rFonts w:ascii="Book Antiqua" w:eastAsia="Times New Roman" w:hAnsi="Book Antiqua"/>
          <w:sz w:val="24"/>
          <w:lang w:val="en-GB"/>
        </w:rPr>
        <w:t xml:space="preserve">, confirming the reproducibility and robustness of </w:t>
      </w:r>
      <w:r w:rsidR="00383C10" w:rsidRPr="001E5D32">
        <w:rPr>
          <w:rFonts w:ascii="Book Antiqua" w:eastAsia="Times New Roman" w:hAnsi="Book Antiqua"/>
          <w:sz w:val="24"/>
          <w:lang w:val="en-GB"/>
        </w:rPr>
        <w:t>existing composite prognostic</w:t>
      </w:r>
      <w:r w:rsidRPr="001E5D32">
        <w:rPr>
          <w:rFonts w:ascii="Book Antiqua" w:eastAsia="Times New Roman" w:hAnsi="Book Antiqua"/>
          <w:sz w:val="24"/>
          <w:lang w:val="en-GB"/>
        </w:rPr>
        <w:t xml:space="preserve"> models will depend on their external validation in large-scale prospective studies, considered a prerequisite for extrapolation to the general population. </w:t>
      </w:r>
    </w:p>
    <w:p w14:paraId="17966FC4" w14:textId="77777777" w:rsidR="00132FD1" w:rsidRPr="001E5D32" w:rsidRDefault="00132FD1" w:rsidP="001E5D32">
      <w:pPr>
        <w:spacing w:line="360" w:lineRule="auto"/>
        <w:rPr>
          <w:rFonts w:ascii="Book Antiqua" w:eastAsia="Times New Roman" w:hAnsi="Book Antiqua"/>
          <w:i/>
          <w:sz w:val="24"/>
          <w:lang w:val="en-GB"/>
        </w:rPr>
      </w:pPr>
    </w:p>
    <w:p w14:paraId="7057B3FF" w14:textId="77777777" w:rsidR="00184F7C" w:rsidRPr="001E5D32" w:rsidRDefault="00184F7C" w:rsidP="001E5D32">
      <w:pPr>
        <w:spacing w:line="360" w:lineRule="auto"/>
        <w:rPr>
          <w:rFonts w:ascii="Book Antiqua" w:eastAsia="Times New Roman" w:hAnsi="Book Antiqua"/>
          <w:b/>
          <w:i/>
          <w:sz w:val="24"/>
          <w:lang w:val="en-GB"/>
        </w:rPr>
      </w:pPr>
      <w:r w:rsidRPr="001E5D32">
        <w:rPr>
          <w:rFonts w:ascii="Book Antiqua" w:eastAsia="Times New Roman" w:hAnsi="Book Antiqua"/>
          <w:b/>
          <w:i/>
          <w:sz w:val="24"/>
          <w:lang w:val="en-GB"/>
        </w:rPr>
        <w:t xml:space="preserve">Lack of consensus regarding clinically meaningful thresholds for histological severity </w:t>
      </w:r>
    </w:p>
    <w:p w14:paraId="6FA14375" w14:textId="3EA5DE99" w:rsidR="00184F7C" w:rsidRPr="001E5D32" w:rsidRDefault="00DD208E"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P</w:t>
      </w:r>
      <w:r w:rsidR="00184F7C" w:rsidRPr="001E5D32">
        <w:rPr>
          <w:rFonts w:ascii="Book Antiqua" w:eastAsia="Times New Roman" w:hAnsi="Book Antiqua"/>
          <w:sz w:val="24"/>
          <w:lang w:val="en-GB"/>
        </w:rPr>
        <w:t xml:space="preserve">redictive model </w:t>
      </w:r>
      <w:r w:rsidR="006326F8" w:rsidRPr="001E5D32">
        <w:rPr>
          <w:rFonts w:ascii="Book Antiqua" w:eastAsia="Times New Roman" w:hAnsi="Book Antiqua"/>
          <w:sz w:val="24"/>
          <w:lang w:val="en-GB"/>
        </w:rPr>
        <w:t>for the non-invasive</w:t>
      </w:r>
      <w:r w:rsidR="00184F7C" w:rsidRPr="001E5D32">
        <w:rPr>
          <w:rFonts w:ascii="Book Antiqua" w:eastAsia="Times New Roman" w:hAnsi="Book Antiqua"/>
          <w:sz w:val="24"/>
          <w:lang w:val="en-GB"/>
        </w:rPr>
        <w:t xml:space="preserve"> assess</w:t>
      </w:r>
      <w:r w:rsidR="006326F8" w:rsidRPr="001E5D32">
        <w:rPr>
          <w:rFonts w:ascii="Book Antiqua" w:eastAsia="Times New Roman" w:hAnsi="Book Antiqua"/>
          <w:sz w:val="24"/>
          <w:lang w:val="en-GB"/>
        </w:rPr>
        <w:t>ment of</w:t>
      </w:r>
      <w:r w:rsidR="00184F7C" w:rsidRPr="001E5D32">
        <w:rPr>
          <w:rFonts w:ascii="Book Antiqua" w:eastAsia="Times New Roman" w:hAnsi="Book Antiqua"/>
          <w:sz w:val="24"/>
          <w:lang w:val="en-GB"/>
        </w:rPr>
        <w:t xml:space="preserve"> the extent and severity of fibrotic injury should</w:t>
      </w:r>
      <w:r w:rsidRPr="001E5D32">
        <w:rPr>
          <w:rFonts w:ascii="Book Antiqua" w:eastAsia="Times New Roman" w:hAnsi="Book Antiqua"/>
          <w:sz w:val="24"/>
          <w:lang w:val="en-GB"/>
        </w:rPr>
        <w:t xml:space="preserve"> ideally</w:t>
      </w:r>
      <w:r w:rsidR="00184F7C" w:rsidRPr="001E5D32">
        <w:rPr>
          <w:rFonts w:ascii="Book Antiqua" w:eastAsia="Times New Roman" w:hAnsi="Book Antiqua"/>
          <w:sz w:val="24"/>
          <w:lang w:val="en-GB"/>
        </w:rPr>
        <w:t xml:space="preserve"> reflect a dimensional pathogenic spectrum raging from ECM deposition though initial scarring, bridging as well as advanced fibrosis, and ultimately different stages of compensate</w:t>
      </w:r>
      <w:r w:rsidR="006326F8" w:rsidRPr="001E5D32">
        <w:rPr>
          <w:rFonts w:ascii="Book Antiqua" w:eastAsia="Times New Roman" w:hAnsi="Book Antiqua"/>
          <w:sz w:val="24"/>
          <w:lang w:val="en-GB"/>
        </w:rPr>
        <w:t>d and decompensated cirrhosis. While e</w:t>
      </w:r>
      <w:r w:rsidR="00184F7C" w:rsidRPr="001E5D32">
        <w:rPr>
          <w:rFonts w:ascii="Book Antiqua" w:eastAsia="Times New Roman" w:hAnsi="Book Antiqua"/>
          <w:sz w:val="24"/>
          <w:lang w:val="en-GB"/>
        </w:rPr>
        <w:t>xisti</w:t>
      </w:r>
      <w:r w:rsidR="006326F8" w:rsidRPr="001E5D32">
        <w:rPr>
          <w:rFonts w:ascii="Book Antiqua" w:eastAsia="Times New Roman" w:hAnsi="Book Antiqua"/>
          <w:sz w:val="24"/>
          <w:lang w:val="en-GB"/>
        </w:rPr>
        <w:t>ng predictive models have proven</w:t>
      </w:r>
      <w:r w:rsidR="00184F7C" w:rsidRPr="001E5D32">
        <w:rPr>
          <w:rFonts w:ascii="Book Antiqua" w:eastAsia="Times New Roman" w:hAnsi="Book Antiqua"/>
          <w:sz w:val="24"/>
          <w:lang w:val="en-GB"/>
        </w:rPr>
        <w:t xml:space="preserve"> useful in excluding advanced fibrosis, many require further validation in cas</w:t>
      </w:r>
      <w:r w:rsidR="006326F8" w:rsidRPr="001E5D32">
        <w:rPr>
          <w:rFonts w:ascii="Book Antiqua" w:eastAsia="Times New Roman" w:hAnsi="Book Antiqua"/>
          <w:sz w:val="24"/>
          <w:lang w:val="en-GB"/>
        </w:rPr>
        <w:t>es of intermediate severity. T</w:t>
      </w:r>
      <w:r w:rsidR="00184F7C" w:rsidRPr="001E5D32">
        <w:rPr>
          <w:rFonts w:ascii="Book Antiqua" w:eastAsia="Times New Roman" w:hAnsi="Book Antiqua"/>
          <w:sz w:val="24"/>
          <w:lang w:val="en-GB"/>
        </w:rPr>
        <w:t>heir positive predictive value is also modest at best, and likely inferior to that of more complex scoring pa</w:t>
      </w:r>
      <w:r w:rsidR="001C2C0F" w:rsidRPr="001E5D32">
        <w:rPr>
          <w:rFonts w:ascii="Book Antiqua" w:eastAsia="Times New Roman" w:hAnsi="Book Antiqua"/>
          <w:sz w:val="24"/>
          <w:lang w:val="en-GB"/>
        </w:rPr>
        <w:t>nels</w:t>
      </w:r>
      <w:r w:rsidR="006C5CA6" w:rsidRPr="001E5D32">
        <w:rPr>
          <w:rFonts w:ascii="Book Antiqua" w:eastAsia="Times New Roman" w:hAnsi="Book Antiqua"/>
          <w:sz w:val="24"/>
          <w:vertAlign w:val="superscript"/>
          <w:lang w:val="en-GB"/>
        </w:rPr>
        <w:t>[</w:t>
      </w:r>
      <w:r w:rsidR="006A3615" w:rsidRPr="001E5D32">
        <w:rPr>
          <w:rFonts w:ascii="Book Antiqua" w:eastAsia="Times New Roman" w:hAnsi="Book Antiqua"/>
          <w:sz w:val="24"/>
          <w:vertAlign w:val="superscript"/>
          <w:lang w:val="en-GB"/>
        </w:rPr>
        <w:t>12</w:t>
      </w:r>
      <w:r w:rsidR="001E072A" w:rsidRPr="001E5D32">
        <w:rPr>
          <w:rFonts w:ascii="Book Antiqua" w:eastAsia="Times New Roman" w:hAnsi="Book Antiqua"/>
          <w:sz w:val="24"/>
          <w:vertAlign w:val="superscript"/>
          <w:lang w:val="en-GB"/>
        </w:rPr>
        <w:t>9</w:t>
      </w:r>
      <w:r w:rsidR="006C5CA6" w:rsidRPr="001E5D32">
        <w:rPr>
          <w:rFonts w:ascii="Book Antiqua" w:eastAsia="Times New Roman" w:hAnsi="Book Antiqua"/>
          <w:sz w:val="24"/>
          <w:vertAlign w:val="superscript"/>
          <w:lang w:val="en-GB"/>
        </w:rPr>
        <w:t>]</w:t>
      </w:r>
      <w:r w:rsidR="00184F7C" w:rsidRPr="001E5D32">
        <w:rPr>
          <w:rFonts w:ascii="Book Antiqua" w:eastAsia="Times New Roman" w:hAnsi="Book Antiqua"/>
          <w:sz w:val="24"/>
          <w:lang w:val="en-GB"/>
        </w:rPr>
        <w:t>, which are again limited as the direct biomarkers they employ lack standardization as well as liver-specificity. A number of suggestions have been proposed in an attempt</w:t>
      </w:r>
      <w:r w:rsidR="006C5CA6" w:rsidRPr="001E5D32">
        <w:rPr>
          <w:rFonts w:ascii="Book Antiqua" w:eastAsia="Times New Roman" w:hAnsi="Book Antiqua"/>
          <w:sz w:val="24"/>
          <w:lang w:val="en-GB"/>
        </w:rPr>
        <w:t xml:space="preserve"> to address these shortcomings, including the concurrent use of multiple prognost</w:t>
      </w:r>
      <w:r w:rsidR="001C2C0F" w:rsidRPr="001E5D32">
        <w:rPr>
          <w:rFonts w:ascii="Book Antiqua" w:eastAsia="Times New Roman" w:hAnsi="Book Antiqua"/>
          <w:sz w:val="24"/>
          <w:lang w:val="en-GB"/>
        </w:rPr>
        <w:t>ic models towards the same goal</w:t>
      </w:r>
      <w:r w:rsidR="006C5CA6"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130</w:t>
      </w:r>
      <w:r w:rsidR="006C5CA6" w:rsidRPr="001E5D32">
        <w:rPr>
          <w:rFonts w:ascii="Book Antiqua" w:eastAsia="Times New Roman" w:hAnsi="Book Antiqua"/>
          <w:sz w:val="24"/>
          <w:vertAlign w:val="superscript"/>
          <w:lang w:val="en-GB"/>
        </w:rPr>
        <w:t>]</w:t>
      </w:r>
      <w:r w:rsidR="006C5CA6" w:rsidRPr="001E5D32">
        <w:rPr>
          <w:rFonts w:ascii="Book Antiqua" w:eastAsia="Times New Roman" w:hAnsi="Book Antiqua"/>
          <w:sz w:val="24"/>
          <w:lang w:val="en-GB"/>
        </w:rPr>
        <w:t xml:space="preserve">. </w:t>
      </w:r>
      <w:r w:rsidR="00184F7C" w:rsidRPr="001E5D32">
        <w:rPr>
          <w:rFonts w:ascii="Book Antiqua" w:eastAsia="Times New Roman" w:hAnsi="Book Antiqua"/>
          <w:sz w:val="24"/>
          <w:lang w:val="en-GB"/>
        </w:rPr>
        <w:t>The development of progressively more</w:t>
      </w:r>
      <w:r w:rsidR="006C5CA6" w:rsidRPr="001E5D32">
        <w:rPr>
          <w:rFonts w:ascii="Book Antiqua" w:eastAsia="Times New Roman" w:hAnsi="Book Antiqua"/>
          <w:sz w:val="24"/>
          <w:lang w:val="en-GB"/>
        </w:rPr>
        <w:t xml:space="preserve"> </w:t>
      </w:r>
      <w:r w:rsidR="006326F8" w:rsidRPr="001E5D32">
        <w:rPr>
          <w:rFonts w:ascii="Book Antiqua" w:eastAsia="Times New Roman" w:hAnsi="Book Antiqua"/>
          <w:sz w:val="24"/>
          <w:lang w:val="en-GB"/>
        </w:rPr>
        <w:t>complex risk assessment schemes</w:t>
      </w:r>
      <w:r w:rsidR="006C5CA6" w:rsidRPr="001E5D32">
        <w:rPr>
          <w:rFonts w:ascii="Book Antiqua" w:eastAsia="Times New Roman" w:hAnsi="Book Antiqua"/>
          <w:sz w:val="24"/>
          <w:lang w:val="en-GB"/>
        </w:rPr>
        <w:t xml:space="preserve"> is intuitively a plausible solution, and</w:t>
      </w:r>
      <w:r w:rsidR="00184F7C" w:rsidRPr="001E5D32">
        <w:rPr>
          <w:rFonts w:ascii="Book Antiqua" w:eastAsia="Times New Roman" w:hAnsi="Book Antiqua"/>
          <w:sz w:val="24"/>
          <w:lang w:val="en-GB"/>
        </w:rPr>
        <w:t xml:space="preserve"> while improving the performance for cirrhosis, </w:t>
      </w:r>
      <w:r w:rsidR="006C5CA6" w:rsidRPr="001E5D32">
        <w:rPr>
          <w:rFonts w:ascii="Book Antiqua" w:eastAsia="Times New Roman" w:hAnsi="Book Antiqua"/>
          <w:sz w:val="24"/>
          <w:lang w:val="en-GB"/>
        </w:rPr>
        <w:t xml:space="preserve">this </w:t>
      </w:r>
      <w:r w:rsidR="006326F8" w:rsidRPr="001E5D32">
        <w:rPr>
          <w:rFonts w:ascii="Book Antiqua" w:eastAsia="Times New Roman" w:hAnsi="Book Antiqua"/>
          <w:sz w:val="24"/>
          <w:lang w:val="en-GB"/>
        </w:rPr>
        <w:t xml:space="preserve">approach </w:t>
      </w:r>
      <w:r w:rsidR="00184F7C" w:rsidRPr="001E5D32">
        <w:rPr>
          <w:rFonts w:ascii="Book Antiqua" w:eastAsia="Times New Roman" w:hAnsi="Book Antiqua"/>
          <w:sz w:val="24"/>
          <w:lang w:val="en-GB"/>
        </w:rPr>
        <w:t>does not greatly increase their predictive accuracy fo</w:t>
      </w:r>
      <w:r w:rsidR="001C2C0F" w:rsidRPr="001E5D32">
        <w:rPr>
          <w:rFonts w:ascii="Book Antiqua" w:eastAsia="Times New Roman" w:hAnsi="Book Antiqua"/>
          <w:sz w:val="24"/>
          <w:lang w:val="en-GB"/>
        </w:rPr>
        <w:t>r NASH or non-severe fibrosis</w:t>
      </w:r>
      <w:r w:rsidR="00136858"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131</w:t>
      </w:r>
      <w:r w:rsidR="00136858" w:rsidRPr="001E5D32">
        <w:rPr>
          <w:rFonts w:ascii="Book Antiqua" w:eastAsia="Times New Roman" w:hAnsi="Book Antiqua"/>
          <w:sz w:val="24"/>
          <w:vertAlign w:val="superscript"/>
          <w:lang w:val="en-GB"/>
        </w:rPr>
        <w:t>]</w:t>
      </w:r>
      <w:r w:rsidR="00136858" w:rsidRPr="001E5D32">
        <w:rPr>
          <w:rFonts w:ascii="Book Antiqua" w:eastAsia="Times New Roman" w:hAnsi="Book Antiqua"/>
          <w:sz w:val="24"/>
          <w:lang w:val="en-GB"/>
        </w:rPr>
        <w:t>.</w:t>
      </w:r>
    </w:p>
    <w:p w14:paraId="18A5C93B" w14:textId="77777777" w:rsidR="00184F7C" w:rsidRPr="001E5D32" w:rsidRDefault="00184F7C" w:rsidP="001E5D32">
      <w:pPr>
        <w:spacing w:line="360" w:lineRule="auto"/>
        <w:rPr>
          <w:rFonts w:ascii="Book Antiqua" w:eastAsia="Times New Roman" w:hAnsi="Book Antiqua"/>
          <w:sz w:val="24"/>
          <w:lang w:val="en-GB"/>
        </w:rPr>
      </w:pPr>
    </w:p>
    <w:p w14:paraId="2B259B4D" w14:textId="77777777" w:rsidR="00184F7C" w:rsidRPr="001E5D32" w:rsidRDefault="00184F7C" w:rsidP="001E5D32">
      <w:pPr>
        <w:spacing w:line="360" w:lineRule="auto"/>
        <w:rPr>
          <w:rFonts w:ascii="Book Antiqua" w:eastAsia="Times New Roman" w:hAnsi="Book Antiqua"/>
          <w:b/>
          <w:i/>
          <w:sz w:val="24"/>
          <w:lang w:val="en-GB"/>
        </w:rPr>
      </w:pPr>
      <w:r w:rsidRPr="001E5D32">
        <w:rPr>
          <w:rFonts w:ascii="Book Antiqua" w:eastAsia="Times New Roman" w:hAnsi="Book Antiqua"/>
          <w:b/>
          <w:i/>
          <w:sz w:val="24"/>
          <w:lang w:val="en-GB"/>
        </w:rPr>
        <w:t xml:space="preserve">Limited value in predicting complications </w:t>
      </w:r>
    </w:p>
    <w:p w14:paraId="5A6821D8" w14:textId="0C4C2AFB" w:rsidR="004560CA" w:rsidRPr="001E5D32" w:rsidRDefault="00184F7C"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Composite non-invasive models have limited </w:t>
      </w:r>
      <w:r w:rsidR="00383C10" w:rsidRPr="001E5D32">
        <w:rPr>
          <w:rFonts w:ascii="Book Antiqua" w:eastAsia="Times New Roman" w:hAnsi="Book Antiqua"/>
          <w:sz w:val="24"/>
          <w:lang w:val="en-GB"/>
        </w:rPr>
        <w:t>utility in the prediction of</w:t>
      </w:r>
      <w:r w:rsidRPr="001E5D32">
        <w:rPr>
          <w:rFonts w:ascii="Book Antiqua" w:eastAsia="Times New Roman" w:hAnsi="Book Antiqua"/>
          <w:sz w:val="24"/>
          <w:lang w:val="en-GB"/>
        </w:rPr>
        <w:t xml:space="preserve"> cirrhotic complications</w:t>
      </w:r>
      <w:r w:rsidR="00383C10" w:rsidRPr="001E5D32">
        <w:rPr>
          <w:rFonts w:ascii="Book Antiqua" w:eastAsia="Times New Roman" w:hAnsi="Book Antiqua"/>
          <w:sz w:val="24"/>
          <w:lang w:val="en-GB"/>
        </w:rPr>
        <w:t xml:space="preserve"> such as</w:t>
      </w:r>
      <w:r w:rsidRPr="001E5D32">
        <w:rPr>
          <w:rFonts w:ascii="Book Antiqua" w:eastAsia="Times New Roman" w:hAnsi="Book Antiqua"/>
          <w:sz w:val="24"/>
          <w:lang w:val="en-GB"/>
        </w:rPr>
        <w:t xml:space="preserve"> varicea</w:t>
      </w:r>
      <w:r w:rsidR="006326F8" w:rsidRPr="001E5D32">
        <w:rPr>
          <w:rFonts w:ascii="Book Antiqua" w:eastAsia="Times New Roman" w:hAnsi="Book Antiqua"/>
          <w:sz w:val="24"/>
          <w:lang w:val="en-GB"/>
        </w:rPr>
        <w:t>l bl</w:t>
      </w:r>
      <w:r w:rsidR="001C2C0F" w:rsidRPr="001E5D32">
        <w:rPr>
          <w:rFonts w:ascii="Book Antiqua" w:eastAsia="Times New Roman" w:hAnsi="Book Antiqua"/>
          <w:sz w:val="24"/>
          <w:lang w:val="en-GB"/>
        </w:rPr>
        <w:t>eeding</w:t>
      </w:r>
      <w:r w:rsidR="006326F8"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132</w:t>
      </w:r>
      <w:r w:rsidR="006326F8"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xml:space="preserve">. There is still a disproportionate focus on liver-related as opposed to cardiovascular events, which is particularly relevant as CVD is the primary cause of mortality in NAFLD patients. Establishing the utility of composite models in predicting cardio-metabolic complications, adverse clinical outcomes and mortality risk is therefore an important research focus for future prospective studies. </w:t>
      </w:r>
      <w:r w:rsidR="004C4229" w:rsidRPr="001E5D32">
        <w:rPr>
          <w:rFonts w:ascii="Book Antiqua" w:eastAsia="Times New Roman" w:hAnsi="Book Antiqua"/>
          <w:sz w:val="24"/>
          <w:lang w:val="en-GB"/>
        </w:rPr>
        <w:t xml:space="preserve">Moreover, an important research objective in this regard would be to focus on determining to what extent the addition of a genomics component to prognostic models allows for the accurate prediction of long-term clinical outcomes. </w:t>
      </w:r>
    </w:p>
    <w:p w14:paraId="27A595E2" w14:textId="77777777" w:rsidR="00872041" w:rsidRPr="001E5D32" w:rsidRDefault="00872041" w:rsidP="001E5D32">
      <w:pPr>
        <w:spacing w:line="360" w:lineRule="auto"/>
        <w:rPr>
          <w:rFonts w:ascii="Book Antiqua" w:eastAsia="Times New Roman" w:hAnsi="Book Antiqua"/>
          <w:sz w:val="24"/>
          <w:lang w:val="en-GB"/>
        </w:rPr>
      </w:pPr>
    </w:p>
    <w:p w14:paraId="540E97E8" w14:textId="2B907F70" w:rsidR="009B490B" w:rsidRPr="001E5D32" w:rsidRDefault="009B490B"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 xml:space="preserve">IMPROVING </w:t>
      </w:r>
      <w:r w:rsidR="001E072A" w:rsidRPr="001E5D32">
        <w:rPr>
          <w:rFonts w:ascii="Book Antiqua" w:eastAsia="Times New Roman" w:hAnsi="Book Antiqua"/>
          <w:b/>
          <w:sz w:val="24"/>
          <w:lang w:val="en-GB"/>
        </w:rPr>
        <w:t xml:space="preserve">CLINICAL </w:t>
      </w:r>
      <w:r w:rsidRPr="001E5D32">
        <w:rPr>
          <w:rFonts w:ascii="Book Antiqua" w:eastAsia="Times New Roman" w:hAnsi="Book Antiqua"/>
          <w:b/>
          <w:sz w:val="24"/>
          <w:lang w:val="en-GB"/>
        </w:rPr>
        <w:t>RISK PREDICTION ACROSS THE NAFLD SPECTRUM</w:t>
      </w:r>
    </w:p>
    <w:p w14:paraId="43089E3A" w14:textId="2680B1B8" w:rsidR="001C4FB9" w:rsidRPr="001E5D32" w:rsidRDefault="001179D6"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There is ongoing research interest in determining to what extent </w:t>
      </w:r>
      <w:r w:rsidR="009B490B" w:rsidRPr="001E5D32">
        <w:rPr>
          <w:rFonts w:ascii="Book Antiqua" w:eastAsia="Times New Roman" w:hAnsi="Book Antiqua"/>
          <w:sz w:val="24"/>
          <w:lang w:val="en-GB"/>
        </w:rPr>
        <w:t xml:space="preserve">the addition of biochemical and functional genomic markers </w:t>
      </w:r>
      <w:r w:rsidRPr="001E5D32">
        <w:rPr>
          <w:rFonts w:ascii="Book Antiqua" w:eastAsia="Times New Roman" w:hAnsi="Book Antiqua"/>
          <w:sz w:val="24"/>
          <w:lang w:val="en-GB"/>
        </w:rPr>
        <w:t>and/</w:t>
      </w:r>
      <w:r w:rsidR="009B490B" w:rsidRPr="001E5D32">
        <w:rPr>
          <w:rFonts w:ascii="Book Antiqua" w:eastAsia="Times New Roman" w:hAnsi="Book Antiqua"/>
          <w:sz w:val="24"/>
          <w:lang w:val="en-GB"/>
        </w:rPr>
        <w:t xml:space="preserve">or the application of emerging imaging technologies can </w:t>
      </w:r>
      <w:r w:rsidRPr="001E5D32">
        <w:rPr>
          <w:rFonts w:ascii="Book Antiqua" w:eastAsia="Times New Roman" w:hAnsi="Book Antiqua"/>
          <w:sz w:val="24"/>
          <w:lang w:val="en-GB"/>
        </w:rPr>
        <w:t xml:space="preserve">assist in overcoming the abovementioned limitations restricting the more widespread clinical implementation of existing composite prognostic models applicable across the NAFLD spectrum by improving their </w:t>
      </w:r>
      <w:r w:rsidR="009B490B" w:rsidRPr="001E5D32">
        <w:rPr>
          <w:rFonts w:ascii="Book Antiqua" w:eastAsia="Times New Roman" w:hAnsi="Book Antiqua"/>
          <w:sz w:val="24"/>
          <w:lang w:val="en-GB"/>
        </w:rPr>
        <w:t>diagnostic accura</w:t>
      </w:r>
      <w:r w:rsidRPr="001E5D32">
        <w:rPr>
          <w:rFonts w:ascii="Book Antiqua" w:eastAsia="Times New Roman" w:hAnsi="Book Antiqua"/>
          <w:sz w:val="24"/>
          <w:lang w:val="en-GB"/>
        </w:rPr>
        <w:t>cy and predictive performance.</w:t>
      </w:r>
    </w:p>
    <w:p w14:paraId="37907C59" w14:textId="77777777" w:rsidR="001309C9" w:rsidRPr="001E5D32" w:rsidRDefault="001309C9" w:rsidP="001E5D32">
      <w:pPr>
        <w:spacing w:line="360" w:lineRule="auto"/>
        <w:rPr>
          <w:rFonts w:ascii="Book Antiqua" w:eastAsia="Times New Roman" w:hAnsi="Book Antiqua"/>
          <w:b/>
          <w:sz w:val="24"/>
          <w:lang w:val="en-GB"/>
        </w:rPr>
      </w:pPr>
    </w:p>
    <w:p w14:paraId="72717FE9" w14:textId="1853A5C1" w:rsidR="009B490B" w:rsidRPr="001E5D32" w:rsidRDefault="00A75D43" w:rsidP="001E5D32">
      <w:pPr>
        <w:spacing w:line="360" w:lineRule="auto"/>
        <w:rPr>
          <w:rFonts w:ascii="Book Antiqua" w:eastAsia="Times New Roman" w:hAnsi="Book Antiqua"/>
          <w:b/>
          <w:i/>
          <w:sz w:val="24"/>
          <w:lang w:val="en-GB"/>
        </w:rPr>
      </w:pPr>
      <w:r w:rsidRPr="001E5D32">
        <w:rPr>
          <w:rFonts w:ascii="Book Antiqua" w:eastAsia="Times New Roman" w:hAnsi="Book Antiqua"/>
          <w:b/>
          <w:i/>
          <w:sz w:val="24"/>
          <w:lang w:val="en-GB"/>
        </w:rPr>
        <w:t xml:space="preserve">Incorporation of personalized genomic testing </w:t>
      </w:r>
      <w:r w:rsidR="001179D6" w:rsidRPr="001E5D32">
        <w:rPr>
          <w:rFonts w:ascii="Book Antiqua" w:eastAsia="Times New Roman" w:hAnsi="Book Antiqua"/>
          <w:b/>
          <w:i/>
          <w:sz w:val="24"/>
          <w:lang w:val="en-GB"/>
        </w:rPr>
        <w:t>to</w:t>
      </w:r>
      <w:r w:rsidRPr="001E5D32">
        <w:rPr>
          <w:rFonts w:ascii="Book Antiqua" w:eastAsia="Times New Roman" w:hAnsi="Book Antiqua"/>
          <w:b/>
          <w:i/>
          <w:sz w:val="24"/>
          <w:lang w:val="en-GB"/>
        </w:rPr>
        <w:t xml:space="preserve"> existing composite prognostic models </w:t>
      </w:r>
    </w:p>
    <w:p w14:paraId="5114620F" w14:textId="7DFFD5B4" w:rsidR="00E041DD" w:rsidRPr="001E5D32" w:rsidRDefault="00E041DD"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Epidemiological evidence </w:t>
      </w:r>
      <w:r w:rsidR="00162723" w:rsidRPr="001E5D32">
        <w:rPr>
          <w:rFonts w:ascii="Book Antiqua" w:eastAsia="Times New Roman" w:hAnsi="Book Antiqua"/>
          <w:sz w:val="24"/>
          <w:lang w:val="en-GB"/>
        </w:rPr>
        <w:t xml:space="preserve">concerning </w:t>
      </w:r>
      <w:r w:rsidR="00C6029B" w:rsidRPr="001E5D32">
        <w:rPr>
          <w:rFonts w:ascii="Book Antiqua" w:eastAsia="Times New Roman" w:hAnsi="Book Antiqua"/>
          <w:sz w:val="24"/>
          <w:lang w:val="en-GB"/>
        </w:rPr>
        <w:t>the extent towards which</w:t>
      </w:r>
      <w:r w:rsidR="00162723" w:rsidRPr="001E5D32">
        <w:rPr>
          <w:rFonts w:ascii="Book Antiqua" w:eastAsia="Times New Roman" w:hAnsi="Book Antiqua"/>
          <w:sz w:val="24"/>
          <w:lang w:val="en-GB"/>
        </w:rPr>
        <w:t xml:space="preserve"> susceptibility </w:t>
      </w:r>
      <w:r w:rsidR="00EE394D" w:rsidRPr="001E5D32">
        <w:rPr>
          <w:rFonts w:ascii="Book Antiqua" w:eastAsia="Times New Roman" w:hAnsi="Book Antiqua"/>
          <w:sz w:val="24"/>
          <w:lang w:val="en-GB"/>
        </w:rPr>
        <w:t xml:space="preserve">for </w:t>
      </w:r>
      <w:r w:rsidR="00162723" w:rsidRPr="001E5D32">
        <w:rPr>
          <w:rFonts w:ascii="Book Antiqua" w:eastAsia="Times New Roman" w:hAnsi="Book Antiqua"/>
          <w:sz w:val="24"/>
          <w:lang w:val="en-GB"/>
        </w:rPr>
        <w:t>NAFLD involves a substantial heritabili</w:t>
      </w:r>
      <w:r w:rsidR="00C6029B" w:rsidRPr="001E5D32">
        <w:rPr>
          <w:rFonts w:ascii="Book Antiqua" w:eastAsia="Times New Roman" w:hAnsi="Book Antiqua"/>
          <w:sz w:val="24"/>
          <w:lang w:val="en-GB"/>
        </w:rPr>
        <w:t>ty component remains conflicted</w:t>
      </w:r>
      <w:r w:rsidR="006A3615"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133,134</w:t>
      </w:r>
      <w:r w:rsidR="006A3615" w:rsidRPr="001E5D32">
        <w:rPr>
          <w:rFonts w:ascii="Book Antiqua" w:eastAsia="Times New Roman" w:hAnsi="Book Antiqua"/>
          <w:sz w:val="24"/>
          <w:vertAlign w:val="superscript"/>
          <w:lang w:val="en-GB"/>
        </w:rPr>
        <w:t>]</w:t>
      </w:r>
      <w:r w:rsidR="00C6029B" w:rsidRPr="001E5D32">
        <w:rPr>
          <w:rFonts w:ascii="Book Antiqua" w:eastAsia="Times New Roman" w:hAnsi="Book Antiqua"/>
          <w:sz w:val="24"/>
          <w:lang w:val="en-GB"/>
        </w:rPr>
        <w:t xml:space="preserve">. This has led to </w:t>
      </w:r>
      <w:r w:rsidR="00162723" w:rsidRPr="001E5D32">
        <w:rPr>
          <w:rFonts w:ascii="Book Antiqua" w:eastAsia="Times New Roman" w:hAnsi="Book Antiqua"/>
          <w:sz w:val="24"/>
          <w:lang w:val="en-GB"/>
        </w:rPr>
        <w:t xml:space="preserve">ongoing </w:t>
      </w:r>
      <w:r w:rsidRPr="001E5D32">
        <w:rPr>
          <w:rFonts w:ascii="Book Antiqua" w:eastAsia="Times New Roman" w:hAnsi="Book Antiqua"/>
          <w:sz w:val="24"/>
          <w:lang w:val="en-GB"/>
        </w:rPr>
        <w:t xml:space="preserve">research interest in elucidating the genetic mechanisms which </w:t>
      </w:r>
      <w:r w:rsidR="00C6029B" w:rsidRPr="001E5D32">
        <w:rPr>
          <w:rFonts w:ascii="Book Antiqua" w:eastAsia="Times New Roman" w:hAnsi="Book Antiqua"/>
          <w:sz w:val="24"/>
          <w:lang w:val="en-GB"/>
        </w:rPr>
        <w:t xml:space="preserve">could underlie </w:t>
      </w:r>
      <w:r w:rsidRPr="001E5D32">
        <w:rPr>
          <w:rFonts w:ascii="Book Antiqua" w:eastAsia="Times New Roman" w:hAnsi="Book Antiqua"/>
          <w:sz w:val="24"/>
          <w:lang w:val="en-GB"/>
        </w:rPr>
        <w:t xml:space="preserve">marked population-based variation in disease prevalence and inter-patient heterogeneity in histological severity characteristic of this complex </w:t>
      </w:r>
      <w:r w:rsidR="00C6029B" w:rsidRPr="001E5D32">
        <w:rPr>
          <w:rFonts w:ascii="Book Antiqua" w:eastAsia="Times New Roman" w:hAnsi="Book Antiqua"/>
          <w:sz w:val="24"/>
          <w:lang w:val="en-GB"/>
        </w:rPr>
        <w:t xml:space="preserve">disease </w:t>
      </w:r>
      <w:r w:rsidRPr="001E5D32">
        <w:rPr>
          <w:rFonts w:ascii="Book Antiqua" w:eastAsia="Times New Roman" w:hAnsi="Book Antiqua"/>
          <w:sz w:val="24"/>
          <w:lang w:val="en-GB"/>
        </w:rPr>
        <w:t>tr</w:t>
      </w:r>
      <w:r w:rsidR="001C2C0F" w:rsidRPr="001E5D32">
        <w:rPr>
          <w:rFonts w:ascii="Book Antiqua" w:eastAsia="Times New Roman" w:hAnsi="Book Antiqua"/>
          <w:sz w:val="24"/>
          <w:lang w:val="en-GB"/>
        </w:rPr>
        <w:t>ait</w:t>
      </w:r>
      <w:r w:rsidR="00CD69D3"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135,136</w:t>
      </w:r>
      <w:r w:rsidR="00CD69D3"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xml:space="preserve">. </w:t>
      </w:r>
    </w:p>
    <w:p w14:paraId="54F379E7" w14:textId="5AB66648" w:rsidR="00030143" w:rsidRPr="001E5D32" w:rsidRDefault="00C91818" w:rsidP="001E5D32">
      <w:pPr>
        <w:spacing w:line="360" w:lineRule="auto"/>
        <w:ind w:firstLineChars="200" w:firstLine="480"/>
        <w:rPr>
          <w:rFonts w:ascii="Book Antiqua" w:eastAsia="Times New Roman" w:hAnsi="Book Antiqua"/>
          <w:sz w:val="24"/>
          <w:lang w:val="en-GB"/>
        </w:rPr>
      </w:pPr>
      <w:r w:rsidRPr="001E5D32">
        <w:rPr>
          <w:rFonts w:ascii="Book Antiqua" w:eastAsia="Times New Roman" w:hAnsi="Book Antiqua"/>
          <w:sz w:val="24"/>
          <w:lang w:val="en-GB"/>
        </w:rPr>
        <w:t>Two</w:t>
      </w:r>
      <w:r w:rsidR="000A1CF2" w:rsidRPr="001E5D32">
        <w:rPr>
          <w:rFonts w:ascii="Book Antiqua" w:eastAsia="Times New Roman" w:hAnsi="Book Antiqua"/>
          <w:sz w:val="24"/>
          <w:lang w:val="en-GB"/>
        </w:rPr>
        <w:t xml:space="preserve"> </w:t>
      </w:r>
      <w:r w:rsidR="009249DE" w:rsidRPr="001E5D32">
        <w:rPr>
          <w:rFonts w:ascii="Book Antiqua" w:eastAsia="Times New Roman" w:hAnsi="Book Antiqua"/>
          <w:sz w:val="24"/>
          <w:lang w:val="en-GB"/>
        </w:rPr>
        <w:t>seminal population-based genome-wide association s</w:t>
      </w:r>
      <w:r w:rsidR="001C2C0F" w:rsidRPr="001E5D32">
        <w:rPr>
          <w:rFonts w:ascii="Book Antiqua" w:eastAsia="Times New Roman" w:hAnsi="Book Antiqua"/>
          <w:sz w:val="24"/>
          <w:lang w:val="en-GB"/>
        </w:rPr>
        <w:t>tudies (GWAS) conducted in 2008</w:t>
      </w:r>
      <w:r w:rsidR="009249DE" w:rsidRPr="001E5D32">
        <w:rPr>
          <w:rFonts w:ascii="Book Antiqua" w:eastAsia="Times New Roman" w:hAnsi="Book Antiqua"/>
          <w:sz w:val="24"/>
          <w:vertAlign w:val="superscript"/>
          <w:lang w:val="en-GB"/>
        </w:rPr>
        <w:t>[137,138]</w:t>
      </w:r>
      <w:r w:rsidR="000A1CF2" w:rsidRPr="001E5D32">
        <w:rPr>
          <w:rFonts w:ascii="Book Antiqua" w:eastAsia="Times New Roman" w:hAnsi="Book Antiqua"/>
          <w:sz w:val="24"/>
          <w:lang w:val="en-GB"/>
        </w:rPr>
        <w:t xml:space="preserve"> </w:t>
      </w:r>
      <w:r w:rsidRPr="001E5D32">
        <w:rPr>
          <w:rFonts w:ascii="Book Antiqua" w:eastAsia="Times New Roman" w:hAnsi="Book Antiqua"/>
          <w:sz w:val="24"/>
          <w:lang w:val="en-GB"/>
        </w:rPr>
        <w:t xml:space="preserve">identified </w:t>
      </w:r>
      <w:r w:rsidR="009249DE" w:rsidRPr="001E5D32">
        <w:rPr>
          <w:rFonts w:ascii="Book Antiqua" w:eastAsia="Times New Roman" w:hAnsi="Book Antiqua"/>
          <w:sz w:val="24"/>
          <w:lang w:val="en-GB"/>
        </w:rPr>
        <w:t>a common non-synonymous single-nucleotide polymorphism (SNP) in the p</w:t>
      </w:r>
      <w:r w:rsidR="00E041DD" w:rsidRPr="001E5D32">
        <w:rPr>
          <w:rFonts w:ascii="Book Antiqua" w:eastAsia="Times New Roman" w:hAnsi="Book Antiqua"/>
          <w:sz w:val="24"/>
          <w:lang w:val="en-GB"/>
        </w:rPr>
        <w:t xml:space="preserve">atatin-like phospholipase domain-containing protein 3 (PNPLA3) </w:t>
      </w:r>
      <w:r w:rsidR="00893736" w:rsidRPr="001E5D32">
        <w:rPr>
          <w:rFonts w:ascii="Book Antiqua" w:eastAsia="Times New Roman" w:hAnsi="Book Antiqua"/>
          <w:sz w:val="24"/>
          <w:lang w:val="en-GB"/>
        </w:rPr>
        <w:t xml:space="preserve">gene </w:t>
      </w:r>
      <w:r w:rsidR="009249DE" w:rsidRPr="001E5D32">
        <w:rPr>
          <w:rFonts w:ascii="Book Antiqua" w:eastAsia="Times New Roman" w:hAnsi="Book Antiqua"/>
          <w:sz w:val="24"/>
          <w:lang w:val="en-GB"/>
        </w:rPr>
        <w:t xml:space="preserve">(rs738409) which encodes the multifunctional </w:t>
      </w:r>
      <w:r w:rsidRPr="001E5D32">
        <w:rPr>
          <w:rFonts w:ascii="Book Antiqua" w:eastAsia="Times New Roman" w:hAnsi="Book Antiqua"/>
          <w:sz w:val="24"/>
          <w:lang w:val="en-GB"/>
        </w:rPr>
        <w:t xml:space="preserve">lipolytic </w:t>
      </w:r>
      <w:r w:rsidR="001C2C0F" w:rsidRPr="001E5D32">
        <w:rPr>
          <w:rFonts w:ascii="Book Antiqua" w:eastAsia="Times New Roman" w:hAnsi="Book Antiqua"/>
          <w:sz w:val="24"/>
          <w:lang w:val="en-GB"/>
        </w:rPr>
        <w:t>enzyme adiponutrin (ADPN)</w:t>
      </w:r>
      <w:r w:rsidR="009249DE" w:rsidRPr="001E5D32">
        <w:rPr>
          <w:rFonts w:ascii="Book Antiqua" w:eastAsia="Times New Roman" w:hAnsi="Book Antiqua"/>
          <w:sz w:val="24"/>
          <w:vertAlign w:val="superscript"/>
          <w:lang w:val="en-GB"/>
        </w:rPr>
        <w:t>[139]</w:t>
      </w:r>
      <w:r w:rsidR="009249DE" w:rsidRPr="001E5D32">
        <w:rPr>
          <w:rFonts w:ascii="Book Antiqua" w:eastAsia="Times New Roman" w:hAnsi="Book Antiqua"/>
          <w:sz w:val="24"/>
          <w:lang w:val="en-GB"/>
        </w:rPr>
        <w:t xml:space="preserve"> </w:t>
      </w:r>
      <w:r w:rsidR="00E041DD" w:rsidRPr="001E5D32">
        <w:rPr>
          <w:rFonts w:ascii="Book Antiqua" w:eastAsia="Times New Roman" w:hAnsi="Book Antiqua"/>
          <w:sz w:val="24"/>
          <w:lang w:val="en-GB"/>
        </w:rPr>
        <w:t>as a major determinant of inter-individual variation in hepatic fat content and plasma</w:t>
      </w:r>
      <w:r w:rsidR="009249DE" w:rsidRPr="001E5D32">
        <w:rPr>
          <w:rFonts w:ascii="Book Antiqua" w:eastAsia="Times New Roman" w:hAnsi="Book Antiqua"/>
          <w:sz w:val="24"/>
          <w:lang w:val="en-GB"/>
        </w:rPr>
        <w:t xml:space="preserve"> liver enzyme levels. The</w:t>
      </w:r>
      <w:r w:rsidR="00E041DD" w:rsidRPr="001E5D32">
        <w:rPr>
          <w:rFonts w:ascii="Book Antiqua" w:eastAsia="Times New Roman" w:hAnsi="Book Antiqua"/>
          <w:sz w:val="24"/>
          <w:lang w:val="en-GB"/>
        </w:rPr>
        <w:t xml:space="preserve"> rs738409 variant has </w:t>
      </w:r>
      <w:r w:rsidR="009249DE" w:rsidRPr="001E5D32">
        <w:rPr>
          <w:rFonts w:ascii="Book Antiqua" w:eastAsia="Times New Roman" w:hAnsi="Book Antiqua"/>
          <w:sz w:val="24"/>
          <w:lang w:val="en-GB"/>
        </w:rPr>
        <w:t>subsequently been</w:t>
      </w:r>
      <w:r w:rsidR="00E041DD" w:rsidRPr="001E5D32">
        <w:rPr>
          <w:rFonts w:ascii="Book Antiqua" w:eastAsia="Times New Roman" w:hAnsi="Book Antiqua"/>
          <w:sz w:val="24"/>
          <w:lang w:val="en-GB"/>
        </w:rPr>
        <w:t xml:space="preserve"> reproducibly associated with increased </w:t>
      </w:r>
      <w:r w:rsidR="00EE394D" w:rsidRPr="001E5D32">
        <w:rPr>
          <w:rFonts w:ascii="Book Antiqua" w:eastAsia="Times New Roman" w:hAnsi="Book Antiqua"/>
          <w:sz w:val="24"/>
          <w:lang w:val="en-GB"/>
        </w:rPr>
        <w:t>susceptibility towards</w:t>
      </w:r>
      <w:r w:rsidR="00E041DD" w:rsidRPr="001E5D32">
        <w:rPr>
          <w:rFonts w:ascii="Book Antiqua" w:eastAsia="Times New Roman" w:hAnsi="Book Antiqua"/>
          <w:sz w:val="24"/>
          <w:lang w:val="en-GB"/>
        </w:rPr>
        <w:t xml:space="preserve"> </w:t>
      </w:r>
      <w:r w:rsidR="009249DE" w:rsidRPr="001E5D32">
        <w:rPr>
          <w:rFonts w:ascii="Book Antiqua" w:eastAsia="Times New Roman" w:hAnsi="Book Antiqua"/>
          <w:sz w:val="24"/>
          <w:lang w:val="en-GB"/>
        </w:rPr>
        <w:t xml:space="preserve">the onset and progression of NAFLD </w:t>
      </w:r>
      <w:r w:rsidR="00E041DD" w:rsidRPr="001E5D32">
        <w:rPr>
          <w:rFonts w:ascii="Book Antiqua" w:eastAsia="Times New Roman" w:hAnsi="Book Antiqua"/>
          <w:sz w:val="24"/>
          <w:lang w:val="en-GB"/>
        </w:rPr>
        <w:t>across boundaries for age, se</w:t>
      </w:r>
      <w:r w:rsidR="001C2C0F" w:rsidRPr="001E5D32">
        <w:rPr>
          <w:rFonts w:ascii="Book Antiqua" w:eastAsia="Times New Roman" w:hAnsi="Book Antiqua"/>
          <w:sz w:val="24"/>
          <w:lang w:val="en-GB"/>
        </w:rPr>
        <w:t>x and ethnic background</w:t>
      </w:r>
      <w:r w:rsidR="00CD69D3" w:rsidRPr="001E5D32">
        <w:rPr>
          <w:rFonts w:ascii="Book Antiqua" w:eastAsia="Times New Roman" w:hAnsi="Book Antiqua"/>
          <w:sz w:val="24"/>
          <w:vertAlign w:val="superscript"/>
          <w:lang w:val="en-GB"/>
        </w:rPr>
        <w:t>[</w:t>
      </w:r>
      <w:r w:rsidR="009249DE" w:rsidRPr="001E5D32">
        <w:rPr>
          <w:rFonts w:ascii="Book Antiqua" w:eastAsia="Times New Roman" w:hAnsi="Book Antiqua"/>
          <w:sz w:val="24"/>
          <w:vertAlign w:val="superscript"/>
          <w:lang w:val="en-GB"/>
        </w:rPr>
        <w:t>139</w:t>
      </w:r>
      <w:r w:rsidR="001E072A" w:rsidRPr="001E5D32">
        <w:rPr>
          <w:rFonts w:ascii="Book Antiqua" w:eastAsia="Times New Roman" w:hAnsi="Book Antiqua"/>
          <w:sz w:val="24"/>
          <w:vertAlign w:val="superscript"/>
          <w:lang w:val="en-GB"/>
        </w:rPr>
        <w:t>-144</w:t>
      </w:r>
      <w:r w:rsidR="00CD69D3" w:rsidRPr="001E5D32">
        <w:rPr>
          <w:rFonts w:ascii="Book Antiqua" w:eastAsia="Times New Roman" w:hAnsi="Book Antiqua"/>
          <w:sz w:val="24"/>
          <w:vertAlign w:val="superscript"/>
          <w:lang w:val="en-GB"/>
        </w:rPr>
        <w:t>]</w:t>
      </w:r>
      <w:r w:rsidR="00CD69D3" w:rsidRPr="001E5D32">
        <w:rPr>
          <w:rFonts w:ascii="Book Antiqua" w:eastAsia="Times New Roman" w:hAnsi="Book Antiqua"/>
          <w:sz w:val="24"/>
          <w:lang w:val="en-GB"/>
        </w:rPr>
        <w:t>.</w:t>
      </w:r>
      <w:r w:rsidR="00893736" w:rsidRPr="001E5D32">
        <w:rPr>
          <w:rFonts w:ascii="Book Antiqua" w:eastAsia="Times New Roman" w:hAnsi="Book Antiqua"/>
          <w:sz w:val="24"/>
          <w:lang w:val="en-GB"/>
        </w:rPr>
        <w:t xml:space="preserve"> </w:t>
      </w:r>
      <w:r w:rsidR="002A125F" w:rsidRPr="001E5D32">
        <w:rPr>
          <w:rFonts w:ascii="Book Antiqua" w:eastAsia="Times New Roman" w:hAnsi="Book Antiqua"/>
          <w:sz w:val="24"/>
          <w:lang w:val="en-GB"/>
        </w:rPr>
        <w:t xml:space="preserve">Findings from at least two recent meta-analyses </w:t>
      </w:r>
      <w:r w:rsidR="00B946EC" w:rsidRPr="001E5D32">
        <w:rPr>
          <w:rFonts w:ascii="Book Antiqua" w:eastAsia="Times New Roman" w:hAnsi="Book Antiqua"/>
          <w:sz w:val="24"/>
          <w:lang w:val="en-GB"/>
        </w:rPr>
        <w:t>have also confirmed the</w:t>
      </w:r>
      <w:r w:rsidR="002A125F" w:rsidRPr="001E5D32">
        <w:rPr>
          <w:rFonts w:ascii="Book Antiqua" w:eastAsia="Times New Roman" w:hAnsi="Book Antiqua"/>
          <w:sz w:val="24"/>
          <w:lang w:val="en-GB"/>
        </w:rPr>
        <w:t xml:space="preserve"> clinical relevance of PNPLA3 rs738409 as a potent genetic </w:t>
      </w:r>
      <w:r w:rsidR="00A4325D" w:rsidRPr="001E5D32">
        <w:rPr>
          <w:rFonts w:ascii="Book Antiqua" w:eastAsia="Times New Roman" w:hAnsi="Book Antiqua"/>
          <w:sz w:val="24"/>
          <w:lang w:val="en-GB"/>
        </w:rPr>
        <w:t>risk factor for</w:t>
      </w:r>
      <w:r w:rsidR="002A125F" w:rsidRPr="001E5D32">
        <w:rPr>
          <w:rFonts w:ascii="Book Antiqua" w:eastAsia="Times New Roman" w:hAnsi="Book Antiqua"/>
          <w:sz w:val="24"/>
          <w:lang w:val="en-GB"/>
        </w:rPr>
        <w:t xml:space="preserve"> NASH, </w:t>
      </w:r>
      <w:r w:rsidR="00B946EC" w:rsidRPr="001E5D32">
        <w:rPr>
          <w:rFonts w:ascii="Book Antiqua" w:eastAsia="Times New Roman" w:hAnsi="Book Antiqua"/>
          <w:sz w:val="24"/>
          <w:lang w:val="en-GB"/>
        </w:rPr>
        <w:t>severe</w:t>
      </w:r>
      <w:r w:rsidR="002A125F" w:rsidRPr="001E5D32">
        <w:rPr>
          <w:rFonts w:ascii="Book Antiqua" w:eastAsia="Times New Roman" w:hAnsi="Book Antiqua"/>
          <w:sz w:val="24"/>
          <w:lang w:val="en-GB"/>
        </w:rPr>
        <w:t xml:space="preserve"> hepatic fibros</w:t>
      </w:r>
      <w:r w:rsidR="001C2C0F" w:rsidRPr="001E5D32">
        <w:rPr>
          <w:rFonts w:ascii="Book Antiqua" w:eastAsia="Times New Roman" w:hAnsi="Book Antiqua"/>
          <w:sz w:val="24"/>
          <w:lang w:val="en-GB"/>
        </w:rPr>
        <w:t>is and hepatocellular carcinoma</w:t>
      </w:r>
      <w:r w:rsidR="002A125F"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145,146</w:t>
      </w:r>
      <w:r w:rsidR="002A125F" w:rsidRPr="001E5D32">
        <w:rPr>
          <w:rFonts w:ascii="Book Antiqua" w:eastAsia="Times New Roman" w:hAnsi="Book Antiqua"/>
          <w:sz w:val="24"/>
          <w:vertAlign w:val="superscript"/>
          <w:lang w:val="en-GB"/>
        </w:rPr>
        <w:t>]</w:t>
      </w:r>
      <w:r w:rsidR="002A125F" w:rsidRPr="001E5D32">
        <w:rPr>
          <w:rFonts w:ascii="Book Antiqua" w:eastAsia="Times New Roman" w:hAnsi="Book Antiqua"/>
          <w:sz w:val="24"/>
          <w:lang w:val="en-GB"/>
        </w:rPr>
        <w:t>.</w:t>
      </w:r>
    </w:p>
    <w:p w14:paraId="560BF6F8" w14:textId="5061D3DE" w:rsidR="00303EB5" w:rsidRPr="001E5D32" w:rsidRDefault="00192ECB" w:rsidP="001E5D32">
      <w:pPr>
        <w:spacing w:line="360" w:lineRule="auto"/>
        <w:ind w:firstLineChars="200" w:firstLine="480"/>
        <w:rPr>
          <w:rFonts w:ascii="Book Antiqua" w:eastAsia="Times New Roman" w:hAnsi="Book Antiqua"/>
          <w:sz w:val="24"/>
          <w:lang w:val="en-GB"/>
        </w:rPr>
      </w:pPr>
      <w:r w:rsidRPr="001E5D32">
        <w:rPr>
          <w:rFonts w:ascii="Book Antiqua" w:eastAsia="Times New Roman" w:hAnsi="Book Antiqua"/>
          <w:sz w:val="24"/>
          <w:lang w:val="en-GB"/>
        </w:rPr>
        <w:t>Existing evidence concerning the exact</w:t>
      </w:r>
      <w:r w:rsidR="00E041DD" w:rsidRPr="001E5D32">
        <w:rPr>
          <w:rFonts w:ascii="Book Antiqua" w:eastAsia="Times New Roman" w:hAnsi="Book Antiqua"/>
          <w:sz w:val="24"/>
          <w:lang w:val="en-GB"/>
        </w:rPr>
        <w:t xml:space="preserve"> molecular mechanisms </w:t>
      </w:r>
      <w:r w:rsidRPr="001E5D32">
        <w:rPr>
          <w:rFonts w:ascii="Book Antiqua" w:eastAsia="Times New Roman" w:hAnsi="Book Antiqua"/>
          <w:sz w:val="24"/>
          <w:lang w:val="en-GB"/>
        </w:rPr>
        <w:t>which underlie the association between</w:t>
      </w:r>
      <w:r w:rsidR="00E041DD" w:rsidRPr="001E5D32">
        <w:rPr>
          <w:rFonts w:ascii="Book Antiqua" w:eastAsia="Times New Roman" w:hAnsi="Book Antiqua"/>
          <w:sz w:val="24"/>
          <w:lang w:val="en-GB"/>
        </w:rPr>
        <w:t xml:space="preserve"> PNPLA3</w:t>
      </w:r>
      <w:r w:rsidRPr="001E5D32">
        <w:rPr>
          <w:rFonts w:ascii="Book Antiqua" w:eastAsia="Times New Roman" w:hAnsi="Book Antiqua"/>
          <w:sz w:val="24"/>
          <w:lang w:val="en-GB"/>
        </w:rPr>
        <w:t xml:space="preserve"> rs738409 and increased susceptibility towards</w:t>
      </w:r>
      <w:r w:rsidR="00E041DD" w:rsidRPr="001E5D32">
        <w:rPr>
          <w:rFonts w:ascii="Book Antiqua" w:eastAsia="Times New Roman" w:hAnsi="Book Antiqua"/>
          <w:sz w:val="24"/>
          <w:lang w:val="en-GB"/>
        </w:rPr>
        <w:t xml:space="preserve"> </w:t>
      </w:r>
      <w:r w:rsidR="002A125F" w:rsidRPr="001E5D32">
        <w:rPr>
          <w:rFonts w:ascii="Book Antiqua" w:eastAsia="Times New Roman" w:hAnsi="Book Antiqua"/>
          <w:sz w:val="24"/>
          <w:lang w:val="en-GB"/>
        </w:rPr>
        <w:t xml:space="preserve">the onset and progression of </w:t>
      </w:r>
      <w:r w:rsidR="00E041DD" w:rsidRPr="001E5D32">
        <w:rPr>
          <w:rFonts w:ascii="Book Antiqua" w:eastAsia="Times New Roman" w:hAnsi="Book Antiqua"/>
          <w:sz w:val="24"/>
          <w:lang w:val="en-GB"/>
        </w:rPr>
        <w:t>hepatosteatosis</w:t>
      </w:r>
      <w:r w:rsidRPr="001E5D32">
        <w:rPr>
          <w:rFonts w:ascii="Book Antiqua" w:eastAsia="Times New Roman" w:hAnsi="Book Antiqua"/>
          <w:sz w:val="24"/>
          <w:lang w:val="en-GB"/>
        </w:rPr>
        <w:t xml:space="preserve"> however remains</w:t>
      </w:r>
      <w:r w:rsidR="00E041DD" w:rsidRPr="001E5D32">
        <w:rPr>
          <w:rFonts w:ascii="Book Antiqua" w:eastAsia="Times New Roman" w:hAnsi="Book Antiqua"/>
          <w:sz w:val="24"/>
          <w:lang w:val="en-GB"/>
        </w:rPr>
        <w:t xml:space="preserve"> both inconclusive and conflicting</w:t>
      </w:r>
      <w:r w:rsidR="00893736"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147</w:t>
      </w:r>
      <w:r w:rsidR="00CD69D3"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xml:space="preserve">. ADPN </w:t>
      </w:r>
      <w:r w:rsidR="00E041DD" w:rsidRPr="001E5D32">
        <w:rPr>
          <w:rFonts w:ascii="Book Antiqua" w:eastAsia="Times New Roman" w:hAnsi="Book Antiqua"/>
          <w:sz w:val="24"/>
          <w:lang w:val="en-GB"/>
        </w:rPr>
        <w:t>possesses both triacylglycerol (TAG) lipase and acylglyce</w:t>
      </w:r>
      <w:r w:rsidR="00A4325D" w:rsidRPr="001E5D32">
        <w:rPr>
          <w:rFonts w:ascii="Book Antiqua" w:eastAsia="Times New Roman" w:hAnsi="Book Antiqua"/>
          <w:sz w:val="24"/>
          <w:lang w:val="en-GB"/>
        </w:rPr>
        <w:t>rol O-acyltransferase activity</w:t>
      </w:r>
      <w:r w:rsidR="00AE6731" w:rsidRPr="001E5D32">
        <w:rPr>
          <w:rFonts w:ascii="Book Antiqua" w:eastAsia="Times New Roman" w:hAnsi="Book Antiqua"/>
          <w:sz w:val="24"/>
          <w:lang w:val="en-GB"/>
        </w:rPr>
        <w:t xml:space="preserve"> with the known </w:t>
      </w:r>
      <w:r w:rsidRPr="001E5D32">
        <w:rPr>
          <w:rFonts w:ascii="Book Antiqua" w:eastAsia="Times New Roman" w:hAnsi="Book Antiqua"/>
          <w:sz w:val="24"/>
          <w:lang w:val="en-GB"/>
        </w:rPr>
        <w:t xml:space="preserve">relationship between </w:t>
      </w:r>
      <w:r w:rsidR="00E041DD" w:rsidRPr="001E5D32">
        <w:rPr>
          <w:rFonts w:ascii="Book Antiqua" w:eastAsia="Times New Roman" w:hAnsi="Book Antiqua"/>
          <w:sz w:val="24"/>
          <w:lang w:val="en-GB"/>
        </w:rPr>
        <w:t xml:space="preserve">PNPLA3 rs738409 </w:t>
      </w:r>
      <w:r w:rsidRPr="001E5D32">
        <w:rPr>
          <w:rFonts w:ascii="Book Antiqua" w:eastAsia="Times New Roman" w:hAnsi="Book Antiqua"/>
          <w:sz w:val="24"/>
          <w:lang w:val="en-GB"/>
        </w:rPr>
        <w:t>and</w:t>
      </w:r>
      <w:r w:rsidR="00E041DD" w:rsidRPr="001E5D32">
        <w:rPr>
          <w:rFonts w:ascii="Book Antiqua" w:eastAsia="Times New Roman" w:hAnsi="Book Antiqua"/>
          <w:sz w:val="24"/>
          <w:lang w:val="en-GB"/>
        </w:rPr>
        <w:t xml:space="preserve"> decr</w:t>
      </w:r>
      <w:r w:rsidR="005E30F9" w:rsidRPr="001E5D32">
        <w:rPr>
          <w:rFonts w:ascii="Book Antiqua" w:eastAsia="Times New Roman" w:hAnsi="Book Antiqua"/>
          <w:sz w:val="24"/>
          <w:lang w:val="en-GB"/>
        </w:rPr>
        <w:t>eased TAG hydrolysis</w:t>
      </w:r>
      <w:r w:rsidR="00893736"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148,149</w:t>
      </w:r>
      <w:r w:rsidR="00633F77" w:rsidRPr="001E5D32">
        <w:rPr>
          <w:rFonts w:ascii="Book Antiqua" w:eastAsia="Times New Roman" w:hAnsi="Book Antiqua"/>
          <w:sz w:val="24"/>
          <w:vertAlign w:val="superscript"/>
          <w:lang w:val="en-GB"/>
        </w:rPr>
        <w:t>]</w:t>
      </w:r>
      <w:r w:rsidR="00633F77" w:rsidRPr="001E5D32">
        <w:rPr>
          <w:rFonts w:ascii="Book Antiqua" w:eastAsia="Times New Roman" w:hAnsi="Book Antiqua"/>
          <w:sz w:val="24"/>
          <w:lang w:val="en-GB"/>
        </w:rPr>
        <w:t xml:space="preserve"> supporting </w:t>
      </w:r>
      <w:r w:rsidR="00CD69D3" w:rsidRPr="001E5D32">
        <w:rPr>
          <w:rFonts w:ascii="Book Antiqua" w:eastAsia="Times New Roman" w:hAnsi="Book Antiqua"/>
          <w:sz w:val="24"/>
          <w:lang w:val="en-GB"/>
        </w:rPr>
        <w:t xml:space="preserve">a </w:t>
      </w:r>
      <w:r w:rsidR="00E041DD" w:rsidRPr="001E5D32">
        <w:rPr>
          <w:rFonts w:ascii="Book Antiqua" w:eastAsia="Times New Roman" w:hAnsi="Book Antiqua"/>
          <w:sz w:val="24"/>
          <w:lang w:val="en-GB"/>
        </w:rPr>
        <w:t xml:space="preserve">loss-of-function </w:t>
      </w:r>
      <w:r w:rsidR="00CD69D3" w:rsidRPr="001E5D32">
        <w:rPr>
          <w:rFonts w:ascii="Book Antiqua" w:eastAsia="Times New Roman" w:hAnsi="Book Antiqua"/>
          <w:sz w:val="24"/>
          <w:lang w:val="en-GB"/>
        </w:rPr>
        <w:t xml:space="preserve">mechanism </w:t>
      </w:r>
      <w:r w:rsidR="00633F77" w:rsidRPr="001E5D32">
        <w:rPr>
          <w:rFonts w:ascii="Book Antiqua" w:eastAsia="Times New Roman" w:hAnsi="Book Antiqua"/>
          <w:sz w:val="24"/>
          <w:lang w:val="en-GB"/>
        </w:rPr>
        <w:t xml:space="preserve">as </w:t>
      </w:r>
      <w:r w:rsidRPr="001E5D32">
        <w:rPr>
          <w:rFonts w:ascii="Book Antiqua" w:eastAsia="Times New Roman" w:hAnsi="Book Antiqua"/>
          <w:sz w:val="24"/>
          <w:lang w:val="en-GB"/>
        </w:rPr>
        <w:t xml:space="preserve">underlying </w:t>
      </w:r>
      <w:r w:rsidR="00CD69D3" w:rsidRPr="001E5D32">
        <w:rPr>
          <w:rFonts w:ascii="Book Antiqua" w:eastAsia="Times New Roman" w:hAnsi="Book Antiqua"/>
          <w:sz w:val="24"/>
          <w:lang w:val="en-GB"/>
        </w:rPr>
        <w:t>the promotion</w:t>
      </w:r>
      <w:r w:rsidR="00E041DD" w:rsidRPr="001E5D32">
        <w:rPr>
          <w:rFonts w:ascii="Book Antiqua" w:eastAsia="Times New Roman" w:hAnsi="Book Antiqua"/>
          <w:sz w:val="24"/>
          <w:lang w:val="en-GB"/>
        </w:rPr>
        <w:t xml:space="preserve"> </w:t>
      </w:r>
      <w:r w:rsidRPr="001E5D32">
        <w:rPr>
          <w:rFonts w:ascii="Book Antiqua" w:eastAsia="Times New Roman" w:hAnsi="Book Antiqua"/>
          <w:sz w:val="24"/>
          <w:lang w:val="en-GB"/>
        </w:rPr>
        <w:t>macrovesicular hepatosteatosis due</w:t>
      </w:r>
      <w:r w:rsidR="00E041DD" w:rsidRPr="001E5D32">
        <w:rPr>
          <w:rFonts w:ascii="Book Antiqua" w:eastAsia="Times New Roman" w:hAnsi="Book Antiqua"/>
          <w:sz w:val="24"/>
          <w:lang w:val="en-GB"/>
        </w:rPr>
        <w:t xml:space="preserve"> to increased hepatic </w:t>
      </w:r>
      <w:r w:rsidRPr="001E5D32">
        <w:rPr>
          <w:rFonts w:ascii="Book Antiqua" w:eastAsia="Times New Roman" w:hAnsi="Book Antiqua"/>
          <w:sz w:val="24"/>
          <w:lang w:val="en-GB"/>
        </w:rPr>
        <w:t>lipid</w:t>
      </w:r>
      <w:r w:rsidR="00E041DD" w:rsidRPr="001E5D32">
        <w:rPr>
          <w:rFonts w:ascii="Book Antiqua" w:eastAsia="Times New Roman" w:hAnsi="Book Antiqua"/>
          <w:sz w:val="24"/>
          <w:lang w:val="en-GB"/>
        </w:rPr>
        <w:t xml:space="preserve"> accumulation </w:t>
      </w:r>
      <w:r w:rsidRPr="001E5D32">
        <w:rPr>
          <w:rFonts w:ascii="Book Antiqua" w:eastAsia="Times New Roman" w:hAnsi="Book Antiqua"/>
          <w:sz w:val="24"/>
          <w:lang w:val="en-GB"/>
        </w:rPr>
        <w:t>and/</w:t>
      </w:r>
      <w:r w:rsidR="00E041DD" w:rsidRPr="001E5D32">
        <w:rPr>
          <w:rFonts w:ascii="Book Antiqua" w:eastAsia="Times New Roman" w:hAnsi="Book Antiqua"/>
          <w:sz w:val="24"/>
          <w:lang w:val="en-GB"/>
        </w:rPr>
        <w:t xml:space="preserve">or export </w:t>
      </w:r>
      <w:r w:rsidRPr="001E5D32">
        <w:rPr>
          <w:rFonts w:ascii="Book Antiqua" w:eastAsia="Times New Roman" w:hAnsi="Book Antiqua"/>
          <w:sz w:val="24"/>
          <w:lang w:val="en-GB"/>
        </w:rPr>
        <w:t xml:space="preserve">associated with </w:t>
      </w:r>
      <w:r w:rsidR="00E041DD" w:rsidRPr="001E5D32">
        <w:rPr>
          <w:rFonts w:ascii="Book Antiqua" w:eastAsia="Times New Roman" w:hAnsi="Book Antiqua"/>
          <w:sz w:val="24"/>
          <w:lang w:val="en-GB"/>
        </w:rPr>
        <w:t>impaired lipidation of very low-density lipopro</w:t>
      </w:r>
      <w:r w:rsidR="005E30F9" w:rsidRPr="001E5D32">
        <w:rPr>
          <w:rFonts w:ascii="Book Antiqua" w:eastAsia="Times New Roman" w:hAnsi="Book Antiqua"/>
          <w:sz w:val="24"/>
          <w:lang w:val="en-GB"/>
        </w:rPr>
        <w:t>tein (VLDL) particles</w:t>
      </w:r>
      <w:r w:rsidR="00893736"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150,151</w:t>
      </w:r>
      <w:r w:rsidR="0087279D" w:rsidRPr="001E5D32">
        <w:rPr>
          <w:rFonts w:ascii="Book Antiqua" w:eastAsia="Times New Roman" w:hAnsi="Book Antiqua"/>
          <w:sz w:val="24"/>
          <w:vertAlign w:val="superscript"/>
          <w:lang w:val="en-GB"/>
        </w:rPr>
        <w:t>]</w:t>
      </w:r>
      <w:r w:rsidR="00E041DD" w:rsidRPr="001E5D32">
        <w:rPr>
          <w:rFonts w:ascii="Book Antiqua" w:eastAsia="Times New Roman" w:hAnsi="Book Antiqua"/>
          <w:sz w:val="24"/>
          <w:lang w:val="en-GB"/>
        </w:rPr>
        <w:t>. PNPLA3 knockout in vivo does not</w:t>
      </w:r>
      <w:r w:rsidR="00914E0F" w:rsidRPr="001E5D32">
        <w:rPr>
          <w:rFonts w:ascii="Book Antiqua" w:eastAsia="Times New Roman" w:hAnsi="Book Antiqua"/>
          <w:sz w:val="24"/>
          <w:lang w:val="en-GB"/>
        </w:rPr>
        <w:t xml:space="preserve"> however</w:t>
      </w:r>
      <w:r w:rsidR="00E041DD" w:rsidRPr="001E5D32">
        <w:rPr>
          <w:rFonts w:ascii="Book Antiqua" w:eastAsia="Times New Roman" w:hAnsi="Book Antiqua"/>
          <w:sz w:val="24"/>
          <w:lang w:val="en-GB"/>
        </w:rPr>
        <w:t xml:space="preserve"> lead to increased intra-hepati</w:t>
      </w:r>
      <w:r w:rsidR="005E30F9" w:rsidRPr="001E5D32">
        <w:rPr>
          <w:rFonts w:ascii="Book Antiqua" w:eastAsia="Times New Roman" w:hAnsi="Book Antiqua"/>
          <w:sz w:val="24"/>
          <w:lang w:val="en-GB"/>
        </w:rPr>
        <w:t>c TAG accumulation</w:t>
      </w:r>
      <w:r w:rsidR="00893736"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152</w:t>
      </w:r>
      <w:r w:rsidR="0087279D" w:rsidRPr="001E5D32">
        <w:rPr>
          <w:rFonts w:ascii="Book Antiqua" w:eastAsia="Times New Roman" w:hAnsi="Book Antiqua"/>
          <w:sz w:val="24"/>
          <w:vertAlign w:val="superscript"/>
          <w:lang w:val="en-GB"/>
        </w:rPr>
        <w:t>]</w:t>
      </w:r>
      <w:r w:rsidR="00914E0F" w:rsidRPr="001E5D32">
        <w:rPr>
          <w:rFonts w:ascii="Book Antiqua" w:eastAsia="Times New Roman" w:hAnsi="Book Antiqua"/>
          <w:sz w:val="24"/>
          <w:lang w:val="en-GB"/>
        </w:rPr>
        <w:t xml:space="preserve"> with </w:t>
      </w:r>
      <w:r w:rsidR="00E041DD" w:rsidRPr="001E5D32">
        <w:rPr>
          <w:rFonts w:ascii="Book Antiqua" w:eastAsia="Times New Roman" w:hAnsi="Book Antiqua"/>
          <w:sz w:val="24"/>
          <w:lang w:val="en-GB"/>
        </w:rPr>
        <w:t>increased lysophosphatidic acid acyltra</w:t>
      </w:r>
      <w:r w:rsidR="00914E0F" w:rsidRPr="001E5D32">
        <w:rPr>
          <w:rFonts w:ascii="Book Antiqua" w:eastAsia="Times New Roman" w:hAnsi="Book Antiqua"/>
          <w:sz w:val="24"/>
          <w:lang w:val="en-GB"/>
        </w:rPr>
        <w:t>n</w:t>
      </w:r>
      <w:r w:rsidR="00030143" w:rsidRPr="001E5D32">
        <w:rPr>
          <w:rFonts w:ascii="Book Antiqua" w:eastAsia="Times New Roman" w:hAnsi="Book Antiqua"/>
          <w:sz w:val="24"/>
          <w:lang w:val="en-GB"/>
        </w:rPr>
        <w:t xml:space="preserve">sferase (LPAAT) activity and </w:t>
      </w:r>
      <w:r w:rsidR="00914E0F" w:rsidRPr="001E5D32">
        <w:rPr>
          <w:rFonts w:ascii="Book Antiqua" w:eastAsia="Times New Roman" w:hAnsi="Book Antiqua"/>
          <w:sz w:val="24"/>
          <w:lang w:val="en-GB"/>
        </w:rPr>
        <w:t>TAG synthesis</w:t>
      </w:r>
      <w:r w:rsidR="00030143" w:rsidRPr="001E5D32">
        <w:rPr>
          <w:rFonts w:ascii="Book Antiqua" w:eastAsia="Times New Roman" w:hAnsi="Book Antiqua"/>
          <w:sz w:val="24"/>
          <w:lang w:val="en-GB"/>
        </w:rPr>
        <w:t xml:space="preserve"> noted for G-allele carriers</w:t>
      </w:r>
      <w:r w:rsidR="00914E0F" w:rsidRPr="001E5D32">
        <w:rPr>
          <w:rFonts w:ascii="Book Antiqua" w:eastAsia="Times New Roman" w:hAnsi="Book Antiqua"/>
          <w:sz w:val="24"/>
          <w:lang w:val="en-GB"/>
        </w:rPr>
        <w:t xml:space="preserve"> rather </w:t>
      </w:r>
      <w:r w:rsidR="00030143" w:rsidRPr="001E5D32">
        <w:rPr>
          <w:rFonts w:ascii="Book Antiqua" w:eastAsia="Times New Roman" w:hAnsi="Book Antiqua"/>
          <w:sz w:val="24"/>
          <w:lang w:val="en-GB"/>
        </w:rPr>
        <w:t>supporting a</w:t>
      </w:r>
      <w:r w:rsidR="00E041DD" w:rsidRPr="001E5D32">
        <w:rPr>
          <w:rFonts w:ascii="Book Antiqua" w:eastAsia="Times New Roman" w:hAnsi="Book Antiqua"/>
          <w:sz w:val="24"/>
          <w:lang w:val="en-GB"/>
        </w:rPr>
        <w:t xml:space="preserve"> gain-of-function mechanism </w:t>
      </w:r>
      <w:r w:rsidR="00914E0F" w:rsidRPr="001E5D32">
        <w:rPr>
          <w:rFonts w:ascii="Book Antiqua" w:eastAsia="Times New Roman" w:hAnsi="Book Antiqua"/>
          <w:sz w:val="24"/>
          <w:lang w:val="en-GB"/>
        </w:rPr>
        <w:t xml:space="preserve">contributes </w:t>
      </w:r>
      <w:r w:rsidR="00030143" w:rsidRPr="001E5D32">
        <w:rPr>
          <w:rFonts w:ascii="Book Antiqua" w:eastAsia="Times New Roman" w:hAnsi="Book Antiqua"/>
          <w:sz w:val="24"/>
          <w:lang w:val="en-GB"/>
        </w:rPr>
        <w:t>as contributing towards the development of hepatosteatosis</w:t>
      </w:r>
      <w:r w:rsidR="00893736"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153</w:t>
      </w:r>
      <w:r w:rsidR="00893736" w:rsidRPr="001E5D32">
        <w:rPr>
          <w:rFonts w:ascii="Book Antiqua" w:eastAsia="Times New Roman" w:hAnsi="Book Antiqua"/>
          <w:sz w:val="24"/>
          <w:vertAlign w:val="superscript"/>
          <w:lang w:val="en-GB"/>
        </w:rPr>
        <w:t>]</w:t>
      </w:r>
      <w:r w:rsidR="005E30F9" w:rsidRPr="001E5D32">
        <w:rPr>
          <w:rFonts w:ascii="Book Antiqua" w:eastAsia="Times New Roman" w:hAnsi="Book Antiqua"/>
          <w:sz w:val="24"/>
          <w:lang w:val="en-GB"/>
        </w:rPr>
        <w:t xml:space="preserve">. Li </w:t>
      </w:r>
      <w:r w:rsidR="00195906" w:rsidRPr="001E5D32">
        <w:rPr>
          <w:rFonts w:ascii="Book Antiqua" w:eastAsiaTheme="minorEastAsia" w:hAnsi="Book Antiqua"/>
          <w:i/>
          <w:sz w:val="24"/>
          <w:lang w:val="en-GB"/>
        </w:rPr>
        <w:t>et al</w:t>
      </w:r>
      <w:r w:rsidR="00893736"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154</w:t>
      </w:r>
      <w:r w:rsidR="0087279D" w:rsidRPr="001E5D32">
        <w:rPr>
          <w:rFonts w:ascii="Book Antiqua" w:eastAsia="Times New Roman" w:hAnsi="Book Antiqua"/>
          <w:sz w:val="24"/>
          <w:vertAlign w:val="superscript"/>
          <w:lang w:val="en-GB"/>
        </w:rPr>
        <w:t>]</w:t>
      </w:r>
      <w:r w:rsidR="00E041DD" w:rsidRPr="001E5D32">
        <w:rPr>
          <w:rFonts w:ascii="Book Antiqua" w:eastAsia="Times New Roman" w:hAnsi="Book Antiqua"/>
          <w:sz w:val="24"/>
          <w:lang w:val="en-GB"/>
        </w:rPr>
        <w:t xml:space="preserve"> </w:t>
      </w:r>
      <w:r w:rsidR="00030143" w:rsidRPr="001E5D32">
        <w:rPr>
          <w:rFonts w:ascii="Book Antiqua" w:eastAsia="Times New Roman" w:hAnsi="Book Antiqua"/>
          <w:sz w:val="24"/>
          <w:lang w:val="en-GB"/>
        </w:rPr>
        <w:t>however suggest</w:t>
      </w:r>
      <w:r w:rsidR="00C6029B" w:rsidRPr="001E5D32">
        <w:rPr>
          <w:rFonts w:ascii="Book Antiqua" w:eastAsia="Times New Roman" w:hAnsi="Book Antiqua"/>
          <w:sz w:val="24"/>
          <w:lang w:val="en-GB"/>
        </w:rPr>
        <w:t>ed</w:t>
      </w:r>
      <w:r w:rsidR="00030143" w:rsidRPr="001E5D32">
        <w:rPr>
          <w:rFonts w:ascii="Book Antiqua" w:eastAsia="Times New Roman" w:hAnsi="Book Antiqua"/>
          <w:sz w:val="24"/>
          <w:lang w:val="en-GB"/>
        </w:rPr>
        <w:t xml:space="preserve"> that increased susceptibility towards hepatosteatosis associated with PNPLA3 rs738409 could be explained by a combination of increased TAG synthesis as well as decreased hydrolysis in the context of excess </w:t>
      </w:r>
      <w:r w:rsidR="00AE6731" w:rsidRPr="001E5D32">
        <w:rPr>
          <w:rFonts w:ascii="Book Antiqua" w:eastAsia="Times New Roman" w:hAnsi="Book Antiqua"/>
          <w:sz w:val="24"/>
          <w:lang w:val="en-GB"/>
        </w:rPr>
        <w:t xml:space="preserve">intra-hepatic FFA accumulation. </w:t>
      </w:r>
    </w:p>
    <w:p w14:paraId="0EECF77A" w14:textId="14EF6C0C" w:rsidR="006C51AF" w:rsidRPr="001E5D32" w:rsidRDefault="00BD4ECD" w:rsidP="001E5D32">
      <w:pPr>
        <w:spacing w:line="360" w:lineRule="auto"/>
        <w:ind w:firstLineChars="200" w:firstLine="480"/>
        <w:rPr>
          <w:rFonts w:ascii="Book Antiqua" w:eastAsiaTheme="minorEastAsia" w:hAnsi="Book Antiqua"/>
          <w:sz w:val="24"/>
          <w:lang w:val="en-GB"/>
        </w:rPr>
      </w:pPr>
      <w:r w:rsidRPr="001E5D32">
        <w:rPr>
          <w:rFonts w:ascii="Book Antiqua" w:eastAsia="Times New Roman" w:hAnsi="Book Antiqua"/>
          <w:sz w:val="24"/>
          <w:lang w:val="en-GB"/>
        </w:rPr>
        <w:t xml:space="preserve">While </w:t>
      </w:r>
      <w:r w:rsidR="00516932" w:rsidRPr="001E5D32">
        <w:rPr>
          <w:rFonts w:ascii="Book Antiqua" w:eastAsia="Times New Roman" w:hAnsi="Book Antiqua"/>
          <w:sz w:val="24"/>
          <w:lang w:val="en-GB"/>
        </w:rPr>
        <w:t xml:space="preserve">PNPLA3 rs738409 confers susceptibility towards hepatosteatosis </w:t>
      </w:r>
      <w:r w:rsidR="00A67612" w:rsidRPr="001E5D32">
        <w:rPr>
          <w:rFonts w:ascii="Book Antiqua" w:eastAsia="Times New Roman" w:hAnsi="Book Antiqua"/>
          <w:sz w:val="24"/>
          <w:lang w:val="en-GB"/>
        </w:rPr>
        <w:t>independent of extra-hepatic metabolic</w:t>
      </w:r>
      <w:r w:rsidR="00A75D43" w:rsidRPr="001E5D32">
        <w:rPr>
          <w:rFonts w:ascii="Book Antiqua" w:eastAsia="Times New Roman" w:hAnsi="Book Antiqua"/>
          <w:sz w:val="24"/>
          <w:lang w:val="en-GB"/>
        </w:rPr>
        <w:t xml:space="preserve"> </w:t>
      </w:r>
      <w:r w:rsidRPr="001E5D32">
        <w:rPr>
          <w:rFonts w:ascii="Book Antiqua" w:eastAsia="Times New Roman" w:hAnsi="Book Antiqua"/>
          <w:sz w:val="24"/>
          <w:lang w:val="en-GB"/>
        </w:rPr>
        <w:t>phenotypes, v</w:t>
      </w:r>
      <w:r w:rsidR="00A67612" w:rsidRPr="001E5D32">
        <w:rPr>
          <w:rFonts w:ascii="Book Antiqua" w:eastAsia="Times New Roman" w:hAnsi="Book Antiqua"/>
          <w:sz w:val="24"/>
          <w:lang w:val="en-GB"/>
        </w:rPr>
        <w:t xml:space="preserve">isceral adiposity </w:t>
      </w:r>
      <w:r w:rsidR="002A125F" w:rsidRPr="001E5D32">
        <w:rPr>
          <w:rFonts w:ascii="Book Antiqua" w:eastAsia="Times New Roman" w:hAnsi="Book Antiqua"/>
          <w:sz w:val="24"/>
          <w:lang w:val="en-GB"/>
        </w:rPr>
        <w:t>mediate</w:t>
      </w:r>
      <w:r w:rsidRPr="001E5D32">
        <w:rPr>
          <w:rFonts w:ascii="Book Antiqua" w:eastAsia="Times New Roman" w:hAnsi="Book Antiqua"/>
          <w:sz w:val="24"/>
          <w:lang w:val="en-GB"/>
        </w:rPr>
        <w:t>s</w:t>
      </w:r>
      <w:r w:rsidR="002A125F" w:rsidRPr="001E5D32">
        <w:rPr>
          <w:rFonts w:ascii="Book Antiqua" w:eastAsia="Times New Roman" w:hAnsi="Book Antiqua"/>
          <w:sz w:val="24"/>
          <w:lang w:val="en-GB"/>
        </w:rPr>
        <w:t xml:space="preserve"> </w:t>
      </w:r>
      <w:r w:rsidR="00A67612" w:rsidRPr="001E5D32">
        <w:rPr>
          <w:rFonts w:ascii="Book Antiqua" w:eastAsia="Times New Roman" w:hAnsi="Book Antiqua"/>
          <w:sz w:val="24"/>
          <w:lang w:val="en-GB"/>
        </w:rPr>
        <w:t xml:space="preserve">the </w:t>
      </w:r>
      <w:r w:rsidR="00516932" w:rsidRPr="001E5D32">
        <w:rPr>
          <w:rFonts w:ascii="Book Antiqua" w:eastAsia="Times New Roman" w:hAnsi="Book Antiqua"/>
          <w:sz w:val="24"/>
          <w:lang w:val="en-GB"/>
        </w:rPr>
        <w:t>severity of</w:t>
      </w:r>
      <w:r w:rsidR="00A67612" w:rsidRPr="001E5D32">
        <w:rPr>
          <w:rFonts w:ascii="Book Antiqua" w:eastAsia="Times New Roman" w:hAnsi="Book Antiqua"/>
          <w:sz w:val="24"/>
          <w:lang w:val="en-GB"/>
        </w:rPr>
        <w:t xml:space="preserve"> hepatic lipid infiltration </w:t>
      </w:r>
      <w:r w:rsidR="00516932" w:rsidRPr="001E5D32">
        <w:rPr>
          <w:rFonts w:ascii="Book Antiqua" w:eastAsia="Times New Roman" w:hAnsi="Book Antiqua"/>
          <w:sz w:val="24"/>
          <w:lang w:val="en-GB"/>
        </w:rPr>
        <w:t xml:space="preserve">in risk-allele carriers as well as the association of this genetic variant with related </w:t>
      </w:r>
      <w:r w:rsidR="00C6029B" w:rsidRPr="001E5D32">
        <w:rPr>
          <w:rFonts w:ascii="Book Antiqua" w:eastAsia="Times New Roman" w:hAnsi="Book Antiqua"/>
          <w:sz w:val="24"/>
          <w:lang w:val="en-GB"/>
        </w:rPr>
        <w:t>cardio-metabolic risk traits</w:t>
      </w:r>
      <w:r w:rsidR="00893736"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15</w:t>
      </w:r>
      <w:r w:rsidR="00516932" w:rsidRPr="001E5D32">
        <w:rPr>
          <w:rFonts w:ascii="Book Antiqua" w:eastAsia="Times New Roman" w:hAnsi="Book Antiqua"/>
          <w:sz w:val="24"/>
          <w:vertAlign w:val="superscript"/>
          <w:lang w:val="en-GB"/>
        </w:rPr>
        <w:t>5,15</w:t>
      </w:r>
      <w:r w:rsidR="001E072A" w:rsidRPr="001E5D32">
        <w:rPr>
          <w:rFonts w:ascii="Book Antiqua" w:eastAsia="Times New Roman" w:hAnsi="Book Antiqua"/>
          <w:sz w:val="24"/>
          <w:vertAlign w:val="superscript"/>
          <w:lang w:val="en-GB"/>
        </w:rPr>
        <w:t>6</w:t>
      </w:r>
      <w:r w:rsidR="0087279D" w:rsidRPr="001E5D32">
        <w:rPr>
          <w:rFonts w:ascii="Book Antiqua" w:eastAsia="Times New Roman" w:hAnsi="Book Antiqua"/>
          <w:sz w:val="24"/>
          <w:vertAlign w:val="superscript"/>
          <w:lang w:val="en-GB"/>
        </w:rPr>
        <w:t>]</w:t>
      </w:r>
      <w:r w:rsidR="0087279D" w:rsidRPr="001E5D32">
        <w:rPr>
          <w:rFonts w:ascii="Book Antiqua" w:eastAsia="Times New Roman" w:hAnsi="Book Antiqua"/>
          <w:sz w:val="24"/>
          <w:lang w:val="en-GB"/>
        </w:rPr>
        <w:t>.</w:t>
      </w:r>
      <w:r w:rsidR="00E26442" w:rsidRPr="001E5D32">
        <w:rPr>
          <w:rFonts w:ascii="Book Antiqua" w:eastAsia="Times New Roman" w:hAnsi="Book Antiqua"/>
          <w:sz w:val="24"/>
          <w:lang w:val="en-GB"/>
        </w:rPr>
        <w:t xml:space="preserve"> </w:t>
      </w:r>
      <w:r w:rsidR="00AE6731" w:rsidRPr="001E5D32">
        <w:rPr>
          <w:rFonts w:ascii="Book Antiqua" w:eastAsia="Times New Roman" w:hAnsi="Book Antiqua"/>
          <w:sz w:val="24"/>
          <w:lang w:val="en-GB"/>
        </w:rPr>
        <w:t xml:space="preserve">The rs738409 variant </w:t>
      </w:r>
      <w:r w:rsidR="00516932" w:rsidRPr="001E5D32">
        <w:rPr>
          <w:rFonts w:ascii="Book Antiqua" w:eastAsia="Times New Roman" w:hAnsi="Book Antiqua"/>
          <w:sz w:val="24"/>
          <w:lang w:val="en-GB"/>
        </w:rPr>
        <w:t xml:space="preserve">similarly </w:t>
      </w:r>
      <w:r w:rsidR="00AE6731" w:rsidRPr="001E5D32">
        <w:rPr>
          <w:rFonts w:ascii="Book Antiqua" w:eastAsia="Times New Roman" w:hAnsi="Book Antiqua"/>
          <w:sz w:val="24"/>
          <w:lang w:val="en-GB"/>
        </w:rPr>
        <w:t xml:space="preserve">confers risk for increased histological severity </w:t>
      </w:r>
      <w:r w:rsidR="00516932" w:rsidRPr="001E5D32">
        <w:rPr>
          <w:rFonts w:ascii="Book Antiqua" w:eastAsia="Times New Roman" w:hAnsi="Book Antiqua"/>
          <w:sz w:val="24"/>
          <w:lang w:val="en-GB"/>
        </w:rPr>
        <w:t xml:space="preserve">dissociated from </w:t>
      </w:r>
      <w:r w:rsidR="00AE6731" w:rsidRPr="001E5D32">
        <w:rPr>
          <w:rFonts w:ascii="Book Antiqua" w:eastAsia="Times New Roman" w:hAnsi="Book Antiqua"/>
          <w:sz w:val="24"/>
          <w:lang w:val="en-GB"/>
        </w:rPr>
        <w:t>its effects on c</w:t>
      </w:r>
      <w:r w:rsidR="00516932" w:rsidRPr="001E5D32">
        <w:rPr>
          <w:rFonts w:ascii="Book Antiqua" w:eastAsia="Times New Roman" w:hAnsi="Book Antiqua"/>
          <w:sz w:val="24"/>
          <w:lang w:val="en-GB"/>
        </w:rPr>
        <w:t>entral obesity</w:t>
      </w:r>
      <w:r w:rsidR="005E30F9" w:rsidRPr="001E5D32">
        <w:rPr>
          <w:rFonts w:ascii="Book Antiqua" w:eastAsia="Times New Roman" w:hAnsi="Book Antiqua"/>
          <w:sz w:val="24"/>
          <w:lang w:val="en-GB"/>
        </w:rPr>
        <w:t xml:space="preserve"> and IR</w:t>
      </w:r>
      <w:r w:rsidR="00E26442"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157,158</w:t>
      </w:r>
      <w:r w:rsidR="00AE6731" w:rsidRPr="001E5D32">
        <w:rPr>
          <w:rFonts w:ascii="Book Antiqua" w:eastAsia="Times New Roman" w:hAnsi="Book Antiqua"/>
          <w:sz w:val="24"/>
          <w:vertAlign w:val="superscript"/>
          <w:lang w:val="en-GB"/>
        </w:rPr>
        <w:t>]</w:t>
      </w:r>
      <w:r w:rsidR="00AE6731" w:rsidRPr="001E5D32">
        <w:rPr>
          <w:rFonts w:ascii="Book Antiqua" w:eastAsia="Times New Roman" w:hAnsi="Book Antiqua"/>
          <w:sz w:val="24"/>
          <w:lang w:val="en-GB"/>
        </w:rPr>
        <w:t xml:space="preserve"> although its </w:t>
      </w:r>
      <w:r w:rsidR="00516932" w:rsidRPr="001E5D32">
        <w:rPr>
          <w:rFonts w:ascii="Book Antiqua" w:eastAsia="Times New Roman" w:hAnsi="Book Antiqua"/>
          <w:sz w:val="24"/>
          <w:lang w:val="en-GB"/>
        </w:rPr>
        <w:t>pathogenic role in</w:t>
      </w:r>
      <w:r w:rsidR="00E26442" w:rsidRPr="001E5D32">
        <w:rPr>
          <w:rFonts w:ascii="Book Antiqua" w:eastAsia="Times New Roman" w:hAnsi="Book Antiqua"/>
          <w:sz w:val="24"/>
          <w:lang w:val="en-GB"/>
        </w:rPr>
        <w:t xml:space="preserve"> impaired lipid homeostasis as evidenced by a peripheral decrease in serum triglyce</w:t>
      </w:r>
      <w:r w:rsidR="005E30F9" w:rsidRPr="001E5D32">
        <w:rPr>
          <w:rFonts w:ascii="Book Antiqua" w:eastAsia="Times New Roman" w:hAnsi="Book Antiqua"/>
          <w:sz w:val="24"/>
          <w:lang w:val="en-GB"/>
        </w:rPr>
        <w:t>ride, total and HDL cholesterol</w:t>
      </w:r>
      <w:r w:rsidR="00E26442"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159,160</w:t>
      </w:r>
      <w:r w:rsidR="00E26442" w:rsidRPr="001E5D32">
        <w:rPr>
          <w:rFonts w:ascii="Book Antiqua" w:eastAsia="Times New Roman" w:hAnsi="Book Antiqua"/>
          <w:sz w:val="24"/>
          <w:vertAlign w:val="superscript"/>
          <w:lang w:val="en-GB"/>
        </w:rPr>
        <w:t>]</w:t>
      </w:r>
      <w:r w:rsidR="00E26442" w:rsidRPr="001E5D32">
        <w:rPr>
          <w:rFonts w:ascii="Book Antiqua" w:eastAsia="Times New Roman" w:hAnsi="Book Antiqua"/>
          <w:sz w:val="24"/>
          <w:lang w:val="en-GB"/>
        </w:rPr>
        <w:t xml:space="preserve"> </w:t>
      </w:r>
      <w:r w:rsidRPr="001E5D32">
        <w:rPr>
          <w:rFonts w:ascii="Book Antiqua" w:eastAsia="Times New Roman" w:hAnsi="Book Antiqua"/>
          <w:sz w:val="24"/>
          <w:lang w:val="en-GB"/>
        </w:rPr>
        <w:t>is</w:t>
      </w:r>
      <w:r w:rsidR="00A67612" w:rsidRPr="001E5D32">
        <w:rPr>
          <w:rFonts w:ascii="Book Antiqua" w:eastAsia="Times New Roman" w:hAnsi="Book Antiqua"/>
          <w:sz w:val="24"/>
          <w:lang w:val="en-GB"/>
        </w:rPr>
        <w:t xml:space="preserve"> unmasked in the presence of </w:t>
      </w:r>
      <w:r w:rsidR="00E26442" w:rsidRPr="001E5D32">
        <w:rPr>
          <w:rFonts w:ascii="Book Antiqua" w:eastAsia="Times New Roman" w:hAnsi="Book Antiqua"/>
          <w:sz w:val="24"/>
          <w:lang w:val="en-GB"/>
        </w:rPr>
        <w:t>increased visceral adiposity</w:t>
      </w:r>
      <w:r w:rsidR="00893736"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161</w:t>
      </w:r>
      <w:r w:rsidR="00CD0F98" w:rsidRPr="001E5D32">
        <w:rPr>
          <w:rFonts w:ascii="Book Antiqua" w:eastAsia="Times New Roman" w:hAnsi="Book Antiqua"/>
          <w:sz w:val="24"/>
          <w:vertAlign w:val="superscript"/>
          <w:lang w:val="en-GB"/>
        </w:rPr>
        <w:t>]</w:t>
      </w:r>
      <w:r w:rsidR="00516932" w:rsidRPr="001E5D32">
        <w:rPr>
          <w:rFonts w:ascii="Book Antiqua" w:eastAsia="Times New Roman" w:hAnsi="Book Antiqua"/>
          <w:sz w:val="24"/>
          <w:lang w:val="en-GB"/>
        </w:rPr>
        <w:t xml:space="preserve"> and</w:t>
      </w:r>
      <w:r w:rsidR="00A67612" w:rsidRPr="001E5D32">
        <w:rPr>
          <w:rFonts w:ascii="Book Antiqua" w:eastAsia="Times New Roman" w:hAnsi="Book Antiqua"/>
          <w:sz w:val="24"/>
          <w:lang w:val="en-GB"/>
        </w:rPr>
        <w:t xml:space="preserve"> impaired glucos</w:t>
      </w:r>
      <w:r w:rsidR="005E30F9" w:rsidRPr="001E5D32">
        <w:rPr>
          <w:rFonts w:ascii="Book Antiqua" w:eastAsia="Times New Roman" w:hAnsi="Book Antiqua"/>
          <w:sz w:val="24"/>
          <w:lang w:val="en-GB"/>
        </w:rPr>
        <w:t>e tolerance</w:t>
      </w:r>
      <w:r w:rsidR="00893736" w:rsidRPr="001E5D32">
        <w:rPr>
          <w:rFonts w:ascii="Book Antiqua" w:eastAsia="Times New Roman" w:hAnsi="Book Antiqua"/>
          <w:sz w:val="24"/>
          <w:vertAlign w:val="superscript"/>
          <w:lang w:val="en-GB"/>
        </w:rPr>
        <w:t>[</w:t>
      </w:r>
      <w:r w:rsidR="001E072A" w:rsidRPr="001E5D32">
        <w:rPr>
          <w:rFonts w:ascii="Book Antiqua" w:eastAsia="Times New Roman" w:hAnsi="Book Antiqua"/>
          <w:sz w:val="24"/>
          <w:vertAlign w:val="superscript"/>
          <w:lang w:val="en-GB"/>
        </w:rPr>
        <w:t>162</w:t>
      </w:r>
      <w:r w:rsidR="00CD0F98" w:rsidRPr="001E5D32">
        <w:rPr>
          <w:rFonts w:ascii="Book Antiqua" w:eastAsia="Times New Roman" w:hAnsi="Book Antiqua"/>
          <w:sz w:val="24"/>
          <w:vertAlign w:val="superscript"/>
          <w:lang w:val="en-GB"/>
        </w:rPr>
        <w:t>]</w:t>
      </w:r>
      <w:r w:rsidR="00AE6731" w:rsidRPr="001E5D32">
        <w:rPr>
          <w:rFonts w:ascii="Book Antiqua" w:eastAsia="Times New Roman" w:hAnsi="Book Antiqua"/>
          <w:sz w:val="24"/>
          <w:lang w:val="en-GB"/>
        </w:rPr>
        <w:t xml:space="preserve"> in addition to being modulated by </w:t>
      </w:r>
      <w:r w:rsidRPr="001E5D32">
        <w:rPr>
          <w:rFonts w:ascii="Book Antiqua" w:eastAsia="Times New Roman" w:hAnsi="Book Antiqua"/>
          <w:sz w:val="24"/>
          <w:lang w:val="en-GB"/>
        </w:rPr>
        <w:t xml:space="preserve">lifestyle and </w:t>
      </w:r>
      <w:r w:rsidR="00AE6731" w:rsidRPr="001E5D32">
        <w:rPr>
          <w:rFonts w:ascii="Book Antiqua" w:eastAsia="Times New Roman" w:hAnsi="Book Antiqua"/>
          <w:sz w:val="24"/>
          <w:lang w:val="en-GB"/>
        </w:rPr>
        <w:t>dieta</w:t>
      </w:r>
      <w:r w:rsidR="00D008A6" w:rsidRPr="001E5D32">
        <w:rPr>
          <w:rFonts w:ascii="Book Antiqua" w:eastAsia="Times New Roman" w:hAnsi="Book Antiqua"/>
          <w:sz w:val="24"/>
          <w:lang w:val="en-GB"/>
        </w:rPr>
        <w:t>ry habits</w:t>
      </w:r>
      <w:r w:rsidR="00AE6731" w:rsidRPr="001E5D32">
        <w:rPr>
          <w:rFonts w:ascii="Book Antiqua" w:eastAsia="Times New Roman" w:hAnsi="Book Antiqua"/>
          <w:sz w:val="24"/>
          <w:vertAlign w:val="superscript"/>
          <w:lang w:val="en-GB"/>
        </w:rPr>
        <w:t>[161,163</w:t>
      </w:r>
      <w:r w:rsidR="00303EB5" w:rsidRPr="001E5D32">
        <w:rPr>
          <w:rFonts w:ascii="Book Antiqua" w:eastAsia="Times New Roman" w:hAnsi="Book Antiqua"/>
          <w:sz w:val="24"/>
          <w:vertAlign w:val="superscript"/>
          <w:lang w:val="en-GB"/>
        </w:rPr>
        <w:t>]</w:t>
      </w:r>
      <w:r w:rsidR="00303EB5" w:rsidRPr="001E5D32">
        <w:rPr>
          <w:rFonts w:ascii="Book Antiqua" w:eastAsia="Times New Roman" w:hAnsi="Book Antiqua"/>
          <w:sz w:val="24"/>
          <w:lang w:val="en-GB"/>
        </w:rPr>
        <w:t xml:space="preserve">. </w:t>
      </w:r>
      <w:r w:rsidR="00516932" w:rsidRPr="001E5D32">
        <w:rPr>
          <w:rFonts w:ascii="Book Antiqua" w:eastAsia="Times New Roman" w:hAnsi="Book Antiqua"/>
          <w:sz w:val="24"/>
          <w:lang w:val="en-GB"/>
        </w:rPr>
        <w:t xml:space="preserve">It has </w:t>
      </w:r>
      <w:r w:rsidR="00303EB5" w:rsidRPr="001E5D32">
        <w:rPr>
          <w:rFonts w:ascii="Book Antiqua" w:eastAsia="Times New Roman" w:hAnsi="Book Antiqua"/>
          <w:sz w:val="24"/>
          <w:lang w:val="en-GB"/>
        </w:rPr>
        <w:t>further</w:t>
      </w:r>
      <w:r w:rsidR="00516932" w:rsidRPr="001E5D32">
        <w:rPr>
          <w:rFonts w:ascii="Book Antiqua" w:eastAsia="Times New Roman" w:hAnsi="Book Antiqua"/>
          <w:sz w:val="24"/>
          <w:lang w:val="en-GB"/>
        </w:rPr>
        <w:t xml:space="preserve"> been proposed that l</w:t>
      </w:r>
      <w:r w:rsidR="00A67612" w:rsidRPr="001E5D32">
        <w:rPr>
          <w:rFonts w:ascii="Book Antiqua" w:eastAsia="Times New Roman" w:hAnsi="Book Antiqua"/>
          <w:sz w:val="24"/>
          <w:lang w:val="en-GB"/>
        </w:rPr>
        <w:t>ipotoxicity and inflammatory stress resulting from impaired intra-hepa</w:t>
      </w:r>
      <w:r w:rsidR="00516932" w:rsidRPr="001E5D32">
        <w:rPr>
          <w:rFonts w:ascii="Book Antiqua" w:eastAsia="Times New Roman" w:hAnsi="Book Antiqua"/>
          <w:sz w:val="24"/>
          <w:lang w:val="en-GB"/>
        </w:rPr>
        <w:t>tic l</w:t>
      </w:r>
      <w:r w:rsidR="00A67612" w:rsidRPr="001E5D32">
        <w:rPr>
          <w:rFonts w:ascii="Book Antiqua" w:eastAsia="Times New Roman" w:hAnsi="Book Antiqua"/>
          <w:sz w:val="24"/>
          <w:lang w:val="en-GB"/>
        </w:rPr>
        <w:t>ipid</w:t>
      </w:r>
      <w:r w:rsidR="00516932" w:rsidRPr="001E5D32">
        <w:rPr>
          <w:rFonts w:ascii="Book Antiqua" w:eastAsia="Times New Roman" w:hAnsi="Book Antiqua"/>
          <w:sz w:val="24"/>
          <w:lang w:val="en-GB"/>
        </w:rPr>
        <w:t xml:space="preserve"> metabolism</w:t>
      </w:r>
      <w:r w:rsidRPr="001E5D32">
        <w:rPr>
          <w:rFonts w:ascii="Book Antiqua" w:eastAsia="Times New Roman" w:hAnsi="Book Antiqua"/>
          <w:sz w:val="24"/>
          <w:lang w:val="en-GB"/>
        </w:rPr>
        <w:t xml:space="preserve"> and free cholesterol deposition</w:t>
      </w:r>
      <w:r w:rsidR="00516932" w:rsidRPr="001E5D32">
        <w:rPr>
          <w:rFonts w:ascii="Book Antiqua" w:eastAsia="Times New Roman" w:hAnsi="Book Antiqua"/>
          <w:sz w:val="24"/>
          <w:lang w:val="en-GB"/>
        </w:rPr>
        <w:t xml:space="preserve"> associated with PNPLA3</w:t>
      </w:r>
      <w:r w:rsidR="00A67612" w:rsidRPr="001E5D32">
        <w:rPr>
          <w:rFonts w:ascii="Book Antiqua" w:eastAsia="Times New Roman" w:hAnsi="Book Antiqua"/>
          <w:sz w:val="24"/>
          <w:lang w:val="en-GB"/>
        </w:rPr>
        <w:t xml:space="preserve"> </w:t>
      </w:r>
      <w:r w:rsidR="00516932" w:rsidRPr="001E5D32">
        <w:rPr>
          <w:rFonts w:ascii="Book Antiqua" w:eastAsia="Times New Roman" w:hAnsi="Book Antiqua"/>
          <w:sz w:val="24"/>
          <w:lang w:val="en-GB"/>
        </w:rPr>
        <w:t xml:space="preserve">rs738409 </w:t>
      </w:r>
      <w:r w:rsidRPr="001E5D32">
        <w:rPr>
          <w:rFonts w:ascii="Book Antiqua" w:eastAsia="Times New Roman" w:hAnsi="Book Antiqua"/>
          <w:sz w:val="24"/>
          <w:lang w:val="en-GB"/>
        </w:rPr>
        <w:t xml:space="preserve">activates </w:t>
      </w:r>
      <w:r w:rsidR="00A67612" w:rsidRPr="001E5D32">
        <w:rPr>
          <w:rFonts w:ascii="Book Antiqua" w:eastAsia="Times New Roman" w:hAnsi="Book Antiqua"/>
          <w:sz w:val="24"/>
          <w:lang w:val="en-GB"/>
        </w:rPr>
        <w:t xml:space="preserve">dormant hepatic stellate cells (HSCs) leading to increased fibrogenesis. </w:t>
      </w:r>
      <w:r w:rsidR="00516932" w:rsidRPr="001E5D32">
        <w:rPr>
          <w:rFonts w:ascii="Book Antiqua" w:eastAsia="Times New Roman" w:hAnsi="Book Antiqua"/>
          <w:sz w:val="24"/>
          <w:lang w:val="en-GB"/>
        </w:rPr>
        <w:t>Severe hepatic fibrosis may however</w:t>
      </w:r>
      <w:r w:rsidR="00A67612" w:rsidRPr="001E5D32">
        <w:rPr>
          <w:rFonts w:ascii="Book Antiqua" w:eastAsia="Times New Roman" w:hAnsi="Book Antiqua"/>
          <w:sz w:val="24"/>
          <w:lang w:val="en-GB"/>
        </w:rPr>
        <w:t xml:space="preserve"> occur in the absence of pathologically evident NASH, supporting the hypothesis that a direct stimulating effect on HSCs also contributes towards </w:t>
      </w:r>
      <w:r w:rsidR="00E9733A" w:rsidRPr="001E5D32">
        <w:rPr>
          <w:rFonts w:ascii="Book Antiqua" w:eastAsia="Times New Roman" w:hAnsi="Book Antiqua"/>
          <w:sz w:val="24"/>
          <w:lang w:val="en-GB"/>
        </w:rPr>
        <w:t xml:space="preserve">hepatic fibrogenesis </w:t>
      </w:r>
      <w:r w:rsidR="00A67612" w:rsidRPr="001E5D32">
        <w:rPr>
          <w:rFonts w:ascii="Book Antiqua" w:eastAsia="Times New Roman" w:hAnsi="Book Antiqua"/>
          <w:sz w:val="24"/>
          <w:lang w:val="en-GB"/>
        </w:rPr>
        <w:t>independen</w:t>
      </w:r>
      <w:r w:rsidR="00CD0F98" w:rsidRPr="001E5D32">
        <w:rPr>
          <w:rFonts w:ascii="Book Antiqua" w:eastAsia="Times New Roman" w:hAnsi="Book Antiqua"/>
          <w:sz w:val="24"/>
          <w:lang w:val="en-GB"/>
        </w:rPr>
        <w:t>t of</w:t>
      </w:r>
      <w:r w:rsidR="00893736" w:rsidRPr="001E5D32">
        <w:rPr>
          <w:rFonts w:ascii="Book Antiqua" w:eastAsia="Times New Roman" w:hAnsi="Book Antiqua"/>
          <w:sz w:val="24"/>
          <w:lang w:val="en-GB"/>
        </w:rPr>
        <w:t xml:space="preserve"> h</w:t>
      </w:r>
      <w:r w:rsidR="00D008A6" w:rsidRPr="001E5D32">
        <w:rPr>
          <w:rFonts w:ascii="Book Antiqua" w:eastAsia="Times New Roman" w:hAnsi="Book Antiqua"/>
          <w:sz w:val="24"/>
          <w:lang w:val="en-GB"/>
        </w:rPr>
        <w:t>epatic necro-inflammation</w:t>
      </w:r>
      <w:r w:rsidR="00893736" w:rsidRPr="001E5D32">
        <w:rPr>
          <w:rFonts w:ascii="Book Antiqua" w:eastAsia="Times New Roman" w:hAnsi="Book Antiqua"/>
          <w:sz w:val="24"/>
          <w:vertAlign w:val="superscript"/>
          <w:lang w:val="en-GB"/>
        </w:rPr>
        <w:t>[</w:t>
      </w:r>
      <w:r w:rsidR="00303EB5" w:rsidRPr="001E5D32">
        <w:rPr>
          <w:rFonts w:ascii="Book Antiqua" w:eastAsia="Times New Roman" w:hAnsi="Book Antiqua"/>
          <w:sz w:val="24"/>
          <w:vertAlign w:val="superscript"/>
          <w:lang w:val="en-GB"/>
        </w:rPr>
        <w:t>164</w:t>
      </w:r>
      <w:r w:rsidR="00CD0F98" w:rsidRPr="001E5D32">
        <w:rPr>
          <w:rFonts w:ascii="Book Antiqua" w:eastAsia="Times New Roman" w:hAnsi="Book Antiqua"/>
          <w:sz w:val="24"/>
          <w:vertAlign w:val="superscript"/>
          <w:lang w:val="en-GB"/>
        </w:rPr>
        <w:t>]</w:t>
      </w:r>
      <w:r w:rsidR="00CD0F98" w:rsidRPr="001E5D32">
        <w:rPr>
          <w:rFonts w:ascii="Book Antiqua" w:eastAsia="Times New Roman" w:hAnsi="Book Antiqua"/>
          <w:sz w:val="24"/>
          <w:lang w:val="en-GB"/>
        </w:rPr>
        <w:t>.</w:t>
      </w:r>
      <w:r w:rsidR="00030143" w:rsidRPr="001E5D32">
        <w:rPr>
          <w:rFonts w:ascii="Book Antiqua" w:eastAsia="Times New Roman" w:hAnsi="Book Antiqua"/>
          <w:sz w:val="24"/>
          <w:lang w:val="en-GB"/>
        </w:rPr>
        <w:t xml:space="preserve"> </w:t>
      </w:r>
    </w:p>
    <w:p w14:paraId="4110795C" w14:textId="15A2C6EA" w:rsidR="00414BBF" w:rsidRPr="001E5D32" w:rsidRDefault="00516932" w:rsidP="001E5D32">
      <w:pPr>
        <w:spacing w:line="360" w:lineRule="auto"/>
        <w:ind w:firstLineChars="200" w:firstLine="480"/>
        <w:rPr>
          <w:rFonts w:ascii="Book Antiqua" w:eastAsia="Times New Roman" w:hAnsi="Book Antiqua"/>
          <w:sz w:val="24"/>
          <w:lang w:val="en-GB"/>
        </w:rPr>
      </w:pPr>
      <w:r w:rsidRPr="001E5D32">
        <w:rPr>
          <w:rFonts w:ascii="Book Antiqua" w:eastAsia="Times New Roman" w:hAnsi="Book Antiqua"/>
          <w:sz w:val="24"/>
          <w:lang w:val="en-GB"/>
        </w:rPr>
        <w:t>Collectively, the abovementioned findings</w:t>
      </w:r>
      <w:r w:rsidR="00E9733A" w:rsidRPr="001E5D32">
        <w:rPr>
          <w:rFonts w:ascii="Book Antiqua" w:eastAsia="Times New Roman" w:hAnsi="Book Antiqua"/>
          <w:sz w:val="24"/>
          <w:lang w:val="en-GB"/>
        </w:rPr>
        <w:t xml:space="preserve"> provide a </w:t>
      </w:r>
      <w:r w:rsidRPr="001E5D32">
        <w:rPr>
          <w:rFonts w:ascii="Book Antiqua" w:eastAsia="Times New Roman" w:hAnsi="Book Antiqua"/>
          <w:sz w:val="24"/>
          <w:lang w:val="en-GB"/>
        </w:rPr>
        <w:t>useful</w:t>
      </w:r>
      <w:r w:rsidR="00E9733A" w:rsidRPr="001E5D32">
        <w:rPr>
          <w:rFonts w:ascii="Book Antiqua" w:eastAsia="Times New Roman" w:hAnsi="Book Antiqua"/>
          <w:sz w:val="24"/>
          <w:lang w:val="en-GB"/>
        </w:rPr>
        <w:t xml:space="preserve"> framework for ongoing research aimed at establishing to</w:t>
      </w:r>
      <w:r w:rsidR="00A67612" w:rsidRPr="001E5D32">
        <w:rPr>
          <w:rFonts w:ascii="Book Antiqua" w:eastAsia="Times New Roman" w:hAnsi="Book Antiqua"/>
          <w:sz w:val="24"/>
          <w:lang w:val="en-GB"/>
        </w:rPr>
        <w:t xml:space="preserve"> what extent </w:t>
      </w:r>
      <w:r w:rsidRPr="001E5D32">
        <w:rPr>
          <w:rFonts w:ascii="Book Antiqua" w:eastAsia="Times New Roman" w:hAnsi="Book Antiqua"/>
          <w:sz w:val="24"/>
          <w:lang w:val="en-GB"/>
        </w:rPr>
        <w:t xml:space="preserve">the incorporation of </w:t>
      </w:r>
      <w:r w:rsidR="00A67612" w:rsidRPr="001E5D32">
        <w:rPr>
          <w:rFonts w:ascii="Book Antiqua" w:eastAsia="Times New Roman" w:hAnsi="Book Antiqua"/>
          <w:sz w:val="24"/>
          <w:lang w:val="en-GB"/>
        </w:rPr>
        <w:t xml:space="preserve">PNPLA3 genotyping </w:t>
      </w:r>
      <w:r w:rsidRPr="001E5D32">
        <w:rPr>
          <w:rFonts w:ascii="Book Antiqua" w:eastAsia="Times New Roman" w:hAnsi="Book Antiqua"/>
          <w:sz w:val="24"/>
          <w:lang w:val="en-GB"/>
        </w:rPr>
        <w:t>as a component of existing</w:t>
      </w:r>
      <w:r w:rsidR="00A67612" w:rsidRPr="001E5D32">
        <w:rPr>
          <w:rFonts w:ascii="Book Antiqua" w:eastAsia="Times New Roman" w:hAnsi="Book Antiqua"/>
          <w:sz w:val="24"/>
          <w:lang w:val="en-GB"/>
        </w:rPr>
        <w:t xml:space="preserve"> </w:t>
      </w:r>
      <w:r w:rsidRPr="001E5D32">
        <w:rPr>
          <w:rFonts w:ascii="Book Antiqua" w:eastAsia="Times New Roman" w:hAnsi="Book Antiqua"/>
          <w:sz w:val="24"/>
          <w:lang w:val="en-GB"/>
        </w:rPr>
        <w:t>composite prognostic models used in</w:t>
      </w:r>
      <w:r w:rsidR="00A67612" w:rsidRPr="001E5D32">
        <w:rPr>
          <w:rFonts w:ascii="Book Antiqua" w:eastAsia="Times New Roman" w:hAnsi="Book Antiqua"/>
          <w:sz w:val="24"/>
          <w:lang w:val="en-GB"/>
        </w:rPr>
        <w:t xml:space="preserve"> NAFLD/NASH</w:t>
      </w:r>
      <w:r w:rsidR="00E9733A" w:rsidRPr="001E5D32">
        <w:rPr>
          <w:rFonts w:ascii="Book Antiqua" w:eastAsia="Times New Roman" w:hAnsi="Book Antiqua"/>
          <w:sz w:val="24"/>
          <w:lang w:val="en-GB"/>
        </w:rPr>
        <w:t xml:space="preserve"> </w:t>
      </w:r>
      <w:r w:rsidRPr="001E5D32">
        <w:rPr>
          <w:rFonts w:ascii="Book Antiqua" w:eastAsia="Times New Roman" w:hAnsi="Book Antiqua"/>
          <w:sz w:val="24"/>
          <w:lang w:val="en-GB"/>
        </w:rPr>
        <w:t>could improve their performance.</w:t>
      </w:r>
      <w:r w:rsidR="00E9733A" w:rsidRPr="001E5D32">
        <w:rPr>
          <w:rFonts w:ascii="Book Antiqua" w:eastAsia="Times New Roman" w:hAnsi="Book Antiqua"/>
          <w:sz w:val="24"/>
          <w:lang w:val="en-GB"/>
        </w:rPr>
        <w:t xml:space="preserve"> </w:t>
      </w:r>
      <w:r w:rsidRPr="001E5D32">
        <w:rPr>
          <w:rFonts w:ascii="Book Antiqua" w:eastAsia="Times New Roman" w:hAnsi="Book Antiqua"/>
          <w:sz w:val="24"/>
          <w:lang w:val="en-GB"/>
        </w:rPr>
        <w:t>The a</w:t>
      </w:r>
      <w:r w:rsidR="00112C8D" w:rsidRPr="001E5D32">
        <w:rPr>
          <w:rFonts w:ascii="Book Antiqua" w:eastAsia="Times New Roman" w:hAnsi="Book Antiqua"/>
          <w:sz w:val="24"/>
          <w:lang w:val="en-GB"/>
        </w:rPr>
        <w:t xml:space="preserve">ddition of </w:t>
      </w:r>
      <w:r w:rsidR="00184F7C" w:rsidRPr="001E5D32">
        <w:rPr>
          <w:rFonts w:ascii="Book Antiqua" w:eastAsia="Times New Roman" w:hAnsi="Book Antiqua"/>
          <w:sz w:val="24"/>
          <w:lang w:val="en-GB"/>
        </w:rPr>
        <w:t xml:space="preserve">PNPLA3 </w:t>
      </w:r>
      <w:r w:rsidR="00112C8D" w:rsidRPr="001E5D32">
        <w:rPr>
          <w:rFonts w:ascii="Book Antiqua" w:eastAsia="Times New Roman" w:hAnsi="Book Antiqua"/>
          <w:sz w:val="24"/>
          <w:lang w:val="en-GB"/>
        </w:rPr>
        <w:t>genotyping to the NAFLD liver fat score fails to significantly i</w:t>
      </w:r>
      <w:r w:rsidR="00D008A6" w:rsidRPr="001E5D32">
        <w:rPr>
          <w:rFonts w:ascii="Book Antiqua" w:eastAsia="Times New Roman" w:hAnsi="Book Antiqua"/>
          <w:sz w:val="24"/>
          <w:lang w:val="en-GB"/>
        </w:rPr>
        <w:t>ncrease its diagnostic accuracy</w:t>
      </w:r>
      <w:r w:rsidR="008C10DD" w:rsidRPr="001E5D32">
        <w:rPr>
          <w:rFonts w:ascii="Book Antiqua" w:eastAsia="Times New Roman" w:hAnsi="Book Antiqua"/>
          <w:sz w:val="24"/>
          <w:vertAlign w:val="superscript"/>
          <w:lang w:val="en-GB"/>
        </w:rPr>
        <w:t>[38]</w:t>
      </w:r>
      <w:r w:rsidR="000775EE" w:rsidRPr="001E5D32">
        <w:rPr>
          <w:rFonts w:ascii="Book Antiqua" w:eastAsia="Times New Roman" w:hAnsi="Book Antiqua"/>
          <w:sz w:val="24"/>
          <w:lang w:val="en-GB"/>
        </w:rPr>
        <w:t xml:space="preserve"> </w:t>
      </w:r>
      <w:r w:rsidR="00112C8D" w:rsidRPr="001E5D32">
        <w:rPr>
          <w:rFonts w:ascii="Book Antiqua" w:eastAsia="Times New Roman" w:hAnsi="Book Antiqua"/>
          <w:sz w:val="24"/>
          <w:lang w:val="en-GB"/>
        </w:rPr>
        <w:t>suggesting limited utility as a diagno</w:t>
      </w:r>
      <w:r w:rsidRPr="001E5D32">
        <w:rPr>
          <w:rFonts w:ascii="Book Antiqua" w:eastAsia="Times New Roman" w:hAnsi="Book Antiqua"/>
          <w:sz w:val="24"/>
          <w:lang w:val="en-GB"/>
        </w:rPr>
        <w:t>stic marker for hepatosteatosis. However, the</w:t>
      </w:r>
      <w:r w:rsidR="00112C8D" w:rsidRPr="001E5D32">
        <w:rPr>
          <w:rFonts w:ascii="Book Antiqua" w:eastAsia="Times New Roman" w:hAnsi="Book Antiqua"/>
          <w:sz w:val="24"/>
          <w:lang w:val="en-GB"/>
        </w:rPr>
        <w:t xml:space="preserve"> combined assessment of PNPLA3 rs378409 genotype along with fasting insulin and ALT levels </w:t>
      </w:r>
      <w:r w:rsidR="00E26442" w:rsidRPr="001E5D32">
        <w:rPr>
          <w:rFonts w:ascii="Book Antiqua" w:eastAsia="Times New Roman" w:hAnsi="Book Antiqua"/>
          <w:sz w:val="24"/>
          <w:lang w:val="en-GB"/>
        </w:rPr>
        <w:t>has</w:t>
      </w:r>
      <w:r w:rsidRPr="001E5D32">
        <w:rPr>
          <w:rFonts w:ascii="Book Antiqua" w:eastAsia="Times New Roman" w:hAnsi="Book Antiqua"/>
          <w:sz w:val="24"/>
          <w:lang w:val="en-GB"/>
        </w:rPr>
        <w:t xml:space="preserve"> been shown to reliably predict the presence of</w:t>
      </w:r>
      <w:r w:rsidR="00414BBF" w:rsidRPr="001E5D32">
        <w:rPr>
          <w:rFonts w:ascii="Book Antiqua" w:eastAsia="Times New Roman" w:hAnsi="Book Antiqua"/>
          <w:sz w:val="24"/>
          <w:lang w:val="en-GB"/>
        </w:rPr>
        <w:t xml:space="preserve"> undiagnosed NASH</w:t>
      </w:r>
      <w:r w:rsidR="000775EE" w:rsidRPr="001E5D32">
        <w:rPr>
          <w:rFonts w:ascii="Book Antiqua" w:eastAsia="Times New Roman" w:hAnsi="Book Antiqua"/>
          <w:sz w:val="24"/>
          <w:vertAlign w:val="superscript"/>
          <w:lang w:val="en-GB"/>
        </w:rPr>
        <w:t>[</w:t>
      </w:r>
      <w:r w:rsidR="00303EB5" w:rsidRPr="001E5D32">
        <w:rPr>
          <w:rFonts w:ascii="Book Antiqua" w:eastAsia="Times New Roman" w:hAnsi="Book Antiqua"/>
          <w:sz w:val="24"/>
          <w:vertAlign w:val="superscript"/>
          <w:lang w:val="en-GB"/>
        </w:rPr>
        <w:t>165</w:t>
      </w:r>
      <w:r w:rsidR="00414BBF" w:rsidRPr="001E5D32">
        <w:rPr>
          <w:rFonts w:ascii="Book Antiqua" w:eastAsia="Times New Roman" w:hAnsi="Book Antiqua"/>
          <w:sz w:val="24"/>
          <w:vertAlign w:val="superscript"/>
          <w:lang w:val="en-GB"/>
        </w:rPr>
        <w:t>]</w:t>
      </w:r>
      <w:r w:rsidR="00414BBF" w:rsidRPr="001E5D32">
        <w:rPr>
          <w:rFonts w:ascii="Book Antiqua" w:eastAsia="Times New Roman" w:hAnsi="Book Antiqua"/>
          <w:sz w:val="24"/>
          <w:lang w:val="en-GB"/>
        </w:rPr>
        <w:t>. The observation that</w:t>
      </w:r>
      <w:r w:rsidR="00112C8D" w:rsidRPr="001E5D32">
        <w:rPr>
          <w:rFonts w:ascii="Book Antiqua" w:eastAsia="Times New Roman" w:hAnsi="Book Antiqua"/>
          <w:sz w:val="24"/>
          <w:lang w:val="en-GB"/>
        </w:rPr>
        <w:t xml:space="preserve"> genotype distributions and allele frequencies for PNPLA3 rs738409 closely mirror population-based prevale</w:t>
      </w:r>
      <w:r w:rsidR="00414BBF" w:rsidRPr="001E5D32">
        <w:rPr>
          <w:rFonts w:ascii="Book Antiqua" w:eastAsia="Times New Roman" w:hAnsi="Book Antiqua"/>
          <w:sz w:val="24"/>
          <w:lang w:val="en-GB"/>
        </w:rPr>
        <w:t xml:space="preserve">nce rates for hepatosteatosis further supports </w:t>
      </w:r>
      <w:r w:rsidR="00112C8D" w:rsidRPr="001E5D32">
        <w:rPr>
          <w:rFonts w:ascii="Book Antiqua" w:eastAsia="Times New Roman" w:hAnsi="Book Antiqua"/>
          <w:sz w:val="24"/>
          <w:lang w:val="en-GB"/>
        </w:rPr>
        <w:t>the no</w:t>
      </w:r>
      <w:r w:rsidR="00E26442" w:rsidRPr="001E5D32">
        <w:rPr>
          <w:rFonts w:ascii="Book Antiqua" w:eastAsia="Times New Roman" w:hAnsi="Book Antiqua"/>
          <w:sz w:val="24"/>
          <w:lang w:val="en-GB"/>
        </w:rPr>
        <w:t xml:space="preserve">tion that a </w:t>
      </w:r>
      <w:r w:rsidR="00414BBF" w:rsidRPr="001E5D32">
        <w:rPr>
          <w:rFonts w:ascii="Book Antiqua" w:eastAsia="Times New Roman" w:hAnsi="Book Antiqua"/>
          <w:sz w:val="24"/>
          <w:lang w:val="en-GB"/>
        </w:rPr>
        <w:t>degree of the</w:t>
      </w:r>
      <w:r w:rsidR="00E26442" w:rsidRPr="001E5D32">
        <w:rPr>
          <w:rFonts w:ascii="Book Antiqua" w:eastAsia="Times New Roman" w:hAnsi="Book Antiqua"/>
          <w:sz w:val="24"/>
          <w:lang w:val="en-GB"/>
        </w:rPr>
        <w:t xml:space="preserve"> known variation</w:t>
      </w:r>
      <w:r w:rsidR="00112C8D" w:rsidRPr="001E5D32">
        <w:rPr>
          <w:rFonts w:ascii="Book Antiqua" w:eastAsia="Times New Roman" w:hAnsi="Book Antiqua"/>
          <w:sz w:val="24"/>
          <w:lang w:val="en-GB"/>
        </w:rPr>
        <w:t xml:space="preserve"> </w:t>
      </w:r>
      <w:r w:rsidR="00E26442" w:rsidRPr="001E5D32">
        <w:rPr>
          <w:rFonts w:ascii="Book Antiqua" w:eastAsia="Times New Roman" w:hAnsi="Book Antiqua"/>
          <w:sz w:val="24"/>
          <w:lang w:val="en-GB"/>
        </w:rPr>
        <w:t xml:space="preserve">in </w:t>
      </w:r>
      <w:r w:rsidR="00414BBF" w:rsidRPr="001E5D32">
        <w:rPr>
          <w:rFonts w:ascii="Book Antiqua" w:eastAsia="Times New Roman" w:hAnsi="Book Antiqua"/>
          <w:sz w:val="24"/>
          <w:lang w:val="en-GB"/>
        </w:rPr>
        <w:t>disease susceptibility</w:t>
      </w:r>
      <w:r w:rsidR="00112C8D" w:rsidRPr="001E5D32">
        <w:rPr>
          <w:rFonts w:ascii="Book Antiqua" w:eastAsia="Times New Roman" w:hAnsi="Book Antiqua"/>
          <w:sz w:val="24"/>
          <w:lang w:val="en-GB"/>
        </w:rPr>
        <w:t xml:space="preserve"> observed between different </w:t>
      </w:r>
      <w:r w:rsidR="00414BBF" w:rsidRPr="001E5D32">
        <w:rPr>
          <w:rFonts w:ascii="Book Antiqua" w:eastAsia="Times New Roman" w:hAnsi="Book Antiqua"/>
          <w:sz w:val="24"/>
          <w:lang w:val="en-GB"/>
        </w:rPr>
        <w:t>population</w:t>
      </w:r>
      <w:r w:rsidR="00112C8D" w:rsidRPr="001E5D32">
        <w:rPr>
          <w:rFonts w:ascii="Book Antiqua" w:eastAsia="Times New Roman" w:hAnsi="Book Antiqua"/>
          <w:sz w:val="24"/>
          <w:lang w:val="en-GB"/>
        </w:rPr>
        <w:t xml:space="preserve"> groups</w:t>
      </w:r>
      <w:r w:rsidR="00414BBF" w:rsidRPr="001E5D32">
        <w:rPr>
          <w:rFonts w:ascii="Book Antiqua" w:eastAsia="Times New Roman" w:hAnsi="Book Antiqua"/>
          <w:sz w:val="24"/>
          <w:lang w:val="en-GB"/>
        </w:rPr>
        <w:t xml:space="preserve"> evident for N</w:t>
      </w:r>
      <w:r w:rsidR="00D008A6" w:rsidRPr="001E5D32">
        <w:rPr>
          <w:rFonts w:ascii="Book Antiqua" w:eastAsia="Times New Roman" w:hAnsi="Book Antiqua"/>
          <w:sz w:val="24"/>
          <w:lang w:val="en-GB"/>
        </w:rPr>
        <w:t>AFLD has a partly genetic basis</w:t>
      </w:r>
      <w:r w:rsidR="0077052A" w:rsidRPr="001E5D32">
        <w:rPr>
          <w:rFonts w:ascii="Book Antiqua" w:eastAsia="Times New Roman" w:hAnsi="Book Antiqua"/>
          <w:sz w:val="24"/>
          <w:vertAlign w:val="superscript"/>
          <w:lang w:val="en-GB"/>
        </w:rPr>
        <w:t>[</w:t>
      </w:r>
      <w:r w:rsidR="00303EB5" w:rsidRPr="001E5D32">
        <w:rPr>
          <w:rFonts w:ascii="Book Antiqua" w:eastAsia="Times New Roman" w:hAnsi="Book Antiqua"/>
          <w:sz w:val="24"/>
          <w:vertAlign w:val="superscript"/>
          <w:lang w:val="en-GB"/>
        </w:rPr>
        <w:t>134,166</w:t>
      </w:r>
      <w:r w:rsidR="00414BBF" w:rsidRPr="001E5D32">
        <w:rPr>
          <w:rFonts w:ascii="Book Antiqua" w:eastAsia="Times New Roman" w:hAnsi="Book Antiqua"/>
          <w:sz w:val="24"/>
          <w:vertAlign w:val="superscript"/>
          <w:lang w:val="en-GB"/>
        </w:rPr>
        <w:t>]</w:t>
      </w:r>
      <w:r w:rsidR="00414BBF" w:rsidRPr="001E5D32">
        <w:rPr>
          <w:rFonts w:ascii="Book Antiqua" w:eastAsia="Times New Roman" w:hAnsi="Book Antiqua"/>
          <w:sz w:val="24"/>
          <w:lang w:val="en-GB"/>
        </w:rPr>
        <w:t>, emphasizing the need for further research aimed at clarifying the role of ethnicity as a putative modulator of genetic risk conferred by PNPLA3 rs738409.</w:t>
      </w:r>
    </w:p>
    <w:p w14:paraId="33DEB60C" w14:textId="7B006B0C" w:rsidR="006C51AF" w:rsidRPr="001E5D32" w:rsidRDefault="006C51AF" w:rsidP="001E5D32">
      <w:pPr>
        <w:spacing w:line="360" w:lineRule="auto"/>
        <w:ind w:firstLineChars="200" w:firstLine="480"/>
        <w:rPr>
          <w:rFonts w:ascii="Book Antiqua" w:eastAsiaTheme="minorEastAsia" w:hAnsi="Book Antiqua"/>
          <w:sz w:val="24"/>
          <w:lang w:val="en-GB"/>
        </w:rPr>
      </w:pPr>
      <w:r w:rsidRPr="001E5D32">
        <w:rPr>
          <w:rFonts w:ascii="Book Antiqua" w:eastAsia="Times New Roman" w:hAnsi="Book Antiqua"/>
          <w:sz w:val="24"/>
          <w:lang w:val="en-GB"/>
        </w:rPr>
        <w:t xml:space="preserve">GWAS have identified a number of other genetic variants as potential </w:t>
      </w:r>
      <w:r w:rsidR="000A1CF2" w:rsidRPr="001E5D32">
        <w:rPr>
          <w:rFonts w:ascii="Book Antiqua" w:eastAsia="Times New Roman" w:hAnsi="Book Antiqua"/>
          <w:sz w:val="24"/>
          <w:lang w:val="en-GB"/>
        </w:rPr>
        <w:t xml:space="preserve">risk </w:t>
      </w:r>
      <w:r w:rsidRPr="001E5D32">
        <w:rPr>
          <w:rFonts w:ascii="Book Antiqua" w:eastAsia="Times New Roman" w:hAnsi="Book Antiqua"/>
          <w:sz w:val="24"/>
          <w:lang w:val="en-GB"/>
        </w:rPr>
        <w:t xml:space="preserve">modifiers for progressive necro-inflammatory injury and advanced hepatic fibrosis in NAFLD. For example, the PiS/PiZ variant of the α-1 antitrypsin (AAT) gene implicated in endoplasmic reticulum (ER) stress has been shown to predict hyperferritinemia and parenchymal iron overload independent of TS percentage despite its dissociation from risk for </w:t>
      </w:r>
      <w:r w:rsidR="00D008A6" w:rsidRPr="001E5D32">
        <w:rPr>
          <w:rFonts w:ascii="Book Antiqua" w:eastAsia="Times New Roman" w:hAnsi="Book Antiqua"/>
          <w:sz w:val="24"/>
          <w:lang w:val="en-GB"/>
        </w:rPr>
        <w:t>increased histological severity</w:t>
      </w:r>
      <w:r w:rsidRPr="001E5D32">
        <w:rPr>
          <w:rFonts w:ascii="Book Antiqua" w:eastAsia="Times New Roman" w:hAnsi="Book Antiqua"/>
          <w:sz w:val="24"/>
          <w:vertAlign w:val="superscript"/>
          <w:lang w:val="en-GB"/>
        </w:rPr>
        <w:t>[167]</w:t>
      </w:r>
      <w:r w:rsidRPr="001E5D32">
        <w:rPr>
          <w:rFonts w:ascii="Book Antiqua" w:eastAsia="Times New Roman" w:hAnsi="Book Antiqua"/>
          <w:sz w:val="24"/>
          <w:lang w:val="en-GB"/>
        </w:rPr>
        <w:t xml:space="preserve">. In </w:t>
      </w:r>
      <w:r w:rsidR="00195906" w:rsidRPr="001E5D32">
        <w:rPr>
          <w:rFonts w:ascii="Book Antiqua" w:eastAsia="Times New Roman" w:hAnsi="Book Antiqua"/>
          <w:sz w:val="24"/>
          <w:lang w:val="en-GB"/>
        </w:rPr>
        <w:t xml:space="preserve">a similar study, Valenti </w:t>
      </w:r>
      <w:r w:rsidR="00195906" w:rsidRPr="001E5D32">
        <w:rPr>
          <w:rFonts w:ascii="Book Antiqua" w:eastAsia="Times New Roman" w:hAnsi="Book Antiqua"/>
          <w:i/>
          <w:sz w:val="24"/>
          <w:lang w:val="en-GB"/>
        </w:rPr>
        <w:t>et al</w:t>
      </w:r>
      <w:r w:rsidRPr="001E5D32">
        <w:rPr>
          <w:rFonts w:ascii="Book Antiqua" w:eastAsia="Times New Roman" w:hAnsi="Book Antiqua"/>
          <w:sz w:val="24"/>
          <w:vertAlign w:val="superscript"/>
          <w:lang w:val="en-GB"/>
        </w:rPr>
        <w:t>[</w:t>
      </w:r>
      <w:r w:rsidR="00D008A6" w:rsidRPr="001E5D32">
        <w:rPr>
          <w:rFonts w:ascii="Book Antiqua" w:eastAsia="Times New Roman" w:hAnsi="Book Antiqua"/>
          <w:sz w:val="24"/>
          <w:vertAlign w:val="superscript"/>
          <w:lang w:val="en-GB"/>
        </w:rPr>
        <w:t>168</w:t>
      </w:r>
      <w:r w:rsidRPr="001E5D32">
        <w:rPr>
          <w:rFonts w:ascii="Book Antiqua" w:eastAsia="Times New Roman" w:hAnsi="Book Antiqua"/>
          <w:sz w:val="24"/>
          <w:vertAlign w:val="superscript"/>
          <w:lang w:val="en-GB"/>
        </w:rPr>
        <w:t xml:space="preserve">] </w:t>
      </w:r>
      <w:r w:rsidRPr="001E5D32">
        <w:rPr>
          <w:rFonts w:ascii="Book Antiqua" w:eastAsia="Times New Roman" w:hAnsi="Book Antiqua"/>
          <w:sz w:val="24"/>
          <w:lang w:val="en-GB"/>
        </w:rPr>
        <w:t>investigated the utility of four polymorphic variants in the HFE, AAT, ferroportin-1 and beta-globin genes functioning in known iron metabolism pathways as putative predictive markers for parenchymal iron overload and increased histo</w:t>
      </w:r>
      <w:r w:rsidR="008A5055" w:rsidRPr="001E5D32">
        <w:rPr>
          <w:rFonts w:ascii="Book Antiqua" w:eastAsia="Times New Roman" w:hAnsi="Book Antiqua"/>
          <w:sz w:val="24"/>
          <w:lang w:val="en-GB"/>
        </w:rPr>
        <w:t>logical severity. In this study</w:t>
      </w:r>
      <w:r w:rsidRPr="001E5D32">
        <w:rPr>
          <w:rFonts w:ascii="Book Antiqua" w:eastAsia="Times New Roman" w:hAnsi="Book Antiqua"/>
          <w:sz w:val="24"/>
          <w:vertAlign w:val="superscript"/>
          <w:lang w:val="en-GB"/>
        </w:rPr>
        <w:t>[</w:t>
      </w:r>
      <w:r w:rsidR="00D008A6" w:rsidRPr="001E5D32">
        <w:rPr>
          <w:rFonts w:ascii="Book Antiqua" w:eastAsia="Times New Roman" w:hAnsi="Book Antiqua"/>
          <w:sz w:val="24"/>
          <w:vertAlign w:val="superscript"/>
          <w:lang w:val="en-GB"/>
        </w:rPr>
        <w:t>168</w:t>
      </w:r>
      <w:r w:rsidRPr="001E5D32">
        <w:rPr>
          <w:rFonts w:ascii="Book Antiqua" w:eastAsia="Times New Roman" w:hAnsi="Book Antiqua"/>
          <w:sz w:val="24"/>
          <w:vertAlign w:val="superscript"/>
          <w:lang w:val="en-GB"/>
        </w:rPr>
        <w:t>]</w:t>
      </w:r>
      <w:r w:rsidRPr="001E5D32">
        <w:rPr>
          <w:rFonts w:ascii="Book Antiqua" w:eastAsia="Times New Roman" w:hAnsi="Book Antiqua"/>
          <w:sz w:val="24"/>
          <w:lang w:val="en-GB"/>
        </w:rPr>
        <w:t xml:space="preserve">, the authors demonstrated that that hepatocellular iron overload could be explained by risk-variant carriage in 63% of cases, with the beta-thalassemia trait showing the highest predictive accuracy for moderate-to-severe hepatic fibrosis in patients with NAFLD and/or DIOS. </w:t>
      </w:r>
    </w:p>
    <w:p w14:paraId="6CDDB585" w14:textId="46DFF577" w:rsidR="001179D6" w:rsidRPr="001E5D32" w:rsidRDefault="004560CA" w:rsidP="001E5D32">
      <w:pPr>
        <w:spacing w:line="360" w:lineRule="auto"/>
        <w:ind w:firstLineChars="200" w:firstLine="480"/>
        <w:rPr>
          <w:rFonts w:ascii="Book Antiqua" w:eastAsiaTheme="minorEastAsia" w:hAnsi="Book Antiqua"/>
          <w:sz w:val="24"/>
          <w:lang w:val="en-GB"/>
        </w:rPr>
      </w:pPr>
      <w:r w:rsidRPr="001E5D32">
        <w:rPr>
          <w:rFonts w:ascii="Book Antiqua" w:eastAsia="Times New Roman" w:hAnsi="Book Antiqua"/>
          <w:sz w:val="24"/>
          <w:lang w:val="en-GB"/>
        </w:rPr>
        <w:t>The rol</w:t>
      </w:r>
      <w:r w:rsidR="0030326B" w:rsidRPr="001E5D32">
        <w:rPr>
          <w:rFonts w:ascii="Book Antiqua" w:eastAsia="Times New Roman" w:hAnsi="Book Antiqua"/>
          <w:sz w:val="24"/>
          <w:lang w:val="en-GB"/>
        </w:rPr>
        <w:t xml:space="preserve">e of causative mutations in the </w:t>
      </w:r>
      <w:r w:rsidRPr="001E5D32">
        <w:rPr>
          <w:rFonts w:ascii="Book Antiqua" w:eastAsia="Times New Roman" w:hAnsi="Book Antiqua"/>
          <w:sz w:val="24"/>
          <w:lang w:val="en-GB"/>
        </w:rPr>
        <w:t>HFE</w:t>
      </w:r>
      <w:r w:rsidR="0030326B" w:rsidRPr="001E5D32">
        <w:rPr>
          <w:rFonts w:ascii="Book Antiqua" w:eastAsia="Times New Roman" w:hAnsi="Book Antiqua"/>
          <w:sz w:val="24"/>
          <w:lang w:val="en-GB"/>
        </w:rPr>
        <w:t xml:space="preserve"> </w:t>
      </w:r>
      <w:r w:rsidRPr="001E5D32">
        <w:rPr>
          <w:rFonts w:ascii="Book Antiqua" w:eastAsia="Times New Roman" w:hAnsi="Book Antiqua"/>
          <w:sz w:val="24"/>
          <w:lang w:val="en-GB"/>
        </w:rPr>
        <w:t>gene implicated in type I gene</w:t>
      </w:r>
      <w:r w:rsidR="00132FD1" w:rsidRPr="001E5D32">
        <w:rPr>
          <w:rFonts w:ascii="Book Antiqua" w:eastAsia="Times New Roman" w:hAnsi="Book Antiqua"/>
          <w:sz w:val="24"/>
          <w:lang w:val="en-GB"/>
        </w:rPr>
        <w:t>tic HH</w:t>
      </w:r>
      <w:r w:rsidR="00345E2C" w:rsidRPr="001E5D32">
        <w:rPr>
          <w:rFonts w:ascii="Book Antiqua" w:eastAsia="Times New Roman" w:hAnsi="Book Antiqua"/>
          <w:sz w:val="24"/>
          <w:lang w:val="en-GB"/>
        </w:rPr>
        <w:t xml:space="preserve"> as non-deterministic </w:t>
      </w:r>
      <w:r w:rsidRPr="001E5D32">
        <w:rPr>
          <w:rFonts w:ascii="Book Antiqua" w:eastAsia="Times New Roman" w:hAnsi="Book Antiqua"/>
          <w:sz w:val="24"/>
          <w:lang w:val="en-GB"/>
        </w:rPr>
        <w:t xml:space="preserve">modifiers of susceptibility towards the onset and </w:t>
      </w:r>
      <w:r w:rsidR="00345E2C" w:rsidRPr="001E5D32">
        <w:rPr>
          <w:rFonts w:ascii="Book Antiqua" w:eastAsia="Times New Roman" w:hAnsi="Book Antiqua"/>
          <w:sz w:val="24"/>
          <w:lang w:val="en-GB"/>
        </w:rPr>
        <w:t xml:space="preserve">pathogenic </w:t>
      </w:r>
      <w:r w:rsidRPr="001E5D32">
        <w:rPr>
          <w:rFonts w:ascii="Book Antiqua" w:eastAsia="Times New Roman" w:hAnsi="Book Antiqua"/>
          <w:sz w:val="24"/>
          <w:lang w:val="en-GB"/>
        </w:rPr>
        <w:t>progression of NAFLD remains incompletely elucidated. In an Italian stud</w:t>
      </w:r>
      <w:r w:rsidR="00D641D3" w:rsidRPr="001E5D32">
        <w:rPr>
          <w:rFonts w:ascii="Book Antiqua" w:eastAsia="Times New Roman" w:hAnsi="Book Antiqua"/>
          <w:sz w:val="24"/>
          <w:lang w:val="en-GB"/>
        </w:rPr>
        <w:t>y, Valenti and colleagues</w:t>
      </w:r>
      <w:r w:rsidR="00CD0F98" w:rsidRPr="001E5D32">
        <w:rPr>
          <w:rFonts w:ascii="Book Antiqua" w:eastAsia="Times New Roman" w:hAnsi="Book Antiqua"/>
          <w:sz w:val="24"/>
          <w:vertAlign w:val="superscript"/>
          <w:lang w:val="en-GB"/>
        </w:rPr>
        <w:t>[</w:t>
      </w:r>
      <w:r w:rsidR="0070179F" w:rsidRPr="001E5D32">
        <w:rPr>
          <w:rFonts w:ascii="Book Antiqua" w:eastAsia="Times New Roman" w:hAnsi="Book Antiqua"/>
          <w:sz w:val="24"/>
          <w:vertAlign w:val="superscript"/>
          <w:lang w:val="en-GB"/>
        </w:rPr>
        <w:t>88</w:t>
      </w:r>
      <w:r w:rsidR="00CD0F98" w:rsidRPr="001E5D32">
        <w:rPr>
          <w:rFonts w:ascii="Book Antiqua" w:eastAsia="Times New Roman" w:hAnsi="Book Antiqua"/>
          <w:sz w:val="24"/>
          <w:vertAlign w:val="superscript"/>
          <w:lang w:val="en-GB"/>
        </w:rPr>
        <w:t>]</w:t>
      </w:r>
      <w:r w:rsidRPr="001E5D32">
        <w:rPr>
          <w:rFonts w:ascii="Book Antiqua" w:eastAsia="Times New Roman" w:hAnsi="Book Antiqua"/>
          <w:sz w:val="24"/>
          <w:vertAlign w:val="superscript"/>
          <w:lang w:val="en-GB"/>
        </w:rPr>
        <w:t xml:space="preserve"> </w:t>
      </w:r>
      <w:r w:rsidRPr="001E5D32">
        <w:rPr>
          <w:rFonts w:ascii="Book Antiqua" w:eastAsia="Times New Roman" w:hAnsi="Book Antiqua"/>
          <w:sz w:val="24"/>
          <w:lang w:val="en-GB"/>
        </w:rPr>
        <w:t>showed that heterozygosity for the dele</w:t>
      </w:r>
      <w:r w:rsidR="00752B57" w:rsidRPr="001E5D32">
        <w:rPr>
          <w:rFonts w:ascii="Book Antiqua" w:eastAsia="Times New Roman" w:hAnsi="Book Antiqua"/>
          <w:sz w:val="24"/>
          <w:lang w:val="en-GB"/>
        </w:rPr>
        <w:t>terious C282Y mutation confers</w:t>
      </w:r>
      <w:r w:rsidRPr="001E5D32">
        <w:rPr>
          <w:rFonts w:ascii="Book Antiqua" w:eastAsia="Times New Roman" w:hAnsi="Book Antiqua"/>
          <w:sz w:val="24"/>
          <w:lang w:val="en-GB"/>
        </w:rPr>
        <w:t xml:space="preserve"> susceptibility towards hepatosteatosis even in the absence of o</w:t>
      </w:r>
      <w:r w:rsidR="0030326B" w:rsidRPr="001E5D32">
        <w:rPr>
          <w:rFonts w:ascii="Book Antiqua" w:eastAsia="Times New Roman" w:hAnsi="Book Antiqua"/>
          <w:sz w:val="24"/>
          <w:lang w:val="en-GB"/>
        </w:rPr>
        <w:t xml:space="preserve">vert cardio-metabolic risk. The </w:t>
      </w:r>
      <w:r w:rsidRPr="001E5D32">
        <w:rPr>
          <w:rFonts w:ascii="Book Antiqua" w:eastAsia="Times New Roman" w:hAnsi="Book Antiqua"/>
          <w:sz w:val="24"/>
          <w:lang w:val="en-GB"/>
        </w:rPr>
        <w:t xml:space="preserve">C282Y mutation </w:t>
      </w:r>
      <w:r w:rsidR="00345E2C" w:rsidRPr="001E5D32">
        <w:rPr>
          <w:rFonts w:ascii="Book Antiqua" w:eastAsia="Times New Roman" w:hAnsi="Book Antiqua"/>
          <w:sz w:val="24"/>
          <w:lang w:val="en-GB"/>
        </w:rPr>
        <w:t xml:space="preserve">has been associated with </w:t>
      </w:r>
      <w:r w:rsidR="00D641D3" w:rsidRPr="001E5D32">
        <w:rPr>
          <w:rFonts w:ascii="Book Antiqua" w:eastAsia="Times New Roman" w:hAnsi="Book Antiqua"/>
          <w:sz w:val="24"/>
          <w:lang w:val="en-GB"/>
        </w:rPr>
        <w:t>NASH</w:t>
      </w:r>
      <w:r w:rsidR="00893736" w:rsidRPr="001E5D32">
        <w:rPr>
          <w:rFonts w:ascii="Book Antiqua" w:eastAsia="Times New Roman" w:hAnsi="Book Antiqua"/>
          <w:sz w:val="24"/>
          <w:vertAlign w:val="superscript"/>
          <w:lang w:val="en-GB"/>
        </w:rPr>
        <w:t>[</w:t>
      </w:r>
      <w:r w:rsidR="006C51AF" w:rsidRPr="001E5D32">
        <w:rPr>
          <w:rFonts w:ascii="Book Antiqua" w:eastAsia="Times New Roman" w:hAnsi="Book Antiqua"/>
          <w:sz w:val="24"/>
          <w:vertAlign w:val="superscript"/>
          <w:lang w:val="en-GB"/>
        </w:rPr>
        <w:t>169</w:t>
      </w:r>
      <w:r w:rsidR="004807D4" w:rsidRPr="001E5D32">
        <w:rPr>
          <w:rFonts w:ascii="Book Antiqua" w:eastAsia="Times New Roman" w:hAnsi="Book Antiqua"/>
          <w:sz w:val="24"/>
          <w:vertAlign w:val="superscript"/>
          <w:lang w:val="en-GB"/>
        </w:rPr>
        <w:t>]</w:t>
      </w:r>
      <w:r w:rsidRPr="001E5D32">
        <w:rPr>
          <w:rFonts w:ascii="Book Antiqua" w:eastAsia="Times New Roman" w:hAnsi="Book Antiqua"/>
          <w:sz w:val="24"/>
          <w:vertAlign w:val="superscript"/>
          <w:lang w:val="en-GB"/>
        </w:rPr>
        <w:t xml:space="preserve"> </w:t>
      </w:r>
      <w:r w:rsidR="00345E2C" w:rsidRPr="001E5D32">
        <w:rPr>
          <w:rFonts w:ascii="Book Antiqua" w:eastAsia="Times New Roman" w:hAnsi="Book Antiqua"/>
          <w:sz w:val="24"/>
          <w:lang w:val="en-GB"/>
        </w:rPr>
        <w:t>as well as hepatocellular</w:t>
      </w:r>
      <w:r w:rsidRPr="001E5D32">
        <w:rPr>
          <w:rFonts w:ascii="Book Antiqua" w:eastAsia="Times New Roman" w:hAnsi="Book Antiqua"/>
          <w:sz w:val="24"/>
          <w:lang w:val="en-GB"/>
        </w:rPr>
        <w:t xml:space="preserve"> iron a</w:t>
      </w:r>
      <w:r w:rsidR="00D5693E" w:rsidRPr="001E5D32">
        <w:rPr>
          <w:rFonts w:ascii="Book Antiqua" w:eastAsia="Times New Roman" w:hAnsi="Book Antiqua"/>
          <w:sz w:val="24"/>
          <w:lang w:val="en-GB"/>
        </w:rPr>
        <w:t xml:space="preserve">ccumulation </w:t>
      </w:r>
      <w:r w:rsidRPr="001E5D32">
        <w:rPr>
          <w:rFonts w:ascii="Book Antiqua" w:eastAsia="Times New Roman" w:hAnsi="Book Antiqua"/>
          <w:sz w:val="24"/>
          <w:lang w:val="en-GB"/>
        </w:rPr>
        <w:t xml:space="preserve">which </w:t>
      </w:r>
      <w:r w:rsidR="00D5693E" w:rsidRPr="001E5D32">
        <w:rPr>
          <w:rFonts w:ascii="Book Antiqua" w:eastAsia="Times New Roman" w:hAnsi="Book Antiqua"/>
          <w:sz w:val="24"/>
          <w:lang w:val="en-GB"/>
        </w:rPr>
        <w:t>could</w:t>
      </w:r>
      <w:r w:rsidR="00032BF3" w:rsidRPr="001E5D32">
        <w:rPr>
          <w:rFonts w:ascii="Book Antiqua" w:eastAsia="Times New Roman" w:hAnsi="Book Antiqua"/>
          <w:sz w:val="24"/>
          <w:lang w:val="en-GB"/>
        </w:rPr>
        <w:t xml:space="preserve"> promote</w:t>
      </w:r>
      <w:r w:rsidR="00345E2C" w:rsidRPr="001E5D32">
        <w:rPr>
          <w:rFonts w:ascii="Book Antiqua" w:eastAsia="Times New Roman" w:hAnsi="Book Antiqua"/>
          <w:sz w:val="24"/>
          <w:lang w:val="en-GB"/>
        </w:rPr>
        <w:t xml:space="preserve"> the</w:t>
      </w:r>
      <w:r w:rsidRPr="001E5D32">
        <w:rPr>
          <w:rFonts w:ascii="Book Antiqua" w:eastAsia="Times New Roman" w:hAnsi="Book Antiqua"/>
          <w:sz w:val="24"/>
          <w:lang w:val="en-GB"/>
        </w:rPr>
        <w:t xml:space="preserve"> progression of hepatic fibrogenesis </w:t>
      </w:r>
      <w:r w:rsidR="00D5693E" w:rsidRPr="001E5D32">
        <w:rPr>
          <w:rFonts w:ascii="Book Antiqua" w:eastAsia="Times New Roman" w:hAnsi="Book Antiqua"/>
          <w:sz w:val="24"/>
          <w:lang w:val="en-GB"/>
        </w:rPr>
        <w:t xml:space="preserve">and </w:t>
      </w:r>
      <w:r w:rsidR="00345E2C" w:rsidRPr="001E5D32">
        <w:rPr>
          <w:rFonts w:ascii="Book Antiqua" w:eastAsia="Times New Roman" w:hAnsi="Book Antiqua"/>
          <w:sz w:val="24"/>
          <w:lang w:val="en-GB"/>
        </w:rPr>
        <w:t>conferring risk for</w:t>
      </w:r>
      <w:r w:rsidR="00D5693E" w:rsidRPr="001E5D32">
        <w:rPr>
          <w:rFonts w:ascii="Book Antiqua" w:eastAsia="Times New Roman" w:hAnsi="Book Antiqua"/>
          <w:sz w:val="24"/>
          <w:lang w:val="en-GB"/>
        </w:rPr>
        <w:t xml:space="preserve"> increased histological severity </w:t>
      </w:r>
      <w:r w:rsidRPr="001E5D32">
        <w:rPr>
          <w:rFonts w:ascii="Book Antiqua" w:eastAsia="Times New Roman" w:hAnsi="Book Antiqua"/>
          <w:sz w:val="24"/>
          <w:lang w:val="en-GB"/>
        </w:rPr>
        <w:t>secondary to iron-mediated oxidative stres</w:t>
      </w:r>
      <w:r w:rsidR="00D641D3" w:rsidRPr="001E5D32">
        <w:rPr>
          <w:rFonts w:ascii="Book Antiqua" w:eastAsia="Times New Roman" w:hAnsi="Book Antiqua"/>
          <w:sz w:val="24"/>
          <w:lang w:val="en-GB"/>
        </w:rPr>
        <w:t>s and lipotoxicity</w:t>
      </w:r>
      <w:r w:rsidR="004807D4" w:rsidRPr="001E5D32">
        <w:rPr>
          <w:rFonts w:ascii="Book Antiqua" w:eastAsia="Times New Roman" w:hAnsi="Book Antiqua"/>
          <w:sz w:val="24"/>
          <w:vertAlign w:val="superscript"/>
          <w:lang w:val="en-GB"/>
        </w:rPr>
        <w:t>[</w:t>
      </w:r>
      <w:r w:rsidR="006C51AF" w:rsidRPr="001E5D32">
        <w:rPr>
          <w:rFonts w:ascii="Book Antiqua" w:eastAsia="Times New Roman" w:hAnsi="Book Antiqua"/>
          <w:sz w:val="24"/>
          <w:vertAlign w:val="superscript"/>
          <w:lang w:val="en-GB"/>
        </w:rPr>
        <w:t>170-172</w:t>
      </w:r>
      <w:r w:rsidR="004807D4" w:rsidRPr="001E5D32">
        <w:rPr>
          <w:rFonts w:ascii="Book Antiqua" w:eastAsia="Times New Roman" w:hAnsi="Book Antiqua"/>
          <w:sz w:val="24"/>
          <w:vertAlign w:val="superscript"/>
          <w:lang w:val="en-GB"/>
        </w:rPr>
        <w:t>]</w:t>
      </w:r>
      <w:r w:rsidR="004807D4" w:rsidRPr="001E5D32">
        <w:rPr>
          <w:rFonts w:ascii="Book Antiqua" w:eastAsia="Times New Roman" w:hAnsi="Book Antiqua"/>
          <w:sz w:val="24"/>
          <w:lang w:val="en-GB"/>
        </w:rPr>
        <w:t>.</w:t>
      </w:r>
      <w:r w:rsidRPr="001E5D32">
        <w:rPr>
          <w:rFonts w:ascii="Book Antiqua" w:eastAsia="Times New Roman" w:hAnsi="Book Antiqua"/>
          <w:sz w:val="24"/>
          <w:lang w:val="en-GB"/>
        </w:rPr>
        <w:t xml:space="preserve"> </w:t>
      </w:r>
      <w:r w:rsidR="00D5693E" w:rsidRPr="001E5D32">
        <w:rPr>
          <w:rFonts w:ascii="Book Antiqua" w:eastAsia="Times New Roman" w:hAnsi="Book Antiqua"/>
          <w:sz w:val="24"/>
          <w:lang w:val="en-GB"/>
        </w:rPr>
        <w:t>F</w:t>
      </w:r>
      <w:r w:rsidR="00032BF3" w:rsidRPr="001E5D32">
        <w:rPr>
          <w:rFonts w:ascii="Book Antiqua" w:eastAsia="Times New Roman" w:hAnsi="Book Antiqua"/>
          <w:sz w:val="24"/>
          <w:lang w:val="en-GB"/>
        </w:rPr>
        <w:t>indings from c</w:t>
      </w:r>
      <w:r w:rsidRPr="001E5D32">
        <w:rPr>
          <w:rFonts w:ascii="Book Antiqua" w:eastAsia="Times New Roman" w:hAnsi="Book Antiqua"/>
          <w:sz w:val="24"/>
          <w:lang w:val="en-GB"/>
        </w:rPr>
        <w:t>on</w:t>
      </w:r>
      <w:r w:rsidR="00D641D3" w:rsidRPr="001E5D32">
        <w:rPr>
          <w:rFonts w:ascii="Book Antiqua" w:eastAsia="Times New Roman" w:hAnsi="Book Antiqua"/>
          <w:sz w:val="24"/>
          <w:lang w:val="en-GB"/>
        </w:rPr>
        <w:t>flicting studies</w:t>
      </w:r>
      <w:r w:rsidR="004807D4" w:rsidRPr="001E5D32">
        <w:rPr>
          <w:rFonts w:ascii="Book Antiqua" w:eastAsia="Times New Roman" w:hAnsi="Book Antiqua"/>
          <w:sz w:val="24"/>
          <w:vertAlign w:val="superscript"/>
          <w:lang w:val="en-GB"/>
        </w:rPr>
        <w:t>[</w:t>
      </w:r>
      <w:r w:rsidR="006C51AF" w:rsidRPr="001E5D32">
        <w:rPr>
          <w:rFonts w:ascii="Book Antiqua" w:eastAsia="Times New Roman" w:hAnsi="Book Antiqua"/>
          <w:sz w:val="24"/>
          <w:vertAlign w:val="superscript"/>
          <w:lang w:val="en-GB"/>
        </w:rPr>
        <w:t>173,174</w:t>
      </w:r>
      <w:r w:rsidR="004807D4" w:rsidRPr="001E5D32">
        <w:rPr>
          <w:rFonts w:ascii="Book Antiqua" w:eastAsia="Times New Roman" w:hAnsi="Book Antiqua"/>
          <w:sz w:val="24"/>
          <w:vertAlign w:val="superscript"/>
          <w:lang w:val="en-GB"/>
        </w:rPr>
        <w:t>]</w:t>
      </w:r>
      <w:r w:rsidR="00032BF3" w:rsidRPr="001E5D32">
        <w:rPr>
          <w:rFonts w:ascii="Book Antiqua" w:eastAsia="Times New Roman" w:hAnsi="Book Antiqua"/>
          <w:sz w:val="24"/>
          <w:lang w:val="en-GB"/>
        </w:rPr>
        <w:t xml:space="preserve"> </w:t>
      </w:r>
      <w:r w:rsidR="00F21494" w:rsidRPr="001E5D32">
        <w:rPr>
          <w:rFonts w:ascii="Book Antiqua" w:eastAsia="Times New Roman" w:hAnsi="Book Antiqua"/>
          <w:sz w:val="24"/>
          <w:lang w:val="en-GB"/>
        </w:rPr>
        <w:t>as well as a syst</w:t>
      </w:r>
      <w:r w:rsidR="00D641D3" w:rsidRPr="001E5D32">
        <w:rPr>
          <w:rFonts w:ascii="Book Antiqua" w:eastAsia="Times New Roman" w:hAnsi="Book Antiqua"/>
          <w:sz w:val="24"/>
          <w:lang w:val="en-GB"/>
        </w:rPr>
        <w:t>ematic review and meta-analysis</w:t>
      </w:r>
      <w:r w:rsidR="00F21494" w:rsidRPr="001E5D32">
        <w:rPr>
          <w:rFonts w:ascii="Book Antiqua" w:eastAsia="Times New Roman" w:hAnsi="Book Antiqua"/>
          <w:sz w:val="24"/>
          <w:vertAlign w:val="superscript"/>
          <w:lang w:val="en-GB"/>
        </w:rPr>
        <w:t>[</w:t>
      </w:r>
      <w:r w:rsidR="006C51AF" w:rsidRPr="001E5D32">
        <w:rPr>
          <w:rFonts w:ascii="Book Antiqua" w:eastAsia="Times New Roman" w:hAnsi="Book Antiqua"/>
          <w:sz w:val="24"/>
          <w:vertAlign w:val="superscript"/>
          <w:lang w:val="en-GB"/>
        </w:rPr>
        <w:t>175</w:t>
      </w:r>
      <w:r w:rsidR="00F21494" w:rsidRPr="001E5D32">
        <w:rPr>
          <w:rFonts w:ascii="Book Antiqua" w:eastAsia="Times New Roman" w:hAnsi="Book Antiqua"/>
          <w:sz w:val="24"/>
          <w:vertAlign w:val="superscript"/>
          <w:lang w:val="en-GB"/>
        </w:rPr>
        <w:t>]</w:t>
      </w:r>
      <w:r w:rsidR="00F21494" w:rsidRPr="001E5D32">
        <w:rPr>
          <w:rFonts w:ascii="Book Antiqua" w:eastAsia="Times New Roman" w:hAnsi="Book Antiqua"/>
          <w:sz w:val="24"/>
          <w:lang w:val="en-GB"/>
        </w:rPr>
        <w:t xml:space="preserve"> however fail to support the notion that HFE genotype is a significant genetic determinant of risk for the onset or progression of NAFLD and/or DIOS.</w:t>
      </w:r>
      <w:r w:rsidR="00F21494" w:rsidRPr="001E5D32">
        <w:rPr>
          <w:rFonts w:ascii="Book Antiqua" w:hAnsi="Book Antiqua"/>
          <w:sz w:val="24"/>
        </w:rPr>
        <w:t xml:space="preserve"> </w:t>
      </w:r>
      <w:r w:rsidR="00F21494" w:rsidRPr="001E5D32">
        <w:rPr>
          <w:rFonts w:ascii="Book Antiqua" w:eastAsia="Times New Roman" w:hAnsi="Book Antiqua"/>
          <w:sz w:val="24"/>
          <w:lang w:val="en-GB"/>
        </w:rPr>
        <w:t xml:space="preserve">In patients with a known diagnosis of NAFLD, confirmation that HFE genotype allows for the non-invasive prediction of parenchymal as opposed to sinusoidal iron overload could also provide evidence supporting the relevance of personalized genomic testing in the non-invasive differentiation between hepatosteatosis/DIOS and type I </w:t>
      </w:r>
      <w:r w:rsidR="00132FD1" w:rsidRPr="001E5D32">
        <w:rPr>
          <w:rFonts w:ascii="Book Antiqua" w:eastAsia="Times New Roman" w:hAnsi="Book Antiqua"/>
          <w:sz w:val="24"/>
          <w:lang w:val="en-GB"/>
        </w:rPr>
        <w:t>genetic HH</w:t>
      </w:r>
      <w:r w:rsidR="00F21494" w:rsidRPr="001E5D32">
        <w:rPr>
          <w:rFonts w:ascii="Book Antiqua" w:eastAsia="Times New Roman" w:hAnsi="Book Antiqua"/>
          <w:sz w:val="24"/>
          <w:lang w:val="en-GB"/>
        </w:rPr>
        <w:t>. This issue was addressed in a study conducted b</w:t>
      </w:r>
      <w:r w:rsidR="00195906" w:rsidRPr="001E5D32">
        <w:rPr>
          <w:rFonts w:ascii="Book Antiqua" w:eastAsia="Times New Roman" w:hAnsi="Book Antiqua"/>
          <w:sz w:val="24"/>
          <w:lang w:val="en-GB"/>
        </w:rPr>
        <w:t xml:space="preserve">y Valenti </w:t>
      </w:r>
      <w:r w:rsidR="00195906" w:rsidRPr="001E5D32">
        <w:rPr>
          <w:rFonts w:ascii="Book Antiqua" w:eastAsia="Times New Roman" w:hAnsi="Book Antiqua"/>
          <w:i/>
          <w:sz w:val="24"/>
          <w:lang w:val="en-GB"/>
        </w:rPr>
        <w:t>et al</w:t>
      </w:r>
      <w:r w:rsidR="00F21494" w:rsidRPr="001E5D32">
        <w:rPr>
          <w:rFonts w:ascii="Book Antiqua" w:eastAsia="Times New Roman" w:hAnsi="Book Antiqua"/>
          <w:sz w:val="24"/>
          <w:vertAlign w:val="superscript"/>
          <w:lang w:val="en-GB"/>
        </w:rPr>
        <w:t>[</w:t>
      </w:r>
      <w:r w:rsidR="006C51AF" w:rsidRPr="001E5D32">
        <w:rPr>
          <w:rFonts w:ascii="Book Antiqua" w:eastAsia="Times New Roman" w:hAnsi="Book Antiqua"/>
          <w:sz w:val="24"/>
          <w:vertAlign w:val="superscript"/>
          <w:lang w:val="en-GB"/>
        </w:rPr>
        <w:t>176</w:t>
      </w:r>
      <w:r w:rsidR="00F21494" w:rsidRPr="001E5D32">
        <w:rPr>
          <w:rFonts w:ascii="Book Antiqua" w:eastAsia="Times New Roman" w:hAnsi="Book Antiqua"/>
          <w:sz w:val="24"/>
          <w:vertAlign w:val="superscript"/>
          <w:lang w:val="en-GB"/>
        </w:rPr>
        <w:t>]</w:t>
      </w:r>
      <w:r w:rsidR="00F21494" w:rsidRPr="001E5D32">
        <w:rPr>
          <w:rFonts w:ascii="Book Antiqua" w:eastAsia="Times New Roman" w:hAnsi="Book Antiqua"/>
          <w:sz w:val="24"/>
          <w:lang w:val="en-GB"/>
        </w:rPr>
        <w:t xml:space="preserve"> who showed that, despite the association between C282Y mutation carriage and parenchymal siderosis </w:t>
      </w:r>
      <w:r w:rsidR="00132FD1" w:rsidRPr="001E5D32">
        <w:rPr>
          <w:rFonts w:ascii="Book Antiqua" w:eastAsia="Times New Roman" w:hAnsi="Book Antiqua"/>
          <w:sz w:val="24"/>
          <w:lang w:val="en-GB"/>
        </w:rPr>
        <w:t>typical of type I genetic HH</w:t>
      </w:r>
      <w:r w:rsidR="00F21494" w:rsidRPr="001E5D32">
        <w:rPr>
          <w:rFonts w:ascii="Book Antiqua" w:eastAsia="Times New Roman" w:hAnsi="Book Antiqua"/>
          <w:sz w:val="24"/>
          <w:lang w:val="en-GB"/>
        </w:rPr>
        <w:t>, only ~33% of NAFLD patients exhibited this pattern of iron distribution, with HFE genotype explaining less than 50% of phenotypic variance for this trait. These findings suggest that HFE genotyping as a stand-alone genomic test most likely has limited utility as a reliable predictive marker for hepatocellular iron overload.</w:t>
      </w:r>
    </w:p>
    <w:p w14:paraId="602AF082" w14:textId="79F6FAA1" w:rsidR="006E26EF" w:rsidRPr="001E5D32" w:rsidRDefault="001E7AF9" w:rsidP="001E5D32">
      <w:pPr>
        <w:spacing w:line="360" w:lineRule="auto"/>
        <w:ind w:firstLineChars="200" w:firstLine="480"/>
        <w:rPr>
          <w:rFonts w:ascii="Book Antiqua" w:eastAsia="Times New Roman" w:hAnsi="Book Antiqua"/>
          <w:sz w:val="24"/>
          <w:lang w:val="en-GB"/>
        </w:rPr>
      </w:pPr>
      <w:r w:rsidRPr="001E5D32">
        <w:rPr>
          <w:rFonts w:ascii="Book Antiqua" w:eastAsia="Times New Roman" w:hAnsi="Book Antiqua"/>
          <w:sz w:val="24"/>
          <w:lang w:val="en-GB"/>
        </w:rPr>
        <w:t>There is growing appreciation</w:t>
      </w:r>
      <w:r w:rsidR="00BC51C9" w:rsidRPr="001E5D32">
        <w:rPr>
          <w:rFonts w:ascii="Book Antiqua" w:eastAsia="Times New Roman" w:hAnsi="Book Antiqua"/>
          <w:sz w:val="24"/>
          <w:lang w:val="en-GB"/>
        </w:rPr>
        <w:t xml:space="preserve"> that</w:t>
      </w:r>
      <w:r w:rsidR="0030326B" w:rsidRPr="001E5D32">
        <w:rPr>
          <w:rFonts w:ascii="Book Antiqua" w:eastAsia="Times New Roman" w:hAnsi="Book Antiqua"/>
          <w:sz w:val="24"/>
          <w:lang w:val="en-GB"/>
        </w:rPr>
        <w:t xml:space="preserve"> genetic </w:t>
      </w:r>
      <w:r w:rsidR="00CB2509" w:rsidRPr="001E5D32">
        <w:rPr>
          <w:rFonts w:ascii="Book Antiqua" w:eastAsia="Times New Roman" w:hAnsi="Book Antiqua"/>
          <w:sz w:val="24"/>
          <w:lang w:val="en-GB"/>
        </w:rPr>
        <w:t xml:space="preserve">variants implicated in the aberrant regulation of the ferroportin-hepcidin axis play a </w:t>
      </w:r>
      <w:r w:rsidR="00BC51C9" w:rsidRPr="001E5D32">
        <w:rPr>
          <w:rFonts w:ascii="Book Antiqua" w:eastAsia="Times New Roman" w:hAnsi="Book Antiqua"/>
          <w:sz w:val="24"/>
          <w:lang w:val="en-GB"/>
        </w:rPr>
        <w:t>major</w:t>
      </w:r>
      <w:r w:rsidR="00CB2509" w:rsidRPr="001E5D32">
        <w:rPr>
          <w:rFonts w:ascii="Book Antiqua" w:eastAsia="Times New Roman" w:hAnsi="Book Antiqua"/>
          <w:sz w:val="24"/>
          <w:lang w:val="en-GB"/>
        </w:rPr>
        <w:t xml:space="preserve"> </w:t>
      </w:r>
      <w:r w:rsidR="00BC51C9" w:rsidRPr="001E5D32">
        <w:rPr>
          <w:rFonts w:ascii="Book Antiqua" w:eastAsia="Times New Roman" w:hAnsi="Book Antiqua"/>
          <w:sz w:val="24"/>
          <w:lang w:val="en-GB"/>
        </w:rPr>
        <w:t>role</w:t>
      </w:r>
      <w:r w:rsidR="00CB2509" w:rsidRPr="001E5D32">
        <w:rPr>
          <w:rFonts w:ascii="Book Antiqua" w:eastAsia="Times New Roman" w:hAnsi="Book Antiqua"/>
          <w:sz w:val="24"/>
          <w:lang w:val="en-GB"/>
        </w:rPr>
        <w:t xml:space="preserve"> in the </w:t>
      </w:r>
      <w:r w:rsidR="00BC51C9" w:rsidRPr="001E5D32">
        <w:rPr>
          <w:rFonts w:ascii="Book Antiqua" w:eastAsia="Times New Roman" w:hAnsi="Book Antiqua"/>
          <w:sz w:val="24"/>
          <w:lang w:val="en-GB"/>
        </w:rPr>
        <w:t>etiopathogenesis of</w:t>
      </w:r>
      <w:r w:rsidR="00D641D3" w:rsidRPr="001E5D32">
        <w:rPr>
          <w:rFonts w:ascii="Book Antiqua" w:eastAsia="Times New Roman" w:hAnsi="Book Antiqua"/>
          <w:sz w:val="24"/>
          <w:lang w:val="en-GB"/>
        </w:rPr>
        <w:t xml:space="preserve"> iron-related disorders</w:t>
      </w:r>
      <w:r w:rsidR="00806039" w:rsidRPr="001E5D32">
        <w:rPr>
          <w:rFonts w:ascii="Book Antiqua" w:eastAsia="Times New Roman" w:hAnsi="Book Antiqua"/>
          <w:sz w:val="24"/>
          <w:vertAlign w:val="superscript"/>
          <w:lang w:val="en-GB"/>
        </w:rPr>
        <w:t>[</w:t>
      </w:r>
      <w:r w:rsidR="00303EB5" w:rsidRPr="001E5D32">
        <w:rPr>
          <w:rFonts w:ascii="Book Antiqua" w:eastAsia="Times New Roman" w:hAnsi="Book Antiqua"/>
          <w:sz w:val="24"/>
          <w:vertAlign w:val="superscript"/>
          <w:lang w:val="en-GB"/>
        </w:rPr>
        <w:t>177</w:t>
      </w:r>
      <w:r w:rsidR="00806039" w:rsidRPr="001E5D32">
        <w:rPr>
          <w:rFonts w:ascii="Book Antiqua" w:eastAsia="Times New Roman" w:hAnsi="Book Antiqua"/>
          <w:sz w:val="24"/>
          <w:vertAlign w:val="superscript"/>
          <w:lang w:val="en-GB"/>
        </w:rPr>
        <w:t>]</w:t>
      </w:r>
      <w:r w:rsidR="0030326B" w:rsidRPr="001E5D32">
        <w:rPr>
          <w:rFonts w:ascii="Book Antiqua" w:eastAsia="Times New Roman" w:hAnsi="Book Antiqua"/>
          <w:sz w:val="24"/>
          <w:lang w:val="en-GB"/>
        </w:rPr>
        <w:t>. In accordance with this notion, a polymorphic variant</w:t>
      </w:r>
      <w:r w:rsidR="00CB2509" w:rsidRPr="001E5D32">
        <w:rPr>
          <w:rFonts w:ascii="Book Antiqua" w:eastAsia="Times New Roman" w:hAnsi="Book Antiqua"/>
          <w:sz w:val="24"/>
          <w:lang w:val="en-GB"/>
        </w:rPr>
        <w:t xml:space="preserve"> </w:t>
      </w:r>
      <w:r w:rsidR="00E122D0" w:rsidRPr="001E5D32">
        <w:rPr>
          <w:rFonts w:ascii="Book Antiqua" w:eastAsia="Times New Roman" w:hAnsi="Book Antiqua"/>
          <w:sz w:val="24"/>
          <w:lang w:val="en-GB"/>
        </w:rPr>
        <w:t>(rs855791</w:t>
      </w:r>
      <w:r w:rsidR="0030326B" w:rsidRPr="001E5D32">
        <w:rPr>
          <w:rFonts w:ascii="Book Antiqua" w:eastAsia="Times New Roman" w:hAnsi="Book Antiqua"/>
          <w:sz w:val="24"/>
          <w:lang w:val="en-GB"/>
        </w:rPr>
        <w:t xml:space="preserve">) </w:t>
      </w:r>
      <w:r w:rsidR="00CB2509" w:rsidRPr="001E5D32">
        <w:rPr>
          <w:rFonts w:ascii="Book Antiqua" w:eastAsia="Times New Roman" w:hAnsi="Book Antiqua"/>
          <w:sz w:val="24"/>
          <w:lang w:val="en-GB"/>
        </w:rPr>
        <w:t xml:space="preserve">in the matriptase-2 (TMPRSS6) </w:t>
      </w:r>
      <w:r w:rsidR="00E122D0" w:rsidRPr="001E5D32">
        <w:rPr>
          <w:rFonts w:ascii="Book Antiqua" w:eastAsia="Times New Roman" w:hAnsi="Book Antiqua"/>
          <w:sz w:val="24"/>
          <w:lang w:val="en-GB"/>
        </w:rPr>
        <w:t xml:space="preserve">gene </w:t>
      </w:r>
      <w:r w:rsidR="0030326B" w:rsidRPr="001E5D32">
        <w:rPr>
          <w:rFonts w:ascii="Book Antiqua" w:eastAsia="Times New Roman" w:hAnsi="Book Antiqua"/>
          <w:sz w:val="24"/>
          <w:lang w:val="en-GB"/>
        </w:rPr>
        <w:t xml:space="preserve">has been associated with dysfunctional down-regulation of </w:t>
      </w:r>
      <w:r w:rsidR="00CB2509" w:rsidRPr="001E5D32">
        <w:rPr>
          <w:rFonts w:ascii="Book Antiqua" w:eastAsia="Times New Roman" w:hAnsi="Book Antiqua"/>
          <w:sz w:val="24"/>
          <w:lang w:val="en-GB"/>
        </w:rPr>
        <w:t>hepcidin expression</w:t>
      </w:r>
      <w:r w:rsidR="0030326B" w:rsidRPr="001E5D32">
        <w:rPr>
          <w:rFonts w:ascii="Book Antiqua" w:eastAsia="Times New Roman" w:hAnsi="Book Antiqua"/>
          <w:sz w:val="24"/>
          <w:lang w:val="en-GB"/>
        </w:rPr>
        <w:t xml:space="preserve"> implicated i</w:t>
      </w:r>
      <w:r w:rsidRPr="001E5D32">
        <w:rPr>
          <w:rFonts w:ascii="Book Antiqua" w:eastAsia="Times New Roman" w:hAnsi="Book Antiqua"/>
          <w:sz w:val="24"/>
          <w:lang w:val="en-GB"/>
        </w:rPr>
        <w:t xml:space="preserve">n the pathogenesis of a severe </w:t>
      </w:r>
      <w:r w:rsidR="00CB2509" w:rsidRPr="001E5D32">
        <w:rPr>
          <w:rFonts w:ascii="Book Antiqua" w:eastAsia="Times New Roman" w:hAnsi="Book Antiqua"/>
          <w:sz w:val="24"/>
          <w:lang w:val="en-GB"/>
        </w:rPr>
        <w:t>atypical</w:t>
      </w:r>
      <w:r w:rsidRPr="001E5D32">
        <w:rPr>
          <w:rFonts w:ascii="Book Antiqua" w:eastAsia="Times New Roman" w:hAnsi="Book Antiqua"/>
          <w:sz w:val="24"/>
          <w:lang w:val="en-GB"/>
        </w:rPr>
        <w:t xml:space="preserve"> form of</w:t>
      </w:r>
      <w:r w:rsidR="00CB2509" w:rsidRPr="001E5D32">
        <w:rPr>
          <w:rFonts w:ascii="Book Antiqua" w:eastAsia="Times New Roman" w:hAnsi="Book Antiqua"/>
          <w:sz w:val="24"/>
          <w:lang w:val="en-GB"/>
        </w:rPr>
        <w:t xml:space="preserve"> iron-refractory iron-deficiency </w:t>
      </w:r>
      <w:r w:rsidR="006E26EF" w:rsidRPr="001E5D32">
        <w:rPr>
          <w:rFonts w:ascii="Book Antiqua" w:eastAsia="Times New Roman" w:hAnsi="Book Antiqua"/>
          <w:sz w:val="24"/>
          <w:lang w:val="en-GB"/>
        </w:rPr>
        <w:t>anaemia</w:t>
      </w:r>
      <w:r w:rsidR="00CB2509" w:rsidRPr="001E5D32">
        <w:rPr>
          <w:rFonts w:ascii="Book Antiqua" w:eastAsia="Times New Roman" w:hAnsi="Book Antiqua"/>
          <w:sz w:val="24"/>
          <w:lang w:val="en-GB"/>
        </w:rPr>
        <w:t xml:space="preserve"> (IRIDA). </w:t>
      </w:r>
      <w:r w:rsidRPr="001E5D32">
        <w:rPr>
          <w:rFonts w:ascii="Book Antiqua" w:eastAsia="Times New Roman" w:hAnsi="Book Antiqua"/>
          <w:sz w:val="24"/>
          <w:lang w:val="en-GB"/>
        </w:rPr>
        <w:t>It remains unclear</w:t>
      </w:r>
      <w:r w:rsidR="006E26EF" w:rsidRPr="001E5D32">
        <w:rPr>
          <w:rFonts w:ascii="Book Antiqua" w:eastAsia="Times New Roman" w:hAnsi="Book Antiqua"/>
          <w:sz w:val="24"/>
          <w:lang w:val="en-GB"/>
        </w:rPr>
        <w:t xml:space="preserve"> however to what extent</w:t>
      </w:r>
      <w:r w:rsidRPr="001E5D32">
        <w:rPr>
          <w:rFonts w:ascii="Book Antiqua" w:eastAsia="Times New Roman" w:hAnsi="Book Antiqua"/>
          <w:sz w:val="24"/>
          <w:lang w:val="en-GB"/>
        </w:rPr>
        <w:t xml:space="preserve"> the association between TMPRSS6 </w:t>
      </w:r>
      <w:r w:rsidR="00E122D0" w:rsidRPr="001E5D32">
        <w:rPr>
          <w:rFonts w:ascii="Book Antiqua" w:eastAsia="Times New Roman" w:hAnsi="Book Antiqua"/>
          <w:sz w:val="24"/>
          <w:lang w:val="en-GB"/>
        </w:rPr>
        <w:t>rs855791</w:t>
      </w:r>
      <w:r w:rsidR="00D641D3" w:rsidRPr="001E5D32">
        <w:rPr>
          <w:rFonts w:ascii="Book Antiqua" w:eastAsia="Times New Roman" w:hAnsi="Book Antiqua"/>
          <w:sz w:val="24"/>
          <w:lang w:val="en-GB"/>
        </w:rPr>
        <w:t xml:space="preserve"> </w:t>
      </w:r>
      <w:r w:rsidRPr="001E5D32">
        <w:rPr>
          <w:rFonts w:ascii="Book Antiqua" w:eastAsia="Times New Roman" w:hAnsi="Book Antiqua"/>
          <w:sz w:val="24"/>
          <w:lang w:val="en-GB"/>
        </w:rPr>
        <w:t xml:space="preserve">and IRIDA is </w:t>
      </w:r>
      <w:r w:rsidR="00C11BED" w:rsidRPr="001E5D32">
        <w:rPr>
          <w:rFonts w:ascii="Book Antiqua" w:eastAsia="Times New Roman" w:hAnsi="Book Antiqua"/>
          <w:sz w:val="24"/>
          <w:lang w:val="en-GB"/>
        </w:rPr>
        <w:t xml:space="preserve">either </w:t>
      </w:r>
      <w:r w:rsidRPr="001E5D32">
        <w:rPr>
          <w:rFonts w:ascii="Book Antiqua" w:eastAsia="Times New Roman" w:hAnsi="Book Antiqua"/>
          <w:sz w:val="24"/>
          <w:lang w:val="en-GB"/>
        </w:rPr>
        <w:t>mediated by or independent of hepcidin status, with existing evidence indicating that the pleiotropic effects this genetic variant exerts on serum iron profil</w:t>
      </w:r>
      <w:r w:rsidR="008A5055" w:rsidRPr="001E5D32">
        <w:rPr>
          <w:rFonts w:ascii="Book Antiqua" w:eastAsia="Times New Roman" w:hAnsi="Book Antiqua"/>
          <w:sz w:val="24"/>
          <w:lang w:val="en-GB"/>
        </w:rPr>
        <w:t>es are likely context-dependent</w:t>
      </w:r>
      <w:r w:rsidR="006E26EF" w:rsidRPr="001E5D32">
        <w:rPr>
          <w:rFonts w:ascii="Book Antiqua" w:eastAsia="Times New Roman" w:hAnsi="Book Antiqua"/>
          <w:sz w:val="24"/>
          <w:vertAlign w:val="superscript"/>
          <w:lang w:val="en-GB"/>
        </w:rPr>
        <w:t>[</w:t>
      </w:r>
      <w:r w:rsidR="00303EB5" w:rsidRPr="001E5D32">
        <w:rPr>
          <w:rFonts w:ascii="Book Antiqua" w:eastAsia="Times New Roman" w:hAnsi="Book Antiqua"/>
          <w:sz w:val="24"/>
          <w:vertAlign w:val="superscript"/>
          <w:lang w:val="en-GB"/>
        </w:rPr>
        <w:t>178-180</w:t>
      </w:r>
      <w:r w:rsidR="006E26EF" w:rsidRPr="001E5D32">
        <w:rPr>
          <w:rFonts w:ascii="Book Antiqua" w:eastAsia="Times New Roman" w:hAnsi="Book Antiqua"/>
          <w:sz w:val="24"/>
          <w:vertAlign w:val="superscript"/>
          <w:lang w:val="en-GB"/>
        </w:rPr>
        <w:t>]</w:t>
      </w:r>
      <w:r w:rsidR="00BC51C9" w:rsidRPr="001E5D32">
        <w:rPr>
          <w:rFonts w:ascii="Book Antiqua" w:eastAsia="Times New Roman" w:hAnsi="Book Antiqua"/>
          <w:sz w:val="24"/>
          <w:lang w:val="en-GB"/>
        </w:rPr>
        <w:t xml:space="preserve">. The putative role of </w:t>
      </w:r>
      <w:r w:rsidR="00E122D0" w:rsidRPr="001E5D32">
        <w:rPr>
          <w:rFonts w:ascii="Book Antiqua" w:eastAsia="Times New Roman" w:hAnsi="Book Antiqua"/>
          <w:sz w:val="24"/>
          <w:lang w:val="en-GB"/>
        </w:rPr>
        <w:t>the</w:t>
      </w:r>
      <w:r w:rsidR="00BC51C9" w:rsidRPr="001E5D32">
        <w:rPr>
          <w:rFonts w:ascii="Book Antiqua" w:eastAsia="Times New Roman" w:hAnsi="Book Antiqua"/>
          <w:sz w:val="24"/>
          <w:lang w:val="en-GB"/>
        </w:rPr>
        <w:t xml:space="preserve"> </w:t>
      </w:r>
      <w:r w:rsidR="00E122D0" w:rsidRPr="001E5D32">
        <w:rPr>
          <w:rFonts w:ascii="Book Antiqua" w:eastAsia="Times New Roman" w:hAnsi="Book Antiqua"/>
          <w:sz w:val="24"/>
          <w:lang w:val="en-GB"/>
        </w:rPr>
        <w:t>rs855791</w:t>
      </w:r>
      <w:r w:rsidR="00D641D3" w:rsidRPr="001E5D32">
        <w:rPr>
          <w:rFonts w:ascii="Book Antiqua" w:eastAsia="Times New Roman" w:hAnsi="Book Antiqua"/>
          <w:sz w:val="24"/>
          <w:lang w:val="en-GB"/>
        </w:rPr>
        <w:t xml:space="preserve"> </w:t>
      </w:r>
      <w:r w:rsidR="00BC51C9" w:rsidRPr="001E5D32">
        <w:rPr>
          <w:rFonts w:ascii="Book Antiqua" w:eastAsia="Times New Roman" w:hAnsi="Book Antiqua"/>
          <w:sz w:val="24"/>
          <w:lang w:val="en-GB"/>
        </w:rPr>
        <w:t>as a genetic determinant of risk for the onset and progression of NAFLD has recently started to garner</w:t>
      </w:r>
      <w:r w:rsidR="006E26EF" w:rsidRPr="001E5D32">
        <w:rPr>
          <w:rFonts w:ascii="Book Antiqua" w:eastAsia="Times New Roman" w:hAnsi="Book Antiqua"/>
          <w:sz w:val="24"/>
          <w:lang w:val="en-GB"/>
        </w:rPr>
        <w:t xml:space="preserve"> increasing</w:t>
      </w:r>
      <w:r w:rsidR="00BC51C9" w:rsidRPr="001E5D32">
        <w:rPr>
          <w:rFonts w:ascii="Book Antiqua" w:eastAsia="Times New Roman" w:hAnsi="Book Antiqua"/>
          <w:sz w:val="24"/>
          <w:lang w:val="en-GB"/>
        </w:rPr>
        <w:t xml:space="preserve"> research attention. </w:t>
      </w:r>
      <w:r w:rsidR="006E26EF" w:rsidRPr="001E5D32">
        <w:rPr>
          <w:rFonts w:ascii="Book Antiqua" w:eastAsia="Times New Roman" w:hAnsi="Book Antiqua"/>
          <w:sz w:val="24"/>
          <w:lang w:val="en-GB"/>
        </w:rPr>
        <w:t>Emerging evidence suggests that TMPRSS6</w:t>
      </w:r>
      <w:r w:rsidR="00E122D0" w:rsidRPr="001E5D32">
        <w:rPr>
          <w:rFonts w:ascii="Book Antiqua" w:hAnsi="Book Antiqua"/>
          <w:sz w:val="24"/>
        </w:rPr>
        <w:t xml:space="preserve"> </w:t>
      </w:r>
      <w:r w:rsidR="00E122D0" w:rsidRPr="001E5D32">
        <w:rPr>
          <w:rFonts w:ascii="Book Antiqua" w:eastAsia="Times New Roman" w:hAnsi="Book Antiqua"/>
          <w:sz w:val="24"/>
          <w:lang w:val="en-GB"/>
        </w:rPr>
        <w:t>rs855791</w:t>
      </w:r>
      <w:r w:rsidR="006E26EF" w:rsidRPr="001E5D32">
        <w:rPr>
          <w:rFonts w:ascii="Book Antiqua" w:eastAsia="Times New Roman" w:hAnsi="Book Antiqua"/>
          <w:sz w:val="24"/>
          <w:lang w:val="en-GB"/>
        </w:rPr>
        <w:t xml:space="preserve"> is a</w:t>
      </w:r>
      <w:r w:rsidR="00CB2509" w:rsidRPr="001E5D32">
        <w:rPr>
          <w:rFonts w:ascii="Book Antiqua" w:eastAsia="Times New Roman" w:hAnsi="Book Antiqua"/>
          <w:sz w:val="24"/>
          <w:lang w:val="en-GB"/>
        </w:rPr>
        <w:t xml:space="preserve">ssociated with </w:t>
      </w:r>
      <w:r w:rsidR="006E26EF" w:rsidRPr="001E5D32">
        <w:rPr>
          <w:rFonts w:ascii="Book Antiqua" w:eastAsia="Times New Roman" w:hAnsi="Book Antiqua"/>
          <w:sz w:val="24"/>
          <w:lang w:val="en-GB"/>
        </w:rPr>
        <w:t xml:space="preserve">hypoferritinemia and </w:t>
      </w:r>
      <w:r w:rsidR="00CB2509" w:rsidRPr="001E5D32">
        <w:rPr>
          <w:rFonts w:ascii="Book Antiqua" w:eastAsia="Times New Roman" w:hAnsi="Book Antiqua"/>
          <w:sz w:val="24"/>
          <w:lang w:val="en-GB"/>
        </w:rPr>
        <w:t>d</w:t>
      </w:r>
      <w:r w:rsidR="0030326B" w:rsidRPr="001E5D32">
        <w:rPr>
          <w:rFonts w:ascii="Book Antiqua" w:eastAsia="Times New Roman" w:hAnsi="Book Antiqua"/>
          <w:sz w:val="24"/>
          <w:lang w:val="en-GB"/>
        </w:rPr>
        <w:t>ecreased hepatic iron stores</w:t>
      </w:r>
      <w:r w:rsidR="006E26EF" w:rsidRPr="001E5D32">
        <w:rPr>
          <w:rFonts w:ascii="Book Antiqua" w:eastAsia="Times New Roman" w:hAnsi="Book Antiqua"/>
          <w:sz w:val="24"/>
          <w:lang w:val="en-GB"/>
        </w:rPr>
        <w:t xml:space="preserve"> independent of serum ferritin and HFE genotype, and may exert a protective effect against the development of hepatic siderosis a</w:t>
      </w:r>
      <w:r w:rsidR="00D641D3" w:rsidRPr="001E5D32">
        <w:rPr>
          <w:rFonts w:ascii="Book Antiqua" w:eastAsia="Times New Roman" w:hAnsi="Book Antiqua"/>
          <w:sz w:val="24"/>
          <w:lang w:val="en-GB"/>
        </w:rPr>
        <w:t>nd DM II in patients with NAFLD</w:t>
      </w:r>
      <w:r w:rsidR="006E26EF" w:rsidRPr="001E5D32">
        <w:rPr>
          <w:rFonts w:ascii="Book Antiqua" w:eastAsia="Times New Roman" w:hAnsi="Book Antiqua"/>
          <w:sz w:val="24"/>
          <w:vertAlign w:val="superscript"/>
          <w:lang w:val="en-GB"/>
        </w:rPr>
        <w:t>[</w:t>
      </w:r>
      <w:r w:rsidR="00303EB5" w:rsidRPr="001E5D32">
        <w:rPr>
          <w:rFonts w:ascii="Book Antiqua" w:eastAsia="Times New Roman" w:hAnsi="Book Antiqua"/>
          <w:sz w:val="24"/>
          <w:vertAlign w:val="superscript"/>
          <w:lang w:val="en-GB"/>
        </w:rPr>
        <w:t>181,182</w:t>
      </w:r>
      <w:r w:rsidR="006E26EF" w:rsidRPr="001E5D32">
        <w:rPr>
          <w:rFonts w:ascii="Book Antiqua" w:eastAsia="Times New Roman" w:hAnsi="Book Antiqua"/>
          <w:sz w:val="24"/>
          <w:vertAlign w:val="superscript"/>
          <w:lang w:val="en-GB"/>
        </w:rPr>
        <w:t>]</w:t>
      </w:r>
      <w:r w:rsidR="006E26EF" w:rsidRPr="001E5D32">
        <w:rPr>
          <w:rFonts w:ascii="Book Antiqua" w:eastAsia="Times New Roman" w:hAnsi="Book Antiqua"/>
          <w:sz w:val="24"/>
          <w:lang w:val="en-GB"/>
        </w:rPr>
        <w:t>. Ong</w:t>
      </w:r>
      <w:r w:rsidR="00B946EC" w:rsidRPr="001E5D32">
        <w:rPr>
          <w:rFonts w:ascii="Book Antiqua" w:eastAsia="Times New Roman" w:hAnsi="Book Antiqua"/>
          <w:sz w:val="24"/>
          <w:lang w:val="en-GB"/>
        </w:rPr>
        <w:t>oing investigative effort is</w:t>
      </w:r>
      <w:r w:rsidR="006E26EF" w:rsidRPr="001E5D32">
        <w:rPr>
          <w:rFonts w:ascii="Book Antiqua" w:eastAsia="Times New Roman" w:hAnsi="Book Antiqua"/>
          <w:sz w:val="24"/>
          <w:lang w:val="en-GB"/>
        </w:rPr>
        <w:t xml:space="preserve"> required</w:t>
      </w:r>
      <w:r w:rsidR="00B946EC" w:rsidRPr="001E5D32">
        <w:rPr>
          <w:rFonts w:ascii="Book Antiqua" w:eastAsia="Times New Roman" w:hAnsi="Book Antiqua"/>
          <w:sz w:val="24"/>
          <w:lang w:val="en-GB"/>
        </w:rPr>
        <w:t xml:space="preserve"> </w:t>
      </w:r>
      <w:r w:rsidR="000035DE" w:rsidRPr="001E5D32">
        <w:rPr>
          <w:rFonts w:ascii="Book Antiqua" w:eastAsia="Times New Roman" w:hAnsi="Book Antiqua"/>
          <w:sz w:val="24"/>
          <w:lang w:val="en-GB"/>
        </w:rPr>
        <w:t>not only to further</w:t>
      </w:r>
      <w:r w:rsidR="006E26EF" w:rsidRPr="001E5D32">
        <w:rPr>
          <w:rFonts w:ascii="Book Antiqua" w:eastAsia="Times New Roman" w:hAnsi="Book Antiqua"/>
          <w:sz w:val="24"/>
          <w:lang w:val="en-GB"/>
        </w:rPr>
        <w:t xml:space="preserve"> elucidate the clinical significance of TMPRSS6</w:t>
      </w:r>
      <w:r w:rsidR="00E122D0" w:rsidRPr="001E5D32">
        <w:rPr>
          <w:rFonts w:ascii="Book Antiqua" w:eastAsia="Times New Roman" w:hAnsi="Book Antiqua"/>
          <w:sz w:val="24"/>
          <w:lang w:val="en-GB"/>
        </w:rPr>
        <w:t xml:space="preserve"> rs855791</w:t>
      </w:r>
      <w:r w:rsidR="006E26EF" w:rsidRPr="001E5D32">
        <w:rPr>
          <w:rFonts w:ascii="Book Antiqua" w:eastAsia="Times New Roman" w:hAnsi="Book Antiqua"/>
          <w:sz w:val="24"/>
          <w:lang w:val="en-GB"/>
        </w:rPr>
        <w:t xml:space="preserve"> as a potential genetic risk modifier for NASH and/or advanced he</w:t>
      </w:r>
      <w:r w:rsidR="000035DE" w:rsidRPr="001E5D32">
        <w:rPr>
          <w:rFonts w:ascii="Book Antiqua" w:eastAsia="Times New Roman" w:hAnsi="Book Antiqua"/>
          <w:sz w:val="24"/>
          <w:lang w:val="en-GB"/>
        </w:rPr>
        <w:t xml:space="preserve">patic siderosis but also </w:t>
      </w:r>
      <w:r w:rsidR="00B946EC" w:rsidRPr="001E5D32">
        <w:rPr>
          <w:rFonts w:ascii="Book Antiqua" w:eastAsia="Times New Roman" w:hAnsi="Book Antiqua"/>
          <w:sz w:val="24"/>
          <w:lang w:val="en-GB"/>
        </w:rPr>
        <w:t>replicate</w:t>
      </w:r>
      <w:r w:rsidR="005446EF" w:rsidRPr="001E5D32">
        <w:rPr>
          <w:rFonts w:ascii="Book Antiqua" w:eastAsia="Times New Roman" w:hAnsi="Book Antiqua"/>
          <w:sz w:val="24"/>
          <w:lang w:val="en-GB"/>
        </w:rPr>
        <w:t xml:space="preserve"> its apparent dissociation from susceptibility towards DIOS </w:t>
      </w:r>
      <w:r w:rsidR="00B946EC" w:rsidRPr="001E5D32">
        <w:rPr>
          <w:rFonts w:ascii="Book Antiqua" w:eastAsia="Times New Roman" w:hAnsi="Book Antiqua"/>
          <w:sz w:val="24"/>
          <w:lang w:val="en-GB"/>
        </w:rPr>
        <w:t>considered in the</w:t>
      </w:r>
      <w:r w:rsidR="005446EF" w:rsidRPr="001E5D32">
        <w:rPr>
          <w:rFonts w:ascii="Book Antiqua" w:eastAsia="Times New Roman" w:hAnsi="Book Antiqua"/>
          <w:sz w:val="24"/>
          <w:lang w:val="en-GB"/>
        </w:rPr>
        <w:t xml:space="preserve"> context of known environmental and epistatic modu</w:t>
      </w:r>
      <w:r w:rsidR="00B946EC" w:rsidRPr="001E5D32">
        <w:rPr>
          <w:rFonts w:ascii="Book Antiqua" w:eastAsia="Times New Roman" w:hAnsi="Book Antiqua"/>
          <w:sz w:val="24"/>
          <w:lang w:val="en-GB"/>
        </w:rPr>
        <w:t>lators of phenotypic expression in other population groups.</w:t>
      </w:r>
    </w:p>
    <w:p w14:paraId="4A33E2B2" w14:textId="4C3985F8" w:rsidR="00BC51C9" w:rsidRPr="001E5D32" w:rsidRDefault="006E26EF" w:rsidP="001E5D32">
      <w:pPr>
        <w:tabs>
          <w:tab w:val="left" w:pos="2205"/>
        </w:tabs>
        <w:spacing w:line="360" w:lineRule="auto"/>
        <w:rPr>
          <w:rFonts w:ascii="Book Antiqua" w:eastAsia="Times New Roman" w:hAnsi="Book Antiqua"/>
          <w:i/>
          <w:sz w:val="24"/>
          <w:lang w:val="en-GB"/>
        </w:rPr>
      </w:pPr>
      <w:r w:rsidRPr="001E5D32">
        <w:rPr>
          <w:rFonts w:ascii="Book Antiqua" w:eastAsia="Times New Roman" w:hAnsi="Book Antiqua"/>
          <w:i/>
          <w:sz w:val="24"/>
          <w:lang w:val="en-GB"/>
        </w:rPr>
        <w:tab/>
      </w:r>
    </w:p>
    <w:p w14:paraId="737184CE" w14:textId="102850A7" w:rsidR="00A75D43" w:rsidRPr="001E5D32" w:rsidRDefault="00A75D43" w:rsidP="001E5D32">
      <w:pPr>
        <w:spacing w:line="360" w:lineRule="auto"/>
        <w:rPr>
          <w:rFonts w:ascii="Book Antiqua" w:eastAsia="Times New Roman" w:hAnsi="Book Antiqua"/>
          <w:b/>
          <w:i/>
          <w:sz w:val="24"/>
          <w:lang w:val="en-GB"/>
        </w:rPr>
      </w:pPr>
      <w:r w:rsidRPr="001E5D32">
        <w:rPr>
          <w:rFonts w:ascii="Book Antiqua" w:eastAsia="Times New Roman" w:hAnsi="Book Antiqua"/>
          <w:b/>
          <w:i/>
          <w:sz w:val="24"/>
          <w:lang w:val="en-GB"/>
        </w:rPr>
        <w:t xml:space="preserve">Incorporation of emerging imaging methodologies as a component of existing composite prognostic models </w:t>
      </w:r>
    </w:p>
    <w:p w14:paraId="46DAA4E8" w14:textId="562C0494" w:rsidR="00045B32" w:rsidRPr="001E5D32" w:rsidRDefault="00A75D43"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Findings from multiple studies and meta-analyses further support the utility of transient elastography (TE) in diagnosing and excluding advanced hepatic fibrosis and cirrhosis with excellent accuracy, providing a reliable non-invasive tool used to assess and monitor the progression of fi</w:t>
      </w:r>
      <w:r w:rsidR="001C4BC8" w:rsidRPr="001E5D32">
        <w:rPr>
          <w:rFonts w:ascii="Book Antiqua" w:eastAsia="Times New Roman" w:hAnsi="Book Antiqua"/>
          <w:sz w:val="24"/>
          <w:lang w:val="en-GB"/>
        </w:rPr>
        <w:t>brogenic activity in</w:t>
      </w:r>
      <w:r w:rsidR="00F16C56" w:rsidRPr="001E5D32">
        <w:rPr>
          <w:rFonts w:ascii="Book Antiqua" w:eastAsia="Times New Roman" w:hAnsi="Book Antiqua"/>
          <w:sz w:val="24"/>
          <w:lang w:val="en-GB"/>
        </w:rPr>
        <w:t xml:space="preserve"> patients with</w:t>
      </w:r>
      <w:r w:rsidR="001C4BC8" w:rsidRPr="001E5D32">
        <w:rPr>
          <w:rFonts w:ascii="Book Antiqua" w:eastAsia="Times New Roman" w:hAnsi="Book Antiqua"/>
          <w:sz w:val="24"/>
          <w:lang w:val="en-GB"/>
        </w:rPr>
        <w:t xml:space="preserve"> NAFLD/NASH. To what extent extra-hepatic metabolic risk phenotypes as well as </w:t>
      </w:r>
      <w:r w:rsidR="00750266" w:rsidRPr="001E5D32">
        <w:rPr>
          <w:rFonts w:ascii="Book Antiqua" w:eastAsia="Times New Roman" w:hAnsi="Book Antiqua"/>
          <w:sz w:val="24"/>
          <w:lang w:val="en-GB"/>
        </w:rPr>
        <w:t>underlying pathology contribute</w:t>
      </w:r>
      <w:r w:rsidR="001C4BC8" w:rsidRPr="001E5D32">
        <w:rPr>
          <w:rFonts w:ascii="Book Antiqua" w:eastAsia="Times New Roman" w:hAnsi="Book Antiqua"/>
          <w:sz w:val="24"/>
          <w:lang w:val="en-GB"/>
        </w:rPr>
        <w:t xml:space="preserve"> towards variation in liver stiffness measurement (LSM) </w:t>
      </w:r>
      <w:r w:rsidR="00750266" w:rsidRPr="001E5D32">
        <w:rPr>
          <w:rFonts w:ascii="Book Antiqua" w:eastAsia="Times New Roman" w:hAnsi="Book Antiqua"/>
          <w:sz w:val="24"/>
          <w:lang w:val="en-GB"/>
        </w:rPr>
        <w:t>and influences the efficacy</w:t>
      </w:r>
      <w:r w:rsidR="001C4BC8" w:rsidRPr="001E5D32">
        <w:rPr>
          <w:rFonts w:ascii="Book Antiqua" w:eastAsia="Times New Roman" w:hAnsi="Book Antiqua"/>
          <w:sz w:val="24"/>
          <w:lang w:val="en-GB"/>
        </w:rPr>
        <w:t xml:space="preserve"> of TE however remains incompletely </w:t>
      </w:r>
      <w:r w:rsidR="005446EF" w:rsidRPr="001E5D32">
        <w:rPr>
          <w:rFonts w:ascii="Book Antiqua" w:eastAsia="Times New Roman" w:hAnsi="Book Antiqua"/>
          <w:sz w:val="24"/>
          <w:lang w:val="en-GB"/>
        </w:rPr>
        <w:t>understood</w:t>
      </w:r>
      <w:r w:rsidR="0082479A" w:rsidRPr="001E5D32">
        <w:rPr>
          <w:rFonts w:ascii="Book Antiqua" w:eastAsia="Times New Roman" w:hAnsi="Book Antiqua"/>
          <w:sz w:val="24"/>
          <w:vertAlign w:val="superscript"/>
          <w:lang w:val="en-GB"/>
        </w:rPr>
        <w:t>[</w:t>
      </w:r>
      <w:r w:rsidR="00303EB5" w:rsidRPr="001E5D32">
        <w:rPr>
          <w:rFonts w:ascii="Book Antiqua" w:eastAsia="Times New Roman" w:hAnsi="Book Antiqua"/>
          <w:sz w:val="24"/>
          <w:vertAlign w:val="superscript"/>
          <w:lang w:val="en-GB"/>
        </w:rPr>
        <w:t>183-187</w:t>
      </w:r>
      <w:r w:rsidR="0082479A" w:rsidRPr="001E5D32">
        <w:rPr>
          <w:rFonts w:ascii="Book Antiqua" w:eastAsia="Times New Roman" w:hAnsi="Book Antiqua"/>
          <w:sz w:val="24"/>
          <w:vertAlign w:val="superscript"/>
          <w:lang w:val="en-GB"/>
        </w:rPr>
        <w:t>]</w:t>
      </w:r>
      <w:r w:rsidR="0082479A" w:rsidRPr="001E5D32">
        <w:rPr>
          <w:rFonts w:ascii="Book Antiqua" w:eastAsia="Times New Roman" w:hAnsi="Book Antiqua"/>
          <w:sz w:val="24"/>
          <w:lang w:val="en-GB"/>
        </w:rPr>
        <w:t>.</w:t>
      </w:r>
      <w:r w:rsidR="00045B32" w:rsidRPr="001E5D32">
        <w:rPr>
          <w:rFonts w:ascii="Book Antiqua" w:eastAsia="Times New Roman" w:hAnsi="Book Antiqua"/>
          <w:sz w:val="24"/>
          <w:lang w:val="en-GB"/>
        </w:rPr>
        <w:t xml:space="preserve"> Emerging evidence further suggests that the concurrent assessment of LSM and PNPLA3 genotype alongside existing composite prognostic models used to predict advanced hepatic fibrosis in NAFLD could improve their performance with the goal of decreasing the need for invasive liver biopsy</w:t>
      </w:r>
      <w:r w:rsidR="00111607" w:rsidRPr="001E5D32">
        <w:rPr>
          <w:rFonts w:ascii="Book Antiqua" w:eastAsia="Times New Roman" w:hAnsi="Book Antiqua"/>
          <w:sz w:val="24"/>
          <w:vertAlign w:val="superscript"/>
          <w:lang w:val="en-GB"/>
        </w:rPr>
        <w:t>[</w:t>
      </w:r>
      <w:r w:rsidR="00303EB5" w:rsidRPr="001E5D32">
        <w:rPr>
          <w:rFonts w:ascii="Book Antiqua" w:eastAsia="Times New Roman" w:hAnsi="Book Antiqua"/>
          <w:sz w:val="24"/>
          <w:vertAlign w:val="superscript"/>
          <w:lang w:val="en-GB"/>
        </w:rPr>
        <w:t>188,189</w:t>
      </w:r>
      <w:r w:rsidR="00111607" w:rsidRPr="001E5D32">
        <w:rPr>
          <w:rFonts w:ascii="Book Antiqua" w:eastAsia="Times New Roman" w:hAnsi="Book Antiqua"/>
          <w:sz w:val="24"/>
          <w:vertAlign w:val="superscript"/>
          <w:lang w:val="en-GB"/>
        </w:rPr>
        <w:t>]</w:t>
      </w:r>
      <w:r w:rsidR="0082479A" w:rsidRPr="001E5D32">
        <w:rPr>
          <w:rFonts w:ascii="Book Antiqua" w:eastAsia="Times New Roman" w:hAnsi="Book Antiqua"/>
          <w:sz w:val="24"/>
          <w:lang w:val="en-GB"/>
        </w:rPr>
        <w:t xml:space="preserve">. </w:t>
      </w:r>
      <w:r w:rsidR="00045B32" w:rsidRPr="001E5D32">
        <w:rPr>
          <w:rFonts w:ascii="Book Antiqua" w:eastAsia="Times New Roman" w:hAnsi="Book Antiqua"/>
          <w:sz w:val="24"/>
          <w:lang w:val="en-GB"/>
        </w:rPr>
        <w:t xml:space="preserve">Future studies should ideally aim to validate these preliminary findings in large-scale population-based on prospective studies. </w:t>
      </w:r>
    </w:p>
    <w:p w14:paraId="7046DC76" w14:textId="77777777" w:rsidR="0000744E" w:rsidRPr="001E5D32" w:rsidRDefault="0000744E" w:rsidP="001E5D32">
      <w:pPr>
        <w:spacing w:line="360" w:lineRule="auto"/>
        <w:rPr>
          <w:rFonts w:ascii="Book Antiqua" w:eastAsia="Times New Roman" w:hAnsi="Book Antiqua"/>
          <w:sz w:val="24"/>
          <w:lang w:val="en-GB"/>
        </w:rPr>
      </w:pPr>
    </w:p>
    <w:p w14:paraId="78404F3A" w14:textId="49359340" w:rsidR="00184F7C" w:rsidRPr="001E5D32" w:rsidRDefault="00170638"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CONCLUSION</w:t>
      </w:r>
    </w:p>
    <w:p w14:paraId="57CBD69B" w14:textId="71B88EB5" w:rsidR="00D57CFA" w:rsidRPr="001E5D32" w:rsidRDefault="004F6581"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The </w:t>
      </w:r>
      <w:r w:rsidR="00C108A1" w:rsidRPr="001E5D32">
        <w:rPr>
          <w:rFonts w:ascii="Book Antiqua" w:eastAsia="Times New Roman" w:hAnsi="Book Antiqua"/>
          <w:sz w:val="24"/>
          <w:lang w:val="en-GB"/>
        </w:rPr>
        <w:t xml:space="preserve">routine </w:t>
      </w:r>
      <w:r w:rsidRPr="001E5D32">
        <w:rPr>
          <w:rFonts w:ascii="Book Antiqua" w:eastAsia="Times New Roman" w:hAnsi="Book Antiqua"/>
          <w:sz w:val="24"/>
          <w:lang w:val="en-GB"/>
        </w:rPr>
        <w:t xml:space="preserve">clinical </w:t>
      </w:r>
      <w:r w:rsidR="00C108A1" w:rsidRPr="001E5D32">
        <w:rPr>
          <w:rFonts w:ascii="Book Antiqua" w:eastAsia="Times New Roman" w:hAnsi="Book Antiqua"/>
          <w:sz w:val="24"/>
          <w:lang w:val="en-GB"/>
        </w:rPr>
        <w:t xml:space="preserve">adoption of </w:t>
      </w:r>
      <w:r w:rsidR="00184F7C" w:rsidRPr="001E5D32">
        <w:rPr>
          <w:rFonts w:ascii="Book Antiqua" w:eastAsia="Times New Roman" w:hAnsi="Book Antiqua"/>
          <w:sz w:val="24"/>
          <w:lang w:val="en-GB"/>
        </w:rPr>
        <w:t xml:space="preserve">composite </w:t>
      </w:r>
      <w:r w:rsidR="00081316" w:rsidRPr="001E5D32">
        <w:rPr>
          <w:rFonts w:ascii="Book Antiqua" w:eastAsia="Times New Roman" w:hAnsi="Book Antiqua"/>
          <w:sz w:val="24"/>
          <w:lang w:val="en-GB"/>
        </w:rPr>
        <w:t>prognostic</w:t>
      </w:r>
      <w:r w:rsidR="00184F7C" w:rsidRPr="001E5D32">
        <w:rPr>
          <w:rFonts w:ascii="Book Antiqua" w:eastAsia="Times New Roman" w:hAnsi="Book Antiqua"/>
          <w:sz w:val="24"/>
          <w:lang w:val="en-GB"/>
        </w:rPr>
        <w:t xml:space="preserve"> models</w:t>
      </w:r>
      <w:r w:rsidR="00081316" w:rsidRPr="001E5D32">
        <w:rPr>
          <w:rFonts w:ascii="Book Antiqua" w:eastAsia="Times New Roman" w:hAnsi="Book Antiqua"/>
          <w:sz w:val="24"/>
          <w:lang w:val="en-GB"/>
        </w:rPr>
        <w:t xml:space="preserve"> </w:t>
      </w:r>
      <w:r w:rsidRPr="001E5D32">
        <w:rPr>
          <w:rFonts w:ascii="Book Antiqua" w:eastAsia="Times New Roman" w:hAnsi="Book Antiqua"/>
          <w:sz w:val="24"/>
          <w:lang w:val="en-GB"/>
        </w:rPr>
        <w:t xml:space="preserve">as </w:t>
      </w:r>
      <w:r w:rsidR="00C108A1" w:rsidRPr="001E5D32">
        <w:rPr>
          <w:rFonts w:ascii="Book Antiqua" w:eastAsia="Times New Roman" w:hAnsi="Book Antiqua"/>
          <w:sz w:val="24"/>
          <w:lang w:val="en-GB"/>
        </w:rPr>
        <w:t xml:space="preserve">viable non-invasive </w:t>
      </w:r>
      <w:r w:rsidRPr="001E5D32">
        <w:rPr>
          <w:rFonts w:ascii="Book Antiqua" w:eastAsia="Times New Roman" w:hAnsi="Book Antiqua"/>
          <w:sz w:val="24"/>
          <w:lang w:val="en-GB"/>
        </w:rPr>
        <w:t>risk stratification tools offers distinct advantages over the use of in</w:t>
      </w:r>
      <w:r w:rsidR="001C4BC8" w:rsidRPr="001E5D32">
        <w:rPr>
          <w:rFonts w:ascii="Book Antiqua" w:eastAsia="Times New Roman" w:hAnsi="Book Antiqua"/>
          <w:sz w:val="24"/>
          <w:lang w:val="en-GB"/>
        </w:rPr>
        <w:t>dividual peripheral biomarkers</w:t>
      </w:r>
      <w:r w:rsidR="00C108A1" w:rsidRPr="001E5D32">
        <w:rPr>
          <w:rFonts w:ascii="Book Antiqua" w:eastAsia="Times New Roman" w:hAnsi="Book Antiqua"/>
          <w:sz w:val="24"/>
          <w:lang w:val="en-GB"/>
        </w:rPr>
        <w:t xml:space="preserve"> which have limited utility compared to liver biopsy as the current standard </w:t>
      </w:r>
      <w:r w:rsidR="00712EC1" w:rsidRPr="001E5D32">
        <w:rPr>
          <w:rFonts w:ascii="Book Antiqua" w:eastAsia="Times New Roman" w:hAnsi="Book Antiqua"/>
          <w:sz w:val="24"/>
          <w:lang w:val="en-GB"/>
        </w:rPr>
        <w:t>for the diagnosis, grading and staging of NAFLD</w:t>
      </w:r>
      <w:r w:rsidR="00C108A1" w:rsidRPr="001E5D32">
        <w:rPr>
          <w:rFonts w:ascii="Book Antiqua" w:eastAsia="Times New Roman" w:hAnsi="Book Antiqua"/>
          <w:sz w:val="24"/>
          <w:lang w:val="en-GB"/>
        </w:rPr>
        <w:t>. In future, improved</w:t>
      </w:r>
      <w:r w:rsidR="001C4BC8" w:rsidRPr="001E5D32">
        <w:rPr>
          <w:rFonts w:ascii="Book Antiqua" w:eastAsia="Times New Roman" w:hAnsi="Book Antiqua"/>
          <w:sz w:val="24"/>
          <w:lang w:val="en-GB"/>
        </w:rPr>
        <w:t xml:space="preserve"> non-invasive </w:t>
      </w:r>
      <w:r w:rsidR="00C108A1" w:rsidRPr="001E5D32">
        <w:rPr>
          <w:rFonts w:ascii="Book Antiqua" w:eastAsia="Times New Roman" w:hAnsi="Book Antiqua"/>
          <w:sz w:val="24"/>
          <w:lang w:val="en-GB"/>
        </w:rPr>
        <w:t xml:space="preserve">diagnostic and predictive models </w:t>
      </w:r>
      <w:r w:rsidR="00712EC1" w:rsidRPr="001E5D32">
        <w:rPr>
          <w:rFonts w:ascii="Book Antiqua" w:eastAsia="Times New Roman" w:hAnsi="Book Antiqua"/>
          <w:sz w:val="24"/>
          <w:lang w:val="en-GB"/>
        </w:rPr>
        <w:t xml:space="preserve">used to assess histological severity </w:t>
      </w:r>
      <w:r w:rsidR="00C108A1" w:rsidRPr="001E5D32">
        <w:rPr>
          <w:rFonts w:ascii="Book Antiqua" w:eastAsia="Times New Roman" w:hAnsi="Book Antiqua"/>
          <w:sz w:val="24"/>
          <w:lang w:val="en-GB"/>
        </w:rPr>
        <w:t>could allow for the timely implementation of tailored</w:t>
      </w:r>
      <w:r w:rsidR="001C4BC8" w:rsidRPr="001E5D32">
        <w:rPr>
          <w:rFonts w:ascii="Book Antiqua" w:eastAsia="Times New Roman" w:hAnsi="Book Antiqua"/>
          <w:sz w:val="24"/>
          <w:lang w:val="en-GB"/>
        </w:rPr>
        <w:t xml:space="preserve"> therapeutic intervention aimed at preventing disease onset or as well as decreasing </w:t>
      </w:r>
      <w:r w:rsidR="00EA3B0D" w:rsidRPr="001E5D32">
        <w:rPr>
          <w:rFonts w:ascii="Book Antiqua" w:eastAsia="Times New Roman" w:hAnsi="Book Antiqua"/>
          <w:sz w:val="24"/>
          <w:lang w:val="en-GB"/>
        </w:rPr>
        <w:t xml:space="preserve">risk for </w:t>
      </w:r>
      <w:r w:rsidR="001C4BC8" w:rsidRPr="001E5D32">
        <w:rPr>
          <w:rFonts w:ascii="Book Antiqua" w:eastAsia="Times New Roman" w:hAnsi="Book Antiqua"/>
          <w:sz w:val="24"/>
          <w:lang w:val="en-GB"/>
        </w:rPr>
        <w:t>cardiovascular- and</w:t>
      </w:r>
      <w:r w:rsidR="00111607" w:rsidRPr="001E5D32">
        <w:rPr>
          <w:rFonts w:ascii="Book Antiqua" w:eastAsia="Times New Roman" w:hAnsi="Book Antiqua"/>
          <w:sz w:val="24"/>
          <w:lang w:val="en-GB"/>
        </w:rPr>
        <w:t xml:space="preserve"> liver-</w:t>
      </w:r>
      <w:r w:rsidR="00EA3B0D" w:rsidRPr="001E5D32">
        <w:rPr>
          <w:rFonts w:ascii="Book Antiqua" w:eastAsia="Times New Roman" w:hAnsi="Book Antiqua"/>
          <w:sz w:val="24"/>
          <w:lang w:val="en-GB"/>
        </w:rPr>
        <w:t xml:space="preserve">related mortality </w:t>
      </w:r>
      <w:r w:rsidR="00712EC1" w:rsidRPr="001E5D32">
        <w:rPr>
          <w:rFonts w:ascii="Book Antiqua" w:eastAsia="Times New Roman" w:hAnsi="Book Antiqua"/>
          <w:sz w:val="24"/>
          <w:lang w:val="en-GB"/>
        </w:rPr>
        <w:t>in patients with NAFLD</w:t>
      </w:r>
      <w:r w:rsidR="00111607" w:rsidRPr="001E5D32">
        <w:rPr>
          <w:rFonts w:ascii="Book Antiqua" w:eastAsia="Times New Roman" w:hAnsi="Book Antiqua"/>
          <w:sz w:val="24"/>
          <w:vertAlign w:val="superscript"/>
          <w:lang w:val="en-GB"/>
        </w:rPr>
        <w:t>[</w:t>
      </w:r>
      <w:r w:rsidR="00303EB5" w:rsidRPr="001E5D32">
        <w:rPr>
          <w:rFonts w:ascii="Book Antiqua" w:eastAsia="Times New Roman" w:hAnsi="Book Antiqua"/>
          <w:sz w:val="24"/>
          <w:vertAlign w:val="superscript"/>
          <w:lang w:val="en-GB"/>
        </w:rPr>
        <w:t>190</w:t>
      </w:r>
      <w:r w:rsidR="00111607" w:rsidRPr="001E5D32">
        <w:rPr>
          <w:rFonts w:ascii="Book Antiqua" w:eastAsia="Times New Roman" w:hAnsi="Book Antiqua"/>
          <w:sz w:val="24"/>
          <w:vertAlign w:val="superscript"/>
          <w:lang w:val="en-GB"/>
        </w:rPr>
        <w:t>]</w:t>
      </w:r>
      <w:r w:rsidR="00111607" w:rsidRPr="001E5D32">
        <w:rPr>
          <w:rFonts w:ascii="Book Antiqua" w:eastAsia="Times New Roman" w:hAnsi="Book Antiqua"/>
          <w:sz w:val="24"/>
          <w:lang w:val="en-GB"/>
        </w:rPr>
        <w:t xml:space="preserve">. </w:t>
      </w:r>
      <w:r w:rsidRPr="001E5D32">
        <w:rPr>
          <w:rFonts w:ascii="Book Antiqua" w:eastAsia="Times New Roman" w:hAnsi="Book Antiqua"/>
          <w:sz w:val="24"/>
          <w:lang w:val="en-GB"/>
        </w:rPr>
        <w:t xml:space="preserve">A number of important limitations </w:t>
      </w:r>
      <w:r w:rsidR="00C108A1" w:rsidRPr="001E5D32">
        <w:rPr>
          <w:rFonts w:ascii="Book Antiqua" w:eastAsia="Times New Roman" w:hAnsi="Book Antiqua"/>
          <w:sz w:val="24"/>
          <w:lang w:val="en-GB"/>
        </w:rPr>
        <w:t>however</w:t>
      </w:r>
      <w:r w:rsidR="00D57CFA" w:rsidRPr="001E5D32">
        <w:rPr>
          <w:rFonts w:ascii="Book Antiqua" w:eastAsia="Times New Roman" w:hAnsi="Book Antiqua"/>
          <w:sz w:val="24"/>
          <w:lang w:val="en-GB"/>
        </w:rPr>
        <w:t xml:space="preserve"> continue to</w:t>
      </w:r>
      <w:r w:rsidRPr="001E5D32">
        <w:rPr>
          <w:rFonts w:ascii="Book Antiqua" w:eastAsia="Times New Roman" w:hAnsi="Book Antiqua"/>
          <w:sz w:val="24"/>
          <w:lang w:val="en-GB"/>
        </w:rPr>
        <w:t xml:space="preserve"> impede their more widespread </w:t>
      </w:r>
      <w:r w:rsidR="00D57CFA" w:rsidRPr="001E5D32">
        <w:rPr>
          <w:rFonts w:ascii="Book Antiqua" w:eastAsia="Times New Roman" w:hAnsi="Book Antiqua"/>
          <w:sz w:val="24"/>
          <w:lang w:val="en-GB"/>
        </w:rPr>
        <w:t xml:space="preserve">clinical </w:t>
      </w:r>
      <w:r w:rsidRPr="001E5D32">
        <w:rPr>
          <w:rFonts w:ascii="Book Antiqua" w:eastAsia="Times New Roman" w:hAnsi="Book Antiqua"/>
          <w:sz w:val="24"/>
          <w:lang w:val="en-GB"/>
        </w:rPr>
        <w:t>application as part of routine patient management,</w:t>
      </w:r>
      <w:r w:rsidR="001C4BC8" w:rsidRPr="001E5D32">
        <w:rPr>
          <w:rFonts w:ascii="Book Antiqua" w:eastAsia="Times New Roman" w:hAnsi="Book Antiqua"/>
          <w:sz w:val="24"/>
          <w:lang w:val="en-GB"/>
        </w:rPr>
        <w:t xml:space="preserve"> including the need for </w:t>
      </w:r>
      <w:r w:rsidR="00081316" w:rsidRPr="001E5D32">
        <w:rPr>
          <w:rFonts w:ascii="Book Antiqua" w:eastAsia="Times New Roman" w:hAnsi="Book Antiqua"/>
          <w:sz w:val="24"/>
          <w:lang w:val="en-GB"/>
        </w:rPr>
        <w:t xml:space="preserve">external validation in large-scale prospective </w:t>
      </w:r>
      <w:r w:rsidR="006326F8" w:rsidRPr="001E5D32">
        <w:rPr>
          <w:rFonts w:ascii="Book Antiqua" w:eastAsia="Times New Roman" w:hAnsi="Book Antiqua"/>
          <w:sz w:val="24"/>
          <w:lang w:val="en-GB"/>
        </w:rPr>
        <w:t xml:space="preserve">studies </w:t>
      </w:r>
      <w:r w:rsidR="001C4BC8" w:rsidRPr="001E5D32">
        <w:rPr>
          <w:rFonts w:ascii="Book Antiqua" w:eastAsia="Times New Roman" w:hAnsi="Book Antiqua"/>
          <w:sz w:val="24"/>
          <w:lang w:val="en-GB"/>
        </w:rPr>
        <w:t>to confirm their</w:t>
      </w:r>
      <w:r w:rsidR="00184F7C" w:rsidRPr="001E5D32">
        <w:rPr>
          <w:rFonts w:ascii="Book Antiqua" w:eastAsia="Times New Roman" w:hAnsi="Book Antiqua"/>
          <w:sz w:val="24"/>
          <w:lang w:val="en-GB"/>
        </w:rPr>
        <w:t xml:space="preserve"> reproducibility and robustness </w:t>
      </w:r>
      <w:r w:rsidRPr="001E5D32">
        <w:rPr>
          <w:rFonts w:ascii="Book Antiqua" w:eastAsia="Times New Roman" w:hAnsi="Book Antiqua"/>
          <w:sz w:val="24"/>
          <w:lang w:val="en-GB"/>
        </w:rPr>
        <w:t xml:space="preserve">as well as applicability </w:t>
      </w:r>
      <w:r w:rsidR="00184F7C" w:rsidRPr="001E5D32">
        <w:rPr>
          <w:rFonts w:ascii="Book Antiqua" w:eastAsia="Times New Roman" w:hAnsi="Book Antiqua"/>
          <w:sz w:val="24"/>
          <w:lang w:val="en-GB"/>
        </w:rPr>
        <w:t xml:space="preserve">in the general </w:t>
      </w:r>
      <w:r w:rsidRPr="001E5D32">
        <w:rPr>
          <w:rFonts w:ascii="Book Antiqua" w:eastAsia="Times New Roman" w:hAnsi="Book Antiqua"/>
          <w:sz w:val="24"/>
          <w:lang w:val="en-GB"/>
        </w:rPr>
        <w:t xml:space="preserve">population. </w:t>
      </w:r>
      <w:r w:rsidR="00D57CFA" w:rsidRPr="001E5D32">
        <w:rPr>
          <w:rFonts w:ascii="Book Antiqua" w:eastAsia="Times New Roman" w:hAnsi="Book Antiqua"/>
          <w:sz w:val="24"/>
          <w:lang w:val="en-GB"/>
        </w:rPr>
        <w:t>In response, ongoing investigative</w:t>
      </w:r>
      <w:r w:rsidR="001C4BC8" w:rsidRPr="001E5D32">
        <w:rPr>
          <w:rFonts w:ascii="Book Antiqua" w:eastAsia="Times New Roman" w:hAnsi="Book Antiqua"/>
          <w:sz w:val="24"/>
          <w:lang w:val="en-GB"/>
        </w:rPr>
        <w:t xml:space="preserve"> effort it required in order to assess</w:t>
      </w:r>
      <w:r w:rsidR="00E32C12" w:rsidRPr="001E5D32">
        <w:rPr>
          <w:rFonts w:ascii="Book Antiqua" w:eastAsia="Times New Roman" w:hAnsi="Book Antiqua"/>
          <w:sz w:val="24"/>
          <w:lang w:val="en-GB"/>
        </w:rPr>
        <w:t xml:space="preserve"> new</w:t>
      </w:r>
      <w:r w:rsidR="00081316" w:rsidRPr="001E5D32">
        <w:rPr>
          <w:rFonts w:ascii="Book Antiqua" w:eastAsia="Times New Roman" w:hAnsi="Book Antiqua"/>
          <w:sz w:val="24"/>
          <w:lang w:val="en-GB"/>
        </w:rPr>
        <w:t xml:space="preserve"> combinations of </w:t>
      </w:r>
      <w:r w:rsidR="00E32C12" w:rsidRPr="001E5D32">
        <w:rPr>
          <w:rFonts w:ascii="Book Antiqua" w:eastAsia="Times New Roman" w:hAnsi="Book Antiqua"/>
          <w:sz w:val="24"/>
          <w:lang w:val="en-GB"/>
        </w:rPr>
        <w:t xml:space="preserve">readily available biomarkers as novel </w:t>
      </w:r>
      <w:r w:rsidR="006326F8" w:rsidRPr="001E5D32">
        <w:rPr>
          <w:rFonts w:ascii="Book Antiqua" w:eastAsia="Times New Roman" w:hAnsi="Book Antiqua"/>
          <w:sz w:val="24"/>
          <w:lang w:val="en-GB"/>
        </w:rPr>
        <w:t>prognostic models which could serve as cost</w:t>
      </w:r>
      <w:r w:rsidR="00E32C12" w:rsidRPr="001E5D32">
        <w:rPr>
          <w:rFonts w:ascii="Book Antiqua" w:eastAsia="Times New Roman" w:hAnsi="Book Antiqua"/>
          <w:sz w:val="24"/>
          <w:lang w:val="en-GB"/>
        </w:rPr>
        <w:t xml:space="preserve">-effective screening tools in a </w:t>
      </w:r>
      <w:r w:rsidR="006326F8" w:rsidRPr="001E5D32">
        <w:rPr>
          <w:rFonts w:ascii="Book Antiqua" w:eastAsia="Times New Roman" w:hAnsi="Book Antiqua"/>
          <w:sz w:val="24"/>
          <w:lang w:val="en-GB"/>
        </w:rPr>
        <w:t xml:space="preserve">specific </w:t>
      </w:r>
      <w:r w:rsidR="00E32C12" w:rsidRPr="001E5D32">
        <w:rPr>
          <w:rFonts w:ascii="Book Antiqua" w:eastAsia="Times New Roman" w:hAnsi="Book Antiqua"/>
          <w:sz w:val="24"/>
          <w:lang w:val="en-GB"/>
        </w:rPr>
        <w:t xml:space="preserve">target </w:t>
      </w:r>
      <w:r w:rsidR="006326F8" w:rsidRPr="001E5D32">
        <w:rPr>
          <w:rFonts w:ascii="Book Antiqua" w:eastAsia="Times New Roman" w:hAnsi="Book Antiqua"/>
          <w:sz w:val="24"/>
          <w:lang w:val="en-GB"/>
        </w:rPr>
        <w:t xml:space="preserve">population. </w:t>
      </w:r>
      <w:r w:rsidR="00D57CFA" w:rsidRPr="001E5D32">
        <w:rPr>
          <w:rFonts w:ascii="Book Antiqua" w:eastAsia="Times New Roman" w:hAnsi="Book Antiqua"/>
          <w:sz w:val="24"/>
          <w:lang w:val="en-GB"/>
        </w:rPr>
        <w:t xml:space="preserve">Future prospective studies should further aim to establish the value of existing as well as novel clinical models in the prediction of ischemic vascular events as well as cardiovascular mortality risk. </w:t>
      </w:r>
    </w:p>
    <w:p w14:paraId="5047BA00" w14:textId="275ECF40" w:rsidR="00D641D3" w:rsidRPr="001E5D32" w:rsidRDefault="00D57CFA" w:rsidP="001E5D32">
      <w:pPr>
        <w:spacing w:line="360" w:lineRule="auto"/>
        <w:ind w:firstLineChars="200" w:firstLine="480"/>
        <w:rPr>
          <w:rFonts w:ascii="Book Antiqua" w:eastAsiaTheme="minorEastAsia" w:hAnsi="Book Antiqua"/>
          <w:sz w:val="24"/>
          <w:lang w:val="en-GB"/>
        </w:rPr>
      </w:pPr>
      <w:r w:rsidRPr="001E5D32">
        <w:rPr>
          <w:rFonts w:ascii="Book Antiqua" w:eastAsia="Times New Roman" w:hAnsi="Book Antiqua"/>
          <w:sz w:val="24"/>
          <w:lang w:val="en-GB"/>
        </w:rPr>
        <w:t xml:space="preserve">Given the decreasing cost and growing availability of personalized genomic testing in the clinical domain, their routine use in developing nations will soon become a reality. This provides motivation for future research aimed at clarifying to what extent the incorporation of functional genomic markers and/or the application of emerging imaging technologies including TE could assist in overcoming the abovementioned limitations evident for existing composite prognostic models by improving their diagnostic accuracy and predictive performance. In particular, considering the emerging role of DIOS as an important secondary cause of hepatic siderosis </w:t>
      </w:r>
      <w:r w:rsidR="00132FD1" w:rsidRPr="001E5D32">
        <w:rPr>
          <w:rFonts w:ascii="Book Antiqua" w:eastAsia="Times New Roman" w:hAnsi="Book Antiqua"/>
          <w:sz w:val="24"/>
          <w:lang w:val="en-GB"/>
        </w:rPr>
        <w:t>distinct from type I genetic HH</w:t>
      </w:r>
      <w:r w:rsidRPr="001E5D32">
        <w:rPr>
          <w:rFonts w:ascii="Book Antiqua" w:eastAsia="Times New Roman" w:hAnsi="Book Antiqua"/>
          <w:sz w:val="24"/>
          <w:lang w:val="en-GB"/>
        </w:rPr>
        <w:t xml:space="preserve"> </w:t>
      </w:r>
      <w:r w:rsidR="002E37D2" w:rsidRPr="001E5D32">
        <w:rPr>
          <w:rFonts w:ascii="Book Antiqua" w:eastAsia="Times New Roman" w:hAnsi="Book Antiqua"/>
          <w:sz w:val="24"/>
          <w:lang w:val="en-GB"/>
        </w:rPr>
        <w:t>known to pose independent risk for new-onset CVD, subclinical atherosclerosis and decompensated li</w:t>
      </w:r>
      <w:r w:rsidR="00887BB0" w:rsidRPr="001E5D32">
        <w:rPr>
          <w:rFonts w:ascii="Book Antiqua" w:eastAsia="Times New Roman" w:hAnsi="Book Antiqua"/>
          <w:sz w:val="24"/>
          <w:lang w:val="en-GB"/>
        </w:rPr>
        <w:t xml:space="preserve">ver failure, there is a pressing need to </w:t>
      </w:r>
      <w:r w:rsidR="002E37D2" w:rsidRPr="001E5D32">
        <w:rPr>
          <w:rFonts w:ascii="Book Antiqua" w:eastAsia="Times New Roman" w:hAnsi="Book Antiqua"/>
          <w:sz w:val="24"/>
          <w:lang w:val="en-GB"/>
        </w:rPr>
        <w:t>develop and validate non-invasive pre-clinical diagnostic algorithms to differentiate bet</w:t>
      </w:r>
      <w:r w:rsidR="00132FD1" w:rsidRPr="001E5D32">
        <w:rPr>
          <w:rFonts w:ascii="Book Antiqua" w:eastAsia="Times New Roman" w:hAnsi="Book Antiqua"/>
          <w:sz w:val="24"/>
          <w:lang w:val="en-GB"/>
        </w:rPr>
        <w:t>ween DIOS and type I genetic HH</w:t>
      </w:r>
      <w:r w:rsidR="002E37D2" w:rsidRPr="001E5D32">
        <w:rPr>
          <w:rFonts w:ascii="Book Antiqua" w:eastAsia="Times New Roman" w:hAnsi="Book Antiqua"/>
          <w:sz w:val="24"/>
          <w:lang w:val="en-GB"/>
        </w:rPr>
        <w:t xml:space="preserve"> in patients with the metabolic syndrome and/or NAFLD.</w:t>
      </w:r>
      <w:r w:rsidR="000D62E1" w:rsidRPr="001E5D32">
        <w:rPr>
          <w:rFonts w:ascii="Book Antiqua" w:hAnsi="Book Antiqua"/>
          <w:sz w:val="24"/>
        </w:rPr>
        <w:t xml:space="preserve"> </w:t>
      </w:r>
      <w:r w:rsidR="000D62E1" w:rsidRPr="001E5D32">
        <w:rPr>
          <w:rFonts w:ascii="Book Antiqua" w:eastAsia="Times New Roman" w:hAnsi="Book Antiqua"/>
          <w:sz w:val="24"/>
          <w:lang w:val="en-GB"/>
        </w:rPr>
        <w:t>The clinical implementation of a validated diagnostic model for DIOS could potentially allow for a more comprehensive approach to cardiovascular risk screening as well, allowing clinicians to identify an obese patient subgroup set to derive optimal benefit from the timely implementation of more aggressive and sustained lifestyle-based intervention strategies as well as tailored therapeutic adjuncts aimed at decreasing cumulative cardio-metabolic risk for early on in the disease process.</w:t>
      </w:r>
    </w:p>
    <w:p w14:paraId="07FF7A8A" w14:textId="07184925" w:rsidR="000D62E1" w:rsidRPr="001E5D32" w:rsidRDefault="002E37D2" w:rsidP="001E5D32">
      <w:pPr>
        <w:spacing w:line="360" w:lineRule="auto"/>
        <w:ind w:firstLineChars="200" w:firstLine="480"/>
        <w:rPr>
          <w:rFonts w:ascii="Book Antiqua" w:eastAsia="Times New Roman" w:hAnsi="Book Antiqua"/>
          <w:sz w:val="24"/>
          <w:lang w:val="en-GB"/>
        </w:rPr>
      </w:pPr>
      <w:r w:rsidRPr="001E5D32">
        <w:rPr>
          <w:rFonts w:ascii="Book Antiqua" w:eastAsia="Times New Roman" w:hAnsi="Book Antiqua"/>
          <w:sz w:val="24"/>
          <w:lang w:val="en-GB"/>
        </w:rPr>
        <w:t xml:space="preserve">In addition to allowing for a more goal-directed use of liver biopsy in resource-limited settings, clinically validated composite models may in future be used to determine eligibility for genetic testing as part of the emerging arsenal of available tools used to guide patient management and improve the standard of </w:t>
      </w:r>
      <w:r w:rsidR="00712EC1" w:rsidRPr="001E5D32">
        <w:rPr>
          <w:rFonts w:ascii="Book Antiqua" w:eastAsia="Times New Roman" w:hAnsi="Book Antiqua"/>
          <w:sz w:val="24"/>
          <w:lang w:val="en-GB"/>
        </w:rPr>
        <w:t>patient care in NAFLD. A</w:t>
      </w:r>
      <w:r w:rsidRPr="001E5D32">
        <w:rPr>
          <w:rFonts w:ascii="Book Antiqua" w:eastAsia="Times New Roman" w:hAnsi="Book Antiqua"/>
          <w:sz w:val="24"/>
          <w:lang w:val="en-GB"/>
        </w:rPr>
        <w:t xml:space="preserve"> multidisciplinary approach to genomics-based </w:t>
      </w:r>
      <w:r w:rsidR="000D62E1" w:rsidRPr="001E5D32">
        <w:rPr>
          <w:rFonts w:ascii="Book Antiqua" w:eastAsia="Times New Roman" w:hAnsi="Book Antiqua"/>
          <w:sz w:val="24"/>
          <w:lang w:val="en-GB"/>
        </w:rPr>
        <w:t xml:space="preserve">NCD risk assessment could provide a </w:t>
      </w:r>
      <w:r w:rsidRPr="001E5D32">
        <w:rPr>
          <w:rFonts w:ascii="Book Antiqua" w:eastAsia="Times New Roman" w:hAnsi="Book Antiqua"/>
          <w:sz w:val="24"/>
          <w:lang w:val="en-GB"/>
        </w:rPr>
        <w:t xml:space="preserve">useful as a standardized pre-screening step </w:t>
      </w:r>
      <w:r w:rsidR="000D62E1" w:rsidRPr="001E5D32">
        <w:rPr>
          <w:rFonts w:ascii="Book Antiqua" w:eastAsia="Times New Roman" w:hAnsi="Book Antiqua"/>
          <w:sz w:val="24"/>
          <w:lang w:val="en-GB"/>
        </w:rPr>
        <w:t>aimed at</w:t>
      </w:r>
      <w:r w:rsidRPr="001E5D32">
        <w:rPr>
          <w:rFonts w:ascii="Book Antiqua" w:eastAsia="Times New Roman" w:hAnsi="Book Antiqua"/>
          <w:sz w:val="24"/>
          <w:lang w:val="en-GB"/>
        </w:rPr>
        <w:t xml:space="preserve"> identify</w:t>
      </w:r>
      <w:r w:rsidR="000D62E1" w:rsidRPr="001E5D32">
        <w:rPr>
          <w:rFonts w:ascii="Book Antiqua" w:eastAsia="Times New Roman" w:hAnsi="Book Antiqua"/>
          <w:sz w:val="24"/>
          <w:lang w:val="en-GB"/>
        </w:rPr>
        <w:t>ing</w:t>
      </w:r>
      <w:r w:rsidRPr="001E5D32">
        <w:rPr>
          <w:rFonts w:ascii="Book Antiqua" w:eastAsia="Times New Roman" w:hAnsi="Book Antiqua"/>
          <w:sz w:val="24"/>
          <w:lang w:val="en-GB"/>
        </w:rPr>
        <w:t xml:space="preserve"> genetically uncharacterized NAFLD patients set to derive additional benefit from </w:t>
      </w:r>
      <w:r w:rsidR="00B90FC8" w:rsidRPr="001E5D32">
        <w:rPr>
          <w:rFonts w:ascii="Book Antiqua" w:eastAsia="Times New Roman" w:hAnsi="Book Antiqua"/>
          <w:sz w:val="24"/>
          <w:lang w:val="en-GB"/>
        </w:rPr>
        <w:t>referral for whole exome</w:t>
      </w:r>
      <w:r w:rsidR="00887BB0" w:rsidRPr="001E5D32">
        <w:rPr>
          <w:rFonts w:ascii="Book Antiqua" w:eastAsia="Times New Roman" w:hAnsi="Book Antiqua"/>
          <w:sz w:val="24"/>
          <w:lang w:val="en-GB"/>
        </w:rPr>
        <w:t xml:space="preserve"> (WES) </w:t>
      </w:r>
      <w:r w:rsidR="00B90FC8" w:rsidRPr="001E5D32">
        <w:rPr>
          <w:rFonts w:ascii="Book Antiqua" w:eastAsia="Times New Roman" w:hAnsi="Book Antiqua"/>
          <w:sz w:val="24"/>
          <w:lang w:val="en-GB"/>
        </w:rPr>
        <w:t xml:space="preserve">or </w:t>
      </w:r>
      <w:r w:rsidR="00887BB0" w:rsidRPr="001E5D32">
        <w:rPr>
          <w:rFonts w:ascii="Book Antiqua" w:eastAsia="Times New Roman" w:hAnsi="Book Antiqua"/>
          <w:sz w:val="24"/>
          <w:lang w:val="en-GB"/>
        </w:rPr>
        <w:t>genome sequencing (</w:t>
      </w:r>
      <w:r w:rsidR="00D641D3" w:rsidRPr="001E5D32">
        <w:rPr>
          <w:rFonts w:ascii="Book Antiqua" w:eastAsia="Times New Roman" w:hAnsi="Book Antiqua"/>
          <w:sz w:val="24"/>
          <w:lang w:val="en-GB"/>
        </w:rPr>
        <w:t>WGS)</w:t>
      </w:r>
      <w:r w:rsidR="000D62E1" w:rsidRPr="001E5D32">
        <w:rPr>
          <w:rFonts w:ascii="Book Antiqua" w:eastAsia="Times New Roman" w:hAnsi="Book Antiqua"/>
          <w:sz w:val="24"/>
          <w:vertAlign w:val="superscript"/>
          <w:lang w:val="en-GB"/>
        </w:rPr>
        <w:t>[</w:t>
      </w:r>
      <w:r w:rsidR="00303EB5" w:rsidRPr="001E5D32">
        <w:rPr>
          <w:rFonts w:ascii="Book Antiqua" w:eastAsia="Times New Roman" w:hAnsi="Book Antiqua"/>
          <w:sz w:val="24"/>
          <w:vertAlign w:val="superscript"/>
          <w:lang w:val="en-GB"/>
        </w:rPr>
        <w:t>191</w:t>
      </w:r>
      <w:r w:rsidR="000D62E1" w:rsidRPr="001E5D32">
        <w:rPr>
          <w:rFonts w:ascii="Book Antiqua" w:eastAsia="Times New Roman" w:hAnsi="Book Antiqua"/>
          <w:sz w:val="24"/>
          <w:vertAlign w:val="superscript"/>
          <w:lang w:val="en-GB"/>
        </w:rPr>
        <w:t>]</w:t>
      </w:r>
      <w:r w:rsidR="000D62E1" w:rsidRPr="001E5D32">
        <w:rPr>
          <w:rFonts w:ascii="Book Antiqua" w:eastAsia="Times New Roman" w:hAnsi="Book Antiqua"/>
          <w:sz w:val="24"/>
          <w:lang w:val="en-GB"/>
        </w:rPr>
        <w:t xml:space="preserve">. In this context, next-generation sequencing could be used to validate </w:t>
      </w:r>
      <w:r w:rsidR="00887BB0" w:rsidRPr="001E5D32">
        <w:rPr>
          <w:rFonts w:ascii="Book Antiqua" w:eastAsia="Times New Roman" w:hAnsi="Book Antiqua"/>
          <w:sz w:val="24"/>
          <w:lang w:val="en-GB"/>
        </w:rPr>
        <w:t>common</w:t>
      </w:r>
      <w:r w:rsidR="000D62E1" w:rsidRPr="001E5D32">
        <w:rPr>
          <w:rFonts w:ascii="Book Antiqua" w:eastAsia="Times New Roman" w:hAnsi="Book Antiqua"/>
          <w:sz w:val="24"/>
          <w:lang w:val="en-GB"/>
        </w:rPr>
        <w:t xml:space="preserve"> sus</w:t>
      </w:r>
      <w:r w:rsidR="00887BB0" w:rsidRPr="001E5D32">
        <w:rPr>
          <w:rFonts w:ascii="Book Antiqua" w:eastAsia="Times New Roman" w:hAnsi="Book Antiqua"/>
          <w:sz w:val="24"/>
          <w:lang w:val="en-GB"/>
        </w:rPr>
        <w:t xml:space="preserve">ceptibility variants </w:t>
      </w:r>
      <w:r w:rsidR="0060633E" w:rsidRPr="001E5D32">
        <w:rPr>
          <w:rFonts w:ascii="Book Antiqua" w:eastAsia="Times New Roman" w:hAnsi="Book Antiqua"/>
          <w:sz w:val="24"/>
          <w:lang w:val="en-GB"/>
        </w:rPr>
        <w:t>implicated in the</w:t>
      </w:r>
      <w:r w:rsidR="000D62E1" w:rsidRPr="001E5D32">
        <w:rPr>
          <w:rFonts w:ascii="Book Antiqua" w:eastAsia="Times New Roman" w:hAnsi="Book Antiqua"/>
          <w:sz w:val="24"/>
          <w:lang w:val="en-GB"/>
        </w:rPr>
        <w:t xml:space="preserve"> etiopathogenesis </w:t>
      </w:r>
      <w:r w:rsidR="0060633E" w:rsidRPr="001E5D32">
        <w:rPr>
          <w:rFonts w:ascii="Book Antiqua" w:eastAsia="Times New Roman" w:hAnsi="Book Antiqua"/>
          <w:sz w:val="24"/>
          <w:lang w:val="en-GB"/>
        </w:rPr>
        <w:t xml:space="preserve">of NAFLD </w:t>
      </w:r>
      <w:r w:rsidR="00887BB0" w:rsidRPr="001E5D32">
        <w:rPr>
          <w:rFonts w:ascii="Book Antiqua" w:eastAsia="Times New Roman" w:hAnsi="Book Antiqua"/>
          <w:sz w:val="24"/>
          <w:lang w:val="en-GB"/>
        </w:rPr>
        <w:t>supporting the</w:t>
      </w:r>
      <w:r w:rsidR="000D62E1" w:rsidRPr="001E5D32">
        <w:rPr>
          <w:rFonts w:ascii="Book Antiqua" w:eastAsia="Times New Roman" w:hAnsi="Book Antiqua"/>
          <w:sz w:val="24"/>
          <w:lang w:val="en-GB"/>
        </w:rPr>
        <w:t xml:space="preserve"> </w:t>
      </w:r>
      <w:r w:rsidR="0060633E" w:rsidRPr="001E5D32">
        <w:rPr>
          <w:rFonts w:ascii="Book Antiqua" w:eastAsia="Times New Roman" w:hAnsi="Book Antiqua"/>
          <w:sz w:val="24"/>
          <w:lang w:val="en-GB"/>
        </w:rPr>
        <w:t xml:space="preserve">development </w:t>
      </w:r>
      <w:r w:rsidR="00B946EC" w:rsidRPr="001E5D32">
        <w:rPr>
          <w:rFonts w:ascii="Book Antiqua" w:eastAsia="Times New Roman" w:hAnsi="Book Antiqua"/>
          <w:sz w:val="24"/>
          <w:lang w:val="en-GB"/>
        </w:rPr>
        <w:t xml:space="preserve">and validation </w:t>
      </w:r>
      <w:r w:rsidR="0060633E" w:rsidRPr="001E5D32">
        <w:rPr>
          <w:rFonts w:ascii="Book Antiqua" w:eastAsia="Times New Roman" w:hAnsi="Book Antiqua"/>
          <w:sz w:val="24"/>
          <w:lang w:val="en-GB"/>
        </w:rPr>
        <w:t>of a genomics-based risk panel to provide greater insight into the potential for personalized genomic testing to add value to clin</w:t>
      </w:r>
      <w:r w:rsidR="00D641D3" w:rsidRPr="001E5D32">
        <w:rPr>
          <w:rFonts w:ascii="Book Antiqua" w:eastAsia="Times New Roman" w:hAnsi="Book Antiqua"/>
          <w:sz w:val="24"/>
          <w:lang w:val="en-GB"/>
        </w:rPr>
        <w:t>ical risk stratification models</w:t>
      </w:r>
      <w:r w:rsidR="0060633E" w:rsidRPr="001E5D32">
        <w:rPr>
          <w:rFonts w:ascii="Book Antiqua" w:eastAsia="Times New Roman" w:hAnsi="Book Antiqua"/>
          <w:sz w:val="24"/>
          <w:vertAlign w:val="superscript"/>
          <w:lang w:val="en-GB"/>
        </w:rPr>
        <w:t>[</w:t>
      </w:r>
      <w:r w:rsidR="00303EB5" w:rsidRPr="001E5D32">
        <w:rPr>
          <w:rFonts w:ascii="Book Antiqua" w:eastAsia="Times New Roman" w:hAnsi="Book Antiqua"/>
          <w:sz w:val="24"/>
          <w:vertAlign w:val="superscript"/>
          <w:lang w:val="en-GB"/>
        </w:rPr>
        <w:t>192,193</w:t>
      </w:r>
      <w:r w:rsidR="0060633E" w:rsidRPr="001E5D32">
        <w:rPr>
          <w:rFonts w:ascii="Book Antiqua" w:eastAsia="Times New Roman" w:hAnsi="Book Antiqua"/>
          <w:sz w:val="24"/>
          <w:vertAlign w:val="superscript"/>
          <w:lang w:val="en-GB"/>
        </w:rPr>
        <w:t>]</w:t>
      </w:r>
      <w:r w:rsidR="0060633E" w:rsidRPr="001E5D32">
        <w:rPr>
          <w:rFonts w:ascii="Book Antiqua" w:eastAsia="Times New Roman" w:hAnsi="Book Antiqua"/>
          <w:sz w:val="24"/>
          <w:lang w:val="en-GB"/>
        </w:rPr>
        <w:t>.</w:t>
      </w:r>
      <w:r w:rsidR="00887BB0" w:rsidRPr="001E5D32">
        <w:rPr>
          <w:rFonts w:ascii="Book Antiqua" w:hAnsi="Book Antiqua"/>
          <w:sz w:val="24"/>
        </w:rPr>
        <w:t xml:space="preserve"> </w:t>
      </w:r>
      <w:r w:rsidR="00887BB0" w:rsidRPr="001E5D32">
        <w:rPr>
          <w:rFonts w:ascii="Book Antiqua" w:eastAsia="Times New Roman" w:hAnsi="Book Antiqua"/>
          <w:sz w:val="24"/>
          <w:lang w:val="en-GB"/>
        </w:rPr>
        <w:t>Extension of personalized genomics-based NCD screening beyond the limited scope of single-gene testing assisted by next-generation sequencing therefore has the potential to facilitate the detection of both known and novel mutations allowing for the prevention of cumulative cardio-metabolic risk across the NAFLD spectrum.</w:t>
      </w:r>
    </w:p>
    <w:p w14:paraId="6AB782C4" w14:textId="77777777" w:rsidR="00D641D3" w:rsidRPr="001E5D32" w:rsidRDefault="00D641D3" w:rsidP="001E5D32">
      <w:pPr>
        <w:spacing w:line="360" w:lineRule="auto"/>
        <w:rPr>
          <w:rFonts w:ascii="Book Antiqua" w:eastAsia="Times New Roman" w:hAnsi="Book Antiqua"/>
          <w:b/>
          <w:sz w:val="24"/>
          <w:lang w:val="en-GB"/>
        </w:rPr>
      </w:pPr>
    </w:p>
    <w:p w14:paraId="2C98884F" w14:textId="77777777" w:rsidR="000775EE" w:rsidRPr="001E5D32" w:rsidRDefault="000775EE"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 xml:space="preserve">ACKNOWLEGEMENTS </w:t>
      </w:r>
    </w:p>
    <w:p w14:paraId="0659CBCD" w14:textId="302834DA" w:rsidR="00EA3B0D" w:rsidRPr="001E5D32" w:rsidRDefault="0042650A" w:rsidP="001E5D32">
      <w:pPr>
        <w:spacing w:line="360" w:lineRule="auto"/>
        <w:rPr>
          <w:rFonts w:ascii="Book Antiqua" w:eastAsiaTheme="minorEastAsia" w:hAnsi="Book Antiqua"/>
          <w:sz w:val="24"/>
          <w:lang w:val="en-GB"/>
        </w:rPr>
      </w:pPr>
      <w:r w:rsidRPr="001E5D32">
        <w:rPr>
          <w:rFonts w:ascii="Book Antiqua" w:eastAsia="Times New Roman" w:hAnsi="Book Antiqua"/>
          <w:sz w:val="24"/>
          <w:lang w:val="en-GB"/>
        </w:rPr>
        <w:t xml:space="preserve">This work is based on the research supported in part by the National Research Foundation (NRF) of South Africa (UID 83962). The Grantholder acknowledges that opinions, findings and conclusions or recommendations expressed in any publication generated by the NRF supported research are that of the authors, and that the NRF accepts no liability whatsoever in this regard. </w:t>
      </w:r>
    </w:p>
    <w:p w14:paraId="7B418B49" w14:textId="77777777" w:rsidR="00195906" w:rsidRPr="001E5D32" w:rsidRDefault="00195906" w:rsidP="001E5D32">
      <w:pPr>
        <w:spacing w:line="360" w:lineRule="auto"/>
        <w:rPr>
          <w:rFonts w:ascii="Book Antiqua" w:eastAsiaTheme="minorEastAsia" w:hAnsi="Book Antiqua"/>
          <w:sz w:val="24"/>
          <w:lang w:val="en-GB"/>
        </w:rPr>
      </w:pPr>
    </w:p>
    <w:p w14:paraId="4CAC638B" w14:textId="485742C6" w:rsidR="002E4CB5" w:rsidRPr="001E5D32" w:rsidRDefault="00195906" w:rsidP="001E5D32">
      <w:pPr>
        <w:spacing w:line="360" w:lineRule="auto"/>
        <w:rPr>
          <w:rFonts w:ascii="Book Antiqua" w:hAnsi="Book Antiqua"/>
          <w:b/>
          <w:sz w:val="24"/>
        </w:rPr>
      </w:pPr>
      <w:r w:rsidRPr="001E5D32">
        <w:rPr>
          <w:rFonts w:ascii="Book Antiqua" w:hAnsi="Book Antiqua"/>
          <w:b/>
          <w:sz w:val="24"/>
        </w:rPr>
        <w:t xml:space="preserve">REFERENCES </w:t>
      </w:r>
    </w:p>
    <w:p w14:paraId="30343F55" w14:textId="5E5429DE"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 </w:t>
      </w:r>
      <w:r w:rsidRPr="001E5D32">
        <w:rPr>
          <w:rFonts w:ascii="Book Antiqua" w:hAnsi="Book Antiqua" w:cs="宋体"/>
          <w:b/>
          <w:bCs/>
          <w:kern w:val="0"/>
          <w:sz w:val="24"/>
        </w:rPr>
        <w:t>Murray CJ</w:t>
      </w:r>
      <w:r w:rsidRPr="001E5D32">
        <w:rPr>
          <w:rFonts w:ascii="Book Antiqua" w:hAnsi="Book Antiqua" w:cs="宋体"/>
          <w:kern w:val="0"/>
          <w:sz w:val="24"/>
        </w:rPr>
        <w:t xml:space="preserve">, Lopez AD. Measuring the global burden of disease. </w:t>
      </w:r>
      <w:r w:rsidRPr="001E5D32">
        <w:rPr>
          <w:rFonts w:ascii="Book Antiqua" w:hAnsi="Book Antiqua" w:cs="宋体"/>
          <w:i/>
          <w:iCs/>
          <w:kern w:val="0"/>
          <w:sz w:val="24"/>
        </w:rPr>
        <w:t>N Engl J Med</w:t>
      </w:r>
      <w:r w:rsidRPr="001E5D32">
        <w:rPr>
          <w:rFonts w:ascii="Book Antiqua" w:hAnsi="Book Antiqua" w:cs="宋体"/>
          <w:kern w:val="0"/>
          <w:sz w:val="24"/>
        </w:rPr>
        <w:t xml:space="preserve"> 2013; </w:t>
      </w:r>
      <w:r w:rsidRPr="001E5D32">
        <w:rPr>
          <w:rFonts w:ascii="Book Antiqua" w:hAnsi="Book Antiqua" w:cs="宋体"/>
          <w:b/>
          <w:bCs/>
          <w:kern w:val="0"/>
          <w:sz w:val="24"/>
        </w:rPr>
        <w:t>369</w:t>
      </w:r>
      <w:r w:rsidRPr="001E5D32">
        <w:rPr>
          <w:rFonts w:ascii="Book Antiqua" w:hAnsi="Book Antiqua" w:cs="宋体"/>
          <w:kern w:val="0"/>
          <w:sz w:val="24"/>
        </w:rPr>
        <w:t>: 448-457 [PMID: 23902484 DOI: 10.1056/NEJMra1201534]</w:t>
      </w:r>
    </w:p>
    <w:p w14:paraId="5F6E7EA9"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2 </w:t>
      </w:r>
      <w:r w:rsidRPr="001E5D32">
        <w:rPr>
          <w:rFonts w:ascii="Book Antiqua" w:hAnsi="Book Antiqua" w:cs="宋体"/>
          <w:b/>
          <w:bCs/>
          <w:kern w:val="0"/>
          <w:sz w:val="24"/>
        </w:rPr>
        <w:t>Boutayeb A</w:t>
      </w:r>
      <w:r w:rsidRPr="001E5D32">
        <w:rPr>
          <w:rFonts w:ascii="Book Antiqua" w:hAnsi="Book Antiqua" w:cs="宋体"/>
          <w:kern w:val="0"/>
          <w:sz w:val="24"/>
        </w:rPr>
        <w:t xml:space="preserve">, Boutayeb S. The burden of non communicable diseases in developing countries. </w:t>
      </w:r>
      <w:r w:rsidRPr="001E5D32">
        <w:rPr>
          <w:rFonts w:ascii="Book Antiqua" w:hAnsi="Book Antiqua" w:cs="宋体"/>
          <w:i/>
          <w:iCs/>
          <w:kern w:val="0"/>
          <w:sz w:val="24"/>
        </w:rPr>
        <w:t>Int J Equity Health</w:t>
      </w:r>
      <w:r w:rsidRPr="001E5D32">
        <w:rPr>
          <w:rFonts w:ascii="Book Antiqua" w:hAnsi="Book Antiqua" w:cs="宋体"/>
          <w:kern w:val="0"/>
          <w:sz w:val="24"/>
        </w:rPr>
        <w:t xml:space="preserve"> 2005; </w:t>
      </w:r>
      <w:r w:rsidRPr="001E5D32">
        <w:rPr>
          <w:rFonts w:ascii="Book Antiqua" w:hAnsi="Book Antiqua" w:cs="宋体"/>
          <w:b/>
          <w:bCs/>
          <w:kern w:val="0"/>
          <w:sz w:val="24"/>
        </w:rPr>
        <w:t>4</w:t>
      </w:r>
      <w:r w:rsidRPr="001E5D32">
        <w:rPr>
          <w:rFonts w:ascii="Book Antiqua" w:hAnsi="Book Antiqua" w:cs="宋体"/>
          <w:kern w:val="0"/>
          <w:sz w:val="24"/>
        </w:rPr>
        <w:t>: 2 [PMID: 15651987 DOI: 10.1007/978-0-387-78665-0_31]</w:t>
      </w:r>
    </w:p>
    <w:p w14:paraId="2CFE10FB"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3 </w:t>
      </w:r>
      <w:r w:rsidRPr="001E5D32">
        <w:rPr>
          <w:rFonts w:ascii="Book Antiqua" w:hAnsi="Book Antiqua" w:cs="宋体"/>
          <w:b/>
          <w:bCs/>
          <w:kern w:val="0"/>
          <w:sz w:val="24"/>
        </w:rPr>
        <w:t>Prentice AM</w:t>
      </w:r>
      <w:r w:rsidRPr="001E5D32">
        <w:rPr>
          <w:rFonts w:ascii="Book Antiqua" w:hAnsi="Book Antiqua" w:cs="宋体"/>
          <w:kern w:val="0"/>
          <w:sz w:val="24"/>
        </w:rPr>
        <w:t xml:space="preserve">. The emerging epidemic of obesity in developing countries. </w:t>
      </w:r>
      <w:r w:rsidRPr="001E5D32">
        <w:rPr>
          <w:rFonts w:ascii="Book Antiqua" w:hAnsi="Book Antiqua" w:cs="宋体"/>
          <w:i/>
          <w:iCs/>
          <w:kern w:val="0"/>
          <w:sz w:val="24"/>
        </w:rPr>
        <w:t>Int J Epidemiol</w:t>
      </w:r>
      <w:r w:rsidRPr="001E5D32">
        <w:rPr>
          <w:rFonts w:ascii="Book Antiqua" w:hAnsi="Book Antiqua" w:cs="宋体"/>
          <w:kern w:val="0"/>
          <w:sz w:val="24"/>
        </w:rPr>
        <w:t xml:space="preserve"> 2006; </w:t>
      </w:r>
      <w:r w:rsidRPr="001E5D32">
        <w:rPr>
          <w:rFonts w:ascii="Book Antiqua" w:hAnsi="Book Antiqua" w:cs="宋体"/>
          <w:b/>
          <w:bCs/>
          <w:kern w:val="0"/>
          <w:sz w:val="24"/>
        </w:rPr>
        <w:t>35</w:t>
      </w:r>
      <w:r w:rsidRPr="001E5D32">
        <w:rPr>
          <w:rFonts w:ascii="Book Antiqua" w:hAnsi="Book Antiqua" w:cs="宋体"/>
          <w:kern w:val="0"/>
          <w:sz w:val="24"/>
        </w:rPr>
        <w:t>: 93-99 [PMID: 16326822 DOI: 10.1093/ije/dyi272]</w:t>
      </w:r>
    </w:p>
    <w:p w14:paraId="29DE432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4 </w:t>
      </w:r>
      <w:r w:rsidRPr="001E5D32">
        <w:rPr>
          <w:rFonts w:ascii="Book Antiqua" w:hAnsi="Book Antiqua" w:cs="宋体"/>
          <w:b/>
          <w:bCs/>
          <w:kern w:val="0"/>
          <w:sz w:val="24"/>
        </w:rPr>
        <w:t>Egger G</w:t>
      </w:r>
      <w:r w:rsidRPr="001E5D32">
        <w:rPr>
          <w:rFonts w:ascii="Book Antiqua" w:hAnsi="Book Antiqua" w:cs="宋体"/>
          <w:kern w:val="0"/>
          <w:sz w:val="24"/>
        </w:rPr>
        <w:t xml:space="preserve">. Obesity, chronic disease, and economic growth: a case for "big picture" prevention. </w:t>
      </w:r>
      <w:r w:rsidRPr="001E5D32">
        <w:rPr>
          <w:rFonts w:ascii="Book Antiqua" w:hAnsi="Book Antiqua" w:cs="宋体"/>
          <w:i/>
          <w:iCs/>
          <w:kern w:val="0"/>
          <w:sz w:val="24"/>
        </w:rPr>
        <w:t>Adv Prev Med</w:t>
      </w:r>
      <w:r w:rsidRPr="001E5D32">
        <w:rPr>
          <w:rFonts w:ascii="Book Antiqua" w:hAnsi="Book Antiqua" w:cs="宋体"/>
          <w:kern w:val="0"/>
          <w:sz w:val="24"/>
        </w:rPr>
        <w:t xml:space="preserve"> 2011; </w:t>
      </w:r>
      <w:r w:rsidRPr="001E5D32">
        <w:rPr>
          <w:rFonts w:ascii="Book Antiqua" w:hAnsi="Book Antiqua" w:cs="宋体"/>
          <w:b/>
          <w:bCs/>
          <w:kern w:val="0"/>
          <w:sz w:val="24"/>
        </w:rPr>
        <w:t>2011</w:t>
      </w:r>
      <w:r w:rsidRPr="001E5D32">
        <w:rPr>
          <w:rFonts w:ascii="Book Antiqua" w:hAnsi="Book Antiqua" w:cs="宋体"/>
          <w:kern w:val="0"/>
          <w:sz w:val="24"/>
        </w:rPr>
        <w:t>: 149158 [PMID: 21991431 DOI: 10.4061/2011/149158]</w:t>
      </w:r>
    </w:p>
    <w:p w14:paraId="4EC20993"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5 </w:t>
      </w:r>
      <w:r w:rsidRPr="001E5D32">
        <w:rPr>
          <w:rFonts w:ascii="Book Antiqua" w:hAnsi="Book Antiqua" w:cs="宋体"/>
          <w:b/>
          <w:bCs/>
          <w:kern w:val="0"/>
          <w:sz w:val="24"/>
        </w:rPr>
        <w:t>Chang CY</w:t>
      </w:r>
      <w:r w:rsidRPr="001E5D32">
        <w:rPr>
          <w:rFonts w:ascii="Book Antiqua" w:hAnsi="Book Antiqua" w:cs="宋体"/>
          <w:kern w:val="0"/>
          <w:sz w:val="24"/>
        </w:rPr>
        <w:t xml:space="preserve">. Understanding the relationship between PNPLA3, NAFLD and insulin resistance: do ethnic differences bring more questions or more answers? </w:t>
      </w:r>
      <w:r w:rsidRPr="001E5D32">
        <w:rPr>
          <w:rFonts w:ascii="Book Antiqua" w:hAnsi="Book Antiqua" w:cs="宋体"/>
          <w:i/>
          <w:iCs/>
          <w:kern w:val="0"/>
          <w:sz w:val="24"/>
        </w:rPr>
        <w:t>Liver Int</w:t>
      </w:r>
      <w:r w:rsidRPr="001E5D32">
        <w:rPr>
          <w:rFonts w:ascii="Book Antiqua" w:hAnsi="Book Antiqua" w:cs="宋体"/>
          <w:kern w:val="0"/>
          <w:sz w:val="24"/>
        </w:rPr>
        <w:t xml:space="preserve"> 2011; </w:t>
      </w:r>
      <w:r w:rsidRPr="001E5D32">
        <w:rPr>
          <w:rFonts w:ascii="Book Antiqua" w:hAnsi="Book Antiqua" w:cs="宋体"/>
          <w:b/>
          <w:bCs/>
          <w:kern w:val="0"/>
          <w:sz w:val="24"/>
        </w:rPr>
        <w:t>31</w:t>
      </w:r>
      <w:r w:rsidRPr="001E5D32">
        <w:rPr>
          <w:rFonts w:ascii="Book Antiqua" w:hAnsi="Book Antiqua" w:cs="宋体"/>
          <w:kern w:val="0"/>
          <w:sz w:val="24"/>
        </w:rPr>
        <w:t>: 1246-1249 [PMID: 22093451 DOI: 10.1111/j.1478-3231.2011.02612.x.]</w:t>
      </w:r>
    </w:p>
    <w:p w14:paraId="04F63C46"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6 </w:t>
      </w:r>
      <w:r w:rsidRPr="001E5D32">
        <w:rPr>
          <w:rFonts w:ascii="Book Antiqua" w:hAnsi="Book Antiqua" w:cs="宋体"/>
          <w:b/>
          <w:bCs/>
          <w:kern w:val="0"/>
          <w:sz w:val="24"/>
        </w:rPr>
        <w:t>Bergqvist CJ</w:t>
      </w:r>
      <w:r w:rsidRPr="001E5D32">
        <w:rPr>
          <w:rFonts w:ascii="Book Antiqua" w:hAnsi="Book Antiqua" w:cs="宋体"/>
          <w:kern w:val="0"/>
          <w:sz w:val="24"/>
        </w:rPr>
        <w:t xml:space="preserve">, Skoien R, Horsfall L, Clouston AD, Jonsson JR, Powell EE. Awareness and opinions of non-alcoholic fatty liver disease by hospital specialists. </w:t>
      </w:r>
      <w:r w:rsidRPr="001E5D32">
        <w:rPr>
          <w:rFonts w:ascii="Book Antiqua" w:hAnsi="Book Antiqua" w:cs="宋体"/>
          <w:i/>
          <w:iCs/>
          <w:kern w:val="0"/>
          <w:sz w:val="24"/>
        </w:rPr>
        <w:t>Intern Med J</w:t>
      </w:r>
      <w:r w:rsidRPr="001E5D32">
        <w:rPr>
          <w:rFonts w:ascii="Book Antiqua" w:hAnsi="Book Antiqua" w:cs="宋体"/>
          <w:kern w:val="0"/>
          <w:sz w:val="24"/>
        </w:rPr>
        <w:t xml:space="preserve"> 2013; </w:t>
      </w:r>
      <w:r w:rsidRPr="001E5D32">
        <w:rPr>
          <w:rFonts w:ascii="Book Antiqua" w:hAnsi="Book Antiqua" w:cs="宋体"/>
          <w:b/>
          <w:bCs/>
          <w:kern w:val="0"/>
          <w:sz w:val="24"/>
        </w:rPr>
        <w:t>43</w:t>
      </w:r>
      <w:r w:rsidRPr="001E5D32">
        <w:rPr>
          <w:rFonts w:ascii="Book Antiqua" w:hAnsi="Book Antiqua" w:cs="宋体"/>
          <w:kern w:val="0"/>
          <w:sz w:val="24"/>
        </w:rPr>
        <w:t>: 247-253 [PMID: 22646061 DOI: 10.1111/j.1445-5994.2012.02848.x]</w:t>
      </w:r>
    </w:p>
    <w:p w14:paraId="7573042C"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7 </w:t>
      </w:r>
      <w:r w:rsidRPr="001E5D32">
        <w:rPr>
          <w:rFonts w:ascii="Book Antiqua" w:hAnsi="Book Antiqua" w:cs="宋体"/>
          <w:b/>
          <w:bCs/>
          <w:kern w:val="0"/>
          <w:sz w:val="24"/>
        </w:rPr>
        <w:t>Serfaty L</w:t>
      </w:r>
      <w:r w:rsidRPr="001E5D32">
        <w:rPr>
          <w:rFonts w:ascii="Book Antiqua" w:hAnsi="Book Antiqua" w:cs="宋体"/>
          <w:kern w:val="0"/>
          <w:sz w:val="24"/>
        </w:rPr>
        <w:t xml:space="preserve">, Lemoine M. Definition and natural history of metabolic steatosis: clinical aspects of NAFLD, NASH and cirrhosis. </w:t>
      </w:r>
      <w:r w:rsidRPr="001E5D32">
        <w:rPr>
          <w:rFonts w:ascii="Book Antiqua" w:hAnsi="Book Antiqua" w:cs="宋体"/>
          <w:i/>
          <w:iCs/>
          <w:kern w:val="0"/>
          <w:sz w:val="24"/>
        </w:rPr>
        <w:t>Diabetes Metab</w:t>
      </w:r>
      <w:r w:rsidRPr="001E5D32">
        <w:rPr>
          <w:rFonts w:ascii="Book Antiqua" w:hAnsi="Book Antiqua" w:cs="宋体"/>
          <w:kern w:val="0"/>
          <w:sz w:val="24"/>
        </w:rPr>
        <w:t xml:space="preserve"> 2008; </w:t>
      </w:r>
      <w:r w:rsidRPr="001E5D32">
        <w:rPr>
          <w:rFonts w:ascii="Book Antiqua" w:hAnsi="Book Antiqua" w:cs="宋体"/>
          <w:b/>
          <w:bCs/>
          <w:kern w:val="0"/>
          <w:sz w:val="24"/>
        </w:rPr>
        <w:t>34</w:t>
      </w:r>
      <w:r w:rsidRPr="001E5D32">
        <w:rPr>
          <w:rFonts w:ascii="Book Antiqua" w:hAnsi="Book Antiqua" w:cs="宋体"/>
          <w:kern w:val="0"/>
          <w:sz w:val="24"/>
        </w:rPr>
        <w:t>: 634-637 [PMID: 19195623 DOI: 10.1016/S1262-3636(08)74597-X]</w:t>
      </w:r>
    </w:p>
    <w:p w14:paraId="5873F568"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8 </w:t>
      </w:r>
      <w:r w:rsidRPr="001E5D32">
        <w:rPr>
          <w:rFonts w:ascii="Book Antiqua" w:hAnsi="Book Antiqua" w:cs="宋体"/>
          <w:b/>
          <w:bCs/>
          <w:kern w:val="0"/>
          <w:sz w:val="24"/>
        </w:rPr>
        <w:t>Basaranoglu M</w:t>
      </w:r>
      <w:r w:rsidRPr="001E5D32">
        <w:rPr>
          <w:rFonts w:ascii="Book Antiqua" w:hAnsi="Book Antiqua" w:cs="宋体"/>
          <w:kern w:val="0"/>
          <w:sz w:val="24"/>
        </w:rPr>
        <w:t xml:space="preserve">, Basaranoglu G, Sentürk H. From fatty liver to fibrosis: a tale of "second hit". </w:t>
      </w:r>
      <w:r w:rsidRPr="001E5D32">
        <w:rPr>
          <w:rFonts w:ascii="Book Antiqua" w:hAnsi="Book Antiqua" w:cs="宋体"/>
          <w:i/>
          <w:iCs/>
          <w:kern w:val="0"/>
          <w:sz w:val="24"/>
        </w:rPr>
        <w:t>World J Gastroenterol</w:t>
      </w:r>
      <w:r w:rsidRPr="001E5D32">
        <w:rPr>
          <w:rFonts w:ascii="Book Antiqua" w:hAnsi="Book Antiqua" w:cs="宋体"/>
          <w:kern w:val="0"/>
          <w:sz w:val="24"/>
        </w:rPr>
        <w:t xml:space="preserve"> 2013; </w:t>
      </w:r>
      <w:r w:rsidRPr="001E5D32">
        <w:rPr>
          <w:rFonts w:ascii="Book Antiqua" w:hAnsi="Book Antiqua" w:cs="宋体"/>
          <w:b/>
          <w:bCs/>
          <w:kern w:val="0"/>
          <w:sz w:val="24"/>
        </w:rPr>
        <w:t>19</w:t>
      </w:r>
      <w:r w:rsidRPr="001E5D32">
        <w:rPr>
          <w:rFonts w:ascii="Book Antiqua" w:hAnsi="Book Antiqua" w:cs="宋体"/>
          <w:kern w:val="0"/>
          <w:sz w:val="24"/>
        </w:rPr>
        <w:t>: 1158-1165 [PMID: 23483818 DOI: 10.3748/wjg.v19.i8.1158]</w:t>
      </w:r>
    </w:p>
    <w:p w14:paraId="739A867F"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9 </w:t>
      </w:r>
      <w:r w:rsidRPr="001E5D32">
        <w:rPr>
          <w:rFonts w:ascii="Book Antiqua" w:hAnsi="Book Antiqua" w:cs="宋体"/>
          <w:b/>
          <w:bCs/>
          <w:kern w:val="0"/>
          <w:sz w:val="24"/>
        </w:rPr>
        <w:t>Brunt EM</w:t>
      </w:r>
      <w:r w:rsidRPr="001E5D32">
        <w:rPr>
          <w:rFonts w:ascii="Book Antiqua" w:hAnsi="Book Antiqua" w:cs="宋体"/>
          <w:kern w:val="0"/>
          <w:sz w:val="24"/>
        </w:rPr>
        <w:t xml:space="preserve">, Tiniakos DG. Histopathology of nonalcoholic fatty liver disease. </w:t>
      </w:r>
      <w:r w:rsidRPr="001E5D32">
        <w:rPr>
          <w:rFonts w:ascii="Book Antiqua" w:hAnsi="Book Antiqua" w:cs="宋体"/>
          <w:i/>
          <w:iCs/>
          <w:kern w:val="0"/>
          <w:sz w:val="24"/>
        </w:rPr>
        <w:t>World J Gastroenterol</w:t>
      </w:r>
      <w:r w:rsidRPr="001E5D32">
        <w:rPr>
          <w:rFonts w:ascii="Book Antiqua" w:hAnsi="Book Antiqua" w:cs="宋体"/>
          <w:kern w:val="0"/>
          <w:sz w:val="24"/>
        </w:rPr>
        <w:t xml:space="preserve"> 2010; </w:t>
      </w:r>
      <w:r w:rsidRPr="001E5D32">
        <w:rPr>
          <w:rFonts w:ascii="Book Antiqua" w:hAnsi="Book Antiqua" w:cs="宋体"/>
          <w:b/>
          <w:bCs/>
          <w:kern w:val="0"/>
          <w:sz w:val="24"/>
        </w:rPr>
        <w:t>16</w:t>
      </w:r>
      <w:r w:rsidRPr="001E5D32">
        <w:rPr>
          <w:rFonts w:ascii="Book Antiqua" w:hAnsi="Book Antiqua" w:cs="宋体"/>
          <w:kern w:val="0"/>
          <w:sz w:val="24"/>
        </w:rPr>
        <w:t>: 5286-5296 [PMID: 21072891 DOI: 10.3748/wjg.v16.i42.5286]</w:t>
      </w:r>
    </w:p>
    <w:p w14:paraId="0A26AFAD"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10 </w:t>
      </w:r>
      <w:r w:rsidRPr="001E5D32">
        <w:rPr>
          <w:rFonts w:ascii="Book Antiqua" w:hAnsi="Book Antiqua" w:cs="宋体"/>
          <w:b/>
          <w:bCs/>
          <w:kern w:val="0"/>
          <w:sz w:val="24"/>
        </w:rPr>
        <w:t>Nalbantoglu IL</w:t>
      </w:r>
      <w:r w:rsidRPr="001E5D32">
        <w:rPr>
          <w:rFonts w:ascii="Book Antiqua" w:hAnsi="Book Antiqua" w:cs="宋体"/>
          <w:kern w:val="0"/>
          <w:sz w:val="24"/>
        </w:rPr>
        <w:t xml:space="preserve">, Brunt EM. Role of liver biopsy in nonalcoholic fatty liver disease. </w:t>
      </w:r>
      <w:r w:rsidRPr="001E5D32">
        <w:rPr>
          <w:rFonts w:ascii="Book Antiqua" w:hAnsi="Book Antiqua" w:cs="宋体"/>
          <w:i/>
          <w:iCs/>
          <w:kern w:val="0"/>
          <w:sz w:val="24"/>
        </w:rPr>
        <w:t>World J Gastroenterol</w:t>
      </w:r>
      <w:r w:rsidRPr="001E5D32">
        <w:rPr>
          <w:rFonts w:ascii="Book Antiqua" w:hAnsi="Book Antiqua" w:cs="宋体"/>
          <w:kern w:val="0"/>
          <w:sz w:val="24"/>
        </w:rPr>
        <w:t xml:space="preserve"> 2014; </w:t>
      </w:r>
      <w:r w:rsidRPr="001E5D32">
        <w:rPr>
          <w:rFonts w:ascii="Book Antiqua" w:hAnsi="Book Antiqua" w:cs="宋体"/>
          <w:b/>
          <w:bCs/>
          <w:kern w:val="0"/>
          <w:sz w:val="24"/>
        </w:rPr>
        <w:t>20</w:t>
      </w:r>
      <w:r w:rsidRPr="001E5D32">
        <w:rPr>
          <w:rFonts w:ascii="Book Antiqua" w:hAnsi="Book Antiqua" w:cs="宋体"/>
          <w:kern w:val="0"/>
          <w:sz w:val="24"/>
        </w:rPr>
        <w:t>: 9026-9037 [PMID: 25083076 DOI: 10.3748/wjg.v20.i27.9026]</w:t>
      </w:r>
    </w:p>
    <w:p w14:paraId="092E24CA"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11 </w:t>
      </w:r>
      <w:r w:rsidRPr="001E5D32">
        <w:rPr>
          <w:rFonts w:ascii="Book Antiqua" w:hAnsi="Book Antiqua" w:cs="宋体"/>
          <w:b/>
          <w:bCs/>
          <w:kern w:val="0"/>
          <w:sz w:val="24"/>
        </w:rPr>
        <w:t>El Bassat H</w:t>
      </w:r>
      <w:r w:rsidRPr="001E5D32">
        <w:rPr>
          <w:rFonts w:ascii="Book Antiqua" w:hAnsi="Book Antiqua" w:cs="宋体"/>
          <w:kern w:val="0"/>
          <w:sz w:val="24"/>
        </w:rPr>
        <w:t xml:space="preserve">, Ziada DH, Hasby EA, Nagy H, Abo Ryia MH. Apoptotic and anti-apoptotic seromarkers for assessment of disease severity of non-alcoholic steatohepatitis. </w:t>
      </w:r>
      <w:r w:rsidRPr="001E5D32">
        <w:rPr>
          <w:rFonts w:ascii="Book Antiqua" w:hAnsi="Book Antiqua" w:cs="宋体"/>
          <w:i/>
          <w:iCs/>
          <w:kern w:val="0"/>
          <w:sz w:val="24"/>
        </w:rPr>
        <w:t>Arab J Gastroenterol</w:t>
      </w:r>
      <w:r w:rsidRPr="001E5D32">
        <w:rPr>
          <w:rFonts w:ascii="Book Antiqua" w:hAnsi="Book Antiqua" w:cs="宋体"/>
          <w:kern w:val="0"/>
          <w:sz w:val="24"/>
        </w:rPr>
        <w:t xml:space="preserve"> 2014; </w:t>
      </w:r>
      <w:r w:rsidRPr="001E5D32">
        <w:rPr>
          <w:rFonts w:ascii="Book Antiqua" w:hAnsi="Book Antiqua" w:cs="宋体"/>
          <w:b/>
          <w:bCs/>
          <w:kern w:val="0"/>
          <w:sz w:val="24"/>
        </w:rPr>
        <w:t>15</w:t>
      </w:r>
      <w:r w:rsidRPr="001E5D32">
        <w:rPr>
          <w:rFonts w:ascii="Book Antiqua" w:hAnsi="Book Antiqua" w:cs="宋体"/>
          <w:kern w:val="0"/>
          <w:sz w:val="24"/>
        </w:rPr>
        <w:t>: 6-11 [PMID: 24630506 DOI: 10.1016/j.ajg.2014.01.009]</w:t>
      </w:r>
    </w:p>
    <w:p w14:paraId="4A4621EA"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12 </w:t>
      </w:r>
      <w:r w:rsidRPr="001E5D32">
        <w:rPr>
          <w:rFonts w:ascii="Book Antiqua" w:hAnsi="Book Antiqua" w:cs="宋体"/>
          <w:b/>
          <w:bCs/>
          <w:kern w:val="0"/>
          <w:sz w:val="24"/>
        </w:rPr>
        <w:t>Kawanaka M</w:t>
      </w:r>
      <w:r w:rsidRPr="001E5D32">
        <w:rPr>
          <w:rFonts w:ascii="Book Antiqua" w:hAnsi="Book Antiqua" w:cs="宋体"/>
          <w:kern w:val="0"/>
          <w:sz w:val="24"/>
        </w:rPr>
        <w:t xml:space="preserve">, Mahmood S, Niiyama G, Izumi A, Kamei A, Ikeda H, Suehiro M, Togawa K, Sasagawa T, Okita M, Nakamura H, Yodoi J, Yamada G. Control of oxidative stress and reduction in biochemical markers by Vitamin E treatment in patients with nonalcoholic steatohepatitis: a pilot study. </w:t>
      </w:r>
      <w:r w:rsidRPr="001E5D32">
        <w:rPr>
          <w:rFonts w:ascii="Book Antiqua" w:hAnsi="Book Antiqua" w:cs="宋体"/>
          <w:i/>
          <w:iCs/>
          <w:kern w:val="0"/>
          <w:sz w:val="24"/>
        </w:rPr>
        <w:t>Hepatol Res</w:t>
      </w:r>
      <w:r w:rsidRPr="001E5D32">
        <w:rPr>
          <w:rFonts w:ascii="Book Antiqua" w:hAnsi="Book Antiqua" w:cs="宋体"/>
          <w:kern w:val="0"/>
          <w:sz w:val="24"/>
        </w:rPr>
        <w:t xml:space="preserve"> 2004; </w:t>
      </w:r>
      <w:r w:rsidRPr="001E5D32">
        <w:rPr>
          <w:rFonts w:ascii="Book Antiqua" w:hAnsi="Book Antiqua" w:cs="宋体"/>
          <w:b/>
          <w:bCs/>
          <w:kern w:val="0"/>
          <w:sz w:val="24"/>
        </w:rPr>
        <w:t>29</w:t>
      </w:r>
      <w:r w:rsidRPr="001E5D32">
        <w:rPr>
          <w:rFonts w:ascii="Book Antiqua" w:hAnsi="Book Antiqua" w:cs="宋体"/>
          <w:kern w:val="0"/>
          <w:sz w:val="24"/>
        </w:rPr>
        <w:t>: 39-41 [PMID: 15135345]</w:t>
      </w:r>
    </w:p>
    <w:p w14:paraId="7F8FE140"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13 </w:t>
      </w:r>
      <w:r w:rsidRPr="001E5D32">
        <w:rPr>
          <w:rFonts w:ascii="Book Antiqua" w:hAnsi="Book Antiqua" w:cs="宋体"/>
          <w:b/>
          <w:bCs/>
          <w:kern w:val="0"/>
          <w:sz w:val="24"/>
        </w:rPr>
        <w:t>Machado MV</w:t>
      </w:r>
      <w:r w:rsidRPr="001E5D32">
        <w:rPr>
          <w:rFonts w:ascii="Book Antiqua" w:hAnsi="Book Antiqua" w:cs="宋体"/>
          <w:kern w:val="0"/>
          <w:sz w:val="24"/>
        </w:rPr>
        <w:t xml:space="preserve">, Ravasco P, Jesus L, Marques-Vidal P, Oliveira CR, Proença T, Baldeiras I, Camilo ME, Cortez-Pinto H. Blood oxidative stress markers in non-alcoholic steatohepatitis and how it correlates with diet. </w:t>
      </w:r>
      <w:r w:rsidRPr="001E5D32">
        <w:rPr>
          <w:rFonts w:ascii="Book Antiqua" w:hAnsi="Book Antiqua" w:cs="宋体"/>
          <w:i/>
          <w:iCs/>
          <w:kern w:val="0"/>
          <w:sz w:val="24"/>
        </w:rPr>
        <w:t>Scand J Gastroenterol</w:t>
      </w:r>
      <w:r w:rsidRPr="001E5D32">
        <w:rPr>
          <w:rFonts w:ascii="Book Antiqua" w:hAnsi="Book Antiqua" w:cs="宋体"/>
          <w:kern w:val="0"/>
          <w:sz w:val="24"/>
        </w:rPr>
        <w:t xml:space="preserve"> 2008; </w:t>
      </w:r>
      <w:r w:rsidRPr="001E5D32">
        <w:rPr>
          <w:rFonts w:ascii="Book Antiqua" w:hAnsi="Book Antiqua" w:cs="宋体"/>
          <w:b/>
          <w:bCs/>
          <w:kern w:val="0"/>
          <w:sz w:val="24"/>
        </w:rPr>
        <w:t>43</w:t>
      </w:r>
      <w:r w:rsidRPr="001E5D32">
        <w:rPr>
          <w:rFonts w:ascii="Book Antiqua" w:hAnsi="Book Antiqua" w:cs="宋体"/>
          <w:kern w:val="0"/>
          <w:sz w:val="24"/>
        </w:rPr>
        <w:t>: 95-102 [PMID: 18938777]</w:t>
      </w:r>
    </w:p>
    <w:p w14:paraId="4DC14CE2"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14 </w:t>
      </w:r>
      <w:r w:rsidRPr="001E5D32">
        <w:rPr>
          <w:rFonts w:ascii="Book Antiqua" w:hAnsi="Book Antiqua" w:cs="宋体"/>
          <w:b/>
          <w:bCs/>
          <w:kern w:val="0"/>
          <w:sz w:val="24"/>
        </w:rPr>
        <w:t>Jarrar MH</w:t>
      </w:r>
      <w:r w:rsidRPr="001E5D32">
        <w:rPr>
          <w:rFonts w:ascii="Book Antiqua" w:hAnsi="Book Antiqua" w:cs="宋体"/>
          <w:kern w:val="0"/>
          <w:sz w:val="24"/>
        </w:rPr>
        <w:t xml:space="preserve">, Baranova A, Collantes R, Ranard B, Stepanova M, Bennett C, Fang Y, Elariny H, Goodman Z, Chandhoke V, Younossi ZM. Adipokines and cytokines in non-alcoholic fatty liver disease. </w:t>
      </w:r>
      <w:r w:rsidRPr="001E5D32">
        <w:rPr>
          <w:rFonts w:ascii="Book Antiqua" w:hAnsi="Book Antiqua" w:cs="宋体"/>
          <w:i/>
          <w:iCs/>
          <w:kern w:val="0"/>
          <w:sz w:val="24"/>
        </w:rPr>
        <w:t>Aliment Pharmacol Ther</w:t>
      </w:r>
      <w:r w:rsidRPr="001E5D32">
        <w:rPr>
          <w:rFonts w:ascii="Book Antiqua" w:hAnsi="Book Antiqua" w:cs="宋体"/>
          <w:kern w:val="0"/>
          <w:sz w:val="24"/>
        </w:rPr>
        <w:t xml:space="preserve"> 2008; </w:t>
      </w:r>
      <w:r w:rsidRPr="001E5D32">
        <w:rPr>
          <w:rFonts w:ascii="Book Antiqua" w:hAnsi="Book Antiqua" w:cs="宋体"/>
          <w:b/>
          <w:bCs/>
          <w:kern w:val="0"/>
          <w:sz w:val="24"/>
        </w:rPr>
        <w:t>27</w:t>
      </w:r>
      <w:r w:rsidRPr="001E5D32">
        <w:rPr>
          <w:rFonts w:ascii="Book Antiqua" w:hAnsi="Book Antiqua" w:cs="宋体"/>
          <w:kern w:val="0"/>
          <w:sz w:val="24"/>
        </w:rPr>
        <w:t>: 412-421 [PMID: 18081738 DOI: 10.1111/j.1365-2036.2007.03586.x]</w:t>
      </w:r>
    </w:p>
    <w:p w14:paraId="0BAF64E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15 </w:t>
      </w:r>
      <w:r w:rsidRPr="001E5D32">
        <w:rPr>
          <w:rFonts w:ascii="Book Antiqua" w:hAnsi="Book Antiqua" w:cs="宋体"/>
          <w:b/>
          <w:bCs/>
          <w:kern w:val="0"/>
          <w:sz w:val="24"/>
        </w:rPr>
        <w:t>Braunersreuther V</w:t>
      </w:r>
      <w:r w:rsidRPr="001E5D32">
        <w:rPr>
          <w:rFonts w:ascii="Book Antiqua" w:hAnsi="Book Antiqua" w:cs="宋体"/>
          <w:kern w:val="0"/>
          <w:sz w:val="24"/>
        </w:rPr>
        <w:t xml:space="preserve">, Viviani GL, Mach F, Montecucco F. Role of cytokines and chemokines in non-alcoholic fatty liver disease. </w:t>
      </w:r>
      <w:r w:rsidRPr="001E5D32">
        <w:rPr>
          <w:rFonts w:ascii="Book Antiqua" w:hAnsi="Book Antiqua" w:cs="宋体"/>
          <w:i/>
          <w:iCs/>
          <w:kern w:val="0"/>
          <w:sz w:val="24"/>
        </w:rPr>
        <w:t>World J Gastroenterol</w:t>
      </w:r>
      <w:r w:rsidRPr="001E5D32">
        <w:rPr>
          <w:rFonts w:ascii="Book Antiqua" w:hAnsi="Book Antiqua" w:cs="宋体"/>
          <w:kern w:val="0"/>
          <w:sz w:val="24"/>
        </w:rPr>
        <w:t xml:space="preserve"> 2012; </w:t>
      </w:r>
      <w:r w:rsidRPr="001E5D32">
        <w:rPr>
          <w:rFonts w:ascii="Book Antiqua" w:hAnsi="Book Antiqua" w:cs="宋体"/>
          <w:b/>
          <w:bCs/>
          <w:kern w:val="0"/>
          <w:sz w:val="24"/>
        </w:rPr>
        <w:t>18</w:t>
      </w:r>
      <w:r w:rsidRPr="001E5D32">
        <w:rPr>
          <w:rFonts w:ascii="Book Antiqua" w:hAnsi="Book Antiqua" w:cs="宋体"/>
          <w:kern w:val="0"/>
          <w:sz w:val="24"/>
        </w:rPr>
        <w:t>: 727-735 [PMID: 22371632 DOI: 10.3748/wjg.v18.i8.727]</w:t>
      </w:r>
    </w:p>
    <w:p w14:paraId="62BDB8FE"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16 </w:t>
      </w:r>
      <w:r w:rsidRPr="001E5D32">
        <w:rPr>
          <w:rFonts w:ascii="Book Antiqua" w:hAnsi="Book Antiqua" w:cs="宋体"/>
          <w:b/>
          <w:bCs/>
          <w:kern w:val="0"/>
          <w:sz w:val="24"/>
        </w:rPr>
        <w:t>Baranova A</w:t>
      </w:r>
      <w:r w:rsidRPr="001E5D32">
        <w:rPr>
          <w:rFonts w:ascii="Book Antiqua" w:hAnsi="Book Antiqua" w:cs="宋体"/>
          <w:kern w:val="0"/>
          <w:sz w:val="24"/>
        </w:rPr>
        <w:t xml:space="preserve">, Lal P, Birerdinc A, Younossi ZM. Non-invasive markers for hepatic fibrosis. </w:t>
      </w:r>
      <w:r w:rsidRPr="001E5D32">
        <w:rPr>
          <w:rFonts w:ascii="Book Antiqua" w:hAnsi="Book Antiqua" w:cs="宋体"/>
          <w:i/>
          <w:iCs/>
          <w:kern w:val="0"/>
          <w:sz w:val="24"/>
        </w:rPr>
        <w:t>BMC Gastroenterol</w:t>
      </w:r>
      <w:r w:rsidRPr="001E5D32">
        <w:rPr>
          <w:rFonts w:ascii="Book Antiqua" w:hAnsi="Book Antiqua" w:cs="宋体"/>
          <w:kern w:val="0"/>
          <w:sz w:val="24"/>
        </w:rPr>
        <w:t xml:space="preserve"> 2011; </w:t>
      </w:r>
      <w:r w:rsidRPr="001E5D32">
        <w:rPr>
          <w:rFonts w:ascii="Book Antiqua" w:hAnsi="Book Antiqua" w:cs="宋体"/>
          <w:b/>
          <w:bCs/>
          <w:kern w:val="0"/>
          <w:sz w:val="24"/>
        </w:rPr>
        <w:t>11</w:t>
      </w:r>
      <w:r w:rsidRPr="001E5D32">
        <w:rPr>
          <w:rFonts w:ascii="Book Antiqua" w:hAnsi="Book Antiqua" w:cs="宋体"/>
          <w:kern w:val="0"/>
          <w:sz w:val="24"/>
        </w:rPr>
        <w:t>: 91 [PMID: 21849046 DOI: 10.1186/1471-230X-11-91]</w:t>
      </w:r>
    </w:p>
    <w:p w14:paraId="236EDD63"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17 </w:t>
      </w:r>
      <w:r w:rsidRPr="001E5D32">
        <w:rPr>
          <w:rFonts w:ascii="Book Antiqua" w:hAnsi="Book Antiqua" w:cs="宋体"/>
          <w:b/>
          <w:bCs/>
          <w:kern w:val="0"/>
          <w:sz w:val="24"/>
        </w:rPr>
        <w:t>Alkhouri N</w:t>
      </w:r>
      <w:r w:rsidRPr="001E5D32">
        <w:rPr>
          <w:rFonts w:ascii="Book Antiqua" w:hAnsi="Book Antiqua" w:cs="宋体"/>
          <w:kern w:val="0"/>
          <w:sz w:val="24"/>
        </w:rPr>
        <w:t xml:space="preserve">, McCullough AJ. Noninvasive Diagnosis of NASH and Liver Fibrosis Within the Spectrum of NAFLD. </w:t>
      </w:r>
      <w:r w:rsidRPr="001E5D32">
        <w:rPr>
          <w:rFonts w:ascii="Book Antiqua" w:hAnsi="Book Antiqua" w:cs="宋体"/>
          <w:i/>
          <w:iCs/>
          <w:kern w:val="0"/>
          <w:sz w:val="24"/>
        </w:rPr>
        <w:t>Gastroenterol Hepatol</w:t>
      </w:r>
      <w:r w:rsidRPr="001E5D32">
        <w:rPr>
          <w:rFonts w:ascii="Book Antiqua" w:hAnsi="Book Antiqua" w:cs="宋体"/>
          <w:iCs/>
          <w:kern w:val="0"/>
          <w:sz w:val="24"/>
        </w:rPr>
        <w:t xml:space="preserve"> (N Y)</w:t>
      </w:r>
      <w:r w:rsidRPr="001E5D32">
        <w:rPr>
          <w:rFonts w:ascii="Book Antiqua" w:hAnsi="Book Antiqua" w:cs="宋体"/>
          <w:kern w:val="0"/>
          <w:sz w:val="24"/>
        </w:rPr>
        <w:t xml:space="preserve"> 2012; </w:t>
      </w:r>
      <w:r w:rsidRPr="001E5D32">
        <w:rPr>
          <w:rFonts w:ascii="Book Antiqua" w:hAnsi="Book Antiqua" w:cs="宋体"/>
          <w:b/>
          <w:bCs/>
          <w:kern w:val="0"/>
          <w:sz w:val="24"/>
        </w:rPr>
        <w:t>8</w:t>
      </w:r>
      <w:r w:rsidRPr="001E5D32">
        <w:rPr>
          <w:rFonts w:ascii="Book Antiqua" w:hAnsi="Book Antiqua" w:cs="宋体"/>
          <w:kern w:val="0"/>
          <w:sz w:val="24"/>
        </w:rPr>
        <w:t>: 661-668 [PMID: 24683373 DOI: 10.1016/s0016-5085(10)62097-5]</w:t>
      </w:r>
    </w:p>
    <w:p w14:paraId="6F2FF52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18 </w:t>
      </w:r>
      <w:r w:rsidRPr="001E5D32">
        <w:rPr>
          <w:rFonts w:ascii="Book Antiqua" w:hAnsi="Book Antiqua" w:cs="宋体"/>
          <w:b/>
          <w:bCs/>
          <w:kern w:val="0"/>
          <w:sz w:val="24"/>
        </w:rPr>
        <w:t>Festi D</w:t>
      </w:r>
      <w:r w:rsidRPr="001E5D32">
        <w:rPr>
          <w:rFonts w:ascii="Book Antiqua" w:hAnsi="Book Antiqua" w:cs="宋体"/>
          <w:kern w:val="0"/>
          <w:sz w:val="24"/>
        </w:rPr>
        <w:t xml:space="preserve">, Schiumerini R, Marzi L, Di Biase AR, Mandolesi D, Montrone L, Scaioli E, Bonato G, Marchesini-Reggiani G, Colecchia A. Review article: the diagnosis of non-alcoholic fatty liver disease -- availability and accuracy of non-invasive methods. </w:t>
      </w:r>
      <w:r w:rsidRPr="001E5D32">
        <w:rPr>
          <w:rFonts w:ascii="Book Antiqua" w:hAnsi="Book Antiqua" w:cs="宋体"/>
          <w:i/>
          <w:iCs/>
          <w:kern w:val="0"/>
          <w:sz w:val="24"/>
        </w:rPr>
        <w:t>Aliment Pharmacol Ther</w:t>
      </w:r>
      <w:r w:rsidRPr="001E5D32">
        <w:rPr>
          <w:rFonts w:ascii="Book Antiqua" w:hAnsi="Book Antiqua" w:cs="宋体"/>
          <w:kern w:val="0"/>
          <w:sz w:val="24"/>
        </w:rPr>
        <w:t xml:space="preserve"> 2013; </w:t>
      </w:r>
      <w:r w:rsidRPr="001E5D32">
        <w:rPr>
          <w:rFonts w:ascii="Book Antiqua" w:hAnsi="Book Antiqua" w:cs="宋体"/>
          <w:b/>
          <w:bCs/>
          <w:kern w:val="0"/>
          <w:sz w:val="24"/>
        </w:rPr>
        <w:t>37</w:t>
      </w:r>
      <w:r w:rsidRPr="001E5D32">
        <w:rPr>
          <w:rFonts w:ascii="Book Antiqua" w:hAnsi="Book Antiqua" w:cs="宋体"/>
          <w:kern w:val="0"/>
          <w:sz w:val="24"/>
        </w:rPr>
        <w:t>: 392-400 [PMID: 23278163 DOI: 10.1111/apt.12186]</w:t>
      </w:r>
    </w:p>
    <w:p w14:paraId="1DDBEED9"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19 </w:t>
      </w:r>
      <w:r w:rsidRPr="001E5D32">
        <w:rPr>
          <w:rFonts w:ascii="Book Antiqua" w:hAnsi="Book Antiqua" w:cs="宋体"/>
          <w:b/>
          <w:bCs/>
          <w:kern w:val="0"/>
          <w:sz w:val="24"/>
        </w:rPr>
        <w:t>Castera L</w:t>
      </w:r>
      <w:r w:rsidRPr="001E5D32">
        <w:rPr>
          <w:rFonts w:ascii="Book Antiqua" w:hAnsi="Book Antiqua" w:cs="宋体"/>
          <w:kern w:val="0"/>
          <w:sz w:val="24"/>
        </w:rPr>
        <w:t xml:space="preserve">, Vilgrain V, Angulo P. Noninvasive evaluation of NAFLD. </w:t>
      </w:r>
      <w:r w:rsidRPr="001E5D32">
        <w:rPr>
          <w:rFonts w:ascii="Book Antiqua" w:hAnsi="Book Antiqua" w:cs="宋体"/>
          <w:i/>
          <w:iCs/>
          <w:kern w:val="0"/>
          <w:sz w:val="24"/>
        </w:rPr>
        <w:t>Nat Rev Gastroenterol Hepatol</w:t>
      </w:r>
      <w:r w:rsidRPr="001E5D32">
        <w:rPr>
          <w:rFonts w:ascii="Book Antiqua" w:hAnsi="Book Antiqua" w:cs="宋体"/>
          <w:kern w:val="0"/>
          <w:sz w:val="24"/>
        </w:rPr>
        <w:t xml:space="preserve"> 2013; </w:t>
      </w:r>
      <w:r w:rsidRPr="001E5D32">
        <w:rPr>
          <w:rFonts w:ascii="Book Antiqua" w:hAnsi="Book Antiqua" w:cs="宋体"/>
          <w:b/>
          <w:bCs/>
          <w:kern w:val="0"/>
          <w:sz w:val="24"/>
        </w:rPr>
        <w:t>10</w:t>
      </w:r>
      <w:r w:rsidRPr="001E5D32">
        <w:rPr>
          <w:rFonts w:ascii="Book Antiqua" w:hAnsi="Book Antiqua" w:cs="宋体"/>
          <w:kern w:val="0"/>
          <w:sz w:val="24"/>
        </w:rPr>
        <w:t>: 666-675 [PMID: 24061203 DOI: 10.1038/nrgastro.2013.175]</w:t>
      </w:r>
    </w:p>
    <w:p w14:paraId="1966B80D"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20 </w:t>
      </w:r>
      <w:r w:rsidRPr="001E5D32">
        <w:rPr>
          <w:rFonts w:ascii="Book Antiqua" w:hAnsi="Book Antiqua" w:cs="宋体"/>
          <w:b/>
          <w:bCs/>
          <w:kern w:val="0"/>
          <w:sz w:val="24"/>
        </w:rPr>
        <w:t>Machado MV</w:t>
      </w:r>
      <w:r w:rsidRPr="001E5D32">
        <w:rPr>
          <w:rFonts w:ascii="Book Antiqua" w:hAnsi="Book Antiqua" w:cs="宋体"/>
          <w:kern w:val="0"/>
          <w:sz w:val="24"/>
        </w:rPr>
        <w:t xml:space="preserve">, Cortez-Pinto H. Non-invasive diagnosis of non-alcoholic fatty liver disease. A critical appraisal. </w:t>
      </w:r>
      <w:r w:rsidRPr="001E5D32">
        <w:rPr>
          <w:rFonts w:ascii="Book Antiqua" w:hAnsi="Book Antiqua" w:cs="宋体"/>
          <w:i/>
          <w:iCs/>
          <w:kern w:val="0"/>
          <w:sz w:val="24"/>
        </w:rPr>
        <w:t>J Hepatol</w:t>
      </w:r>
      <w:r w:rsidRPr="001E5D32">
        <w:rPr>
          <w:rFonts w:ascii="Book Antiqua" w:hAnsi="Book Antiqua" w:cs="宋体"/>
          <w:kern w:val="0"/>
          <w:sz w:val="24"/>
        </w:rPr>
        <w:t xml:space="preserve"> 2013; </w:t>
      </w:r>
      <w:r w:rsidRPr="001E5D32">
        <w:rPr>
          <w:rFonts w:ascii="Book Antiqua" w:hAnsi="Book Antiqua" w:cs="宋体"/>
          <w:b/>
          <w:bCs/>
          <w:kern w:val="0"/>
          <w:sz w:val="24"/>
        </w:rPr>
        <w:t>58</w:t>
      </w:r>
      <w:r w:rsidRPr="001E5D32">
        <w:rPr>
          <w:rFonts w:ascii="Book Antiqua" w:hAnsi="Book Antiqua" w:cs="宋体"/>
          <w:kern w:val="0"/>
          <w:sz w:val="24"/>
        </w:rPr>
        <w:t>: 1007-1019 [PMID: 23183525 DOI: 10.1016/j.jhep.2012.11.021]</w:t>
      </w:r>
    </w:p>
    <w:p w14:paraId="14AF8D90"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21 </w:t>
      </w:r>
      <w:r w:rsidRPr="001E5D32">
        <w:rPr>
          <w:rFonts w:ascii="Book Antiqua" w:hAnsi="Book Antiqua" w:cs="宋体"/>
          <w:b/>
          <w:bCs/>
          <w:kern w:val="0"/>
          <w:sz w:val="24"/>
        </w:rPr>
        <w:t>Dowman JK</w:t>
      </w:r>
      <w:r w:rsidRPr="001E5D32">
        <w:rPr>
          <w:rFonts w:ascii="Book Antiqua" w:hAnsi="Book Antiqua" w:cs="宋体"/>
          <w:kern w:val="0"/>
          <w:sz w:val="24"/>
        </w:rPr>
        <w:t xml:space="preserve">, Tomlinson JW, Newsome PN. Systematic review: the diagnosis and staging of non-alcoholic fatty liver disease and non-alcoholic steatohepatitis. </w:t>
      </w:r>
      <w:r w:rsidRPr="001E5D32">
        <w:rPr>
          <w:rFonts w:ascii="Book Antiqua" w:hAnsi="Book Antiqua" w:cs="宋体"/>
          <w:i/>
          <w:iCs/>
          <w:kern w:val="0"/>
          <w:sz w:val="24"/>
        </w:rPr>
        <w:t>Aliment Pharmacol Ther</w:t>
      </w:r>
      <w:r w:rsidRPr="001E5D32">
        <w:rPr>
          <w:rFonts w:ascii="Book Antiqua" w:hAnsi="Book Antiqua" w:cs="宋体"/>
          <w:kern w:val="0"/>
          <w:sz w:val="24"/>
        </w:rPr>
        <w:t xml:space="preserve"> 2011; </w:t>
      </w:r>
      <w:r w:rsidRPr="001E5D32">
        <w:rPr>
          <w:rFonts w:ascii="Book Antiqua" w:hAnsi="Book Antiqua" w:cs="宋体"/>
          <w:b/>
          <w:bCs/>
          <w:kern w:val="0"/>
          <w:sz w:val="24"/>
        </w:rPr>
        <w:t>33</w:t>
      </w:r>
      <w:r w:rsidRPr="001E5D32">
        <w:rPr>
          <w:rFonts w:ascii="Book Antiqua" w:hAnsi="Book Antiqua" w:cs="宋体"/>
          <w:kern w:val="0"/>
          <w:sz w:val="24"/>
        </w:rPr>
        <w:t>: 525-540 [PMID: 21198708 DOI: 10.1111/j.1365-2036.2010.04556.x]</w:t>
      </w:r>
    </w:p>
    <w:p w14:paraId="2DD681B0"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22 </w:t>
      </w:r>
      <w:r w:rsidRPr="001E5D32">
        <w:rPr>
          <w:rFonts w:ascii="Book Antiqua" w:hAnsi="Book Antiqua" w:cs="宋体"/>
          <w:b/>
          <w:bCs/>
          <w:kern w:val="0"/>
          <w:sz w:val="24"/>
        </w:rPr>
        <w:t>Schindhelm RK</w:t>
      </w:r>
      <w:r w:rsidRPr="001E5D32">
        <w:rPr>
          <w:rFonts w:ascii="Book Antiqua" w:hAnsi="Book Antiqua" w:cs="宋体"/>
          <w:kern w:val="0"/>
          <w:sz w:val="24"/>
        </w:rPr>
        <w:t xml:space="preserve">, Diamant M, Dekker JM, Tushuizen ME, Teerlink T, Heine RJ. Alanine aminotransferase as a marker of non-alcoholic fatty liver disease in relation to type 2 diabetes mellitus and cardiovascular disease. </w:t>
      </w:r>
      <w:r w:rsidRPr="001E5D32">
        <w:rPr>
          <w:rFonts w:ascii="Book Antiqua" w:hAnsi="Book Antiqua" w:cs="宋体"/>
          <w:i/>
          <w:iCs/>
          <w:kern w:val="0"/>
          <w:sz w:val="24"/>
        </w:rPr>
        <w:t>Diabetes Metab Res Rev</w:t>
      </w:r>
      <w:r w:rsidRPr="001E5D32">
        <w:rPr>
          <w:rFonts w:ascii="Book Antiqua" w:hAnsi="Book Antiqua" w:cs="宋体"/>
          <w:kern w:val="0"/>
          <w:sz w:val="24"/>
        </w:rPr>
        <w:t xml:space="preserve"> </w:t>
      </w:r>
      <w:r w:rsidRPr="001E5D32">
        <w:rPr>
          <w:rFonts w:ascii="Book Antiqua" w:hAnsi="Book Antiqua" w:cs="宋体" w:hint="eastAsia"/>
          <w:kern w:val="0"/>
          <w:sz w:val="24"/>
        </w:rPr>
        <w:t>2006</w:t>
      </w:r>
      <w:r w:rsidRPr="001E5D32">
        <w:rPr>
          <w:rFonts w:ascii="Book Antiqua" w:hAnsi="Book Antiqua" w:cs="宋体"/>
          <w:kern w:val="0"/>
          <w:sz w:val="24"/>
        </w:rPr>
        <w:t xml:space="preserve">; </w:t>
      </w:r>
      <w:r w:rsidRPr="001E5D32">
        <w:rPr>
          <w:rFonts w:ascii="Book Antiqua" w:hAnsi="Book Antiqua" w:cs="宋体"/>
          <w:b/>
          <w:bCs/>
          <w:kern w:val="0"/>
          <w:sz w:val="24"/>
        </w:rPr>
        <w:t>22</w:t>
      </w:r>
      <w:r w:rsidRPr="001E5D32">
        <w:rPr>
          <w:rFonts w:ascii="Book Antiqua" w:hAnsi="Book Antiqua" w:cs="宋体"/>
          <w:kern w:val="0"/>
          <w:sz w:val="24"/>
        </w:rPr>
        <w:t>: 437-443 [PMID: 16832839 DOI: 10.1002/dmrr.666]</w:t>
      </w:r>
    </w:p>
    <w:p w14:paraId="193A158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23 </w:t>
      </w:r>
      <w:r w:rsidRPr="001E5D32">
        <w:rPr>
          <w:rFonts w:ascii="Book Antiqua" w:hAnsi="Book Antiqua" w:cs="宋体"/>
          <w:b/>
          <w:bCs/>
          <w:kern w:val="0"/>
          <w:sz w:val="24"/>
        </w:rPr>
        <w:t>Yun KE</w:t>
      </w:r>
      <w:r w:rsidRPr="001E5D32">
        <w:rPr>
          <w:rFonts w:ascii="Book Antiqua" w:hAnsi="Book Antiqua" w:cs="宋体"/>
          <w:kern w:val="0"/>
          <w:sz w:val="24"/>
        </w:rPr>
        <w:t xml:space="preserve">, Shin CY, Yoon YS, Park HS. Elevated alanine aminotransferase levels predict mortality from cardiovascular disease and diabetes in Koreans. </w:t>
      </w:r>
      <w:r w:rsidRPr="001E5D32">
        <w:rPr>
          <w:rFonts w:ascii="Book Antiqua" w:hAnsi="Book Antiqua" w:cs="宋体"/>
          <w:i/>
          <w:iCs/>
          <w:kern w:val="0"/>
          <w:sz w:val="24"/>
        </w:rPr>
        <w:t>Atherosclerosis</w:t>
      </w:r>
      <w:r w:rsidRPr="001E5D32">
        <w:rPr>
          <w:rFonts w:ascii="Book Antiqua" w:hAnsi="Book Antiqua" w:cs="宋体"/>
          <w:kern w:val="0"/>
          <w:sz w:val="24"/>
        </w:rPr>
        <w:t xml:space="preserve"> 2009; </w:t>
      </w:r>
      <w:r w:rsidRPr="001E5D32">
        <w:rPr>
          <w:rFonts w:ascii="Book Antiqua" w:hAnsi="Book Antiqua" w:cs="宋体"/>
          <w:b/>
          <w:bCs/>
          <w:kern w:val="0"/>
          <w:sz w:val="24"/>
        </w:rPr>
        <w:t>205</w:t>
      </w:r>
      <w:r w:rsidRPr="001E5D32">
        <w:rPr>
          <w:rFonts w:ascii="Book Antiqua" w:hAnsi="Book Antiqua" w:cs="宋体"/>
          <w:kern w:val="0"/>
          <w:sz w:val="24"/>
        </w:rPr>
        <w:t>: 533-537 [PMID: 19159884 DOI: 10.1016/j.atherosclerosis.2008.12.012]</w:t>
      </w:r>
    </w:p>
    <w:p w14:paraId="6457C429"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24 </w:t>
      </w:r>
      <w:r w:rsidRPr="001E5D32">
        <w:rPr>
          <w:rFonts w:ascii="Book Antiqua" w:hAnsi="Book Antiqua" w:cs="宋体"/>
          <w:b/>
          <w:bCs/>
          <w:kern w:val="0"/>
          <w:sz w:val="24"/>
        </w:rPr>
        <w:t>Esteghamati A</w:t>
      </w:r>
      <w:r w:rsidRPr="001E5D32">
        <w:rPr>
          <w:rFonts w:ascii="Book Antiqua" w:hAnsi="Book Antiqua" w:cs="宋体"/>
          <w:kern w:val="0"/>
          <w:sz w:val="24"/>
        </w:rPr>
        <w:t xml:space="preserve">, Jamali A, Khalilzadeh O, Noshad S, Khalili M, Zandieh A, Morteza A, Nakhjavani M. Metabolic syndrome is linked to a mild elevation in liver aminotransferases in diabetic patients with undetectable non-alcoholic fatty liver disease by ultrasound. </w:t>
      </w:r>
      <w:r w:rsidRPr="001E5D32">
        <w:rPr>
          <w:rFonts w:ascii="Book Antiqua" w:hAnsi="Book Antiqua" w:cs="宋体"/>
          <w:i/>
          <w:iCs/>
          <w:kern w:val="0"/>
          <w:sz w:val="24"/>
        </w:rPr>
        <w:t>Diabetol Metab Syndr</w:t>
      </w:r>
      <w:r w:rsidRPr="001E5D32">
        <w:rPr>
          <w:rFonts w:ascii="Book Antiqua" w:hAnsi="Book Antiqua" w:cs="宋体"/>
          <w:kern w:val="0"/>
          <w:sz w:val="24"/>
        </w:rPr>
        <w:t xml:space="preserve"> 2010; </w:t>
      </w:r>
      <w:r w:rsidRPr="001E5D32">
        <w:rPr>
          <w:rFonts w:ascii="Book Antiqua" w:hAnsi="Book Antiqua" w:cs="宋体"/>
          <w:b/>
          <w:bCs/>
          <w:kern w:val="0"/>
          <w:sz w:val="24"/>
        </w:rPr>
        <w:t>2</w:t>
      </w:r>
      <w:r w:rsidRPr="001E5D32">
        <w:rPr>
          <w:rFonts w:ascii="Book Antiqua" w:hAnsi="Book Antiqua" w:cs="宋体"/>
          <w:kern w:val="0"/>
          <w:sz w:val="24"/>
        </w:rPr>
        <w:t>: 65 [PMID: 21047423 DOI: 10.1186/1758-5996-2-65]</w:t>
      </w:r>
    </w:p>
    <w:p w14:paraId="160D51FB"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25 </w:t>
      </w:r>
      <w:r w:rsidRPr="001E5D32">
        <w:rPr>
          <w:rFonts w:ascii="Book Antiqua" w:hAnsi="Book Antiqua" w:cs="宋体"/>
          <w:b/>
          <w:bCs/>
          <w:kern w:val="0"/>
          <w:sz w:val="24"/>
        </w:rPr>
        <w:t>Adams LA</w:t>
      </w:r>
      <w:r w:rsidRPr="001E5D32">
        <w:rPr>
          <w:rFonts w:ascii="Book Antiqua" w:hAnsi="Book Antiqua" w:cs="宋体"/>
          <w:kern w:val="0"/>
          <w:sz w:val="24"/>
        </w:rPr>
        <w:t xml:space="preserve">, Lymp JF, St Sauver J, Sanderson SO, Lindor KD, Feldstein A, Angulo P. The natural history of nonalcoholic fatty liver disease: a population-based cohort study. </w:t>
      </w:r>
      <w:r w:rsidRPr="001E5D32">
        <w:rPr>
          <w:rFonts w:ascii="Book Antiqua" w:hAnsi="Book Antiqua" w:cs="宋体"/>
          <w:i/>
          <w:iCs/>
          <w:kern w:val="0"/>
          <w:sz w:val="24"/>
        </w:rPr>
        <w:t>Gastroenterology</w:t>
      </w:r>
      <w:r w:rsidRPr="001E5D32">
        <w:rPr>
          <w:rFonts w:ascii="Book Antiqua" w:hAnsi="Book Antiqua" w:cs="宋体"/>
          <w:kern w:val="0"/>
          <w:sz w:val="24"/>
        </w:rPr>
        <w:t xml:space="preserve"> 2005; </w:t>
      </w:r>
      <w:r w:rsidRPr="001E5D32">
        <w:rPr>
          <w:rFonts w:ascii="Book Antiqua" w:hAnsi="Book Antiqua" w:cs="宋体"/>
          <w:b/>
          <w:bCs/>
          <w:kern w:val="0"/>
          <w:sz w:val="24"/>
        </w:rPr>
        <w:t>129</w:t>
      </w:r>
      <w:r w:rsidRPr="001E5D32">
        <w:rPr>
          <w:rFonts w:ascii="Book Antiqua" w:hAnsi="Book Antiqua" w:cs="宋体"/>
          <w:kern w:val="0"/>
          <w:sz w:val="24"/>
        </w:rPr>
        <w:t>: 113-121 [PMID: 16012941 DOI: 10.1053/j.gastro.2005.04.014]</w:t>
      </w:r>
    </w:p>
    <w:p w14:paraId="180ED20B"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26 </w:t>
      </w:r>
      <w:r w:rsidRPr="001E5D32">
        <w:rPr>
          <w:rFonts w:ascii="Book Antiqua" w:hAnsi="Book Antiqua" w:cs="宋体"/>
          <w:b/>
          <w:bCs/>
          <w:kern w:val="0"/>
          <w:sz w:val="24"/>
        </w:rPr>
        <w:t>Ong JP</w:t>
      </w:r>
      <w:r w:rsidRPr="001E5D32">
        <w:rPr>
          <w:rFonts w:ascii="Book Antiqua" w:hAnsi="Book Antiqua" w:cs="宋体"/>
          <w:kern w:val="0"/>
          <w:sz w:val="24"/>
        </w:rPr>
        <w:t xml:space="preserve">, Pitts A, Younossi ZM. Increased overall mortality and liver-related mortality in non-alcoholic fatty liver disease. </w:t>
      </w:r>
      <w:r w:rsidRPr="001E5D32">
        <w:rPr>
          <w:rFonts w:ascii="Book Antiqua" w:hAnsi="Book Antiqua" w:cs="宋体"/>
          <w:i/>
          <w:iCs/>
          <w:kern w:val="0"/>
          <w:sz w:val="24"/>
        </w:rPr>
        <w:t>J Hepatol</w:t>
      </w:r>
      <w:r w:rsidRPr="001E5D32">
        <w:rPr>
          <w:rFonts w:ascii="Book Antiqua" w:hAnsi="Book Antiqua" w:cs="宋体"/>
          <w:kern w:val="0"/>
          <w:sz w:val="24"/>
        </w:rPr>
        <w:t xml:space="preserve"> 2008; </w:t>
      </w:r>
      <w:r w:rsidRPr="001E5D32">
        <w:rPr>
          <w:rFonts w:ascii="Book Antiqua" w:hAnsi="Book Antiqua" w:cs="宋体"/>
          <w:b/>
          <w:bCs/>
          <w:kern w:val="0"/>
          <w:sz w:val="24"/>
        </w:rPr>
        <w:t>49</w:t>
      </w:r>
      <w:r w:rsidRPr="001E5D32">
        <w:rPr>
          <w:rFonts w:ascii="Book Antiqua" w:hAnsi="Book Antiqua" w:cs="宋体"/>
          <w:kern w:val="0"/>
          <w:sz w:val="24"/>
        </w:rPr>
        <w:t>: 608-612 [PMID: 18682312 DOI: 10.1016/j.jhep.2008.06.018]</w:t>
      </w:r>
    </w:p>
    <w:p w14:paraId="0B9CAAE5"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27 </w:t>
      </w:r>
      <w:r w:rsidRPr="001E5D32">
        <w:rPr>
          <w:rFonts w:ascii="Book Antiqua" w:hAnsi="Book Antiqua" w:cs="宋体"/>
          <w:b/>
          <w:bCs/>
          <w:kern w:val="0"/>
          <w:sz w:val="24"/>
        </w:rPr>
        <w:t>Misra VL</w:t>
      </w:r>
      <w:r w:rsidRPr="001E5D32">
        <w:rPr>
          <w:rFonts w:ascii="Book Antiqua" w:hAnsi="Book Antiqua" w:cs="宋体"/>
          <w:kern w:val="0"/>
          <w:sz w:val="24"/>
        </w:rPr>
        <w:t xml:space="preserve">, Khashab M, Chalasani N. Nonalcoholic fatty liver disease and cardiovascular risk. </w:t>
      </w:r>
      <w:r w:rsidRPr="001E5D32">
        <w:rPr>
          <w:rFonts w:ascii="Book Antiqua" w:hAnsi="Book Antiqua" w:cs="宋体"/>
          <w:i/>
          <w:iCs/>
          <w:kern w:val="0"/>
          <w:sz w:val="24"/>
        </w:rPr>
        <w:t>Curr Gastroenterol Rep</w:t>
      </w:r>
      <w:r w:rsidRPr="001E5D32">
        <w:rPr>
          <w:rFonts w:ascii="Book Antiqua" w:hAnsi="Book Antiqua" w:cs="宋体"/>
          <w:kern w:val="0"/>
          <w:sz w:val="24"/>
        </w:rPr>
        <w:t xml:space="preserve"> 2009; </w:t>
      </w:r>
      <w:r w:rsidRPr="001E5D32">
        <w:rPr>
          <w:rFonts w:ascii="Book Antiqua" w:hAnsi="Book Antiqua" w:cs="宋体"/>
          <w:b/>
          <w:bCs/>
          <w:kern w:val="0"/>
          <w:sz w:val="24"/>
        </w:rPr>
        <w:t>11</w:t>
      </w:r>
      <w:r w:rsidRPr="001E5D32">
        <w:rPr>
          <w:rFonts w:ascii="Book Antiqua" w:hAnsi="Book Antiqua" w:cs="宋体"/>
          <w:kern w:val="0"/>
          <w:sz w:val="24"/>
        </w:rPr>
        <w:t>: 50-55 [PMID: 19166659 DOI: 10.1007/s11894-009-0008-4]</w:t>
      </w:r>
    </w:p>
    <w:p w14:paraId="1454BDD4"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28 </w:t>
      </w:r>
      <w:r w:rsidRPr="001E5D32">
        <w:rPr>
          <w:rFonts w:ascii="Book Antiqua" w:hAnsi="Book Antiqua" w:cs="宋体"/>
          <w:b/>
          <w:bCs/>
          <w:kern w:val="0"/>
          <w:sz w:val="24"/>
        </w:rPr>
        <w:t>Ahmed MH</w:t>
      </w:r>
      <w:r w:rsidRPr="001E5D32">
        <w:rPr>
          <w:rFonts w:ascii="Book Antiqua" w:hAnsi="Book Antiqua" w:cs="宋体"/>
          <w:kern w:val="0"/>
          <w:sz w:val="24"/>
        </w:rPr>
        <w:t xml:space="preserve">, Barakat S, Almobarak AO. Nonalcoholic fatty liver disease and cardiovascular disease: has the time come for cardiologists to be hepatologists? </w:t>
      </w:r>
      <w:r w:rsidRPr="001E5D32">
        <w:rPr>
          <w:rFonts w:ascii="Book Antiqua" w:hAnsi="Book Antiqua" w:cs="宋体"/>
          <w:i/>
          <w:iCs/>
          <w:kern w:val="0"/>
          <w:sz w:val="24"/>
        </w:rPr>
        <w:t>J Obes</w:t>
      </w:r>
      <w:r w:rsidRPr="001E5D32">
        <w:rPr>
          <w:rFonts w:ascii="Book Antiqua" w:hAnsi="Book Antiqua" w:cs="宋体"/>
          <w:kern w:val="0"/>
          <w:sz w:val="24"/>
        </w:rPr>
        <w:t xml:space="preserve"> 2012; </w:t>
      </w:r>
      <w:r w:rsidRPr="001E5D32">
        <w:rPr>
          <w:rFonts w:ascii="Book Antiqua" w:hAnsi="Book Antiqua" w:cs="宋体"/>
          <w:b/>
          <w:bCs/>
          <w:kern w:val="0"/>
          <w:sz w:val="24"/>
        </w:rPr>
        <w:t>2012</w:t>
      </w:r>
      <w:r w:rsidRPr="001E5D32">
        <w:rPr>
          <w:rFonts w:ascii="Book Antiqua" w:hAnsi="Book Antiqua" w:cs="宋体"/>
          <w:kern w:val="0"/>
          <w:sz w:val="24"/>
        </w:rPr>
        <w:t>: 483135 [PMID: 23320150 DOI: 10.1155/2012/483135]</w:t>
      </w:r>
    </w:p>
    <w:p w14:paraId="12032F0E"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29 </w:t>
      </w:r>
      <w:r w:rsidRPr="001E5D32">
        <w:rPr>
          <w:rFonts w:ascii="Book Antiqua" w:hAnsi="Book Antiqua" w:cs="宋体"/>
          <w:b/>
          <w:bCs/>
          <w:kern w:val="0"/>
          <w:sz w:val="24"/>
        </w:rPr>
        <w:t>Wong VW</w:t>
      </w:r>
      <w:r w:rsidRPr="001E5D32">
        <w:rPr>
          <w:rFonts w:ascii="Book Antiqua" w:hAnsi="Book Antiqua" w:cs="宋体"/>
          <w:kern w:val="0"/>
          <w:sz w:val="24"/>
        </w:rPr>
        <w:t xml:space="preserve">, Wong GL, Yip GW, Lo AO, Limquiaco J, Chu WC, Chim AM, Yu CM, Yu J, Chan FK, Sung JJ, Chan HL. Coronary artery disease and cardiovascular outcomes in patients with non-alcoholic fatty liver disease. </w:t>
      </w:r>
      <w:r w:rsidRPr="001E5D32">
        <w:rPr>
          <w:rFonts w:ascii="Book Antiqua" w:hAnsi="Book Antiqua" w:cs="宋体"/>
          <w:i/>
          <w:iCs/>
          <w:kern w:val="0"/>
          <w:sz w:val="24"/>
        </w:rPr>
        <w:t>Gut</w:t>
      </w:r>
      <w:r w:rsidRPr="001E5D32">
        <w:rPr>
          <w:rFonts w:ascii="Book Antiqua" w:hAnsi="Book Antiqua" w:cs="宋体"/>
          <w:kern w:val="0"/>
          <w:sz w:val="24"/>
        </w:rPr>
        <w:t xml:space="preserve"> 2011; </w:t>
      </w:r>
      <w:r w:rsidRPr="001E5D32">
        <w:rPr>
          <w:rFonts w:ascii="Book Antiqua" w:hAnsi="Book Antiqua" w:cs="宋体"/>
          <w:b/>
          <w:bCs/>
          <w:kern w:val="0"/>
          <w:sz w:val="24"/>
        </w:rPr>
        <w:t>60</w:t>
      </w:r>
      <w:r w:rsidRPr="001E5D32">
        <w:rPr>
          <w:rFonts w:ascii="Book Antiqua" w:hAnsi="Book Antiqua" w:cs="宋体"/>
          <w:kern w:val="0"/>
          <w:sz w:val="24"/>
        </w:rPr>
        <w:t>: 1721-1727 [PMID: 21602530 DOI: 10.1136/gut.2011.242016]</w:t>
      </w:r>
    </w:p>
    <w:p w14:paraId="1F30F90A"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30 </w:t>
      </w:r>
      <w:r w:rsidRPr="001E5D32">
        <w:rPr>
          <w:rFonts w:ascii="Book Antiqua" w:hAnsi="Book Antiqua" w:cs="宋体"/>
          <w:b/>
          <w:bCs/>
          <w:kern w:val="0"/>
          <w:sz w:val="24"/>
        </w:rPr>
        <w:t>Dekker JM</w:t>
      </w:r>
      <w:r w:rsidRPr="001E5D32">
        <w:rPr>
          <w:rFonts w:ascii="Book Antiqua" w:hAnsi="Book Antiqua" w:cs="宋体"/>
          <w:kern w:val="0"/>
          <w:sz w:val="24"/>
        </w:rPr>
        <w:t xml:space="preserve">, Girman C, Rhodes T, Nijpels G, Stehouwer CD, Bouter LM, Heine RJ. Metabolic syndrome and 10-year cardiovascular disease risk in the Hoorn Study. </w:t>
      </w:r>
      <w:r w:rsidRPr="001E5D32">
        <w:rPr>
          <w:rFonts w:ascii="Book Antiqua" w:hAnsi="Book Antiqua" w:cs="宋体"/>
          <w:i/>
          <w:iCs/>
          <w:kern w:val="0"/>
          <w:sz w:val="24"/>
        </w:rPr>
        <w:t>Circulation</w:t>
      </w:r>
      <w:r w:rsidRPr="001E5D32">
        <w:rPr>
          <w:rFonts w:ascii="Book Antiqua" w:hAnsi="Book Antiqua" w:cs="宋体"/>
          <w:kern w:val="0"/>
          <w:sz w:val="24"/>
        </w:rPr>
        <w:t xml:space="preserve"> 2005; </w:t>
      </w:r>
      <w:r w:rsidRPr="001E5D32">
        <w:rPr>
          <w:rFonts w:ascii="Book Antiqua" w:hAnsi="Book Antiqua" w:cs="宋体"/>
          <w:b/>
          <w:bCs/>
          <w:kern w:val="0"/>
          <w:sz w:val="24"/>
        </w:rPr>
        <w:t>112</w:t>
      </w:r>
      <w:r w:rsidRPr="001E5D32">
        <w:rPr>
          <w:rFonts w:ascii="Book Antiqua" w:hAnsi="Book Antiqua" w:cs="宋体"/>
          <w:kern w:val="0"/>
          <w:sz w:val="24"/>
        </w:rPr>
        <w:t>: 666-673 [PMID: 16061755 DOI: 10.1161/circulationaha.104.516948]</w:t>
      </w:r>
    </w:p>
    <w:p w14:paraId="34CEBD04"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31 </w:t>
      </w:r>
      <w:r w:rsidRPr="001E5D32">
        <w:rPr>
          <w:rFonts w:ascii="Book Antiqua" w:hAnsi="Book Antiqua" w:cs="宋体"/>
          <w:b/>
          <w:bCs/>
          <w:kern w:val="0"/>
          <w:sz w:val="24"/>
        </w:rPr>
        <w:t>Fracanzani AL</w:t>
      </w:r>
      <w:r w:rsidRPr="001E5D32">
        <w:rPr>
          <w:rFonts w:ascii="Book Antiqua" w:hAnsi="Book Antiqua" w:cs="宋体"/>
          <w:kern w:val="0"/>
          <w:sz w:val="24"/>
        </w:rPr>
        <w:t xml:space="preserve">, Burdick L, Raselli S, Pedotti P, Grigore L, Santorelli G, Valenti L, Maraschi A, Catapano A, Fargion S. Carotid artery intima-media thickness in nonalcoholic fatty liver disease. </w:t>
      </w:r>
      <w:r w:rsidRPr="001E5D32">
        <w:rPr>
          <w:rFonts w:ascii="Book Antiqua" w:hAnsi="Book Antiqua" w:cs="宋体"/>
          <w:i/>
          <w:iCs/>
          <w:kern w:val="0"/>
          <w:sz w:val="24"/>
        </w:rPr>
        <w:t>Am J Med</w:t>
      </w:r>
      <w:r w:rsidRPr="001E5D32">
        <w:rPr>
          <w:rFonts w:ascii="Book Antiqua" w:hAnsi="Book Antiqua" w:cs="宋体"/>
          <w:kern w:val="0"/>
          <w:sz w:val="24"/>
        </w:rPr>
        <w:t xml:space="preserve"> 2008; </w:t>
      </w:r>
      <w:r w:rsidRPr="001E5D32">
        <w:rPr>
          <w:rFonts w:ascii="Book Antiqua" w:hAnsi="Book Antiqua" w:cs="宋体"/>
          <w:b/>
          <w:bCs/>
          <w:kern w:val="0"/>
          <w:sz w:val="24"/>
        </w:rPr>
        <w:t>121</w:t>
      </w:r>
      <w:r w:rsidRPr="001E5D32">
        <w:rPr>
          <w:rFonts w:ascii="Book Antiqua" w:hAnsi="Book Antiqua" w:cs="宋体"/>
          <w:kern w:val="0"/>
          <w:sz w:val="24"/>
        </w:rPr>
        <w:t>: 72-78 [PMID: 18187076 DOI: 10.1016/j.amjmed.2007.08.041]</w:t>
      </w:r>
    </w:p>
    <w:p w14:paraId="7A3607C2"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32 </w:t>
      </w:r>
      <w:r w:rsidRPr="001E5D32">
        <w:rPr>
          <w:rFonts w:ascii="Book Antiqua" w:hAnsi="Book Antiqua" w:cs="宋体"/>
          <w:b/>
          <w:bCs/>
          <w:kern w:val="0"/>
          <w:sz w:val="24"/>
        </w:rPr>
        <w:t>Iacobellis G</w:t>
      </w:r>
      <w:r w:rsidRPr="001E5D32">
        <w:rPr>
          <w:rFonts w:ascii="Book Antiqua" w:hAnsi="Book Antiqua" w:cs="宋体"/>
          <w:kern w:val="0"/>
          <w:sz w:val="24"/>
        </w:rPr>
        <w:t xml:space="preserve">, Barbarini G, Letizia C, Barbaro G. Epicardial fat thickness and nonalcoholic fatty liver disease in obese subjects. </w:t>
      </w:r>
      <w:r w:rsidRPr="001E5D32">
        <w:rPr>
          <w:rFonts w:ascii="Book Antiqua" w:hAnsi="Book Antiqua" w:cs="宋体"/>
          <w:i/>
          <w:iCs/>
          <w:kern w:val="0"/>
          <w:sz w:val="24"/>
        </w:rPr>
        <w:t>Obesity (Silver Spring)</w:t>
      </w:r>
      <w:r w:rsidRPr="001E5D32">
        <w:rPr>
          <w:rFonts w:ascii="Book Antiqua" w:hAnsi="Book Antiqua" w:cs="宋体"/>
          <w:kern w:val="0"/>
          <w:sz w:val="24"/>
        </w:rPr>
        <w:t xml:space="preserve"> 2014; </w:t>
      </w:r>
      <w:r w:rsidRPr="001E5D32">
        <w:rPr>
          <w:rFonts w:ascii="Book Antiqua" w:hAnsi="Book Antiqua" w:cs="宋体"/>
          <w:b/>
          <w:bCs/>
          <w:kern w:val="0"/>
          <w:sz w:val="24"/>
        </w:rPr>
        <w:t>22</w:t>
      </w:r>
      <w:r w:rsidRPr="001E5D32">
        <w:rPr>
          <w:rFonts w:ascii="Book Antiqua" w:hAnsi="Book Antiqua" w:cs="宋体"/>
          <w:kern w:val="0"/>
          <w:sz w:val="24"/>
        </w:rPr>
        <w:t>: 332-336 [PMID: 24115757 DOI: 10.1002/oby.20624]</w:t>
      </w:r>
    </w:p>
    <w:p w14:paraId="05D49E5B"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33 </w:t>
      </w:r>
      <w:r w:rsidRPr="001E5D32">
        <w:rPr>
          <w:rFonts w:ascii="Book Antiqua" w:hAnsi="Book Antiqua" w:cs="宋体"/>
          <w:b/>
          <w:bCs/>
          <w:kern w:val="0"/>
          <w:sz w:val="24"/>
        </w:rPr>
        <w:t>Tarantino G</w:t>
      </w:r>
      <w:r w:rsidRPr="001E5D32">
        <w:rPr>
          <w:rFonts w:ascii="Book Antiqua" w:hAnsi="Book Antiqua" w:cs="宋体"/>
          <w:kern w:val="0"/>
          <w:sz w:val="24"/>
        </w:rPr>
        <w:t xml:space="preserve">, Costantini S, Finelli C, Capone F, Guerriero E, La Sala N, Gioia S, Castello G. Carotid intima-media thickness is predicted by combined eotaxin levels and severity of hepatic steatosis at ultrasonography in obese patients with Nonalcoholic Fatty Liver Disease. </w:t>
      </w:r>
      <w:r w:rsidRPr="001E5D32">
        <w:rPr>
          <w:rFonts w:ascii="Book Antiqua" w:hAnsi="Book Antiqua" w:cs="宋体"/>
          <w:i/>
          <w:iCs/>
          <w:kern w:val="0"/>
          <w:sz w:val="24"/>
        </w:rPr>
        <w:t>PLoS One</w:t>
      </w:r>
      <w:r w:rsidRPr="001E5D32">
        <w:rPr>
          <w:rFonts w:ascii="Book Antiqua" w:hAnsi="Book Antiqua" w:cs="宋体"/>
          <w:kern w:val="0"/>
          <w:sz w:val="24"/>
        </w:rPr>
        <w:t xml:space="preserve"> 2014; </w:t>
      </w:r>
      <w:r w:rsidRPr="001E5D32">
        <w:rPr>
          <w:rFonts w:ascii="Book Antiqua" w:hAnsi="Book Antiqua" w:cs="宋体"/>
          <w:b/>
          <w:bCs/>
          <w:kern w:val="0"/>
          <w:sz w:val="24"/>
        </w:rPr>
        <w:t>9</w:t>
      </w:r>
      <w:r w:rsidRPr="001E5D32">
        <w:rPr>
          <w:rFonts w:ascii="Book Antiqua" w:hAnsi="Book Antiqua" w:cs="宋体"/>
          <w:kern w:val="0"/>
          <w:sz w:val="24"/>
        </w:rPr>
        <w:t>: e105610 [PMID: 25268946 DOI: 10.1371/journal.pone.0105610]</w:t>
      </w:r>
    </w:p>
    <w:p w14:paraId="48CBCCB8"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34 </w:t>
      </w:r>
      <w:r w:rsidRPr="001E5D32">
        <w:rPr>
          <w:rFonts w:ascii="Book Antiqua" w:hAnsi="Book Antiqua" w:cs="宋体"/>
          <w:b/>
          <w:bCs/>
          <w:kern w:val="0"/>
          <w:sz w:val="24"/>
        </w:rPr>
        <w:t>Bedogni G</w:t>
      </w:r>
      <w:r w:rsidRPr="001E5D32">
        <w:rPr>
          <w:rFonts w:ascii="Book Antiqua" w:hAnsi="Book Antiqua" w:cs="宋体"/>
          <w:kern w:val="0"/>
          <w:sz w:val="24"/>
        </w:rPr>
        <w:t xml:space="preserve">, Bellentani S, Miglioli L, Masutti F, Passalacqua M, Castiglione A, Tiribelli C. The Fatty Liver Index: a simple and accurate predictor of hepatic steatosis in the general population. </w:t>
      </w:r>
      <w:r w:rsidRPr="001E5D32">
        <w:rPr>
          <w:rFonts w:ascii="Book Antiqua" w:hAnsi="Book Antiqua" w:cs="宋体"/>
          <w:i/>
          <w:iCs/>
          <w:kern w:val="0"/>
          <w:sz w:val="24"/>
        </w:rPr>
        <w:t>BMC Gastroenterol</w:t>
      </w:r>
      <w:r w:rsidRPr="001E5D32">
        <w:rPr>
          <w:rFonts w:ascii="Book Antiqua" w:hAnsi="Book Antiqua" w:cs="宋体"/>
          <w:kern w:val="0"/>
          <w:sz w:val="24"/>
        </w:rPr>
        <w:t xml:space="preserve"> 2006; </w:t>
      </w:r>
      <w:r w:rsidRPr="001E5D32">
        <w:rPr>
          <w:rFonts w:ascii="Book Antiqua" w:hAnsi="Book Antiqua" w:cs="宋体"/>
          <w:b/>
          <w:bCs/>
          <w:kern w:val="0"/>
          <w:sz w:val="24"/>
        </w:rPr>
        <w:t>6</w:t>
      </w:r>
      <w:r w:rsidRPr="001E5D32">
        <w:rPr>
          <w:rFonts w:ascii="Book Antiqua" w:hAnsi="Book Antiqua" w:cs="宋体"/>
          <w:kern w:val="0"/>
          <w:sz w:val="24"/>
        </w:rPr>
        <w:t>: 33 [PMID: 17081293 DOI: 10.1186/1471-230X-6-33]</w:t>
      </w:r>
    </w:p>
    <w:p w14:paraId="4D798982"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35 </w:t>
      </w:r>
      <w:r w:rsidRPr="001E5D32">
        <w:rPr>
          <w:rFonts w:ascii="Book Antiqua" w:hAnsi="Book Antiqua" w:cs="宋体"/>
          <w:b/>
          <w:bCs/>
          <w:kern w:val="0"/>
          <w:sz w:val="24"/>
        </w:rPr>
        <w:t>Bedogni G</w:t>
      </w:r>
      <w:r w:rsidRPr="001E5D32">
        <w:rPr>
          <w:rFonts w:ascii="Book Antiqua" w:hAnsi="Book Antiqua" w:cs="宋体"/>
          <w:kern w:val="0"/>
          <w:sz w:val="24"/>
        </w:rPr>
        <w:t xml:space="preserve">, Kahn HS, Bellentani S, Tiribelli C. A simple index of lipid overaccumulation is a good marker of liver steatosis. </w:t>
      </w:r>
      <w:r w:rsidRPr="001E5D32">
        <w:rPr>
          <w:rFonts w:ascii="Book Antiqua" w:hAnsi="Book Antiqua" w:cs="宋体"/>
          <w:i/>
          <w:iCs/>
          <w:kern w:val="0"/>
          <w:sz w:val="24"/>
        </w:rPr>
        <w:t>BMC Gastroenterol</w:t>
      </w:r>
      <w:r w:rsidRPr="001E5D32">
        <w:rPr>
          <w:rFonts w:ascii="Book Antiqua" w:hAnsi="Book Antiqua" w:cs="宋体"/>
          <w:kern w:val="0"/>
          <w:sz w:val="24"/>
        </w:rPr>
        <w:t xml:space="preserve"> 2010; </w:t>
      </w:r>
      <w:r w:rsidRPr="001E5D32">
        <w:rPr>
          <w:rFonts w:ascii="Book Antiqua" w:hAnsi="Book Antiqua" w:cs="宋体"/>
          <w:b/>
          <w:bCs/>
          <w:kern w:val="0"/>
          <w:sz w:val="24"/>
        </w:rPr>
        <w:t>10</w:t>
      </w:r>
      <w:r w:rsidRPr="001E5D32">
        <w:rPr>
          <w:rFonts w:ascii="Book Antiqua" w:hAnsi="Book Antiqua" w:cs="宋体"/>
          <w:kern w:val="0"/>
          <w:sz w:val="24"/>
        </w:rPr>
        <w:t>: 98 [PMID: 20738844 DOI: 10.1186/1471-230X-10-98]</w:t>
      </w:r>
    </w:p>
    <w:p w14:paraId="4A9D11D3"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36 </w:t>
      </w:r>
      <w:r w:rsidRPr="001E5D32">
        <w:rPr>
          <w:rFonts w:ascii="Book Antiqua" w:hAnsi="Book Antiqua" w:cs="宋体"/>
          <w:b/>
          <w:bCs/>
          <w:kern w:val="0"/>
          <w:sz w:val="24"/>
        </w:rPr>
        <w:t>Jung CH</w:t>
      </w:r>
      <w:r w:rsidRPr="001E5D32">
        <w:rPr>
          <w:rFonts w:ascii="Book Antiqua" w:hAnsi="Book Antiqua" w:cs="宋体"/>
          <w:kern w:val="0"/>
          <w:sz w:val="24"/>
        </w:rPr>
        <w:t xml:space="preserve">, Lee WJ, Hwang JY, Yu JH, Shin MS, Lee MJ, Jang JE, Leem J, Park JY, Kim HK. Assessment of the fatty liver index as an indicator of hepatic steatosis for predicting incident diabetes independently of insulin resistance in a Korean population. </w:t>
      </w:r>
      <w:r w:rsidRPr="001E5D32">
        <w:rPr>
          <w:rFonts w:ascii="Book Antiqua" w:hAnsi="Book Antiqua" w:cs="宋体"/>
          <w:i/>
          <w:iCs/>
          <w:kern w:val="0"/>
          <w:sz w:val="24"/>
        </w:rPr>
        <w:t>Diabet Med</w:t>
      </w:r>
      <w:r w:rsidRPr="001E5D32">
        <w:rPr>
          <w:rFonts w:ascii="Book Antiqua" w:hAnsi="Book Antiqua" w:cs="宋体"/>
          <w:kern w:val="0"/>
          <w:sz w:val="24"/>
        </w:rPr>
        <w:t xml:space="preserve"> 2013; </w:t>
      </w:r>
      <w:r w:rsidRPr="001E5D32">
        <w:rPr>
          <w:rFonts w:ascii="Book Antiqua" w:hAnsi="Book Antiqua" w:cs="宋体"/>
          <w:b/>
          <w:bCs/>
          <w:kern w:val="0"/>
          <w:sz w:val="24"/>
        </w:rPr>
        <w:t>30</w:t>
      </w:r>
      <w:r w:rsidRPr="001E5D32">
        <w:rPr>
          <w:rFonts w:ascii="Book Antiqua" w:hAnsi="Book Antiqua" w:cs="宋体"/>
          <w:kern w:val="0"/>
          <w:sz w:val="24"/>
        </w:rPr>
        <w:t>: 428-435 [PMID: 23278318 DOI: 10.1111/dme.12104]</w:t>
      </w:r>
    </w:p>
    <w:p w14:paraId="06C19E14"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37 </w:t>
      </w:r>
      <w:r w:rsidRPr="001E5D32">
        <w:rPr>
          <w:rFonts w:ascii="Book Antiqua" w:hAnsi="Book Antiqua" w:cs="宋体"/>
          <w:b/>
          <w:bCs/>
          <w:kern w:val="0"/>
          <w:sz w:val="24"/>
        </w:rPr>
        <w:t>Zelber-Sagi S</w:t>
      </w:r>
      <w:r w:rsidRPr="001E5D32">
        <w:rPr>
          <w:rFonts w:ascii="Book Antiqua" w:hAnsi="Book Antiqua" w:cs="宋体"/>
          <w:kern w:val="0"/>
          <w:sz w:val="24"/>
        </w:rPr>
        <w:t xml:space="preserve">, Webb M, Assy N, Blendis L, Yeshua H, Leshno M, Ratziu V, Halpern Z, Oren R, Santo E. Comparison of fatty liver index with noninvasive methods for steatosis detection and quantification. </w:t>
      </w:r>
      <w:r w:rsidRPr="001E5D32">
        <w:rPr>
          <w:rFonts w:ascii="Book Antiqua" w:hAnsi="Book Antiqua" w:cs="宋体"/>
          <w:i/>
          <w:iCs/>
          <w:kern w:val="0"/>
          <w:sz w:val="24"/>
        </w:rPr>
        <w:t>World J Gastroenterol</w:t>
      </w:r>
      <w:r w:rsidRPr="001E5D32">
        <w:rPr>
          <w:rFonts w:ascii="Book Antiqua" w:hAnsi="Book Antiqua" w:cs="宋体"/>
          <w:kern w:val="0"/>
          <w:sz w:val="24"/>
        </w:rPr>
        <w:t xml:space="preserve"> 2013; </w:t>
      </w:r>
      <w:r w:rsidRPr="001E5D32">
        <w:rPr>
          <w:rFonts w:ascii="Book Antiqua" w:hAnsi="Book Antiqua" w:cs="宋体"/>
          <w:b/>
          <w:bCs/>
          <w:kern w:val="0"/>
          <w:sz w:val="24"/>
        </w:rPr>
        <w:t>19</w:t>
      </w:r>
      <w:r w:rsidRPr="001E5D32">
        <w:rPr>
          <w:rFonts w:ascii="Book Antiqua" w:hAnsi="Book Antiqua" w:cs="宋体"/>
          <w:kern w:val="0"/>
          <w:sz w:val="24"/>
        </w:rPr>
        <w:t>: 57-64 [PMID: 23326163 DOI: 10.3748/wjg.v19.i1.57]</w:t>
      </w:r>
    </w:p>
    <w:p w14:paraId="4CDA1140"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38 </w:t>
      </w:r>
      <w:r w:rsidRPr="001E5D32">
        <w:rPr>
          <w:rFonts w:ascii="Book Antiqua" w:hAnsi="Book Antiqua" w:cs="宋体"/>
          <w:b/>
          <w:bCs/>
          <w:kern w:val="0"/>
          <w:sz w:val="24"/>
        </w:rPr>
        <w:t>Kotronen A</w:t>
      </w:r>
      <w:r w:rsidRPr="001E5D32">
        <w:rPr>
          <w:rFonts w:ascii="Book Antiqua" w:hAnsi="Book Antiqua" w:cs="宋体"/>
          <w:kern w:val="0"/>
          <w:sz w:val="24"/>
        </w:rPr>
        <w:t xml:space="preserve">, Peltonen M, Hakkarainen A, Sevastianova K, Bergholm R, Johansson LM, Lundbom N, Rissanen A, Ridderstråle M, Groop L, Orho-Melander M, Yki-Järvinen H. Prediction of non-alcoholic fatty liver disease and liver fat using metabolic and genetic factors. </w:t>
      </w:r>
      <w:r w:rsidRPr="001E5D32">
        <w:rPr>
          <w:rFonts w:ascii="Book Antiqua" w:hAnsi="Book Antiqua" w:cs="宋体"/>
          <w:i/>
          <w:iCs/>
          <w:kern w:val="0"/>
          <w:sz w:val="24"/>
        </w:rPr>
        <w:t>Gastroenterology</w:t>
      </w:r>
      <w:r w:rsidRPr="001E5D32">
        <w:rPr>
          <w:rFonts w:ascii="Book Antiqua" w:hAnsi="Book Antiqua" w:cs="宋体"/>
          <w:kern w:val="0"/>
          <w:sz w:val="24"/>
        </w:rPr>
        <w:t xml:space="preserve"> 2009; </w:t>
      </w:r>
      <w:r w:rsidRPr="001E5D32">
        <w:rPr>
          <w:rFonts w:ascii="Book Antiqua" w:hAnsi="Book Antiqua" w:cs="宋体"/>
          <w:b/>
          <w:bCs/>
          <w:kern w:val="0"/>
          <w:sz w:val="24"/>
        </w:rPr>
        <w:t>137</w:t>
      </w:r>
      <w:r w:rsidRPr="001E5D32">
        <w:rPr>
          <w:rFonts w:ascii="Book Antiqua" w:hAnsi="Book Antiqua" w:cs="宋体"/>
          <w:kern w:val="0"/>
          <w:sz w:val="24"/>
        </w:rPr>
        <w:t>: 865-872 [PMID: 19524579 DOI: 10.1053/j.gastro.2009.06.005]</w:t>
      </w:r>
    </w:p>
    <w:p w14:paraId="64D48FA0"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39 </w:t>
      </w:r>
      <w:r w:rsidRPr="001E5D32">
        <w:rPr>
          <w:rFonts w:ascii="Book Antiqua" w:hAnsi="Book Antiqua" w:cs="宋体"/>
          <w:b/>
          <w:bCs/>
          <w:kern w:val="0"/>
          <w:sz w:val="24"/>
        </w:rPr>
        <w:t>Lee JH</w:t>
      </w:r>
      <w:r w:rsidRPr="001E5D32">
        <w:rPr>
          <w:rFonts w:ascii="Book Antiqua" w:hAnsi="Book Antiqua" w:cs="宋体"/>
          <w:kern w:val="0"/>
          <w:sz w:val="24"/>
        </w:rPr>
        <w:t xml:space="preserve">, Kim D, Kim HJ, Lee CH, Yang JI, Kim W, Kim YJ, Yoon JH, Cho SH, Sung MW, Lee HS. Hepatic steatosis index: a simple screening tool reflecting nonalcoholic fatty liver disease. </w:t>
      </w:r>
      <w:r w:rsidRPr="001E5D32">
        <w:rPr>
          <w:rFonts w:ascii="Book Antiqua" w:hAnsi="Book Antiqua" w:cs="宋体"/>
          <w:i/>
          <w:iCs/>
          <w:kern w:val="0"/>
          <w:sz w:val="24"/>
        </w:rPr>
        <w:t>Dig Liver Dis</w:t>
      </w:r>
      <w:r w:rsidRPr="001E5D32">
        <w:rPr>
          <w:rFonts w:ascii="Book Antiqua" w:hAnsi="Book Antiqua" w:cs="宋体"/>
          <w:kern w:val="0"/>
          <w:sz w:val="24"/>
        </w:rPr>
        <w:t xml:space="preserve"> 2010; </w:t>
      </w:r>
      <w:r w:rsidRPr="001E5D32">
        <w:rPr>
          <w:rFonts w:ascii="Book Antiqua" w:hAnsi="Book Antiqua" w:cs="宋体"/>
          <w:b/>
          <w:bCs/>
          <w:kern w:val="0"/>
          <w:sz w:val="24"/>
        </w:rPr>
        <w:t>42</w:t>
      </w:r>
      <w:r w:rsidRPr="001E5D32">
        <w:rPr>
          <w:rFonts w:ascii="Book Antiqua" w:hAnsi="Book Antiqua" w:cs="宋体"/>
          <w:kern w:val="0"/>
          <w:sz w:val="24"/>
        </w:rPr>
        <w:t>: 503-508 [PMID: 19766548 DOI: 10.1016/j.dld.2009.08.002]</w:t>
      </w:r>
    </w:p>
    <w:p w14:paraId="4996E2FD"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40 </w:t>
      </w:r>
      <w:r w:rsidRPr="001E5D32">
        <w:rPr>
          <w:rFonts w:ascii="Book Antiqua" w:hAnsi="Book Antiqua" w:cs="宋体"/>
          <w:b/>
          <w:bCs/>
          <w:kern w:val="0"/>
          <w:sz w:val="24"/>
        </w:rPr>
        <w:t>Fuyan S</w:t>
      </w:r>
      <w:r w:rsidRPr="001E5D32">
        <w:rPr>
          <w:rFonts w:ascii="Book Antiqua" w:hAnsi="Book Antiqua" w:cs="宋体"/>
          <w:kern w:val="0"/>
          <w:sz w:val="24"/>
        </w:rPr>
        <w:t xml:space="preserve">, Jing L, Wenjun C, Zhijun T, Weijing M, Suzhen W, Yongyong X. Fatty liver disease index: a simple screening tool to facilitate diagnosis of nonalcoholic fatty liver disease in the Chinese population. </w:t>
      </w:r>
      <w:r w:rsidRPr="001E5D32">
        <w:rPr>
          <w:rFonts w:ascii="Book Antiqua" w:hAnsi="Book Antiqua" w:cs="宋体"/>
          <w:i/>
          <w:iCs/>
          <w:kern w:val="0"/>
          <w:sz w:val="24"/>
        </w:rPr>
        <w:t>Dig Dis Sci</w:t>
      </w:r>
      <w:r w:rsidRPr="001E5D32">
        <w:rPr>
          <w:rFonts w:ascii="Book Antiqua" w:hAnsi="Book Antiqua" w:cs="宋体"/>
          <w:kern w:val="0"/>
          <w:sz w:val="24"/>
        </w:rPr>
        <w:t xml:space="preserve"> 2013; </w:t>
      </w:r>
      <w:r w:rsidRPr="001E5D32">
        <w:rPr>
          <w:rFonts w:ascii="Book Antiqua" w:hAnsi="Book Antiqua" w:cs="宋体"/>
          <w:b/>
          <w:bCs/>
          <w:kern w:val="0"/>
          <w:sz w:val="24"/>
        </w:rPr>
        <w:t>58</w:t>
      </w:r>
      <w:r w:rsidRPr="001E5D32">
        <w:rPr>
          <w:rFonts w:ascii="Book Antiqua" w:hAnsi="Book Antiqua" w:cs="宋体"/>
          <w:kern w:val="0"/>
          <w:sz w:val="24"/>
        </w:rPr>
        <w:t>: 3326-3334 [PMID: 23900558 DOI: 10.1007/s10620-013-2774-y]</w:t>
      </w:r>
    </w:p>
    <w:p w14:paraId="3C8ED309"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41 </w:t>
      </w:r>
      <w:r w:rsidRPr="001E5D32">
        <w:rPr>
          <w:rFonts w:ascii="Book Antiqua" w:hAnsi="Book Antiqua" w:cs="宋体"/>
          <w:b/>
          <w:bCs/>
          <w:kern w:val="0"/>
          <w:sz w:val="24"/>
        </w:rPr>
        <w:t>Calori G</w:t>
      </w:r>
      <w:r w:rsidRPr="001E5D32">
        <w:rPr>
          <w:rFonts w:ascii="Book Antiqua" w:hAnsi="Book Antiqua" w:cs="宋体"/>
          <w:kern w:val="0"/>
          <w:sz w:val="24"/>
        </w:rPr>
        <w:t xml:space="preserve">, Lattuada G, Ragogna F, Garancini MP, Crosignani P, Villa M, Bosi E, Ruotolo G, Piemonti L, Perseghin G. Fatty liver index and mortality: the Cremona study in the 15th year of follow-up. </w:t>
      </w:r>
      <w:r w:rsidRPr="001E5D32">
        <w:rPr>
          <w:rFonts w:ascii="Book Antiqua" w:hAnsi="Book Antiqua" w:cs="宋体"/>
          <w:i/>
          <w:iCs/>
          <w:kern w:val="0"/>
          <w:sz w:val="24"/>
        </w:rPr>
        <w:t>Hepatology</w:t>
      </w:r>
      <w:r w:rsidRPr="001E5D32">
        <w:rPr>
          <w:rFonts w:ascii="Book Antiqua" w:hAnsi="Book Antiqua" w:cs="宋体"/>
          <w:kern w:val="0"/>
          <w:sz w:val="24"/>
        </w:rPr>
        <w:t xml:space="preserve"> 2011; </w:t>
      </w:r>
      <w:r w:rsidRPr="001E5D32">
        <w:rPr>
          <w:rFonts w:ascii="Book Antiqua" w:hAnsi="Book Antiqua" w:cs="宋体"/>
          <w:b/>
          <w:bCs/>
          <w:kern w:val="0"/>
          <w:sz w:val="24"/>
        </w:rPr>
        <w:t>54</w:t>
      </w:r>
      <w:r w:rsidRPr="001E5D32">
        <w:rPr>
          <w:rFonts w:ascii="Book Antiqua" w:hAnsi="Book Antiqua" w:cs="宋体"/>
          <w:kern w:val="0"/>
          <w:sz w:val="24"/>
        </w:rPr>
        <w:t>: 145-152 [PMID: 21488080 DOI: 10.1002/hep.24356]</w:t>
      </w:r>
    </w:p>
    <w:p w14:paraId="4E42D2EA" w14:textId="77777777" w:rsidR="00FD6070" w:rsidRPr="001E5D32" w:rsidRDefault="00FD6070" w:rsidP="001E5D32">
      <w:pPr>
        <w:widowControl/>
        <w:spacing w:line="360" w:lineRule="auto"/>
        <w:rPr>
          <w:rFonts w:ascii="Book Antiqua" w:hAnsi="Book Antiqua" w:cs="宋体"/>
          <w:bCs/>
          <w:color w:val="000000" w:themeColor="text1"/>
          <w:kern w:val="0"/>
          <w:sz w:val="24"/>
        </w:rPr>
      </w:pPr>
      <w:r w:rsidRPr="001E5D32">
        <w:rPr>
          <w:rFonts w:ascii="Book Antiqua" w:hAnsi="Book Antiqua" w:cs="宋体"/>
          <w:color w:val="000000" w:themeColor="text1"/>
          <w:kern w:val="0"/>
          <w:sz w:val="24"/>
        </w:rPr>
        <w:t xml:space="preserve">42 </w:t>
      </w:r>
      <w:r w:rsidRPr="001E5D32">
        <w:rPr>
          <w:rFonts w:ascii="Book Antiqua" w:hAnsi="Book Antiqua" w:cs="宋体"/>
          <w:b/>
          <w:bCs/>
          <w:color w:val="000000" w:themeColor="text1"/>
          <w:kern w:val="0"/>
          <w:sz w:val="24"/>
        </w:rPr>
        <w:t xml:space="preserve">Borman MA, </w:t>
      </w:r>
      <w:r w:rsidRPr="001E5D32">
        <w:rPr>
          <w:rFonts w:ascii="Book Antiqua" w:hAnsi="Book Antiqua" w:cs="宋体"/>
          <w:bCs/>
          <w:color w:val="000000" w:themeColor="text1"/>
          <w:kern w:val="0"/>
          <w:sz w:val="24"/>
        </w:rPr>
        <w:t>Ladak F, Crotty P, Pollett A, Kirsch R, Pomier-Layrargues G, Beaton M, Duarte-Rojo A, Elkashab M, Myers RP. The Fatty Liver Index has limited utility for the detection and quantification of hepatic steatosis in obese patients.</w:t>
      </w:r>
      <w:r w:rsidRPr="001E5D32">
        <w:rPr>
          <w:rFonts w:ascii="Book Antiqua" w:hAnsi="Book Antiqua" w:cs="宋体"/>
          <w:bCs/>
          <w:i/>
          <w:color w:val="000000" w:themeColor="text1"/>
          <w:kern w:val="0"/>
          <w:sz w:val="24"/>
        </w:rPr>
        <w:t xml:space="preserve"> Hepatol Int </w:t>
      </w:r>
      <w:r w:rsidRPr="001E5D32">
        <w:rPr>
          <w:rFonts w:ascii="Book Antiqua" w:hAnsi="Book Antiqua" w:cs="宋体"/>
          <w:bCs/>
          <w:color w:val="000000" w:themeColor="text1"/>
          <w:kern w:val="0"/>
          <w:sz w:val="24"/>
        </w:rPr>
        <w:t xml:space="preserve">2013; </w:t>
      </w:r>
      <w:r w:rsidRPr="001E5D32">
        <w:rPr>
          <w:rFonts w:ascii="Book Antiqua" w:hAnsi="Book Antiqua" w:cs="宋体"/>
          <w:b/>
          <w:bCs/>
          <w:color w:val="000000" w:themeColor="text1"/>
          <w:kern w:val="0"/>
          <w:sz w:val="24"/>
        </w:rPr>
        <w:t>7</w:t>
      </w:r>
      <w:r w:rsidRPr="001E5D32">
        <w:rPr>
          <w:rFonts w:ascii="Book Antiqua" w:hAnsi="Book Antiqua" w:cs="宋体"/>
          <w:bCs/>
          <w:color w:val="000000" w:themeColor="text1"/>
          <w:kern w:val="0"/>
          <w:sz w:val="24"/>
        </w:rPr>
        <w:t xml:space="preserve"> Suppl 2: 592-599 </w:t>
      </w:r>
      <w:r w:rsidRPr="001E5D32">
        <w:rPr>
          <w:rFonts w:ascii="Book Antiqua" w:hAnsi="Book Antiqua" w:cs="宋体" w:hint="eastAsia"/>
          <w:bCs/>
          <w:color w:val="000000" w:themeColor="text1"/>
          <w:kern w:val="0"/>
          <w:sz w:val="24"/>
        </w:rPr>
        <w:t>[</w:t>
      </w:r>
      <w:r w:rsidRPr="001E5D32">
        <w:rPr>
          <w:rFonts w:ascii="Book Antiqua" w:hAnsi="Book Antiqua" w:cs="宋体"/>
          <w:bCs/>
          <w:color w:val="000000" w:themeColor="text1"/>
          <w:kern w:val="0"/>
          <w:sz w:val="24"/>
        </w:rPr>
        <w:t>DOI: 10.1111/jgh.12557</w:t>
      </w:r>
      <w:r w:rsidRPr="001E5D32">
        <w:rPr>
          <w:rFonts w:ascii="Book Antiqua" w:hAnsi="Book Antiqua" w:cs="宋体" w:hint="eastAsia"/>
          <w:bCs/>
          <w:color w:val="000000" w:themeColor="text1"/>
          <w:kern w:val="0"/>
          <w:sz w:val="24"/>
        </w:rPr>
        <w:t>]</w:t>
      </w:r>
    </w:p>
    <w:p w14:paraId="74A24242"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43 </w:t>
      </w:r>
      <w:r w:rsidRPr="001E5D32">
        <w:rPr>
          <w:rFonts w:ascii="Book Antiqua" w:hAnsi="Book Antiqua" w:cs="宋体"/>
          <w:b/>
          <w:bCs/>
          <w:kern w:val="0"/>
          <w:sz w:val="24"/>
        </w:rPr>
        <w:t>Jiang ZY</w:t>
      </w:r>
      <w:r w:rsidRPr="001E5D32">
        <w:rPr>
          <w:rFonts w:ascii="Book Antiqua" w:hAnsi="Book Antiqua" w:cs="宋体"/>
          <w:kern w:val="0"/>
          <w:sz w:val="24"/>
        </w:rPr>
        <w:t xml:space="preserve">, Xu CY, Chang XX, Li WW, Sun LY, Yang XB, Yu LF. Fatty liver index correlates with non-alcoholic fatty liver disease, but not with newly diagnosed coronary artery atherosclerotic disease in Chinese patients. </w:t>
      </w:r>
      <w:r w:rsidRPr="001E5D32">
        <w:rPr>
          <w:rFonts w:ascii="Book Antiqua" w:hAnsi="Book Antiqua" w:cs="宋体"/>
          <w:i/>
          <w:iCs/>
          <w:kern w:val="0"/>
          <w:sz w:val="24"/>
        </w:rPr>
        <w:t>BMC Gastroenterol</w:t>
      </w:r>
      <w:r w:rsidRPr="001E5D32">
        <w:rPr>
          <w:rFonts w:ascii="Book Antiqua" w:hAnsi="Book Antiqua" w:cs="宋体"/>
          <w:kern w:val="0"/>
          <w:sz w:val="24"/>
        </w:rPr>
        <w:t xml:space="preserve"> 2013; </w:t>
      </w:r>
      <w:r w:rsidRPr="001E5D32">
        <w:rPr>
          <w:rFonts w:ascii="Book Antiqua" w:hAnsi="Book Antiqua" w:cs="宋体"/>
          <w:b/>
          <w:bCs/>
          <w:kern w:val="0"/>
          <w:sz w:val="24"/>
        </w:rPr>
        <w:t>13</w:t>
      </w:r>
      <w:r w:rsidRPr="001E5D32">
        <w:rPr>
          <w:rFonts w:ascii="Book Antiqua" w:hAnsi="Book Antiqua" w:cs="宋体"/>
          <w:kern w:val="0"/>
          <w:sz w:val="24"/>
        </w:rPr>
        <w:t>: 110 [PMID: 23834773 DOI: 10.1186/1471-230X-13-110]</w:t>
      </w:r>
    </w:p>
    <w:p w14:paraId="0FD4C35C"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44 </w:t>
      </w:r>
      <w:r w:rsidRPr="001E5D32">
        <w:rPr>
          <w:rFonts w:ascii="Book Antiqua" w:hAnsi="Book Antiqua" w:cs="宋体"/>
          <w:b/>
          <w:bCs/>
          <w:kern w:val="0"/>
          <w:sz w:val="24"/>
        </w:rPr>
        <w:t>Dyson J</w:t>
      </w:r>
      <w:r w:rsidRPr="001E5D32">
        <w:rPr>
          <w:rFonts w:ascii="Book Antiqua" w:hAnsi="Book Antiqua" w:cs="宋体"/>
          <w:kern w:val="0"/>
          <w:sz w:val="24"/>
        </w:rPr>
        <w:t xml:space="preserve">, Day C. Treatment of non-alcoholic fatty liver disease. </w:t>
      </w:r>
      <w:r w:rsidRPr="001E5D32">
        <w:rPr>
          <w:rFonts w:ascii="Book Antiqua" w:hAnsi="Book Antiqua" w:cs="宋体"/>
          <w:i/>
          <w:iCs/>
          <w:kern w:val="0"/>
          <w:sz w:val="24"/>
        </w:rPr>
        <w:t>Dig Dis</w:t>
      </w:r>
      <w:r w:rsidRPr="001E5D32">
        <w:rPr>
          <w:rFonts w:ascii="Book Antiqua" w:hAnsi="Book Antiqua" w:cs="宋体"/>
          <w:kern w:val="0"/>
          <w:sz w:val="24"/>
        </w:rPr>
        <w:t xml:space="preserve"> 2014; </w:t>
      </w:r>
      <w:r w:rsidRPr="001E5D32">
        <w:rPr>
          <w:rFonts w:ascii="Book Antiqua" w:hAnsi="Book Antiqua" w:cs="宋体"/>
          <w:b/>
          <w:bCs/>
          <w:kern w:val="0"/>
          <w:sz w:val="24"/>
        </w:rPr>
        <w:t>32</w:t>
      </w:r>
      <w:r w:rsidRPr="001E5D32">
        <w:rPr>
          <w:rFonts w:ascii="Book Antiqua" w:hAnsi="Book Antiqua" w:cs="宋体"/>
          <w:kern w:val="0"/>
          <w:sz w:val="24"/>
        </w:rPr>
        <w:t>: 597-604 [PMID: 25034293 DOI: 10.1159/000360511]</w:t>
      </w:r>
    </w:p>
    <w:p w14:paraId="70574AC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45 </w:t>
      </w:r>
      <w:r w:rsidRPr="001E5D32">
        <w:rPr>
          <w:rFonts w:ascii="Book Antiqua" w:hAnsi="Book Antiqua" w:cs="宋体"/>
          <w:b/>
          <w:bCs/>
          <w:kern w:val="0"/>
          <w:sz w:val="24"/>
        </w:rPr>
        <w:t>Harrison SA</w:t>
      </w:r>
      <w:r w:rsidRPr="001E5D32">
        <w:rPr>
          <w:rFonts w:ascii="Book Antiqua" w:hAnsi="Book Antiqua" w:cs="宋体"/>
          <w:kern w:val="0"/>
          <w:sz w:val="24"/>
        </w:rPr>
        <w:t xml:space="preserve">, Day CP. Benefits of lifestyle modification in NAFLD. </w:t>
      </w:r>
      <w:r w:rsidRPr="001E5D32">
        <w:rPr>
          <w:rFonts w:ascii="Book Antiqua" w:hAnsi="Book Antiqua" w:cs="宋体"/>
          <w:i/>
          <w:iCs/>
          <w:kern w:val="0"/>
          <w:sz w:val="24"/>
        </w:rPr>
        <w:t>Gut</w:t>
      </w:r>
      <w:r w:rsidRPr="001E5D32">
        <w:rPr>
          <w:rFonts w:ascii="Book Antiqua" w:hAnsi="Book Antiqua" w:cs="宋体"/>
          <w:kern w:val="0"/>
          <w:sz w:val="24"/>
        </w:rPr>
        <w:t xml:space="preserve"> 2007; </w:t>
      </w:r>
      <w:r w:rsidRPr="001E5D32">
        <w:rPr>
          <w:rFonts w:ascii="Book Antiqua" w:hAnsi="Book Antiqua" w:cs="宋体"/>
          <w:b/>
          <w:bCs/>
          <w:kern w:val="0"/>
          <w:sz w:val="24"/>
        </w:rPr>
        <w:t>56</w:t>
      </w:r>
      <w:r w:rsidRPr="001E5D32">
        <w:rPr>
          <w:rFonts w:ascii="Book Antiqua" w:hAnsi="Book Antiqua" w:cs="宋体"/>
          <w:kern w:val="0"/>
          <w:sz w:val="24"/>
        </w:rPr>
        <w:t>: 1760-1769 [PMID: 17911352 DOI: 10.1136/gut.2006.112094]</w:t>
      </w:r>
    </w:p>
    <w:p w14:paraId="5FDBC00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46 </w:t>
      </w:r>
      <w:r w:rsidRPr="001E5D32">
        <w:rPr>
          <w:rFonts w:ascii="Book Antiqua" w:hAnsi="Book Antiqua" w:cs="宋体"/>
          <w:b/>
          <w:bCs/>
          <w:kern w:val="0"/>
          <w:sz w:val="24"/>
        </w:rPr>
        <w:t>Rafiq N</w:t>
      </w:r>
      <w:r w:rsidRPr="001E5D32">
        <w:rPr>
          <w:rFonts w:ascii="Book Antiqua" w:hAnsi="Book Antiqua" w:cs="宋体"/>
          <w:kern w:val="0"/>
          <w:sz w:val="24"/>
        </w:rPr>
        <w:t xml:space="preserve">, Younossi ZM. Effects of weight loss on nonalcoholic fatty liver disease. </w:t>
      </w:r>
      <w:r w:rsidRPr="001E5D32">
        <w:rPr>
          <w:rFonts w:ascii="Book Antiqua" w:hAnsi="Book Antiqua" w:cs="宋体"/>
          <w:i/>
          <w:iCs/>
          <w:kern w:val="0"/>
          <w:sz w:val="24"/>
        </w:rPr>
        <w:t>Semin Liver Dis</w:t>
      </w:r>
      <w:r w:rsidRPr="001E5D32">
        <w:rPr>
          <w:rFonts w:ascii="Book Antiqua" w:hAnsi="Book Antiqua" w:cs="宋体"/>
          <w:kern w:val="0"/>
          <w:sz w:val="24"/>
        </w:rPr>
        <w:t xml:space="preserve"> 2008; </w:t>
      </w:r>
      <w:r w:rsidRPr="001E5D32">
        <w:rPr>
          <w:rFonts w:ascii="Book Antiqua" w:hAnsi="Book Antiqua" w:cs="宋体"/>
          <w:b/>
          <w:bCs/>
          <w:kern w:val="0"/>
          <w:sz w:val="24"/>
        </w:rPr>
        <w:t>28</w:t>
      </w:r>
      <w:r w:rsidRPr="001E5D32">
        <w:rPr>
          <w:rFonts w:ascii="Book Antiqua" w:hAnsi="Book Antiqua" w:cs="宋体"/>
          <w:kern w:val="0"/>
          <w:sz w:val="24"/>
        </w:rPr>
        <w:t>: 427-433 [PMID: 18956298 DOI: 10.1055/s-0028-1091986]</w:t>
      </w:r>
    </w:p>
    <w:p w14:paraId="0C61C3CD"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47 </w:t>
      </w:r>
      <w:r w:rsidRPr="001E5D32">
        <w:rPr>
          <w:rFonts w:ascii="Book Antiqua" w:hAnsi="Book Antiqua" w:cs="宋体"/>
          <w:b/>
          <w:bCs/>
          <w:kern w:val="0"/>
          <w:sz w:val="24"/>
        </w:rPr>
        <w:t>Scaglioni F</w:t>
      </w:r>
      <w:r w:rsidRPr="001E5D32">
        <w:rPr>
          <w:rFonts w:ascii="Book Antiqua" w:hAnsi="Book Antiqua" w:cs="宋体"/>
          <w:kern w:val="0"/>
          <w:sz w:val="24"/>
        </w:rPr>
        <w:t xml:space="preserve">, Marino M, Ciccia S, Procaccini A, Busacchi M, Loria P, Lonardo A, Malavolti M, Battistini NC, Pellegrini M, Carubbi F, Bellentani S. Short-term multidisciplinary non-pharmacological intervention is effective in reducing liver fat content assessed non-invasively in patients with nonalcoholic fatty liver disease (NAFLD). </w:t>
      </w:r>
      <w:r w:rsidRPr="001E5D32">
        <w:rPr>
          <w:rFonts w:ascii="Book Antiqua" w:hAnsi="Book Antiqua" w:cs="宋体"/>
          <w:i/>
          <w:iCs/>
          <w:kern w:val="0"/>
          <w:sz w:val="24"/>
        </w:rPr>
        <w:t>Clin Res Hepatol Gastroenterol</w:t>
      </w:r>
      <w:r w:rsidRPr="001E5D32">
        <w:rPr>
          <w:rFonts w:ascii="Book Antiqua" w:hAnsi="Book Antiqua" w:cs="宋体"/>
          <w:kern w:val="0"/>
          <w:sz w:val="24"/>
        </w:rPr>
        <w:t xml:space="preserve"> 2013; </w:t>
      </w:r>
      <w:r w:rsidRPr="001E5D32">
        <w:rPr>
          <w:rFonts w:ascii="Book Antiqua" w:hAnsi="Book Antiqua" w:cs="宋体"/>
          <w:b/>
          <w:bCs/>
          <w:kern w:val="0"/>
          <w:sz w:val="24"/>
        </w:rPr>
        <w:t>37</w:t>
      </w:r>
      <w:r w:rsidRPr="001E5D32">
        <w:rPr>
          <w:rFonts w:ascii="Book Antiqua" w:hAnsi="Book Antiqua" w:cs="宋体"/>
          <w:kern w:val="0"/>
          <w:sz w:val="24"/>
        </w:rPr>
        <w:t>: 353-358 [PMID: 23273500 DOI: 10.1016/j.clinre.2012.10.009]</w:t>
      </w:r>
    </w:p>
    <w:p w14:paraId="1DA1565B"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48 </w:t>
      </w:r>
      <w:r w:rsidRPr="001E5D32">
        <w:rPr>
          <w:rFonts w:ascii="Book Antiqua" w:hAnsi="Book Antiqua" w:cs="宋体"/>
          <w:b/>
          <w:bCs/>
          <w:kern w:val="0"/>
          <w:sz w:val="24"/>
        </w:rPr>
        <w:t>Centis E</w:t>
      </w:r>
      <w:r w:rsidRPr="001E5D32">
        <w:rPr>
          <w:rFonts w:ascii="Book Antiqua" w:hAnsi="Book Antiqua" w:cs="宋体"/>
          <w:kern w:val="0"/>
          <w:sz w:val="24"/>
        </w:rPr>
        <w:t xml:space="preserve">, Marzocchi R, Suppini A, Dalle Grave R, Villanova N, Hickman IJ, Marchesini G. The role of lifestyle change in the prevention and treatment of NAFLD. </w:t>
      </w:r>
      <w:r w:rsidRPr="001E5D32">
        <w:rPr>
          <w:rFonts w:ascii="Book Antiqua" w:hAnsi="Book Antiqua" w:cs="宋体"/>
          <w:i/>
          <w:iCs/>
          <w:kern w:val="0"/>
          <w:sz w:val="24"/>
        </w:rPr>
        <w:t>Curr Pharm Des</w:t>
      </w:r>
      <w:r w:rsidRPr="001E5D32">
        <w:rPr>
          <w:rFonts w:ascii="Book Antiqua" w:hAnsi="Book Antiqua" w:cs="宋体"/>
          <w:kern w:val="0"/>
          <w:sz w:val="24"/>
        </w:rPr>
        <w:t xml:space="preserve"> 2013; </w:t>
      </w:r>
      <w:r w:rsidRPr="001E5D32">
        <w:rPr>
          <w:rFonts w:ascii="Book Antiqua" w:hAnsi="Book Antiqua" w:cs="宋体"/>
          <w:b/>
          <w:bCs/>
          <w:kern w:val="0"/>
          <w:sz w:val="24"/>
        </w:rPr>
        <w:t>19</w:t>
      </w:r>
      <w:r w:rsidRPr="001E5D32">
        <w:rPr>
          <w:rFonts w:ascii="Book Antiqua" w:hAnsi="Book Antiqua" w:cs="宋体"/>
          <w:kern w:val="0"/>
          <w:sz w:val="24"/>
        </w:rPr>
        <w:t>: 5270-5279 [PMID: 23394095 DOI: 10.2174/1381612811319290008]</w:t>
      </w:r>
    </w:p>
    <w:p w14:paraId="517AB474"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49 </w:t>
      </w:r>
      <w:r w:rsidRPr="001E5D32">
        <w:rPr>
          <w:rFonts w:ascii="Book Antiqua" w:hAnsi="Book Antiqua" w:cs="宋体"/>
          <w:b/>
          <w:bCs/>
          <w:kern w:val="0"/>
          <w:sz w:val="24"/>
        </w:rPr>
        <w:t>Ekstedt M</w:t>
      </w:r>
      <w:r w:rsidRPr="001E5D32">
        <w:rPr>
          <w:rFonts w:ascii="Book Antiqua" w:hAnsi="Book Antiqua" w:cs="宋体"/>
          <w:kern w:val="0"/>
          <w:sz w:val="24"/>
        </w:rPr>
        <w:t xml:space="preserve">, Franzén LE, Mathiesen UL, Thorelius L, Holmqvist M, Bodemar G, Kechagias S. Long-term follow-up of patients with NAFLD and elevated liver enzymes. </w:t>
      </w:r>
      <w:r w:rsidRPr="001E5D32">
        <w:rPr>
          <w:rFonts w:ascii="Book Antiqua" w:hAnsi="Book Antiqua" w:cs="宋体"/>
          <w:i/>
          <w:iCs/>
          <w:kern w:val="0"/>
          <w:sz w:val="24"/>
        </w:rPr>
        <w:t>Hepatology</w:t>
      </w:r>
      <w:r w:rsidRPr="001E5D32">
        <w:rPr>
          <w:rFonts w:ascii="Book Antiqua" w:hAnsi="Book Antiqua" w:cs="宋体"/>
          <w:kern w:val="0"/>
          <w:sz w:val="24"/>
        </w:rPr>
        <w:t xml:space="preserve"> 2006; </w:t>
      </w:r>
      <w:r w:rsidRPr="001E5D32">
        <w:rPr>
          <w:rFonts w:ascii="Book Antiqua" w:hAnsi="Book Antiqua" w:cs="宋体"/>
          <w:b/>
          <w:bCs/>
          <w:kern w:val="0"/>
          <w:sz w:val="24"/>
        </w:rPr>
        <w:t>44</w:t>
      </w:r>
      <w:r w:rsidRPr="001E5D32">
        <w:rPr>
          <w:rFonts w:ascii="Book Antiqua" w:hAnsi="Book Antiqua" w:cs="宋体"/>
          <w:kern w:val="0"/>
          <w:sz w:val="24"/>
        </w:rPr>
        <w:t>: 865-873 [PMID: 17006923 DOI: 10.1002/hep.21327]</w:t>
      </w:r>
    </w:p>
    <w:p w14:paraId="6B69A659"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50 </w:t>
      </w:r>
      <w:r w:rsidRPr="001E5D32">
        <w:rPr>
          <w:rFonts w:ascii="Book Antiqua" w:hAnsi="Book Antiqua" w:cs="宋体"/>
          <w:b/>
          <w:bCs/>
          <w:kern w:val="0"/>
          <w:sz w:val="24"/>
        </w:rPr>
        <w:t>Villanova N</w:t>
      </w:r>
      <w:r w:rsidRPr="001E5D32">
        <w:rPr>
          <w:rFonts w:ascii="Book Antiqua" w:hAnsi="Book Antiqua" w:cs="宋体"/>
          <w:kern w:val="0"/>
          <w:sz w:val="24"/>
        </w:rPr>
        <w:t xml:space="preserve">, Moscatiello S, Ramilli S, Bugianesi E, Magalotti D, Vanni E, Zoli M, Marchesini G. Endothelial dysfunction and cardiovascular risk profile in nonalcoholic fatty liver disease. </w:t>
      </w:r>
      <w:r w:rsidRPr="001E5D32">
        <w:rPr>
          <w:rFonts w:ascii="Book Antiqua" w:hAnsi="Book Antiqua" w:cs="宋体"/>
          <w:i/>
          <w:iCs/>
          <w:kern w:val="0"/>
          <w:sz w:val="24"/>
        </w:rPr>
        <w:t>Hepatology</w:t>
      </w:r>
      <w:r w:rsidRPr="001E5D32">
        <w:rPr>
          <w:rFonts w:ascii="Book Antiqua" w:hAnsi="Book Antiqua" w:cs="宋体"/>
          <w:kern w:val="0"/>
          <w:sz w:val="24"/>
        </w:rPr>
        <w:t xml:space="preserve"> 2005; </w:t>
      </w:r>
      <w:r w:rsidRPr="001E5D32">
        <w:rPr>
          <w:rFonts w:ascii="Book Antiqua" w:hAnsi="Book Antiqua" w:cs="宋体"/>
          <w:b/>
          <w:bCs/>
          <w:kern w:val="0"/>
          <w:sz w:val="24"/>
        </w:rPr>
        <w:t>42</w:t>
      </w:r>
      <w:r w:rsidRPr="001E5D32">
        <w:rPr>
          <w:rFonts w:ascii="Book Antiqua" w:hAnsi="Book Antiqua" w:cs="宋体"/>
          <w:kern w:val="0"/>
          <w:sz w:val="24"/>
        </w:rPr>
        <w:t>: 473-480 [PMID: 15981216 DOI: 10.1002/hep.20781]</w:t>
      </w:r>
    </w:p>
    <w:p w14:paraId="4F1F86DD"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51 </w:t>
      </w:r>
      <w:r w:rsidRPr="001E5D32">
        <w:rPr>
          <w:rFonts w:ascii="Book Antiqua" w:hAnsi="Book Antiqua" w:cs="宋体"/>
          <w:b/>
          <w:bCs/>
          <w:kern w:val="0"/>
          <w:sz w:val="24"/>
        </w:rPr>
        <w:t>Goland S</w:t>
      </w:r>
      <w:r w:rsidRPr="001E5D32">
        <w:rPr>
          <w:rFonts w:ascii="Book Antiqua" w:hAnsi="Book Antiqua" w:cs="宋体"/>
          <w:kern w:val="0"/>
          <w:sz w:val="24"/>
        </w:rPr>
        <w:t xml:space="preserve">, Shimoni S, Zornitzki T, Knobler H, Azoulai O, Lutaty G, Melzer E, Orr A, Caspi A, Malnick S. Cardiac abnormalities as a new manifestation of nonalcoholic fatty liver disease: echocardiographic and tissue Doppler imaging assessment. </w:t>
      </w:r>
      <w:r w:rsidRPr="001E5D32">
        <w:rPr>
          <w:rFonts w:ascii="Book Antiqua" w:hAnsi="Book Antiqua" w:cs="宋体"/>
          <w:i/>
          <w:iCs/>
          <w:kern w:val="0"/>
          <w:sz w:val="24"/>
        </w:rPr>
        <w:t>J Clin Gastroenterol</w:t>
      </w:r>
      <w:r w:rsidRPr="001E5D32">
        <w:rPr>
          <w:rFonts w:ascii="Book Antiqua" w:hAnsi="Book Antiqua" w:cs="宋体"/>
          <w:kern w:val="0"/>
          <w:sz w:val="24"/>
        </w:rPr>
        <w:t xml:space="preserve"> </w:t>
      </w:r>
      <w:r w:rsidRPr="001E5D32">
        <w:rPr>
          <w:rFonts w:ascii="Book Antiqua" w:hAnsi="Book Antiqua" w:cs="宋体" w:hint="eastAsia"/>
          <w:kern w:val="0"/>
          <w:sz w:val="24"/>
        </w:rPr>
        <w:t>2006</w:t>
      </w:r>
      <w:r w:rsidRPr="001E5D32">
        <w:rPr>
          <w:rFonts w:ascii="Book Antiqua" w:hAnsi="Book Antiqua" w:cs="宋体"/>
          <w:kern w:val="0"/>
          <w:sz w:val="24"/>
        </w:rPr>
        <w:t xml:space="preserve">; </w:t>
      </w:r>
      <w:r w:rsidRPr="001E5D32">
        <w:rPr>
          <w:rFonts w:ascii="Book Antiqua" w:hAnsi="Book Antiqua" w:cs="宋体"/>
          <w:b/>
          <w:bCs/>
          <w:kern w:val="0"/>
          <w:sz w:val="24"/>
        </w:rPr>
        <w:t>40</w:t>
      </w:r>
      <w:r w:rsidRPr="001E5D32">
        <w:rPr>
          <w:rFonts w:ascii="Book Antiqua" w:hAnsi="Book Antiqua" w:cs="宋体"/>
          <w:kern w:val="0"/>
          <w:sz w:val="24"/>
        </w:rPr>
        <w:t>: 949-955 [PMID: 17063117 DOI: 10.1097/01.mcg.0000225668.53673.e6]</w:t>
      </w:r>
    </w:p>
    <w:p w14:paraId="0785A0BC"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52 </w:t>
      </w:r>
      <w:r w:rsidRPr="001E5D32">
        <w:rPr>
          <w:rFonts w:ascii="Book Antiqua" w:hAnsi="Book Antiqua" w:cs="宋体"/>
          <w:b/>
          <w:bCs/>
          <w:kern w:val="0"/>
          <w:sz w:val="24"/>
        </w:rPr>
        <w:t>Dixon JB</w:t>
      </w:r>
      <w:r w:rsidRPr="001E5D32">
        <w:rPr>
          <w:rFonts w:ascii="Book Antiqua" w:hAnsi="Book Antiqua" w:cs="宋体"/>
          <w:kern w:val="0"/>
          <w:sz w:val="24"/>
        </w:rPr>
        <w:t xml:space="preserve">, Bhathal PS, O'Brien PE. Nonalcoholic fatty liver disease: predictors of nonalcoholic steatohepatitis and liver fibrosis in the severely obese. </w:t>
      </w:r>
      <w:r w:rsidRPr="001E5D32">
        <w:rPr>
          <w:rFonts w:ascii="Book Antiqua" w:hAnsi="Book Antiqua" w:cs="宋体"/>
          <w:i/>
          <w:iCs/>
          <w:kern w:val="0"/>
          <w:sz w:val="24"/>
        </w:rPr>
        <w:t>Gastroenterology</w:t>
      </w:r>
      <w:r w:rsidRPr="001E5D32">
        <w:rPr>
          <w:rFonts w:ascii="Book Antiqua" w:hAnsi="Book Antiqua" w:cs="宋体"/>
          <w:kern w:val="0"/>
          <w:sz w:val="24"/>
        </w:rPr>
        <w:t xml:space="preserve"> 2001; </w:t>
      </w:r>
      <w:r w:rsidRPr="001E5D32">
        <w:rPr>
          <w:rFonts w:ascii="Book Antiqua" w:hAnsi="Book Antiqua" w:cs="宋体"/>
          <w:b/>
          <w:bCs/>
          <w:kern w:val="0"/>
          <w:sz w:val="24"/>
        </w:rPr>
        <w:t>121</w:t>
      </w:r>
      <w:r w:rsidRPr="001E5D32">
        <w:rPr>
          <w:rFonts w:ascii="Book Antiqua" w:hAnsi="Book Antiqua" w:cs="宋体"/>
          <w:kern w:val="0"/>
          <w:sz w:val="24"/>
        </w:rPr>
        <w:t>: 91-100 [PMID: 11438497 DOI: 10.1053/gast.2001.25540]</w:t>
      </w:r>
    </w:p>
    <w:p w14:paraId="2C73F49C"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53 </w:t>
      </w:r>
      <w:r w:rsidRPr="001E5D32">
        <w:rPr>
          <w:rFonts w:ascii="Book Antiqua" w:hAnsi="Book Antiqua" w:cs="宋体"/>
          <w:b/>
          <w:bCs/>
          <w:kern w:val="0"/>
          <w:sz w:val="24"/>
        </w:rPr>
        <w:t>Gholam PM</w:t>
      </w:r>
      <w:r w:rsidRPr="001E5D32">
        <w:rPr>
          <w:rFonts w:ascii="Book Antiqua" w:hAnsi="Book Antiqua" w:cs="宋体"/>
          <w:kern w:val="0"/>
          <w:sz w:val="24"/>
        </w:rPr>
        <w:t xml:space="preserve">, Flancbaum L, Machan JT, Charney DA, Kotler DP. Nonalcoholic fatty liver disease in severely obese subjects. </w:t>
      </w:r>
      <w:r w:rsidRPr="001E5D32">
        <w:rPr>
          <w:rFonts w:ascii="Book Antiqua" w:hAnsi="Book Antiqua" w:cs="宋体"/>
          <w:i/>
          <w:iCs/>
          <w:kern w:val="0"/>
          <w:sz w:val="24"/>
        </w:rPr>
        <w:t>Am J Gastroenterol</w:t>
      </w:r>
      <w:r w:rsidRPr="001E5D32">
        <w:rPr>
          <w:rFonts w:ascii="Book Antiqua" w:hAnsi="Book Antiqua" w:cs="宋体"/>
          <w:kern w:val="0"/>
          <w:sz w:val="24"/>
        </w:rPr>
        <w:t xml:space="preserve"> 2007; </w:t>
      </w:r>
      <w:r w:rsidRPr="001E5D32">
        <w:rPr>
          <w:rFonts w:ascii="Book Antiqua" w:hAnsi="Book Antiqua" w:cs="宋体"/>
          <w:b/>
          <w:bCs/>
          <w:kern w:val="0"/>
          <w:sz w:val="24"/>
        </w:rPr>
        <w:t>102</w:t>
      </w:r>
      <w:r w:rsidRPr="001E5D32">
        <w:rPr>
          <w:rFonts w:ascii="Book Antiqua" w:hAnsi="Book Antiqua" w:cs="宋体"/>
          <w:kern w:val="0"/>
          <w:sz w:val="24"/>
        </w:rPr>
        <w:t>: 399-408 [PMID: 17311652 DOI: 10.1111/j.1572-0241.2006.01041.x]</w:t>
      </w:r>
    </w:p>
    <w:p w14:paraId="777BD3DE"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54 </w:t>
      </w:r>
      <w:r w:rsidRPr="001E5D32">
        <w:rPr>
          <w:rFonts w:ascii="Book Antiqua" w:hAnsi="Book Antiqua" w:cs="宋体"/>
          <w:b/>
          <w:bCs/>
          <w:kern w:val="0"/>
          <w:sz w:val="24"/>
        </w:rPr>
        <w:t>Campos GM</w:t>
      </w:r>
      <w:r w:rsidRPr="001E5D32">
        <w:rPr>
          <w:rFonts w:ascii="Book Antiqua" w:hAnsi="Book Antiqua" w:cs="宋体"/>
          <w:kern w:val="0"/>
          <w:sz w:val="24"/>
        </w:rPr>
        <w:t xml:space="preserve">, Bambha K, Vittinghoff E, Rabl C, Posselt AM, Ciovica R, Tiwari U, Ferrel L, Pabst M, Bass NM, Merriman RB. A clinical scoring system for predicting nonalcoholic steatohepatitis in morbidly obese patients. </w:t>
      </w:r>
      <w:r w:rsidRPr="001E5D32">
        <w:rPr>
          <w:rFonts w:ascii="Book Antiqua" w:hAnsi="Book Antiqua" w:cs="宋体"/>
          <w:i/>
          <w:iCs/>
          <w:kern w:val="0"/>
          <w:sz w:val="24"/>
        </w:rPr>
        <w:t>Hepatology</w:t>
      </w:r>
      <w:r w:rsidRPr="001E5D32">
        <w:rPr>
          <w:rFonts w:ascii="Book Antiqua" w:hAnsi="Book Antiqua" w:cs="宋体"/>
          <w:kern w:val="0"/>
          <w:sz w:val="24"/>
        </w:rPr>
        <w:t xml:space="preserve"> 2008; </w:t>
      </w:r>
      <w:r w:rsidRPr="001E5D32">
        <w:rPr>
          <w:rFonts w:ascii="Book Antiqua" w:hAnsi="Book Antiqua" w:cs="宋体"/>
          <w:b/>
          <w:bCs/>
          <w:kern w:val="0"/>
          <w:sz w:val="24"/>
        </w:rPr>
        <w:t>47</w:t>
      </w:r>
      <w:r w:rsidRPr="001E5D32">
        <w:rPr>
          <w:rFonts w:ascii="Book Antiqua" w:hAnsi="Book Antiqua" w:cs="宋体"/>
          <w:kern w:val="0"/>
          <w:sz w:val="24"/>
        </w:rPr>
        <w:t>: 1916-1923 [PMID: 18433022 DOI: 10.1002/hep.22241]</w:t>
      </w:r>
    </w:p>
    <w:p w14:paraId="647BEBA0"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55 </w:t>
      </w:r>
      <w:r w:rsidRPr="001E5D32">
        <w:rPr>
          <w:rFonts w:ascii="Book Antiqua" w:hAnsi="Book Antiqua" w:cs="宋体"/>
          <w:b/>
          <w:bCs/>
          <w:kern w:val="0"/>
          <w:sz w:val="24"/>
        </w:rPr>
        <w:t>Ulitsky A</w:t>
      </w:r>
      <w:r w:rsidRPr="001E5D32">
        <w:rPr>
          <w:rFonts w:ascii="Book Antiqua" w:hAnsi="Book Antiqua" w:cs="宋体"/>
          <w:kern w:val="0"/>
          <w:sz w:val="24"/>
        </w:rPr>
        <w:t xml:space="preserve">, Ananthakrishnan AN, Komorowski R, Wallace J, Surapaneni SN, Franco J, Saeian K, Gawrieh S. A noninvasive clinical scoring model predicts risk of nonalcoholic steatohepatitis in morbidly obese patients. </w:t>
      </w:r>
      <w:r w:rsidRPr="001E5D32">
        <w:rPr>
          <w:rFonts w:ascii="Book Antiqua" w:hAnsi="Book Antiqua" w:cs="宋体"/>
          <w:i/>
          <w:iCs/>
          <w:kern w:val="0"/>
          <w:sz w:val="24"/>
        </w:rPr>
        <w:t>Obes Surg</w:t>
      </w:r>
      <w:r w:rsidRPr="001E5D32">
        <w:rPr>
          <w:rFonts w:ascii="Book Antiqua" w:hAnsi="Book Antiqua" w:cs="宋体"/>
          <w:kern w:val="0"/>
          <w:sz w:val="24"/>
        </w:rPr>
        <w:t xml:space="preserve"> 2010; </w:t>
      </w:r>
      <w:r w:rsidRPr="001E5D32">
        <w:rPr>
          <w:rFonts w:ascii="Book Antiqua" w:hAnsi="Book Antiqua" w:cs="宋体"/>
          <w:b/>
          <w:bCs/>
          <w:kern w:val="0"/>
          <w:sz w:val="24"/>
        </w:rPr>
        <w:t>20</w:t>
      </w:r>
      <w:r w:rsidRPr="001E5D32">
        <w:rPr>
          <w:rFonts w:ascii="Book Antiqua" w:hAnsi="Book Antiqua" w:cs="宋体"/>
          <w:kern w:val="0"/>
          <w:sz w:val="24"/>
        </w:rPr>
        <w:t>: 685-691 [PMID: 20336392 DOI: 10.1007/s11695-010-0118-y]</w:t>
      </w:r>
    </w:p>
    <w:p w14:paraId="010B3C42" w14:textId="77777777" w:rsidR="00FD6070" w:rsidRPr="001E5D32" w:rsidRDefault="00FD6070" w:rsidP="001E5D32">
      <w:pPr>
        <w:widowControl/>
        <w:spacing w:line="360" w:lineRule="auto"/>
        <w:rPr>
          <w:rFonts w:ascii="Book Antiqua" w:hAnsi="Book Antiqua" w:cs="宋体"/>
          <w:color w:val="000000" w:themeColor="text1"/>
          <w:kern w:val="0"/>
          <w:sz w:val="24"/>
        </w:rPr>
      </w:pPr>
      <w:r w:rsidRPr="001E5D32">
        <w:rPr>
          <w:rFonts w:ascii="Book Antiqua" w:hAnsi="Book Antiqua" w:cs="宋体"/>
          <w:color w:val="000000" w:themeColor="text1"/>
          <w:kern w:val="0"/>
          <w:sz w:val="24"/>
        </w:rPr>
        <w:t xml:space="preserve">56 </w:t>
      </w:r>
      <w:r w:rsidRPr="001E5D32">
        <w:rPr>
          <w:rFonts w:ascii="Book Antiqua" w:hAnsi="Book Antiqua" w:cs="宋体"/>
          <w:b/>
          <w:color w:val="000000" w:themeColor="text1"/>
          <w:kern w:val="0"/>
          <w:sz w:val="24"/>
        </w:rPr>
        <w:t>Zein CO,</w:t>
      </w:r>
      <w:r w:rsidRPr="001E5D32">
        <w:rPr>
          <w:rFonts w:ascii="Book Antiqua" w:hAnsi="Book Antiqua" w:cs="宋体"/>
          <w:color w:val="000000" w:themeColor="text1"/>
          <w:kern w:val="0"/>
          <w:sz w:val="24"/>
        </w:rPr>
        <w:t xml:space="preserve"> Edmison JM, Schluchter M, Feldstein AE, Zein NN, McCullough A. A NASH predictive index (NPI) for use in patients with nonalcoholic fatty liver disease. </w:t>
      </w:r>
      <w:r w:rsidRPr="001E5D32">
        <w:rPr>
          <w:rFonts w:ascii="Book Antiqua" w:hAnsi="Book Antiqua" w:cs="宋体"/>
          <w:i/>
          <w:color w:val="000000" w:themeColor="text1"/>
          <w:kern w:val="0"/>
          <w:sz w:val="24"/>
        </w:rPr>
        <w:t>Hepatology</w:t>
      </w:r>
      <w:r w:rsidRPr="001E5D32">
        <w:rPr>
          <w:rFonts w:ascii="Book Antiqua" w:hAnsi="Book Antiqua" w:cs="宋体"/>
          <w:color w:val="000000" w:themeColor="text1"/>
          <w:kern w:val="0"/>
          <w:sz w:val="24"/>
        </w:rPr>
        <w:t xml:space="preserve"> 2007; </w:t>
      </w:r>
      <w:r w:rsidRPr="001E5D32">
        <w:rPr>
          <w:rFonts w:ascii="Book Antiqua" w:hAnsi="Book Antiqua" w:cs="宋体"/>
          <w:b/>
          <w:color w:val="000000" w:themeColor="text1"/>
          <w:kern w:val="0"/>
          <w:sz w:val="24"/>
        </w:rPr>
        <w:t>46</w:t>
      </w:r>
      <w:r w:rsidRPr="001E5D32">
        <w:rPr>
          <w:rFonts w:ascii="Book Antiqua" w:hAnsi="Book Antiqua" w:cs="宋体"/>
          <w:color w:val="000000" w:themeColor="text1"/>
          <w:kern w:val="0"/>
          <w:sz w:val="24"/>
        </w:rPr>
        <w:t>: 747A</w:t>
      </w:r>
    </w:p>
    <w:p w14:paraId="27136F5E"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57 </w:t>
      </w:r>
      <w:r w:rsidRPr="001E5D32">
        <w:rPr>
          <w:rFonts w:ascii="Book Antiqua" w:hAnsi="Book Antiqua" w:cs="宋体"/>
          <w:b/>
          <w:bCs/>
          <w:kern w:val="0"/>
          <w:sz w:val="24"/>
        </w:rPr>
        <w:t>Schwimmer JB</w:t>
      </w:r>
      <w:r w:rsidRPr="001E5D32">
        <w:rPr>
          <w:rFonts w:ascii="Book Antiqua" w:hAnsi="Book Antiqua" w:cs="宋体"/>
          <w:kern w:val="0"/>
          <w:sz w:val="24"/>
        </w:rPr>
        <w:t xml:space="preserve">, McGreal N, Deutsch R, Finegold MJ, Lavine JE. Influence of gender, race, and ethnicity on suspected fatty liver in obese adolescents. </w:t>
      </w:r>
      <w:r w:rsidRPr="001E5D32">
        <w:rPr>
          <w:rFonts w:ascii="Book Antiqua" w:hAnsi="Book Antiqua" w:cs="宋体"/>
          <w:i/>
          <w:iCs/>
          <w:kern w:val="0"/>
          <w:sz w:val="24"/>
        </w:rPr>
        <w:t>Pediatrics</w:t>
      </w:r>
      <w:r w:rsidRPr="001E5D32">
        <w:rPr>
          <w:rFonts w:ascii="Book Antiqua" w:hAnsi="Book Antiqua" w:cs="宋体"/>
          <w:kern w:val="0"/>
          <w:sz w:val="24"/>
        </w:rPr>
        <w:t xml:space="preserve"> 2005; </w:t>
      </w:r>
      <w:r w:rsidRPr="001E5D32">
        <w:rPr>
          <w:rFonts w:ascii="Book Antiqua" w:hAnsi="Book Antiqua" w:cs="宋体"/>
          <w:b/>
          <w:bCs/>
          <w:kern w:val="0"/>
          <w:sz w:val="24"/>
        </w:rPr>
        <w:t>115</w:t>
      </w:r>
      <w:r w:rsidRPr="001E5D32">
        <w:rPr>
          <w:rFonts w:ascii="Book Antiqua" w:hAnsi="Book Antiqua" w:cs="宋体"/>
          <w:kern w:val="0"/>
          <w:sz w:val="24"/>
        </w:rPr>
        <w:t>: e561-e565 [PMID: 15867021 DOI: 10.1542/peds.2004-1832]</w:t>
      </w:r>
    </w:p>
    <w:p w14:paraId="2FA4364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58 </w:t>
      </w:r>
      <w:r w:rsidRPr="001E5D32">
        <w:rPr>
          <w:rFonts w:ascii="Book Antiqua" w:hAnsi="Book Antiqua" w:cs="宋体"/>
          <w:b/>
          <w:bCs/>
          <w:kern w:val="0"/>
          <w:sz w:val="24"/>
        </w:rPr>
        <w:t>Pan JJ</w:t>
      </w:r>
      <w:r w:rsidRPr="001E5D32">
        <w:rPr>
          <w:rFonts w:ascii="Book Antiqua" w:hAnsi="Book Antiqua" w:cs="宋体"/>
          <w:kern w:val="0"/>
          <w:sz w:val="24"/>
        </w:rPr>
        <w:t xml:space="preserve">, Fallon MB. Gender and racial differences in nonalcoholic fatty liver disease. </w:t>
      </w:r>
      <w:r w:rsidRPr="001E5D32">
        <w:rPr>
          <w:rFonts w:ascii="Book Antiqua" w:hAnsi="Book Antiqua" w:cs="宋体"/>
          <w:i/>
          <w:iCs/>
          <w:kern w:val="0"/>
          <w:sz w:val="24"/>
        </w:rPr>
        <w:t>World J Hepatol</w:t>
      </w:r>
      <w:r w:rsidRPr="001E5D32">
        <w:rPr>
          <w:rFonts w:ascii="Book Antiqua" w:hAnsi="Book Antiqua" w:cs="宋体"/>
          <w:kern w:val="0"/>
          <w:sz w:val="24"/>
        </w:rPr>
        <w:t xml:space="preserve"> 2014; </w:t>
      </w:r>
      <w:r w:rsidRPr="001E5D32">
        <w:rPr>
          <w:rFonts w:ascii="Book Antiqua" w:hAnsi="Book Antiqua" w:cs="宋体"/>
          <w:b/>
          <w:bCs/>
          <w:kern w:val="0"/>
          <w:sz w:val="24"/>
        </w:rPr>
        <w:t>6</w:t>
      </w:r>
      <w:r w:rsidRPr="001E5D32">
        <w:rPr>
          <w:rFonts w:ascii="Book Antiqua" w:hAnsi="Book Antiqua" w:cs="宋体"/>
          <w:kern w:val="0"/>
          <w:sz w:val="24"/>
        </w:rPr>
        <w:t>: 274-283 [PMID: 24868321 DOI: 10.4254/wjh.v6.i5.274]</w:t>
      </w:r>
    </w:p>
    <w:p w14:paraId="49C21712"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59 </w:t>
      </w:r>
      <w:r w:rsidRPr="001E5D32">
        <w:rPr>
          <w:rFonts w:ascii="Book Antiqua" w:hAnsi="Book Antiqua" w:cs="宋体"/>
          <w:b/>
          <w:bCs/>
          <w:kern w:val="0"/>
          <w:sz w:val="24"/>
        </w:rPr>
        <w:t>Hashimoto E</w:t>
      </w:r>
      <w:r w:rsidRPr="001E5D32">
        <w:rPr>
          <w:rFonts w:ascii="Book Antiqua" w:hAnsi="Book Antiqua" w:cs="宋体"/>
          <w:kern w:val="0"/>
          <w:sz w:val="24"/>
        </w:rPr>
        <w:t xml:space="preserve">, Tokushige K. Prevalence, gender, ethnic variations, and prognosis of NASH. </w:t>
      </w:r>
      <w:r w:rsidRPr="001E5D32">
        <w:rPr>
          <w:rFonts w:ascii="Book Antiqua" w:hAnsi="Book Antiqua" w:cs="宋体"/>
          <w:i/>
          <w:iCs/>
          <w:kern w:val="0"/>
          <w:sz w:val="24"/>
        </w:rPr>
        <w:t>J Gastroenterol</w:t>
      </w:r>
      <w:r w:rsidRPr="001E5D32">
        <w:rPr>
          <w:rFonts w:ascii="Book Antiqua" w:hAnsi="Book Antiqua" w:cs="宋体"/>
          <w:kern w:val="0"/>
          <w:sz w:val="24"/>
        </w:rPr>
        <w:t xml:space="preserve"> 2011; </w:t>
      </w:r>
      <w:r w:rsidRPr="001E5D32">
        <w:rPr>
          <w:rFonts w:ascii="Book Antiqua" w:hAnsi="Book Antiqua" w:cs="宋体"/>
          <w:b/>
          <w:bCs/>
          <w:kern w:val="0"/>
          <w:sz w:val="24"/>
        </w:rPr>
        <w:t xml:space="preserve">46 </w:t>
      </w:r>
      <w:r w:rsidRPr="001E5D32">
        <w:rPr>
          <w:rFonts w:ascii="Book Antiqua" w:hAnsi="Book Antiqua" w:cs="宋体"/>
          <w:bCs/>
          <w:kern w:val="0"/>
          <w:sz w:val="24"/>
        </w:rPr>
        <w:t>Suppl 1</w:t>
      </w:r>
      <w:r w:rsidRPr="001E5D32">
        <w:rPr>
          <w:rFonts w:ascii="Book Antiqua" w:hAnsi="Book Antiqua" w:cs="宋体"/>
          <w:kern w:val="0"/>
          <w:sz w:val="24"/>
        </w:rPr>
        <w:t>: 63-69 [PMID: 20844903 DOI: 10.1007/s00535-010-0311-8]</w:t>
      </w:r>
    </w:p>
    <w:p w14:paraId="35FBD94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60 </w:t>
      </w:r>
      <w:r w:rsidRPr="001E5D32">
        <w:rPr>
          <w:rFonts w:ascii="Book Antiqua" w:hAnsi="Book Antiqua" w:cs="宋体"/>
          <w:b/>
          <w:bCs/>
          <w:kern w:val="0"/>
          <w:sz w:val="24"/>
        </w:rPr>
        <w:t>Marchesini G</w:t>
      </w:r>
      <w:r w:rsidRPr="001E5D32">
        <w:rPr>
          <w:rFonts w:ascii="Book Antiqua" w:hAnsi="Book Antiqua" w:cs="宋体"/>
          <w:kern w:val="0"/>
          <w:sz w:val="24"/>
        </w:rPr>
        <w:t xml:space="preserve">, Bugianesi E, Forlani G, Cerrelli F, Lenzi M, Manini R, Natale S, Vanni E, Villanova N, Melchionda N, Rizzetto M. Nonalcoholic fatty liver, steatohepatitis, and the metabolic syndrome. </w:t>
      </w:r>
      <w:r w:rsidRPr="001E5D32">
        <w:rPr>
          <w:rFonts w:ascii="Book Antiqua" w:hAnsi="Book Antiqua" w:cs="宋体"/>
          <w:i/>
          <w:iCs/>
          <w:kern w:val="0"/>
          <w:sz w:val="24"/>
        </w:rPr>
        <w:t>Hepatology</w:t>
      </w:r>
      <w:r w:rsidRPr="001E5D32">
        <w:rPr>
          <w:rFonts w:ascii="Book Antiqua" w:hAnsi="Book Antiqua" w:cs="宋体"/>
          <w:kern w:val="0"/>
          <w:sz w:val="24"/>
        </w:rPr>
        <w:t xml:space="preserve"> 2003; </w:t>
      </w:r>
      <w:r w:rsidRPr="001E5D32">
        <w:rPr>
          <w:rFonts w:ascii="Book Antiqua" w:hAnsi="Book Antiqua" w:cs="宋体"/>
          <w:b/>
          <w:bCs/>
          <w:kern w:val="0"/>
          <w:sz w:val="24"/>
        </w:rPr>
        <w:t>37</w:t>
      </w:r>
      <w:r w:rsidRPr="001E5D32">
        <w:rPr>
          <w:rFonts w:ascii="Book Antiqua" w:hAnsi="Book Antiqua" w:cs="宋体"/>
          <w:kern w:val="0"/>
          <w:sz w:val="24"/>
        </w:rPr>
        <w:t>: 917-923 [PMID: 12668987 DOI: 10.1053/jhep.2003.50161]</w:t>
      </w:r>
    </w:p>
    <w:p w14:paraId="19CA6E54"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61 </w:t>
      </w:r>
      <w:r w:rsidRPr="001E5D32">
        <w:rPr>
          <w:rFonts w:ascii="Book Antiqua" w:hAnsi="Book Antiqua" w:cs="宋体"/>
          <w:b/>
          <w:bCs/>
          <w:kern w:val="0"/>
          <w:sz w:val="24"/>
        </w:rPr>
        <w:t>Bhatia LS</w:t>
      </w:r>
      <w:r w:rsidRPr="001E5D32">
        <w:rPr>
          <w:rFonts w:ascii="Book Antiqua" w:hAnsi="Book Antiqua" w:cs="宋体"/>
          <w:kern w:val="0"/>
          <w:sz w:val="24"/>
        </w:rPr>
        <w:t xml:space="preserve">, Curzen NP, Calder PC, Byrne CD. Non-alcoholic fatty liver disease: a new and important cardiovascular risk factor? </w:t>
      </w:r>
      <w:r w:rsidRPr="001E5D32">
        <w:rPr>
          <w:rFonts w:ascii="Book Antiqua" w:hAnsi="Book Antiqua" w:cs="宋体"/>
          <w:i/>
          <w:iCs/>
          <w:kern w:val="0"/>
          <w:sz w:val="24"/>
        </w:rPr>
        <w:t>Eur Heart J</w:t>
      </w:r>
      <w:r w:rsidRPr="001E5D32">
        <w:rPr>
          <w:rFonts w:ascii="Book Antiqua" w:hAnsi="Book Antiqua" w:cs="宋体"/>
          <w:kern w:val="0"/>
          <w:sz w:val="24"/>
        </w:rPr>
        <w:t xml:space="preserve"> 2012; </w:t>
      </w:r>
      <w:r w:rsidRPr="001E5D32">
        <w:rPr>
          <w:rFonts w:ascii="Book Antiqua" w:hAnsi="Book Antiqua" w:cs="宋体"/>
          <w:b/>
          <w:bCs/>
          <w:kern w:val="0"/>
          <w:sz w:val="24"/>
        </w:rPr>
        <w:t>33</w:t>
      </w:r>
      <w:r w:rsidRPr="001E5D32">
        <w:rPr>
          <w:rFonts w:ascii="Book Antiqua" w:hAnsi="Book Antiqua" w:cs="宋体"/>
          <w:kern w:val="0"/>
          <w:sz w:val="24"/>
        </w:rPr>
        <w:t>: 1190-1200 [PMID: 22408036 DOI: 10.1093/eurheartj/ehr453]</w:t>
      </w:r>
    </w:p>
    <w:p w14:paraId="05F74C95"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62 </w:t>
      </w:r>
      <w:r w:rsidRPr="001E5D32">
        <w:rPr>
          <w:rFonts w:ascii="Book Antiqua" w:hAnsi="Book Antiqua" w:cs="宋体"/>
          <w:b/>
          <w:bCs/>
          <w:kern w:val="0"/>
          <w:sz w:val="24"/>
        </w:rPr>
        <w:t>Verma S</w:t>
      </w:r>
      <w:r w:rsidRPr="001E5D32">
        <w:rPr>
          <w:rFonts w:ascii="Book Antiqua" w:hAnsi="Book Antiqua" w:cs="宋体"/>
          <w:kern w:val="0"/>
          <w:sz w:val="24"/>
        </w:rPr>
        <w:t xml:space="preserve">, Jensen D, Hart J, Mohanty SR. Predictive value of ALT levels for non-alcoholic steatohepatitis (NASH) and advanced fibrosis in non-alcoholic fatty liver disease (NAFLD). </w:t>
      </w:r>
      <w:r w:rsidRPr="001E5D32">
        <w:rPr>
          <w:rFonts w:ascii="Book Antiqua" w:hAnsi="Book Antiqua" w:cs="宋体"/>
          <w:i/>
          <w:iCs/>
          <w:kern w:val="0"/>
          <w:sz w:val="24"/>
        </w:rPr>
        <w:t>Liver Int</w:t>
      </w:r>
      <w:r w:rsidRPr="001E5D32">
        <w:rPr>
          <w:rFonts w:ascii="Book Antiqua" w:hAnsi="Book Antiqua" w:cs="宋体"/>
          <w:kern w:val="0"/>
          <w:sz w:val="24"/>
        </w:rPr>
        <w:t xml:space="preserve"> 2013; </w:t>
      </w:r>
      <w:r w:rsidRPr="001E5D32">
        <w:rPr>
          <w:rFonts w:ascii="Book Antiqua" w:hAnsi="Book Antiqua" w:cs="宋体"/>
          <w:b/>
          <w:bCs/>
          <w:kern w:val="0"/>
          <w:sz w:val="24"/>
        </w:rPr>
        <w:t>33</w:t>
      </w:r>
      <w:r w:rsidRPr="001E5D32">
        <w:rPr>
          <w:rFonts w:ascii="Book Antiqua" w:hAnsi="Book Antiqua" w:cs="宋体"/>
          <w:kern w:val="0"/>
          <w:sz w:val="24"/>
        </w:rPr>
        <w:t>: 1398-1405 [PMID: 23763360 DOI: 10.1111/liv.12226]</w:t>
      </w:r>
    </w:p>
    <w:p w14:paraId="7B41AF37"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63 </w:t>
      </w:r>
      <w:r w:rsidRPr="001E5D32">
        <w:rPr>
          <w:rFonts w:ascii="Book Antiqua" w:hAnsi="Book Antiqua" w:cs="宋体"/>
          <w:b/>
          <w:bCs/>
          <w:kern w:val="0"/>
          <w:sz w:val="24"/>
        </w:rPr>
        <w:t>Alam S</w:t>
      </w:r>
      <w:r w:rsidRPr="001E5D32">
        <w:rPr>
          <w:rFonts w:ascii="Book Antiqua" w:hAnsi="Book Antiqua" w:cs="宋体"/>
          <w:kern w:val="0"/>
          <w:sz w:val="24"/>
        </w:rPr>
        <w:t xml:space="preserve">, Noor-E-Alam SM, Chowdhury ZR, Alam M, Kabir J. Nonalcoholic steatohepatitis in nonalcoholic fatty liver disease patients of Bangladesh. </w:t>
      </w:r>
      <w:r w:rsidRPr="001E5D32">
        <w:rPr>
          <w:rFonts w:ascii="Book Antiqua" w:hAnsi="Book Antiqua" w:cs="宋体"/>
          <w:i/>
          <w:iCs/>
          <w:kern w:val="0"/>
          <w:sz w:val="24"/>
        </w:rPr>
        <w:t>World J Hepatol</w:t>
      </w:r>
      <w:r w:rsidRPr="001E5D32">
        <w:rPr>
          <w:rFonts w:ascii="Book Antiqua" w:hAnsi="Book Antiqua" w:cs="宋体"/>
          <w:kern w:val="0"/>
          <w:sz w:val="24"/>
        </w:rPr>
        <w:t xml:space="preserve"> 2013; </w:t>
      </w:r>
      <w:r w:rsidRPr="001E5D32">
        <w:rPr>
          <w:rFonts w:ascii="Book Antiqua" w:hAnsi="Book Antiqua" w:cs="宋体"/>
          <w:b/>
          <w:bCs/>
          <w:kern w:val="0"/>
          <w:sz w:val="24"/>
        </w:rPr>
        <w:t>5</w:t>
      </w:r>
      <w:r w:rsidRPr="001E5D32">
        <w:rPr>
          <w:rFonts w:ascii="Book Antiqua" w:hAnsi="Book Antiqua" w:cs="宋体"/>
          <w:kern w:val="0"/>
          <w:sz w:val="24"/>
        </w:rPr>
        <w:t>: 281-287 [PMID: 23717739 DOI: 10.4254/wjh.v5.i5.281]</w:t>
      </w:r>
    </w:p>
    <w:p w14:paraId="21EBCEF0"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64 </w:t>
      </w:r>
      <w:r w:rsidRPr="001E5D32">
        <w:rPr>
          <w:rFonts w:ascii="Book Antiqua" w:hAnsi="Book Antiqua" w:cs="宋体"/>
          <w:b/>
          <w:bCs/>
          <w:kern w:val="0"/>
          <w:sz w:val="24"/>
        </w:rPr>
        <w:t>Lee DS</w:t>
      </w:r>
      <w:r w:rsidRPr="001E5D32">
        <w:rPr>
          <w:rFonts w:ascii="Book Antiqua" w:hAnsi="Book Antiqua" w:cs="宋体"/>
          <w:kern w:val="0"/>
          <w:sz w:val="24"/>
        </w:rPr>
        <w:t xml:space="preserve">, Evans JC, Robins SJ, Wilson PW, Albano I, Fox CS, Wang TJ, Benjamin EJ, D'Agostino RB, Vasan RS. Gamma glutamyl transferase and metabolic syndrome, cardiovascular disease, and mortality risk: the Framingham Heart Study. </w:t>
      </w:r>
      <w:r w:rsidRPr="001E5D32">
        <w:rPr>
          <w:rFonts w:ascii="Book Antiqua" w:hAnsi="Book Antiqua" w:cs="宋体"/>
          <w:i/>
          <w:iCs/>
          <w:kern w:val="0"/>
          <w:sz w:val="24"/>
        </w:rPr>
        <w:t>Arterioscler Thromb Vasc Biol</w:t>
      </w:r>
      <w:r w:rsidRPr="001E5D32">
        <w:rPr>
          <w:rFonts w:ascii="Book Antiqua" w:hAnsi="Book Antiqua" w:cs="宋体"/>
          <w:kern w:val="0"/>
          <w:sz w:val="24"/>
        </w:rPr>
        <w:t xml:space="preserve"> 2007; </w:t>
      </w:r>
      <w:r w:rsidRPr="001E5D32">
        <w:rPr>
          <w:rFonts w:ascii="Book Antiqua" w:hAnsi="Book Antiqua" w:cs="宋体"/>
          <w:b/>
          <w:bCs/>
          <w:kern w:val="0"/>
          <w:sz w:val="24"/>
        </w:rPr>
        <w:t>27</w:t>
      </w:r>
      <w:r w:rsidRPr="001E5D32">
        <w:rPr>
          <w:rFonts w:ascii="Book Antiqua" w:hAnsi="Book Antiqua" w:cs="宋体"/>
          <w:kern w:val="0"/>
          <w:sz w:val="24"/>
        </w:rPr>
        <w:t>: 127-133 [PMID: 17095717 DOI: 10.1161/01.ATV.0000251993.20372.40]</w:t>
      </w:r>
    </w:p>
    <w:p w14:paraId="6E6E8DB3"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65 </w:t>
      </w:r>
      <w:r w:rsidRPr="001E5D32">
        <w:rPr>
          <w:rFonts w:ascii="Book Antiqua" w:hAnsi="Book Antiqua" w:cs="宋体"/>
          <w:b/>
          <w:bCs/>
          <w:kern w:val="0"/>
          <w:sz w:val="24"/>
        </w:rPr>
        <w:t>Tanné F</w:t>
      </w:r>
      <w:r w:rsidRPr="001E5D32">
        <w:rPr>
          <w:rFonts w:ascii="Book Antiqua" w:hAnsi="Book Antiqua" w:cs="宋体"/>
          <w:kern w:val="0"/>
          <w:sz w:val="24"/>
        </w:rPr>
        <w:t xml:space="preserve">, Gagnadoux F, Chazouillères O, Fleury B, Wendum D, Lasnier E, Lebeau B, Poupon R, Serfaty L. Chronic liver injury during obstructive sleep apnea. </w:t>
      </w:r>
      <w:r w:rsidRPr="001E5D32">
        <w:rPr>
          <w:rFonts w:ascii="Book Antiqua" w:hAnsi="Book Antiqua" w:cs="宋体"/>
          <w:i/>
          <w:iCs/>
          <w:kern w:val="0"/>
          <w:sz w:val="24"/>
        </w:rPr>
        <w:t>Hepatology</w:t>
      </w:r>
      <w:r w:rsidRPr="001E5D32">
        <w:rPr>
          <w:rFonts w:ascii="Book Antiqua" w:hAnsi="Book Antiqua" w:cs="宋体"/>
          <w:kern w:val="0"/>
          <w:sz w:val="24"/>
        </w:rPr>
        <w:t xml:space="preserve"> 2005; </w:t>
      </w:r>
      <w:r w:rsidRPr="001E5D32">
        <w:rPr>
          <w:rFonts w:ascii="Book Antiqua" w:hAnsi="Book Antiqua" w:cs="宋体"/>
          <w:b/>
          <w:bCs/>
          <w:kern w:val="0"/>
          <w:sz w:val="24"/>
        </w:rPr>
        <w:t>41</w:t>
      </w:r>
      <w:r w:rsidRPr="001E5D32">
        <w:rPr>
          <w:rFonts w:ascii="Book Antiqua" w:hAnsi="Book Antiqua" w:cs="宋体"/>
          <w:kern w:val="0"/>
          <w:sz w:val="24"/>
        </w:rPr>
        <w:t>: 1290-1296 [PMID: 15915459 DOI: 10.1002/hep.20725]</w:t>
      </w:r>
    </w:p>
    <w:p w14:paraId="223EF4EE"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66 </w:t>
      </w:r>
      <w:r w:rsidRPr="001E5D32">
        <w:rPr>
          <w:rFonts w:ascii="Book Antiqua" w:hAnsi="Book Antiqua" w:cs="宋体"/>
          <w:b/>
          <w:bCs/>
          <w:kern w:val="0"/>
          <w:sz w:val="24"/>
        </w:rPr>
        <w:t>Weingarten TN</w:t>
      </w:r>
      <w:r w:rsidRPr="001E5D32">
        <w:rPr>
          <w:rFonts w:ascii="Book Antiqua" w:hAnsi="Book Antiqua" w:cs="宋体"/>
          <w:kern w:val="0"/>
          <w:sz w:val="24"/>
        </w:rPr>
        <w:t xml:space="preserve">, Mantilla CB, Swain JM, Kendrick ML, Oberhansley JM, Burcham RJ, Ribeiro TC, Watt KD, Schroeder DR, Narr BJ, Sprung J. Nonalcoholic steatohepatitis in bariatric patients with a diagnosis of obstructive sleep apnea. </w:t>
      </w:r>
      <w:r w:rsidRPr="001E5D32">
        <w:rPr>
          <w:rFonts w:ascii="Book Antiqua" w:hAnsi="Book Antiqua" w:cs="宋体"/>
          <w:i/>
          <w:iCs/>
          <w:kern w:val="0"/>
          <w:sz w:val="24"/>
        </w:rPr>
        <w:t>Obes Facts</w:t>
      </w:r>
      <w:r w:rsidRPr="001E5D32">
        <w:rPr>
          <w:rFonts w:ascii="Book Antiqua" w:hAnsi="Book Antiqua" w:cs="宋体"/>
          <w:kern w:val="0"/>
          <w:sz w:val="24"/>
        </w:rPr>
        <w:t xml:space="preserve"> 2012; </w:t>
      </w:r>
      <w:r w:rsidRPr="001E5D32">
        <w:rPr>
          <w:rFonts w:ascii="Book Antiqua" w:hAnsi="Book Antiqua" w:cs="宋体"/>
          <w:b/>
          <w:bCs/>
          <w:kern w:val="0"/>
          <w:sz w:val="24"/>
        </w:rPr>
        <w:t>5</w:t>
      </w:r>
      <w:r w:rsidRPr="001E5D32">
        <w:rPr>
          <w:rFonts w:ascii="Book Antiqua" w:hAnsi="Book Antiqua" w:cs="宋体"/>
          <w:kern w:val="0"/>
          <w:sz w:val="24"/>
        </w:rPr>
        <w:t>: 587-596 [PMID: 22986647 DOI: 10.1159/000342677]</w:t>
      </w:r>
    </w:p>
    <w:p w14:paraId="64470D53"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67 </w:t>
      </w:r>
      <w:r w:rsidRPr="001E5D32">
        <w:rPr>
          <w:rFonts w:ascii="Book Antiqua" w:hAnsi="Book Antiqua" w:cs="宋体"/>
          <w:b/>
          <w:bCs/>
          <w:kern w:val="0"/>
          <w:sz w:val="24"/>
        </w:rPr>
        <w:t>Tahiri M</w:t>
      </w:r>
      <w:r w:rsidRPr="001E5D32">
        <w:rPr>
          <w:rFonts w:ascii="Book Antiqua" w:hAnsi="Book Antiqua" w:cs="宋体"/>
          <w:kern w:val="0"/>
          <w:sz w:val="24"/>
        </w:rPr>
        <w:t xml:space="preserve">, Drighil A, Jalal Y, Ghellab D, Hliwa W, Fouad H, Badre W, Bellabah A, Habbal R, Alaoui R. Chronic permanent hypoxemia predisposes to mild elevation of liver stiffness. </w:t>
      </w:r>
      <w:r w:rsidRPr="001E5D32">
        <w:rPr>
          <w:rFonts w:ascii="Book Antiqua" w:hAnsi="Book Antiqua" w:cs="宋体"/>
          <w:i/>
          <w:iCs/>
          <w:kern w:val="0"/>
          <w:sz w:val="24"/>
        </w:rPr>
        <w:t>World J Gastroenterol</w:t>
      </w:r>
      <w:r w:rsidRPr="001E5D32">
        <w:rPr>
          <w:rFonts w:ascii="Book Antiqua" w:hAnsi="Book Antiqua" w:cs="宋体"/>
          <w:kern w:val="0"/>
          <w:sz w:val="24"/>
        </w:rPr>
        <w:t xml:space="preserve"> 2014; </w:t>
      </w:r>
      <w:r w:rsidRPr="001E5D32">
        <w:rPr>
          <w:rFonts w:ascii="Book Antiqua" w:hAnsi="Book Antiqua" w:cs="宋体"/>
          <w:b/>
          <w:bCs/>
          <w:kern w:val="0"/>
          <w:sz w:val="24"/>
        </w:rPr>
        <w:t>20</w:t>
      </w:r>
      <w:r w:rsidRPr="001E5D32">
        <w:rPr>
          <w:rFonts w:ascii="Book Antiqua" w:hAnsi="Book Antiqua" w:cs="宋体"/>
          <w:kern w:val="0"/>
          <w:sz w:val="24"/>
        </w:rPr>
        <w:t>: 10564-10569 [PMID: 25132776 DOI: 10.3748/wjg.v20.i30.10564]</w:t>
      </w:r>
    </w:p>
    <w:p w14:paraId="14D71234"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68 </w:t>
      </w:r>
      <w:r w:rsidRPr="001E5D32">
        <w:rPr>
          <w:rFonts w:ascii="Book Antiqua" w:hAnsi="Book Antiqua" w:cs="宋体"/>
          <w:b/>
          <w:bCs/>
          <w:kern w:val="0"/>
          <w:sz w:val="24"/>
        </w:rPr>
        <w:t>Mirrakhimov AE</w:t>
      </w:r>
      <w:r w:rsidRPr="001E5D32">
        <w:rPr>
          <w:rFonts w:ascii="Book Antiqua" w:hAnsi="Book Antiqua" w:cs="宋体"/>
          <w:kern w:val="0"/>
          <w:sz w:val="24"/>
        </w:rPr>
        <w:t xml:space="preserve">, Polotsky VY. Obstructive sleep apnea and non-alcoholic Fatty liver disease: is the liver another target? </w:t>
      </w:r>
      <w:r w:rsidRPr="001E5D32">
        <w:rPr>
          <w:rFonts w:ascii="Book Antiqua" w:hAnsi="Book Antiqua" w:cs="宋体"/>
          <w:i/>
          <w:iCs/>
          <w:kern w:val="0"/>
          <w:sz w:val="24"/>
        </w:rPr>
        <w:t>Front Neurol</w:t>
      </w:r>
      <w:r w:rsidRPr="001E5D32">
        <w:rPr>
          <w:rFonts w:ascii="Book Antiqua" w:hAnsi="Book Antiqua" w:cs="宋体"/>
          <w:kern w:val="0"/>
          <w:sz w:val="24"/>
        </w:rPr>
        <w:t xml:space="preserve"> 2012; </w:t>
      </w:r>
      <w:r w:rsidRPr="001E5D32">
        <w:rPr>
          <w:rFonts w:ascii="Book Antiqua" w:hAnsi="Book Antiqua" w:cs="宋体"/>
          <w:b/>
          <w:bCs/>
          <w:kern w:val="0"/>
          <w:sz w:val="24"/>
        </w:rPr>
        <w:t>3</w:t>
      </w:r>
      <w:r w:rsidRPr="001E5D32">
        <w:rPr>
          <w:rFonts w:ascii="Book Antiqua" w:hAnsi="Book Antiqua" w:cs="宋体"/>
          <w:kern w:val="0"/>
          <w:sz w:val="24"/>
        </w:rPr>
        <w:t>: 149 [PMID: 23087670 DOI: 10.3389/fneur.2012.00149]</w:t>
      </w:r>
    </w:p>
    <w:p w14:paraId="19E221B2"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69 </w:t>
      </w:r>
      <w:r w:rsidRPr="001E5D32">
        <w:rPr>
          <w:rFonts w:ascii="Book Antiqua" w:hAnsi="Book Antiqua" w:cs="宋体"/>
          <w:b/>
          <w:bCs/>
          <w:kern w:val="0"/>
          <w:sz w:val="24"/>
        </w:rPr>
        <w:t>Hirsso PK</w:t>
      </w:r>
      <w:r w:rsidRPr="001E5D32">
        <w:rPr>
          <w:rFonts w:ascii="Book Antiqua" w:hAnsi="Book Antiqua" w:cs="宋体"/>
          <w:kern w:val="0"/>
          <w:sz w:val="24"/>
        </w:rPr>
        <w:t xml:space="preserve">, Timonen MJ, Jokelainen JJ, Hiltunen LA, Laakso MA, Hedberg PS, Ruokonen AO, Koskela P, Härkönen PK, Keinänen-Kiukaanniemi SM, Rajala UM. Association between high-sensitive measurement of C-reactive protein and metabolic syndrome as defined by International Diabetes Federation, National Cholesterol Education Program, and World Health Organization criteria in a population-based cohort of 55-year-old Finnish individuals. </w:t>
      </w:r>
      <w:r w:rsidRPr="001E5D32">
        <w:rPr>
          <w:rFonts w:ascii="Book Antiqua" w:hAnsi="Book Antiqua" w:cs="宋体"/>
          <w:i/>
          <w:iCs/>
          <w:kern w:val="0"/>
          <w:sz w:val="24"/>
        </w:rPr>
        <w:t>Diabetes Care</w:t>
      </w:r>
      <w:r w:rsidRPr="001E5D32">
        <w:rPr>
          <w:rFonts w:ascii="Book Antiqua" w:hAnsi="Book Antiqua" w:cs="宋体"/>
          <w:kern w:val="0"/>
          <w:sz w:val="24"/>
        </w:rPr>
        <w:t xml:space="preserve"> 2006; </w:t>
      </w:r>
      <w:r w:rsidRPr="001E5D32">
        <w:rPr>
          <w:rFonts w:ascii="Book Antiqua" w:hAnsi="Book Antiqua" w:cs="宋体"/>
          <w:b/>
          <w:bCs/>
          <w:kern w:val="0"/>
          <w:sz w:val="24"/>
        </w:rPr>
        <w:t>29</w:t>
      </w:r>
      <w:r w:rsidRPr="001E5D32">
        <w:rPr>
          <w:rFonts w:ascii="Book Antiqua" w:hAnsi="Book Antiqua" w:cs="宋体"/>
          <w:kern w:val="0"/>
          <w:sz w:val="24"/>
        </w:rPr>
        <w:t>: 2177-2178 [PMID: 16936176 DOI: 10.2337/dc06-0951]</w:t>
      </w:r>
    </w:p>
    <w:p w14:paraId="1333641C"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70 </w:t>
      </w:r>
      <w:r w:rsidRPr="001E5D32">
        <w:rPr>
          <w:rFonts w:ascii="Book Antiqua" w:hAnsi="Book Antiqua" w:cs="宋体"/>
          <w:b/>
          <w:bCs/>
          <w:kern w:val="0"/>
          <w:sz w:val="24"/>
        </w:rPr>
        <w:t>Pfützner A</w:t>
      </w:r>
      <w:r w:rsidRPr="001E5D32">
        <w:rPr>
          <w:rFonts w:ascii="Book Antiqua" w:hAnsi="Book Antiqua" w:cs="宋体"/>
          <w:kern w:val="0"/>
          <w:sz w:val="24"/>
        </w:rPr>
        <w:t xml:space="preserve">, Forst T. High-sensitivity C-reactive protein as cardiovascular risk marker in patients with diabetes mellitus. </w:t>
      </w:r>
      <w:r w:rsidRPr="001E5D32">
        <w:rPr>
          <w:rFonts w:ascii="Book Antiqua" w:hAnsi="Book Antiqua" w:cs="宋体"/>
          <w:i/>
          <w:iCs/>
          <w:kern w:val="0"/>
          <w:sz w:val="24"/>
        </w:rPr>
        <w:t>Diabetes Technol Ther</w:t>
      </w:r>
      <w:r w:rsidRPr="001E5D32">
        <w:rPr>
          <w:rFonts w:ascii="Book Antiqua" w:hAnsi="Book Antiqua" w:cs="宋体"/>
          <w:kern w:val="0"/>
          <w:sz w:val="24"/>
        </w:rPr>
        <w:t xml:space="preserve"> 2006; </w:t>
      </w:r>
      <w:r w:rsidRPr="001E5D32">
        <w:rPr>
          <w:rFonts w:ascii="Book Antiqua" w:hAnsi="Book Antiqua" w:cs="宋体"/>
          <w:b/>
          <w:bCs/>
          <w:kern w:val="0"/>
          <w:sz w:val="24"/>
        </w:rPr>
        <w:t>8</w:t>
      </w:r>
      <w:r w:rsidRPr="001E5D32">
        <w:rPr>
          <w:rFonts w:ascii="Book Antiqua" w:hAnsi="Book Antiqua" w:cs="宋体"/>
          <w:kern w:val="0"/>
          <w:sz w:val="24"/>
        </w:rPr>
        <w:t>: 28-36 [PMID: 16472048 DOI: 10.1089/dia.2006.8.28]</w:t>
      </w:r>
    </w:p>
    <w:p w14:paraId="359453B9"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71 </w:t>
      </w:r>
      <w:r w:rsidRPr="001E5D32">
        <w:rPr>
          <w:rFonts w:ascii="Book Antiqua" w:hAnsi="Book Antiqua" w:cs="宋体"/>
          <w:b/>
          <w:bCs/>
          <w:kern w:val="0"/>
          <w:sz w:val="24"/>
        </w:rPr>
        <w:t>Ridker PM</w:t>
      </w:r>
      <w:r w:rsidRPr="001E5D32">
        <w:rPr>
          <w:rFonts w:ascii="Book Antiqua" w:hAnsi="Book Antiqua" w:cs="宋体"/>
          <w:kern w:val="0"/>
          <w:sz w:val="24"/>
        </w:rPr>
        <w:t xml:space="preserve">. C-reactive protein and the prediction of cardiovascular events among those at intermediate risk: moving an inflammatory hypothesis toward consensus. </w:t>
      </w:r>
      <w:r w:rsidRPr="001E5D32">
        <w:rPr>
          <w:rFonts w:ascii="Book Antiqua" w:hAnsi="Book Antiqua" w:cs="宋体"/>
          <w:i/>
          <w:iCs/>
          <w:kern w:val="0"/>
          <w:sz w:val="24"/>
        </w:rPr>
        <w:t>J Am Coll Cardiol</w:t>
      </w:r>
      <w:r w:rsidRPr="001E5D32">
        <w:rPr>
          <w:rFonts w:ascii="Book Antiqua" w:hAnsi="Book Antiqua" w:cs="宋体"/>
          <w:kern w:val="0"/>
          <w:sz w:val="24"/>
        </w:rPr>
        <w:t xml:space="preserve"> 2007; </w:t>
      </w:r>
      <w:r w:rsidRPr="001E5D32">
        <w:rPr>
          <w:rFonts w:ascii="Book Antiqua" w:hAnsi="Book Antiqua" w:cs="宋体"/>
          <w:b/>
          <w:bCs/>
          <w:kern w:val="0"/>
          <w:sz w:val="24"/>
        </w:rPr>
        <w:t>49</w:t>
      </w:r>
      <w:r w:rsidRPr="001E5D32">
        <w:rPr>
          <w:rFonts w:ascii="Book Antiqua" w:hAnsi="Book Antiqua" w:cs="宋体"/>
          <w:kern w:val="0"/>
          <w:sz w:val="24"/>
        </w:rPr>
        <w:t>: 2129-2138 [PMID: 17531663 DOI: 10.1016/j.jacc.2007.02.052]</w:t>
      </w:r>
    </w:p>
    <w:p w14:paraId="165CB9F9"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72 </w:t>
      </w:r>
      <w:r w:rsidRPr="001E5D32">
        <w:rPr>
          <w:rFonts w:ascii="Book Antiqua" w:hAnsi="Book Antiqua" w:cs="宋体"/>
          <w:b/>
          <w:bCs/>
          <w:kern w:val="0"/>
          <w:sz w:val="24"/>
        </w:rPr>
        <w:t>Targher G</w:t>
      </w:r>
      <w:r w:rsidRPr="001E5D32">
        <w:rPr>
          <w:rFonts w:ascii="Book Antiqua" w:hAnsi="Book Antiqua" w:cs="宋体"/>
          <w:kern w:val="0"/>
          <w:sz w:val="24"/>
        </w:rPr>
        <w:t xml:space="preserve">. High-sensitivity C-reactive protein, obesity, and subclinical atherosclerosis: implications of JUPITER from the MESA study. </w:t>
      </w:r>
      <w:r w:rsidRPr="001E5D32">
        <w:rPr>
          <w:rFonts w:ascii="Book Antiqua" w:hAnsi="Book Antiqua" w:cs="宋体"/>
          <w:i/>
          <w:iCs/>
          <w:kern w:val="0"/>
          <w:sz w:val="24"/>
        </w:rPr>
        <w:t>Arterioscler Thromb Vasc Biol</w:t>
      </w:r>
      <w:r w:rsidRPr="001E5D32">
        <w:rPr>
          <w:rFonts w:ascii="Book Antiqua" w:hAnsi="Book Antiqua" w:cs="宋体"/>
          <w:kern w:val="0"/>
          <w:sz w:val="24"/>
        </w:rPr>
        <w:t xml:space="preserve"> 2011; </w:t>
      </w:r>
      <w:r w:rsidRPr="001E5D32">
        <w:rPr>
          <w:rFonts w:ascii="Book Antiqua" w:hAnsi="Book Antiqua" w:cs="宋体"/>
          <w:b/>
          <w:bCs/>
          <w:kern w:val="0"/>
          <w:sz w:val="24"/>
        </w:rPr>
        <w:t>31</w:t>
      </w:r>
      <w:r w:rsidRPr="001E5D32">
        <w:rPr>
          <w:rFonts w:ascii="Book Antiqua" w:hAnsi="Book Antiqua" w:cs="宋体"/>
          <w:kern w:val="0"/>
          <w:sz w:val="24"/>
        </w:rPr>
        <w:t>: 1251-1252 [PMID: 21593456 DOI: 10.1161/ATVBAHA.111.228320]</w:t>
      </w:r>
    </w:p>
    <w:p w14:paraId="7E575028"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73 </w:t>
      </w:r>
      <w:r w:rsidRPr="001E5D32">
        <w:rPr>
          <w:rFonts w:ascii="Book Antiqua" w:hAnsi="Book Antiqua" w:cs="宋体"/>
          <w:b/>
          <w:bCs/>
          <w:kern w:val="0"/>
          <w:sz w:val="24"/>
        </w:rPr>
        <w:t>van der Velde M</w:t>
      </w:r>
      <w:r w:rsidRPr="001E5D32">
        <w:rPr>
          <w:rFonts w:ascii="Book Antiqua" w:hAnsi="Book Antiqua" w:cs="宋体"/>
          <w:kern w:val="0"/>
          <w:sz w:val="24"/>
        </w:rPr>
        <w:t xml:space="preserve">, Bello AK, Brantsma AH, El Nahas M, Bakker SJ, de Jong PE, Gansevoort RT. Do albuminuria and hs-CRP add to the International Diabetes Federation definition of the metabolic syndrome in predicting outcome? </w:t>
      </w:r>
      <w:r w:rsidRPr="001E5D32">
        <w:rPr>
          <w:rFonts w:ascii="Book Antiqua" w:hAnsi="Book Antiqua" w:cs="宋体"/>
          <w:i/>
          <w:iCs/>
          <w:kern w:val="0"/>
          <w:sz w:val="24"/>
        </w:rPr>
        <w:t>Nephrol Dial Transplant</w:t>
      </w:r>
      <w:r w:rsidRPr="001E5D32">
        <w:rPr>
          <w:rFonts w:ascii="Book Antiqua" w:hAnsi="Book Antiqua" w:cs="宋体"/>
          <w:kern w:val="0"/>
          <w:sz w:val="24"/>
        </w:rPr>
        <w:t xml:space="preserve"> 2012; </w:t>
      </w:r>
      <w:r w:rsidRPr="001E5D32">
        <w:rPr>
          <w:rFonts w:ascii="Book Antiqua" w:hAnsi="Book Antiqua" w:cs="宋体"/>
          <w:b/>
          <w:bCs/>
          <w:kern w:val="0"/>
          <w:sz w:val="24"/>
        </w:rPr>
        <w:t>27</w:t>
      </w:r>
      <w:r w:rsidRPr="001E5D32">
        <w:rPr>
          <w:rFonts w:ascii="Book Antiqua" w:hAnsi="Book Antiqua" w:cs="宋体"/>
          <w:kern w:val="0"/>
          <w:sz w:val="24"/>
        </w:rPr>
        <w:t>: 2275-2283 [PMID: 22231032 DOI: 10.1093/ndt/gfr634]</w:t>
      </w:r>
    </w:p>
    <w:p w14:paraId="76AB1267"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74 </w:t>
      </w:r>
      <w:r w:rsidRPr="001E5D32">
        <w:rPr>
          <w:rFonts w:ascii="Book Antiqua" w:hAnsi="Book Antiqua" w:cs="宋体"/>
          <w:b/>
          <w:bCs/>
          <w:kern w:val="0"/>
          <w:sz w:val="24"/>
        </w:rPr>
        <w:t>Pearce SG</w:t>
      </w:r>
      <w:r w:rsidRPr="001E5D32">
        <w:rPr>
          <w:rFonts w:ascii="Book Antiqua" w:hAnsi="Book Antiqua" w:cs="宋体"/>
          <w:kern w:val="0"/>
          <w:sz w:val="24"/>
        </w:rPr>
        <w:t xml:space="preserve">, Thosani NC, Pan JJ. Noninvasive biomarkers for the diagnosis of steatohepatitis and advanced fibrosis in NAFLD. </w:t>
      </w:r>
      <w:r w:rsidRPr="001E5D32">
        <w:rPr>
          <w:rFonts w:ascii="Book Antiqua" w:hAnsi="Book Antiqua" w:cs="宋体"/>
          <w:i/>
          <w:iCs/>
          <w:kern w:val="0"/>
          <w:sz w:val="24"/>
        </w:rPr>
        <w:t>Biomark Res</w:t>
      </w:r>
      <w:r w:rsidRPr="001E5D32">
        <w:rPr>
          <w:rFonts w:ascii="Book Antiqua" w:hAnsi="Book Antiqua" w:cs="宋体"/>
          <w:kern w:val="0"/>
          <w:sz w:val="24"/>
        </w:rPr>
        <w:t xml:space="preserve"> 2013; </w:t>
      </w:r>
      <w:r w:rsidRPr="001E5D32">
        <w:rPr>
          <w:rFonts w:ascii="Book Antiqua" w:hAnsi="Book Antiqua" w:cs="宋体"/>
          <w:b/>
          <w:bCs/>
          <w:kern w:val="0"/>
          <w:sz w:val="24"/>
        </w:rPr>
        <w:t>1</w:t>
      </w:r>
      <w:r w:rsidRPr="001E5D32">
        <w:rPr>
          <w:rFonts w:ascii="Book Antiqua" w:hAnsi="Book Antiqua" w:cs="宋体"/>
          <w:kern w:val="0"/>
          <w:sz w:val="24"/>
        </w:rPr>
        <w:t>: 7 [PMID: 24252302 DOI: 10.1186/2050-7771-1-7]</w:t>
      </w:r>
    </w:p>
    <w:p w14:paraId="1BEDEDA2"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75 </w:t>
      </w:r>
      <w:r w:rsidRPr="001E5D32">
        <w:rPr>
          <w:rFonts w:ascii="Book Antiqua" w:hAnsi="Book Antiqua" w:cs="宋体"/>
          <w:b/>
          <w:bCs/>
          <w:kern w:val="0"/>
          <w:sz w:val="24"/>
        </w:rPr>
        <w:t>Feldstein AE</w:t>
      </w:r>
      <w:r w:rsidRPr="001E5D32">
        <w:rPr>
          <w:rFonts w:ascii="Book Antiqua" w:hAnsi="Book Antiqua" w:cs="宋体"/>
          <w:kern w:val="0"/>
          <w:sz w:val="24"/>
        </w:rPr>
        <w:t xml:space="preserve">, Alkhouri N, De Vito R, Alisi A, Lopez R, Nobili V. Serum cytokeratin-18 fragment levels are useful biomarkers for nonalcoholic steatohepatitis in children. </w:t>
      </w:r>
      <w:r w:rsidRPr="001E5D32">
        <w:rPr>
          <w:rFonts w:ascii="Book Antiqua" w:hAnsi="Book Antiqua" w:cs="宋体"/>
          <w:i/>
          <w:iCs/>
          <w:kern w:val="0"/>
          <w:sz w:val="24"/>
        </w:rPr>
        <w:t>Am J Gastroenterol</w:t>
      </w:r>
      <w:r w:rsidRPr="001E5D32">
        <w:rPr>
          <w:rFonts w:ascii="Book Antiqua" w:hAnsi="Book Antiqua" w:cs="宋体"/>
          <w:kern w:val="0"/>
          <w:sz w:val="24"/>
        </w:rPr>
        <w:t xml:space="preserve"> 2013; </w:t>
      </w:r>
      <w:r w:rsidRPr="001E5D32">
        <w:rPr>
          <w:rFonts w:ascii="Book Antiqua" w:hAnsi="Book Antiqua" w:cs="宋体"/>
          <w:b/>
          <w:bCs/>
          <w:kern w:val="0"/>
          <w:sz w:val="24"/>
        </w:rPr>
        <w:t>108</w:t>
      </w:r>
      <w:r w:rsidRPr="001E5D32">
        <w:rPr>
          <w:rFonts w:ascii="Book Antiqua" w:hAnsi="Book Antiqua" w:cs="宋体"/>
          <w:kern w:val="0"/>
          <w:sz w:val="24"/>
        </w:rPr>
        <w:t>: 1526-1531 [PMID: 23752877 DOI: 10.1038/ajg.2013.168]</w:t>
      </w:r>
    </w:p>
    <w:p w14:paraId="11C22F34"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76 </w:t>
      </w:r>
      <w:r w:rsidRPr="001E5D32">
        <w:rPr>
          <w:rFonts w:ascii="Book Antiqua" w:hAnsi="Book Antiqua" w:cs="宋体"/>
          <w:b/>
          <w:bCs/>
          <w:kern w:val="0"/>
          <w:sz w:val="24"/>
        </w:rPr>
        <w:t>Cusi K</w:t>
      </w:r>
      <w:r w:rsidRPr="001E5D32">
        <w:rPr>
          <w:rFonts w:ascii="Book Antiqua" w:hAnsi="Book Antiqua" w:cs="宋体"/>
          <w:kern w:val="0"/>
          <w:sz w:val="24"/>
        </w:rPr>
        <w:t xml:space="preserve">, Chang Z, Harrison S, Lomonaco R, Bril F, Orsak B, Ortiz-Lopez C, Hecht J, Feldstein AE, Webb A, Louden C, Goros M, Tio F. Limited value of plasma cytokeratin-18 as a biomarker for NASH and fibrosis in patients with non-alcoholic fatty liver disease. </w:t>
      </w:r>
      <w:r w:rsidRPr="001E5D32">
        <w:rPr>
          <w:rFonts w:ascii="Book Antiqua" w:hAnsi="Book Antiqua" w:cs="宋体"/>
          <w:i/>
          <w:iCs/>
          <w:kern w:val="0"/>
          <w:sz w:val="24"/>
        </w:rPr>
        <w:t>J Hepatol</w:t>
      </w:r>
      <w:r w:rsidRPr="001E5D32">
        <w:rPr>
          <w:rFonts w:ascii="Book Antiqua" w:hAnsi="Book Antiqua" w:cs="宋体"/>
          <w:kern w:val="0"/>
          <w:sz w:val="24"/>
        </w:rPr>
        <w:t xml:space="preserve"> 2014; </w:t>
      </w:r>
      <w:r w:rsidRPr="001E5D32">
        <w:rPr>
          <w:rFonts w:ascii="Book Antiqua" w:hAnsi="Book Antiqua" w:cs="宋体"/>
          <w:b/>
          <w:bCs/>
          <w:kern w:val="0"/>
          <w:sz w:val="24"/>
        </w:rPr>
        <w:t>60</w:t>
      </w:r>
      <w:r w:rsidRPr="001E5D32">
        <w:rPr>
          <w:rFonts w:ascii="Book Antiqua" w:hAnsi="Book Antiqua" w:cs="宋体"/>
          <w:kern w:val="0"/>
          <w:sz w:val="24"/>
        </w:rPr>
        <w:t>: 167-174 [PMID: 23973932 DOI: 10.1016/j.jhep.2013.07.042]</w:t>
      </w:r>
    </w:p>
    <w:p w14:paraId="61999F14"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77 </w:t>
      </w:r>
      <w:r w:rsidRPr="001E5D32">
        <w:rPr>
          <w:rFonts w:ascii="Book Antiqua" w:hAnsi="Book Antiqua" w:cs="宋体"/>
          <w:b/>
          <w:bCs/>
          <w:kern w:val="0"/>
          <w:sz w:val="24"/>
        </w:rPr>
        <w:t>Sharifi F</w:t>
      </w:r>
      <w:r w:rsidRPr="001E5D32">
        <w:rPr>
          <w:rFonts w:ascii="Book Antiqua" w:hAnsi="Book Antiqua" w:cs="宋体"/>
          <w:kern w:val="0"/>
          <w:sz w:val="24"/>
        </w:rPr>
        <w:t xml:space="preserve">, Nasab NM, Zadeh HJ. Elevated serum ferritin concentrations in prediabetic subjects. </w:t>
      </w:r>
      <w:r w:rsidRPr="001E5D32">
        <w:rPr>
          <w:rFonts w:ascii="Book Antiqua" w:hAnsi="Book Antiqua" w:cs="宋体"/>
          <w:i/>
          <w:iCs/>
          <w:kern w:val="0"/>
          <w:sz w:val="24"/>
        </w:rPr>
        <w:t>Diab Vasc Dis Res</w:t>
      </w:r>
      <w:r w:rsidRPr="001E5D32">
        <w:rPr>
          <w:rFonts w:ascii="Book Antiqua" w:hAnsi="Book Antiqua" w:cs="宋体"/>
          <w:kern w:val="0"/>
          <w:sz w:val="24"/>
        </w:rPr>
        <w:t xml:space="preserve"> 2008; </w:t>
      </w:r>
      <w:r w:rsidRPr="001E5D32">
        <w:rPr>
          <w:rFonts w:ascii="Book Antiqua" w:hAnsi="Book Antiqua" w:cs="宋体"/>
          <w:b/>
          <w:bCs/>
          <w:kern w:val="0"/>
          <w:sz w:val="24"/>
        </w:rPr>
        <w:t>5</w:t>
      </w:r>
      <w:r w:rsidRPr="001E5D32">
        <w:rPr>
          <w:rFonts w:ascii="Book Antiqua" w:hAnsi="Book Antiqua" w:cs="宋体"/>
          <w:kern w:val="0"/>
          <w:sz w:val="24"/>
        </w:rPr>
        <w:t>: 15-18 [PMID: 18398807 DOI: 10.3132/dvdr.2008.003]</w:t>
      </w:r>
    </w:p>
    <w:p w14:paraId="5D789D27"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78 </w:t>
      </w:r>
      <w:r w:rsidRPr="001E5D32">
        <w:rPr>
          <w:rFonts w:ascii="Book Antiqua" w:hAnsi="Book Antiqua" w:cs="宋体"/>
          <w:b/>
          <w:bCs/>
          <w:kern w:val="0"/>
          <w:sz w:val="24"/>
        </w:rPr>
        <w:t>Park SK</w:t>
      </w:r>
      <w:r w:rsidRPr="001E5D32">
        <w:rPr>
          <w:rFonts w:ascii="Book Antiqua" w:hAnsi="Book Antiqua" w:cs="宋体"/>
          <w:kern w:val="0"/>
          <w:sz w:val="24"/>
        </w:rPr>
        <w:t xml:space="preserve">, Ryoo JH, Kim MG, Shin JY. Association of serum ferritin and the development of metabolic syndrome in middle-aged Korean men: a 5-year follow-up study. </w:t>
      </w:r>
      <w:r w:rsidRPr="001E5D32">
        <w:rPr>
          <w:rFonts w:ascii="Book Antiqua" w:hAnsi="Book Antiqua" w:cs="宋体"/>
          <w:i/>
          <w:iCs/>
          <w:kern w:val="0"/>
          <w:sz w:val="24"/>
        </w:rPr>
        <w:t>Diabetes Care</w:t>
      </w:r>
      <w:r w:rsidRPr="001E5D32">
        <w:rPr>
          <w:rFonts w:ascii="Book Antiqua" w:hAnsi="Book Antiqua" w:cs="宋体"/>
          <w:kern w:val="0"/>
          <w:sz w:val="24"/>
        </w:rPr>
        <w:t xml:space="preserve"> 2012; </w:t>
      </w:r>
      <w:r w:rsidRPr="001E5D32">
        <w:rPr>
          <w:rFonts w:ascii="Book Antiqua" w:hAnsi="Book Antiqua" w:cs="宋体"/>
          <w:b/>
          <w:bCs/>
          <w:kern w:val="0"/>
          <w:sz w:val="24"/>
        </w:rPr>
        <w:t>35</w:t>
      </w:r>
      <w:r w:rsidRPr="001E5D32">
        <w:rPr>
          <w:rFonts w:ascii="Book Antiqua" w:hAnsi="Book Antiqua" w:cs="宋体"/>
          <w:kern w:val="0"/>
          <w:sz w:val="24"/>
        </w:rPr>
        <w:t>: 2521-2526 [PMID: 22933431 DOI: 10.2337/dc12-0543]</w:t>
      </w:r>
    </w:p>
    <w:p w14:paraId="7731C7AB"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79 </w:t>
      </w:r>
      <w:r w:rsidRPr="001E5D32">
        <w:rPr>
          <w:rFonts w:ascii="Book Antiqua" w:hAnsi="Book Antiqua" w:cs="宋体"/>
          <w:b/>
          <w:bCs/>
          <w:kern w:val="0"/>
          <w:sz w:val="24"/>
        </w:rPr>
        <w:t>Abril-Ulloa V</w:t>
      </w:r>
      <w:r w:rsidRPr="001E5D32">
        <w:rPr>
          <w:rFonts w:ascii="Book Antiqua" w:hAnsi="Book Antiqua" w:cs="宋体"/>
          <w:kern w:val="0"/>
          <w:sz w:val="24"/>
        </w:rPr>
        <w:t xml:space="preserve">, Flores-Mateo G, Solà-Alberich R, Manuel-y-Keenoy B, Arija V. Ferritin levels and risk of metabolic syndrome: meta-analysis of observational studies. </w:t>
      </w:r>
      <w:r w:rsidRPr="001E5D32">
        <w:rPr>
          <w:rFonts w:ascii="Book Antiqua" w:hAnsi="Book Antiqua" w:cs="宋体"/>
          <w:i/>
          <w:iCs/>
          <w:kern w:val="0"/>
          <w:sz w:val="24"/>
        </w:rPr>
        <w:t>BMC Public Health</w:t>
      </w:r>
      <w:r w:rsidRPr="001E5D32">
        <w:rPr>
          <w:rFonts w:ascii="Book Antiqua" w:hAnsi="Book Antiqua" w:cs="宋体"/>
          <w:kern w:val="0"/>
          <w:sz w:val="24"/>
        </w:rPr>
        <w:t xml:space="preserve"> 2014; </w:t>
      </w:r>
      <w:r w:rsidRPr="001E5D32">
        <w:rPr>
          <w:rFonts w:ascii="Book Antiqua" w:hAnsi="Book Antiqua" w:cs="宋体"/>
          <w:b/>
          <w:bCs/>
          <w:kern w:val="0"/>
          <w:sz w:val="24"/>
        </w:rPr>
        <w:t>14</w:t>
      </w:r>
      <w:r w:rsidRPr="001E5D32">
        <w:rPr>
          <w:rFonts w:ascii="Book Antiqua" w:hAnsi="Book Antiqua" w:cs="宋体"/>
          <w:kern w:val="0"/>
          <w:sz w:val="24"/>
        </w:rPr>
        <w:t>: 483 [PMID: 24884526 DOI: 10.1186/1471-2458-14-483]</w:t>
      </w:r>
    </w:p>
    <w:p w14:paraId="4BC5D78B"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80 </w:t>
      </w:r>
      <w:r w:rsidRPr="001E5D32">
        <w:rPr>
          <w:rFonts w:ascii="Book Antiqua" w:hAnsi="Book Antiqua" w:cs="宋体"/>
          <w:b/>
          <w:bCs/>
          <w:kern w:val="0"/>
          <w:sz w:val="24"/>
        </w:rPr>
        <w:t>Zelber-Sagi S</w:t>
      </w:r>
      <w:r w:rsidRPr="001E5D32">
        <w:rPr>
          <w:rFonts w:ascii="Book Antiqua" w:hAnsi="Book Antiqua" w:cs="宋体"/>
          <w:kern w:val="0"/>
          <w:sz w:val="24"/>
        </w:rPr>
        <w:t xml:space="preserve">, Nitzan-Kaluski D, Halpern Z, Oren R. NAFLD and hyperinsulinemia are major determinants of serum ferritin levels. </w:t>
      </w:r>
      <w:r w:rsidRPr="001E5D32">
        <w:rPr>
          <w:rFonts w:ascii="Book Antiqua" w:hAnsi="Book Antiqua" w:cs="宋体"/>
          <w:i/>
          <w:iCs/>
          <w:kern w:val="0"/>
          <w:sz w:val="24"/>
        </w:rPr>
        <w:t>J Hepatol</w:t>
      </w:r>
      <w:r w:rsidRPr="001E5D32">
        <w:rPr>
          <w:rFonts w:ascii="Book Antiqua" w:hAnsi="Book Antiqua" w:cs="宋体"/>
          <w:kern w:val="0"/>
          <w:sz w:val="24"/>
        </w:rPr>
        <w:t xml:space="preserve"> 2007; </w:t>
      </w:r>
      <w:r w:rsidRPr="001E5D32">
        <w:rPr>
          <w:rFonts w:ascii="Book Antiqua" w:hAnsi="Book Antiqua" w:cs="宋体"/>
          <w:b/>
          <w:bCs/>
          <w:kern w:val="0"/>
          <w:sz w:val="24"/>
        </w:rPr>
        <w:t>46</w:t>
      </w:r>
      <w:r w:rsidRPr="001E5D32">
        <w:rPr>
          <w:rFonts w:ascii="Book Antiqua" w:hAnsi="Book Antiqua" w:cs="宋体"/>
          <w:kern w:val="0"/>
          <w:sz w:val="24"/>
        </w:rPr>
        <w:t>: 700-707 [PMID: 17150278 DOI: 10.1016/j.jhep.2006.09.018]</w:t>
      </w:r>
    </w:p>
    <w:p w14:paraId="7FEAC30A"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81 </w:t>
      </w:r>
      <w:r w:rsidRPr="001E5D32">
        <w:rPr>
          <w:rFonts w:ascii="Book Antiqua" w:hAnsi="Book Antiqua" w:cs="宋体"/>
          <w:b/>
          <w:bCs/>
          <w:kern w:val="0"/>
          <w:sz w:val="24"/>
        </w:rPr>
        <w:t>Juárez-Rojas JG</w:t>
      </w:r>
      <w:r w:rsidRPr="001E5D32">
        <w:rPr>
          <w:rFonts w:ascii="Book Antiqua" w:hAnsi="Book Antiqua" w:cs="宋体"/>
          <w:kern w:val="0"/>
          <w:sz w:val="24"/>
        </w:rPr>
        <w:t xml:space="preserve">, Medina-Urrutia AX, Jorge-Galarza E, González-Salazar C, Kimura-Hayama E, Cardoso-Saldaña G, Posadas-Sánchez R, Martínez-Alvarado R, Posadas-Romero C. Fatty liver increases the association of metabolic syndrome with diabetes and atherosclerosis. </w:t>
      </w:r>
      <w:r w:rsidRPr="001E5D32">
        <w:rPr>
          <w:rFonts w:ascii="Book Antiqua" w:hAnsi="Book Antiqua" w:cs="宋体"/>
          <w:i/>
          <w:iCs/>
          <w:kern w:val="0"/>
          <w:sz w:val="24"/>
        </w:rPr>
        <w:t>Diabetes Care</w:t>
      </w:r>
      <w:r w:rsidRPr="001E5D32">
        <w:rPr>
          <w:rFonts w:ascii="Book Antiqua" w:hAnsi="Book Antiqua" w:cs="宋体"/>
          <w:kern w:val="0"/>
          <w:sz w:val="24"/>
        </w:rPr>
        <w:t xml:space="preserve"> 2013; </w:t>
      </w:r>
      <w:r w:rsidRPr="001E5D32">
        <w:rPr>
          <w:rFonts w:ascii="Book Antiqua" w:hAnsi="Book Antiqua" w:cs="宋体"/>
          <w:b/>
          <w:bCs/>
          <w:kern w:val="0"/>
          <w:sz w:val="24"/>
        </w:rPr>
        <w:t>36</w:t>
      </w:r>
      <w:r w:rsidRPr="001E5D32">
        <w:rPr>
          <w:rFonts w:ascii="Book Antiqua" w:hAnsi="Book Antiqua" w:cs="宋体"/>
          <w:kern w:val="0"/>
          <w:sz w:val="24"/>
        </w:rPr>
        <w:t>: 1726-1728 [PMID: 23250798 DOI: 10.2337/dc12-1276]</w:t>
      </w:r>
    </w:p>
    <w:p w14:paraId="6C4944C6"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82 </w:t>
      </w:r>
      <w:r w:rsidRPr="001E5D32">
        <w:rPr>
          <w:rFonts w:ascii="Book Antiqua" w:hAnsi="Book Antiqua" w:cs="宋体"/>
          <w:b/>
          <w:bCs/>
          <w:kern w:val="0"/>
          <w:sz w:val="24"/>
        </w:rPr>
        <w:t>Dongiovanni P</w:t>
      </w:r>
      <w:r w:rsidRPr="001E5D32">
        <w:rPr>
          <w:rFonts w:ascii="Book Antiqua" w:hAnsi="Book Antiqua" w:cs="宋体"/>
          <w:kern w:val="0"/>
          <w:sz w:val="24"/>
        </w:rPr>
        <w:t xml:space="preserve">, Fracanzani AL, Fargion S, Valenti L. Iron in fatty liver and in the metabolic syndrome: a promising therapeutic target. </w:t>
      </w:r>
      <w:r w:rsidRPr="001E5D32">
        <w:rPr>
          <w:rFonts w:ascii="Book Antiqua" w:hAnsi="Book Antiqua" w:cs="宋体"/>
          <w:i/>
          <w:iCs/>
          <w:kern w:val="0"/>
          <w:sz w:val="24"/>
        </w:rPr>
        <w:t>J Hepatol</w:t>
      </w:r>
      <w:r w:rsidRPr="001E5D32">
        <w:rPr>
          <w:rFonts w:ascii="Book Antiqua" w:hAnsi="Book Antiqua" w:cs="宋体"/>
          <w:kern w:val="0"/>
          <w:sz w:val="24"/>
        </w:rPr>
        <w:t xml:space="preserve"> 2011; </w:t>
      </w:r>
      <w:r w:rsidRPr="001E5D32">
        <w:rPr>
          <w:rFonts w:ascii="Book Antiqua" w:hAnsi="Book Antiqua" w:cs="宋体"/>
          <w:b/>
          <w:bCs/>
          <w:kern w:val="0"/>
          <w:sz w:val="24"/>
        </w:rPr>
        <w:t>55</w:t>
      </w:r>
      <w:r w:rsidRPr="001E5D32">
        <w:rPr>
          <w:rFonts w:ascii="Book Antiqua" w:hAnsi="Book Antiqua" w:cs="宋体"/>
          <w:kern w:val="0"/>
          <w:sz w:val="24"/>
        </w:rPr>
        <w:t>: 920-932 [PMID: 21718726 DOI: 10.1016/j.jhep.2011.05.008]</w:t>
      </w:r>
    </w:p>
    <w:p w14:paraId="51E06095"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83 </w:t>
      </w:r>
      <w:r w:rsidRPr="001E5D32">
        <w:rPr>
          <w:rFonts w:ascii="Book Antiqua" w:hAnsi="Book Antiqua" w:cs="宋体"/>
          <w:b/>
          <w:bCs/>
          <w:kern w:val="0"/>
          <w:sz w:val="24"/>
        </w:rPr>
        <w:t>Sumida Y</w:t>
      </w:r>
      <w:r w:rsidRPr="001E5D32">
        <w:rPr>
          <w:rFonts w:ascii="Book Antiqua" w:hAnsi="Book Antiqua" w:cs="宋体"/>
          <w:kern w:val="0"/>
          <w:sz w:val="24"/>
        </w:rPr>
        <w:t xml:space="preserve">, Yoneda M, Hyogo H, Yamaguchi K, Ono M, Fujii H, Eguchi Y, Suzuki Y, Imai S, Kanemasa K, Fujita K, Chayama K, Yasui K, Saibara T, Kawada N, Fujimoto K, Kohgo Y, Okanoue T. A simple clinical scoring system using ferritin, fasting insulin, and type IV collagen 7S for predicting steatohepatitis in nonalcoholic fatty liver disease. </w:t>
      </w:r>
      <w:r w:rsidRPr="001E5D32">
        <w:rPr>
          <w:rFonts w:ascii="Book Antiqua" w:hAnsi="Book Antiqua" w:cs="宋体"/>
          <w:i/>
          <w:iCs/>
          <w:kern w:val="0"/>
          <w:sz w:val="24"/>
        </w:rPr>
        <w:t>J Gastroenterol</w:t>
      </w:r>
      <w:r w:rsidRPr="001E5D32">
        <w:rPr>
          <w:rFonts w:ascii="Book Antiqua" w:hAnsi="Book Antiqua" w:cs="宋体"/>
          <w:kern w:val="0"/>
          <w:sz w:val="24"/>
        </w:rPr>
        <w:t xml:space="preserve"> 2011; </w:t>
      </w:r>
      <w:r w:rsidRPr="001E5D32">
        <w:rPr>
          <w:rFonts w:ascii="Book Antiqua" w:hAnsi="Book Antiqua" w:cs="宋体"/>
          <w:b/>
          <w:bCs/>
          <w:kern w:val="0"/>
          <w:sz w:val="24"/>
        </w:rPr>
        <w:t>46</w:t>
      </w:r>
      <w:r w:rsidRPr="001E5D32">
        <w:rPr>
          <w:rFonts w:ascii="Book Antiqua" w:hAnsi="Book Antiqua" w:cs="宋体"/>
          <w:kern w:val="0"/>
          <w:sz w:val="24"/>
        </w:rPr>
        <w:t>: 257-268 [PMID: 20842510 DOI: 10.1007/s00535-010-0305-6]</w:t>
      </w:r>
    </w:p>
    <w:p w14:paraId="27E60953"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84 </w:t>
      </w:r>
      <w:r w:rsidRPr="001E5D32">
        <w:rPr>
          <w:rFonts w:ascii="Book Antiqua" w:hAnsi="Book Antiqua" w:cs="宋体"/>
          <w:b/>
          <w:bCs/>
          <w:kern w:val="0"/>
          <w:sz w:val="24"/>
        </w:rPr>
        <w:t>Manousou P</w:t>
      </w:r>
      <w:r w:rsidRPr="001E5D32">
        <w:rPr>
          <w:rFonts w:ascii="Book Antiqua" w:hAnsi="Book Antiqua" w:cs="宋体"/>
          <w:kern w:val="0"/>
          <w:sz w:val="24"/>
        </w:rPr>
        <w:t xml:space="preserve">, Kalambokis G, Grillo F, Watkins J, Xirouchakis E, Pleguezuelo M, Leandro G, Arvaniti V, Germani G, Patch D, Calvaruso V, Mikhailidis DP, Dhillon AP, Burroughs AK. Serum ferritin is a discriminant marker for both fibrosis and inflammation in histologically proven non-alcoholic fatty liver disease patients. </w:t>
      </w:r>
      <w:r w:rsidRPr="001E5D32">
        <w:rPr>
          <w:rFonts w:ascii="Book Antiqua" w:hAnsi="Book Antiqua" w:cs="宋体"/>
          <w:i/>
          <w:iCs/>
          <w:kern w:val="0"/>
          <w:sz w:val="24"/>
        </w:rPr>
        <w:t>Liver Int</w:t>
      </w:r>
      <w:r w:rsidRPr="001E5D32">
        <w:rPr>
          <w:rFonts w:ascii="Book Antiqua" w:hAnsi="Book Antiqua" w:cs="宋体"/>
          <w:kern w:val="0"/>
          <w:sz w:val="24"/>
        </w:rPr>
        <w:t xml:space="preserve"> 2011; </w:t>
      </w:r>
      <w:r w:rsidRPr="001E5D32">
        <w:rPr>
          <w:rFonts w:ascii="Book Antiqua" w:hAnsi="Book Antiqua" w:cs="宋体"/>
          <w:b/>
          <w:bCs/>
          <w:kern w:val="0"/>
          <w:sz w:val="24"/>
        </w:rPr>
        <w:t>31</w:t>
      </w:r>
      <w:r w:rsidRPr="001E5D32">
        <w:rPr>
          <w:rFonts w:ascii="Book Antiqua" w:hAnsi="Book Antiqua" w:cs="宋体"/>
          <w:kern w:val="0"/>
          <w:sz w:val="24"/>
        </w:rPr>
        <w:t>: 730-739 [PMID: 21457446 DOI: 10.1111/j.1478-3231.2011.02488.x]</w:t>
      </w:r>
    </w:p>
    <w:p w14:paraId="3F007CC9"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85 </w:t>
      </w:r>
      <w:r w:rsidRPr="001E5D32">
        <w:rPr>
          <w:rFonts w:ascii="Book Antiqua" w:hAnsi="Book Antiqua" w:cs="宋体"/>
          <w:b/>
          <w:bCs/>
          <w:kern w:val="0"/>
          <w:sz w:val="24"/>
        </w:rPr>
        <w:t>Kowdley KV</w:t>
      </w:r>
      <w:r w:rsidRPr="001E5D32">
        <w:rPr>
          <w:rFonts w:ascii="Book Antiqua" w:hAnsi="Book Antiqua" w:cs="宋体"/>
          <w:kern w:val="0"/>
          <w:sz w:val="24"/>
        </w:rPr>
        <w:t xml:space="preserve">, Belt P, Wilson LA, Yeh MM, Neuschwander-Tetri BA, Chalasani N, Sanyal AJ, Nelson JE. Serum ferritin is an independent predictor of histologic severity and advanced fibrosis in patients with nonalcoholic fatty liver disease. </w:t>
      </w:r>
      <w:r w:rsidRPr="001E5D32">
        <w:rPr>
          <w:rFonts w:ascii="Book Antiqua" w:hAnsi="Book Antiqua" w:cs="宋体"/>
          <w:i/>
          <w:iCs/>
          <w:kern w:val="0"/>
          <w:sz w:val="24"/>
        </w:rPr>
        <w:t>Hepatology</w:t>
      </w:r>
      <w:r w:rsidRPr="001E5D32">
        <w:rPr>
          <w:rFonts w:ascii="Book Antiqua" w:hAnsi="Book Antiqua" w:cs="宋体"/>
          <w:kern w:val="0"/>
          <w:sz w:val="24"/>
        </w:rPr>
        <w:t xml:space="preserve"> 2012; </w:t>
      </w:r>
      <w:r w:rsidRPr="001E5D32">
        <w:rPr>
          <w:rFonts w:ascii="Book Antiqua" w:hAnsi="Book Antiqua" w:cs="宋体"/>
          <w:b/>
          <w:bCs/>
          <w:kern w:val="0"/>
          <w:sz w:val="24"/>
        </w:rPr>
        <w:t>55</w:t>
      </w:r>
      <w:r w:rsidRPr="001E5D32">
        <w:rPr>
          <w:rFonts w:ascii="Book Antiqua" w:hAnsi="Book Antiqua" w:cs="宋体"/>
          <w:kern w:val="0"/>
          <w:sz w:val="24"/>
        </w:rPr>
        <w:t>: 77-85 [PMID: 21953442 DOI: 10.1002/hep.24706]</w:t>
      </w:r>
    </w:p>
    <w:p w14:paraId="10BFF760"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86 </w:t>
      </w:r>
      <w:r w:rsidRPr="001E5D32">
        <w:rPr>
          <w:rFonts w:ascii="Book Antiqua" w:hAnsi="Book Antiqua" w:cs="宋体"/>
          <w:b/>
          <w:bCs/>
          <w:kern w:val="0"/>
          <w:sz w:val="24"/>
        </w:rPr>
        <w:t>Chandok N</w:t>
      </w:r>
      <w:r w:rsidRPr="001E5D32">
        <w:rPr>
          <w:rFonts w:ascii="Book Antiqua" w:hAnsi="Book Antiqua" w:cs="宋体"/>
          <w:kern w:val="0"/>
          <w:sz w:val="24"/>
        </w:rPr>
        <w:t xml:space="preserve">, Minuk G, Wengiel M, Uhanova J. Serum ferritin levels do not predict the stage of underlying non-alcoholic fatty liver disease. </w:t>
      </w:r>
      <w:r w:rsidRPr="001E5D32">
        <w:rPr>
          <w:rFonts w:ascii="Book Antiqua" w:hAnsi="Book Antiqua" w:cs="宋体"/>
          <w:i/>
          <w:iCs/>
          <w:kern w:val="0"/>
          <w:sz w:val="24"/>
        </w:rPr>
        <w:t>J Gastrointestin Liver Dis</w:t>
      </w:r>
      <w:r w:rsidRPr="001E5D32">
        <w:rPr>
          <w:rFonts w:ascii="Book Antiqua" w:hAnsi="Book Antiqua" w:cs="宋体"/>
          <w:kern w:val="0"/>
          <w:sz w:val="24"/>
        </w:rPr>
        <w:t xml:space="preserve"> 2012; </w:t>
      </w:r>
      <w:r w:rsidRPr="001E5D32">
        <w:rPr>
          <w:rFonts w:ascii="Book Antiqua" w:hAnsi="Book Antiqua" w:cs="宋体"/>
          <w:b/>
          <w:bCs/>
          <w:kern w:val="0"/>
          <w:sz w:val="24"/>
        </w:rPr>
        <w:t>21</w:t>
      </w:r>
      <w:r w:rsidRPr="001E5D32">
        <w:rPr>
          <w:rFonts w:ascii="Book Antiqua" w:hAnsi="Book Antiqua" w:cs="宋体"/>
          <w:kern w:val="0"/>
          <w:sz w:val="24"/>
        </w:rPr>
        <w:t>: 53-58 [PMID: 22457860]</w:t>
      </w:r>
    </w:p>
    <w:p w14:paraId="2F81D4E0"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87 </w:t>
      </w:r>
      <w:r w:rsidRPr="001E5D32">
        <w:rPr>
          <w:rFonts w:ascii="Book Antiqua" w:hAnsi="Book Antiqua" w:cs="宋体"/>
          <w:b/>
          <w:bCs/>
          <w:kern w:val="0"/>
          <w:sz w:val="24"/>
        </w:rPr>
        <w:t>Yoneda M</w:t>
      </w:r>
      <w:r w:rsidRPr="001E5D32">
        <w:rPr>
          <w:rFonts w:ascii="Book Antiqua" w:hAnsi="Book Antiqua" w:cs="宋体"/>
          <w:kern w:val="0"/>
          <w:sz w:val="24"/>
        </w:rPr>
        <w:t xml:space="preserve">, Thomas E, Sumida Y, Imajo K, Eguchi Y, Hyogo H, Fujii H, Ono M, Kawaguchi T, Schiff ER. Clinical usage of serum ferritin to assess liver fibrosis in patients with non-alcoholic fatty liver disease: Proceed with caution. </w:t>
      </w:r>
      <w:r w:rsidRPr="001E5D32">
        <w:rPr>
          <w:rFonts w:ascii="Book Antiqua" w:hAnsi="Book Antiqua" w:cs="宋体"/>
          <w:i/>
          <w:iCs/>
          <w:kern w:val="0"/>
          <w:sz w:val="24"/>
        </w:rPr>
        <w:t>Hepatol Res</w:t>
      </w:r>
      <w:r w:rsidRPr="001E5D32">
        <w:rPr>
          <w:rFonts w:ascii="Book Antiqua" w:hAnsi="Book Antiqua" w:cs="宋体"/>
          <w:kern w:val="0"/>
          <w:sz w:val="24"/>
        </w:rPr>
        <w:t xml:space="preserve"> 2014; </w:t>
      </w:r>
      <w:r w:rsidRPr="001E5D32">
        <w:rPr>
          <w:rFonts w:ascii="Book Antiqua" w:hAnsi="Book Antiqua" w:cs="宋体"/>
          <w:b/>
          <w:bCs/>
          <w:kern w:val="0"/>
          <w:sz w:val="24"/>
        </w:rPr>
        <w:t>44</w:t>
      </w:r>
      <w:r w:rsidRPr="001E5D32">
        <w:rPr>
          <w:rFonts w:ascii="Book Antiqua" w:hAnsi="Book Antiqua" w:cs="宋体"/>
          <w:kern w:val="0"/>
          <w:sz w:val="24"/>
        </w:rPr>
        <w:t>: E499-E502 [PMID: 24628717 DOI: 10.1111/hepr.12327]</w:t>
      </w:r>
    </w:p>
    <w:p w14:paraId="22D0554A"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88 </w:t>
      </w:r>
      <w:r w:rsidRPr="001E5D32">
        <w:rPr>
          <w:rFonts w:ascii="Book Antiqua" w:hAnsi="Book Antiqua" w:cs="宋体"/>
          <w:b/>
          <w:bCs/>
          <w:kern w:val="0"/>
          <w:sz w:val="24"/>
        </w:rPr>
        <w:t>Valenti L</w:t>
      </w:r>
      <w:r w:rsidRPr="001E5D32">
        <w:rPr>
          <w:rFonts w:ascii="Book Antiqua" w:hAnsi="Book Antiqua" w:cs="宋体"/>
          <w:kern w:val="0"/>
          <w:sz w:val="24"/>
        </w:rPr>
        <w:t xml:space="preserve">, Dongiovanni P, Fracanzani AL, Santorelli G, Fatta E, Bertelli C, Taioli E, Fiorelli G, Fargion S. Increased susceptibility to nonalcoholic fatty liver disease in heterozygotes for the mutation responsible for hereditary hemochromatosis. </w:t>
      </w:r>
      <w:r w:rsidRPr="001E5D32">
        <w:rPr>
          <w:rFonts w:ascii="Book Antiqua" w:hAnsi="Book Antiqua" w:cs="宋体"/>
          <w:i/>
          <w:iCs/>
          <w:kern w:val="0"/>
          <w:sz w:val="24"/>
        </w:rPr>
        <w:t>Dig Liver Dis</w:t>
      </w:r>
      <w:r w:rsidRPr="001E5D32">
        <w:rPr>
          <w:rFonts w:ascii="Book Antiqua" w:hAnsi="Book Antiqua" w:cs="宋体"/>
          <w:kern w:val="0"/>
          <w:sz w:val="24"/>
        </w:rPr>
        <w:t xml:space="preserve"> 2003; </w:t>
      </w:r>
      <w:r w:rsidRPr="001E5D32">
        <w:rPr>
          <w:rFonts w:ascii="Book Antiqua" w:hAnsi="Book Antiqua" w:cs="宋体"/>
          <w:b/>
          <w:bCs/>
          <w:kern w:val="0"/>
          <w:sz w:val="24"/>
        </w:rPr>
        <w:t>35</w:t>
      </w:r>
      <w:r w:rsidRPr="001E5D32">
        <w:rPr>
          <w:rFonts w:ascii="Book Antiqua" w:hAnsi="Book Antiqua" w:cs="宋体"/>
          <w:kern w:val="0"/>
          <w:sz w:val="24"/>
        </w:rPr>
        <w:t>: 172-178 [PMID: 12779071 DOI: 10.1016/s1590-8658(03)00025-2]</w:t>
      </w:r>
    </w:p>
    <w:p w14:paraId="2D64CF67"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89 </w:t>
      </w:r>
      <w:r w:rsidRPr="001E5D32">
        <w:rPr>
          <w:rFonts w:ascii="Book Antiqua" w:hAnsi="Book Antiqua" w:cs="宋体"/>
          <w:b/>
          <w:bCs/>
          <w:kern w:val="0"/>
          <w:sz w:val="24"/>
        </w:rPr>
        <w:t>Ausk KJ</w:t>
      </w:r>
      <w:r w:rsidRPr="001E5D32">
        <w:rPr>
          <w:rFonts w:ascii="Book Antiqua" w:hAnsi="Book Antiqua" w:cs="宋体"/>
          <w:kern w:val="0"/>
          <w:sz w:val="24"/>
        </w:rPr>
        <w:t xml:space="preserve">, Ioannou GN. Is obesity associated with anemia of chronic disease? A population-based study. </w:t>
      </w:r>
      <w:r w:rsidRPr="001E5D32">
        <w:rPr>
          <w:rFonts w:ascii="Book Antiqua" w:hAnsi="Book Antiqua" w:cs="宋体"/>
          <w:i/>
          <w:iCs/>
          <w:kern w:val="0"/>
          <w:sz w:val="24"/>
        </w:rPr>
        <w:t xml:space="preserve">Obesity </w:t>
      </w:r>
      <w:r w:rsidRPr="001E5D32">
        <w:rPr>
          <w:rFonts w:ascii="Book Antiqua" w:hAnsi="Book Antiqua" w:cs="宋体"/>
          <w:iCs/>
          <w:kern w:val="0"/>
          <w:sz w:val="24"/>
        </w:rPr>
        <w:t>(Silver Spring)</w:t>
      </w:r>
      <w:r w:rsidRPr="001E5D32">
        <w:rPr>
          <w:rFonts w:ascii="Book Antiqua" w:hAnsi="Book Antiqua" w:cs="宋体"/>
          <w:kern w:val="0"/>
          <w:sz w:val="24"/>
        </w:rPr>
        <w:t xml:space="preserve"> 2008; </w:t>
      </w:r>
      <w:r w:rsidRPr="001E5D32">
        <w:rPr>
          <w:rFonts w:ascii="Book Antiqua" w:hAnsi="Book Antiqua" w:cs="宋体"/>
          <w:b/>
          <w:bCs/>
          <w:kern w:val="0"/>
          <w:sz w:val="24"/>
        </w:rPr>
        <w:t>16</w:t>
      </w:r>
      <w:r w:rsidRPr="001E5D32">
        <w:rPr>
          <w:rFonts w:ascii="Book Antiqua" w:hAnsi="Book Antiqua" w:cs="宋体"/>
          <w:kern w:val="0"/>
          <w:sz w:val="24"/>
        </w:rPr>
        <w:t>: 2356-2361 [PMID: 18719644 DOI: 10.1038/oby.2008.353]</w:t>
      </w:r>
    </w:p>
    <w:p w14:paraId="0F755BE4"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90 </w:t>
      </w:r>
      <w:r w:rsidRPr="001E5D32">
        <w:rPr>
          <w:rFonts w:ascii="Book Antiqua" w:hAnsi="Book Antiqua" w:cs="宋体"/>
          <w:b/>
          <w:bCs/>
          <w:kern w:val="0"/>
          <w:sz w:val="24"/>
        </w:rPr>
        <w:t>Mendler MH</w:t>
      </w:r>
      <w:r w:rsidRPr="001E5D32">
        <w:rPr>
          <w:rFonts w:ascii="Book Antiqua" w:hAnsi="Book Antiqua" w:cs="宋体"/>
          <w:kern w:val="0"/>
          <w:sz w:val="24"/>
        </w:rPr>
        <w:t xml:space="preserve">, Turlin B, Moirand R, Jouanolle AM, Sapey T, Guyader D, Le Gall JY, Brissot P, David V, Deugnier Y. Insulin resistance-associated hepatic iron overload. </w:t>
      </w:r>
      <w:r w:rsidRPr="001E5D32">
        <w:rPr>
          <w:rFonts w:ascii="Book Antiqua" w:hAnsi="Book Antiqua" w:cs="宋体"/>
          <w:i/>
          <w:iCs/>
          <w:kern w:val="0"/>
          <w:sz w:val="24"/>
        </w:rPr>
        <w:t>Gastroenterology</w:t>
      </w:r>
      <w:r w:rsidRPr="001E5D32">
        <w:rPr>
          <w:rFonts w:ascii="Book Antiqua" w:hAnsi="Book Antiqua" w:cs="宋体"/>
          <w:kern w:val="0"/>
          <w:sz w:val="24"/>
        </w:rPr>
        <w:t xml:space="preserve"> 1999; </w:t>
      </w:r>
      <w:r w:rsidRPr="001E5D32">
        <w:rPr>
          <w:rFonts w:ascii="Book Antiqua" w:hAnsi="Book Antiqua" w:cs="宋体"/>
          <w:b/>
          <w:bCs/>
          <w:kern w:val="0"/>
          <w:sz w:val="24"/>
        </w:rPr>
        <w:t>117</w:t>
      </w:r>
      <w:r w:rsidRPr="001E5D32">
        <w:rPr>
          <w:rFonts w:ascii="Book Antiqua" w:hAnsi="Book Antiqua" w:cs="宋体"/>
          <w:kern w:val="0"/>
          <w:sz w:val="24"/>
        </w:rPr>
        <w:t>: 1155-1163 [PMID: 10535879 DOI: 10.1016/s0016-5085(99)70401-4]</w:t>
      </w:r>
    </w:p>
    <w:p w14:paraId="2452F985"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91 </w:t>
      </w:r>
      <w:r w:rsidRPr="001E5D32">
        <w:rPr>
          <w:rFonts w:ascii="Book Antiqua" w:hAnsi="Book Antiqua" w:cs="宋体"/>
          <w:b/>
          <w:bCs/>
          <w:kern w:val="0"/>
          <w:sz w:val="24"/>
        </w:rPr>
        <w:t>Riva A</w:t>
      </w:r>
      <w:r w:rsidRPr="001E5D32">
        <w:rPr>
          <w:rFonts w:ascii="Book Antiqua" w:hAnsi="Book Antiqua" w:cs="宋体"/>
          <w:kern w:val="0"/>
          <w:sz w:val="24"/>
        </w:rPr>
        <w:t xml:space="preserve">, Trombini P, Mariani R, Salvioni A, Coletti S, Bonfadini S, Paolini V, Pozzi M, Facchetti R, Bovo G, Piperno A. Revaluation of clinical and histological criteria for diagnosis of dysmetabolic iron overload syndrome. </w:t>
      </w:r>
      <w:r w:rsidRPr="001E5D32">
        <w:rPr>
          <w:rFonts w:ascii="Book Antiqua" w:hAnsi="Book Antiqua" w:cs="宋体"/>
          <w:i/>
          <w:iCs/>
          <w:kern w:val="0"/>
          <w:sz w:val="24"/>
        </w:rPr>
        <w:t>World J Gastroenterol</w:t>
      </w:r>
      <w:r w:rsidRPr="001E5D32">
        <w:rPr>
          <w:rFonts w:ascii="Book Antiqua" w:hAnsi="Book Antiqua" w:cs="宋体"/>
          <w:kern w:val="0"/>
          <w:sz w:val="24"/>
        </w:rPr>
        <w:t xml:space="preserve"> 2008; </w:t>
      </w:r>
      <w:r w:rsidRPr="001E5D32">
        <w:rPr>
          <w:rFonts w:ascii="Book Antiqua" w:hAnsi="Book Antiqua" w:cs="宋体"/>
          <w:b/>
          <w:bCs/>
          <w:kern w:val="0"/>
          <w:sz w:val="24"/>
        </w:rPr>
        <w:t>14</w:t>
      </w:r>
      <w:r w:rsidRPr="001E5D32">
        <w:rPr>
          <w:rFonts w:ascii="Book Antiqua" w:hAnsi="Book Antiqua" w:cs="宋体"/>
          <w:kern w:val="0"/>
          <w:sz w:val="24"/>
        </w:rPr>
        <w:t>: 4745-4752 [PMID: 18720534 DOI: 10.3748/wjg.14.4745]</w:t>
      </w:r>
    </w:p>
    <w:p w14:paraId="1E3B25EE"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92 </w:t>
      </w:r>
      <w:r w:rsidRPr="001E5D32">
        <w:rPr>
          <w:rFonts w:ascii="Book Antiqua" w:hAnsi="Book Antiqua" w:cs="宋体"/>
          <w:b/>
          <w:bCs/>
          <w:kern w:val="0"/>
          <w:sz w:val="24"/>
        </w:rPr>
        <w:t>Angulo P</w:t>
      </w:r>
      <w:r w:rsidRPr="001E5D32">
        <w:rPr>
          <w:rFonts w:ascii="Book Antiqua" w:hAnsi="Book Antiqua" w:cs="宋体"/>
          <w:kern w:val="0"/>
          <w:sz w:val="24"/>
        </w:rPr>
        <w:t xml:space="preserve">. Diagnosing steatohepatitis and predicting liver-related mortality in patients with NAFLD: two distinct concepts. </w:t>
      </w:r>
      <w:r w:rsidRPr="001E5D32">
        <w:rPr>
          <w:rFonts w:ascii="Book Antiqua" w:hAnsi="Book Antiqua" w:cs="宋体"/>
          <w:i/>
          <w:iCs/>
          <w:kern w:val="0"/>
          <w:sz w:val="24"/>
        </w:rPr>
        <w:t>Hepatology</w:t>
      </w:r>
      <w:r w:rsidRPr="001E5D32">
        <w:rPr>
          <w:rFonts w:ascii="Book Antiqua" w:hAnsi="Book Antiqua" w:cs="宋体"/>
          <w:kern w:val="0"/>
          <w:sz w:val="24"/>
        </w:rPr>
        <w:t xml:space="preserve"> 2011; </w:t>
      </w:r>
      <w:r w:rsidRPr="001E5D32">
        <w:rPr>
          <w:rFonts w:ascii="Book Antiqua" w:hAnsi="Book Antiqua" w:cs="宋体"/>
          <w:b/>
          <w:bCs/>
          <w:kern w:val="0"/>
          <w:sz w:val="24"/>
        </w:rPr>
        <w:t>53</w:t>
      </w:r>
      <w:r w:rsidRPr="001E5D32">
        <w:rPr>
          <w:rFonts w:ascii="Book Antiqua" w:hAnsi="Book Antiqua" w:cs="宋体"/>
          <w:kern w:val="0"/>
          <w:sz w:val="24"/>
        </w:rPr>
        <w:t>: 1792-1794 [PMID: 21557278 DOI: 10.1002/hep.24403]</w:t>
      </w:r>
    </w:p>
    <w:p w14:paraId="5E2AE14B"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93 </w:t>
      </w:r>
      <w:r w:rsidRPr="001E5D32">
        <w:rPr>
          <w:rFonts w:ascii="Book Antiqua" w:hAnsi="Book Antiqua" w:cs="宋体"/>
          <w:b/>
          <w:bCs/>
          <w:kern w:val="0"/>
          <w:sz w:val="24"/>
        </w:rPr>
        <w:t>Poynard T</w:t>
      </w:r>
      <w:r w:rsidRPr="001E5D32">
        <w:rPr>
          <w:rFonts w:ascii="Book Antiqua" w:hAnsi="Book Antiqua" w:cs="宋体"/>
          <w:kern w:val="0"/>
          <w:sz w:val="24"/>
        </w:rPr>
        <w:t xml:space="preserve">, Munteanu M, Deckmyn O, Ngo Y, Drane F, Castille JM, Housset C, Ratziu V, Imbert-Bismut F. Validation of liver fibrosis biomarker (FibroTest) for assessing liver fibrosis progression: proof of concept and first application in a large population. </w:t>
      </w:r>
      <w:r w:rsidRPr="001E5D32">
        <w:rPr>
          <w:rFonts w:ascii="Book Antiqua" w:hAnsi="Book Antiqua" w:cs="宋体"/>
          <w:i/>
          <w:iCs/>
          <w:kern w:val="0"/>
          <w:sz w:val="24"/>
        </w:rPr>
        <w:t>J Hepatol</w:t>
      </w:r>
      <w:r w:rsidRPr="001E5D32">
        <w:rPr>
          <w:rFonts w:ascii="Book Antiqua" w:hAnsi="Book Antiqua" w:cs="宋体"/>
          <w:kern w:val="0"/>
          <w:sz w:val="24"/>
        </w:rPr>
        <w:t xml:space="preserve"> 2012; </w:t>
      </w:r>
      <w:r w:rsidRPr="001E5D32">
        <w:rPr>
          <w:rFonts w:ascii="Book Antiqua" w:hAnsi="Book Antiqua" w:cs="宋体"/>
          <w:b/>
          <w:bCs/>
          <w:kern w:val="0"/>
          <w:sz w:val="24"/>
        </w:rPr>
        <w:t>57</w:t>
      </w:r>
      <w:r w:rsidRPr="001E5D32">
        <w:rPr>
          <w:rFonts w:ascii="Book Antiqua" w:hAnsi="Book Antiqua" w:cs="宋体"/>
          <w:kern w:val="0"/>
          <w:sz w:val="24"/>
        </w:rPr>
        <w:t>: 541-548 [PMID: 22612998 DOI: 10.1016/j.jhep.2012.04.025]</w:t>
      </w:r>
    </w:p>
    <w:p w14:paraId="2E11DF2D"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94 </w:t>
      </w:r>
      <w:r w:rsidRPr="001E5D32">
        <w:rPr>
          <w:rFonts w:ascii="Book Antiqua" w:hAnsi="Book Antiqua" w:cs="宋体"/>
          <w:b/>
          <w:bCs/>
          <w:kern w:val="0"/>
          <w:sz w:val="24"/>
        </w:rPr>
        <w:t>Targher G</w:t>
      </w:r>
      <w:r w:rsidRPr="001E5D32">
        <w:rPr>
          <w:rFonts w:ascii="Book Antiqua" w:hAnsi="Book Antiqua" w:cs="宋体"/>
          <w:kern w:val="0"/>
          <w:sz w:val="24"/>
        </w:rPr>
        <w:t xml:space="preserve">, Marra F, Marchesini G. Increased risk of cardiovascular disease in non-alcoholic fatty liver disease: causal effect or epiphenomenon? </w:t>
      </w:r>
      <w:r w:rsidRPr="001E5D32">
        <w:rPr>
          <w:rFonts w:ascii="Book Antiqua" w:hAnsi="Book Antiqua" w:cs="宋体"/>
          <w:i/>
          <w:iCs/>
          <w:kern w:val="0"/>
          <w:sz w:val="24"/>
        </w:rPr>
        <w:t>Diabetologia</w:t>
      </w:r>
      <w:r w:rsidRPr="001E5D32">
        <w:rPr>
          <w:rFonts w:ascii="Book Antiqua" w:hAnsi="Book Antiqua" w:cs="宋体"/>
          <w:kern w:val="0"/>
          <w:sz w:val="24"/>
        </w:rPr>
        <w:t xml:space="preserve"> 2008; </w:t>
      </w:r>
      <w:r w:rsidRPr="001E5D32">
        <w:rPr>
          <w:rFonts w:ascii="Book Antiqua" w:hAnsi="Book Antiqua" w:cs="宋体"/>
          <w:b/>
          <w:bCs/>
          <w:kern w:val="0"/>
          <w:sz w:val="24"/>
        </w:rPr>
        <w:t>51</w:t>
      </w:r>
      <w:r w:rsidRPr="001E5D32">
        <w:rPr>
          <w:rFonts w:ascii="Book Antiqua" w:hAnsi="Book Antiqua" w:cs="宋体"/>
          <w:kern w:val="0"/>
          <w:sz w:val="24"/>
        </w:rPr>
        <w:t>: 1947-1953 [PMID: 18762907 DOI: 10.1007/s00125-008-1135-4]</w:t>
      </w:r>
    </w:p>
    <w:p w14:paraId="7EAB8E85"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95 </w:t>
      </w:r>
      <w:r w:rsidRPr="001E5D32">
        <w:rPr>
          <w:rFonts w:ascii="Book Antiqua" w:hAnsi="Book Antiqua" w:cs="宋体"/>
          <w:b/>
          <w:bCs/>
          <w:kern w:val="0"/>
          <w:sz w:val="24"/>
        </w:rPr>
        <w:t>Yilmaz Y</w:t>
      </w:r>
      <w:r w:rsidRPr="001E5D32">
        <w:rPr>
          <w:rFonts w:ascii="Book Antiqua" w:hAnsi="Book Antiqua" w:cs="宋体"/>
          <w:kern w:val="0"/>
          <w:sz w:val="24"/>
        </w:rPr>
        <w:t xml:space="preserve">, Kurt R, Yonal O, Polat N, Celikel CA, Gurdal A, Oflaz H, Ozdogan O, Imeryuz N, Kalayci C, Avsar E. Coronary flow reserve is impaired in patients with nonalcoholic fatty liver disease: association with liver fibrosis. </w:t>
      </w:r>
      <w:r w:rsidRPr="001E5D32">
        <w:rPr>
          <w:rFonts w:ascii="Book Antiqua" w:hAnsi="Book Antiqua" w:cs="宋体"/>
          <w:i/>
          <w:iCs/>
          <w:kern w:val="0"/>
          <w:sz w:val="24"/>
        </w:rPr>
        <w:t>Atherosclerosis</w:t>
      </w:r>
      <w:r w:rsidRPr="001E5D32">
        <w:rPr>
          <w:rFonts w:ascii="Book Antiqua" w:hAnsi="Book Antiqua" w:cs="宋体"/>
          <w:kern w:val="0"/>
          <w:sz w:val="24"/>
        </w:rPr>
        <w:t xml:space="preserve"> 2010; </w:t>
      </w:r>
      <w:r w:rsidRPr="001E5D32">
        <w:rPr>
          <w:rFonts w:ascii="Book Antiqua" w:hAnsi="Book Antiqua" w:cs="宋体"/>
          <w:b/>
          <w:bCs/>
          <w:kern w:val="0"/>
          <w:sz w:val="24"/>
        </w:rPr>
        <w:t>211</w:t>
      </w:r>
      <w:r w:rsidRPr="001E5D32">
        <w:rPr>
          <w:rFonts w:ascii="Book Antiqua" w:hAnsi="Book Antiqua" w:cs="宋体"/>
          <w:kern w:val="0"/>
          <w:sz w:val="24"/>
        </w:rPr>
        <w:t>: 182-186 [PMID: 20181335 DOI: 10.1016/j.atherosclerosis.2010.01.049]</w:t>
      </w:r>
    </w:p>
    <w:p w14:paraId="168787F8"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96 </w:t>
      </w:r>
      <w:r w:rsidRPr="001E5D32">
        <w:rPr>
          <w:rFonts w:ascii="Book Antiqua" w:hAnsi="Book Antiqua" w:cs="宋体"/>
          <w:b/>
          <w:bCs/>
          <w:kern w:val="0"/>
          <w:sz w:val="24"/>
        </w:rPr>
        <w:t>Kruger FC</w:t>
      </w:r>
      <w:r w:rsidRPr="001E5D32">
        <w:rPr>
          <w:rFonts w:ascii="Book Antiqua" w:hAnsi="Book Antiqua" w:cs="宋体"/>
          <w:kern w:val="0"/>
          <w:sz w:val="24"/>
        </w:rPr>
        <w:t xml:space="preserve">, Daniels CR, Kidd M, Swart G, Brundyn K, van Rensburg C, Kotze M. APRI: a simple bedside marker for advanced fibrosis that can avoid liver biopsy in patients with NAFLD/NASH. </w:t>
      </w:r>
      <w:r w:rsidRPr="001E5D32">
        <w:rPr>
          <w:rFonts w:ascii="Book Antiqua" w:hAnsi="Book Antiqua" w:cs="宋体"/>
          <w:i/>
          <w:iCs/>
          <w:kern w:val="0"/>
          <w:sz w:val="24"/>
        </w:rPr>
        <w:t>S Afr Med J</w:t>
      </w:r>
      <w:r w:rsidRPr="001E5D32">
        <w:rPr>
          <w:rFonts w:ascii="Book Antiqua" w:hAnsi="Book Antiqua" w:cs="宋体"/>
          <w:kern w:val="0"/>
          <w:sz w:val="24"/>
        </w:rPr>
        <w:t xml:space="preserve"> 2011; </w:t>
      </w:r>
      <w:r w:rsidRPr="001E5D32">
        <w:rPr>
          <w:rFonts w:ascii="Book Antiqua" w:hAnsi="Book Antiqua" w:cs="宋体"/>
          <w:b/>
          <w:bCs/>
          <w:kern w:val="0"/>
          <w:sz w:val="24"/>
        </w:rPr>
        <w:t>101</w:t>
      </w:r>
      <w:r w:rsidRPr="001E5D32">
        <w:rPr>
          <w:rFonts w:ascii="Book Antiqua" w:hAnsi="Book Antiqua" w:cs="宋体"/>
          <w:kern w:val="0"/>
          <w:sz w:val="24"/>
        </w:rPr>
        <w:t>: 477-480 [PMID: 21920102]</w:t>
      </w:r>
    </w:p>
    <w:p w14:paraId="6877EE1D"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97 </w:t>
      </w:r>
      <w:r w:rsidRPr="001E5D32">
        <w:rPr>
          <w:rFonts w:ascii="Book Antiqua" w:hAnsi="Book Antiqua" w:cs="宋体"/>
          <w:b/>
          <w:bCs/>
          <w:kern w:val="0"/>
          <w:sz w:val="24"/>
        </w:rPr>
        <w:t>Ratziu V</w:t>
      </w:r>
      <w:r w:rsidRPr="001E5D32">
        <w:rPr>
          <w:rFonts w:ascii="Book Antiqua" w:hAnsi="Book Antiqua" w:cs="宋体"/>
          <w:kern w:val="0"/>
          <w:sz w:val="24"/>
        </w:rPr>
        <w:t xml:space="preserve">, Giral P, Charlotte F, Bruckert E, Thibault V, Theodorou I, Khalil L, Turpin G, Opolon P, Poynard T. Liver fibrosis in overweight patients. </w:t>
      </w:r>
      <w:r w:rsidRPr="001E5D32">
        <w:rPr>
          <w:rFonts w:ascii="Book Antiqua" w:hAnsi="Book Antiqua" w:cs="宋体"/>
          <w:i/>
          <w:iCs/>
          <w:kern w:val="0"/>
          <w:sz w:val="24"/>
        </w:rPr>
        <w:t>Gastroenterology</w:t>
      </w:r>
      <w:r w:rsidRPr="001E5D32">
        <w:rPr>
          <w:rFonts w:ascii="Book Antiqua" w:hAnsi="Book Antiqua" w:cs="宋体"/>
          <w:kern w:val="0"/>
          <w:sz w:val="24"/>
        </w:rPr>
        <w:t xml:space="preserve"> 2000; </w:t>
      </w:r>
      <w:r w:rsidRPr="001E5D32">
        <w:rPr>
          <w:rFonts w:ascii="Book Antiqua" w:hAnsi="Book Antiqua" w:cs="宋体"/>
          <w:b/>
          <w:bCs/>
          <w:kern w:val="0"/>
          <w:sz w:val="24"/>
        </w:rPr>
        <w:t>118</w:t>
      </w:r>
      <w:r w:rsidRPr="001E5D32">
        <w:rPr>
          <w:rFonts w:ascii="Book Antiqua" w:hAnsi="Book Antiqua" w:cs="宋体"/>
          <w:kern w:val="0"/>
          <w:sz w:val="24"/>
        </w:rPr>
        <w:t>: 1117-1123 [PMID: 10833486 DOI: 10.1016/s0016-5085(00)70364-7]</w:t>
      </w:r>
    </w:p>
    <w:p w14:paraId="5BF6B124"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98 </w:t>
      </w:r>
      <w:r w:rsidRPr="001E5D32">
        <w:rPr>
          <w:rFonts w:ascii="Book Antiqua" w:hAnsi="Book Antiqua" w:cs="宋体"/>
          <w:b/>
          <w:bCs/>
          <w:kern w:val="0"/>
          <w:sz w:val="24"/>
        </w:rPr>
        <w:t>Harrison SA</w:t>
      </w:r>
      <w:r w:rsidRPr="001E5D32">
        <w:rPr>
          <w:rFonts w:ascii="Book Antiqua" w:hAnsi="Book Antiqua" w:cs="宋体"/>
          <w:kern w:val="0"/>
          <w:sz w:val="24"/>
        </w:rPr>
        <w:t xml:space="preserve">, Oliver D, Arnold HL, Gogia S, Neuschwander-Tetri BA. Development and validation of a simple NAFLD clinical scoring system for identifying patients without advanced disease. </w:t>
      </w:r>
      <w:r w:rsidRPr="001E5D32">
        <w:rPr>
          <w:rFonts w:ascii="Book Antiqua" w:hAnsi="Book Antiqua" w:cs="宋体"/>
          <w:i/>
          <w:iCs/>
          <w:kern w:val="0"/>
          <w:sz w:val="24"/>
        </w:rPr>
        <w:t>Gut</w:t>
      </w:r>
      <w:r w:rsidRPr="001E5D32">
        <w:rPr>
          <w:rFonts w:ascii="Book Antiqua" w:hAnsi="Book Antiqua" w:cs="宋体"/>
          <w:kern w:val="0"/>
          <w:sz w:val="24"/>
        </w:rPr>
        <w:t xml:space="preserve"> 2008; </w:t>
      </w:r>
      <w:r w:rsidRPr="001E5D32">
        <w:rPr>
          <w:rFonts w:ascii="Book Antiqua" w:hAnsi="Book Antiqua" w:cs="宋体"/>
          <w:b/>
          <w:bCs/>
          <w:kern w:val="0"/>
          <w:sz w:val="24"/>
        </w:rPr>
        <w:t>57</w:t>
      </w:r>
      <w:r w:rsidRPr="001E5D32">
        <w:rPr>
          <w:rFonts w:ascii="Book Antiqua" w:hAnsi="Book Antiqua" w:cs="宋体"/>
          <w:kern w:val="0"/>
          <w:sz w:val="24"/>
        </w:rPr>
        <w:t>: 1441-1447 [PMID: 18390575 DOI: 10.1136/gut.2007.146019]</w:t>
      </w:r>
    </w:p>
    <w:p w14:paraId="21F68D6B"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99 </w:t>
      </w:r>
      <w:r w:rsidRPr="001E5D32">
        <w:rPr>
          <w:rFonts w:ascii="Book Antiqua" w:hAnsi="Book Antiqua" w:cs="宋体"/>
          <w:b/>
          <w:bCs/>
          <w:kern w:val="0"/>
          <w:sz w:val="24"/>
        </w:rPr>
        <w:t>Udell JA</w:t>
      </w:r>
      <w:r w:rsidRPr="001E5D32">
        <w:rPr>
          <w:rFonts w:ascii="Book Antiqua" w:hAnsi="Book Antiqua" w:cs="宋体"/>
          <w:kern w:val="0"/>
          <w:sz w:val="24"/>
        </w:rPr>
        <w:t xml:space="preserve">, Wang CS, Tinmouth J, FitzGerald JM, Ayas NT, Simel DL, Schulzer M, Mak E, Yoshida EM. Does this patient with liver disease have cirrhosis? </w:t>
      </w:r>
      <w:r w:rsidRPr="001E5D32">
        <w:rPr>
          <w:rFonts w:ascii="Book Antiqua" w:hAnsi="Book Antiqua" w:cs="宋体"/>
          <w:i/>
          <w:iCs/>
          <w:kern w:val="0"/>
          <w:sz w:val="24"/>
        </w:rPr>
        <w:t>JAMA</w:t>
      </w:r>
      <w:r w:rsidRPr="001E5D32">
        <w:rPr>
          <w:rFonts w:ascii="Book Antiqua" w:hAnsi="Book Antiqua" w:cs="宋体"/>
          <w:kern w:val="0"/>
          <w:sz w:val="24"/>
        </w:rPr>
        <w:t xml:space="preserve"> 2012; </w:t>
      </w:r>
      <w:r w:rsidRPr="001E5D32">
        <w:rPr>
          <w:rFonts w:ascii="Book Antiqua" w:hAnsi="Book Antiqua" w:cs="宋体"/>
          <w:b/>
          <w:bCs/>
          <w:kern w:val="0"/>
          <w:sz w:val="24"/>
        </w:rPr>
        <w:t>307</w:t>
      </w:r>
      <w:r w:rsidRPr="001E5D32">
        <w:rPr>
          <w:rFonts w:ascii="Book Antiqua" w:hAnsi="Book Antiqua" w:cs="宋体"/>
          <w:kern w:val="0"/>
          <w:sz w:val="24"/>
        </w:rPr>
        <w:t>: 832-842 [PMID: 22357834 DOI: 10.1001/jama.2012.186]</w:t>
      </w:r>
    </w:p>
    <w:p w14:paraId="0A9C0576"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100 </w:t>
      </w:r>
      <w:r w:rsidRPr="001E5D32">
        <w:rPr>
          <w:rFonts w:ascii="Book Antiqua" w:hAnsi="Book Antiqua" w:cs="宋体"/>
          <w:b/>
          <w:bCs/>
          <w:kern w:val="0"/>
          <w:sz w:val="24"/>
        </w:rPr>
        <w:t>Shah AG</w:t>
      </w:r>
      <w:r w:rsidRPr="001E5D32">
        <w:rPr>
          <w:rFonts w:ascii="Book Antiqua" w:hAnsi="Book Antiqua" w:cs="宋体"/>
          <w:kern w:val="0"/>
          <w:sz w:val="24"/>
        </w:rPr>
        <w:t xml:space="preserve">, Lydecker A, Murray K, Tetri BN, Contos MJ, Sanyal AJ. Comparison of noninvasive markers of fibrosis in patients with nonalcoholic fatty liver disease. </w:t>
      </w:r>
      <w:r w:rsidRPr="001E5D32">
        <w:rPr>
          <w:rFonts w:ascii="Book Antiqua" w:hAnsi="Book Antiqua" w:cs="宋体"/>
          <w:i/>
          <w:iCs/>
          <w:kern w:val="0"/>
          <w:sz w:val="24"/>
        </w:rPr>
        <w:t>Clin Gastroenterol Hepatol</w:t>
      </w:r>
      <w:r w:rsidRPr="001E5D32">
        <w:rPr>
          <w:rFonts w:ascii="Book Antiqua" w:hAnsi="Book Antiqua" w:cs="宋体"/>
          <w:kern w:val="0"/>
          <w:sz w:val="24"/>
        </w:rPr>
        <w:t xml:space="preserve"> 2009; </w:t>
      </w:r>
      <w:r w:rsidRPr="001E5D32">
        <w:rPr>
          <w:rFonts w:ascii="Book Antiqua" w:hAnsi="Book Antiqua" w:cs="宋体"/>
          <w:b/>
          <w:bCs/>
          <w:kern w:val="0"/>
          <w:sz w:val="24"/>
        </w:rPr>
        <w:t>7</w:t>
      </w:r>
      <w:r w:rsidRPr="001E5D32">
        <w:rPr>
          <w:rFonts w:ascii="Book Antiqua" w:hAnsi="Book Antiqua" w:cs="宋体"/>
          <w:kern w:val="0"/>
          <w:sz w:val="24"/>
        </w:rPr>
        <w:t>: 1104-1112 [PMID: 19523535 DOI: 10.1016/j.cgh.2009.05.033]</w:t>
      </w:r>
    </w:p>
    <w:p w14:paraId="1E8A2D34"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101 </w:t>
      </w:r>
      <w:r w:rsidRPr="001E5D32">
        <w:rPr>
          <w:rFonts w:ascii="Book Antiqua" w:hAnsi="Book Antiqua" w:cs="宋体"/>
          <w:b/>
          <w:bCs/>
          <w:kern w:val="0"/>
          <w:sz w:val="24"/>
        </w:rPr>
        <w:t>Sud A</w:t>
      </w:r>
      <w:r w:rsidRPr="001E5D32">
        <w:rPr>
          <w:rFonts w:ascii="Book Antiqua" w:hAnsi="Book Antiqua" w:cs="宋体"/>
          <w:kern w:val="0"/>
          <w:sz w:val="24"/>
        </w:rPr>
        <w:t xml:space="preserve">, Hui JM, Farrell GC, Bandara P, Kench JG, Fung C, Lin R, Samarasinghe D, Liddle C, McCaughan GW, George J. Improved prediction of fibrosis in chronic hepatitis C using measures of insulin resistance in a probability index. </w:t>
      </w:r>
      <w:r w:rsidRPr="001E5D32">
        <w:rPr>
          <w:rFonts w:ascii="Book Antiqua" w:hAnsi="Book Antiqua" w:cs="宋体"/>
          <w:i/>
          <w:iCs/>
          <w:kern w:val="0"/>
          <w:sz w:val="24"/>
        </w:rPr>
        <w:t>Hepatology</w:t>
      </w:r>
      <w:r w:rsidRPr="001E5D32">
        <w:rPr>
          <w:rFonts w:ascii="Book Antiqua" w:hAnsi="Book Antiqua" w:cs="宋体"/>
          <w:kern w:val="0"/>
          <w:sz w:val="24"/>
        </w:rPr>
        <w:t xml:space="preserve"> 2004; </w:t>
      </w:r>
      <w:r w:rsidRPr="001E5D32">
        <w:rPr>
          <w:rFonts w:ascii="Book Antiqua" w:hAnsi="Book Antiqua" w:cs="宋体"/>
          <w:b/>
          <w:bCs/>
          <w:kern w:val="0"/>
          <w:sz w:val="24"/>
        </w:rPr>
        <w:t>39</w:t>
      </w:r>
      <w:r w:rsidRPr="001E5D32">
        <w:rPr>
          <w:rFonts w:ascii="Book Antiqua" w:hAnsi="Book Antiqua" w:cs="宋体"/>
          <w:kern w:val="0"/>
          <w:sz w:val="24"/>
        </w:rPr>
        <w:t>: 1239-1247 [PMID: 15122752 DOI: 10.1002/hep.20207]</w:t>
      </w:r>
    </w:p>
    <w:p w14:paraId="35F4D33F"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102 </w:t>
      </w:r>
      <w:r w:rsidRPr="001E5D32">
        <w:rPr>
          <w:rFonts w:ascii="Book Antiqua" w:hAnsi="Book Antiqua" w:cs="宋体"/>
          <w:b/>
          <w:bCs/>
          <w:kern w:val="0"/>
          <w:sz w:val="24"/>
        </w:rPr>
        <w:t>Forns X</w:t>
      </w:r>
      <w:r w:rsidRPr="001E5D32">
        <w:rPr>
          <w:rFonts w:ascii="Book Antiqua" w:hAnsi="Book Antiqua" w:cs="宋体"/>
          <w:kern w:val="0"/>
          <w:sz w:val="24"/>
        </w:rPr>
        <w:t xml:space="preserve">, Ampurdanès S, Llovet JM, Aponte J, Quintó L, Martínez-Bauer E, Bruguera M, Sánchez-Tapias JM, Rodés J. Identification of chronic hepatitis C patients without hepatic fibrosis by a simple predictive model. </w:t>
      </w:r>
      <w:r w:rsidRPr="001E5D32">
        <w:rPr>
          <w:rFonts w:ascii="Book Antiqua" w:hAnsi="Book Antiqua" w:cs="宋体"/>
          <w:i/>
          <w:iCs/>
          <w:kern w:val="0"/>
          <w:sz w:val="24"/>
        </w:rPr>
        <w:t>Hepatology</w:t>
      </w:r>
      <w:r w:rsidRPr="001E5D32">
        <w:rPr>
          <w:rFonts w:ascii="Book Antiqua" w:hAnsi="Book Antiqua" w:cs="宋体"/>
          <w:kern w:val="0"/>
          <w:sz w:val="24"/>
        </w:rPr>
        <w:t xml:space="preserve"> 2002; </w:t>
      </w:r>
      <w:r w:rsidRPr="001E5D32">
        <w:rPr>
          <w:rFonts w:ascii="Book Antiqua" w:hAnsi="Book Antiqua" w:cs="宋体"/>
          <w:b/>
          <w:bCs/>
          <w:kern w:val="0"/>
          <w:sz w:val="24"/>
        </w:rPr>
        <w:t>36</w:t>
      </w:r>
      <w:r w:rsidRPr="001E5D32">
        <w:rPr>
          <w:rFonts w:ascii="Book Antiqua" w:hAnsi="Book Antiqua" w:cs="宋体"/>
          <w:kern w:val="0"/>
          <w:sz w:val="24"/>
        </w:rPr>
        <w:t>: 986-992 [PMID: 12297848 DOI: 10.1016/s0270-9139(02)00107-6]</w:t>
      </w:r>
    </w:p>
    <w:p w14:paraId="0C58E9F0"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103 </w:t>
      </w:r>
      <w:r w:rsidRPr="001E5D32">
        <w:rPr>
          <w:rFonts w:ascii="Book Antiqua" w:hAnsi="Book Antiqua" w:cs="宋体"/>
          <w:b/>
          <w:bCs/>
          <w:kern w:val="0"/>
          <w:sz w:val="24"/>
        </w:rPr>
        <w:t>Hui AY</w:t>
      </w:r>
      <w:r w:rsidRPr="001E5D32">
        <w:rPr>
          <w:rFonts w:ascii="Book Antiqua" w:hAnsi="Book Antiqua" w:cs="宋体"/>
          <w:kern w:val="0"/>
          <w:sz w:val="24"/>
        </w:rPr>
        <w:t xml:space="preserve">, Chan HL, Wong VW, Liew CT, Chim AM, Chan FK, Sung JJ. Identification of chronic hepatitis B patients without significant liver fibrosis by a simple noninvasive predictive model. </w:t>
      </w:r>
      <w:r w:rsidRPr="001E5D32">
        <w:rPr>
          <w:rFonts w:ascii="Book Antiqua" w:hAnsi="Book Antiqua" w:cs="宋体"/>
          <w:i/>
          <w:iCs/>
          <w:kern w:val="0"/>
          <w:sz w:val="24"/>
        </w:rPr>
        <w:t>Am J Gastroenterol</w:t>
      </w:r>
      <w:r w:rsidRPr="001E5D32">
        <w:rPr>
          <w:rFonts w:ascii="Book Antiqua" w:hAnsi="Book Antiqua" w:cs="宋体"/>
          <w:kern w:val="0"/>
          <w:sz w:val="24"/>
        </w:rPr>
        <w:t xml:space="preserve"> 2005; </w:t>
      </w:r>
      <w:r w:rsidRPr="001E5D32">
        <w:rPr>
          <w:rFonts w:ascii="Book Antiqua" w:hAnsi="Book Antiqua" w:cs="宋体"/>
          <w:b/>
          <w:bCs/>
          <w:kern w:val="0"/>
          <w:sz w:val="24"/>
        </w:rPr>
        <w:t>100</w:t>
      </w:r>
      <w:r w:rsidRPr="001E5D32">
        <w:rPr>
          <w:rFonts w:ascii="Book Antiqua" w:hAnsi="Book Antiqua" w:cs="宋体"/>
          <w:kern w:val="0"/>
          <w:sz w:val="24"/>
        </w:rPr>
        <w:t>: 616-623 [PMID: 15743360 DOI: 10.1111/j.1572-0241.2005.41289.x]</w:t>
      </w:r>
    </w:p>
    <w:p w14:paraId="4A134BB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104 </w:t>
      </w:r>
      <w:r w:rsidRPr="001E5D32">
        <w:rPr>
          <w:rFonts w:ascii="Book Antiqua" w:hAnsi="Book Antiqua" w:cs="宋体"/>
          <w:b/>
          <w:bCs/>
          <w:kern w:val="0"/>
          <w:sz w:val="24"/>
        </w:rPr>
        <w:t>Cross TJ</w:t>
      </w:r>
      <w:r w:rsidRPr="001E5D32">
        <w:rPr>
          <w:rFonts w:ascii="Book Antiqua" w:hAnsi="Book Antiqua" w:cs="宋体"/>
          <w:kern w:val="0"/>
          <w:sz w:val="24"/>
        </w:rPr>
        <w:t xml:space="preserve">, Rizzi P, Berry PA, Bruce M, Portmann B, Harrison PM. King's Score: an accurate marker of cirrhosis in chronic hepatitis C. </w:t>
      </w:r>
      <w:r w:rsidRPr="001E5D32">
        <w:rPr>
          <w:rFonts w:ascii="Book Antiqua" w:hAnsi="Book Antiqua" w:cs="宋体"/>
          <w:i/>
          <w:iCs/>
          <w:kern w:val="0"/>
          <w:sz w:val="24"/>
        </w:rPr>
        <w:t>Eur J Gastroenterol Hepatol</w:t>
      </w:r>
      <w:r w:rsidRPr="001E5D32">
        <w:rPr>
          <w:rFonts w:ascii="Book Antiqua" w:hAnsi="Book Antiqua" w:cs="宋体"/>
          <w:kern w:val="0"/>
          <w:sz w:val="24"/>
        </w:rPr>
        <w:t xml:space="preserve"> 2009; </w:t>
      </w:r>
      <w:r w:rsidRPr="001E5D32">
        <w:rPr>
          <w:rFonts w:ascii="Book Antiqua" w:hAnsi="Book Antiqua" w:cs="宋体"/>
          <w:b/>
          <w:bCs/>
          <w:kern w:val="0"/>
          <w:sz w:val="24"/>
        </w:rPr>
        <w:t>21</w:t>
      </w:r>
      <w:r w:rsidRPr="001E5D32">
        <w:rPr>
          <w:rFonts w:ascii="Book Antiqua" w:hAnsi="Book Antiqua" w:cs="宋体"/>
          <w:kern w:val="0"/>
          <w:sz w:val="24"/>
        </w:rPr>
        <w:t>: 730-738 [PMID: 19430302 DOI: 10.1097/MEG.0b013e32830dfcb]</w:t>
      </w:r>
    </w:p>
    <w:p w14:paraId="614BA548"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105 </w:t>
      </w:r>
      <w:r w:rsidRPr="001E5D32">
        <w:rPr>
          <w:rFonts w:ascii="Book Antiqua" w:hAnsi="Book Antiqua" w:cs="宋体"/>
          <w:b/>
          <w:bCs/>
          <w:kern w:val="0"/>
          <w:sz w:val="24"/>
        </w:rPr>
        <w:t>Lok AS</w:t>
      </w:r>
      <w:r w:rsidRPr="001E5D32">
        <w:rPr>
          <w:rFonts w:ascii="Book Antiqua" w:hAnsi="Book Antiqua" w:cs="宋体"/>
          <w:kern w:val="0"/>
          <w:sz w:val="24"/>
        </w:rPr>
        <w:t xml:space="preserve">, Ghany MG, Goodman ZD, Wright EC, Everson GT, Sterling RK, Everhart JE, Lindsay KL, Bonkovsky HL, Di Bisceglie AM, Lee WM, Morgan TR, Dienstag JL, Morishima C. Predicting cirrhosis in patients with hepatitis C based on standard laboratory tests: results of the HALT-C cohort. </w:t>
      </w:r>
      <w:r w:rsidRPr="001E5D32">
        <w:rPr>
          <w:rFonts w:ascii="Book Antiqua" w:hAnsi="Book Antiqua" w:cs="宋体"/>
          <w:i/>
          <w:iCs/>
          <w:kern w:val="0"/>
          <w:sz w:val="24"/>
        </w:rPr>
        <w:t>Hepatology</w:t>
      </w:r>
      <w:r w:rsidRPr="001E5D32">
        <w:rPr>
          <w:rFonts w:ascii="Book Antiqua" w:hAnsi="Book Antiqua" w:cs="宋体"/>
          <w:kern w:val="0"/>
          <w:sz w:val="24"/>
        </w:rPr>
        <w:t xml:space="preserve"> 2005; </w:t>
      </w:r>
      <w:r w:rsidRPr="001E5D32">
        <w:rPr>
          <w:rFonts w:ascii="Book Antiqua" w:hAnsi="Book Antiqua" w:cs="宋体"/>
          <w:b/>
          <w:bCs/>
          <w:kern w:val="0"/>
          <w:sz w:val="24"/>
        </w:rPr>
        <w:t>42</w:t>
      </w:r>
      <w:r w:rsidRPr="001E5D32">
        <w:rPr>
          <w:rFonts w:ascii="Book Antiqua" w:hAnsi="Book Antiqua" w:cs="宋体"/>
          <w:kern w:val="0"/>
          <w:sz w:val="24"/>
        </w:rPr>
        <w:t>: 282-292 [PMID: 15986415 DOI: 10.1002/hep.20772]</w:t>
      </w:r>
    </w:p>
    <w:p w14:paraId="2E10AF26"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106 </w:t>
      </w:r>
      <w:r w:rsidRPr="001E5D32">
        <w:rPr>
          <w:rFonts w:ascii="Book Antiqua" w:hAnsi="Book Antiqua" w:cs="宋体"/>
          <w:b/>
          <w:bCs/>
          <w:kern w:val="0"/>
          <w:sz w:val="24"/>
        </w:rPr>
        <w:t>Angulo P</w:t>
      </w:r>
      <w:r w:rsidRPr="001E5D32">
        <w:rPr>
          <w:rFonts w:ascii="Book Antiqua" w:hAnsi="Book Antiqua" w:cs="宋体"/>
          <w:kern w:val="0"/>
          <w:sz w:val="24"/>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sidRPr="001E5D32">
        <w:rPr>
          <w:rFonts w:ascii="Book Antiqua" w:hAnsi="Book Antiqua" w:cs="宋体"/>
          <w:i/>
          <w:iCs/>
          <w:kern w:val="0"/>
          <w:sz w:val="24"/>
        </w:rPr>
        <w:t>Hepatology</w:t>
      </w:r>
      <w:r w:rsidRPr="001E5D32">
        <w:rPr>
          <w:rFonts w:ascii="Book Antiqua" w:hAnsi="Book Antiqua" w:cs="宋体"/>
          <w:kern w:val="0"/>
          <w:sz w:val="24"/>
        </w:rPr>
        <w:t xml:space="preserve"> 2007; </w:t>
      </w:r>
      <w:r w:rsidRPr="001E5D32">
        <w:rPr>
          <w:rFonts w:ascii="Book Antiqua" w:hAnsi="Book Antiqua" w:cs="宋体"/>
          <w:b/>
          <w:bCs/>
          <w:kern w:val="0"/>
          <w:sz w:val="24"/>
        </w:rPr>
        <w:t>45</w:t>
      </w:r>
      <w:r w:rsidRPr="001E5D32">
        <w:rPr>
          <w:rFonts w:ascii="Book Antiqua" w:hAnsi="Book Antiqua" w:cs="宋体"/>
          <w:kern w:val="0"/>
          <w:sz w:val="24"/>
        </w:rPr>
        <w:t>: 846-854 [PMID: 17393509 DOI: 10.1002/hep.21496]</w:t>
      </w:r>
    </w:p>
    <w:p w14:paraId="511BFF2C"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107 </w:t>
      </w:r>
      <w:r w:rsidRPr="001E5D32">
        <w:rPr>
          <w:rFonts w:ascii="Book Antiqua" w:hAnsi="Book Antiqua" w:cs="宋体"/>
          <w:b/>
          <w:bCs/>
          <w:kern w:val="0"/>
          <w:sz w:val="24"/>
        </w:rPr>
        <w:t>Gan L</w:t>
      </w:r>
      <w:r w:rsidRPr="001E5D32">
        <w:rPr>
          <w:rFonts w:ascii="Book Antiqua" w:hAnsi="Book Antiqua" w:cs="宋体"/>
          <w:kern w:val="0"/>
          <w:sz w:val="24"/>
        </w:rPr>
        <w:t xml:space="preserve">, Chitturi S, Farrell GC. Mechanisms and implications of age-related changes in the liver: nonalcoholic Fatty liver disease in the elderly. </w:t>
      </w:r>
      <w:r w:rsidRPr="001E5D32">
        <w:rPr>
          <w:rFonts w:ascii="Book Antiqua" w:hAnsi="Book Antiqua" w:cs="宋体"/>
          <w:i/>
          <w:iCs/>
          <w:kern w:val="0"/>
          <w:sz w:val="24"/>
        </w:rPr>
        <w:t>Curr Gerontol Geriatr Res</w:t>
      </w:r>
      <w:r w:rsidRPr="001E5D32">
        <w:rPr>
          <w:rFonts w:ascii="Book Antiqua" w:hAnsi="Book Antiqua" w:cs="宋体"/>
          <w:kern w:val="0"/>
          <w:sz w:val="24"/>
        </w:rPr>
        <w:t xml:space="preserve"> 2011; </w:t>
      </w:r>
      <w:r w:rsidRPr="001E5D32">
        <w:rPr>
          <w:rFonts w:ascii="Book Antiqua" w:hAnsi="Book Antiqua" w:cs="宋体"/>
          <w:b/>
          <w:bCs/>
          <w:kern w:val="0"/>
          <w:sz w:val="24"/>
        </w:rPr>
        <w:t>2011</w:t>
      </w:r>
      <w:r w:rsidRPr="001E5D32">
        <w:rPr>
          <w:rFonts w:ascii="Book Antiqua" w:hAnsi="Book Antiqua" w:cs="宋体"/>
          <w:kern w:val="0"/>
          <w:sz w:val="24"/>
        </w:rPr>
        <w:t>: 831536 [PMID: 21918648 DOI: 10.1155/2011/831536]</w:t>
      </w:r>
    </w:p>
    <w:p w14:paraId="3A1927EE"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108 </w:t>
      </w:r>
      <w:r w:rsidRPr="001E5D32">
        <w:rPr>
          <w:rFonts w:ascii="Book Antiqua" w:hAnsi="Book Antiqua" w:cs="宋体"/>
          <w:b/>
          <w:bCs/>
          <w:kern w:val="0"/>
          <w:sz w:val="24"/>
        </w:rPr>
        <w:t>Angulo P</w:t>
      </w:r>
      <w:r w:rsidRPr="001E5D32">
        <w:rPr>
          <w:rFonts w:ascii="Book Antiqua" w:hAnsi="Book Antiqua" w:cs="宋体"/>
          <w:kern w:val="0"/>
          <w:sz w:val="24"/>
        </w:rPr>
        <w:t xml:space="preserve">, Keach JC, Batts KP, Lindor KD. Independent predictors of liver fibrosis in patients with nonalcoholic steatohepatitis. </w:t>
      </w:r>
      <w:r w:rsidRPr="001E5D32">
        <w:rPr>
          <w:rFonts w:ascii="Book Antiqua" w:hAnsi="Book Antiqua" w:cs="宋体"/>
          <w:i/>
          <w:iCs/>
          <w:kern w:val="0"/>
          <w:sz w:val="24"/>
        </w:rPr>
        <w:t>Hepatology</w:t>
      </w:r>
      <w:r w:rsidRPr="001E5D32">
        <w:rPr>
          <w:rFonts w:ascii="Book Antiqua" w:hAnsi="Book Antiqua" w:cs="宋体"/>
          <w:kern w:val="0"/>
          <w:sz w:val="24"/>
        </w:rPr>
        <w:t xml:space="preserve"> 1999; </w:t>
      </w:r>
      <w:r w:rsidRPr="001E5D32">
        <w:rPr>
          <w:rFonts w:ascii="Book Antiqua" w:hAnsi="Book Antiqua" w:cs="宋体"/>
          <w:b/>
          <w:bCs/>
          <w:kern w:val="0"/>
          <w:sz w:val="24"/>
        </w:rPr>
        <w:t>30</w:t>
      </w:r>
      <w:r w:rsidRPr="001E5D32">
        <w:rPr>
          <w:rFonts w:ascii="Book Antiqua" w:hAnsi="Book Antiqua" w:cs="宋体"/>
          <w:kern w:val="0"/>
          <w:sz w:val="24"/>
        </w:rPr>
        <w:t>: 1356-1362 [PMID: 10573511 DOI: 10.1002/hep.510300604]</w:t>
      </w:r>
    </w:p>
    <w:p w14:paraId="721DB358"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109 </w:t>
      </w:r>
      <w:r w:rsidRPr="001E5D32">
        <w:rPr>
          <w:rFonts w:ascii="Book Antiqua" w:hAnsi="Book Antiqua" w:cs="宋体"/>
          <w:b/>
          <w:bCs/>
          <w:kern w:val="0"/>
          <w:sz w:val="24"/>
        </w:rPr>
        <w:t>Sorbi D</w:t>
      </w:r>
      <w:r w:rsidRPr="001E5D32">
        <w:rPr>
          <w:rFonts w:ascii="Book Antiqua" w:hAnsi="Book Antiqua" w:cs="宋体"/>
          <w:kern w:val="0"/>
          <w:sz w:val="24"/>
        </w:rPr>
        <w:t xml:space="preserve">, Boynton J, Lindor KD. The ratio of aspartate aminotransferase to alanine aminotransferase: potential value in differentiating nonalcoholic steatohepatitis from alcoholic liver disease. </w:t>
      </w:r>
      <w:r w:rsidRPr="001E5D32">
        <w:rPr>
          <w:rFonts w:ascii="Book Antiqua" w:hAnsi="Book Antiqua" w:cs="宋体"/>
          <w:i/>
          <w:iCs/>
          <w:kern w:val="0"/>
          <w:sz w:val="24"/>
        </w:rPr>
        <w:t>Am J Gastroenterol</w:t>
      </w:r>
      <w:r w:rsidRPr="001E5D32">
        <w:rPr>
          <w:rFonts w:ascii="Book Antiqua" w:hAnsi="Book Antiqua" w:cs="宋体"/>
          <w:kern w:val="0"/>
          <w:sz w:val="24"/>
        </w:rPr>
        <w:t xml:space="preserve"> 1999; </w:t>
      </w:r>
      <w:r w:rsidRPr="001E5D32">
        <w:rPr>
          <w:rFonts w:ascii="Book Antiqua" w:hAnsi="Book Antiqua" w:cs="宋体"/>
          <w:b/>
          <w:bCs/>
          <w:kern w:val="0"/>
          <w:sz w:val="24"/>
        </w:rPr>
        <w:t>94</w:t>
      </w:r>
      <w:r w:rsidRPr="001E5D32">
        <w:rPr>
          <w:rFonts w:ascii="Book Antiqua" w:hAnsi="Book Antiqua" w:cs="宋体"/>
          <w:kern w:val="0"/>
          <w:sz w:val="24"/>
        </w:rPr>
        <w:t>: 1018-1022 [PMID: 10201476 DOI: 10.1016/s0002-9270(99)00061-1]</w:t>
      </w:r>
    </w:p>
    <w:p w14:paraId="787627A8"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110 </w:t>
      </w:r>
      <w:r w:rsidRPr="001E5D32">
        <w:rPr>
          <w:rFonts w:ascii="Book Antiqua" w:hAnsi="Book Antiqua" w:cs="宋体"/>
          <w:b/>
          <w:bCs/>
          <w:kern w:val="0"/>
          <w:sz w:val="24"/>
        </w:rPr>
        <w:t>Qureshi K</w:t>
      </w:r>
      <w:r w:rsidRPr="001E5D32">
        <w:rPr>
          <w:rFonts w:ascii="Book Antiqua" w:hAnsi="Book Antiqua" w:cs="宋体"/>
          <w:kern w:val="0"/>
          <w:sz w:val="24"/>
        </w:rPr>
        <w:t xml:space="preserve">, Clements RH, Abrams GA. The utility of the "NAFLD fibrosis score" in morbidly obese subjects with NAFLD. </w:t>
      </w:r>
      <w:r w:rsidRPr="001E5D32">
        <w:rPr>
          <w:rFonts w:ascii="Book Antiqua" w:hAnsi="Book Antiqua" w:cs="宋体"/>
          <w:i/>
          <w:iCs/>
          <w:kern w:val="0"/>
          <w:sz w:val="24"/>
        </w:rPr>
        <w:t>Obes Surg</w:t>
      </w:r>
      <w:r w:rsidRPr="001E5D32">
        <w:rPr>
          <w:rFonts w:ascii="Book Antiqua" w:hAnsi="Book Antiqua" w:cs="宋体"/>
          <w:kern w:val="0"/>
          <w:sz w:val="24"/>
        </w:rPr>
        <w:t xml:space="preserve"> 2008; </w:t>
      </w:r>
      <w:r w:rsidRPr="001E5D32">
        <w:rPr>
          <w:rFonts w:ascii="Book Antiqua" w:hAnsi="Book Antiqua" w:cs="宋体"/>
          <w:b/>
          <w:bCs/>
          <w:kern w:val="0"/>
          <w:sz w:val="24"/>
        </w:rPr>
        <w:t>18</w:t>
      </w:r>
      <w:r w:rsidRPr="001E5D32">
        <w:rPr>
          <w:rFonts w:ascii="Book Antiqua" w:hAnsi="Book Antiqua" w:cs="宋体"/>
          <w:kern w:val="0"/>
          <w:sz w:val="24"/>
        </w:rPr>
        <w:t>: 264-270 [PMID: 18214632 DOI: 10.1007/s11695-007-9295-8]</w:t>
      </w:r>
    </w:p>
    <w:p w14:paraId="67DC5F6D"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111 </w:t>
      </w:r>
      <w:r w:rsidRPr="001E5D32">
        <w:rPr>
          <w:rFonts w:ascii="Book Antiqua" w:hAnsi="Book Antiqua" w:cs="宋体"/>
          <w:b/>
          <w:bCs/>
          <w:kern w:val="0"/>
          <w:sz w:val="24"/>
        </w:rPr>
        <w:t>Musso G</w:t>
      </w:r>
      <w:r w:rsidRPr="001E5D32">
        <w:rPr>
          <w:rFonts w:ascii="Book Antiqua" w:hAnsi="Book Antiqua" w:cs="宋体"/>
          <w:kern w:val="0"/>
          <w:sz w:val="24"/>
        </w:rPr>
        <w:t xml:space="preserve">, Gambino R, Cassader M, Pagano G. Meta-analysis: natural history of non-alcoholic fatty liver disease (NAFLD) and diagnostic accuracy of non-invasive tests for liver disease severity. </w:t>
      </w:r>
      <w:r w:rsidRPr="001E5D32">
        <w:rPr>
          <w:rFonts w:ascii="Book Antiqua" w:hAnsi="Book Antiqua" w:cs="宋体"/>
          <w:i/>
          <w:iCs/>
          <w:kern w:val="0"/>
          <w:sz w:val="24"/>
        </w:rPr>
        <w:t>Ann Med</w:t>
      </w:r>
      <w:r w:rsidRPr="001E5D32">
        <w:rPr>
          <w:rFonts w:ascii="Book Antiqua" w:hAnsi="Book Antiqua" w:cs="宋体"/>
          <w:kern w:val="0"/>
          <w:sz w:val="24"/>
        </w:rPr>
        <w:t xml:space="preserve"> 2011; </w:t>
      </w:r>
      <w:r w:rsidRPr="001E5D32">
        <w:rPr>
          <w:rFonts w:ascii="Book Antiqua" w:hAnsi="Book Antiqua" w:cs="宋体"/>
          <w:b/>
          <w:bCs/>
          <w:kern w:val="0"/>
          <w:sz w:val="24"/>
        </w:rPr>
        <w:t>43</w:t>
      </w:r>
      <w:r w:rsidRPr="001E5D32">
        <w:rPr>
          <w:rFonts w:ascii="Book Antiqua" w:hAnsi="Book Antiqua" w:cs="宋体"/>
          <w:kern w:val="0"/>
          <w:sz w:val="24"/>
        </w:rPr>
        <w:t>: 617-649 [PMID: 21039302 DOI: 10.3109/07853890.2010.518623]</w:t>
      </w:r>
    </w:p>
    <w:p w14:paraId="0C45BB22"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112 </w:t>
      </w:r>
      <w:r w:rsidRPr="001E5D32">
        <w:rPr>
          <w:rFonts w:ascii="Book Antiqua" w:hAnsi="Book Antiqua" w:cs="宋体"/>
          <w:b/>
          <w:bCs/>
          <w:kern w:val="0"/>
          <w:sz w:val="24"/>
        </w:rPr>
        <w:t>Treeprasertsuk S</w:t>
      </w:r>
      <w:r w:rsidRPr="001E5D32">
        <w:rPr>
          <w:rFonts w:ascii="Book Antiqua" w:hAnsi="Book Antiqua" w:cs="宋体"/>
          <w:kern w:val="0"/>
          <w:sz w:val="24"/>
        </w:rPr>
        <w:t xml:space="preserve">, Björnsson E, Enders F, Suwanwalaikorn S, Lindor KD. NAFLD fibrosis score: a prognostic predictor for mortality and liver complications among NAFLD patients. </w:t>
      </w:r>
      <w:r w:rsidRPr="001E5D32">
        <w:rPr>
          <w:rFonts w:ascii="Book Antiqua" w:hAnsi="Book Antiqua" w:cs="宋体"/>
          <w:i/>
          <w:iCs/>
          <w:kern w:val="0"/>
          <w:sz w:val="24"/>
        </w:rPr>
        <w:t>World J Gastroenterol</w:t>
      </w:r>
      <w:r w:rsidRPr="001E5D32">
        <w:rPr>
          <w:rFonts w:ascii="Book Antiqua" w:hAnsi="Book Antiqua" w:cs="宋体"/>
          <w:kern w:val="0"/>
          <w:sz w:val="24"/>
        </w:rPr>
        <w:t xml:space="preserve"> 2013; </w:t>
      </w:r>
      <w:r w:rsidRPr="001E5D32">
        <w:rPr>
          <w:rFonts w:ascii="Book Antiqua" w:hAnsi="Book Antiqua" w:cs="宋体"/>
          <w:b/>
          <w:bCs/>
          <w:kern w:val="0"/>
          <w:sz w:val="24"/>
        </w:rPr>
        <w:t>19</w:t>
      </w:r>
      <w:r w:rsidRPr="001E5D32">
        <w:rPr>
          <w:rFonts w:ascii="Book Antiqua" w:hAnsi="Book Antiqua" w:cs="宋体"/>
          <w:kern w:val="0"/>
          <w:sz w:val="24"/>
        </w:rPr>
        <w:t>: 1219-1229 [PMID: 23482703 DOI: 10.3748/wjg.v19.i8.1219]</w:t>
      </w:r>
    </w:p>
    <w:p w14:paraId="6A28B55B"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113 </w:t>
      </w:r>
      <w:r w:rsidRPr="001E5D32">
        <w:rPr>
          <w:rFonts w:ascii="Book Antiqua" w:hAnsi="Book Antiqua" w:cs="宋体"/>
          <w:b/>
          <w:bCs/>
          <w:kern w:val="0"/>
          <w:sz w:val="24"/>
        </w:rPr>
        <w:t>Ruffillo G</w:t>
      </w:r>
      <w:r w:rsidRPr="001E5D32">
        <w:rPr>
          <w:rFonts w:ascii="Book Antiqua" w:hAnsi="Book Antiqua" w:cs="宋体"/>
          <w:kern w:val="0"/>
          <w:sz w:val="24"/>
        </w:rPr>
        <w:t xml:space="preserve">, Fassio E, Alvarez E, Landeira G, Longo C, Domínguez N, Gualano G. Comparison of NAFLD fibrosis score and BARD score in predicting fibrosis in nonalcoholic fatty liver disease. </w:t>
      </w:r>
      <w:r w:rsidRPr="001E5D32">
        <w:rPr>
          <w:rFonts w:ascii="Book Antiqua" w:hAnsi="Book Antiqua" w:cs="宋体"/>
          <w:i/>
          <w:iCs/>
          <w:kern w:val="0"/>
          <w:sz w:val="24"/>
        </w:rPr>
        <w:t>J Hepatol</w:t>
      </w:r>
      <w:r w:rsidRPr="001E5D32">
        <w:rPr>
          <w:rFonts w:ascii="Book Antiqua" w:hAnsi="Book Antiqua" w:cs="宋体"/>
          <w:kern w:val="0"/>
          <w:sz w:val="24"/>
        </w:rPr>
        <w:t xml:space="preserve"> 2011; </w:t>
      </w:r>
      <w:r w:rsidRPr="001E5D32">
        <w:rPr>
          <w:rFonts w:ascii="Book Antiqua" w:hAnsi="Book Antiqua" w:cs="宋体"/>
          <w:b/>
          <w:bCs/>
          <w:kern w:val="0"/>
          <w:sz w:val="24"/>
        </w:rPr>
        <w:t>54</w:t>
      </w:r>
      <w:r w:rsidRPr="001E5D32">
        <w:rPr>
          <w:rFonts w:ascii="Book Antiqua" w:hAnsi="Book Antiqua" w:cs="宋体"/>
          <w:kern w:val="0"/>
          <w:sz w:val="24"/>
        </w:rPr>
        <w:t>: 160-163 [PMID: 20934232 DOI: 10.1016/j.jhep.2010.06.028]</w:t>
      </w:r>
    </w:p>
    <w:p w14:paraId="36C2522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114 </w:t>
      </w:r>
      <w:r w:rsidRPr="001E5D32">
        <w:rPr>
          <w:rFonts w:ascii="Book Antiqua" w:hAnsi="Book Antiqua" w:cs="宋体"/>
          <w:b/>
          <w:bCs/>
          <w:kern w:val="0"/>
          <w:sz w:val="24"/>
        </w:rPr>
        <w:t>Cicho</w:t>
      </w:r>
      <w:r w:rsidRPr="001E5D32">
        <w:rPr>
          <w:rFonts w:ascii="Book Antiqua" w:eastAsia="MS Mincho" w:hAnsi="Book Antiqua" w:cs="MS Mincho"/>
          <w:b/>
          <w:bCs/>
          <w:kern w:val="0"/>
          <w:sz w:val="24"/>
        </w:rPr>
        <w:t>ż</w:t>
      </w:r>
      <w:r w:rsidRPr="001E5D32">
        <w:rPr>
          <w:rFonts w:ascii="Book Antiqua" w:hAnsi="Book Antiqua" w:cs="宋体"/>
          <w:b/>
          <w:bCs/>
          <w:kern w:val="0"/>
          <w:sz w:val="24"/>
        </w:rPr>
        <w:t>-Lach H</w:t>
      </w:r>
      <w:r w:rsidRPr="001E5D32">
        <w:rPr>
          <w:rFonts w:ascii="Book Antiqua" w:hAnsi="Book Antiqua" w:cs="宋体"/>
          <w:kern w:val="0"/>
          <w:sz w:val="24"/>
        </w:rPr>
        <w:t>, Celiński K, Prozorow-Król B, Swatek J, S</w:t>
      </w:r>
      <w:r w:rsidRPr="001E5D32">
        <w:rPr>
          <w:rFonts w:ascii="Book Antiqua" w:eastAsia="MS Mincho" w:hAnsi="Book Antiqua" w:cs="MS Mincho"/>
          <w:kern w:val="0"/>
          <w:sz w:val="24"/>
        </w:rPr>
        <w:t>ł</w:t>
      </w:r>
      <w:r w:rsidRPr="001E5D32">
        <w:rPr>
          <w:rFonts w:ascii="Book Antiqua" w:hAnsi="Book Antiqua" w:cs="宋体"/>
          <w:kern w:val="0"/>
          <w:sz w:val="24"/>
        </w:rPr>
        <w:t xml:space="preserve">omka M, Lach T. The BARD score and the NAFLD fibrosis score in the assessment of advanced liver fibrosis in nonalcoholic fatty liver disease. </w:t>
      </w:r>
      <w:r w:rsidRPr="001E5D32">
        <w:rPr>
          <w:rFonts w:ascii="Book Antiqua" w:hAnsi="Book Antiqua" w:cs="宋体"/>
          <w:i/>
          <w:iCs/>
          <w:kern w:val="0"/>
          <w:sz w:val="24"/>
        </w:rPr>
        <w:t>Med Sci Monit</w:t>
      </w:r>
      <w:r w:rsidRPr="001E5D32">
        <w:rPr>
          <w:rFonts w:ascii="Book Antiqua" w:hAnsi="Book Antiqua" w:cs="宋体"/>
          <w:kern w:val="0"/>
          <w:sz w:val="24"/>
        </w:rPr>
        <w:t xml:space="preserve"> 2012; </w:t>
      </w:r>
      <w:r w:rsidRPr="001E5D32">
        <w:rPr>
          <w:rFonts w:ascii="Book Antiqua" w:hAnsi="Book Antiqua" w:cs="宋体"/>
          <w:b/>
          <w:bCs/>
          <w:kern w:val="0"/>
          <w:sz w:val="24"/>
        </w:rPr>
        <w:t>18</w:t>
      </w:r>
      <w:r w:rsidRPr="001E5D32">
        <w:rPr>
          <w:rFonts w:ascii="Book Antiqua" w:hAnsi="Book Antiqua" w:cs="宋体"/>
          <w:kern w:val="0"/>
          <w:sz w:val="24"/>
        </w:rPr>
        <w:t>: CR735-CR740 [PMID: 23197236 DOI: 10.12659/msm.883601]</w:t>
      </w:r>
    </w:p>
    <w:p w14:paraId="57D58F4F"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115 </w:t>
      </w:r>
      <w:r w:rsidRPr="001E5D32">
        <w:rPr>
          <w:rFonts w:ascii="Book Antiqua" w:hAnsi="Book Antiqua" w:cs="宋体"/>
          <w:b/>
          <w:bCs/>
          <w:kern w:val="0"/>
          <w:sz w:val="24"/>
        </w:rPr>
        <w:t>Angulo P</w:t>
      </w:r>
      <w:r w:rsidRPr="001E5D32">
        <w:rPr>
          <w:rFonts w:ascii="Book Antiqua" w:hAnsi="Book Antiqua" w:cs="宋体"/>
          <w:kern w:val="0"/>
          <w:sz w:val="24"/>
        </w:rPr>
        <w:t xml:space="preserve">, Bugianesi E, Bjornsson ES, Charatcharoenwitthaya P, Mills PR, Barrera F, Haflidadottir S, Day CP, George J. Simple noninvasive systems predict long-term outcomes of patients with nonalcoholic fatty liver disease. </w:t>
      </w:r>
      <w:r w:rsidRPr="001E5D32">
        <w:rPr>
          <w:rFonts w:ascii="Book Antiqua" w:hAnsi="Book Antiqua" w:cs="宋体"/>
          <w:i/>
          <w:iCs/>
          <w:kern w:val="0"/>
          <w:sz w:val="24"/>
        </w:rPr>
        <w:t>Gastroenterology</w:t>
      </w:r>
      <w:r w:rsidRPr="001E5D32">
        <w:rPr>
          <w:rFonts w:ascii="Book Antiqua" w:hAnsi="Book Antiqua" w:cs="宋体"/>
          <w:kern w:val="0"/>
          <w:sz w:val="24"/>
        </w:rPr>
        <w:t xml:space="preserve"> 2013; </w:t>
      </w:r>
      <w:r w:rsidRPr="001E5D32">
        <w:rPr>
          <w:rFonts w:ascii="Book Antiqua" w:hAnsi="Book Antiqua" w:cs="宋体"/>
          <w:b/>
          <w:bCs/>
          <w:kern w:val="0"/>
          <w:sz w:val="24"/>
        </w:rPr>
        <w:t>145</w:t>
      </w:r>
      <w:r w:rsidRPr="001E5D32">
        <w:rPr>
          <w:rFonts w:ascii="Book Antiqua" w:hAnsi="Book Antiqua" w:cs="宋体"/>
          <w:kern w:val="0"/>
          <w:sz w:val="24"/>
        </w:rPr>
        <w:t>: 782-</w:t>
      </w:r>
      <w:r w:rsidRPr="001E5D32">
        <w:rPr>
          <w:rFonts w:ascii="Book Antiqua" w:hAnsi="Book Antiqua" w:cs="宋体" w:hint="eastAsia"/>
          <w:kern w:val="0"/>
          <w:sz w:val="24"/>
        </w:rPr>
        <w:t>78</w:t>
      </w:r>
      <w:r w:rsidRPr="001E5D32">
        <w:rPr>
          <w:rFonts w:ascii="Book Antiqua" w:hAnsi="Book Antiqua" w:cs="宋体"/>
          <w:kern w:val="0"/>
          <w:sz w:val="24"/>
        </w:rPr>
        <w:t>9.e4 [PMID: 23860502 DOI: 10.1053/j.gastro.2013.06.057]</w:t>
      </w:r>
    </w:p>
    <w:p w14:paraId="36E7A2F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116 </w:t>
      </w:r>
      <w:r w:rsidRPr="001E5D32">
        <w:rPr>
          <w:rFonts w:ascii="Book Antiqua" w:hAnsi="Book Antiqua" w:cs="宋体"/>
          <w:b/>
          <w:bCs/>
          <w:kern w:val="0"/>
          <w:sz w:val="24"/>
        </w:rPr>
        <w:t>Kim D</w:t>
      </w:r>
      <w:r w:rsidRPr="001E5D32">
        <w:rPr>
          <w:rFonts w:ascii="Book Antiqua" w:hAnsi="Book Antiqua" w:cs="宋体"/>
          <w:kern w:val="0"/>
          <w:sz w:val="24"/>
        </w:rPr>
        <w:t xml:space="preserve">, Kim WR, Kim HJ, Therneau TM. Association between noninvasive fibrosis markers and mortality among adults with nonalcoholic fatty liver disease in the United States. </w:t>
      </w:r>
      <w:r w:rsidRPr="001E5D32">
        <w:rPr>
          <w:rFonts w:ascii="Book Antiqua" w:hAnsi="Book Antiqua" w:cs="宋体"/>
          <w:i/>
          <w:iCs/>
          <w:kern w:val="0"/>
          <w:sz w:val="24"/>
        </w:rPr>
        <w:t>Hepatology</w:t>
      </w:r>
      <w:r w:rsidRPr="001E5D32">
        <w:rPr>
          <w:rFonts w:ascii="Book Antiqua" w:hAnsi="Book Antiqua" w:cs="宋体"/>
          <w:kern w:val="0"/>
          <w:sz w:val="24"/>
        </w:rPr>
        <w:t xml:space="preserve"> 2013; </w:t>
      </w:r>
      <w:r w:rsidRPr="001E5D32">
        <w:rPr>
          <w:rFonts w:ascii="Book Antiqua" w:hAnsi="Book Antiqua" w:cs="宋体"/>
          <w:b/>
          <w:bCs/>
          <w:kern w:val="0"/>
          <w:sz w:val="24"/>
        </w:rPr>
        <w:t>57</w:t>
      </w:r>
      <w:r w:rsidRPr="001E5D32">
        <w:rPr>
          <w:rFonts w:ascii="Book Antiqua" w:hAnsi="Book Antiqua" w:cs="宋体"/>
          <w:kern w:val="0"/>
          <w:sz w:val="24"/>
        </w:rPr>
        <w:t>: 1357-1365 [PMID: 23175136 DOI: 10.1002/hep.26156]</w:t>
      </w:r>
    </w:p>
    <w:p w14:paraId="6F62B7D6"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117 </w:t>
      </w:r>
      <w:r w:rsidRPr="001E5D32">
        <w:rPr>
          <w:rFonts w:ascii="Book Antiqua" w:hAnsi="Book Antiqua" w:cs="宋体"/>
          <w:b/>
          <w:bCs/>
          <w:kern w:val="0"/>
          <w:sz w:val="24"/>
        </w:rPr>
        <w:t>Yoneda M</w:t>
      </w:r>
      <w:r w:rsidRPr="001E5D32">
        <w:rPr>
          <w:rFonts w:ascii="Book Antiqua" w:hAnsi="Book Antiqua" w:cs="宋体"/>
          <w:kern w:val="0"/>
          <w:sz w:val="24"/>
        </w:rPr>
        <w:t xml:space="preserve">, Fujii H, Sumida Y, Hyogo H, Itoh Y, Ono M, Eguchi Y, Suzuki Y, Aoki N, Kanemasa K, Imajo K, Chayama K, Saibara T, Kawada N, Fujimoto K, Kohgo Y, Yoshikawa T, Okanoue T. Platelet count for predicting fibrosis in nonalcoholic fatty liver disease. </w:t>
      </w:r>
      <w:r w:rsidRPr="001E5D32">
        <w:rPr>
          <w:rFonts w:ascii="Book Antiqua" w:hAnsi="Book Antiqua" w:cs="宋体"/>
          <w:i/>
          <w:iCs/>
          <w:kern w:val="0"/>
          <w:sz w:val="24"/>
        </w:rPr>
        <w:t>J Gastroenterol</w:t>
      </w:r>
      <w:r w:rsidRPr="001E5D32">
        <w:rPr>
          <w:rFonts w:ascii="Book Antiqua" w:hAnsi="Book Antiqua" w:cs="宋体"/>
          <w:kern w:val="0"/>
          <w:sz w:val="24"/>
        </w:rPr>
        <w:t xml:space="preserve"> 2011; </w:t>
      </w:r>
      <w:r w:rsidRPr="001E5D32">
        <w:rPr>
          <w:rFonts w:ascii="Book Antiqua" w:hAnsi="Book Antiqua" w:cs="宋体"/>
          <w:b/>
          <w:bCs/>
          <w:kern w:val="0"/>
          <w:sz w:val="24"/>
        </w:rPr>
        <w:t>46</w:t>
      </w:r>
      <w:r w:rsidRPr="001E5D32">
        <w:rPr>
          <w:rFonts w:ascii="Book Antiqua" w:hAnsi="Book Antiqua" w:cs="宋体"/>
          <w:kern w:val="0"/>
          <w:sz w:val="24"/>
        </w:rPr>
        <w:t>: 1300-1306 [PMID: 21750883 DOI: 10.1007/s00535-011-0436-4]</w:t>
      </w:r>
    </w:p>
    <w:p w14:paraId="3933871A"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118 </w:t>
      </w:r>
      <w:r w:rsidRPr="001E5D32">
        <w:rPr>
          <w:rFonts w:ascii="Book Antiqua" w:hAnsi="Book Antiqua" w:cs="宋体"/>
          <w:b/>
          <w:bCs/>
          <w:kern w:val="0"/>
          <w:sz w:val="24"/>
        </w:rPr>
        <w:t>Yilmaz Y</w:t>
      </w:r>
      <w:r w:rsidRPr="001E5D32">
        <w:rPr>
          <w:rFonts w:ascii="Book Antiqua" w:hAnsi="Book Antiqua" w:cs="宋体"/>
          <w:kern w:val="0"/>
          <w:sz w:val="24"/>
        </w:rPr>
        <w:t xml:space="preserve">, Yonal O, Kurt R, Bayrak M, Aktas B, Ozdogan O. Noninvasive assessment of liver fibrosis with the aspartate transaminase to platelet ratio index (APRI): Usefulness in patients with chronic liver disease: APRI in chronic liver disease. </w:t>
      </w:r>
      <w:r w:rsidRPr="001E5D32">
        <w:rPr>
          <w:rFonts w:ascii="Book Antiqua" w:hAnsi="Book Antiqua" w:cs="宋体"/>
          <w:i/>
          <w:iCs/>
          <w:kern w:val="0"/>
          <w:sz w:val="24"/>
        </w:rPr>
        <w:t>Hepat Mon</w:t>
      </w:r>
      <w:r w:rsidRPr="001E5D32">
        <w:rPr>
          <w:rFonts w:ascii="Book Antiqua" w:hAnsi="Book Antiqua" w:cs="宋体"/>
          <w:kern w:val="0"/>
          <w:sz w:val="24"/>
        </w:rPr>
        <w:t xml:space="preserve"> 2011; </w:t>
      </w:r>
      <w:r w:rsidRPr="001E5D32">
        <w:rPr>
          <w:rFonts w:ascii="Book Antiqua" w:hAnsi="Book Antiqua" w:cs="宋体"/>
          <w:b/>
          <w:bCs/>
          <w:kern w:val="0"/>
          <w:sz w:val="24"/>
        </w:rPr>
        <w:t>11</w:t>
      </w:r>
      <w:r w:rsidRPr="001E5D32">
        <w:rPr>
          <w:rFonts w:ascii="Book Antiqua" w:hAnsi="Book Antiqua" w:cs="宋体"/>
          <w:kern w:val="0"/>
          <w:sz w:val="24"/>
        </w:rPr>
        <w:t>: 103-106 [PMID: 22087126]</w:t>
      </w:r>
    </w:p>
    <w:p w14:paraId="08D2BBC0"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119 </w:t>
      </w:r>
      <w:r w:rsidRPr="001E5D32">
        <w:rPr>
          <w:rFonts w:ascii="Book Antiqua" w:hAnsi="Book Antiqua" w:cs="宋体"/>
          <w:b/>
          <w:bCs/>
          <w:kern w:val="0"/>
          <w:sz w:val="24"/>
        </w:rPr>
        <w:t>Agilli M</w:t>
      </w:r>
      <w:r w:rsidRPr="001E5D32">
        <w:rPr>
          <w:rFonts w:ascii="Book Antiqua" w:hAnsi="Book Antiqua" w:cs="宋体"/>
          <w:kern w:val="0"/>
          <w:sz w:val="24"/>
        </w:rPr>
        <w:t xml:space="preserve">, Aydin FN, Cayci T, Kurt YG. Is aspartate aminotransferase-to-platelet ratio index a biomarker in the evaluation of advanced fibrosis in non-alcoholic fatty liver disease? </w:t>
      </w:r>
      <w:r w:rsidRPr="001E5D32">
        <w:rPr>
          <w:rFonts w:ascii="Book Antiqua" w:hAnsi="Book Antiqua" w:cs="宋体"/>
          <w:i/>
          <w:iCs/>
          <w:kern w:val="0"/>
          <w:sz w:val="24"/>
        </w:rPr>
        <w:t xml:space="preserve">Gastroenterol Rep </w:t>
      </w:r>
      <w:r w:rsidRPr="008417E0">
        <w:rPr>
          <w:rFonts w:ascii="Book Antiqua" w:hAnsi="Book Antiqua" w:cs="宋体"/>
          <w:iCs/>
          <w:kern w:val="0"/>
          <w:sz w:val="24"/>
        </w:rPr>
        <w:t>(Oxf)</w:t>
      </w:r>
      <w:r w:rsidRPr="008417E0">
        <w:rPr>
          <w:rFonts w:ascii="Book Antiqua" w:hAnsi="Book Antiqua" w:cs="宋体"/>
          <w:kern w:val="0"/>
          <w:sz w:val="24"/>
        </w:rPr>
        <w:t xml:space="preserve"> </w:t>
      </w:r>
      <w:r w:rsidRPr="001E5D32">
        <w:rPr>
          <w:rFonts w:ascii="Book Antiqua" w:hAnsi="Book Antiqua" w:cs="宋体"/>
          <w:kern w:val="0"/>
          <w:sz w:val="24"/>
        </w:rPr>
        <w:t xml:space="preserve">2014; </w:t>
      </w:r>
      <w:r w:rsidRPr="001E5D32">
        <w:rPr>
          <w:rFonts w:ascii="Book Antiqua" w:hAnsi="Book Antiqua" w:cs="宋体"/>
          <w:b/>
          <w:bCs/>
          <w:kern w:val="0"/>
          <w:sz w:val="24"/>
        </w:rPr>
        <w:t>2</w:t>
      </w:r>
      <w:r w:rsidRPr="001E5D32">
        <w:rPr>
          <w:rFonts w:ascii="Book Antiqua" w:hAnsi="Book Antiqua" w:cs="宋体"/>
          <w:kern w:val="0"/>
          <w:sz w:val="24"/>
        </w:rPr>
        <w:t>: 323-324 [PMID: 25371481 DOI: 10.1093/gastro/gou063]</w:t>
      </w:r>
    </w:p>
    <w:p w14:paraId="17797D49"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120 </w:t>
      </w:r>
      <w:r w:rsidRPr="001E5D32">
        <w:rPr>
          <w:rFonts w:ascii="Book Antiqua" w:hAnsi="Book Antiqua" w:cs="宋体"/>
          <w:b/>
          <w:bCs/>
          <w:kern w:val="0"/>
          <w:sz w:val="24"/>
        </w:rPr>
        <w:t>McPherson S</w:t>
      </w:r>
      <w:r w:rsidRPr="001E5D32">
        <w:rPr>
          <w:rFonts w:ascii="Book Antiqua" w:hAnsi="Book Antiqua" w:cs="宋体"/>
          <w:kern w:val="0"/>
          <w:sz w:val="24"/>
        </w:rPr>
        <w:t xml:space="preserve">, Stewart SF, Henderson E, Burt AD, Day CP. Simple non-invasive fibrosis scoring systems can reliably exclude advanced fibrosis in patients with non-alcoholic fatty liver disease. </w:t>
      </w:r>
      <w:r w:rsidRPr="001E5D32">
        <w:rPr>
          <w:rFonts w:ascii="Book Antiqua" w:hAnsi="Book Antiqua" w:cs="宋体"/>
          <w:i/>
          <w:iCs/>
          <w:kern w:val="0"/>
          <w:sz w:val="24"/>
        </w:rPr>
        <w:t>Gut</w:t>
      </w:r>
      <w:r w:rsidRPr="001E5D32">
        <w:rPr>
          <w:rFonts w:ascii="Book Antiqua" w:hAnsi="Book Antiqua" w:cs="宋体"/>
          <w:kern w:val="0"/>
          <w:sz w:val="24"/>
        </w:rPr>
        <w:t xml:space="preserve"> 2010; </w:t>
      </w:r>
      <w:r w:rsidRPr="001E5D32">
        <w:rPr>
          <w:rFonts w:ascii="Book Antiqua" w:hAnsi="Book Antiqua" w:cs="宋体"/>
          <w:b/>
          <w:bCs/>
          <w:kern w:val="0"/>
          <w:sz w:val="24"/>
        </w:rPr>
        <w:t>59</w:t>
      </w:r>
      <w:r w:rsidRPr="001E5D32">
        <w:rPr>
          <w:rFonts w:ascii="Book Antiqua" w:hAnsi="Book Antiqua" w:cs="宋体"/>
          <w:kern w:val="0"/>
          <w:sz w:val="24"/>
        </w:rPr>
        <w:t>: 1265-1269 [PMID: 20801772 DOI: 10.1136/gut.2010.216077]</w:t>
      </w:r>
    </w:p>
    <w:p w14:paraId="2AC80667"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121 </w:t>
      </w:r>
      <w:r w:rsidRPr="001E5D32">
        <w:rPr>
          <w:rFonts w:ascii="Book Antiqua" w:hAnsi="Book Antiqua" w:cs="宋体"/>
          <w:b/>
          <w:bCs/>
          <w:kern w:val="0"/>
          <w:sz w:val="24"/>
        </w:rPr>
        <w:t>McPherson S</w:t>
      </w:r>
      <w:r w:rsidRPr="001E5D32">
        <w:rPr>
          <w:rFonts w:ascii="Book Antiqua" w:hAnsi="Book Antiqua" w:cs="宋体"/>
          <w:kern w:val="0"/>
          <w:sz w:val="24"/>
        </w:rPr>
        <w:t xml:space="preserve">, Anstee QM, Henderson E, Day CP, Burt AD. Are simple noninvasive scoring systems for fibrosis reliable in patients with NAFLD and normal ALT levels? </w:t>
      </w:r>
      <w:r w:rsidRPr="001E5D32">
        <w:rPr>
          <w:rFonts w:ascii="Book Antiqua" w:hAnsi="Book Antiqua" w:cs="宋体"/>
          <w:i/>
          <w:iCs/>
          <w:kern w:val="0"/>
          <w:sz w:val="24"/>
        </w:rPr>
        <w:t>Eur J Gastroenterol Hepatol</w:t>
      </w:r>
      <w:r w:rsidRPr="001E5D32">
        <w:rPr>
          <w:rFonts w:ascii="Book Antiqua" w:hAnsi="Book Antiqua" w:cs="宋体"/>
          <w:kern w:val="0"/>
          <w:sz w:val="24"/>
        </w:rPr>
        <w:t xml:space="preserve"> 2013; </w:t>
      </w:r>
      <w:r w:rsidRPr="001E5D32">
        <w:rPr>
          <w:rFonts w:ascii="Book Antiqua" w:hAnsi="Book Antiqua" w:cs="宋体"/>
          <w:b/>
          <w:bCs/>
          <w:kern w:val="0"/>
          <w:sz w:val="24"/>
        </w:rPr>
        <w:t>25</w:t>
      </w:r>
      <w:r w:rsidRPr="001E5D32">
        <w:rPr>
          <w:rFonts w:ascii="Book Antiqua" w:hAnsi="Book Antiqua" w:cs="宋体"/>
          <w:kern w:val="0"/>
          <w:sz w:val="24"/>
        </w:rPr>
        <w:t>: 652-658 [PMID: 23325287 DOI: 10.1097/MEG.0b013e32835d72cf]</w:t>
      </w:r>
    </w:p>
    <w:p w14:paraId="56AA6FB0"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122 </w:t>
      </w:r>
      <w:r w:rsidRPr="001E5D32">
        <w:rPr>
          <w:rFonts w:ascii="Book Antiqua" w:hAnsi="Book Antiqua" w:cs="宋体"/>
          <w:b/>
          <w:bCs/>
          <w:kern w:val="0"/>
          <w:sz w:val="24"/>
        </w:rPr>
        <w:t>Lee TH</w:t>
      </w:r>
      <w:r w:rsidRPr="001E5D32">
        <w:rPr>
          <w:rFonts w:ascii="Book Antiqua" w:hAnsi="Book Antiqua" w:cs="宋体"/>
          <w:kern w:val="0"/>
          <w:sz w:val="24"/>
        </w:rPr>
        <w:t xml:space="preserve">, Han SH, Yang JD, Kim D, Ahmed M. Prediction of Advanced Fibrosis in Nonalcoholic Fatty Liver Disease: An Enhanced Model of BARD Score. </w:t>
      </w:r>
      <w:r w:rsidRPr="001E5D32">
        <w:rPr>
          <w:rFonts w:ascii="Book Antiqua" w:hAnsi="Book Antiqua" w:cs="宋体"/>
          <w:i/>
          <w:iCs/>
          <w:kern w:val="0"/>
          <w:sz w:val="24"/>
        </w:rPr>
        <w:t>Gut Liver</w:t>
      </w:r>
      <w:r w:rsidRPr="001E5D32">
        <w:rPr>
          <w:rFonts w:ascii="Book Antiqua" w:hAnsi="Book Antiqua" w:cs="宋体"/>
          <w:kern w:val="0"/>
          <w:sz w:val="24"/>
        </w:rPr>
        <w:t xml:space="preserve"> 2013; </w:t>
      </w:r>
      <w:r w:rsidRPr="001E5D32">
        <w:rPr>
          <w:rFonts w:ascii="Book Antiqua" w:hAnsi="Book Antiqua" w:cs="宋体"/>
          <w:b/>
          <w:bCs/>
          <w:kern w:val="0"/>
          <w:sz w:val="24"/>
        </w:rPr>
        <w:t>7</w:t>
      </w:r>
      <w:r w:rsidRPr="001E5D32">
        <w:rPr>
          <w:rFonts w:ascii="Book Antiqua" w:hAnsi="Book Antiqua" w:cs="宋体"/>
          <w:kern w:val="0"/>
          <w:sz w:val="24"/>
        </w:rPr>
        <w:t>: 323-328 [PMID: 23710314 DOI: 10.5009/gnl.2013.7.3.323]</w:t>
      </w:r>
    </w:p>
    <w:p w14:paraId="638B9DB5"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123 </w:t>
      </w:r>
      <w:r w:rsidRPr="001E5D32">
        <w:rPr>
          <w:rFonts w:ascii="Book Antiqua" w:hAnsi="Book Antiqua" w:cs="宋体"/>
          <w:b/>
          <w:bCs/>
          <w:kern w:val="0"/>
          <w:sz w:val="24"/>
        </w:rPr>
        <w:t>Demir M</w:t>
      </w:r>
      <w:r w:rsidRPr="001E5D32">
        <w:rPr>
          <w:rFonts w:ascii="Book Antiqua" w:hAnsi="Book Antiqua" w:cs="宋体"/>
          <w:kern w:val="0"/>
          <w:sz w:val="24"/>
        </w:rPr>
        <w:t xml:space="preserve">, Lang S, Schlattjan M, Drebber U, Wedemeyer I, Nierhoff D, Kaul I, Sowa J, Canbay A, Töx U, Steffen HM. NIKEI: a new inexpensive and non-invasive scoring system to exclude advanced fibrosis in patients with NAFLD. </w:t>
      </w:r>
      <w:r w:rsidRPr="001E5D32">
        <w:rPr>
          <w:rFonts w:ascii="Book Antiqua" w:hAnsi="Book Antiqua" w:cs="宋体"/>
          <w:i/>
          <w:iCs/>
          <w:kern w:val="0"/>
          <w:sz w:val="24"/>
        </w:rPr>
        <w:t>PLoS One</w:t>
      </w:r>
      <w:r w:rsidRPr="001E5D32">
        <w:rPr>
          <w:rFonts w:ascii="Book Antiqua" w:hAnsi="Book Antiqua" w:cs="宋体"/>
          <w:kern w:val="0"/>
          <w:sz w:val="24"/>
        </w:rPr>
        <w:t xml:space="preserve"> 2013; </w:t>
      </w:r>
      <w:r w:rsidRPr="001E5D32">
        <w:rPr>
          <w:rFonts w:ascii="Book Antiqua" w:hAnsi="Book Antiqua" w:cs="宋体"/>
          <w:b/>
          <w:bCs/>
          <w:kern w:val="0"/>
          <w:sz w:val="24"/>
        </w:rPr>
        <w:t>8</w:t>
      </w:r>
      <w:r w:rsidRPr="001E5D32">
        <w:rPr>
          <w:rFonts w:ascii="Book Antiqua" w:hAnsi="Book Antiqua" w:cs="宋体"/>
          <w:kern w:val="0"/>
          <w:sz w:val="24"/>
        </w:rPr>
        <w:t>: e58360 [PMID: 23555578 DOI: 10.1371/journal.pone.0058360]</w:t>
      </w:r>
    </w:p>
    <w:p w14:paraId="7E2E22BC"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124 </w:t>
      </w:r>
      <w:r w:rsidRPr="001E5D32">
        <w:rPr>
          <w:rFonts w:ascii="Book Antiqua" w:hAnsi="Book Antiqua" w:cs="宋体"/>
          <w:b/>
          <w:bCs/>
          <w:kern w:val="0"/>
          <w:sz w:val="24"/>
        </w:rPr>
        <w:t>Franzini M</w:t>
      </w:r>
      <w:r w:rsidRPr="001E5D32">
        <w:rPr>
          <w:rFonts w:ascii="Book Antiqua" w:hAnsi="Book Antiqua" w:cs="宋体"/>
          <w:kern w:val="0"/>
          <w:sz w:val="24"/>
        </w:rPr>
        <w:t xml:space="preserve">, Fornaciari I, Fierabracci V, Elawadi HA, Bolognesi V, Maltinti S, Ricchiuti A, De Bortoli N, Marchi S, Pompella A, Passino C, Emdin M, Paolicchi A. Accuracy of b-GGT fraction for the diagnosis of non-alcoholic fatty liver disease. </w:t>
      </w:r>
      <w:r w:rsidRPr="001E5D32">
        <w:rPr>
          <w:rFonts w:ascii="Book Antiqua" w:hAnsi="Book Antiqua" w:cs="宋体"/>
          <w:i/>
          <w:iCs/>
          <w:kern w:val="0"/>
          <w:sz w:val="24"/>
        </w:rPr>
        <w:t>Liver Int</w:t>
      </w:r>
      <w:r w:rsidRPr="001E5D32">
        <w:rPr>
          <w:rFonts w:ascii="Book Antiqua" w:hAnsi="Book Antiqua" w:cs="宋体"/>
          <w:kern w:val="0"/>
          <w:sz w:val="24"/>
        </w:rPr>
        <w:t xml:space="preserve"> 2012; </w:t>
      </w:r>
      <w:r w:rsidRPr="001E5D32">
        <w:rPr>
          <w:rFonts w:ascii="Book Antiqua" w:hAnsi="Book Antiqua" w:cs="宋体"/>
          <w:b/>
          <w:bCs/>
          <w:kern w:val="0"/>
          <w:sz w:val="24"/>
        </w:rPr>
        <w:t>32</w:t>
      </w:r>
      <w:r w:rsidRPr="001E5D32">
        <w:rPr>
          <w:rFonts w:ascii="Book Antiqua" w:hAnsi="Book Antiqua" w:cs="宋体"/>
          <w:kern w:val="0"/>
          <w:sz w:val="24"/>
        </w:rPr>
        <w:t>: 629-634 [PMID: 22098947 DOI: 10.1111/j.1478-3231.2011.02673.x]</w:t>
      </w:r>
    </w:p>
    <w:p w14:paraId="4AF77B69" w14:textId="77777777" w:rsidR="00FD6070" w:rsidRPr="001E5D32" w:rsidRDefault="00FD6070" w:rsidP="001E5D32">
      <w:pPr>
        <w:widowControl/>
        <w:spacing w:line="360" w:lineRule="auto"/>
        <w:rPr>
          <w:rFonts w:ascii="Book Antiqua" w:hAnsi="Book Antiqua" w:cs="宋体"/>
          <w:color w:val="000000" w:themeColor="text1"/>
          <w:kern w:val="0"/>
          <w:sz w:val="24"/>
        </w:rPr>
      </w:pPr>
      <w:r w:rsidRPr="001E5D32">
        <w:rPr>
          <w:rFonts w:ascii="Book Antiqua" w:hAnsi="Book Antiqua" w:cs="宋体"/>
          <w:color w:val="000000" w:themeColor="text1"/>
          <w:kern w:val="0"/>
          <w:sz w:val="24"/>
        </w:rPr>
        <w:t xml:space="preserve">125 </w:t>
      </w:r>
      <w:r w:rsidRPr="001E5D32">
        <w:rPr>
          <w:rFonts w:ascii="Book Antiqua" w:hAnsi="Book Antiqua" w:cs="宋体"/>
          <w:b/>
          <w:color w:val="000000" w:themeColor="text1"/>
          <w:kern w:val="0"/>
          <w:sz w:val="24"/>
        </w:rPr>
        <w:t>Tanwar S,</w:t>
      </w:r>
      <w:r w:rsidRPr="001E5D32">
        <w:rPr>
          <w:rFonts w:ascii="Book Antiqua" w:hAnsi="Book Antiqua" w:cs="宋体"/>
          <w:color w:val="000000" w:themeColor="text1"/>
          <w:kern w:val="0"/>
          <w:sz w:val="24"/>
        </w:rPr>
        <w:t xml:space="preserve"> Trembling PM, Ellis E, Parkes L, Herold C, Schuppan D, Rosenberg WM. Direct non-invasive serum markers of liver fibrosis predict fibrosis evolution in chronic hepatitis C but are increased by interferon-based therapy. </w:t>
      </w:r>
      <w:r w:rsidRPr="001E5D32">
        <w:rPr>
          <w:rFonts w:ascii="Book Antiqua" w:hAnsi="Book Antiqua" w:cs="宋体"/>
          <w:i/>
          <w:color w:val="000000" w:themeColor="text1"/>
          <w:kern w:val="0"/>
          <w:sz w:val="24"/>
        </w:rPr>
        <w:t xml:space="preserve">Gut </w:t>
      </w:r>
      <w:r w:rsidRPr="001E5D32">
        <w:rPr>
          <w:rFonts w:ascii="Book Antiqua" w:hAnsi="Book Antiqua" w:cs="宋体"/>
          <w:color w:val="000000" w:themeColor="text1"/>
          <w:kern w:val="0"/>
          <w:sz w:val="24"/>
        </w:rPr>
        <w:t>2012;</w:t>
      </w:r>
      <w:r w:rsidRPr="001E5D32">
        <w:rPr>
          <w:rFonts w:ascii="Book Antiqua" w:hAnsi="Book Antiqua" w:cs="宋体" w:hint="eastAsia"/>
          <w:color w:val="000000" w:themeColor="text1"/>
          <w:kern w:val="0"/>
          <w:sz w:val="24"/>
        </w:rPr>
        <w:t xml:space="preserve"> </w:t>
      </w:r>
      <w:r w:rsidRPr="001E5D32">
        <w:rPr>
          <w:rFonts w:ascii="Book Antiqua" w:hAnsi="Book Antiqua" w:cs="宋体"/>
          <w:b/>
          <w:color w:val="000000" w:themeColor="text1"/>
          <w:kern w:val="0"/>
          <w:sz w:val="24"/>
        </w:rPr>
        <w:t>61</w:t>
      </w:r>
      <w:r w:rsidRPr="001E5D32">
        <w:rPr>
          <w:rFonts w:ascii="Book Antiqua" w:hAnsi="Book Antiqua" w:cs="宋体"/>
          <w:color w:val="000000" w:themeColor="text1"/>
          <w:kern w:val="0"/>
          <w:sz w:val="24"/>
        </w:rPr>
        <w:t>:</w:t>
      </w:r>
      <w:r w:rsidRPr="001E5D32">
        <w:rPr>
          <w:rFonts w:ascii="Book Antiqua" w:hAnsi="Book Antiqua" w:cs="宋体" w:hint="eastAsia"/>
          <w:color w:val="000000" w:themeColor="text1"/>
          <w:kern w:val="0"/>
          <w:sz w:val="24"/>
        </w:rPr>
        <w:t xml:space="preserve"> </w:t>
      </w:r>
      <w:r w:rsidRPr="001E5D32">
        <w:rPr>
          <w:rFonts w:ascii="Book Antiqua" w:hAnsi="Book Antiqua" w:cs="宋体"/>
          <w:color w:val="000000" w:themeColor="text1"/>
          <w:kern w:val="0"/>
          <w:sz w:val="24"/>
        </w:rPr>
        <w:t>A143-A144 [DOI: 10.1136/gutjnl-2012-302514b.172</w:t>
      </w:r>
      <w:r w:rsidRPr="001E5D32">
        <w:rPr>
          <w:rFonts w:ascii="Book Antiqua" w:hAnsi="Book Antiqua" w:cs="宋体" w:hint="eastAsia"/>
          <w:color w:val="000000" w:themeColor="text1"/>
          <w:kern w:val="0"/>
          <w:sz w:val="24"/>
        </w:rPr>
        <w:t>]</w:t>
      </w:r>
    </w:p>
    <w:p w14:paraId="13464164"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126 </w:t>
      </w:r>
      <w:r w:rsidRPr="001E5D32">
        <w:rPr>
          <w:rFonts w:ascii="Book Antiqua" w:hAnsi="Book Antiqua" w:cs="宋体"/>
          <w:b/>
          <w:bCs/>
          <w:kern w:val="0"/>
          <w:sz w:val="24"/>
        </w:rPr>
        <w:t>Sakugawa H</w:t>
      </w:r>
      <w:r w:rsidRPr="001E5D32">
        <w:rPr>
          <w:rFonts w:ascii="Book Antiqua" w:hAnsi="Book Antiqua" w:cs="宋体"/>
          <w:kern w:val="0"/>
          <w:sz w:val="24"/>
        </w:rPr>
        <w:t xml:space="preserve">, Nakayoshi T, Kobashigawa K, Yamashiro T, Maeshiro T, Miyagi S, Shiroma J, Toyama A, Nakayoshi T, Kinjo F, Saito A. Clinical usefulness of biochemical markers of liver fibrosis in patients with nonalcoholic fatty liver disease. </w:t>
      </w:r>
      <w:r w:rsidRPr="001E5D32">
        <w:rPr>
          <w:rFonts w:ascii="Book Antiqua" w:hAnsi="Book Antiqua" w:cs="宋体"/>
          <w:i/>
          <w:iCs/>
          <w:kern w:val="0"/>
          <w:sz w:val="24"/>
        </w:rPr>
        <w:t>World J Gastroenterol</w:t>
      </w:r>
      <w:r w:rsidRPr="001E5D32">
        <w:rPr>
          <w:rFonts w:ascii="Book Antiqua" w:hAnsi="Book Antiqua" w:cs="宋体"/>
          <w:kern w:val="0"/>
          <w:sz w:val="24"/>
        </w:rPr>
        <w:t xml:space="preserve"> 2005; </w:t>
      </w:r>
      <w:r w:rsidRPr="001E5D32">
        <w:rPr>
          <w:rFonts w:ascii="Book Antiqua" w:hAnsi="Book Antiqua" w:cs="宋体"/>
          <w:b/>
          <w:bCs/>
          <w:kern w:val="0"/>
          <w:sz w:val="24"/>
        </w:rPr>
        <w:t>11</w:t>
      </w:r>
      <w:r w:rsidRPr="001E5D32">
        <w:rPr>
          <w:rFonts w:ascii="Book Antiqua" w:hAnsi="Book Antiqua" w:cs="宋体"/>
          <w:kern w:val="0"/>
          <w:sz w:val="24"/>
        </w:rPr>
        <w:t>: 255-259 [PMID: 15633226 DOI: 10.3748/wjg.v11.i2.255]</w:t>
      </w:r>
    </w:p>
    <w:p w14:paraId="09474F6E"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127 </w:t>
      </w:r>
      <w:r w:rsidRPr="001E5D32">
        <w:rPr>
          <w:rFonts w:ascii="Book Antiqua" w:hAnsi="Book Antiqua" w:cs="宋体"/>
          <w:b/>
          <w:bCs/>
          <w:kern w:val="0"/>
          <w:sz w:val="24"/>
        </w:rPr>
        <w:t>Kaneda H</w:t>
      </w:r>
      <w:r w:rsidRPr="001E5D32">
        <w:rPr>
          <w:rFonts w:ascii="Book Antiqua" w:hAnsi="Book Antiqua" w:cs="宋体"/>
          <w:kern w:val="0"/>
          <w:sz w:val="24"/>
        </w:rPr>
        <w:t xml:space="preserve">, Hashimoto E, Yatsuji S, Tokushige K, Shiratori K. Hyaluronic acid levels can predict severe fibrosis and platelet counts can predict cirrhosis in patients with nonalcoholic fatty liver disease. </w:t>
      </w:r>
      <w:r w:rsidRPr="001E5D32">
        <w:rPr>
          <w:rFonts w:ascii="Book Antiqua" w:hAnsi="Book Antiqua" w:cs="宋体"/>
          <w:i/>
          <w:iCs/>
          <w:kern w:val="0"/>
          <w:sz w:val="24"/>
        </w:rPr>
        <w:t>J Gastroenterol Hepatol</w:t>
      </w:r>
      <w:r w:rsidRPr="001E5D32">
        <w:rPr>
          <w:rFonts w:ascii="Book Antiqua" w:hAnsi="Book Antiqua" w:cs="宋体"/>
          <w:kern w:val="0"/>
          <w:sz w:val="24"/>
        </w:rPr>
        <w:t xml:space="preserve"> 2006; </w:t>
      </w:r>
      <w:r w:rsidRPr="001E5D32">
        <w:rPr>
          <w:rFonts w:ascii="Book Antiqua" w:hAnsi="Book Antiqua" w:cs="宋体"/>
          <w:b/>
          <w:bCs/>
          <w:kern w:val="0"/>
          <w:sz w:val="24"/>
        </w:rPr>
        <w:t>21</w:t>
      </w:r>
      <w:r w:rsidRPr="001E5D32">
        <w:rPr>
          <w:rFonts w:ascii="Book Antiqua" w:hAnsi="Book Antiqua" w:cs="宋体"/>
          <w:kern w:val="0"/>
          <w:sz w:val="24"/>
        </w:rPr>
        <w:t>: 1459-1465 [PMID: 16911693 DOI: 10.1111/j.1440-1746.2006.04447.x]</w:t>
      </w:r>
    </w:p>
    <w:p w14:paraId="0FBEE7FC"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128 </w:t>
      </w:r>
      <w:r w:rsidRPr="001E5D32">
        <w:rPr>
          <w:rFonts w:ascii="Book Antiqua" w:hAnsi="Book Antiqua" w:cs="宋体"/>
          <w:b/>
          <w:bCs/>
          <w:kern w:val="0"/>
          <w:sz w:val="24"/>
        </w:rPr>
        <w:t>Adams LA</w:t>
      </w:r>
      <w:r w:rsidRPr="001E5D32">
        <w:rPr>
          <w:rFonts w:ascii="Book Antiqua" w:hAnsi="Book Antiqua" w:cs="宋体"/>
          <w:kern w:val="0"/>
          <w:sz w:val="24"/>
        </w:rPr>
        <w:t xml:space="preserve">. Biomarkers of liver fibrosis. </w:t>
      </w:r>
      <w:r w:rsidRPr="001E5D32">
        <w:rPr>
          <w:rFonts w:ascii="Book Antiqua" w:hAnsi="Book Antiqua" w:cs="宋体"/>
          <w:i/>
          <w:iCs/>
          <w:kern w:val="0"/>
          <w:sz w:val="24"/>
        </w:rPr>
        <w:t>J Gastroenterol Hepatol</w:t>
      </w:r>
      <w:r w:rsidRPr="001E5D32">
        <w:rPr>
          <w:rFonts w:ascii="Book Antiqua" w:hAnsi="Book Antiqua" w:cs="宋体"/>
          <w:kern w:val="0"/>
          <w:sz w:val="24"/>
        </w:rPr>
        <w:t xml:space="preserve"> 2011; </w:t>
      </w:r>
      <w:r w:rsidRPr="001E5D32">
        <w:rPr>
          <w:rFonts w:ascii="Book Antiqua" w:hAnsi="Book Antiqua" w:cs="宋体"/>
          <w:b/>
          <w:bCs/>
          <w:kern w:val="0"/>
          <w:sz w:val="24"/>
        </w:rPr>
        <w:t>26</w:t>
      </w:r>
      <w:r w:rsidRPr="001E5D32">
        <w:rPr>
          <w:rFonts w:ascii="Book Antiqua" w:hAnsi="Book Antiqua" w:cs="宋体"/>
          <w:kern w:val="0"/>
          <w:sz w:val="24"/>
        </w:rPr>
        <w:t>: 802-809 [PMID: 21198831 DOI: 10.1111/j.1440-1746.2010.06612.x]</w:t>
      </w:r>
    </w:p>
    <w:p w14:paraId="29D66ACA"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129 </w:t>
      </w:r>
      <w:r w:rsidRPr="001E5D32">
        <w:rPr>
          <w:rFonts w:ascii="Book Antiqua" w:hAnsi="Book Antiqua" w:cs="宋体"/>
          <w:b/>
          <w:bCs/>
          <w:kern w:val="0"/>
          <w:sz w:val="24"/>
        </w:rPr>
        <w:t>Adams LA</w:t>
      </w:r>
      <w:r w:rsidRPr="001E5D32">
        <w:rPr>
          <w:rFonts w:ascii="Book Antiqua" w:hAnsi="Book Antiqua" w:cs="宋体"/>
          <w:kern w:val="0"/>
          <w:sz w:val="24"/>
        </w:rPr>
        <w:t xml:space="preserve">, George J, Bugianesi E, Rossi E, De Boer WB, van der Poorten D, Ching HL, Bulsara M, Jeffrey GP. Complex non-invasive fibrosis models are more accurate than simple models in non-alcoholic fatty liver disease. </w:t>
      </w:r>
      <w:r w:rsidRPr="001E5D32">
        <w:rPr>
          <w:rFonts w:ascii="Book Antiqua" w:hAnsi="Book Antiqua" w:cs="宋体"/>
          <w:i/>
          <w:iCs/>
          <w:kern w:val="0"/>
          <w:sz w:val="24"/>
        </w:rPr>
        <w:t>J Gastroenterol Hepatol</w:t>
      </w:r>
      <w:r w:rsidRPr="001E5D32">
        <w:rPr>
          <w:rFonts w:ascii="Book Antiqua" w:hAnsi="Book Antiqua" w:cs="宋体"/>
          <w:kern w:val="0"/>
          <w:sz w:val="24"/>
        </w:rPr>
        <w:t xml:space="preserve"> 2011; </w:t>
      </w:r>
      <w:r w:rsidRPr="001E5D32">
        <w:rPr>
          <w:rFonts w:ascii="Book Antiqua" w:hAnsi="Book Antiqua" w:cs="宋体"/>
          <w:b/>
          <w:bCs/>
          <w:kern w:val="0"/>
          <w:sz w:val="24"/>
        </w:rPr>
        <w:t>26</w:t>
      </w:r>
      <w:r w:rsidRPr="001E5D32">
        <w:rPr>
          <w:rFonts w:ascii="Book Antiqua" w:hAnsi="Book Antiqua" w:cs="宋体"/>
          <w:kern w:val="0"/>
          <w:sz w:val="24"/>
        </w:rPr>
        <w:t>: 1536-1543 [PMID: 21950746 DOI: 10.1111/j.1440-1746.2011.06774.x]</w:t>
      </w:r>
    </w:p>
    <w:p w14:paraId="21CBA2B9" w14:textId="77777777" w:rsidR="00FD6070" w:rsidRPr="001E5D32" w:rsidRDefault="00FD6070" w:rsidP="001E5D32">
      <w:pPr>
        <w:widowControl/>
        <w:spacing w:line="360" w:lineRule="auto"/>
        <w:rPr>
          <w:rFonts w:ascii="Book Antiqua" w:hAnsi="Book Antiqua" w:cs="宋体"/>
          <w:color w:val="000000" w:themeColor="text1"/>
          <w:kern w:val="0"/>
          <w:sz w:val="24"/>
        </w:rPr>
      </w:pPr>
      <w:r w:rsidRPr="001E5D32">
        <w:rPr>
          <w:rFonts w:ascii="Book Antiqua" w:hAnsi="Book Antiqua" w:cs="宋体"/>
          <w:color w:val="000000" w:themeColor="text1"/>
          <w:kern w:val="0"/>
          <w:sz w:val="24"/>
        </w:rPr>
        <w:t>130</w:t>
      </w:r>
      <w:r w:rsidRPr="001E5D32">
        <w:rPr>
          <w:rFonts w:ascii="Book Antiqua" w:hAnsi="Book Antiqua" w:cs="宋体"/>
          <w:b/>
          <w:color w:val="000000" w:themeColor="text1"/>
          <w:kern w:val="0"/>
          <w:sz w:val="24"/>
        </w:rPr>
        <w:t xml:space="preserve"> Wong L,</w:t>
      </w:r>
      <w:r w:rsidRPr="001E5D32">
        <w:rPr>
          <w:rFonts w:ascii="Book Antiqua" w:hAnsi="Book Antiqua" w:cs="宋体"/>
          <w:color w:val="000000" w:themeColor="text1"/>
          <w:kern w:val="0"/>
          <w:sz w:val="24"/>
        </w:rPr>
        <w:t xml:space="preserve"> Roberts M, McCorry R. Identifying NAFLD in patients attending a lipid clinic – do non-invasive scoring systems for fibrosis have a role? </w:t>
      </w:r>
      <w:r w:rsidRPr="001E5D32">
        <w:rPr>
          <w:rFonts w:ascii="Book Antiqua" w:hAnsi="Book Antiqua" w:cs="宋体"/>
          <w:i/>
          <w:color w:val="000000" w:themeColor="text1"/>
          <w:kern w:val="0"/>
          <w:sz w:val="24"/>
        </w:rPr>
        <w:t>Gut</w:t>
      </w:r>
      <w:r w:rsidRPr="001E5D32">
        <w:rPr>
          <w:rFonts w:ascii="Book Antiqua" w:hAnsi="Book Antiqua" w:cs="宋体"/>
          <w:color w:val="000000" w:themeColor="text1"/>
          <w:kern w:val="0"/>
          <w:sz w:val="24"/>
        </w:rPr>
        <w:t xml:space="preserve"> 2014; </w:t>
      </w:r>
      <w:r w:rsidRPr="001E5D32">
        <w:rPr>
          <w:rFonts w:ascii="Book Antiqua" w:hAnsi="Book Antiqua" w:cs="宋体"/>
          <w:b/>
          <w:color w:val="000000" w:themeColor="text1"/>
          <w:kern w:val="0"/>
          <w:sz w:val="24"/>
        </w:rPr>
        <w:t>63</w:t>
      </w:r>
      <w:r w:rsidRPr="001E5D32">
        <w:rPr>
          <w:rFonts w:ascii="Book Antiqua" w:hAnsi="Book Antiqua" w:cs="宋体"/>
          <w:color w:val="000000" w:themeColor="text1"/>
          <w:kern w:val="0"/>
          <w:sz w:val="24"/>
        </w:rPr>
        <w:t>: 89-90 [DOI: 10.1136/gutjnl-2014-307263.189</w:t>
      </w:r>
      <w:r w:rsidRPr="001E5D32">
        <w:rPr>
          <w:rFonts w:ascii="Book Antiqua" w:hAnsi="Book Antiqua" w:cs="宋体" w:hint="eastAsia"/>
          <w:color w:val="000000" w:themeColor="text1"/>
          <w:kern w:val="0"/>
          <w:sz w:val="24"/>
        </w:rPr>
        <w:t>]</w:t>
      </w:r>
    </w:p>
    <w:p w14:paraId="1C2E56CB"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131 </w:t>
      </w:r>
      <w:r w:rsidRPr="001E5D32">
        <w:rPr>
          <w:rFonts w:ascii="Book Antiqua" w:hAnsi="Book Antiqua" w:cs="宋体"/>
          <w:b/>
          <w:bCs/>
          <w:kern w:val="0"/>
          <w:sz w:val="24"/>
        </w:rPr>
        <w:t>Neuschwander-Tetri BA</w:t>
      </w:r>
      <w:r w:rsidRPr="001E5D32">
        <w:rPr>
          <w:rFonts w:ascii="Book Antiqua" w:hAnsi="Book Antiqua" w:cs="宋体"/>
          <w:kern w:val="0"/>
          <w:sz w:val="24"/>
        </w:rPr>
        <w:t xml:space="preserve">, Clark JM, Bass NM, Van Natta ML, Unalp-Arida A, Tonascia J, Zein CO, Brunt EM, Kleiner DE, McCullough AJ, Sanyal AJ, Diehl AM, Lavine JE, Chalasani N, Kowdley KV. Clinical, laboratory and histological associations in adults with nonalcoholic fatty liver disease. </w:t>
      </w:r>
      <w:r w:rsidRPr="001E5D32">
        <w:rPr>
          <w:rFonts w:ascii="Book Antiqua" w:hAnsi="Book Antiqua" w:cs="宋体"/>
          <w:i/>
          <w:iCs/>
          <w:kern w:val="0"/>
          <w:sz w:val="24"/>
        </w:rPr>
        <w:t>Hepatology</w:t>
      </w:r>
      <w:r w:rsidRPr="001E5D32">
        <w:rPr>
          <w:rFonts w:ascii="Book Antiqua" w:hAnsi="Book Antiqua" w:cs="宋体"/>
          <w:kern w:val="0"/>
          <w:sz w:val="24"/>
        </w:rPr>
        <w:t xml:space="preserve"> 2010; </w:t>
      </w:r>
      <w:r w:rsidRPr="001E5D32">
        <w:rPr>
          <w:rFonts w:ascii="Book Antiqua" w:hAnsi="Book Antiqua" w:cs="宋体"/>
          <w:b/>
          <w:bCs/>
          <w:kern w:val="0"/>
          <w:sz w:val="24"/>
        </w:rPr>
        <w:t>52</w:t>
      </w:r>
      <w:r w:rsidRPr="001E5D32">
        <w:rPr>
          <w:rFonts w:ascii="Book Antiqua" w:hAnsi="Book Antiqua" w:cs="宋体"/>
          <w:kern w:val="0"/>
          <w:sz w:val="24"/>
        </w:rPr>
        <w:t>: 913-924 [PMID: 20648476 DOI: 10.1002/hep.23784]</w:t>
      </w:r>
    </w:p>
    <w:p w14:paraId="38C47D7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132 </w:t>
      </w:r>
      <w:r w:rsidRPr="001E5D32">
        <w:rPr>
          <w:rFonts w:ascii="Book Antiqua" w:hAnsi="Book Antiqua" w:cs="宋体"/>
          <w:b/>
          <w:bCs/>
          <w:kern w:val="0"/>
          <w:sz w:val="24"/>
        </w:rPr>
        <w:t>Naveau S</w:t>
      </w:r>
      <w:r w:rsidRPr="001E5D32">
        <w:rPr>
          <w:rFonts w:ascii="Book Antiqua" w:hAnsi="Book Antiqua" w:cs="宋体"/>
          <w:kern w:val="0"/>
          <w:sz w:val="24"/>
        </w:rPr>
        <w:t xml:space="preserve">, Gaudé G, Asnacios A, Agostini H, Abella A, Barri-Ova N, Dauvois B, Prévot S, Ngo Y, Munteanu M, Balian A, Njiké-Nakseu M, Perlemuter G, Poynard T. Diagnostic and prognostic values of noninvasive biomarkers of fibrosis in patients with alcoholic liver disease. </w:t>
      </w:r>
      <w:r w:rsidRPr="001E5D32">
        <w:rPr>
          <w:rFonts w:ascii="Book Antiqua" w:hAnsi="Book Antiqua" w:cs="宋体"/>
          <w:i/>
          <w:iCs/>
          <w:kern w:val="0"/>
          <w:sz w:val="24"/>
        </w:rPr>
        <w:t>Hepatology</w:t>
      </w:r>
      <w:r w:rsidRPr="001E5D32">
        <w:rPr>
          <w:rFonts w:ascii="Book Antiqua" w:hAnsi="Book Antiqua" w:cs="宋体"/>
          <w:kern w:val="0"/>
          <w:sz w:val="24"/>
        </w:rPr>
        <w:t xml:space="preserve"> 2009; </w:t>
      </w:r>
      <w:r w:rsidRPr="001E5D32">
        <w:rPr>
          <w:rFonts w:ascii="Book Antiqua" w:hAnsi="Book Antiqua" w:cs="宋体"/>
          <w:b/>
          <w:bCs/>
          <w:kern w:val="0"/>
          <w:sz w:val="24"/>
        </w:rPr>
        <w:t>49</w:t>
      </w:r>
      <w:r w:rsidRPr="001E5D32">
        <w:rPr>
          <w:rFonts w:ascii="Book Antiqua" w:hAnsi="Book Antiqua" w:cs="宋体"/>
          <w:kern w:val="0"/>
          <w:sz w:val="24"/>
        </w:rPr>
        <w:t>: 97-105 [PMID: 19053048 DOI: 10.1002/hep.22576]</w:t>
      </w:r>
    </w:p>
    <w:p w14:paraId="650D2DC4"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133 </w:t>
      </w:r>
      <w:r w:rsidRPr="001E5D32">
        <w:rPr>
          <w:rFonts w:ascii="Book Antiqua" w:hAnsi="Book Antiqua" w:cs="宋体"/>
          <w:b/>
          <w:bCs/>
          <w:kern w:val="0"/>
          <w:sz w:val="24"/>
        </w:rPr>
        <w:t>Schwimmer JB</w:t>
      </w:r>
      <w:r w:rsidRPr="001E5D32">
        <w:rPr>
          <w:rFonts w:ascii="Book Antiqua" w:hAnsi="Book Antiqua" w:cs="宋体"/>
          <w:kern w:val="0"/>
          <w:sz w:val="24"/>
        </w:rPr>
        <w:t xml:space="preserve">, Celedon MA, Lavine JE, Salem R, Campbell N, Schork NJ, Shiehmorteza M, Yokoo T, Chavez A, Middleton MS, Sirlin CB. Heritability of nonalcoholic fatty liver disease. </w:t>
      </w:r>
      <w:r w:rsidRPr="001E5D32">
        <w:rPr>
          <w:rFonts w:ascii="Book Antiqua" w:hAnsi="Book Antiqua" w:cs="宋体"/>
          <w:i/>
          <w:iCs/>
          <w:kern w:val="0"/>
          <w:sz w:val="24"/>
        </w:rPr>
        <w:t>Gastroenterology</w:t>
      </w:r>
      <w:r w:rsidRPr="001E5D32">
        <w:rPr>
          <w:rFonts w:ascii="Book Antiqua" w:hAnsi="Book Antiqua" w:cs="宋体"/>
          <w:kern w:val="0"/>
          <w:sz w:val="24"/>
        </w:rPr>
        <w:t xml:space="preserve"> 2009; </w:t>
      </w:r>
      <w:r w:rsidRPr="001E5D32">
        <w:rPr>
          <w:rFonts w:ascii="Book Antiqua" w:hAnsi="Book Antiqua" w:cs="宋体"/>
          <w:b/>
          <w:bCs/>
          <w:kern w:val="0"/>
          <w:sz w:val="24"/>
        </w:rPr>
        <w:t>136</w:t>
      </w:r>
      <w:r w:rsidRPr="001E5D32">
        <w:rPr>
          <w:rFonts w:ascii="Book Antiqua" w:hAnsi="Book Antiqua" w:cs="宋体"/>
          <w:kern w:val="0"/>
          <w:sz w:val="24"/>
        </w:rPr>
        <w:t>: 1585-1592 [PMID: 19208353 DOI: 10.1053/j.gastro.2009.01.050]</w:t>
      </w:r>
    </w:p>
    <w:p w14:paraId="45A1B09D"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134 </w:t>
      </w:r>
      <w:r w:rsidRPr="001E5D32">
        <w:rPr>
          <w:rFonts w:ascii="Book Antiqua" w:hAnsi="Book Antiqua" w:cs="宋体"/>
          <w:b/>
          <w:bCs/>
          <w:kern w:val="0"/>
          <w:sz w:val="24"/>
        </w:rPr>
        <w:t>Tarnoki AD</w:t>
      </w:r>
      <w:r w:rsidRPr="001E5D32">
        <w:rPr>
          <w:rFonts w:ascii="Book Antiqua" w:hAnsi="Book Antiqua" w:cs="宋体"/>
          <w:kern w:val="0"/>
          <w:sz w:val="24"/>
        </w:rPr>
        <w:t xml:space="preserve">, Tarnoki DL, Bata P, Littvay L, Osztovits J, Jermendy G, Karlinger K, Lannert A, Preda I, Kiss RG, Molnar AA, Garami Z, Baffy G, Berczi V. Heritability of non-alcoholic fatty liver disease and association with abnormal vascular parameters: a twin study. </w:t>
      </w:r>
      <w:r w:rsidRPr="001E5D32">
        <w:rPr>
          <w:rFonts w:ascii="Book Antiqua" w:hAnsi="Book Antiqua" w:cs="宋体"/>
          <w:i/>
          <w:iCs/>
          <w:kern w:val="0"/>
          <w:sz w:val="24"/>
        </w:rPr>
        <w:t>Liver Int</w:t>
      </w:r>
      <w:r w:rsidRPr="001E5D32">
        <w:rPr>
          <w:rFonts w:ascii="Book Antiqua" w:hAnsi="Book Antiqua" w:cs="宋体"/>
          <w:kern w:val="0"/>
          <w:sz w:val="24"/>
        </w:rPr>
        <w:t xml:space="preserve"> 2012; </w:t>
      </w:r>
      <w:r w:rsidRPr="001E5D32">
        <w:rPr>
          <w:rFonts w:ascii="Book Antiqua" w:hAnsi="Book Antiqua" w:cs="宋体"/>
          <w:b/>
          <w:bCs/>
          <w:kern w:val="0"/>
          <w:sz w:val="24"/>
        </w:rPr>
        <w:t>32</w:t>
      </w:r>
      <w:r w:rsidRPr="001E5D32">
        <w:rPr>
          <w:rFonts w:ascii="Book Antiqua" w:hAnsi="Book Antiqua" w:cs="宋体"/>
          <w:kern w:val="0"/>
          <w:sz w:val="24"/>
        </w:rPr>
        <w:t>: 1287-1293 [PMID: 22651705 DOI: 10.1111/j.1478-3231.2012.02823.x]</w:t>
      </w:r>
    </w:p>
    <w:p w14:paraId="67014CE7"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135 </w:t>
      </w:r>
      <w:r w:rsidRPr="001E5D32">
        <w:rPr>
          <w:rFonts w:ascii="Book Antiqua" w:hAnsi="Book Antiqua" w:cs="宋体"/>
          <w:b/>
          <w:bCs/>
          <w:kern w:val="0"/>
          <w:sz w:val="24"/>
        </w:rPr>
        <w:t>Anstee QM</w:t>
      </w:r>
      <w:r w:rsidRPr="001E5D32">
        <w:rPr>
          <w:rFonts w:ascii="Book Antiqua" w:hAnsi="Book Antiqua" w:cs="宋体"/>
          <w:kern w:val="0"/>
          <w:sz w:val="24"/>
        </w:rPr>
        <w:t xml:space="preserve">, Daly AK, Day CP. Genetic modifiers of non-alcoholic fatty liver disease progression. </w:t>
      </w:r>
      <w:r w:rsidRPr="001E5D32">
        <w:rPr>
          <w:rFonts w:ascii="Book Antiqua" w:hAnsi="Book Antiqua" w:cs="宋体"/>
          <w:i/>
          <w:iCs/>
          <w:kern w:val="0"/>
          <w:sz w:val="24"/>
        </w:rPr>
        <w:t>Biochim Biophys Acta</w:t>
      </w:r>
      <w:r w:rsidRPr="001E5D32">
        <w:rPr>
          <w:rFonts w:ascii="Book Antiqua" w:hAnsi="Book Antiqua" w:cs="宋体"/>
          <w:kern w:val="0"/>
          <w:sz w:val="24"/>
        </w:rPr>
        <w:t xml:space="preserve"> 2011; </w:t>
      </w:r>
      <w:r w:rsidRPr="001E5D32">
        <w:rPr>
          <w:rFonts w:ascii="Book Antiqua" w:hAnsi="Book Antiqua" w:cs="宋体"/>
          <w:b/>
          <w:bCs/>
          <w:kern w:val="0"/>
          <w:sz w:val="24"/>
        </w:rPr>
        <w:t>1812</w:t>
      </w:r>
      <w:r w:rsidRPr="001E5D32">
        <w:rPr>
          <w:rFonts w:ascii="Book Antiqua" w:hAnsi="Book Antiqua" w:cs="宋体"/>
          <w:kern w:val="0"/>
          <w:sz w:val="24"/>
        </w:rPr>
        <w:t>: 1557-1566 [PMID: 21840395 DOI: 10.1016/j.bbadis.2011.07.017]</w:t>
      </w:r>
    </w:p>
    <w:p w14:paraId="37F019E7"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136 </w:t>
      </w:r>
      <w:r w:rsidRPr="001E5D32">
        <w:rPr>
          <w:rFonts w:ascii="Book Antiqua" w:hAnsi="Book Antiqua" w:cs="宋体"/>
          <w:b/>
          <w:bCs/>
          <w:kern w:val="0"/>
          <w:sz w:val="24"/>
        </w:rPr>
        <w:t>Dongiovanni P</w:t>
      </w:r>
      <w:r w:rsidRPr="001E5D32">
        <w:rPr>
          <w:rFonts w:ascii="Book Antiqua" w:hAnsi="Book Antiqua" w:cs="宋体"/>
          <w:kern w:val="0"/>
          <w:sz w:val="24"/>
        </w:rPr>
        <w:t xml:space="preserve">, Anstee QM, Valenti L. Genetic predisposition in NAFLD and NASH: impact on severity of liver disease and response to treatment. </w:t>
      </w:r>
      <w:r w:rsidRPr="001E5D32">
        <w:rPr>
          <w:rFonts w:ascii="Book Antiqua" w:hAnsi="Book Antiqua" w:cs="宋体"/>
          <w:i/>
          <w:iCs/>
          <w:kern w:val="0"/>
          <w:sz w:val="24"/>
        </w:rPr>
        <w:t>Curr Pharm Des</w:t>
      </w:r>
      <w:r w:rsidRPr="001E5D32">
        <w:rPr>
          <w:rFonts w:ascii="Book Antiqua" w:hAnsi="Book Antiqua" w:cs="宋体"/>
          <w:kern w:val="0"/>
          <w:sz w:val="24"/>
        </w:rPr>
        <w:t xml:space="preserve"> 2013; </w:t>
      </w:r>
      <w:r w:rsidRPr="001E5D32">
        <w:rPr>
          <w:rFonts w:ascii="Book Antiqua" w:hAnsi="Book Antiqua" w:cs="宋体"/>
          <w:b/>
          <w:bCs/>
          <w:kern w:val="0"/>
          <w:sz w:val="24"/>
        </w:rPr>
        <w:t>19</w:t>
      </w:r>
      <w:r w:rsidRPr="001E5D32">
        <w:rPr>
          <w:rFonts w:ascii="Book Antiqua" w:hAnsi="Book Antiqua" w:cs="宋体"/>
          <w:kern w:val="0"/>
          <w:sz w:val="24"/>
        </w:rPr>
        <w:t>: 5219-5238 [PMID: 23394097 DOI: 10.2174/13816128113199990381]</w:t>
      </w:r>
    </w:p>
    <w:p w14:paraId="111E808C"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137 </w:t>
      </w:r>
      <w:r w:rsidRPr="001E5D32">
        <w:rPr>
          <w:rFonts w:ascii="Book Antiqua" w:hAnsi="Book Antiqua" w:cs="宋体"/>
          <w:b/>
          <w:bCs/>
          <w:kern w:val="0"/>
          <w:sz w:val="24"/>
        </w:rPr>
        <w:t>Romeo S</w:t>
      </w:r>
      <w:r w:rsidRPr="001E5D32">
        <w:rPr>
          <w:rFonts w:ascii="Book Antiqua" w:hAnsi="Book Antiqua" w:cs="宋体"/>
          <w:kern w:val="0"/>
          <w:sz w:val="24"/>
        </w:rPr>
        <w:t xml:space="preserve">, Kozlitina J, Xing C, Pertsemlidis A, Cox D, Pennacchio LA, Boerwinkle E, Cohen JC, Hobbs HH. Genetic variation in PNPLA3 confers susceptibility to nonalcoholic fatty liver disease. </w:t>
      </w:r>
      <w:r w:rsidRPr="001E5D32">
        <w:rPr>
          <w:rFonts w:ascii="Book Antiqua" w:hAnsi="Book Antiqua" w:cs="宋体"/>
          <w:i/>
          <w:iCs/>
          <w:kern w:val="0"/>
          <w:sz w:val="24"/>
        </w:rPr>
        <w:t>Nat Genet</w:t>
      </w:r>
      <w:r w:rsidRPr="001E5D32">
        <w:rPr>
          <w:rFonts w:ascii="Book Antiqua" w:hAnsi="Book Antiqua" w:cs="宋体"/>
          <w:kern w:val="0"/>
          <w:sz w:val="24"/>
        </w:rPr>
        <w:t xml:space="preserve"> 2008; </w:t>
      </w:r>
      <w:r w:rsidRPr="001E5D32">
        <w:rPr>
          <w:rFonts w:ascii="Book Antiqua" w:hAnsi="Book Antiqua" w:cs="宋体"/>
          <w:b/>
          <w:bCs/>
          <w:kern w:val="0"/>
          <w:sz w:val="24"/>
        </w:rPr>
        <w:t>40</w:t>
      </w:r>
      <w:r w:rsidRPr="001E5D32">
        <w:rPr>
          <w:rFonts w:ascii="Book Antiqua" w:hAnsi="Book Antiqua" w:cs="宋体"/>
          <w:kern w:val="0"/>
          <w:sz w:val="24"/>
        </w:rPr>
        <w:t>: 1461-1465 [PMID: 18820647 DOI: 10.1038/ng.257]</w:t>
      </w:r>
    </w:p>
    <w:p w14:paraId="5A36353A"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138 </w:t>
      </w:r>
      <w:r w:rsidRPr="001E5D32">
        <w:rPr>
          <w:rFonts w:ascii="Book Antiqua" w:hAnsi="Book Antiqua" w:cs="宋体"/>
          <w:b/>
          <w:bCs/>
          <w:kern w:val="0"/>
          <w:sz w:val="24"/>
        </w:rPr>
        <w:t>Yuan X</w:t>
      </w:r>
      <w:r w:rsidRPr="001E5D32">
        <w:rPr>
          <w:rFonts w:ascii="Book Antiqua" w:hAnsi="Book Antiqua" w:cs="宋体"/>
          <w:kern w:val="0"/>
          <w:sz w:val="24"/>
        </w:rPr>
        <w:t xml:space="preserve">, Waterworth D, Perry JR, Lim N, Song K, Chambers JC, Zhang W, Vollenweider P, Stirnadel H, Johnson T, Bergmann S, Beckmann ND, Li Y, Ferrucci L, Melzer D, Hernandez D, Singleton A, Scott J, Elliott P, Waeber G, Cardon L, Frayling TM, Kooner JS, Mooser V. Population-based genome-wide association studies reveal six loci influencing plasma levels of liver enzymes. </w:t>
      </w:r>
      <w:r w:rsidRPr="001E5D32">
        <w:rPr>
          <w:rFonts w:ascii="Book Antiqua" w:hAnsi="Book Antiqua" w:cs="宋体"/>
          <w:i/>
          <w:iCs/>
          <w:kern w:val="0"/>
          <w:sz w:val="24"/>
        </w:rPr>
        <w:t>Am J Hum Genet</w:t>
      </w:r>
      <w:r w:rsidRPr="001E5D32">
        <w:rPr>
          <w:rFonts w:ascii="Book Antiqua" w:hAnsi="Book Antiqua" w:cs="宋体"/>
          <w:kern w:val="0"/>
          <w:sz w:val="24"/>
        </w:rPr>
        <w:t xml:space="preserve"> 2008; </w:t>
      </w:r>
      <w:r w:rsidRPr="001E5D32">
        <w:rPr>
          <w:rFonts w:ascii="Book Antiqua" w:hAnsi="Book Antiqua" w:cs="宋体"/>
          <w:b/>
          <w:bCs/>
          <w:kern w:val="0"/>
          <w:sz w:val="24"/>
        </w:rPr>
        <w:t>83</w:t>
      </w:r>
      <w:r w:rsidRPr="001E5D32">
        <w:rPr>
          <w:rFonts w:ascii="Book Antiqua" w:hAnsi="Book Antiqua" w:cs="宋体"/>
          <w:kern w:val="0"/>
          <w:sz w:val="24"/>
        </w:rPr>
        <w:t>: 520-528 [PMID: 18940312 DOI: 10.1016/j.ajhg.2008.09.012]</w:t>
      </w:r>
    </w:p>
    <w:p w14:paraId="6CA4DF03"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139 </w:t>
      </w:r>
      <w:r w:rsidRPr="001E5D32">
        <w:rPr>
          <w:rFonts w:ascii="Book Antiqua" w:hAnsi="Book Antiqua" w:cs="宋体"/>
          <w:b/>
          <w:bCs/>
          <w:kern w:val="0"/>
          <w:sz w:val="24"/>
        </w:rPr>
        <w:t>He S</w:t>
      </w:r>
      <w:r w:rsidRPr="001E5D32">
        <w:rPr>
          <w:rFonts w:ascii="Book Antiqua" w:hAnsi="Book Antiqua" w:cs="宋体"/>
          <w:kern w:val="0"/>
          <w:sz w:val="24"/>
        </w:rPr>
        <w:t xml:space="preserve">, McPhaul C, Li JZ, Garuti R, Kinch L, Grishin NV, Cohen JC, Hobbs HH. A sequence variation (I148M) in PNPLA3 associated with nonalcoholic fatty liver disease disrupts triglyceride hydrolysis. </w:t>
      </w:r>
      <w:r w:rsidRPr="001E5D32">
        <w:rPr>
          <w:rFonts w:ascii="Book Antiqua" w:hAnsi="Book Antiqua" w:cs="宋体"/>
          <w:i/>
          <w:iCs/>
          <w:kern w:val="0"/>
          <w:sz w:val="24"/>
        </w:rPr>
        <w:t>J Biol Chem</w:t>
      </w:r>
      <w:r w:rsidRPr="001E5D32">
        <w:rPr>
          <w:rFonts w:ascii="Book Antiqua" w:hAnsi="Book Antiqua" w:cs="宋体"/>
          <w:kern w:val="0"/>
          <w:sz w:val="24"/>
        </w:rPr>
        <w:t xml:space="preserve"> 2010; </w:t>
      </w:r>
      <w:r w:rsidRPr="001E5D32">
        <w:rPr>
          <w:rFonts w:ascii="Book Antiqua" w:hAnsi="Book Antiqua" w:cs="宋体"/>
          <w:b/>
          <w:bCs/>
          <w:kern w:val="0"/>
          <w:sz w:val="24"/>
        </w:rPr>
        <w:t>285</w:t>
      </w:r>
      <w:r w:rsidRPr="001E5D32">
        <w:rPr>
          <w:rFonts w:ascii="Book Antiqua" w:hAnsi="Book Antiqua" w:cs="宋体"/>
          <w:kern w:val="0"/>
          <w:sz w:val="24"/>
        </w:rPr>
        <w:t>: 6706-6715 [PMID: 20034933 DOI: 10.1074/jbc.M109.064501]</w:t>
      </w:r>
    </w:p>
    <w:p w14:paraId="0C0C7A57"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140 </w:t>
      </w:r>
      <w:r w:rsidRPr="001E5D32">
        <w:rPr>
          <w:rFonts w:ascii="Book Antiqua" w:hAnsi="Book Antiqua" w:cs="宋体"/>
          <w:b/>
          <w:bCs/>
          <w:kern w:val="0"/>
          <w:sz w:val="24"/>
        </w:rPr>
        <w:t>Hotta K</w:t>
      </w:r>
      <w:r w:rsidRPr="001E5D32">
        <w:rPr>
          <w:rFonts w:ascii="Book Antiqua" w:hAnsi="Book Antiqua" w:cs="宋体"/>
          <w:kern w:val="0"/>
          <w:sz w:val="24"/>
        </w:rPr>
        <w:t xml:space="preserve">, Yoneda M, Hyogo H, Ochi H, Mizusawa S, Ueno T, Chayama K, Nakajima A, Nakao K, Sekine A. Association of the rs738409 polymorphism in PNPLA3 with liver damage and the development of nonalcoholic fatty liver disease. </w:t>
      </w:r>
      <w:r w:rsidRPr="001E5D32">
        <w:rPr>
          <w:rFonts w:ascii="Book Antiqua" w:hAnsi="Book Antiqua" w:cs="宋体"/>
          <w:i/>
          <w:iCs/>
          <w:kern w:val="0"/>
          <w:sz w:val="24"/>
        </w:rPr>
        <w:t>BMC Med Genet</w:t>
      </w:r>
      <w:r w:rsidRPr="001E5D32">
        <w:rPr>
          <w:rFonts w:ascii="Book Antiqua" w:hAnsi="Book Antiqua" w:cs="宋体"/>
          <w:kern w:val="0"/>
          <w:sz w:val="24"/>
        </w:rPr>
        <w:t xml:space="preserve"> 2010; </w:t>
      </w:r>
      <w:r w:rsidRPr="001E5D32">
        <w:rPr>
          <w:rFonts w:ascii="Book Antiqua" w:hAnsi="Book Antiqua" w:cs="宋体"/>
          <w:b/>
          <w:bCs/>
          <w:kern w:val="0"/>
          <w:sz w:val="24"/>
        </w:rPr>
        <w:t>11</w:t>
      </w:r>
      <w:r w:rsidRPr="001E5D32">
        <w:rPr>
          <w:rFonts w:ascii="Book Antiqua" w:hAnsi="Book Antiqua" w:cs="宋体"/>
          <w:kern w:val="0"/>
          <w:sz w:val="24"/>
        </w:rPr>
        <w:t>: 172 [PMID: 21176169 DOI: 10.1186/1471-2350-11-172]</w:t>
      </w:r>
    </w:p>
    <w:p w14:paraId="55BE2602"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141 </w:t>
      </w:r>
      <w:r w:rsidRPr="001E5D32">
        <w:rPr>
          <w:rFonts w:ascii="Book Antiqua" w:hAnsi="Book Antiqua" w:cs="宋体"/>
          <w:b/>
          <w:bCs/>
          <w:kern w:val="0"/>
          <w:sz w:val="24"/>
        </w:rPr>
        <w:t>Valenti L</w:t>
      </w:r>
      <w:r w:rsidRPr="001E5D32">
        <w:rPr>
          <w:rFonts w:ascii="Book Antiqua" w:hAnsi="Book Antiqua" w:cs="宋体"/>
          <w:kern w:val="0"/>
          <w:sz w:val="24"/>
        </w:rPr>
        <w:t xml:space="preserve">, Alisi A, Galmozzi E, Bartuli A, Del Menico B, Alterio A, Dongiovanni P, Fargion S, Nobili V. I148M patatin-like phospholipase domain-containing 3 gene variant and severity of pediatric nonalcoholic fatty liver disease. </w:t>
      </w:r>
      <w:r w:rsidRPr="001E5D32">
        <w:rPr>
          <w:rFonts w:ascii="Book Antiqua" w:hAnsi="Book Antiqua" w:cs="宋体"/>
          <w:i/>
          <w:iCs/>
          <w:kern w:val="0"/>
          <w:sz w:val="24"/>
        </w:rPr>
        <w:t>Hepatology</w:t>
      </w:r>
      <w:r w:rsidRPr="001E5D32">
        <w:rPr>
          <w:rFonts w:ascii="Book Antiqua" w:hAnsi="Book Antiqua" w:cs="宋体"/>
          <w:kern w:val="0"/>
          <w:sz w:val="24"/>
        </w:rPr>
        <w:t xml:space="preserve"> 2010; </w:t>
      </w:r>
      <w:r w:rsidRPr="001E5D32">
        <w:rPr>
          <w:rFonts w:ascii="Book Antiqua" w:hAnsi="Book Antiqua" w:cs="宋体"/>
          <w:b/>
          <w:bCs/>
          <w:kern w:val="0"/>
          <w:sz w:val="24"/>
        </w:rPr>
        <w:t>52</w:t>
      </w:r>
      <w:r w:rsidRPr="001E5D32">
        <w:rPr>
          <w:rFonts w:ascii="Book Antiqua" w:hAnsi="Book Antiqua" w:cs="宋体"/>
          <w:kern w:val="0"/>
          <w:sz w:val="24"/>
        </w:rPr>
        <w:t>: 1274-1280 [PMID: 20648474 DOI: 10.1002/hep.23823]</w:t>
      </w:r>
    </w:p>
    <w:p w14:paraId="7AC502B9"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142 </w:t>
      </w:r>
      <w:r w:rsidRPr="001E5D32">
        <w:rPr>
          <w:rFonts w:ascii="Book Antiqua" w:hAnsi="Book Antiqua" w:cs="宋体"/>
          <w:b/>
          <w:bCs/>
          <w:kern w:val="0"/>
          <w:sz w:val="24"/>
        </w:rPr>
        <w:t>Wagenknecht LE</w:t>
      </w:r>
      <w:r w:rsidRPr="001E5D32">
        <w:rPr>
          <w:rFonts w:ascii="Book Antiqua" w:hAnsi="Book Antiqua" w:cs="宋体"/>
          <w:kern w:val="0"/>
          <w:sz w:val="24"/>
        </w:rPr>
        <w:t xml:space="preserve">, Palmer ND, Bowden DW, Rotter JI, Norris JM, Ziegler J, Chen YD, Haffner S, Scherzinger A, Langefeld CD. Association of PNPLA3 with non-alcoholic fatty liver disease in a minority cohort: the Insulin Resistance Atherosclerosis Family Study. </w:t>
      </w:r>
      <w:r w:rsidRPr="001E5D32">
        <w:rPr>
          <w:rFonts w:ascii="Book Antiqua" w:hAnsi="Book Antiqua" w:cs="宋体"/>
          <w:i/>
          <w:iCs/>
          <w:kern w:val="0"/>
          <w:sz w:val="24"/>
        </w:rPr>
        <w:t>Liver Int</w:t>
      </w:r>
      <w:r w:rsidRPr="001E5D32">
        <w:rPr>
          <w:rFonts w:ascii="Book Antiqua" w:hAnsi="Book Antiqua" w:cs="宋体"/>
          <w:kern w:val="0"/>
          <w:sz w:val="24"/>
        </w:rPr>
        <w:t xml:space="preserve"> 2011; </w:t>
      </w:r>
      <w:r w:rsidRPr="001E5D32">
        <w:rPr>
          <w:rFonts w:ascii="Book Antiqua" w:hAnsi="Book Antiqua" w:cs="宋体"/>
          <w:b/>
          <w:bCs/>
          <w:kern w:val="0"/>
          <w:sz w:val="24"/>
        </w:rPr>
        <w:t>31</w:t>
      </w:r>
      <w:r w:rsidRPr="001E5D32">
        <w:rPr>
          <w:rFonts w:ascii="Book Antiqua" w:hAnsi="Book Antiqua" w:cs="宋体"/>
          <w:kern w:val="0"/>
          <w:sz w:val="24"/>
        </w:rPr>
        <w:t>: 412-416 [PMID: 21281435 DOI: 10.1111/j.1478-3231.2010.02444.x]</w:t>
      </w:r>
    </w:p>
    <w:p w14:paraId="730677E7"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143 </w:t>
      </w:r>
      <w:r w:rsidRPr="001E5D32">
        <w:rPr>
          <w:rFonts w:ascii="Book Antiqua" w:hAnsi="Book Antiqua" w:cs="宋体"/>
          <w:b/>
          <w:bCs/>
          <w:kern w:val="0"/>
          <w:sz w:val="24"/>
        </w:rPr>
        <w:t>Peng XE</w:t>
      </w:r>
      <w:r w:rsidRPr="001E5D32">
        <w:rPr>
          <w:rFonts w:ascii="Book Antiqua" w:hAnsi="Book Antiqua" w:cs="宋体"/>
          <w:kern w:val="0"/>
          <w:sz w:val="24"/>
        </w:rPr>
        <w:t xml:space="preserve">, Wu YL, Lin SW, Lu QQ, Hu ZJ, Lin X. Genetic variants in PNPLA3 and risk of non-alcoholic fatty liver disease in a Han Chinese population. </w:t>
      </w:r>
      <w:r w:rsidRPr="001E5D32">
        <w:rPr>
          <w:rFonts w:ascii="Book Antiqua" w:hAnsi="Book Antiqua" w:cs="宋体"/>
          <w:i/>
          <w:iCs/>
          <w:kern w:val="0"/>
          <w:sz w:val="24"/>
        </w:rPr>
        <w:t>PLoS One</w:t>
      </w:r>
      <w:r w:rsidRPr="001E5D32">
        <w:rPr>
          <w:rFonts w:ascii="Book Antiqua" w:hAnsi="Book Antiqua" w:cs="宋体"/>
          <w:kern w:val="0"/>
          <w:sz w:val="24"/>
        </w:rPr>
        <w:t xml:space="preserve"> 2012; </w:t>
      </w:r>
      <w:r w:rsidRPr="001E5D32">
        <w:rPr>
          <w:rFonts w:ascii="Book Antiqua" w:hAnsi="Book Antiqua" w:cs="宋体"/>
          <w:b/>
          <w:bCs/>
          <w:kern w:val="0"/>
          <w:sz w:val="24"/>
        </w:rPr>
        <w:t>7</w:t>
      </w:r>
      <w:r w:rsidRPr="001E5D32">
        <w:rPr>
          <w:rFonts w:ascii="Book Antiqua" w:hAnsi="Book Antiqua" w:cs="宋体"/>
          <w:kern w:val="0"/>
          <w:sz w:val="24"/>
        </w:rPr>
        <w:t>: e50256 [PMID: 23226254 DOI: 10.1371/journal.pone.0050256]</w:t>
      </w:r>
    </w:p>
    <w:p w14:paraId="5A32CD2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144 </w:t>
      </w:r>
      <w:r w:rsidRPr="001E5D32">
        <w:rPr>
          <w:rFonts w:ascii="Book Antiqua" w:hAnsi="Book Antiqua" w:cs="宋体"/>
          <w:b/>
          <w:bCs/>
          <w:kern w:val="0"/>
          <w:sz w:val="24"/>
        </w:rPr>
        <w:t>Dongiovanni P</w:t>
      </w:r>
      <w:r w:rsidRPr="001E5D32">
        <w:rPr>
          <w:rFonts w:ascii="Book Antiqua" w:hAnsi="Book Antiqua" w:cs="宋体"/>
          <w:kern w:val="0"/>
          <w:sz w:val="24"/>
        </w:rPr>
        <w:t xml:space="preserve">, Donati B, Fares R, Lombardi R, Mancina RM, Romeo S, Valenti L. PNPLA3 I148M polymorphism and progressive liver disease. </w:t>
      </w:r>
      <w:r w:rsidRPr="001E5D32">
        <w:rPr>
          <w:rFonts w:ascii="Book Antiqua" w:hAnsi="Book Antiqua" w:cs="宋体"/>
          <w:i/>
          <w:iCs/>
          <w:kern w:val="0"/>
          <w:sz w:val="24"/>
        </w:rPr>
        <w:t>World J Gastroenterol</w:t>
      </w:r>
      <w:r w:rsidRPr="001E5D32">
        <w:rPr>
          <w:rFonts w:ascii="Book Antiqua" w:hAnsi="Book Antiqua" w:cs="宋体"/>
          <w:kern w:val="0"/>
          <w:sz w:val="24"/>
        </w:rPr>
        <w:t xml:space="preserve"> 2013; </w:t>
      </w:r>
      <w:r w:rsidRPr="001E5D32">
        <w:rPr>
          <w:rFonts w:ascii="Book Antiqua" w:hAnsi="Book Antiqua" w:cs="宋体"/>
          <w:b/>
          <w:bCs/>
          <w:kern w:val="0"/>
          <w:sz w:val="24"/>
        </w:rPr>
        <w:t>19</w:t>
      </w:r>
      <w:r w:rsidRPr="001E5D32">
        <w:rPr>
          <w:rFonts w:ascii="Book Antiqua" w:hAnsi="Book Antiqua" w:cs="宋体"/>
          <w:kern w:val="0"/>
          <w:sz w:val="24"/>
        </w:rPr>
        <w:t>: 6969-6978 [PMID: 24222941 DOI: 10.3748/wjg.v19.i41.6969]</w:t>
      </w:r>
    </w:p>
    <w:p w14:paraId="69F460B3"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145 </w:t>
      </w:r>
      <w:r w:rsidRPr="001E5D32">
        <w:rPr>
          <w:rFonts w:ascii="Book Antiqua" w:hAnsi="Book Antiqua" w:cs="宋体"/>
          <w:b/>
          <w:bCs/>
          <w:kern w:val="0"/>
          <w:sz w:val="24"/>
        </w:rPr>
        <w:t>Sookoian S</w:t>
      </w:r>
      <w:r w:rsidRPr="001E5D32">
        <w:rPr>
          <w:rFonts w:ascii="Book Antiqua" w:hAnsi="Book Antiqua" w:cs="宋体"/>
          <w:kern w:val="0"/>
          <w:sz w:val="24"/>
        </w:rPr>
        <w:t xml:space="preserve">, Pirola CJ. Meta-analysis of the influence of I148M variant of patatin-like phospholipase domain containing 3 gene (PNPLA3) on the susceptibility and histological severity of nonalcoholic fatty liver disease. </w:t>
      </w:r>
      <w:r w:rsidRPr="001E5D32">
        <w:rPr>
          <w:rFonts w:ascii="Book Antiqua" w:hAnsi="Book Antiqua" w:cs="宋体"/>
          <w:i/>
          <w:iCs/>
          <w:kern w:val="0"/>
          <w:sz w:val="24"/>
        </w:rPr>
        <w:t>Hepatology</w:t>
      </w:r>
      <w:r w:rsidRPr="001E5D32">
        <w:rPr>
          <w:rFonts w:ascii="Book Antiqua" w:hAnsi="Book Antiqua" w:cs="宋体"/>
          <w:kern w:val="0"/>
          <w:sz w:val="24"/>
        </w:rPr>
        <w:t xml:space="preserve"> 2011; </w:t>
      </w:r>
      <w:r w:rsidRPr="001E5D32">
        <w:rPr>
          <w:rFonts w:ascii="Book Antiqua" w:hAnsi="Book Antiqua" w:cs="宋体"/>
          <w:b/>
          <w:bCs/>
          <w:kern w:val="0"/>
          <w:sz w:val="24"/>
        </w:rPr>
        <w:t>53</w:t>
      </w:r>
      <w:r w:rsidRPr="001E5D32">
        <w:rPr>
          <w:rFonts w:ascii="Book Antiqua" w:hAnsi="Book Antiqua" w:cs="宋体"/>
          <w:kern w:val="0"/>
          <w:sz w:val="24"/>
        </w:rPr>
        <w:t>: 1883-1894 [PMID: 21381068 DOI: 10.1002/hep.24283]</w:t>
      </w:r>
    </w:p>
    <w:p w14:paraId="5F2E9A94"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146 </w:t>
      </w:r>
      <w:r w:rsidRPr="001E5D32">
        <w:rPr>
          <w:rFonts w:ascii="Book Antiqua" w:hAnsi="Book Antiqua" w:cs="宋体"/>
          <w:b/>
          <w:bCs/>
          <w:kern w:val="0"/>
          <w:sz w:val="24"/>
        </w:rPr>
        <w:t>Singal AG</w:t>
      </w:r>
      <w:r w:rsidRPr="001E5D32">
        <w:rPr>
          <w:rFonts w:ascii="Book Antiqua" w:hAnsi="Book Antiqua" w:cs="宋体"/>
          <w:kern w:val="0"/>
          <w:sz w:val="24"/>
        </w:rPr>
        <w:t xml:space="preserve">, Manjunath H, Yopp AC, Beg MS, Marrero JA, Gopal P, Waljee AK. The effect of PNPLA3 on fibrosis progression and development of hepatocellular carcinoma: a meta-analysis. </w:t>
      </w:r>
      <w:r w:rsidRPr="001E5D32">
        <w:rPr>
          <w:rFonts w:ascii="Book Antiqua" w:hAnsi="Book Antiqua" w:cs="宋体"/>
          <w:i/>
          <w:iCs/>
          <w:kern w:val="0"/>
          <w:sz w:val="24"/>
        </w:rPr>
        <w:t>Am J Gastroenterol</w:t>
      </w:r>
      <w:r w:rsidRPr="001E5D32">
        <w:rPr>
          <w:rFonts w:ascii="Book Antiqua" w:hAnsi="Book Antiqua" w:cs="宋体"/>
          <w:kern w:val="0"/>
          <w:sz w:val="24"/>
        </w:rPr>
        <w:t xml:space="preserve"> 2014; </w:t>
      </w:r>
      <w:r w:rsidRPr="001E5D32">
        <w:rPr>
          <w:rFonts w:ascii="Book Antiqua" w:hAnsi="Book Antiqua" w:cs="宋体"/>
          <w:b/>
          <w:bCs/>
          <w:kern w:val="0"/>
          <w:sz w:val="24"/>
        </w:rPr>
        <w:t>109</w:t>
      </w:r>
      <w:r w:rsidRPr="001E5D32">
        <w:rPr>
          <w:rFonts w:ascii="Book Antiqua" w:hAnsi="Book Antiqua" w:cs="宋体"/>
          <w:kern w:val="0"/>
          <w:sz w:val="24"/>
        </w:rPr>
        <w:t>: 325-334 [PMID: 24445574 DOI: 10.1038/ajg.2013.476]</w:t>
      </w:r>
    </w:p>
    <w:p w14:paraId="19ECFAA8"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147 </w:t>
      </w:r>
      <w:r w:rsidRPr="001E5D32">
        <w:rPr>
          <w:rFonts w:ascii="Book Antiqua" w:hAnsi="Book Antiqua" w:cs="宋体"/>
          <w:b/>
          <w:bCs/>
          <w:kern w:val="0"/>
          <w:sz w:val="24"/>
        </w:rPr>
        <w:t>Sookoian S</w:t>
      </w:r>
      <w:r w:rsidRPr="001E5D32">
        <w:rPr>
          <w:rFonts w:ascii="Book Antiqua" w:hAnsi="Book Antiqua" w:cs="宋体"/>
          <w:kern w:val="0"/>
          <w:sz w:val="24"/>
        </w:rPr>
        <w:t xml:space="preserve">, Pirola CJ. PNPLA3, the triacylglycerol synthesis/hydrolysis/storage dilemma, and nonalcoholic fatty liver disease. </w:t>
      </w:r>
      <w:r w:rsidRPr="001E5D32">
        <w:rPr>
          <w:rFonts w:ascii="Book Antiqua" w:hAnsi="Book Antiqua" w:cs="宋体"/>
          <w:i/>
          <w:iCs/>
          <w:kern w:val="0"/>
          <w:sz w:val="24"/>
        </w:rPr>
        <w:t>World J Gastroenterol</w:t>
      </w:r>
      <w:r w:rsidRPr="001E5D32">
        <w:rPr>
          <w:rFonts w:ascii="Book Antiqua" w:hAnsi="Book Antiqua" w:cs="宋体"/>
          <w:kern w:val="0"/>
          <w:sz w:val="24"/>
        </w:rPr>
        <w:t xml:space="preserve"> 2012; </w:t>
      </w:r>
      <w:r w:rsidRPr="001E5D32">
        <w:rPr>
          <w:rFonts w:ascii="Book Antiqua" w:hAnsi="Book Antiqua" w:cs="宋体"/>
          <w:b/>
          <w:bCs/>
          <w:kern w:val="0"/>
          <w:sz w:val="24"/>
        </w:rPr>
        <w:t>18</w:t>
      </w:r>
      <w:r w:rsidRPr="001E5D32">
        <w:rPr>
          <w:rFonts w:ascii="Book Antiqua" w:hAnsi="Book Antiqua" w:cs="宋体"/>
          <w:kern w:val="0"/>
          <w:sz w:val="24"/>
        </w:rPr>
        <w:t>: 6018-6026 [PMID: 23155331 DOI: 10.3748/wjg.v18.i42.6018]</w:t>
      </w:r>
    </w:p>
    <w:p w14:paraId="3358BF2C"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148 </w:t>
      </w:r>
      <w:r w:rsidRPr="001E5D32">
        <w:rPr>
          <w:rFonts w:ascii="Book Antiqua" w:hAnsi="Book Antiqua" w:cs="宋体"/>
          <w:b/>
          <w:bCs/>
          <w:kern w:val="0"/>
          <w:sz w:val="24"/>
        </w:rPr>
        <w:t>Huang Y</w:t>
      </w:r>
      <w:r w:rsidRPr="001E5D32">
        <w:rPr>
          <w:rFonts w:ascii="Book Antiqua" w:hAnsi="Book Antiqua" w:cs="宋体"/>
          <w:kern w:val="0"/>
          <w:sz w:val="24"/>
        </w:rPr>
        <w:t xml:space="preserve">, He S, Li JZ, Seo YK, Osborne TF, Cohen JC, Hobbs HH. A feed-forward loop amplifies nutritional regulation of PNPLA3. </w:t>
      </w:r>
      <w:r w:rsidRPr="001E5D32">
        <w:rPr>
          <w:rFonts w:ascii="Book Antiqua" w:hAnsi="Book Antiqua" w:cs="宋体"/>
          <w:i/>
          <w:iCs/>
          <w:kern w:val="0"/>
          <w:sz w:val="24"/>
        </w:rPr>
        <w:t>Proc Natl Acad Sci U S A</w:t>
      </w:r>
      <w:r w:rsidRPr="001E5D32">
        <w:rPr>
          <w:rFonts w:ascii="Book Antiqua" w:hAnsi="Book Antiqua" w:cs="宋体"/>
          <w:kern w:val="0"/>
          <w:sz w:val="24"/>
        </w:rPr>
        <w:t xml:space="preserve"> 2010; </w:t>
      </w:r>
      <w:r w:rsidRPr="001E5D32">
        <w:rPr>
          <w:rFonts w:ascii="Book Antiqua" w:hAnsi="Book Antiqua" w:cs="宋体"/>
          <w:b/>
          <w:bCs/>
          <w:kern w:val="0"/>
          <w:sz w:val="24"/>
        </w:rPr>
        <w:t>107</w:t>
      </w:r>
      <w:r w:rsidRPr="001E5D32">
        <w:rPr>
          <w:rFonts w:ascii="Book Antiqua" w:hAnsi="Book Antiqua" w:cs="宋体"/>
          <w:kern w:val="0"/>
          <w:sz w:val="24"/>
        </w:rPr>
        <w:t>: 7892-7897 [PMID: 20385813 DOI: 10.1073/pnas.1003585107]</w:t>
      </w:r>
    </w:p>
    <w:p w14:paraId="6EAAC10A"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149 </w:t>
      </w:r>
      <w:r w:rsidRPr="001E5D32">
        <w:rPr>
          <w:rFonts w:ascii="Book Antiqua" w:hAnsi="Book Antiqua" w:cs="宋体"/>
          <w:b/>
          <w:bCs/>
          <w:kern w:val="0"/>
          <w:sz w:val="24"/>
        </w:rPr>
        <w:t>Pingitore P</w:t>
      </w:r>
      <w:r w:rsidRPr="001E5D32">
        <w:rPr>
          <w:rFonts w:ascii="Book Antiqua" w:hAnsi="Book Antiqua" w:cs="宋体"/>
          <w:kern w:val="0"/>
          <w:sz w:val="24"/>
        </w:rPr>
        <w:t xml:space="preserve">, Pirazzi C, Mancina RM, Motta BM, Indiveri C, Pujia A, Montalcini T, Hedfalk K, Romeo S. Recombinant PNPLA3 protein shows triglyceride hydrolase activity and its I148M mutation results in loss of function. </w:t>
      </w:r>
      <w:r w:rsidRPr="001E5D32">
        <w:rPr>
          <w:rFonts w:ascii="Book Antiqua" w:hAnsi="Book Antiqua" w:cs="宋体"/>
          <w:i/>
          <w:iCs/>
          <w:kern w:val="0"/>
          <w:sz w:val="24"/>
        </w:rPr>
        <w:t>Biochim Biophys Acta</w:t>
      </w:r>
      <w:r w:rsidRPr="001E5D32">
        <w:rPr>
          <w:rFonts w:ascii="Book Antiqua" w:hAnsi="Book Antiqua" w:cs="宋体"/>
          <w:kern w:val="0"/>
          <w:sz w:val="24"/>
        </w:rPr>
        <w:t xml:space="preserve"> 2014; </w:t>
      </w:r>
      <w:r w:rsidRPr="001E5D32">
        <w:rPr>
          <w:rFonts w:ascii="Book Antiqua" w:hAnsi="Book Antiqua" w:cs="宋体"/>
          <w:b/>
          <w:bCs/>
          <w:kern w:val="0"/>
          <w:sz w:val="24"/>
        </w:rPr>
        <w:t>1841</w:t>
      </w:r>
      <w:r w:rsidRPr="001E5D32">
        <w:rPr>
          <w:rFonts w:ascii="Book Antiqua" w:hAnsi="Book Antiqua" w:cs="宋体"/>
          <w:kern w:val="0"/>
          <w:sz w:val="24"/>
        </w:rPr>
        <w:t>: 574-580 [PMID: 24369119 DOI: 10.1016/j.bbalip.2013.12.006]</w:t>
      </w:r>
    </w:p>
    <w:p w14:paraId="27BC9678"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150 </w:t>
      </w:r>
      <w:r w:rsidRPr="001E5D32">
        <w:rPr>
          <w:rFonts w:ascii="Book Antiqua" w:hAnsi="Book Antiqua" w:cs="宋体"/>
          <w:b/>
          <w:bCs/>
          <w:kern w:val="0"/>
          <w:sz w:val="24"/>
        </w:rPr>
        <w:t>Perttilä J</w:t>
      </w:r>
      <w:r w:rsidRPr="001E5D32">
        <w:rPr>
          <w:rFonts w:ascii="Book Antiqua" w:hAnsi="Book Antiqua" w:cs="宋体"/>
          <w:kern w:val="0"/>
          <w:sz w:val="24"/>
        </w:rPr>
        <w:t xml:space="preserve">, Huaman-Samanez C, Caron S, Tanhuanpää K, Staels B, Yki-Järvinen H, Olkkonen VM. PNPLA3 is regulated by glucose in human hepatocytes, and its I148M mutant slows down triglyceride hydrolysis. </w:t>
      </w:r>
      <w:r w:rsidRPr="001E5D32">
        <w:rPr>
          <w:rFonts w:ascii="Book Antiqua" w:hAnsi="Book Antiqua" w:cs="宋体"/>
          <w:i/>
          <w:iCs/>
          <w:kern w:val="0"/>
          <w:sz w:val="24"/>
        </w:rPr>
        <w:t>Am J Physiol Endocrinol Metab</w:t>
      </w:r>
      <w:r w:rsidRPr="001E5D32">
        <w:rPr>
          <w:rFonts w:ascii="Book Antiqua" w:hAnsi="Book Antiqua" w:cs="宋体"/>
          <w:kern w:val="0"/>
          <w:sz w:val="24"/>
        </w:rPr>
        <w:t xml:space="preserve"> 2012; </w:t>
      </w:r>
      <w:r w:rsidRPr="001E5D32">
        <w:rPr>
          <w:rFonts w:ascii="Book Antiqua" w:hAnsi="Book Antiqua" w:cs="宋体"/>
          <w:b/>
          <w:bCs/>
          <w:kern w:val="0"/>
          <w:sz w:val="24"/>
        </w:rPr>
        <w:t>302</w:t>
      </w:r>
      <w:r w:rsidRPr="001E5D32">
        <w:rPr>
          <w:rFonts w:ascii="Book Antiqua" w:hAnsi="Book Antiqua" w:cs="宋体"/>
          <w:kern w:val="0"/>
          <w:sz w:val="24"/>
        </w:rPr>
        <w:t>: E1063-E1069 [PMID: 22338072 DOI: 10.1152/ajpendo.00125.2011]</w:t>
      </w:r>
    </w:p>
    <w:p w14:paraId="08E53A69"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151 </w:t>
      </w:r>
      <w:r w:rsidRPr="001E5D32">
        <w:rPr>
          <w:rFonts w:ascii="Book Antiqua" w:hAnsi="Book Antiqua" w:cs="宋体"/>
          <w:b/>
          <w:bCs/>
          <w:kern w:val="0"/>
          <w:sz w:val="24"/>
        </w:rPr>
        <w:t>Pirazzi C</w:t>
      </w:r>
      <w:r w:rsidRPr="001E5D32">
        <w:rPr>
          <w:rFonts w:ascii="Book Antiqua" w:hAnsi="Book Antiqua" w:cs="宋体"/>
          <w:kern w:val="0"/>
          <w:sz w:val="24"/>
        </w:rPr>
        <w:t xml:space="preserve">, Adiels M, Burza MA, Mancina RM, Levin M, Ståhlman M, Taskinen MR, Orho-Melander M, Perman J, Pujia A, Andersson L, Maglio C, Montalcini T, Wiklund O, Borén J, Romeo S. Patatin-like phospholipase domain-containing 3 (PNPLA3) I148M (rs738409) affects hepatic VLDL secretion in humans and in vitro. </w:t>
      </w:r>
      <w:r w:rsidRPr="001E5D32">
        <w:rPr>
          <w:rFonts w:ascii="Book Antiqua" w:hAnsi="Book Antiqua" w:cs="宋体"/>
          <w:i/>
          <w:iCs/>
          <w:kern w:val="0"/>
          <w:sz w:val="24"/>
        </w:rPr>
        <w:t>J Hepatol</w:t>
      </w:r>
      <w:r w:rsidRPr="001E5D32">
        <w:rPr>
          <w:rFonts w:ascii="Book Antiqua" w:hAnsi="Book Antiqua" w:cs="宋体"/>
          <w:kern w:val="0"/>
          <w:sz w:val="24"/>
        </w:rPr>
        <w:t xml:space="preserve"> 2012; </w:t>
      </w:r>
      <w:r w:rsidRPr="001E5D32">
        <w:rPr>
          <w:rFonts w:ascii="Book Antiqua" w:hAnsi="Book Antiqua" w:cs="宋体"/>
          <w:b/>
          <w:bCs/>
          <w:kern w:val="0"/>
          <w:sz w:val="24"/>
        </w:rPr>
        <w:t>57</w:t>
      </w:r>
      <w:r w:rsidRPr="001E5D32">
        <w:rPr>
          <w:rFonts w:ascii="Book Antiqua" w:hAnsi="Book Antiqua" w:cs="宋体"/>
          <w:kern w:val="0"/>
          <w:sz w:val="24"/>
        </w:rPr>
        <w:t>: 1276-1282 [PMID: 22878467 DOI: 10.1016/j.jhep.2012.07.030]</w:t>
      </w:r>
    </w:p>
    <w:p w14:paraId="5CFE863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152 </w:t>
      </w:r>
      <w:r w:rsidRPr="001E5D32">
        <w:rPr>
          <w:rFonts w:ascii="Book Antiqua" w:hAnsi="Book Antiqua" w:cs="宋体"/>
          <w:b/>
          <w:bCs/>
          <w:kern w:val="0"/>
          <w:sz w:val="24"/>
        </w:rPr>
        <w:t>Basantani MK</w:t>
      </w:r>
      <w:r w:rsidRPr="001E5D32">
        <w:rPr>
          <w:rFonts w:ascii="Book Antiqua" w:hAnsi="Book Antiqua" w:cs="宋体"/>
          <w:kern w:val="0"/>
          <w:sz w:val="24"/>
        </w:rPr>
        <w:t xml:space="preserve">, Sitnick MT, Cai L, Brenner DS, Gardner NP, Li JZ, Schoiswohl G, Yang K, Kumari M, Gross RW, Zechner R, Kershaw EE. Pnpla3/Adiponutrin deficiency in mice does not contribute to fatty liver disease or metabolic syndrome. </w:t>
      </w:r>
      <w:r w:rsidRPr="001E5D32">
        <w:rPr>
          <w:rFonts w:ascii="Book Antiqua" w:hAnsi="Book Antiqua" w:cs="宋体"/>
          <w:i/>
          <w:iCs/>
          <w:kern w:val="0"/>
          <w:sz w:val="24"/>
        </w:rPr>
        <w:t>J Lipid Res</w:t>
      </w:r>
      <w:r w:rsidRPr="001E5D32">
        <w:rPr>
          <w:rFonts w:ascii="Book Antiqua" w:hAnsi="Book Antiqua" w:cs="宋体"/>
          <w:kern w:val="0"/>
          <w:sz w:val="24"/>
        </w:rPr>
        <w:t xml:space="preserve"> 2011; </w:t>
      </w:r>
      <w:r w:rsidRPr="001E5D32">
        <w:rPr>
          <w:rFonts w:ascii="Book Antiqua" w:hAnsi="Book Antiqua" w:cs="宋体"/>
          <w:b/>
          <w:bCs/>
          <w:kern w:val="0"/>
          <w:sz w:val="24"/>
        </w:rPr>
        <w:t>52</w:t>
      </w:r>
      <w:r w:rsidRPr="001E5D32">
        <w:rPr>
          <w:rFonts w:ascii="Book Antiqua" w:hAnsi="Book Antiqua" w:cs="宋体"/>
          <w:kern w:val="0"/>
          <w:sz w:val="24"/>
        </w:rPr>
        <w:t>: 318-329 [PMID: 21068004 DOI: 10.1194/jlr.M01120]</w:t>
      </w:r>
    </w:p>
    <w:p w14:paraId="2B6EDA8C"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153 </w:t>
      </w:r>
      <w:r w:rsidRPr="001E5D32">
        <w:rPr>
          <w:rFonts w:ascii="Book Antiqua" w:hAnsi="Book Antiqua" w:cs="宋体"/>
          <w:b/>
          <w:bCs/>
          <w:kern w:val="0"/>
          <w:sz w:val="24"/>
        </w:rPr>
        <w:t>Kumari M</w:t>
      </w:r>
      <w:r w:rsidRPr="001E5D32">
        <w:rPr>
          <w:rFonts w:ascii="Book Antiqua" w:hAnsi="Book Antiqua" w:cs="宋体"/>
          <w:kern w:val="0"/>
          <w:sz w:val="24"/>
        </w:rPr>
        <w:t xml:space="preserve">, Schoiswohl G, Chitraju C, Paar M, Cornaciu I, Rangrez AY, Wongsiriroj N, Nagy HM, Ivanova PT, Scott SA, Knittelfelder O, Rechberger GN, Birner-Gruenberger R, Eder S, Brown HA, Haemmerle G, Oberer M, Lass A, Kershaw EE, Zimmermann R, Zechner R. Adiponutrin functions as a nutritionally regulated lysophosphatidic acid acyltransferase. </w:t>
      </w:r>
      <w:r w:rsidRPr="001E5D32">
        <w:rPr>
          <w:rFonts w:ascii="Book Antiqua" w:hAnsi="Book Antiqua" w:cs="宋体"/>
          <w:i/>
          <w:iCs/>
          <w:kern w:val="0"/>
          <w:sz w:val="24"/>
        </w:rPr>
        <w:t>Cell Metab</w:t>
      </w:r>
      <w:r w:rsidRPr="001E5D32">
        <w:rPr>
          <w:rFonts w:ascii="Book Antiqua" w:hAnsi="Book Antiqua" w:cs="宋体"/>
          <w:kern w:val="0"/>
          <w:sz w:val="24"/>
        </w:rPr>
        <w:t xml:space="preserve"> 2012; </w:t>
      </w:r>
      <w:r w:rsidRPr="001E5D32">
        <w:rPr>
          <w:rFonts w:ascii="Book Antiqua" w:hAnsi="Book Antiqua" w:cs="宋体"/>
          <w:b/>
          <w:bCs/>
          <w:kern w:val="0"/>
          <w:sz w:val="24"/>
        </w:rPr>
        <w:t>15</w:t>
      </w:r>
      <w:r w:rsidRPr="001E5D32">
        <w:rPr>
          <w:rFonts w:ascii="Book Antiqua" w:hAnsi="Book Antiqua" w:cs="宋体"/>
          <w:kern w:val="0"/>
          <w:sz w:val="24"/>
        </w:rPr>
        <w:t>: 691-702 [PMID: 22560221 DOI: 10.1016/j.cmet.2012.04.008]</w:t>
      </w:r>
    </w:p>
    <w:p w14:paraId="56C2F10B"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154 </w:t>
      </w:r>
      <w:r w:rsidRPr="001E5D32">
        <w:rPr>
          <w:rFonts w:ascii="Book Antiqua" w:hAnsi="Book Antiqua" w:cs="宋体"/>
          <w:b/>
          <w:bCs/>
          <w:kern w:val="0"/>
          <w:sz w:val="24"/>
        </w:rPr>
        <w:t>Li JZ</w:t>
      </w:r>
      <w:r w:rsidRPr="001E5D32">
        <w:rPr>
          <w:rFonts w:ascii="Book Antiqua" w:hAnsi="Book Antiqua" w:cs="宋体"/>
          <w:kern w:val="0"/>
          <w:sz w:val="24"/>
        </w:rPr>
        <w:t xml:space="preserve">, Huang Y, Karaman R, Ivanova PT, Brown HA, Roddy T, Castro-Perez J, Cohen JC, Hobbs HH. Chronic overexpression of PNPLA3I148M in mouse liver causes hepatic steatosis. </w:t>
      </w:r>
      <w:r w:rsidRPr="001E5D32">
        <w:rPr>
          <w:rFonts w:ascii="Book Antiqua" w:hAnsi="Book Antiqua" w:cs="宋体"/>
          <w:i/>
          <w:iCs/>
          <w:kern w:val="0"/>
          <w:sz w:val="24"/>
        </w:rPr>
        <w:t>J Clin Invest</w:t>
      </w:r>
      <w:r w:rsidRPr="001E5D32">
        <w:rPr>
          <w:rFonts w:ascii="Book Antiqua" w:hAnsi="Book Antiqua" w:cs="宋体"/>
          <w:kern w:val="0"/>
          <w:sz w:val="24"/>
        </w:rPr>
        <w:t xml:space="preserve"> 2012; </w:t>
      </w:r>
      <w:r w:rsidRPr="001E5D32">
        <w:rPr>
          <w:rFonts w:ascii="Book Antiqua" w:hAnsi="Book Antiqua" w:cs="宋体"/>
          <w:b/>
          <w:bCs/>
          <w:kern w:val="0"/>
          <w:sz w:val="24"/>
        </w:rPr>
        <w:t>122</w:t>
      </w:r>
      <w:r w:rsidRPr="001E5D32">
        <w:rPr>
          <w:rFonts w:ascii="Book Antiqua" w:hAnsi="Book Antiqua" w:cs="宋体"/>
          <w:kern w:val="0"/>
          <w:sz w:val="24"/>
        </w:rPr>
        <w:t>: 4130-4144 [PMID: 23023705 DOI: 10.1172/JCI65179]</w:t>
      </w:r>
    </w:p>
    <w:p w14:paraId="0FA61814"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155 </w:t>
      </w:r>
      <w:r w:rsidRPr="001E5D32">
        <w:rPr>
          <w:rFonts w:ascii="Book Antiqua" w:hAnsi="Book Antiqua" w:cs="宋体"/>
          <w:b/>
          <w:bCs/>
          <w:kern w:val="0"/>
          <w:sz w:val="24"/>
        </w:rPr>
        <w:t>Graff M</w:t>
      </w:r>
      <w:r w:rsidRPr="001E5D32">
        <w:rPr>
          <w:rFonts w:ascii="Book Antiqua" w:hAnsi="Book Antiqua" w:cs="宋体"/>
          <w:kern w:val="0"/>
          <w:sz w:val="24"/>
        </w:rPr>
        <w:t xml:space="preserve">, North KE, Franceschini N, Reiner AP, Feitosa M, Carr JJ, Gordon-Larsen P, Wojczynski MK, Borecki IB. PNPLA3 gene-by-visceral adipose tissue volume interaction and the pathogenesis of fatty liver disease: the NHLBI family heart study. </w:t>
      </w:r>
      <w:r w:rsidRPr="001E5D32">
        <w:rPr>
          <w:rFonts w:ascii="Book Antiqua" w:hAnsi="Book Antiqua" w:cs="宋体"/>
          <w:i/>
          <w:iCs/>
          <w:kern w:val="0"/>
          <w:sz w:val="24"/>
        </w:rPr>
        <w:t>Int J Obes</w:t>
      </w:r>
      <w:r w:rsidRPr="001E5D32">
        <w:rPr>
          <w:rFonts w:ascii="Book Antiqua" w:hAnsi="Book Antiqua" w:cs="宋体"/>
          <w:iCs/>
          <w:kern w:val="0"/>
          <w:sz w:val="24"/>
        </w:rPr>
        <w:t xml:space="preserve"> (Lond)</w:t>
      </w:r>
      <w:r w:rsidRPr="001E5D32">
        <w:rPr>
          <w:rFonts w:ascii="Book Antiqua" w:hAnsi="Book Antiqua" w:cs="宋体"/>
          <w:kern w:val="0"/>
          <w:sz w:val="24"/>
        </w:rPr>
        <w:t xml:space="preserve"> 2013; </w:t>
      </w:r>
      <w:r w:rsidRPr="001E5D32">
        <w:rPr>
          <w:rFonts w:ascii="Book Antiqua" w:hAnsi="Book Antiqua" w:cs="宋体"/>
          <w:b/>
          <w:bCs/>
          <w:kern w:val="0"/>
          <w:sz w:val="24"/>
        </w:rPr>
        <w:t>37</w:t>
      </w:r>
      <w:r w:rsidRPr="001E5D32">
        <w:rPr>
          <w:rFonts w:ascii="Book Antiqua" w:hAnsi="Book Antiqua" w:cs="宋体"/>
          <w:kern w:val="0"/>
          <w:sz w:val="24"/>
        </w:rPr>
        <w:t>: 432-438 [PMID: 22546774 DOI: 10.1038/ijo.2012.65]</w:t>
      </w:r>
    </w:p>
    <w:p w14:paraId="71F66C03"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156 </w:t>
      </w:r>
      <w:r w:rsidRPr="001E5D32">
        <w:rPr>
          <w:rFonts w:ascii="Book Antiqua" w:hAnsi="Book Antiqua" w:cs="宋体"/>
          <w:b/>
          <w:bCs/>
          <w:kern w:val="0"/>
          <w:sz w:val="24"/>
        </w:rPr>
        <w:t>Guichelaar MM</w:t>
      </w:r>
      <w:r w:rsidRPr="001E5D32">
        <w:rPr>
          <w:rFonts w:ascii="Book Antiqua" w:hAnsi="Book Antiqua" w:cs="宋体"/>
          <w:kern w:val="0"/>
          <w:sz w:val="24"/>
        </w:rPr>
        <w:t xml:space="preserve">, Gawrieh S, Olivier M, Viker K, Krishnan A, Sanderson S, Malinchoc M, Watt KD, Swain JM, Sarr M, Charlton MR. Interactions of allelic variance of PNPLA3 with nongenetic factors in predicting nonalcoholic steatohepatitis and nonhepatic complications of severe obesity. </w:t>
      </w:r>
      <w:r w:rsidRPr="001E5D32">
        <w:rPr>
          <w:rFonts w:ascii="Book Antiqua" w:hAnsi="Book Antiqua" w:cs="宋体"/>
          <w:i/>
          <w:iCs/>
          <w:kern w:val="0"/>
          <w:sz w:val="24"/>
        </w:rPr>
        <w:t xml:space="preserve">Obesity </w:t>
      </w:r>
      <w:r w:rsidRPr="001E5D32">
        <w:rPr>
          <w:rFonts w:ascii="Book Antiqua" w:hAnsi="Book Antiqua" w:cs="宋体"/>
          <w:iCs/>
          <w:kern w:val="0"/>
          <w:sz w:val="24"/>
        </w:rPr>
        <w:t>(Silver Spring)</w:t>
      </w:r>
      <w:r w:rsidRPr="001E5D32">
        <w:rPr>
          <w:rFonts w:ascii="Book Antiqua" w:hAnsi="Book Antiqua" w:cs="宋体"/>
          <w:kern w:val="0"/>
          <w:sz w:val="24"/>
        </w:rPr>
        <w:t xml:space="preserve"> 2013; </w:t>
      </w:r>
      <w:r w:rsidRPr="001E5D32">
        <w:rPr>
          <w:rFonts w:ascii="Book Antiqua" w:hAnsi="Book Antiqua" w:cs="宋体"/>
          <w:b/>
          <w:bCs/>
          <w:kern w:val="0"/>
          <w:sz w:val="24"/>
        </w:rPr>
        <w:t>21</w:t>
      </w:r>
      <w:r w:rsidRPr="001E5D32">
        <w:rPr>
          <w:rFonts w:ascii="Book Antiqua" w:hAnsi="Book Antiqua" w:cs="宋体"/>
          <w:kern w:val="0"/>
          <w:sz w:val="24"/>
        </w:rPr>
        <w:t>: 1935-1941 [PMID: 23418085 DOI: 10.1002/oby.20327]</w:t>
      </w:r>
    </w:p>
    <w:p w14:paraId="159AAA80"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157 </w:t>
      </w:r>
      <w:r w:rsidRPr="001E5D32">
        <w:rPr>
          <w:rFonts w:ascii="Book Antiqua" w:hAnsi="Book Antiqua" w:cs="宋体"/>
          <w:b/>
          <w:bCs/>
          <w:kern w:val="0"/>
          <w:sz w:val="24"/>
        </w:rPr>
        <w:t>Kantartzis K</w:t>
      </w:r>
      <w:r w:rsidRPr="001E5D32">
        <w:rPr>
          <w:rFonts w:ascii="Book Antiqua" w:hAnsi="Book Antiqua" w:cs="宋体"/>
          <w:kern w:val="0"/>
          <w:sz w:val="24"/>
        </w:rPr>
        <w:t xml:space="preserve">, Peter A, Machicao F, Machann J, Wagner S, Königsrainer I, Königsrainer A, Schick F, Fritsche A, Häring HU, Stefan N. Dissociation between fatty liver and insulin resistance in humans carrying a variant of the patatin-like phospholipase 3 gene. </w:t>
      </w:r>
      <w:r w:rsidRPr="001E5D32">
        <w:rPr>
          <w:rFonts w:ascii="Book Antiqua" w:hAnsi="Book Antiqua" w:cs="宋体"/>
          <w:i/>
          <w:iCs/>
          <w:kern w:val="0"/>
          <w:sz w:val="24"/>
        </w:rPr>
        <w:t>Diabetes</w:t>
      </w:r>
      <w:r w:rsidRPr="001E5D32">
        <w:rPr>
          <w:rFonts w:ascii="Book Antiqua" w:hAnsi="Book Antiqua" w:cs="宋体"/>
          <w:kern w:val="0"/>
          <w:sz w:val="24"/>
        </w:rPr>
        <w:t xml:space="preserve"> 2009; </w:t>
      </w:r>
      <w:r w:rsidRPr="001E5D32">
        <w:rPr>
          <w:rFonts w:ascii="Book Antiqua" w:hAnsi="Book Antiqua" w:cs="宋体"/>
          <w:b/>
          <w:bCs/>
          <w:kern w:val="0"/>
          <w:sz w:val="24"/>
        </w:rPr>
        <w:t>58</w:t>
      </w:r>
      <w:r w:rsidRPr="001E5D32">
        <w:rPr>
          <w:rFonts w:ascii="Book Antiqua" w:hAnsi="Book Antiqua" w:cs="宋体"/>
          <w:kern w:val="0"/>
          <w:sz w:val="24"/>
        </w:rPr>
        <w:t>: 2616-2623 [PMID: 19651814 DOI: 10.2337/db09-0279]</w:t>
      </w:r>
    </w:p>
    <w:p w14:paraId="698BAA44"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158 </w:t>
      </w:r>
      <w:r w:rsidRPr="001E5D32">
        <w:rPr>
          <w:rFonts w:ascii="Book Antiqua" w:hAnsi="Book Antiqua" w:cs="宋体"/>
          <w:b/>
          <w:bCs/>
          <w:kern w:val="0"/>
          <w:sz w:val="24"/>
        </w:rPr>
        <w:t>Speliotes EK</w:t>
      </w:r>
      <w:r w:rsidRPr="001E5D32">
        <w:rPr>
          <w:rFonts w:ascii="Book Antiqua" w:hAnsi="Book Antiqua" w:cs="宋体"/>
          <w:kern w:val="0"/>
          <w:sz w:val="24"/>
        </w:rPr>
        <w:t xml:space="preserve">, Butler JL, Palmer CD, Voight BF, Hirschhorn JN. PNPLA3 variants specifically confer increased risk for histologic nonalcoholic fatty liver disease but not metabolic disease. </w:t>
      </w:r>
      <w:r w:rsidRPr="001E5D32">
        <w:rPr>
          <w:rFonts w:ascii="Book Antiqua" w:hAnsi="Book Antiqua" w:cs="宋体"/>
          <w:i/>
          <w:iCs/>
          <w:kern w:val="0"/>
          <w:sz w:val="24"/>
        </w:rPr>
        <w:t>Hepatology</w:t>
      </w:r>
      <w:r w:rsidRPr="001E5D32">
        <w:rPr>
          <w:rFonts w:ascii="Book Antiqua" w:hAnsi="Book Antiqua" w:cs="宋体"/>
          <w:kern w:val="0"/>
          <w:sz w:val="24"/>
        </w:rPr>
        <w:t xml:space="preserve"> 2010; </w:t>
      </w:r>
      <w:r w:rsidRPr="001E5D32">
        <w:rPr>
          <w:rFonts w:ascii="Book Antiqua" w:hAnsi="Book Antiqua" w:cs="宋体"/>
          <w:b/>
          <w:bCs/>
          <w:kern w:val="0"/>
          <w:sz w:val="24"/>
        </w:rPr>
        <w:t>52</w:t>
      </w:r>
      <w:r w:rsidRPr="001E5D32">
        <w:rPr>
          <w:rFonts w:ascii="Book Antiqua" w:hAnsi="Book Antiqua" w:cs="宋体"/>
          <w:kern w:val="0"/>
          <w:sz w:val="24"/>
        </w:rPr>
        <w:t>: 904-912 [PMID: 20648472 DOI: 10.1002/hep.23768]</w:t>
      </w:r>
    </w:p>
    <w:p w14:paraId="2E0FF4A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159 </w:t>
      </w:r>
      <w:r w:rsidRPr="001E5D32">
        <w:rPr>
          <w:rFonts w:ascii="Book Antiqua" w:hAnsi="Book Antiqua" w:cs="宋体"/>
          <w:b/>
          <w:bCs/>
          <w:kern w:val="0"/>
          <w:sz w:val="24"/>
        </w:rPr>
        <w:t>Goran MI</w:t>
      </w:r>
      <w:r w:rsidRPr="001E5D32">
        <w:rPr>
          <w:rFonts w:ascii="Book Antiqua" w:hAnsi="Book Antiqua" w:cs="宋体"/>
          <w:kern w:val="0"/>
          <w:sz w:val="24"/>
        </w:rPr>
        <w:t xml:space="preserve">, Walker R, Le KA, Mahurkar S, Vikman S, Davis JN, Spruijt-Metz D, Weigensberg MJ, Allayee H. Effects of PNPLA3 on liver fat and metabolic profile in Hispanic children and adolescents. </w:t>
      </w:r>
      <w:r w:rsidRPr="001E5D32">
        <w:rPr>
          <w:rFonts w:ascii="Book Antiqua" w:hAnsi="Book Antiqua" w:cs="宋体"/>
          <w:i/>
          <w:iCs/>
          <w:kern w:val="0"/>
          <w:sz w:val="24"/>
        </w:rPr>
        <w:t>Diabetes</w:t>
      </w:r>
      <w:r w:rsidRPr="001E5D32">
        <w:rPr>
          <w:rFonts w:ascii="Book Antiqua" w:hAnsi="Book Antiqua" w:cs="宋体"/>
          <w:kern w:val="0"/>
          <w:sz w:val="24"/>
        </w:rPr>
        <w:t xml:space="preserve"> 2010; </w:t>
      </w:r>
      <w:r w:rsidRPr="001E5D32">
        <w:rPr>
          <w:rFonts w:ascii="Book Antiqua" w:hAnsi="Book Antiqua" w:cs="宋体"/>
          <w:b/>
          <w:bCs/>
          <w:kern w:val="0"/>
          <w:sz w:val="24"/>
        </w:rPr>
        <w:t>59</w:t>
      </w:r>
      <w:r w:rsidRPr="001E5D32">
        <w:rPr>
          <w:rFonts w:ascii="Book Antiqua" w:hAnsi="Book Antiqua" w:cs="宋体"/>
          <w:kern w:val="0"/>
          <w:sz w:val="24"/>
        </w:rPr>
        <w:t>: 3127-3130 [PMID: 20852027 DOI: 10.2337/db10-0554]</w:t>
      </w:r>
    </w:p>
    <w:p w14:paraId="35289CFB"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160 </w:t>
      </w:r>
      <w:r w:rsidRPr="001E5D32">
        <w:rPr>
          <w:rFonts w:ascii="Book Antiqua" w:hAnsi="Book Antiqua" w:cs="宋体"/>
          <w:b/>
          <w:bCs/>
          <w:kern w:val="0"/>
          <w:sz w:val="24"/>
        </w:rPr>
        <w:t>Zain SM</w:t>
      </w:r>
      <w:r w:rsidRPr="001E5D32">
        <w:rPr>
          <w:rFonts w:ascii="Book Antiqua" w:hAnsi="Book Antiqua" w:cs="宋体"/>
          <w:kern w:val="0"/>
          <w:sz w:val="24"/>
        </w:rPr>
        <w:t xml:space="preserve">, Mohamed R, Mahadeva S, Cheah PL, Rampal S, Basu RC, Mohamed Z. A multi-ethnic study of a PNPLA3 gene variant and its association with disease severity in non-alcoholic fatty liver disease. </w:t>
      </w:r>
      <w:r w:rsidRPr="001E5D32">
        <w:rPr>
          <w:rFonts w:ascii="Book Antiqua" w:hAnsi="Book Antiqua" w:cs="宋体"/>
          <w:i/>
          <w:iCs/>
          <w:kern w:val="0"/>
          <w:sz w:val="24"/>
        </w:rPr>
        <w:t>Hum Genet</w:t>
      </w:r>
      <w:r w:rsidRPr="001E5D32">
        <w:rPr>
          <w:rFonts w:ascii="Book Antiqua" w:hAnsi="Book Antiqua" w:cs="宋体"/>
          <w:kern w:val="0"/>
          <w:sz w:val="24"/>
        </w:rPr>
        <w:t xml:space="preserve"> 2012; </w:t>
      </w:r>
      <w:r w:rsidRPr="001E5D32">
        <w:rPr>
          <w:rFonts w:ascii="Book Antiqua" w:hAnsi="Book Antiqua" w:cs="宋体"/>
          <w:b/>
          <w:bCs/>
          <w:kern w:val="0"/>
          <w:sz w:val="24"/>
        </w:rPr>
        <w:t>131</w:t>
      </w:r>
      <w:r w:rsidRPr="001E5D32">
        <w:rPr>
          <w:rFonts w:ascii="Book Antiqua" w:hAnsi="Book Antiqua" w:cs="宋体"/>
          <w:kern w:val="0"/>
          <w:sz w:val="24"/>
        </w:rPr>
        <w:t>: 1145-1152 [PMID: 22258181 DOI: 10.1007/s00439-012-1141-y]</w:t>
      </w:r>
    </w:p>
    <w:p w14:paraId="721B1083"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161 </w:t>
      </w:r>
      <w:r w:rsidRPr="001E5D32">
        <w:rPr>
          <w:rFonts w:ascii="Book Antiqua" w:hAnsi="Book Antiqua" w:cs="宋体"/>
          <w:b/>
          <w:bCs/>
          <w:kern w:val="0"/>
          <w:sz w:val="24"/>
        </w:rPr>
        <w:t>Palmer CN</w:t>
      </w:r>
      <w:r w:rsidRPr="001E5D32">
        <w:rPr>
          <w:rFonts w:ascii="Book Antiqua" w:hAnsi="Book Antiqua" w:cs="宋体"/>
          <w:kern w:val="0"/>
          <w:sz w:val="24"/>
        </w:rPr>
        <w:t xml:space="preserve">, Maglio C, Pirazzi C, Burza MA, Adiels M, Burch L, Donnelly LA, Colhoun H, Doney AS, Dillon JF, Pearson ER, McCarthy M, Hattersley AT, Frayling T, Morris AD, Peltonen M, Svensson PA, Jacobson P, Borén J, Sjöström L, Carlsson LM, Romeo S. Paradoxical lower serum triglyceride levels and higher type 2 diabetes mellitus susceptibility in obese individuals with the PNPLA3 148M variant. </w:t>
      </w:r>
      <w:r w:rsidRPr="001E5D32">
        <w:rPr>
          <w:rFonts w:ascii="Book Antiqua" w:hAnsi="Book Antiqua" w:cs="宋体"/>
          <w:i/>
          <w:iCs/>
          <w:kern w:val="0"/>
          <w:sz w:val="24"/>
        </w:rPr>
        <w:t>PLoS One</w:t>
      </w:r>
      <w:r w:rsidRPr="001E5D32">
        <w:rPr>
          <w:rFonts w:ascii="Book Antiqua" w:hAnsi="Book Antiqua" w:cs="宋体"/>
          <w:kern w:val="0"/>
          <w:sz w:val="24"/>
        </w:rPr>
        <w:t xml:space="preserve"> 2012; </w:t>
      </w:r>
      <w:r w:rsidRPr="001E5D32">
        <w:rPr>
          <w:rFonts w:ascii="Book Antiqua" w:hAnsi="Book Antiqua" w:cs="宋体"/>
          <w:b/>
          <w:bCs/>
          <w:kern w:val="0"/>
          <w:sz w:val="24"/>
        </w:rPr>
        <w:t>7</w:t>
      </w:r>
      <w:r w:rsidRPr="001E5D32">
        <w:rPr>
          <w:rFonts w:ascii="Book Antiqua" w:hAnsi="Book Antiqua" w:cs="宋体"/>
          <w:kern w:val="0"/>
          <w:sz w:val="24"/>
        </w:rPr>
        <w:t>: e39362 [PMID: 22724004 DOI: 10.1371/journal.pone.0039362]</w:t>
      </w:r>
    </w:p>
    <w:p w14:paraId="13556ECC"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162 </w:t>
      </w:r>
      <w:r w:rsidRPr="001E5D32">
        <w:rPr>
          <w:rFonts w:ascii="Book Antiqua" w:hAnsi="Book Antiqua" w:cs="宋体"/>
          <w:b/>
          <w:bCs/>
          <w:kern w:val="0"/>
          <w:sz w:val="24"/>
        </w:rPr>
        <w:t>Krarup NT</w:t>
      </w:r>
      <w:r w:rsidRPr="001E5D32">
        <w:rPr>
          <w:rFonts w:ascii="Book Antiqua" w:hAnsi="Book Antiqua" w:cs="宋体"/>
          <w:kern w:val="0"/>
          <w:sz w:val="24"/>
        </w:rPr>
        <w:t xml:space="preserve">, Grarup N, Banasik K, Friedrichsen M, Færch K, Sandholt CH, Jørgensen T, Poulsen P, Witte DR, Vaag A, Sørensen T, Pedersen O, Hansen T. The PNPLA3 rs738409 G-allele associates with reduced fasting serum triglyceride and serum cholesterol in Danes with impaired glucose regulation. </w:t>
      </w:r>
      <w:r w:rsidRPr="001E5D32">
        <w:rPr>
          <w:rFonts w:ascii="Book Antiqua" w:hAnsi="Book Antiqua" w:cs="宋体"/>
          <w:i/>
          <w:iCs/>
          <w:kern w:val="0"/>
          <w:sz w:val="24"/>
        </w:rPr>
        <w:t>PLoS One</w:t>
      </w:r>
      <w:r w:rsidRPr="001E5D32">
        <w:rPr>
          <w:rFonts w:ascii="Book Antiqua" w:hAnsi="Book Antiqua" w:cs="宋体"/>
          <w:kern w:val="0"/>
          <w:sz w:val="24"/>
        </w:rPr>
        <w:t xml:space="preserve"> 2012; </w:t>
      </w:r>
      <w:r w:rsidRPr="001E5D32">
        <w:rPr>
          <w:rFonts w:ascii="Book Antiqua" w:hAnsi="Book Antiqua" w:cs="宋体"/>
          <w:b/>
          <w:bCs/>
          <w:kern w:val="0"/>
          <w:sz w:val="24"/>
        </w:rPr>
        <w:t>7</w:t>
      </w:r>
      <w:r w:rsidRPr="001E5D32">
        <w:rPr>
          <w:rFonts w:ascii="Book Antiqua" w:hAnsi="Book Antiqua" w:cs="宋体"/>
          <w:kern w:val="0"/>
          <w:sz w:val="24"/>
        </w:rPr>
        <w:t>: e40376 [PMID: 22792295 DOI: 10.1371/journal.pone.0040376]</w:t>
      </w:r>
    </w:p>
    <w:p w14:paraId="4F884FAA"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163 </w:t>
      </w:r>
      <w:r w:rsidRPr="001E5D32">
        <w:rPr>
          <w:rFonts w:ascii="Book Antiqua" w:hAnsi="Book Antiqua" w:cs="宋体"/>
          <w:b/>
          <w:bCs/>
          <w:kern w:val="0"/>
          <w:sz w:val="24"/>
        </w:rPr>
        <w:t>Stojkovic IA</w:t>
      </w:r>
      <w:r w:rsidRPr="001E5D32">
        <w:rPr>
          <w:rFonts w:ascii="Book Antiqua" w:hAnsi="Book Antiqua" w:cs="宋体"/>
          <w:kern w:val="0"/>
          <w:sz w:val="24"/>
        </w:rPr>
        <w:t xml:space="preserve">, Ericson U, Rukh G, Riddestråle M, Romeo S, Orho-Melander M. The PNPLA3 Ile148Met interacts with overweight and dietary intakes on fasting triglyceride levels. </w:t>
      </w:r>
      <w:r w:rsidRPr="001E5D32">
        <w:rPr>
          <w:rFonts w:ascii="Book Antiqua" w:hAnsi="Book Antiqua" w:cs="宋体"/>
          <w:i/>
          <w:iCs/>
          <w:kern w:val="0"/>
          <w:sz w:val="24"/>
        </w:rPr>
        <w:t>Genes Nutr</w:t>
      </w:r>
      <w:r w:rsidRPr="001E5D32">
        <w:rPr>
          <w:rFonts w:ascii="Book Antiqua" w:hAnsi="Book Antiqua" w:cs="宋体"/>
          <w:kern w:val="0"/>
          <w:sz w:val="24"/>
        </w:rPr>
        <w:t xml:space="preserve"> 2014; </w:t>
      </w:r>
      <w:r w:rsidRPr="001E5D32">
        <w:rPr>
          <w:rFonts w:ascii="Book Antiqua" w:hAnsi="Book Antiqua" w:cs="宋体"/>
          <w:b/>
          <w:bCs/>
          <w:kern w:val="0"/>
          <w:sz w:val="24"/>
        </w:rPr>
        <w:t>9</w:t>
      </w:r>
      <w:r w:rsidRPr="001E5D32">
        <w:rPr>
          <w:rFonts w:ascii="Book Antiqua" w:hAnsi="Book Antiqua" w:cs="宋体"/>
          <w:kern w:val="0"/>
          <w:sz w:val="24"/>
        </w:rPr>
        <w:t>: 388 [PMID: 24563329 DOI: 10.1007/s12263-014-0388-4]</w:t>
      </w:r>
    </w:p>
    <w:p w14:paraId="3B65188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164 </w:t>
      </w:r>
      <w:r w:rsidRPr="001E5D32">
        <w:rPr>
          <w:rFonts w:ascii="Book Antiqua" w:hAnsi="Book Antiqua" w:cs="宋体"/>
          <w:b/>
          <w:bCs/>
          <w:kern w:val="0"/>
          <w:sz w:val="24"/>
        </w:rPr>
        <w:t>Tomita K</w:t>
      </w:r>
      <w:r w:rsidRPr="001E5D32">
        <w:rPr>
          <w:rFonts w:ascii="Book Antiqua" w:hAnsi="Book Antiqua" w:cs="宋体"/>
          <w:kern w:val="0"/>
          <w:sz w:val="24"/>
        </w:rPr>
        <w:t xml:space="preserve">, Teratani T, Suzuki T, Shimizu M, Sato H, Narimatsu K, Okada Y, Kurihara C, Irie R, Yokoyama H, Shimamura K, Usui S, Ebinuma H, Saito H, Watanabe C, Komoto S, Kawaguchi A, Nagao S, Sugiyama K, Hokari R, Kanai T, Miura S, Hibi T. Free cholesterol accumulation in hepatic stellate cells: mechanism of liver fibrosis aggravation in nonalcoholic steatohepatitis in mice. </w:t>
      </w:r>
      <w:r w:rsidRPr="001E5D32">
        <w:rPr>
          <w:rFonts w:ascii="Book Antiqua" w:hAnsi="Book Antiqua" w:cs="宋体"/>
          <w:i/>
          <w:iCs/>
          <w:kern w:val="0"/>
          <w:sz w:val="24"/>
        </w:rPr>
        <w:t>Hepatology</w:t>
      </w:r>
      <w:r w:rsidRPr="001E5D32">
        <w:rPr>
          <w:rFonts w:ascii="Book Antiqua" w:hAnsi="Book Antiqua" w:cs="宋体"/>
          <w:kern w:val="0"/>
          <w:sz w:val="24"/>
        </w:rPr>
        <w:t xml:space="preserve"> 2014; </w:t>
      </w:r>
      <w:r w:rsidRPr="001E5D32">
        <w:rPr>
          <w:rFonts w:ascii="Book Antiqua" w:hAnsi="Book Antiqua" w:cs="宋体"/>
          <w:b/>
          <w:bCs/>
          <w:kern w:val="0"/>
          <w:sz w:val="24"/>
        </w:rPr>
        <w:t>59</w:t>
      </w:r>
      <w:r w:rsidRPr="001E5D32">
        <w:rPr>
          <w:rFonts w:ascii="Book Antiqua" w:hAnsi="Book Antiqua" w:cs="宋体"/>
          <w:kern w:val="0"/>
          <w:sz w:val="24"/>
        </w:rPr>
        <w:t>: 154-169 [PMID: 23832448 DOI: 10.1002/hep.26604]</w:t>
      </w:r>
    </w:p>
    <w:p w14:paraId="3069EE59"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165 </w:t>
      </w:r>
      <w:r w:rsidRPr="001E5D32">
        <w:rPr>
          <w:rFonts w:ascii="Book Antiqua" w:hAnsi="Book Antiqua" w:cs="宋体"/>
          <w:b/>
          <w:bCs/>
          <w:kern w:val="0"/>
          <w:sz w:val="24"/>
        </w:rPr>
        <w:t>Hyysalo J</w:t>
      </w:r>
      <w:r w:rsidRPr="001E5D32">
        <w:rPr>
          <w:rFonts w:ascii="Book Antiqua" w:hAnsi="Book Antiqua" w:cs="宋体"/>
          <w:kern w:val="0"/>
          <w:sz w:val="24"/>
        </w:rPr>
        <w:t xml:space="preserve">, Männistö VT, Zhou Y, Arola J, Kärjä V, Leivonen M, Juuti A, Jaser N, Lallukka S, Käkelä P, Venesmaa S, Simonen M, Saltevo J, Moilanen L, Korpi-Hyövalti E, Keinänen-Kiukaanniemi S, Oksa H, Orho-Melander M, Valenti L, Fargion S, Pihlajamäki J, Peltonen M, Yki-Järvinen H. A population-based study on the prevalence of NASH using scores validated against liver histology. </w:t>
      </w:r>
      <w:r w:rsidRPr="001E5D32">
        <w:rPr>
          <w:rFonts w:ascii="Book Antiqua" w:hAnsi="Book Antiqua" w:cs="宋体"/>
          <w:i/>
          <w:iCs/>
          <w:kern w:val="0"/>
          <w:sz w:val="24"/>
        </w:rPr>
        <w:t>J Hepatol</w:t>
      </w:r>
      <w:r w:rsidRPr="001E5D32">
        <w:rPr>
          <w:rFonts w:ascii="Book Antiqua" w:hAnsi="Book Antiqua" w:cs="宋体"/>
          <w:kern w:val="0"/>
          <w:sz w:val="24"/>
        </w:rPr>
        <w:t xml:space="preserve"> 2014; </w:t>
      </w:r>
      <w:r w:rsidRPr="001E5D32">
        <w:rPr>
          <w:rFonts w:ascii="Book Antiqua" w:hAnsi="Book Antiqua" w:cs="宋体"/>
          <w:b/>
          <w:bCs/>
          <w:kern w:val="0"/>
          <w:sz w:val="24"/>
        </w:rPr>
        <w:t>60</w:t>
      </w:r>
      <w:r w:rsidRPr="001E5D32">
        <w:rPr>
          <w:rFonts w:ascii="Book Antiqua" w:hAnsi="Book Antiqua" w:cs="宋体"/>
          <w:kern w:val="0"/>
          <w:sz w:val="24"/>
        </w:rPr>
        <w:t>: 839-846 [PMID: 24333862 DOI: 10.1016/j.jhep.2013.12.009]</w:t>
      </w:r>
    </w:p>
    <w:p w14:paraId="6AE98BDE"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166 </w:t>
      </w:r>
      <w:r w:rsidRPr="001E5D32">
        <w:rPr>
          <w:rFonts w:ascii="Book Antiqua" w:hAnsi="Book Antiqua" w:cs="宋体"/>
          <w:b/>
          <w:bCs/>
          <w:kern w:val="0"/>
          <w:sz w:val="24"/>
        </w:rPr>
        <w:t>Marzuillo P</w:t>
      </w:r>
      <w:r w:rsidRPr="001E5D32">
        <w:rPr>
          <w:rFonts w:ascii="Book Antiqua" w:hAnsi="Book Antiqua" w:cs="宋体"/>
          <w:kern w:val="0"/>
          <w:sz w:val="24"/>
        </w:rPr>
        <w:t xml:space="preserve">, Miraglia del Giudice E, Santoro N. Pediatric fatty liver disease: role of ethnicity and genetics. </w:t>
      </w:r>
      <w:r w:rsidRPr="001E5D32">
        <w:rPr>
          <w:rFonts w:ascii="Book Antiqua" w:hAnsi="Book Antiqua" w:cs="宋体"/>
          <w:i/>
          <w:iCs/>
          <w:kern w:val="0"/>
          <w:sz w:val="24"/>
        </w:rPr>
        <w:t>World J Gastroenterol</w:t>
      </w:r>
      <w:r w:rsidRPr="001E5D32">
        <w:rPr>
          <w:rFonts w:ascii="Book Antiqua" w:hAnsi="Book Antiqua" w:cs="宋体"/>
          <w:kern w:val="0"/>
          <w:sz w:val="24"/>
        </w:rPr>
        <w:t xml:space="preserve"> 2014; </w:t>
      </w:r>
      <w:r w:rsidRPr="001E5D32">
        <w:rPr>
          <w:rFonts w:ascii="Book Antiqua" w:hAnsi="Book Antiqua" w:cs="宋体"/>
          <w:b/>
          <w:bCs/>
          <w:kern w:val="0"/>
          <w:sz w:val="24"/>
        </w:rPr>
        <w:t>20</w:t>
      </w:r>
      <w:r w:rsidRPr="001E5D32">
        <w:rPr>
          <w:rFonts w:ascii="Book Antiqua" w:hAnsi="Book Antiqua" w:cs="宋体"/>
          <w:kern w:val="0"/>
          <w:sz w:val="24"/>
        </w:rPr>
        <w:t>: 7347-7355 [PMID: 24966605 DOI: 10.3748/wjg.v20.i23.7347./j.jhep.2013.12.009]</w:t>
      </w:r>
    </w:p>
    <w:p w14:paraId="1CA7C50D"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167 </w:t>
      </w:r>
      <w:r w:rsidRPr="001E5D32">
        <w:rPr>
          <w:rFonts w:ascii="Book Antiqua" w:hAnsi="Book Antiqua" w:cs="宋体"/>
          <w:b/>
          <w:bCs/>
          <w:kern w:val="0"/>
          <w:sz w:val="24"/>
        </w:rPr>
        <w:t>Valenti L</w:t>
      </w:r>
      <w:r w:rsidRPr="001E5D32">
        <w:rPr>
          <w:rFonts w:ascii="Book Antiqua" w:hAnsi="Book Antiqua" w:cs="宋体"/>
          <w:kern w:val="0"/>
          <w:sz w:val="24"/>
        </w:rPr>
        <w:t xml:space="preserve">, Dongiovanni P, Piperno A, Fracanzani AL, Maggioni M, Rametta R, Loria P, Casiraghi MA, Suigo E, Ceriani R, Remondini E, Trombini P, Fargion S. Alpha 1-antitrypsin mutations in NAFLD: high prevalence and association with altered iron metabolism but not with liver damage. </w:t>
      </w:r>
      <w:r w:rsidRPr="001E5D32">
        <w:rPr>
          <w:rFonts w:ascii="Book Antiqua" w:hAnsi="Book Antiqua" w:cs="宋体"/>
          <w:i/>
          <w:iCs/>
          <w:kern w:val="0"/>
          <w:sz w:val="24"/>
        </w:rPr>
        <w:t>Hepatology</w:t>
      </w:r>
      <w:r w:rsidRPr="001E5D32">
        <w:rPr>
          <w:rFonts w:ascii="Book Antiqua" w:hAnsi="Book Antiqua" w:cs="宋体"/>
          <w:kern w:val="0"/>
          <w:sz w:val="24"/>
        </w:rPr>
        <w:t xml:space="preserve"> 2006; </w:t>
      </w:r>
      <w:r w:rsidRPr="001E5D32">
        <w:rPr>
          <w:rFonts w:ascii="Book Antiqua" w:hAnsi="Book Antiqua" w:cs="宋体"/>
          <w:b/>
          <w:bCs/>
          <w:kern w:val="0"/>
          <w:sz w:val="24"/>
        </w:rPr>
        <w:t>44</w:t>
      </w:r>
      <w:r w:rsidRPr="001E5D32">
        <w:rPr>
          <w:rFonts w:ascii="Book Antiqua" w:hAnsi="Book Antiqua" w:cs="宋体"/>
          <w:kern w:val="0"/>
          <w:sz w:val="24"/>
        </w:rPr>
        <w:t>: 857-864 [PMID: 17006922 DOI: 10.1002/hep.21329]</w:t>
      </w:r>
    </w:p>
    <w:p w14:paraId="6B3F51DF"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168 </w:t>
      </w:r>
      <w:r w:rsidRPr="001E5D32">
        <w:rPr>
          <w:rFonts w:ascii="Book Antiqua" w:hAnsi="Book Antiqua" w:cs="宋体"/>
          <w:b/>
          <w:bCs/>
          <w:kern w:val="0"/>
          <w:sz w:val="24"/>
        </w:rPr>
        <w:t>Valenti L</w:t>
      </w:r>
      <w:r w:rsidRPr="001E5D32">
        <w:rPr>
          <w:rFonts w:ascii="Book Antiqua" w:hAnsi="Book Antiqua" w:cs="宋体"/>
          <w:kern w:val="0"/>
          <w:sz w:val="24"/>
        </w:rPr>
        <w:t xml:space="preserve">, Canavesi E, Galmozzi E, Dongiovanni P, Rametta R, Maggioni P, Maggioni M, Fracanzani AL, Fargion S. Beta-globin mutations are associated with parenchymal siderosis and fibrosis in patients with non-alcoholic fatty liver disease. </w:t>
      </w:r>
      <w:r w:rsidRPr="001E5D32">
        <w:rPr>
          <w:rFonts w:ascii="Book Antiqua" w:hAnsi="Book Antiqua" w:cs="宋体"/>
          <w:i/>
          <w:iCs/>
          <w:kern w:val="0"/>
          <w:sz w:val="24"/>
        </w:rPr>
        <w:t>J Hepatol</w:t>
      </w:r>
      <w:r w:rsidRPr="001E5D32">
        <w:rPr>
          <w:rFonts w:ascii="Book Antiqua" w:hAnsi="Book Antiqua" w:cs="宋体"/>
          <w:kern w:val="0"/>
          <w:sz w:val="24"/>
        </w:rPr>
        <w:t xml:space="preserve"> 2010; </w:t>
      </w:r>
      <w:r w:rsidRPr="001E5D32">
        <w:rPr>
          <w:rFonts w:ascii="Book Antiqua" w:hAnsi="Book Antiqua" w:cs="宋体"/>
          <w:b/>
          <w:bCs/>
          <w:kern w:val="0"/>
          <w:sz w:val="24"/>
        </w:rPr>
        <w:t>53</w:t>
      </w:r>
      <w:r w:rsidRPr="001E5D32">
        <w:rPr>
          <w:rFonts w:ascii="Book Antiqua" w:hAnsi="Book Antiqua" w:cs="宋体"/>
          <w:kern w:val="0"/>
          <w:sz w:val="24"/>
        </w:rPr>
        <w:t>: 927-933 [PMID: 20739079 DOI: 10.1016/j.jhep.2010.05.023]</w:t>
      </w:r>
    </w:p>
    <w:p w14:paraId="7734C328"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169 </w:t>
      </w:r>
      <w:r w:rsidRPr="001E5D32">
        <w:rPr>
          <w:rFonts w:ascii="Book Antiqua" w:hAnsi="Book Antiqua" w:cs="宋体"/>
          <w:b/>
          <w:bCs/>
          <w:kern w:val="0"/>
          <w:sz w:val="24"/>
        </w:rPr>
        <w:t>Bonkovsky HL</w:t>
      </w:r>
      <w:r w:rsidRPr="001E5D32">
        <w:rPr>
          <w:rFonts w:ascii="Book Antiqua" w:hAnsi="Book Antiqua" w:cs="宋体"/>
          <w:kern w:val="0"/>
          <w:sz w:val="24"/>
        </w:rPr>
        <w:t xml:space="preserve">, Jawaid Q, Tortorelli K, LeClair P, Cobb J, Lambrecht RW, Banner BF. Non-alcoholic steatohepatitis and iron: increased prevalence of mutations of the HFE gene in non-alcoholic steatohepatitis. </w:t>
      </w:r>
      <w:r w:rsidRPr="001E5D32">
        <w:rPr>
          <w:rFonts w:ascii="Book Antiqua" w:hAnsi="Book Antiqua" w:cs="宋体"/>
          <w:i/>
          <w:iCs/>
          <w:kern w:val="0"/>
          <w:sz w:val="24"/>
        </w:rPr>
        <w:t>J Hepatol</w:t>
      </w:r>
      <w:r w:rsidRPr="001E5D32">
        <w:rPr>
          <w:rFonts w:ascii="Book Antiqua" w:hAnsi="Book Antiqua" w:cs="宋体"/>
          <w:kern w:val="0"/>
          <w:sz w:val="24"/>
        </w:rPr>
        <w:t xml:space="preserve"> 1999; </w:t>
      </w:r>
      <w:r w:rsidRPr="001E5D32">
        <w:rPr>
          <w:rFonts w:ascii="Book Antiqua" w:hAnsi="Book Antiqua" w:cs="宋体"/>
          <w:b/>
          <w:bCs/>
          <w:kern w:val="0"/>
          <w:sz w:val="24"/>
        </w:rPr>
        <w:t>31</w:t>
      </w:r>
      <w:r w:rsidRPr="001E5D32">
        <w:rPr>
          <w:rFonts w:ascii="Book Antiqua" w:hAnsi="Book Antiqua" w:cs="宋体"/>
          <w:kern w:val="0"/>
          <w:sz w:val="24"/>
        </w:rPr>
        <w:t>: 421-429 [PMID: 10488699 DOI: 10.1016/s0168-8278(99)80032-4]</w:t>
      </w:r>
    </w:p>
    <w:p w14:paraId="3E2FCBFE"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170 </w:t>
      </w:r>
      <w:r w:rsidRPr="001E5D32">
        <w:rPr>
          <w:rFonts w:ascii="Book Antiqua" w:hAnsi="Book Antiqua" w:cs="宋体"/>
          <w:b/>
          <w:bCs/>
          <w:kern w:val="0"/>
          <w:sz w:val="24"/>
        </w:rPr>
        <w:t>Nelson JE</w:t>
      </w:r>
      <w:r w:rsidRPr="001E5D32">
        <w:rPr>
          <w:rFonts w:ascii="Book Antiqua" w:hAnsi="Book Antiqua" w:cs="宋体"/>
          <w:kern w:val="0"/>
          <w:sz w:val="24"/>
        </w:rPr>
        <w:t xml:space="preserve">, Bhattacharya R, Lindor KD, Chalasani N, Raaka S, Heathcote EJ, Miskovsky E, Shaffer E, Rulyak SJ, Kowdley KV. HFE C282Y mutations are associated with advanced hepatic fibrosis in Caucasians with nonalcoholic steatohepatitis. </w:t>
      </w:r>
      <w:r w:rsidRPr="001E5D32">
        <w:rPr>
          <w:rFonts w:ascii="Book Antiqua" w:hAnsi="Book Antiqua" w:cs="宋体"/>
          <w:i/>
          <w:iCs/>
          <w:kern w:val="0"/>
          <w:sz w:val="24"/>
        </w:rPr>
        <w:t>Hepatology</w:t>
      </w:r>
      <w:r w:rsidRPr="001E5D32">
        <w:rPr>
          <w:rFonts w:ascii="Book Antiqua" w:hAnsi="Book Antiqua" w:cs="宋体"/>
          <w:kern w:val="0"/>
          <w:sz w:val="24"/>
        </w:rPr>
        <w:t xml:space="preserve"> 2007; </w:t>
      </w:r>
      <w:r w:rsidRPr="001E5D32">
        <w:rPr>
          <w:rFonts w:ascii="Book Antiqua" w:hAnsi="Book Antiqua" w:cs="宋体"/>
          <w:b/>
          <w:bCs/>
          <w:kern w:val="0"/>
          <w:sz w:val="24"/>
        </w:rPr>
        <w:t>46</w:t>
      </w:r>
      <w:r w:rsidRPr="001E5D32">
        <w:rPr>
          <w:rFonts w:ascii="Book Antiqua" w:hAnsi="Book Antiqua" w:cs="宋体"/>
          <w:kern w:val="0"/>
          <w:sz w:val="24"/>
        </w:rPr>
        <w:t>: 723-729 [PMID: 17680648 DOI: 10.1002/hep.21742]</w:t>
      </w:r>
    </w:p>
    <w:p w14:paraId="4AB1AFDB"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171 </w:t>
      </w:r>
      <w:r w:rsidRPr="001E5D32">
        <w:rPr>
          <w:rFonts w:ascii="Book Antiqua" w:hAnsi="Book Antiqua" w:cs="宋体"/>
          <w:b/>
          <w:bCs/>
          <w:kern w:val="0"/>
          <w:sz w:val="24"/>
        </w:rPr>
        <w:t>Valenti L</w:t>
      </w:r>
      <w:r w:rsidRPr="001E5D32">
        <w:rPr>
          <w:rFonts w:ascii="Book Antiqua" w:hAnsi="Book Antiqua" w:cs="宋体"/>
          <w:kern w:val="0"/>
          <w:sz w:val="24"/>
        </w:rPr>
        <w:t xml:space="preserve">, Dongiovanni P, Fracanzani AL, Fargion S. HFE mutations in nonalcoholic fatty liver disease. </w:t>
      </w:r>
      <w:r w:rsidRPr="001E5D32">
        <w:rPr>
          <w:rFonts w:ascii="Book Antiqua" w:hAnsi="Book Antiqua" w:cs="宋体"/>
          <w:i/>
          <w:iCs/>
          <w:kern w:val="0"/>
          <w:sz w:val="24"/>
        </w:rPr>
        <w:t>Hepatology</w:t>
      </w:r>
      <w:r w:rsidRPr="001E5D32">
        <w:rPr>
          <w:rFonts w:ascii="Book Antiqua" w:hAnsi="Book Antiqua" w:cs="宋体"/>
          <w:kern w:val="0"/>
          <w:sz w:val="24"/>
        </w:rPr>
        <w:t xml:space="preserve"> 2008; </w:t>
      </w:r>
      <w:r w:rsidRPr="001E5D32">
        <w:rPr>
          <w:rFonts w:ascii="Book Antiqua" w:hAnsi="Book Antiqua" w:cs="宋体"/>
          <w:b/>
          <w:bCs/>
          <w:kern w:val="0"/>
          <w:sz w:val="24"/>
        </w:rPr>
        <w:t>47</w:t>
      </w:r>
      <w:r w:rsidRPr="001E5D32">
        <w:rPr>
          <w:rFonts w:ascii="Book Antiqua" w:hAnsi="Book Antiqua" w:cs="宋体"/>
          <w:kern w:val="0"/>
          <w:sz w:val="24"/>
        </w:rPr>
        <w:t>: 1794-175; author reply 1794-175; [PMID: 18438784 DOI: 10.1002/hep.22059]</w:t>
      </w:r>
    </w:p>
    <w:p w14:paraId="1DB44392"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172 </w:t>
      </w:r>
      <w:r w:rsidRPr="001E5D32">
        <w:rPr>
          <w:rFonts w:ascii="Book Antiqua" w:hAnsi="Book Antiqua" w:cs="宋体"/>
          <w:b/>
          <w:bCs/>
          <w:kern w:val="0"/>
          <w:sz w:val="24"/>
        </w:rPr>
        <w:t>Nelson JE</w:t>
      </w:r>
      <w:r w:rsidRPr="001E5D32">
        <w:rPr>
          <w:rFonts w:ascii="Book Antiqua" w:hAnsi="Book Antiqua" w:cs="宋体"/>
          <w:kern w:val="0"/>
          <w:sz w:val="24"/>
        </w:rPr>
        <w:t xml:space="preserve">, Klintworth H, Kowdley KV. Iron metabolism in Nonalcoholic Fatty Liver Disease. </w:t>
      </w:r>
      <w:r w:rsidRPr="001E5D32">
        <w:rPr>
          <w:rFonts w:ascii="Book Antiqua" w:hAnsi="Book Antiqua" w:cs="宋体"/>
          <w:i/>
          <w:iCs/>
          <w:kern w:val="0"/>
          <w:sz w:val="24"/>
        </w:rPr>
        <w:t>Curr Gastroenterol Rep</w:t>
      </w:r>
      <w:r w:rsidRPr="001E5D32">
        <w:rPr>
          <w:rFonts w:ascii="Book Antiqua" w:hAnsi="Book Antiqua" w:cs="宋体"/>
          <w:kern w:val="0"/>
          <w:sz w:val="24"/>
        </w:rPr>
        <w:t xml:space="preserve"> 2012; </w:t>
      </w:r>
      <w:r w:rsidRPr="001E5D32">
        <w:rPr>
          <w:rFonts w:ascii="Book Antiqua" w:hAnsi="Book Antiqua" w:cs="宋体"/>
          <w:b/>
          <w:bCs/>
          <w:kern w:val="0"/>
          <w:sz w:val="24"/>
        </w:rPr>
        <w:t>14</w:t>
      </w:r>
      <w:r w:rsidRPr="001E5D32">
        <w:rPr>
          <w:rFonts w:ascii="Book Antiqua" w:hAnsi="Book Antiqua" w:cs="宋体"/>
          <w:kern w:val="0"/>
          <w:sz w:val="24"/>
        </w:rPr>
        <w:t>: 8-16 [PMID: 22124850 DOI: 10.1007/s11894-011-0234-4]</w:t>
      </w:r>
    </w:p>
    <w:p w14:paraId="2790F7CE"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173 </w:t>
      </w:r>
      <w:r w:rsidRPr="001E5D32">
        <w:rPr>
          <w:rFonts w:ascii="Book Antiqua" w:hAnsi="Book Antiqua" w:cs="宋体"/>
          <w:b/>
          <w:bCs/>
          <w:kern w:val="0"/>
          <w:sz w:val="24"/>
        </w:rPr>
        <w:t>Chitturi S</w:t>
      </w:r>
      <w:r w:rsidRPr="001E5D32">
        <w:rPr>
          <w:rFonts w:ascii="Book Antiqua" w:hAnsi="Book Antiqua" w:cs="宋体"/>
          <w:kern w:val="0"/>
          <w:sz w:val="24"/>
        </w:rPr>
        <w:t xml:space="preserve">, Weltman M, Farrell GC, McDonald D, Kench J, Liddle C, Samarasinghe D, Lin R, Abeygunasekera S, George J. HFE mutations, hepatic iron, and fibrosis: ethnic-specific association of NASH with C282Y but not with fibrotic severity. </w:t>
      </w:r>
      <w:r w:rsidRPr="001E5D32">
        <w:rPr>
          <w:rFonts w:ascii="Book Antiqua" w:hAnsi="Book Antiqua" w:cs="宋体"/>
          <w:i/>
          <w:iCs/>
          <w:kern w:val="0"/>
          <w:sz w:val="24"/>
        </w:rPr>
        <w:t>Hepatology</w:t>
      </w:r>
      <w:r w:rsidRPr="001E5D32">
        <w:rPr>
          <w:rFonts w:ascii="Book Antiqua" w:hAnsi="Book Antiqua" w:cs="宋体"/>
          <w:kern w:val="0"/>
          <w:sz w:val="24"/>
        </w:rPr>
        <w:t xml:space="preserve"> 2002; </w:t>
      </w:r>
      <w:r w:rsidRPr="001E5D32">
        <w:rPr>
          <w:rFonts w:ascii="Book Antiqua" w:hAnsi="Book Antiqua" w:cs="宋体"/>
          <w:b/>
          <w:bCs/>
          <w:kern w:val="0"/>
          <w:sz w:val="24"/>
        </w:rPr>
        <w:t>36</w:t>
      </w:r>
      <w:r w:rsidRPr="001E5D32">
        <w:rPr>
          <w:rFonts w:ascii="Book Antiqua" w:hAnsi="Book Antiqua" w:cs="宋体"/>
          <w:kern w:val="0"/>
          <w:sz w:val="24"/>
        </w:rPr>
        <w:t>: 142-149 [PMID: 12085358 DOI: 10.1053/jhep.2002.33892]</w:t>
      </w:r>
    </w:p>
    <w:p w14:paraId="7F7F6369"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174 </w:t>
      </w:r>
      <w:r w:rsidRPr="001E5D32">
        <w:rPr>
          <w:rFonts w:ascii="Book Antiqua" w:hAnsi="Book Antiqua" w:cs="宋体"/>
          <w:b/>
          <w:bCs/>
          <w:kern w:val="0"/>
          <w:sz w:val="24"/>
        </w:rPr>
        <w:t>Bugianesi E</w:t>
      </w:r>
      <w:r w:rsidRPr="001E5D32">
        <w:rPr>
          <w:rFonts w:ascii="Book Antiqua" w:hAnsi="Book Antiqua" w:cs="宋体"/>
          <w:kern w:val="0"/>
          <w:sz w:val="24"/>
        </w:rPr>
        <w:t xml:space="preserve">, Manzini P, D'Antico S, Vanni E, Longo F, Leone N, Massarenti P, Piga A, Marchesini G, Rizzetto M. Relative contribution of iron burden, HFE mutations, and insulin resistance to fibrosis in nonalcoholic fatty liver. </w:t>
      </w:r>
      <w:r w:rsidRPr="001E5D32">
        <w:rPr>
          <w:rFonts w:ascii="Book Antiqua" w:hAnsi="Book Antiqua" w:cs="宋体"/>
          <w:i/>
          <w:iCs/>
          <w:kern w:val="0"/>
          <w:sz w:val="24"/>
        </w:rPr>
        <w:t>Hepatology</w:t>
      </w:r>
      <w:r w:rsidRPr="001E5D32">
        <w:rPr>
          <w:rFonts w:ascii="Book Antiqua" w:hAnsi="Book Antiqua" w:cs="宋体"/>
          <w:kern w:val="0"/>
          <w:sz w:val="24"/>
        </w:rPr>
        <w:t xml:space="preserve"> 2004; </w:t>
      </w:r>
      <w:r w:rsidRPr="001E5D32">
        <w:rPr>
          <w:rFonts w:ascii="Book Antiqua" w:hAnsi="Book Antiqua" w:cs="宋体"/>
          <w:b/>
          <w:bCs/>
          <w:kern w:val="0"/>
          <w:sz w:val="24"/>
        </w:rPr>
        <w:t>39</w:t>
      </w:r>
      <w:r w:rsidRPr="001E5D32">
        <w:rPr>
          <w:rFonts w:ascii="Book Antiqua" w:hAnsi="Book Antiqua" w:cs="宋体"/>
          <w:kern w:val="0"/>
          <w:sz w:val="24"/>
        </w:rPr>
        <w:t>: 179-187 [PMID: 14752836 DOI: 10.1002/hep.20023]</w:t>
      </w:r>
    </w:p>
    <w:p w14:paraId="5515C195"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175 </w:t>
      </w:r>
      <w:r w:rsidRPr="001E5D32">
        <w:rPr>
          <w:rFonts w:ascii="Book Antiqua" w:hAnsi="Book Antiqua" w:cs="宋体"/>
          <w:b/>
          <w:bCs/>
          <w:kern w:val="0"/>
          <w:sz w:val="24"/>
        </w:rPr>
        <w:t>Hernaez R</w:t>
      </w:r>
      <w:r w:rsidRPr="001E5D32">
        <w:rPr>
          <w:rFonts w:ascii="Book Antiqua" w:hAnsi="Book Antiqua" w:cs="宋体"/>
          <w:kern w:val="0"/>
          <w:sz w:val="24"/>
        </w:rPr>
        <w:t xml:space="preserve">, Yeung E, Clark JM, Kowdley KV, Brancati FL, Kao WH. Hemochromatosis gene and nonalcoholic fatty liver disease: a systematic review and meta-analysis. </w:t>
      </w:r>
      <w:r w:rsidRPr="001E5D32">
        <w:rPr>
          <w:rFonts w:ascii="Book Antiqua" w:hAnsi="Book Antiqua" w:cs="宋体"/>
          <w:i/>
          <w:iCs/>
          <w:kern w:val="0"/>
          <w:sz w:val="24"/>
        </w:rPr>
        <w:t>J Hepatol</w:t>
      </w:r>
      <w:r w:rsidRPr="001E5D32">
        <w:rPr>
          <w:rFonts w:ascii="Book Antiqua" w:hAnsi="Book Antiqua" w:cs="宋体"/>
          <w:kern w:val="0"/>
          <w:sz w:val="24"/>
        </w:rPr>
        <w:t xml:space="preserve"> 2011; </w:t>
      </w:r>
      <w:r w:rsidRPr="001E5D32">
        <w:rPr>
          <w:rFonts w:ascii="Book Antiqua" w:hAnsi="Book Antiqua" w:cs="宋体"/>
          <w:b/>
          <w:bCs/>
          <w:kern w:val="0"/>
          <w:sz w:val="24"/>
        </w:rPr>
        <w:t>55</w:t>
      </w:r>
      <w:r w:rsidRPr="001E5D32">
        <w:rPr>
          <w:rFonts w:ascii="Book Antiqua" w:hAnsi="Book Antiqua" w:cs="宋体"/>
          <w:kern w:val="0"/>
          <w:sz w:val="24"/>
        </w:rPr>
        <w:t>: 1079-1085 [PMID: 21354231 DOI: 10.1016/j.jhep.2011.02.013]</w:t>
      </w:r>
    </w:p>
    <w:p w14:paraId="3EB05682"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176 </w:t>
      </w:r>
      <w:r w:rsidRPr="001E5D32">
        <w:rPr>
          <w:rFonts w:ascii="Book Antiqua" w:hAnsi="Book Antiqua" w:cs="宋体"/>
          <w:b/>
          <w:bCs/>
          <w:kern w:val="0"/>
          <w:sz w:val="24"/>
        </w:rPr>
        <w:t>Valenti L</w:t>
      </w:r>
      <w:r w:rsidRPr="001E5D32">
        <w:rPr>
          <w:rFonts w:ascii="Book Antiqua" w:hAnsi="Book Antiqua" w:cs="宋体"/>
          <w:kern w:val="0"/>
          <w:sz w:val="24"/>
        </w:rPr>
        <w:t xml:space="preserve">, Fracanzani AL, Bugianesi E, Dongiovanni P, Galmozzi E, Vanni E, Canavesi E, Lattuada E, Roviaro G, Marchesini G, Fargion S. HFE genotype, parenchymal iron accumulation, and liver fibrosis in patients with nonalcoholic fatty liver disease. </w:t>
      </w:r>
      <w:r w:rsidRPr="001E5D32">
        <w:rPr>
          <w:rFonts w:ascii="Book Antiqua" w:hAnsi="Book Antiqua" w:cs="宋体"/>
          <w:i/>
          <w:iCs/>
          <w:kern w:val="0"/>
          <w:sz w:val="24"/>
        </w:rPr>
        <w:t>Gastroenterology</w:t>
      </w:r>
      <w:r w:rsidRPr="001E5D32">
        <w:rPr>
          <w:rFonts w:ascii="Book Antiqua" w:hAnsi="Book Antiqua" w:cs="宋体"/>
          <w:kern w:val="0"/>
          <w:sz w:val="24"/>
        </w:rPr>
        <w:t xml:space="preserve"> 2010; </w:t>
      </w:r>
      <w:r w:rsidRPr="001E5D32">
        <w:rPr>
          <w:rFonts w:ascii="Book Antiqua" w:hAnsi="Book Antiqua" w:cs="宋体"/>
          <w:b/>
          <w:bCs/>
          <w:kern w:val="0"/>
          <w:sz w:val="24"/>
        </w:rPr>
        <w:t>138</w:t>
      </w:r>
      <w:r w:rsidRPr="001E5D32">
        <w:rPr>
          <w:rFonts w:ascii="Book Antiqua" w:hAnsi="Book Antiqua" w:cs="宋体"/>
          <w:kern w:val="0"/>
          <w:sz w:val="24"/>
        </w:rPr>
        <w:t>: 905-912 [PMID: 19931264 DOI: 10.1053/j.gastro.2009.11.013]</w:t>
      </w:r>
    </w:p>
    <w:p w14:paraId="0DF389DA"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177 </w:t>
      </w:r>
      <w:r w:rsidRPr="001E5D32">
        <w:rPr>
          <w:rFonts w:ascii="Book Antiqua" w:hAnsi="Book Antiqua" w:cs="宋体"/>
          <w:b/>
          <w:bCs/>
          <w:kern w:val="0"/>
          <w:sz w:val="24"/>
        </w:rPr>
        <w:t>Ganz T</w:t>
      </w:r>
      <w:r w:rsidRPr="001E5D32">
        <w:rPr>
          <w:rFonts w:ascii="Book Antiqua" w:hAnsi="Book Antiqua" w:cs="宋体"/>
          <w:kern w:val="0"/>
          <w:sz w:val="24"/>
        </w:rPr>
        <w:t xml:space="preserve">, Nemeth E. The hepcidin-ferroportin system as a therapeutic target in anemias and iron overload disorders. </w:t>
      </w:r>
      <w:r w:rsidRPr="001E5D32">
        <w:rPr>
          <w:rFonts w:ascii="Book Antiqua" w:hAnsi="Book Antiqua" w:cs="宋体"/>
          <w:i/>
          <w:iCs/>
          <w:kern w:val="0"/>
          <w:sz w:val="24"/>
        </w:rPr>
        <w:t>Hematology Am Soc Hematol Educ Program</w:t>
      </w:r>
      <w:r w:rsidRPr="001E5D32">
        <w:rPr>
          <w:rFonts w:ascii="Book Antiqua" w:hAnsi="Book Antiqua" w:cs="宋体"/>
          <w:kern w:val="0"/>
          <w:sz w:val="24"/>
        </w:rPr>
        <w:t xml:space="preserve"> 2011; </w:t>
      </w:r>
      <w:r w:rsidRPr="001E5D32">
        <w:rPr>
          <w:rFonts w:ascii="Book Antiqua" w:hAnsi="Book Antiqua" w:cs="宋体"/>
          <w:b/>
          <w:bCs/>
          <w:kern w:val="0"/>
          <w:sz w:val="24"/>
        </w:rPr>
        <w:t>2011</w:t>
      </w:r>
      <w:r w:rsidRPr="001E5D32">
        <w:rPr>
          <w:rFonts w:ascii="Book Antiqua" w:hAnsi="Book Antiqua" w:cs="宋体"/>
          <w:kern w:val="0"/>
          <w:sz w:val="24"/>
        </w:rPr>
        <w:t>: 538-542 [PMID: 22160086 DOI: 10.1182/asheducation-2011.1.538]</w:t>
      </w:r>
    </w:p>
    <w:p w14:paraId="52FC34C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178 </w:t>
      </w:r>
      <w:r w:rsidRPr="001E5D32">
        <w:rPr>
          <w:rFonts w:ascii="Book Antiqua" w:hAnsi="Book Antiqua" w:cs="宋体"/>
          <w:b/>
          <w:bCs/>
          <w:kern w:val="0"/>
          <w:sz w:val="24"/>
        </w:rPr>
        <w:t>Nai A</w:t>
      </w:r>
      <w:r w:rsidRPr="001E5D32">
        <w:rPr>
          <w:rFonts w:ascii="Book Antiqua" w:hAnsi="Book Antiqua" w:cs="宋体"/>
          <w:kern w:val="0"/>
          <w:sz w:val="24"/>
        </w:rPr>
        <w:t xml:space="preserve">, Pagani A, Silvestri L, Campostrini N, Corbella M, Girelli D, Traglia M, Toniolo D, Camaschella C. TMPRSS6 rs855791 modulates hepcidin transcription in vitro and serum hepcidin levels in normal individuals. </w:t>
      </w:r>
      <w:r w:rsidRPr="001E5D32">
        <w:rPr>
          <w:rFonts w:ascii="Book Antiqua" w:hAnsi="Book Antiqua" w:cs="宋体"/>
          <w:i/>
          <w:iCs/>
          <w:kern w:val="0"/>
          <w:sz w:val="24"/>
        </w:rPr>
        <w:t>Blood</w:t>
      </w:r>
      <w:r w:rsidRPr="001E5D32">
        <w:rPr>
          <w:rFonts w:ascii="Book Antiqua" w:hAnsi="Book Antiqua" w:cs="宋体"/>
          <w:kern w:val="0"/>
          <w:sz w:val="24"/>
        </w:rPr>
        <w:t xml:space="preserve"> 2011; </w:t>
      </w:r>
      <w:r w:rsidRPr="001E5D32">
        <w:rPr>
          <w:rFonts w:ascii="Book Antiqua" w:hAnsi="Book Antiqua" w:cs="宋体"/>
          <w:b/>
          <w:bCs/>
          <w:kern w:val="0"/>
          <w:sz w:val="24"/>
        </w:rPr>
        <w:t>118</w:t>
      </w:r>
      <w:r w:rsidRPr="001E5D32">
        <w:rPr>
          <w:rFonts w:ascii="Book Antiqua" w:hAnsi="Book Antiqua" w:cs="宋体"/>
          <w:kern w:val="0"/>
          <w:sz w:val="24"/>
        </w:rPr>
        <w:t>: 4459-4462 [PMID: 21873547 DOI: 10.1182/blood-2011-06-364034]</w:t>
      </w:r>
    </w:p>
    <w:p w14:paraId="3080B1AC"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179 </w:t>
      </w:r>
      <w:r w:rsidRPr="001E5D32">
        <w:rPr>
          <w:rFonts w:ascii="Book Antiqua" w:hAnsi="Book Antiqua" w:cs="宋体"/>
          <w:b/>
          <w:bCs/>
          <w:kern w:val="0"/>
          <w:sz w:val="24"/>
        </w:rPr>
        <w:t>Traglia M</w:t>
      </w:r>
      <w:r w:rsidRPr="001E5D32">
        <w:rPr>
          <w:rFonts w:ascii="Book Antiqua" w:hAnsi="Book Antiqua" w:cs="宋体"/>
          <w:kern w:val="0"/>
          <w:sz w:val="24"/>
        </w:rPr>
        <w:t xml:space="preserve">, Girelli D, Biino G, Campostrini N, Corbella M, Sala C, Masciullo C, Viganò F, Buetti I, Pistis G, Cocca M, Camaschella C, Toniolo D. Association of HFE and TMPRSS6 genetic variants with iron and erythrocyte parameters is only in part dependent on serum hepcidin concentrations. </w:t>
      </w:r>
      <w:r w:rsidRPr="001E5D32">
        <w:rPr>
          <w:rFonts w:ascii="Book Antiqua" w:hAnsi="Book Antiqua" w:cs="宋体"/>
          <w:i/>
          <w:iCs/>
          <w:kern w:val="0"/>
          <w:sz w:val="24"/>
        </w:rPr>
        <w:t>J Med Genet</w:t>
      </w:r>
      <w:r w:rsidRPr="001E5D32">
        <w:rPr>
          <w:rFonts w:ascii="Book Antiqua" w:hAnsi="Book Antiqua" w:cs="宋体"/>
          <w:kern w:val="0"/>
          <w:sz w:val="24"/>
        </w:rPr>
        <w:t xml:space="preserve"> 2011; </w:t>
      </w:r>
      <w:r w:rsidRPr="001E5D32">
        <w:rPr>
          <w:rFonts w:ascii="Book Antiqua" w:hAnsi="Book Antiqua" w:cs="宋体"/>
          <w:b/>
          <w:bCs/>
          <w:kern w:val="0"/>
          <w:sz w:val="24"/>
        </w:rPr>
        <w:t>48</w:t>
      </w:r>
      <w:r w:rsidRPr="001E5D32">
        <w:rPr>
          <w:rFonts w:ascii="Book Antiqua" w:hAnsi="Book Antiqua" w:cs="宋体"/>
          <w:kern w:val="0"/>
          <w:sz w:val="24"/>
        </w:rPr>
        <w:t>: 629-634 [PMID: 21785125 DOI: 10.1136/jmedgenet-2011-100061]</w:t>
      </w:r>
    </w:p>
    <w:p w14:paraId="542CD9FE"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180 </w:t>
      </w:r>
      <w:r w:rsidRPr="001E5D32">
        <w:rPr>
          <w:rFonts w:ascii="Book Antiqua" w:hAnsi="Book Antiqua" w:cs="宋体"/>
          <w:b/>
          <w:bCs/>
          <w:kern w:val="0"/>
          <w:sz w:val="24"/>
        </w:rPr>
        <w:t>Galesloot TE</w:t>
      </w:r>
      <w:r w:rsidRPr="001E5D32">
        <w:rPr>
          <w:rFonts w:ascii="Book Antiqua" w:hAnsi="Book Antiqua" w:cs="宋体"/>
          <w:kern w:val="0"/>
          <w:sz w:val="24"/>
        </w:rPr>
        <w:t xml:space="preserve">, Geurts-Moespot AJ, den Heijer M, Sweep FC, Fleming RE, Kiemeney LA, Vermeulen SH, Swinkels DW. Associations of common variants in HFE and TMPRSS6 with iron parameters are independent of serum hepcidin in a general population: a replication study. </w:t>
      </w:r>
      <w:r w:rsidRPr="001E5D32">
        <w:rPr>
          <w:rFonts w:ascii="Book Antiqua" w:hAnsi="Book Antiqua" w:cs="宋体"/>
          <w:i/>
          <w:iCs/>
          <w:kern w:val="0"/>
          <w:sz w:val="24"/>
        </w:rPr>
        <w:t>J Med Genet</w:t>
      </w:r>
      <w:r w:rsidRPr="001E5D32">
        <w:rPr>
          <w:rFonts w:ascii="Book Antiqua" w:hAnsi="Book Antiqua" w:cs="宋体"/>
          <w:kern w:val="0"/>
          <w:sz w:val="24"/>
        </w:rPr>
        <w:t xml:space="preserve"> 2013; </w:t>
      </w:r>
      <w:r w:rsidRPr="001E5D32">
        <w:rPr>
          <w:rFonts w:ascii="Book Antiqua" w:hAnsi="Book Antiqua" w:cs="宋体"/>
          <w:b/>
          <w:bCs/>
          <w:kern w:val="0"/>
          <w:sz w:val="24"/>
        </w:rPr>
        <w:t>50</w:t>
      </w:r>
      <w:r w:rsidRPr="001E5D32">
        <w:rPr>
          <w:rFonts w:ascii="Book Antiqua" w:hAnsi="Book Antiqua" w:cs="宋体"/>
          <w:kern w:val="0"/>
          <w:sz w:val="24"/>
        </w:rPr>
        <w:t>: 593-598 [PMID: 23794717 DOI: 10.1136/jmedgenet-2013-101673]</w:t>
      </w:r>
    </w:p>
    <w:p w14:paraId="57B3BC30"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181 </w:t>
      </w:r>
      <w:r w:rsidRPr="001E5D32">
        <w:rPr>
          <w:rFonts w:ascii="Book Antiqua" w:hAnsi="Book Antiqua" w:cs="宋体"/>
          <w:b/>
          <w:bCs/>
          <w:kern w:val="0"/>
          <w:sz w:val="24"/>
        </w:rPr>
        <w:t>Gan W</w:t>
      </w:r>
      <w:r w:rsidRPr="001E5D32">
        <w:rPr>
          <w:rFonts w:ascii="Book Antiqua" w:hAnsi="Book Antiqua" w:cs="宋体"/>
          <w:kern w:val="0"/>
          <w:sz w:val="24"/>
        </w:rPr>
        <w:t xml:space="preserve">, Guan Y, Wu Q, An P, Zhu J, Lu L, Jing L, Yu Y, Ruan S, Xie D, Makrides M, Gibson RA, Anderson GJ, Li H, Lin X, Wang F. Association of TMPRSS6 polymorphisms with ferritin, hemoglobin, and type 2 diabetes risk in a Chinese Han population. </w:t>
      </w:r>
      <w:r w:rsidRPr="001E5D32">
        <w:rPr>
          <w:rFonts w:ascii="Book Antiqua" w:hAnsi="Book Antiqua" w:cs="宋体"/>
          <w:i/>
          <w:iCs/>
          <w:kern w:val="0"/>
          <w:sz w:val="24"/>
        </w:rPr>
        <w:t>Am J Clin Nutr</w:t>
      </w:r>
      <w:r w:rsidRPr="001E5D32">
        <w:rPr>
          <w:rFonts w:ascii="Book Antiqua" w:hAnsi="Book Antiqua" w:cs="宋体"/>
          <w:kern w:val="0"/>
          <w:sz w:val="24"/>
        </w:rPr>
        <w:t xml:space="preserve"> 2012; </w:t>
      </w:r>
      <w:r w:rsidRPr="001E5D32">
        <w:rPr>
          <w:rFonts w:ascii="Book Antiqua" w:hAnsi="Book Antiqua" w:cs="宋体"/>
          <w:b/>
          <w:bCs/>
          <w:kern w:val="0"/>
          <w:sz w:val="24"/>
        </w:rPr>
        <w:t>95</w:t>
      </w:r>
      <w:r w:rsidRPr="001E5D32">
        <w:rPr>
          <w:rFonts w:ascii="Book Antiqua" w:hAnsi="Book Antiqua" w:cs="宋体"/>
          <w:kern w:val="0"/>
          <w:sz w:val="24"/>
        </w:rPr>
        <w:t>: 626-632 [PMID: 22301935 DOI: 10.3945/ajcn.111.025684]</w:t>
      </w:r>
    </w:p>
    <w:p w14:paraId="25477241"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182 </w:t>
      </w:r>
      <w:r w:rsidRPr="001E5D32">
        <w:rPr>
          <w:rFonts w:ascii="Book Antiqua" w:hAnsi="Book Antiqua" w:cs="宋体"/>
          <w:b/>
          <w:bCs/>
          <w:kern w:val="0"/>
          <w:sz w:val="24"/>
        </w:rPr>
        <w:t>Valenti L</w:t>
      </w:r>
      <w:r w:rsidRPr="001E5D32">
        <w:rPr>
          <w:rFonts w:ascii="Book Antiqua" w:hAnsi="Book Antiqua" w:cs="宋体"/>
          <w:kern w:val="0"/>
          <w:sz w:val="24"/>
        </w:rPr>
        <w:t xml:space="preserve">, Rametta R, Dongiovanni P, Motta BM, Canavesi E, Pelusi S, Pulixi EA, Fracanzani AL, Fargion S. The A736V TMPRSS6 polymorphism influences hepatic iron overload in nonalcoholic fatty liver disease. </w:t>
      </w:r>
      <w:r w:rsidRPr="001E5D32">
        <w:rPr>
          <w:rFonts w:ascii="Book Antiqua" w:hAnsi="Book Antiqua" w:cs="宋体"/>
          <w:i/>
          <w:iCs/>
          <w:kern w:val="0"/>
          <w:sz w:val="24"/>
        </w:rPr>
        <w:t>PLoS One</w:t>
      </w:r>
      <w:r w:rsidRPr="001E5D32">
        <w:rPr>
          <w:rFonts w:ascii="Book Antiqua" w:hAnsi="Book Antiqua" w:cs="宋体"/>
          <w:kern w:val="0"/>
          <w:sz w:val="24"/>
        </w:rPr>
        <w:t xml:space="preserve"> 2012; </w:t>
      </w:r>
      <w:r w:rsidRPr="001E5D32">
        <w:rPr>
          <w:rFonts w:ascii="Book Antiqua" w:hAnsi="Book Antiqua" w:cs="宋体"/>
          <w:b/>
          <w:bCs/>
          <w:kern w:val="0"/>
          <w:sz w:val="24"/>
        </w:rPr>
        <w:t>7</w:t>
      </w:r>
      <w:r w:rsidRPr="001E5D32">
        <w:rPr>
          <w:rFonts w:ascii="Book Antiqua" w:hAnsi="Book Antiqua" w:cs="宋体"/>
          <w:kern w:val="0"/>
          <w:sz w:val="24"/>
        </w:rPr>
        <w:t>: e48804 [PMID: 23144979 DOI: 10.1371/journal.pone.0048804]</w:t>
      </w:r>
    </w:p>
    <w:p w14:paraId="40F6E1E8"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183 </w:t>
      </w:r>
      <w:r w:rsidRPr="001E5D32">
        <w:rPr>
          <w:rFonts w:ascii="Book Antiqua" w:hAnsi="Book Antiqua" w:cs="宋体"/>
          <w:b/>
          <w:bCs/>
          <w:kern w:val="0"/>
          <w:sz w:val="24"/>
        </w:rPr>
        <w:t>Yoneda M</w:t>
      </w:r>
      <w:r w:rsidRPr="001E5D32">
        <w:rPr>
          <w:rFonts w:ascii="Book Antiqua" w:hAnsi="Book Antiqua" w:cs="宋体"/>
          <w:kern w:val="0"/>
          <w:sz w:val="24"/>
        </w:rPr>
        <w:t xml:space="preserve">, Yoneda M, Fujita K, Inamori M, Tamano M, Hiriishi H, Nakajima A. Transient elastography in patients with non-alcoholic fatty liver disease (NAFLD). </w:t>
      </w:r>
      <w:r w:rsidRPr="001E5D32">
        <w:rPr>
          <w:rFonts w:ascii="Book Antiqua" w:hAnsi="Book Antiqua" w:cs="宋体"/>
          <w:i/>
          <w:iCs/>
          <w:kern w:val="0"/>
          <w:sz w:val="24"/>
        </w:rPr>
        <w:t>Gut</w:t>
      </w:r>
      <w:r w:rsidRPr="001E5D32">
        <w:rPr>
          <w:rFonts w:ascii="Book Antiqua" w:hAnsi="Book Antiqua" w:cs="宋体"/>
          <w:kern w:val="0"/>
          <w:sz w:val="24"/>
        </w:rPr>
        <w:t xml:space="preserve"> 2007; </w:t>
      </w:r>
      <w:r w:rsidRPr="001E5D32">
        <w:rPr>
          <w:rFonts w:ascii="Book Antiqua" w:hAnsi="Book Antiqua" w:cs="宋体"/>
          <w:b/>
          <w:bCs/>
          <w:kern w:val="0"/>
          <w:sz w:val="24"/>
        </w:rPr>
        <w:t>56</w:t>
      </w:r>
      <w:r w:rsidRPr="001E5D32">
        <w:rPr>
          <w:rFonts w:ascii="Book Antiqua" w:hAnsi="Book Antiqua" w:cs="宋体"/>
          <w:kern w:val="0"/>
          <w:sz w:val="24"/>
        </w:rPr>
        <w:t>: 1330-1331 [PMID: 17470477 DOI: 10.1136/gut.2007.126417]</w:t>
      </w:r>
    </w:p>
    <w:p w14:paraId="5A456742"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184 </w:t>
      </w:r>
      <w:r w:rsidRPr="001E5D32">
        <w:rPr>
          <w:rFonts w:ascii="Book Antiqua" w:hAnsi="Book Antiqua" w:cs="宋体"/>
          <w:b/>
          <w:bCs/>
          <w:kern w:val="0"/>
          <w:sz w:val="24"/>
        </w:rPr>
        <w:t>Friedrich-Rust M</w:t>
      </w:r>
      <w:r w:rsidRPr="001E5D32">
        <w:rPr>
          <w:rFonts w:ascii="Book Antiqua" w:hAnsi="Book Antiqua" w:cs="宋体"/>
          <w:kern w:val="0"/>
          <w:sz w:val="24"/>
        </w:rPr>
        <w:t xml:space="preserve">, Ong MF, Martens S, Sarrazin C, Bojunga J, Zeuzem S, Herrmann E. Performance of transient elastography for the staging of liver fibrosis: a meta-analysis. </w:t>
      </w:r>
      <w:r w:rsidRPr="001E5D32">
        <w:rPr>
          <w:rFonts w:ascii="Book Antiqua" w:hAnsi="Book Antiqua" w:cs="宋体"/>
          <w:i/>
          <w:iCs/>
          <w:kern w:val="0"/>
          <w:sz w:val="24"/>
        </w:rPr>
        <w:t>Gastroenterology</w:t>
      </w:r>
      <w:r w:rsidRPr="001E5D32">
        <w:rPr>
          <w:rFonts w:ascii="Book Antiqua" w:hAnsi="Book Antiqua" w:cs="宋体"/>
          <w:kern w:val="0"/>
          <w:sz w:val="24"/>
        </w:rPr>
        <w:t xml:space="preserve"> 2008; </w:t>
      </w:r>
      <w:r w:rsidRPr="001E5D32">
        <w:rPr>
          <w:rFonts w:ascii="Book Antiqua" w:hAnsi="Book Antiqua" w:cs="宋体"/>
          <w:b/>
          <w:bCs/>
          <w:kern w:val="0"/>
          <w:sz w:val="24"/>
        </w:rPr>
        <w:t>134</w:t>
      </w:r>
      <w:r w:rsidRPr="001E5D32">
        <w:rPr>
          <w:rFonts w:ascii="Book Antiqua" w:hAnsi="Book Antiqua" w:cs="宋体"/>
          <w:kern w:val="0"/>
          <w:sz w:val="24"/>
        </w:rPr>
        <w:t>: 960-974 [PMID: 18395077 DOI: 10.1053/j.gastro.2008.01.034]</w:t>
      </w:r>
    </w:p>
    <w:p w14:paraId="339730FC"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185 </w:t>
      </w:r>
      <w:r w:rsidRPr="001E5D32">
        <w:rPr>
          <w:rFonts w:ascii="Book Antiqua" w:hAnsi="Book Antiqua" w:cs="宋体"/>
          <w:b/>
          <w:bCs/>
          <w:kern w:val="0"/>
          <w:sz w:val="24"/>
        </w:rPr>
        <w:t>Mahadeva S</w:t>
      </w:r>
      <w:r w:rsidRPr="001E5D32">
        <w:rPr>
          <w:rFonts w:ascii="Book Antiqua" w:hAnsi="Book Antiqua" w:cs="宋体"/>
          <w:kern w:val="0"/>
          <w:sz w:val="24"/>
        </w:rPr>
        <w:t xml:space="preserve">, Mahfudz AS, Vijayanathan A, Goh KL, Kulenthran A, Cheah PL. Performance of transient elastography (TE) and factors associated with discordance in non-alcoholic fatty liver disease. </w:t>
      </w:r>
      <w:r w:rsidRPr="001E5D32">
        <w:rPr>
          <w:rFonts w:ascii="Book Antiqua" w:hAnsi="Book Antiqua" w:cs="宋体"/>
          <w:i/>
          <w:iCs/>
          <w:kern w:val="0"/>
          <w:sz w:val="24"/>
        </w:rPr>
        <w:t>J Dig Dis</w:t>
      </w:r>
      <w:r w:rsidRPr="001E5D32">
        <w:rPr>
          <w:rFonts w:ascii="Book Antiqua" w:hAnsi="Book Antiqua" w:cs="宋体"/>
          <w:kern w:val="0"/>
          <w:sz w:val="24"/>
        </w:rPr>
        <w:t xml:space="preserve"> 2013; </w:t>
      </w:r>
      <w:r w:rsidRPr="001E5D32">
        <w:rPr>
          <w:rFonts w:ascii="Book Antiqua" w:hAnsi="Book Antiqua" w:cs="宋体"/>
          <w:b/>
          <w:bCs/>
          <w:kern w:val="0"/>
          <w:sz w:val="24"/>
        </w:rPr>
        <w:t>14</w:t>
      </w:r>
      <w:r w:rsidRPr="001E5D32">
        <w:rPr>
          <w:rFonts w:ascii="Book Antiqua" w:hAnsi="Book Antiqua" w:cs="宋体"/>
          <w:kern w:val="0"/>
          <w:sz w:val="24"/>
        </w:rPr>
        <w:t>: 604-610 [PMID: 23859493 DOI: 10.1111/1751-2980.12088]</w:t>
      </w:r>
    </w:p>
    <w:p w14:paraId="4A3EFD80"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186 </w:t>
      </w:r>
      <w:r w:rsidRPr="001E5D32">
        <w:rPr>
          <w:rFonts w:ascii="Book Antiqua" w:hAnsi="Book Antiqua" w:cs="宋体"/>
          <w:b/>
          <w:bCs/>
          <w:kern w:val="0"/>
          <w:sz w:val="24"/>
        </w:rPr>
        <w:t>Suzuki K</w:t>
      </w:r>
      <w:r w:rsidRPr="001E5D32">
        <w:rPr>
          <w:rFonts w:ascii="Book Antiqua" w:hAnsi="Book Antiqua" w:cs="宋体"/>
          <w:kern w:val="0"/>
          <w:sz w:val="24"/>
        </w:rPr>
        <w:t xml:space="preserve">, Yoneda M, Imajo K, Kirikoshi H, Nakajima A, Maeda S, Saito S. Transient elastography for monitoring the fibrosis of non-alcoholic fatty liver disease for 4 years. </w:t>
      </w:r>
      <w:r w:rsidRPr="001E5D32">
        <w:rPr>
          <w:rFonts w:ascii="Book Antiqua" w:hAnsi="Book Antiqua" w:cs="宋体"/>
          <w:i/>
          <w:iCs/>
          <w:kern w:val="0"/>
          <w:sz w:val="24"/>
        </w:rPr>
        <w:t>Hepatol Res</w:t>
      </w:r>
      <w:r w:rsidRPr="001E5D32">
        <w:rPr>
          <w:rFonts w:ascii="Book Antiqua" w:hAnsi="Book Antiqua" w:cs="宋体"/>
          <w:kern w:val="0"/>
          <w:sz w:val="24"/>
        </w:rPr>
        <w:t xml:space="preserve"> 2013; </w:t>
      </w:r>
      <w:r w:rsidRPr="001E5D32">
        <w:rPr>
          <w:rFonts w:ascii="Book Antiqua" w:hAnsi="Book Antiqua" w:cs="宋体"/>
          <w:b/>
          <w:bCs/>
          <w:kern w:val="0"/>
          <w:sz w:val="24"/>
        </w:rPr>
        <w:t>43</w:t>
      </w:r>
      <w:r w:rsidRPr="001E5D32">
        <w:rPr>
          <w:rFonts w:ascii="Book Antiqua" w:hAnsi="Book Antiqua" w:cs="宋体"/>
          <w:kern w:val="0"/>
          <w:sz w:val="24"/>
        </w:rPr>
        <w:t>: 979-983 [PMID: 23294411 DOI: 10.1111/hepr.12039]</w:t>
      </w:r>
    </w:p>
    <w:p w14:paraId="6D8FFC0D"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187 </w:t>
      </w:r>
      <w:r w:rsidRPr="001E5D32">
        <w:rPr>
          <w:rFonts w:ascii="Book Antiqua" w:hAnsi="Book Antiqua" w:cs="宋体"/>
          <w:b/>
          <w:bCs/>
          <w:kern w:val="0"/>
          <w:sz w:val="24"/>
        </w:rPr>
        <w:t>Yoshioka K</w:t>
      </w:r>
      <w:r w:rsidRPr="001E5D32">
        <w:rPr>
          <w:rFonts w:ascii="Book Antiqua" w:hAnsi="Book Antiqua" w:cs="宋体"/>
          <w:kern w:val="0"/>
          <w:sz w:val="24"/>
        </w:rPr>
        <w:t xml:space="preserve">, Hashimoto S, Kawabe N. Measurement of liver stiffness as a non-invasive method for diagnosis of non-alcoholic fatty liver disease. </w:t>
      </w:r>
      <w:r w:rsidRPr="001E5D32">
        <w:rPr>
          <w:rFonts w:ascii="Book Antiqua" w:hAnsi="Book Antiqua" w:cs="宋体"/>
          <w:i/>
          <w:iCs/>
          <w:kern w:val="0"/>
          <w:sz w:val="24"/>
        </w:rPr>
        <w:t>Hepatol Res</w:t>
      </w:r>
      <w:r w:rsidRPr="001E5D32">
        <w:rPr>
          <w:rFonts w:ascii="Book Antiqua" w:hAnsi="Book Antiqua" w:cs="宋体"/>
          <w:kern w:val="0"/>
          <w:sz w:val="24"/>
        </w:rPr>
        <w:t xml:space="preserve"> 2015; </w:t>
      </w:r>
      <w:r w:rsidRPr="001E5D32">
        <w:rPr>
          <w:rFonts w:ascii="Book Antiqua" w:hAnsi="Book Antiqua" w:cs="宋体"/>
          <w:b/>
          <w:bCs/>
          <w:kern w:val="0"/>
          <w:sz w:val="24"/>
        </w:rPr>
        <w:t>45</w:t>
      </w:r>
      <w:r w:rsidRPr="001E5D32">
        <w:rPr>
          <w:rFonts w:ascii="Book Antiqua" w:hAnsi="Book Antiqua" w:cs="宋体"/>
          <w:kern w:val="0"/>
          <w:sz w:val="24"/>
        </w:rPr>
        <w:t>: 142-151 [PMID: 25040931 DOI: 10.1111/hepr.12388]</w:t>
      </w:r>
    </w:p>
    <w:p w14:paraId="47C575C9" w14:textId="4EBD52A4" w:rsidR="00FD6070" w:rsidRPr="001E5D32" w:rsidRDefault="00FD6070" w:rsidP="001E5D32">
      <w:pPr>
        <w:widowControl/>
        <w:spacing w:line="360" w:lineRule="auto"/>
        <w:rPr>
          <w:rFonts w:ascii="Book Antiqua" w:hAnsi="Book Antiqua" w:cs="宋体"/>
          <w:color w:val="000000" w:themeColor="text1"/>
          <w:kern w:val="0"/>
          <w:sz w:val="24"/>
        </w:rPr>
      </w:pPr>
      <w:r w:rsidRPr="001E5D32">
        <w:rPr>
          <w:rFonts w:ascii="Book Antiqua" w:hAnsi="Book Antiqua" w:cs="宋体"/>
          <w:color w:val="000000" w:themeColor="text1"/>
          <w:kern w:val="0"/>
          <w:sz w:val="24"/>
        </w:rPr>
        <w:t xml:space="preserve">188 </w:t>
      </w:r>
      <w:r w:rsidRPr="001E5D32">
        <w:rPr>
          <w:rFonts w:ascii="Book Antiqua" w:hAnsi="Book Antiqua" w:cs="宋体"/>
          <w:b/>
          <w:color w:val="000000" w:themeColor="text1"/>
          <w:kern w:val="0"/>
          <w:sz w:val="24"/>
        </w:rPr>
        <w:t xml:space="preserve">Burlone ME, </w:t>
      </w:r>
      <w:r w:rsidRPr="001E5D32">
        <w:rPr>
          <w:rFonts w:ascii="Book Antiqua" w:hAnsi="Book Antiqua" w:cs="宋体"/>
          <w:color w:val="000000" w:themeColor="text1"/>
          <w:kern w:val="0"/>
          <w:sz w:val="24"/>
        </w:rPr>
        <w:t xml:space="preserve">Rossini A, Momo E, Colletta C, Leutner M, Minisini R, Pirisi M. </w:t>
      </w:r>
      <w:bookmarkStart w:id="6" w:name="OLE_LINK12"/>
      <w:bookmarkStart w:id="7" w:name="OLE_LINK13"/>
      <w:bookmarkStart w:id="8" w:name="OLE_LINK10"/>
      <w:bookmarkStart w:id="9" w:name="OLE_LINK11"/>
      <w:r w:rsidRPr="001E5D32">
        <w:rPr>
          <w:rFonts w:ascii="Book Antiqua" w:hAnsi="Book Antiqua" w:cs="宋体"/>
          <w:color w:val="000000" w:themeColor="text1"/>
          <w:kern w:val="0"/>
          <w:sz w:val="24"/>
        </w:rPr>
        <w:t>A composite score including BMI liver stiffness and rs738409 PNPLA3 genotype might spare liver biopsies to most NAFLD patients maintaining 95% diagnostic accuracy</w:t>
      </w:r>
      <w:bookmarkEnd w:id="6"/>
      <w:bookmarkEnd w:id="7"/>
      <w:r w:rsidRPr="001E5D32">
        <w:rPr>
          <w:rFonts w:ascii="Book Antiqua" w:hAnsi="Book Antiqua" w:cs="宋体"/>
          <w:color w:val="000000" w:themeColor="text1"/>
          <w:kern w:val="0"/>
          <w:sz w:val="24"/>
        </w:rPr>
        <w:t>.</w:t>
      </w:r>
      <w:bookmarkEnd w:id="8"/>
      <w:bookmarkEnd w:id="9"/>
      <w:r w:rsidRPr="001E5D32">
        <w:rPr>
          <w:rFonts w:ascii="Book Antiqua" w:hAnsi="Book Antiqua" w:cs="宋体" w:hint="eastAsia"/>
          <w:color w:val="000000" w:themeColor="text1"/>
          <w:kern w:val="0"/>
          <w:sz w:val="24"/>
        </w:rPr>
        <w:t xml:space="preserve"> </w:t>
      </w:r>
      <w:r w:rsidR="00F459B0">
        <w:rPr>
          <w:rFonts w:ascii="Book Antiqua" w:hAnsi="Book Antiqua" w:cs="宋体"/>
          <w:color w:val="000000" w:themeColor="text1"/>
          <w:kern w:val="0"/>
          <w:sz w:val="24"/>
        </w:rPr>
        <w:t xml:space="preserve">[updated </w:t>
      </w:r>
      <w:r w:rsidRPr="001E5D32">
        <w:rPr>
          <w:rFonts w:ascii="Book Antiqua" w:hAnsi="Book Antiqua" w:cs="宋体" w:hint="eastAsia"/>
          <w:color w:val="000000" w:themeColor="text1"/>
          <w:kern w:val="0"/>
          <w:sz w:val="24"/>
        </w:rPr>
        <w:t>2012</w:t>
      </w:r>
      <w:r w:rsidR="00F459B0">
        <w:rPr>
          <w:rFonts w:ascii="Book Antiqua" w:hAnsi="Book Antiqua" w:cs="宋体"/>
          <w:color w:val="000000" w:themeColor="text1"/>
          <w:kern w:val="0"/>
          <w:sz w:val="24"/>
        </w:rPr>
        <w:t xml:space="preserve"> Nov </w:t>
      </w:r>
      <w:r w:rsidRPr="001E5D32">
        <w:rPr>
          <w:rFonts w:ascii="Book Antiqua" w:hAnsi="Book Antiqua" w:cs="宋体" w:hint="eastAsia"/>
          <w:color w:val="000000" w:themeColor="text1"/>
          <w:kern w:val="0"/>
          <w:sz w:val="24"/>
        </w:rPr>
        <w:t>12</w:t>
      </w:r>
      <w:r w:rsidR="00F459B0">
        <w:rPr>
          <w:rFonts w:ascii="Book Antiqua" w:hAnsi="Book Antiqua" w:cs="宋体"/>
          <w:color w:val="000000" w:themeColor="text1"/>
          <w:kern w:val="0"/>
          <w:sz w:val="24"/>
        </w:rPr>
        <w:t>]</w:t>
      </w:r>
      <w:bookmarkStart w:id="10" w:name="_GoBack"/>
      <w:bookmarkEnd w:id="10"/>
      <w:r w:rsidRPr="001E5D32">
        <w:rPr>
          <w:rFonts w:ascii="Book Antiqua" w:hAnsi="Book Antiqua" w:cs="宋体" w:hint="eastAsia"/>
          <w:color w:val="000000" w:themeColor="text1"/>
          <w:kern w:val="0"/>
          <w:sz w:val="24"/>
        </w:rPr>
        <w:t>.</w:t>
      </w:r>
      <w:r w:rsidRPr="001E5D32">
        <w:rPr>
          <w:rFonts w:ascii="Book Antiqua" w:hAnsi="Book Antiqua" w:cs="宋体"/>
          <w:color w:val="000000" w:themeColor="text1"/>
          <w:kern w:val="0"/>
          <w:sz w:val="24"/>
        </w:rPr>
        <w:t xml:space="preserve"> A</w:t>
      </w:r>
      <w:r w:rsidRPr="001E5D32">
        <w:rPr>
          <w:rFonts w:ascii="Book Antiqua" w:hAnsi="Book Antiqua" w:cs="宋体" w:hint="eastAsia"/>
          <w:color w:val="000000" w:themeColor="text1"/>
          <w:kern w:val="0"/>
          <w:sz w:val="24"/>
        </w:rPr>
        <w:t>vailable from: URL</w:t>
      </w:r>
      <w:r w:rsidRPr="001E5D32">
        <w:rPr>
          <w:rFonts w:ascii="Book Antiqua" w:hAnsi="Book Antiqua" w:cs="宋体"/>
          <w:color w:val="000000" w:themeColor="text1"/>
          <w:kern w:val="0"/>
          <w:sz w:val="24"/>
        </w:rPr>
        <w:t>: http://www.aspe.vb.it/it/downloads/Studio%20NASH.pdf</w:t>
      </w:r>
    </w:p>
    <w:p w14:paraId="7D446B9E" w14:textId="77777777" w:rsidR="00FD6070" w:rsidRPr="001E5D32" w:rsidRDefault="00FD6070" w:rsidP="001E5D32">
      <w:pPr>
        <w:widowControl/>
        <w:spacing w:line="360" w:lineRule="auto"/>
        <w:rPr>
          <w:rFonts w:ascii="Book Antiqua" w:hAnsi="Book Antiqua" w:cs="宋体"/>
          <w:color w:val="000000" w:themeColor="text1"/>
          <w:kern w:val="0"/>
          <w:sz w:val="24"/>
        </w:rPr>
      </w:pPr>
      <w:r w:rsidRPr="001E5D32">
        <w:rPr>
          <w:rFonts w:ascii="Book Antiqua" w:hAnsi="Book Antiqua" w:cs="宋体"/>
          <w:color w:val="000000" w:themeColor="text1"/>
          <w:kern w:val="0"/>
          <w:sz w:val="24"/>
        </w:rPr>
        <w:t xml:space="preserve">189 </w:t>
      </w:r>
      <w:r w:rsidRPr="001E5D32">
        <w:rPr>
          <w:rFonts w:ascii="Book Antiqua" w:hAnsi="Book Antiqua" w:cs="宋体"/>
          <w:b/>
          <w:color w:val="000000" w:themeColor="text1"/>
          <w:kern w:val="0"/>
          <w:sz w:val="24"/>
        </w:rPr>
        <w:t xml:space="preserve">Petta S, </w:t>
      </w:r>
      <w:r w:rsidRPr="001E5D32">
        <w:rPr>
          <w:rFonts w:ascii="Book Antiqua" w:hAnsi="Book Antiqua" w:cs="宋体"/>
          <w:color w:val="000000" w:themeColor="text1"/>
          <w:kern w:val="0"/>
          <w:sz w:val="24"/>
        </w:rPr>
        <w:t xml:space="preserve">Vanni E, Bugianesi E, Di Marco V, Cammà C, Cabibi D, Mezzabotta L, Craxì A. The combination of liver stiffness measurement and NAFLD fibrosis score improves the noninvasive diagnostic accuracy for severe liver fibrosis in patients with nonalcoholic fatty liver disease. </w:t>
      </w:r>
      <w:r w:rsidRPr="001E5D32">
        <w:rPr>
          <w:rFonts w:ascii="Book Antiqua" w:hAnsi="Book Antiqua" w:cs="宋体"/>
          <w:i/>
          <w:iCs/>
          <w:color w:val="000000" w:themeColor="text1"/>
          <w:kern w:val="0"/>
          <w:sz w:val="24"/>
        </w:rPr>
        <w:t>Liver Int</w:t>
      </w:r>
      <w:r w:rsidRPr="001E5D32">
        <w:rPr>
          <w:rFonts w:ascii="Book Antiqua" w:hAnsi="Book Antiqua" w:cs="宋体"/>
          <w:color w:val="000000" w:themeColor="text1"/>
          <w:kern w:val="0"/>
          <w:sz w:val="24"/>
        </w:rPr>
        <w:t xml:space="preserve"> 2014</w:t>
      </w:r>
      <w:r w:rsidRPr="001E5D32">
        <w:rPr>
          <w:rFonts w:ascii="Book Antiqua" w:hAnsi="Book Antiqua" w:cs="宋体" w:hint="eastAsia"/>
          <w:color w:val="000000" w:themeColor="text1"/>
          <w:kern w:val="0"/>
          <w:sz w:val="24"/>
        </w:rPr>
        <w:t xml:space="preserve"> May 2</w:t>
      </w:r>
      <w:r w:rsidRPr="001E5D32">
        <w:rPr>
          <w:rFonts w:ascii="Book Antiqua" w:hAnsi="Book Antiqua" w:cs="宋体"/>
          <w:color w:val="000000" w:themeColor="text1"/>
          <w:kern w:val="0"/>
          <w:sz w:val="24"/>
        </w:rPr>
        <w:t xml:space="preserve">; Epub ahead of print [PMID: </w:t>
      </w:r>
      <w:bookmarkStart w:id="11" w:name="OLE_LINK8"/>
      <w:bookmarkStart w:id="12" w:name="OLE_LINK9"/>
      <w:r w:rsidRPr="001E5D32">
        <w:rPr>
          <w:rFonts w:ascii="Book Antiqua" w:hAnsi="Book Antiqua" w:cs="宋体"/>
          <w:color w:val="000000" w:themeColor="text1"/>
          <w:kern w:val="0"/>
          <w:sz w:val="24"/>
        </w:rPr>
        <w:t xml:space="preserve">24798049 </w:t>
      </w:r>
      <w:bookmarkEnd w:id="11"/>
      <w:bookmarkEnd w:id="12"/>
      <w:r w:rsidRPr="001E5D32">
        <w:rPr>
          <w:rFonts w:ascii="Book Antiqua" w:hAnsi="Book Antiqua" w:cs="宋体"/>
          <w:color w:val="000000" w:themeColor="text1"/>
          <w:kern w:val="0"/>
          <w:sz w:val="24"/>
        </w:rPr>
        <w:t>DOI: 10.1111/liv.12584]</w:t>
      </w:r>
    </w:p>
    <w:p w14:paraId="44E1972A"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190 </w:t>
      </w:r>
      <w:r w:rsidRPr="001E5D32">
        <w:rPr>
          <w:rFonts w:ascii="Book Antiqua" w:hAnsi="Book Antiqua" w:cs="宋体"/>
          <w:b/>
          <w:bCs/>
          <w:kern w:val="0"/>
          <w:sz w:val="24"/>
        </w:rPr>
        <w:t>Sumida Y</w:t>
      </w:r>
      <w:r w:rsidRPr="001E5D32">
        <w:rPr>
          <w:rFonts w:ascii="Book Antiqua" w:hAnsi="Book Antiqua" w:cs="宋体"/>
          <w:kern w:val="0"/>
          <w:sz w:val="24"/>
        </w:rPr>
        <w:t xml:space="preserve">, Nakajima A, Itoh Y. Limitations of liver biopsy and non-invasive diagnostic tests for the diagnosis of nonalcoholic fatty liver disease/nonalcoholic steatohepatitis. </w:t>
      </w:r>
      <w:r w:rsidRPr="001E5D32">
        <w:rPr>
          <w:rFonts w:ascii="Book Antiqua" w:hAnsi="Book Antiqua" w:cs="宋体"/>
          <w:i/>
          <w:iCs/>
          <w:kern w:val="0"/>
          <w:sz w:val="24"/>
        </w:rPr>
        <w:t>World J Gastroenterol</w:t>
      </w:r>
      <w:r w:rsidRPr="001E5D32">
        <w:rPr>
          <w:rFonts w:ascii="Book Antiqua" w:hAnsi="Book Antiqua" w:cs="宋体"/>
          <w:kern w:val="0"/>
          <w:sz w:val="24"/>
        </w:rPr>
        <w:t xml:space="preserve"> 2014; </w:t>
      </w:r>
      <w:r w:rsidRPr="001E5D32">
        <w:rPr>
          <w:rFonts w:ascii="Book Antiqua" w:hAnsi="Book Antiqua" w:cs="宋体"/>
          <w:b/>
          <w:bCs/>
          <w:kern w:val="0"/>
          <w:sz w:val="24"/>
        </w:rPr>
        <w:t>20</w:t>
      </w:r>
      <w:r w:rsidRPr="001E5D32">
        <w:rPr>
          <w:rFonts w:ascii="Book Antiqua" w:hAnsi="Book Antiqua" w:cs="宋体"/>
          <w:kern w:val="0"/>
          <w:sz w:val="24"/>
        </w:rPr>
        <w:t>: 475-485 [PMID: 24574716 DOI: 10.3748/wjg.v20.i2.475]</w:t>
      </w:r>
    </w:p>
    <w:p w14:paraId="1D710F62" w14:textId="77777777" w:rsidR="00FD6070" w:rsidRPr="001E5D32" w:rsidRDefault="00FD6070" w:rsidP="001E5D32">
      <w:pPr>
        <w:widowControl/>
        <w:spacing w:line="360" w:lineRule="auto"/>
        <w:rPr>
          <w:rFonts w:ascii="Book Antiqua" w:hAnsi="Book Antiqua" w:cs="宋体"/>
          <w:color w:val="000000" w:themeColor="text1"/>
          <w:kern w:val="0"/>
          <w:sz w:val="24"/>
        </w:rPr>
      </w:pPr>
      <w:r w:rsidRPr="001E5D32">
        <w:rPr>
          <w:rFonts w:ascii="Book Antiqua" w:hAnsi="Book Antiqua" w:cs="宋体"/>
          <w:color w:val="000000" w:themeColor="text1"/>
          <w:kern w:val="0"/>
          <w:sz w:val="24"/>
        </w:rPr>
        <w:t xml:space="preserve">191 </w:t>
      </w:r>
      <w:r w:rsidRPr="001E5D32">
        <w:rPr>
          <w:rFonts w:ascii="Book Antiqua" w:hAnsi="Book Antiqua" w:cs="宋体"/>
          <w:b/>
          <w:color w:val="000000" w:themeColor="text1"/>
          <w:kern w:val="0"/>
          <w:sz w:val="24"/>
        </w:rPr>
        <w:t>Kotze MJ,</w:t>
      </w:r>
      <w:r w:rsidRPr="001E5D32">
        <w:rPr>
          <w:rFonts w:ascii="Book Antiqua" w:hAnsi="Book Antiqua" w:cs="宋体"/>
          <w:color w:val="000000" w:themeColor="text1"/>
          <w:kern w:val="0"/>
          <w:sz w:val="24"/>
        </w:rPr>
        <w:t xml:space="preserve"> Lückhoff HK, Peeters AV, Myburgh EJ, Schoemann M, van der Merwe L, Grant K, Fisher L, van der Merwe N, Pretorius J, van Velden D, Pienaar R, van Rensburgh SJ, Yandiswa Y, September A, Moremi K, Tiffin N, Bouwens CB, Bezuidenhout J, Apffelstaedt J, Hough F, Erasmus R, Schneider J.</w:t>
      </w:r>
      <w:bookmarkStart w:id="13" w:name="OLE_LINK14"/>
      <w:bookmarkStart w:id="14" w:name="OLE_LINK15"/>
      <w:r w:rsidRPr="001E5D32">
        <w:rPr>
          <w:rFonts w:ascii="Book Antiqua" w:hAnsi="Book Antiqua" w:cs="宋体"/>
          <w:color w:val="000000" w:themeColor="text1"/>
          <w:kern w:val="0"/>
          <w:sz w:val="24"/>
        </w:rPr>
        <w:t xml:space="preserve"> Genomic medicine and risk prediction across the disease spectrum</w:t>
      </w:r>
      <w:bookmarkEnd w:id="13"/>
      <w:bookmarkEnd w:id="14"/>
      <w:r w:rsidRPr="001E5D32">
        <w:rPr>
          <w:rFonts w:ascii="Book Antiqua" w:hAnsi="Book Antiqua" w:cs="宋体"/>
          <w:color w:val="000000" w:themeColor="text1"/>
          <w:kern w:val="0"/>
          <w:sz w:val="24"/>
        </w:rPr>
        <w:t xml:space="preserve">. </w:t>
      </w:r>
      <w:r w:rsidRPr="001E5D32">
        <w:rPr>
          <w:rFonts w:ascii="Book Antiqua" w:hAnsi="Book Antiqua" w:cs="宋体"/>
          <w:i/>
          <w:color w:val="000000" w:themeColor="text1"/>
          <w:kern w:val="0"/>
          <w:sz w:val="24"/>
        </w:rPr>
        <w:t>Crit Rev Clin Lab Sci</w:t>
      </w:r>
      <w:r w:rsidRPr="001E5D32">
        <w:rPr>
          <w:rFonts w:ascii="Book Antiqua" w:hAnsi="Book Antiqua" w:cs="宋体"/>
          <w:color w:val="000000" w:themeColor="text1"/>
          <w:kern w:val="0"/>
          <w:sz w:val="24"/>
        </w:rPr>
        <w:t xml:space="preserve"> 2014</w:t>
      </w:r>
      <w:r w:rsidRPr="001E5D32">
        <w:rPr>
          <w:rFonts w:ascii="Book Antiqua" w:hAnsi="Book Antiqua" w:cs="宋体" w:hint="eastAsia"/>
          <w:color w:val="000000" w:themeColor="text1"/>
          <w:kern w:val="0"/>
          <w:sz w:val="24"/>
        </w:rPr>
        <w:t>;</w:t>
      </w:r>
      <w:r w:rsidRPr="001E5D32">
        <w:rPr>
          <w:rFonts w:ascii="Book Antiqua" w:hAnsi="Book Antiqua" w:cs="宋体"/>
          <w:color w:val="000000" w:themeColor="text1"/>
          <w:kern w:val="0"/>
          <w:sz w:val="24"/>
        </w:rPr>
        <w:t xml:space="preserve"> In press</w:t>
      </w:r>
    </w:p>
    <w:p w14:paraId="1567F660"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192 </w:t>
      </w:r>
      <w:r w:rsidRPr="001E5D32">
        <w:rPr>
          <w:rFonts w:ascii="Book Antiqua" w:hAnsi="Book Antiqua" w:cs="宋体"/>
          <w:b/>
          <w:bCs/>
          <w:kern w:val="0"/>
          <w:sz w:val="24"/>
        </w:rPr>
        <w:t>Lim JW</w:t>
      </w:r>
      <w:r w:rsidRPr="001E5D32">
        <w:rPr>
          <w:rFonts w:ascii="Book Antiqua" w:hAnsi="Book Antiqua" w:cs="宋体"/>
          <w:kern w:val="0"/>
          <w:sz w:val="24"/>
        </w:rPr>
        <w:t xml:space="preserve">, Dillon J, Miller M. Proteomic and genomic studies of non-alcoholic fatty liver disease--clues in the pathogenesis. </w:t>
      </w:r>
      <w:r w:rsidRPr="001E5D32">
        <w:rPr>
          <w:rFonts w:ascii="Book Antiqua" w:hAnsi="Book Antiqua" w:cs="宋体"/>
          <w:i/>
          <w:iCs/>
          <w:kern w:val="0"/>
          <w:sz w:val="24"/>
        </w:rPr>
        <w:t>World J Gastroenterol</w:t>
      </w:r>
      <w:r w:rsidRPr="001E5D32">
        <w:rPr>
          <w:rFonts w:ascii="Book Antiqua" w:hAnsi="Book Antiqua" w:cs="宋体"/>
          <w:kern w:val="0"/>
          <w:sz w:val="24"/>
        </w:rPr>
        <w:t xml:space="preserve"> 2014; </w:t>
      </w:r>
      <w:r w:rsidRPr="001E5D32">
        <w:rPr>
          <w:rFonts w:ascii="Book Antiqua" w:hAnsi="Book Antiqua" w:cs="宋体"/>
          <w:b/>
          <w:bCs/>
          <w:kern w:val="0"/>
          <w:sz w:val="24"/>
        </w:rPr>
        <w:t>20</w:t>
      </w:r>
      <w:r w:rsidRPr="001E5D32">
        <w:rPr>
          <w:rFonts w:ascii="Book Antiqua" w:hAnsi="Book Antiqua" w:cs="宋体"/>
          <w:kern w:val="0"/>
          <w:sz w:val="24"/>
        </w:rPr>
        <w:t>: 8325-8340 [PMID: 25024592 DOI: 10.3748/wjg.v20.i26.8325]</w:t>
      </w:r>
    </w:p>
    <w:p w14:paraId="17114635" w14:textId="77777777" w:rsidR="00FD6070" w:rsidRPr="001E5D32" w:rsidRDefault="00FD6070" w:rsidP="001E5D32">
      <w:pPr>
        <w:widowControl/>
        <w:spacing w:line="360" w:lineRule="auto"/>
        <w:rPr>
          <w:rFonts w:ascii="Book Antiqua" w:hAnsi="Book Antiqua" w:cs="宋体"/>
          <w:kern w:val="0"/>
          <w:sz w:val="24"/>
        </w:rPr>
      </w:pPr>
      <w:r w:rsidRPr="001E5D32">
        <w:rPr>
          <w:rFonts w:ascii="Book Antiqua" w:hAnsi="Book Antiqua" w:cs="宋体"/>
          <w:kern w:val="0"/>
          <w:sz w:val="24"/>
        </w:rPr>
        <w:t xml:space="preserve">193 </w:t>
      </w:r>
      <w:r w:rsidRPr="001E5D32">
        <w:rPr>
          <w:rFonts w:ascii="Book Antiqua" w:hAnsi="Book Antiqua" w:cs="宋体"/>
          <w:b/>
          <w:bCs/>
          <w:kern w:val="0"/>
          <w:sz w:val="24"/>
        </w:rPr>
        <w:t>Gerhard GS</w:t>
      </w:r>
      <w:r w:rsidRPr="001E5D32">
        <w:rPr>
          <w:rFonts w:ascii="Book Antiqua" w:hAnsi="Book Antiqua" w:cs="宋体"/>
          <w:kern w:val="0"/>
          <w:sz w:val="24"/>
        </w:rPr>
        <w:t xml:space="preserve">, Chu X, Wood GC, Gerhard GM, Benotti P, Petrick AT, Gabrielsen J, Strodel WE, Still CD, Argyropoulos G. Next-generation sequence analysis of genes associated with obesity and nonalcoholic fatty liver disease-related cirrhosis in extreme obesity. </w:t>
      </w:r>
      <w:r w:rsidRPr="001E5D32">
        <w:rPr>
          <w:rFonts w:ascii="Book Antiqua" w:hAnsi="Book Antiqua" w:cs="宋体"/>
          <w:i/>
          <w:iCs/>
          <w:kern w:val="0"/>
          <w:sz w:val="24"/>
        </w:rPr>
        <w:t>Hum Hered</w:t>
      </w:r>
      <w:r w:rsidRPr="001E5D32">
        <w:rPr>
          <w:rFonts w:ascii="Book Antiqua" w:hAnsi="Book Antiqua" w:cs="宋体"/>
          <w:kern w:val="0"/>
          <w:sz w:val="24"/>
        </w:rPr>
        <w:t xml:space="preserve"> 2013; </w:t>
      </w:r>
      <w:r w:rsidRPr="001E5D32">
        <w:rPr>
          <w:rFonts w:ascii="Book Antiqua" w:hAnsi="Book Antiqua" w:cs="宋体"/>
          <w:b/>
          <w:bCs/>
          <w:kern w:val="0"/>
          <w:sz w:val="24"/>
        </w:rPr>
        <w:t>75</w:t>
      </w:r>
      <w:r w:rsidRPr="001E5D32">
        <w:rPr>
          <w:rFonts w:ascii="Book Antiqua" w:hAnsi="Book Antiqua" w:cs="宋体"/>
          <w:kern w:val="0"/>
          <w:sz w:val="24"/>
        </w:rPr>
        <w:t>: 144-151 [PMID: 24081230 DOI: 10.1159/000351719]</w:t>
      </w:r>
    </w:p>
    <w:p w14:paraId="23261683" w14:textId="0EE00B8F" w:rsidR="001E5D32" w:rsidRPr="001E5D32" w:rsidRDefault="001E5D32" w:rsidP="001E5D32">
      <w:pPr>
        <w:wordWrap w:val="0"/>
        <w:adjustRightInd w:val="0"/>
        <w:snapToGrid w:val="0"/>
        <w:spacing w:line="360" w:lineRule="auto"/>
        <w:ind w:right="239"/>
        <w:jc w:val="right"/>
        <w:rPr>
          <w:rFonts w:ascii="Book Antiqua" w:hAnsi="Book Antiqua"/>
          <w:b/>
          <w:bCs/>
          <w:sz w:val="24"/>
          <w:lang w:val="en-GB"/>
        </w:rPr>
      </w:pPr>
      <w:r w:rsidRPr="001E5D32">
        <w:rPr>
          <w:rStyle w:val="Strong"/>
          <w:rFonts w:ascii="Book Antiqua" w:hAnsi="Book Antiqua" w:cs="Arial"/>
          <w:noProof/>
          <w:sz w:val="24"/>
          <w:lang w:val="en-GB"/>
        </w:rPr>
        <w:t>P-Reviewer:</w:t>
      </w:r>
      <w:r w:rsidRPr="001E5D32">
        <w:rPr>
          <w:rFonts w:ascii="Book Antiqua" w:hAnsi="Book Antiqua" w:hint="eastAsia"/>
          <w:color w:val="000000"/>
          <w:sz w:val="24"/>
          <w:lang w:val="en-GB"/>
        </w:rPr>
        <w:t xml:space="preserve"> </w:t>
      </w:r>
      <w:r w:rsidRPr="001E5D32">
        <w:rPr>
          <w:rFonts w:ascii="Book Antiqua" w:hAnsi="Book Antiqua"/>
          <w:color w:val="000000"/>
          <w:sz w:val="24"/>
          <w:lang w:val="en-GB"/>
        </w:rPr>
        <w:t>Grassi</w:t>
      </w:r>
      <w:r>
        <w:rPr>
          <w:rFonts w:ascii="Book Antiqua" w:hAnsi="Book Antiqua" w:hint="eastAsia"/>
          <w:color w:val="000000"/>
          <w:sz w:val="24"/>
          <w:lang w:val="en-GB"/>
        </w:rPr>
        <w:t xml:space="preserve"> </w:t>
      </w:r>
      <w:r>
        <w:rPr>
          <w:rFonts w:ascii="Book Antiqua" w:hAnsi="Book Antiqua"/>
          <w:color w:val="000000"/>
          <w:sz w:val="24"/>
          <w:lang w:val="en-GB"/>
        </w:rPr>
        <w:t>A</w:t>
      </w:r>
      <w:r w:rsidRPr="001E5D32">
        <w:rPr>
          <w:rFonts w:ascii="Book Antiqua" w:hAnsi="Book Antiqua" w:hint="eastAsia"/>
          <w:color w:val="000000"/>
          <w:sz w:val="24"/>
          <w:lang w:val="en-GB"/>
        </w:rPr>
        <w:t xml:space="preserve">, </w:t>
      </w:r>
      <w:r w:rsidRPr="001E5D32">
        <w:rPr>
          <w:rFonts w:ascii="Book Antiqua" w:hAnsi="Book Antiqua"/>
          <w:color w:val="000000"/>
          <w:sz w:val="24"/>
          <w:lang w:val="en-GB"/>
        </w:rPr>
        <w:t>Morales-Gonzalez</w:t>
      </w:r>
      <w:r w:rsidRPr="001E5D32">
        <w:rPr>
          <w:rFonts w:ascii="Book Antiqua" w:hAnsi="Book Antiqua" w:hint="eastAsia"/>
          <w:bCs/>
          <w:sz w:val="24"/>
          <w:lang w:val="en-GB"/>
        </w:rPr>
        <w:t xml:space="preserve"> </w:t>
      </w:r>
      <w:r>
        <w:rPr>
          <w:rFonts w:ascii="Book Antiqua" w:hAnsi="Book Antiqua" w:hint="eastAsia"/>
          <w:bCs/>
          <w:sz w:val="24"/>
          <w:lang w:val="en-GB"/>
        </w:rPr>
        <w:t xml:space="preserve"> </w:t>
      </w:r>
      <w:r w:rsidRPr="001E5D32">
        <w:rPr>
          <w:rFonts w:ascii="Book Antiqua" w:hAnsi="Book Antiqua"/>
          <w:color w:val="000000"/>
          <w:sz w:val="24"/>
          <w:lang w:val="en-GB"/>
        </w:rPr>
        <w:t>JA</w:t>
      </w:r>
      <w:r w:rsidRPr="001E5D32">
        <w:rPr>
          <w:rFonts w:ascii="Book Antiqua" w:hAnsi="Book Antiqua"/>
          <w:b/>
          <w:bCs/>
          <w:sz w:val="24"/>
          <w:lang w:val="en-GB"/>
        </w:rPr>
        <w:t xml:space="preserve"> </w:t>
      </w:r>
      <w:r>
        <w:rPr>
          <w:rFonts w:ascii="Book Antiqua" w:hAnsi="Book Antiqua" w:hint="eastAsia"/>
          <w:b/>
          <w:bCs/>
          <w:sz w:val="24"/>
          <w:lang w:val="en-GB"/>
        </w:rPr>
        <w:t xml:space="preserve"> </w:t>
      </w:r>
      <w:r w:rsidRPr="001E5D32">
        <w:rPr>
          <w:rFonts w:ascii="Book Antiqua" w:hAnsi="Book Antiqua"/>
          <w:b/>
          <w:bCs/>
          <w:sz w:val="24"/>
          <w:lang w:val="en-GB"/>
        </w:rPr>
        <w:t>S-Editor:</w:t>
      </w:r>
      <w:r w:rsidRPr="001E5D32">
        <w:rPr>
          <w:rFonts w:ascii="Book Antiqua" w:hAnsi="Book Antiqua"/>
          <w:bCs/>
          <w:sz w:val="24"/>
          <w:lang w:val="en-GB"/>
        </w:rPr>
        <w:t xml:space="preserve"> Tian YL</w:t>
      </w:r>
    </w:p>
    <w:p w14:paraId="073A7370" w14:textId="77777777" w:rsidR="001E5D32" w:rsidRPr="001E5D32" w:rsidRDefault="001E5D32" w:rsidP="001E5D32">
      <w:pPr>
        <w:adjustRightInd w:val="0"/>
        <w:snapToGrid w:val="0"/>
        <w:spacing w:line="360" w:lineRule="auto"/>
        <w:ind w:right="239"/>
        <w:jc w:val="right"/>
        <w:rPr>
          <w:rFonts w:ascii="Book Antiqua" w:hAnsi="Book Antiqua"/>
          <w:bCs/>
          <w:sz w:val="24"/>
        </w:rPr>
      </w:pPr>
      <w:r w:rsidRPr="001E5D32">
        <w:rPr>
          <w:rFonts w:ascii="Book Antiqua" w:hAnsi="Book Antiqua"/>
          <w:b/>
          <w:bCs/>
          <w:sz w:val="24"/>
        </w:rPr>
        <w:t>L-Editor:   E-Editor:</w:t>
      </w:r>
    </w:p>
    <w:p w14:paraId="686B4CFA" w14:textId="77777777" w:rsidR="001E5D32" w:rsidRDefault="001E5D32" w:rsidP="001E5D32">
      <w:pPr>
        <w:spacing w:line="360" w:lineRule="auto"/>
        <w:rPr>
          <w:rFonts w:ascii="Book Antiqua" w:hAnsi="Book Antiqua"/>
        </w:rPr>
      </w:pPr>
    </w:p>
    <w:p w14:paraId="56A98DEE" w14:textId="0CBF234B" w:rsidR="002E4CB5" w:rsidRPr="001E5D32" w:rsidRDefault="002E4CB5" w:rsidP="001E5D32">
      <w:pPr>
        <w:widowControl/>
        <w:spacing w:line="360" w:lineRule="auto"/>
        <w:rPr>
          <w:rFonts w:ascii="Book Antiqua" w:hAnsi="Book Antiqua"/>
          <w:b/>
          <w:sz w:val="24"/>
        </w:rPr>
      </w:pPr>
      <w:r w:rsidRPr="001E5D32">
        <w:rPr>
          <w:rFonts w:ascii="Book Antiqua" w:hAnsi="Book Antiqua"/>
          <w:b/>
          <w:sz w:val="24"/>
        </w:rPr>
        <w:br w:type="page"/>
      </w:r>
    </w:p>
    <w:p w14:paraId="3AAE35EB" w14:textId="77777777" w:rsidR="005D7369" w:rsidRPr="001E5D32" w:rsidRDefault="005D7369" w:rsidP="001E5D32">
      <w:pPr>
        <w:spacing w:line="360" w:lineRule="auto"/>
        <w:rPr>
          <w:rFonts w:ascii="Book Antiqua" w:hAnsi="Book Antiqua"/>
          <w:b/>
          <w:sz w:val="24"/>
        </w:rPr>
      </w:pPr>
    </w:p>
    <w:p w14:paraId="5B1A93FE" w14:textId="25AC4C52" w:rsidR="002E4CB5" w:rsidRPr="001E5D32" w:rsidRDefault="00693572" w:rsidP="001E5D32">
      <w:pPr>
        <w:shd w:val="clear" w:color="auto" w:fill="FFFFFF" w:themeFill="background1"/>
        <w:spacing w:line="360" w:lineRule="auto"/>
        <w:rPr>
          <w:rFonts w:ascii="Book Antiqua" w:eastAsiaTheme="minorEastAsia" w:hAnsi="Book Antiqua"/>
          <w:b/>
          <w:sz w:val="24"/>
          <w:lang w:val="en-GB"/>
        </w:rPr>
      </w:pPr>
      <w:r w:rsidRPr="001E5D32">
        <w:rPr>
          <w:rFonts w:ascii="Book Antiqua" w:eastAsia="Times New Roman" w:hAnsi="Book Antiqua"/>
          <w:b/>
          <w:sz w:val="24"/>
          <w:lang w:val="en-GB"/>
        </w:rPr>
        <w:t>Table 1 Peripheral biomarkers used for the assessment of necro-inflammation and fibrotic injury in non</w:t>
      </w:r>
      <w:r w:rsidR="002E4CB5" w:rsidRPr="001E5D32">
        <w:rPr>
          <w:rFonts w:ascii="Book Antiqua" w:eastAsia="Times New Roman" w:hAnsi="Book Antiqua"/>
          <w:b/>
          <w:sz w:val="24"/>
          <w:lang w:val="en-GB"/>
        </w:rPr>
        <w:t xml:space="preserve">-alcoholic fatty liver disease </w:t>
      </w:r>
    </w:p>
    <w:tbl>
      <w:tblPr>
        <w:tblW w:w="9640" w:type="dxa"/>
        <w:tblInd w:w="-147"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CellMar>
          <w:top w:w="28" w:type="dxa"/>
          <w:bottom w:w="28" w:type="dxa"/>
        </w:tblCellMar>
        <w:tblLook w:val="04A0" w:firstRow="1" w:lastRow="0" w:firstColumn="1" w:lastColumn="0" w:noHBand="0" w:noVBand="1"/>
      </w:tblPr>
      <w:tblGrid>
        <w:gridCol w:w="1843"/>
        <w:gridCol w:w="1985"/>
        <w:gridCol w:w="1559"/>
        <w:gridCol w:w="992"/>
        <w:gridCol w:w="1418"/>
        <w:gridCol w:w="1843"/>
      </w:tblGrid>
      <w:tr w:rsidR="00693572" w:rsidRPr="001E5D32" w14:paraId="125FD286" w14:textId="77777777" w:rsidTr="00AE34AE">
        <w:trPr>
          <w:tblHeader/>
        </w:trPr>
        <w:tc>
          <w:tcPr>
            <w:tcW w:w="1843" w:type="dxa"/>
            <w:tcBorders>
              <w:bottom w:val="single" w:sz="4" w:space="0" w:color="7F7F7F" w:themeColor="text1" w:themeTint="80"/>
            </w:tcBorders>
            <w:shd w:val="clear" w:color="auto" w:fill="auto"/>
            <w:vAlign w:val="center"/>
          </w:tcPr>
          <w:p w14:paraId="2B5D8B1E"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Pathogenic mechanism</w:t>
            </w:r>
          </w:p>
        </w:tc>
        <w:tc>
          <w:tcPr>
            <w:tcW w:w="3544" w:type="dxa"/>
            <w:gridSpan w:val="2"/>
            <w:tcBorders>
              <w:bottom w:val="single" w:sz="4" w:space="0" w:color="7F7F7F" w:themeColor="text1" w:themeTint="80"/>
            </w:tcBorders>
            <w:shd w:val="clear" w:color="auto" w:fill="auto"/>
            <w:vAlign w:val="center"/>
          </w:tcPr>
          <w:p w14:paraId="3EAED018"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Biomarker</w:t>
            </w:r>
          </w:p>
        </w:tc>
        <w:tc>
          <w:tcPr>
            <w:tcW w:w="992" w:type="dxa"/>
            <w:tcBorders>
              <w:bottom w:val="single" w:sz="4" w:space="0" w:color="7F7F7F" w:themeColor="text1" w:themeTint="80"/>
            </w:tcBorders>
            <w:shd w:val="clear" w:color="auto" w:fill="auto"/>
            <w:vAlign w:val="center"/>
          </w:tcPr>
          <w:p w14:paraId="53720C86"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NASH</w:t>
            </w:r>
          </w:p>
        </w:tc>
        <w:tc>
          <w:tcPr>
            <w:tcW w:w="1418" w:type="dxa"/>
            <w:tcBorders>
              <w:bottom w:val="single" w:sz="4" w:space="0" w:color="7F7F7F" w:themeColor="text1" w:themeTint="80"/>
            </w:tcBorders>
            <w:shd w:val="clear" w:color="auto" w:fill="auto"/>
            <w:vAlign w:val="center"/>
          </w:tcPr>
          <w:p w14:paraId="5957486B"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Advanced</w:t>
            </w:r>
          </w:p>
          <w:p w14:paraId="0482259D"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fibrosis</w:t>
            </w:r>
          </w:p>
        </w:tc>
        <w:tc>
          <w:tcPr>
            <w:tcW w:w="1843" w:type="dxa"/>
            <w:tcBorders>
              <w:bottom w:val="single" w:sz="4" w:space="0" w:color="7F7F7F" w:themeColor="text1" w:themeTint="80"/>
            </w:tcBorders>
            <w:shd w:val="clear" w:color="auto" w:fill="auto"/>
            <w:vAlign w:val="center"/>
          </w:tcPr>
          <w:p w14:paraId="0FE9AB5D" w14:textId="4AFCE245" w:rsidR="00693572" w:rsidRPr="001E5D32" w:rsidRDefault="00693572" w:rsidP="001E5D32">
            <w:pPr>
              <w:spacing w:line="360" w:lineRule="auto"/>
              <w:rPr>
                <w:rFonts w:ascii="Book Antiqua" w:eastAsiaTheme="minorEastAsia" w:hAnsi="Book Antiqua"/>
                <w:b/>
                <w:sz w:val="24"/>
                <w:lang w:val="en-GB"/>
              </w:rPr>
            </w:pPr>
            <w:r w:rsidRPr="001E5D32">
              <w:rPr>
                <w:rFonts w:ascii="Book Antiqua" w:eastAsia="Times New Roman" w:hAnsi="Book Antiqua"/>
                <w:b/>
                <w:sz w:val="24"/>
                <w:lang w:val="en-GB"/>
              </w:rPr>
              <w:t>Ref</w:t>
            </w:r>
            <w:r w:rsidR="002E4CB5" w:rsidRPr="001E5D32">
              <w:rPr>
                <w:rFonts w:ascii="Book Antiqua" w:eastAsiaTheme="minorEastAsia" w:hAnsi="Book Antiqua" w:hint="eastAsia"/>
                <w:b/>
                <w:sz w:val="24"/>
                <w:lang w:val="en-GB"/>
              </w:rPr>
              <w:t>.</w:t>
            </w:r>
          </w:p>
        </w:tc>
      </w:tr>
      <w:tr w:rsidR="00693572" w:rsidRPr="001E5D32" w14:paraId="0BECE100" w14:textId="77777777" w:rsidTr="00AE34AE">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11C19F4"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Hepatocyte apoptosis</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E1C4CC1"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Apoptotic markers</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EB95AEA"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CK-18 ↑</w:t>
            </w:r>
          </w:p>
          <w:p w14:paraId="77E176F8"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sFas ↑</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F9DF3E1"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09A1D0A3"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FCDC526" w14:textId="77777777" w:rsidR="00693572" w:rsidRPr="001E5D32" w:rsidRDefault="00693572" w:rsidP="001E5D32">
            <w:pPr>
              <w:spacing w:line="360" w:lineRule="auto"/>
              <w:rPr>
                <w:rFonts w:ascii="Book Antiqua" w:eastAsia="Times New Roman" w:hAnsi="Book Antiqua"/>
                <w:sz w:val="24"/>
                <w:lang w:val="en-GB"/>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41104AB" w14:textId="03608A8F" w:rsidR="00693572" w:rsidRPr="001E5D32" w:rsidRDefault="002E4CB5"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El Bassat </w:t>
            </w:r>
            <w:r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[11]</w:t>
            </w:r>
          </w:p>
        </w:tc>
      </w:tr>
      <w:tr w:rsidR="00693572" w:rsidRPr="001E5D32" w14:paraId="2710A755" w14:textId="77777777" w:rsidTr="00AE34AE">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9807E6A"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Oxidative stress</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17E71EF"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Lipid peroxidation products</w:t>
            </w:r>
          </w:p>
          <w:p w14:paraId="1AE5DE54" w14:textId="77777777" w:rsidR="00693572" w:rsidRPr="001E5D32" w:rsidRDefault="00693572" w:rsidP="001E5D32">
            <w:pPr>
              <w:spacing w:line="360" w:lineRule="auto"/>
              <w:rPr>
                <w:rFonts w:ascii="Book Antiqua" w:eastAsia="Times New Roman" w:hAnsi="Book Antiqua"/>
                <w:sz w:val="24"/>
                <w:lang w:val="en-GB"/>
              </w:rPr>
            </w:pPr>
          </w:p>
          <w:p w14:paraId="7F8F03C5" w14:textId="77777777" w:rsidR="00693572" w:rsidRPr="001E5D32" w:rsidRDefault="00693572" w:rsidP="001E5D32">
            <w:pPr>
              <w:spacing w:line="360" w:lineRule="auto"/>
              <w:rPr>
                <w:rFonts w:ascii="Book Antiqua" w:eastAsia="Times New Roman" w:hAnsi="Book Antiqua"/>
                <w:sz w:val="24"/>
                <w:lang w:val="en-GB"/>
              </w:rPr>
            </w:pPr>
          </w:p>
          <w:p w14:paraId="2C9092CE"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Indicators of altered redox potential</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15CB497"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ox-LDL ↑</w:t>
            </w:r>
          </w:p>
          <w:p w14:paraId="1C88D0D6"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TBARS ↑</w:t>
            </w:r>
          </w:p>
          <w:p w14:paraId="47C05C43"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MDA ↑</w:t>
            </w:r>
          </w:p>
          <w:p w14:paraId="39A04ADC"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HNE ↑</w:t>
            </w:r>
          </w:p>
          <w:p w14:paraId="5564AF90" w14:textId="77777777" w:rsidR="00693572" w:rsidRPr="001E5D32" w:rsidRDefault="00693572" w:rsidP="001E5D32">
            <w:pPr>
              <w:spacing w:line="360" w:lineRule="auto"/>
              <w:rPr>
                <w:rFonts w:ascii="Book Antiqua" w:eastAsia="Times New Roman" w:hAnsi="Book Antiqua"/>
                <w:sz w:val="24"/>
                <w:lang w:val="en-GB"/>
              </w:rPr>
            </w:pPr>
          </w:p>
          <w:p w14:paraId="12B018C2"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GSH ↑</w:t>
            </w:r>
          </w:p>
          <w:p w14:paraId="08B27E1B"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SOD ↓</w:t>
            </w:r>
          </w:p>
          <w:p w14:paraId="429C8B0E"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TRX ↑</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A8F693D"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3AC4F1C6"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307BFDA4"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1FBE45B6"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61851562" w14:textId="77777777" w:rsidR="00693572" w:rsidRPr="001E5D32" w:rsidRDefault="00693572" w:rsidP="001E5D32">
            <w:pPr>
              <w:spacing w:line="360" w:lineRule="auto"/>
              <w:rPr>
                <w:rFonts w:ascii="Book Antiqua" w:eastAsia="Times New Roman" w:hAnsi="Book Antiqua"/>
                <w:sz w:val="24"/>
                <w:lang w:val="en-GB"/>
              </w:rPr>
            </w:pPr>
          </w:p>
          <w:p w14:paraId="49922844"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071FA67A"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64424DC4"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EAE41ED" w14:textId="77777777" w:rsidR="00693572" w:rsidRPr="001E5D32" w:rsidRDefault="00693572" w:rsidP="001E5D32">
            <w:pPr>
              <w:spacing w:line="360" w:lineRule="auto"/>
              <w:rPr>
                <w:rFonts w:ascii="Book Antiqua" w:eastAsia="Times New Roman" w:hAnsi="Book Antiqua"/>
                <w:sz w:val="24"/>
                <w:lang w:val="en-GB"/>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E240640" w14:textId="14084F20" w:rsidR="00693572" w:rsidRPr="001E5D32" w:rsidRDefault="002E4CB5"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Kawanaka </w:t>
            </w:r>
            <w:r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[12]</w:t>
            </w:r>
            <w:r w:rsidR="00D641D3" w:rsidRPr="001E5D32">
              <w:rPr>
                <w:rFonts w:ascii="Book Antiqua" w:eastAsia="Times New Roman" w:hAnsi="Book Antiqua"/>
                <w:sz w:val="24"/>
                <w:lang w:val="en-GB"/>
              </w:rPr>
              <w:t xml:space="preserve">, Machado </w:t>
            </w:r>
            <w:r w:rsidR="00D641D3"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[13]</w:t>
            </w:r>
          </w:p>
        </w:tc>
      </w:tr>
      <w:tr w:rsidR="00693572" w:rsidRPr="001E5D32" w14:paraId="69B6A1B0" w14:textId="77777777" w:rsidTr="00AE34AE">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4F038CD"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Chronic inflammation</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EBFF0E8"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Acute phase reactants</w:t>
            </w:r>
          </w:p>
          <w:p w14:paraId="3489C55B" w14:textId="77777777" w:rsidR="00693572" w:rsidRPr="001E5D32" w:rsidRDefault="00693572" w:rsidP="001E5D32">
            <w:pPr>
              <w:spacing w:line="360" w:lineRule="auto"/>
              <w:rPr>
                <w:rFonts w:ascii="Book Antiqua" w:eastAsia="Times New Roman" w:hAnsi="Book Antiqua"/>
                <w:sz w:val="24"/>
                <w:lang w:val="en-GB"/>
              </w:rPr>
            </w:pPr>
          </w:p>
          <w:p w14:paraId="2464FC11" w14:textId="77777777" w:rsidR="00693572" w:rsidRPr="001E5D32" w:rsidRDefault="00693572" w:rsidP="001E5D32">
            <w:pPr>
              <w:spacing w:line="360" w:lineRule="auto"/>
              <w:rPr>
                <w:rFonts w:ascii="Book Antiqua" w:eastAsia="Times New Roman" w:hAnsi="Book Antiqua"/>
                <w:sz w:val="24"/>
                <w:lang w:val="en-GB"/>
              </w:rPr>
            </w:pPr>
          </w:p>
          <w:p w14:paraId="5126E101" w14:textId="77777777" w:rsidR="00693572" w:rsidRPr="001E5D32" w:rsidRDefault="00693572" w:rsidP="001E5D32">
            <w:pPr>
              <w:spacing w:line="360" w:lineRule="auto"/>
              <w:rPr>
                <w:rFonts w:ascii="Book Antiqua" w:eastAsia="Times New Roman" w:hAnsi="Book Antiqua"/>
                <w:sz w:val="24"/>
                <w:lang w:val="en-GB"/>
              </w:rPr>
            </w:pPr>
          </w:p>
          <w:p w14:paraId="5B92D27B"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Adipocytokines</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AA1A0D6"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CRP</w:t>
            </w:r>
          </w:p>
          <w:p w14:paraId="15A3F7A7"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Ferritin</w:t>
            </w:r>
          </w:p>
          <w:p w14:paraId="4E608733"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PTX3</w:t>
            </w:r>
          </w:p>
          <w:p w14:paraId="682F9EF2" w14:textId="77777777" w:rsidR="00693572" w:rsidRPr="001E5D32" w:rsidRDefault="00693572" w:rsidP="001E5D32">
            <w:pPr>
              <w:spacing w:line="360" w:lineRule="auto"/>
              <w:rPr>
                <w:rFonts w:ascii="Book Antiqua" w:eastAsia="Times New Roman" w:hAnsi="Book Antiqua"/>
                <w:sz w:val="24"/>
                <w:lang w:val="en-GB"/>
              </w:rPr>
            </w:pPr>
          </w:p>
          <w:p w14:paraId="05F18794"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leptin</w:t>
            </w:r>
          </w:p>
          <w:p w14:paraId="1DEAEE31"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adiponectin</w:t>
            </w:r>
          </w:p>
          <w:p w14:paraId="58C094D5"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TNF-α</w:t>
            </w:r>
          </w:p>
          <w:p w14:paraId="6F1A90B5"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IL-1β</w:t>
            </w:r>
          </w:p>
          <w:p w14:paraId="692E6E15"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IL-6</w:t>
            </w:r>
          </w:p>
          <w:p w14:paraId="3541FF0F"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TGF-α/β1</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FE2BDB6"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7894D218"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004CE0E7"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205CACE6" w14:textId="77777777" w:rsidR="00693572" w:rsidRPr="001E5D32" w:rsidRDefault="00693572" w:rsidP="001E5D32">
            <w:pPr>
              <w:spacing w:line="360" w:lineRule="auto"/>
              <w:rPr>
                <w:rFonts w:ascii="Book Antiqua" w:eastAsia="Times New Roman" w:hAnsi="Book Antiqua"/>
                <w:sz w:val="24"/>
                <w:lang w:val="en-GB"/>
              </w:rPr>
            </w:pPr>
          </w:p>
          <w:p w14:paraId="1E61C920"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286DA31F" w14:textId="77777777" w:rsidR="00693572" w:rsidRPr="001E5D32" w:rsidRDefault="00693572" w:rsidP="001E5D32">
            <w:pPr>
              <w:spacing w:line="360" w:lineRule="auto"/>
              <w:rPr>
                <w:rFonts w:ascii="Book Antiqua" w:eastAsia="Times New Roman" w:hAnsi="Book Antiqua"/>
                <w:sz w:val="24"/>
                <w:lang w:val="en-GB"/>
              </w:rPr>
            </w:pPr>
          </w:p>
          <w:p w14:paraId="1117B594"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559DB605"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1E5CD40E" w14:textId="77777777" w:rsidR="00693572" w:rsidRPr="001E5D32" w:rsidRDefault="00693572" w:rsidP="001E5D32">
            <w:pPr>
              <w:spacing w:line="360" w:lineRule="auto"/>
              <w:rPr>
                <w:rFonts w:ascii="Book Antiqua" w:eastAsia="Times New Roman" w:hAnsi="Book Antiqua"/>
                <w:sz w:val="24"/>
                <w:lang w:val="en-GB"/>
              </w:rPr>
            </w:pPr>
          </w:p>
          <w:p w14:paraId="6A3FE8B0"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0CE8C58" w14:textId="77777777" w:rsidR="00693572" w:rsidRPr="001E5D32" w:rsidRDefault="00693572" w:rsidP="001E5D32">
            <w:pPr>
              <w:spacing w:line="360" w:lineRule="auto"/>
              <w:rPr>
                <w:rFonts w:ascii="Book Antiqua" w:eastAsia="Times New Roman" w:hAnsi="Book Antiqua"/>
                <w:sz w:val="24"/>
                <w:lang w:val="en-GB"/>
              </w:rPr>
            </w:pPr>
          </w:p>
          <w:p w14:paraId="7EEACEBA" w14:textId="77777777" w:rsidR="00693572" w:rsidRPr="001E5D32" w:rsidRDefault="00693572" w:rsidP="001E5D32">
            <w:pPr>
              <w:spacing w:line="360" w:lineRule="auto"/>
              <w:rPr>
                <w:rFonts w:ascii="Book Antiqua" w:eastAsia="Times New Roman" w:hAnsi="Book Antiqua"/>
                <w:sz w:val="24"/>
                <w:lang w:val="en-GB"/>
              </w:rPr>
            </w:pPr>
          </w:p>
          <w:p w14:paraId="1109AFB5" w14:textId="77777777" w:rsidR="00693572" w:rsidRPr="001E5D32" w:rsidRDefault="00693572" w:rsidP="001E5D32">
            <w:pPr>
              <w:spacing w:line="360" w:lineRule="auto"/>
              <w:rPr>
                <w:rFonts w:ascii="Book Antiqua" w:eastAsia="Times New Roman" w:hAnsi="Book Antiqua"/>
                <w:sz w:val="24"/>
                <w:lang w:val="en-GB"/>
              </w:rPr>
            </w:pPr>
          </w:p>
          <w:p w14:paraId="3BA6693A" w14:textId="77777777" w:rsidR="00693572" w:rsidRPr="001E5D32" w:rsidRDefault="00693572" w:rsidP="001E5D32">
            <w:pPr>
              <w:spacing w:line="360" w:lineRule="auto"/>
              <w:rPr>
                <w:rFonts w:ascii="Book Antiqua" w:eastAsia="Times New Roman" w:hAnsi="Book Antiqua"/>
                <w:sz w:val="24"/>
                <w:lang w:val="en-GB"/>
              </w:rPr>
            </w:pPr>
          </w:p>
          <w:p w14:paraId="7A1FB1EE" w14:textId="77777777" w:rsidR="00693572" w:rsidRPr="001E5D32" w:rsidRDefault="00693572" w:rsidP="001E5D32">
            <w:pPr>
              <w:spacing w:line="360" w:lineRule="auto"/>
              <w:rPr>
                <w:rFonts w:ascii="Book Antiqua" w:eastAsia="Times New Roman" w:hAnsi="Book Antiqua"/>
                <w:sz w:val="24"/>
                <w:lang w:val="en-GB"/>
              </w:rPr>
            </w:pPr>
          </w:p>
          <w:p w14:paraId="2CF9EBD3"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0AD8DAF1" w14:textId="77777777" w:rsidR="00693572" w:rsidRPr="001E5D32" w:rsidRDefault="00693572" w:rsidP="001E5D32">
            <w:pPr>
              <w:spacing w:line="360" w:lineRule="auto"/>
              <w:rPr>
                <w:rFonts w:ascii="Book Antiqua" w:eastAsia="Times New Roman" w:hAnsi="Book Antiqua"/>
                <w:sz w:val="24"/>
                <w:lang w:val="en-GB"/>
              </w:rPr>
            </w:pPr>
          </w:p>
          <w:p w14:paraId="3C54087F" w14:textId="77777777" w:rsidR="00693572" w:rsidRPr="001E5D32" w:rsidRDefault="00693572" w:rsidP="001E5D32">
            <w:pPr>
              <w:spacing w:line="360" w:lineRule="auto"/>
              <w:rPr>
                <w:rFonts w:ascii="Book Antiqua" w:eastAsia="Times New Roman" w:hAnsi="Book Antiqua"/>
                <w:sz w:val="24"/>
                <w:lang w:val="en-GB"/>
              </w:rPr>
            </w:pPr>
          </w:p>
          <w:p w14:paraId="7ED6CBC5"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1544A64" w14:textId="58C00EFD" w:rsidR="00693572" w:rsidRPr="001E5D32" w:rsidRDefault="00D641D3"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Jarrar </w:t>
            </w:r>
            <w:r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[14]</w:t>
            </w:r>
            <w:r w:rsidRPr="001E5D32">
              <w:rPr>
                <w:rFonts w:ascii="Book Antiqua" w:eastAsia="Times New Roman" w:hAnsi="Book Antiqua"/>
                <w:sz w:val="24"/>
                <w:lang w:val="en-GB"/>
              </w:rPr>
              <w:t>, Braunersreuther</w:t>
            </w:r>
            <w:r w:rsidRPr="001E5D32">
              <w:rPr>
                <w:rFonts w:ascii="Book Antiqua" w:eastAsia="Times New Roman" w:hAnsi="Book Antiqua"/>
                <w:i/>
                <w:sz w:val="24"/>
                <w:lang w:val="en-GB"/>
              </w:rPr>
              <w:t xml:space="preserve"> et al</w:t>
            </w:r>
            <w:r w:rsidR="00693572" w:rsidRPr="001E5D32">
              <w:rPr>
                <w:rFonts w:ascii="Book Antiqua" w:eastAsia="Times New Roman" w:hAnsi="Book Antiqua"/>
                <w:sz w:val="24"/>
                <w:vertAlign w:val="superscript"/>
                <w:lang w:val="en-GB"/>
              </w:rPr>
              <w:t>[15]</w:t>
            </w:r>
          </w:p>
        </w:tc>
      </w:tr>
      <w:tr w:rsidR="00693572" w:rsidRPr="001E5D32" w14:paraId="3046ECAD" w14:textId="77777777" w:rsidTr="00AE34AE">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E65C218"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Increased hepatocellular turnover</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0D3CE70"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Extracellular matrix components</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8A36F9D"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HA</w:t>
            </w:r>
          </w:p>
          <w:p w14:paraId="50FD941B"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laminin</w:t>
            </w:r>
          </w:p>
          <w:p w14:paraId="2B27A0E2"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type IV collagen 7S</w:t>
            </w:r>
          </w:p>
          <w:p w14:paraId="2A53C61C"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PIIINP</w:t>
            </w:r>
          </w:p>
          <w:p w14:paraId="6AE3E900"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MMP-2/9</w:t>
            </w:r>
          </w:p>
          <w:p w14:paraId="446E941E"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TIMP-1</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1352B1F" w14:textId="77777777" w:rsidR="00693572" w:rsidRPr="001E5D32" w:rsidRDefault="00693572" w:rsidP="001E5D32">
            <w:pPr>
              <w:spacing w:line="360" w:lineRule="auto"/>
              <w:rPr>
                <w:rFonts w:ascii="Book Antiqua" w:eastAsia="Times New Roman" w:hAnsi="Book Antiqua"/>
                <w:sz w:val="24"/>
                <w:lang w:val="en-GB"/>
              </w:rPr>
            </w:pP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FC43780"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35921147"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3FAD9A39"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020256DA"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2ECA8A04"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2B1D845D"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p w14:paraId="266BA427"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X</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A8520C5" w14:textId="72FDC562"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B</w:t>
            </w:r>
            <w:r w:rsidR="00D641D3" w:rsidRPr="001E5D32">
              <w:rPr>
                <w:rFonts w:ascii="Book Antiqua" w:eastAsia="Times New Roman" w:hAnsi="Book Antiqua"/>
                <w:sz w:val="24"/>
                <w:lang w:val="en-GB"/>
              </w:rPr>
              <w:t xml:space="preserve">aranova </w:t>
            </w:r>
            <w:r w:rsidR="00D641D3" w:rsidRPr="001E5D32">
              <w:rPr>
                <w:rFonts w:ascii="Book Antiqua" w:eastAsia="Times New Roman" w:hAnsi="Book Antiqua"/>
                <w:i/>
                <w:sz w:val="24"/>
                <w:lang w:val="en-GB"/>
              </w:rPr>
              <w:t>et al</w:t>
            </w:r>
            <w:r w:rsidRPr="001E5D32">
              <w:rPr>
                <w:rFonts w:ascii="Book Antiqua" w:eastAsia="Times New Roman" w:hAnsi="Book Antiqua"/>
                <w:sz w:val="24"/>
                <w:vertAlign w:val="superscript"/>
                <w:lang w:val="en-GB"/>
              </w:rPr>
              <w:t>[16]</w:t>
            </w:r>
          </w:p>
        </w:tc>
      </w:tr>
    </w:tbl>
    <w:p w14:paraId="2BF26AC9" w14:textId="0E249378" w:rsidR="00693572" w:rsidRPr="001E5D32" w:rsidRDefault="00693572" w:rsidP="001E5D32">
      <w:pPr>
        <w:shd w:val="clear" w:color="auto" w:fill="FFFFFF" w:themeFill="background1"/>
        <w:spacing w:line="360" w:lineRule="auto"/>
        <w:rPr>
          <w:rFonts w:ascii="Book Antiqua" w:hAnsi="Book Antiqua"/>
          <w:sz w:val="24"/>
        </w:rPr>
      </w:pPr>
      <w:r w:rsidRPr="001E5D32">
        <w:rPr>
          <w:rFonts w:ascii="Book Antiqua" w:hAnsi="Book Antiqua"/>
          <w:sz w:val="24"/>
        </w:rPr>
        <w:t xml:space="preserve">CK-18: </w:t>
      </w:r>
      <w:r w:rsidR="002E4CB5" w:rsidRPr="001E5D32">
        <w:rPr>
          <w:rFonts w:ascii="Book Antiqua" w:hAnsi="Book Antiqua"/>
          <w:sz w:val="24"/>
        </w:rPr>
        <w:t>Cytokeratin</w:t>
      </w:r>
      <w:r w:rsidRPr="001E5D32">
        <w:rPr>
          <w:rFonts w:ascii="Book Antiqua" w:hAnsi="Book Antiqua"/>
          <w:sz w:val="24"/>
        </w:rPr>
        <w:t xml:space="preserve">-18; sFAS: </w:t>
      </w:r>
      <w:r w:rsidR="002E4CB5" w:rsidRPr="001E5D32">
        <w:rPr>
          <w:rFonts w:ascii="Book Antiqua" w:hAnsi="Book Antiqua"/>
          <w:sz w:val="24"/>
        </w:rPr>
        <w:t xml:space="preserve">Soluble </w:t>
      </w:r>
      <w:r w:rsidRPr="001E5D32">
        <w:rPr>
          <w:rFonts w:ascii="Book Antiqua" w:hAnsi="Book Antiqua"/>
          <w:sz w:val="24"/>
        </w:rPr>
        <w:t xml:space="preserve">Fas; </w:t>
      </w:r>
      <w:r w:rsidR="002E4CB5" w:rsidRPr="001E5D32">
        <w:rPr>
          <w:rFonts w:ascii="Book Antiqua" w:hAnsi="Book Antiqua"/>
          <w:sz w:val="24"/>
        </w:rPr>
        <w:t>Ox</w:t>
      </w:r>
      <w:r w:rsidRPr="001E5D32">
        <w:rPr>
          <w:rFonts w:ascii="Book Antiqua" w:hAnsi="Book Antiqua"/>
          <w:sz w:val="24"/>
        </w:rPr>
        <w:t xml:space="preserve">-LDL: </w:t>
      </w:r>
      <w:r w:rsidR="002E4CB5" w:rsidRPr="001E5D32">
        <w:rPr>
          <w:rFonts w:ascii="Book Antiqua" w:hAnsi="Book Antiqua"/>
          <w:sz w:val="24"/>
        </w:rPr>
        <w:t xml:space="preserve">Oxidized </w:t>
      </w:r>
      <w:r w:rsidRPr="001E5D32">
        <w:rPr>
          <w:rFonts w:ascii="Book Antiqua" w:hAnsi="Book Antiqua"/>
          <w:sz w:val="24"/>
        </w:rPr>
        <w:t xml:space="preserve">low-density lipoprotein cholesterol; TBARS: </w:t>
      </w:r>
      <w:r w:rsidR="002E4CB5" w:rsidRPr="001E5D32">
        <w:rPr>
          <w:rFonts w:ascii="Book Antiqua" w:hAnsi="Book Antiqua"/>
          <w:sz w:val="24"/>
        </w:rPr>
        <w:t xml:space="preserve">Thiobarbituric </w:t>
      </w:r>
      <w:r w:rsidRPr="001E5D32">
        <w:rPr>
          <w:rFonts w:ascii="Book Antiqua" w:hAnsi="Book Antiqua"/>
          <w:sz w:val="24"/>
        </w:rPr>
        <w:t xml:space="preserve">acid reactive substances; MDA: </w:t>
      </w:r>
      <w:r w:rsidR="002E4CB5" w:rsidRPr="001E5D32">
        <w:rPr>
          <w:rFonts w:ascii="Book Antiqua" w:hAnsi="Book Antiqua"/>
          <w:sz w:val="24"/>
        </w:rPr>
        <w:t>Malondialdehyde</w:t>
      </w:r>
      <w:r w:rsidRPr="001E5D32">
        <w:rPr>
          <w:rFonts w:ascii="Book Antiqua" w:hAnsi="Book Antiqua"/>
          <w:sz w:val="24"/>
        </w:rPr>
        <w:t xml:space="preserve">; HNE: </w:t>
      </w:r>
      <w:r w:rsidR="002E4CB5" w:rsidRPr="001E5D32">
        <w:rPr>
          <w:rFonts w:ascii="Book Antiqua" w:hAnsi="Book Antiqua"/>
          <w:sz w:val="24"/>
        </w:rPr>
        <w:t>Hydroxynonenal</w:t>
      </w:r>
      <w:r w:rsidRPr="001E5D32">
        <w:rPr>
          <w:rFonts w:ascii="Book Antiqua" w:hAnsi="Book Antiqua"/>
          <w:sz w:val="24"/>
        </w:rPr>
        <w:t xml:space="preserve">; GSH: </w:t>
      </w:r>
      <w:r w:rsidR="002E4CB5" w:rsidRPr="001E5D32">
        <w:rPr>
          <w:rFonts w:ascii="Book Antiqua" w:hAnsi="Book Antiqua"/>
          <w:sz w:val="24"/>
        </w:rPr>
        <w:t xml:space="preserve">Reduced </w:t>
      </w:r>
      <w:r w:rsidRPr="001E5D32">
        <w:rPr>
          <w:rFonts w:ascii="Book Antiqua" w:hAnsi="Book Antiqua"/>
          <w:sz w:val="24"/>
        </w:rPr>
        <w:t xml:space="preserve">glutathione; SOD: </w:t>
      </w:r>
      <w:r w:rsidR="002E4CB5" w:rsidRPr="001E5D32">
        <w:rPr>
          <w:rFonts w:ascii="Book Antiqua" w:hAnsi="Book Antiqua"/>
          <w:sz w:val="24"/>
        </w:rPr>
        <w:t xml:space="preserve">Superoxide </w:t>
      </w:r>
      <w:r w:rsidRPr="001E5D32">
        <w:rPr>
          <w:rFonts w:ascii="Book Antiqua" w:hAnsi="Book Antiqua"/>
          <w:sz w:val="24"/>
        </w:rPr>
        <w:t xml:space="preserve">dismutase; TRX: </w:t>
      </w:r>
      <w:r w:rsidR="002E4CB5" w:rsidRPr="001E5D32">
        <w:rPr>
          <w:rFonts w:ascii="Book Antiqua" w:hAnsi="Book Antiqua"/>
          <w:sz w:val="24"/>
        </w:rPr>
        <w:t>Thioredoxin</w:t>
      </w:r>
      <w:r w:rsidRPr="001E5D32">
        <w:rPr>
          <w:rFonts w:ascii="Book Antiqua" w:hAnsi="Book Antiqua"/>
          <w:sz w:val="24"/>
        </w:rPr>
        <w:t xml:space="preserve">; CRP: C-reactive protein; PTX3: </w:t>
      </w:r>
      <w:r w:rsidR="002E4CB5" w:rsidRPr="001E5D32">
        <w:rPr>
          <w:rFonts w:ascii="Book Antiqua" w:hAnsi="Book Antiqua"/>
          <w:sz w:val="24"/>
        </w:rPr>
        <w:t xml:space="preserve">Pentraxin </w:t>
      </w:r>
      <w:r w:rsidRPr="001E5D32">
        <w:rPr>
          <w:rFonts w:ascii="Book Antiqua" w:hAnsi="Book Antiqua"/>
          <w:sz w:val="24"/>
        </w:rPr>
        <w:t>3</w:t>
      </w:r>
      <w:r w:rsidR="002E4CB5" w:rsidRPr="001E5D32">
        <w:rPr>
          <w:rFonts w:ascii="Book Antiqua" w:hAnsi="Book Antiqua" w:hint="eastAsia"/>
          <w:sz w:val="24"/>
        </w:rPr>
        <w:t>.</w:t>
      </w:r>
    </w:p>
    <w:p w14:paraId="4B3CA469" w14:textId="77777777" w:rsidR="002E4CB5" w:rsidRPr="001E5D32" w:rsidRDefault="002E4CB5" w:rsidP="001E5D32">
      <w:pPr>
        <w:widowControl/>
        <w:spacing w:line="360" w:lineRule="auto"/>
        <w:rPr>
          <w:rFonts w:ascii="Book Antiqua" w:hAnsi="Book Antiqua"/>
          <w:sz w:val="24"/>
        </w:rPr>
      </w:pPr>
      <w:r w:rsidRPr="001E5D32">
        <w:rPr>
          <w:rFonts w:ascii="Book Antiqua" w:hAnsi="Book Antiqua"/>
          <w:sz w:val="24"/>
        </w:rPr>
        <w:br w:type="page"/>
      </w:r>
    </w:p>
    <w:p w14:paraId="5012DA19" w14:textId="65526681" w:rsidR="009249DE" w:rsidRPr="001E5D32" w:rsidRDefault="00693572" w:rsidP="001E5D32">
      <w:pPr>
        <w:shd w:val="clear" w:color="auto" w:fill="FFFFFF" w:themeFill="background1"/>
        <w:spacing w:line="360" w:lineRule="auto"/>
        <w:rPr>
          <w:rFonts w:ascii="Book Antiqua" w:eastAsiaTheme="minorEastAsia" w:hAnsi="Book Antiqua"/>
          <w:b/>
          <w:sz w:val="24"/>
          <w:lang w:val="en-GB"/>
        </w:rPr>
      </w:pPr>
      <w:r w:rsidRPr="001E5D32">
        <w:rPr>
          <w:rFonts w:ascii="Book Antiqua" w:eastAsia="Times New Roman" w:hAnsi="Book Antiqua"/>
          <w:b/>
          <w:sz w:val="24"/>
          <w:lang w:val="en-GB"/>
        </w:rPr>
        <w:t>Table 2 Composite diagnostic models for</w:t>
      </w:r>
      <w:r w:rsidR="002E4CB5" w:rsidRPr="001E5D32">
        <w:rPr>
          <w:rFonts w:ascii="Book Antiqua" w:eastAsia="Times New Roman" w:hAnsi="Book Antiqua"/>
          <w:b/>
          <w:sz w:val="24"/>
          <w:lang w:val="en-GB"/>
        </w:rPr>
        <w:t xml:space="preserve"> non-alcoholic steatohepatitis </w:t>
      </w:r>
    </w:p>
    <w:tbl>
      <w:tblPr>
        <w:tblW w:w="9493"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CellMar>
          <w:top w:w="28" w:type="dxa"/>
          <w:bottom w:w="28" w:type="dxa"/>
        </w:tblCellMar>
        <w:tblLook w:val="04A0" w:firstRow="1" w:lastRow="0" w:firstColumn="1" w:lastColumn="0" w:noHBand="0" w:noVBand="1"/>
      </w:tblPr>
      <w:tblGrid>
        <w:gridCol w:w="1690"/>
        <w:gridCol w:w="2983"/>
        <w:gridCol w:w="1669"/>
        <w:gridCol w:w="1274"/>
        <w:gridCol w:w="1877"/>
      </w:tblGrid>
      <w:tr w:rsidR="00693572" w:rsidRPr="001E5D32" w14:paraId="509AC63A" w14:textId="77777777" w:rsidTr="00AE34AE">
        <w:trPr>
          <w:tblHeader/>
        </w:trPr>
        <w:tc>
          <w:tcPr>
            <w:tcW w:w="1690" w:type="dxa"/>
            <w:tcBorders>
              <w:bottom w:val="single" w:sz="4" w:space="0" w:color="404040" w:themeColor="text1" w:themeTint="BF"/>
            </w:tcBorders>
            <w:shd w:val="clear" w:color="auto" w:fill="auto"/>
            <w:vAlign w:val="center"/>
          </w:tcPr>
          <w:p w14:paraId="4745712A"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Biomarker panel</w:t>
            </w:r>
          </w:p>
        </w:tc>
        <w:tc>
          <w:tcPr>
            <w:tcW w:w="2983" w:type="dxa"/>
            <w:tcBorders>
              <w:bottom w:val="single" w:sz="4" w:space="0" w:color="404040" w:themeColor="text1" w:themeTint="BF"/>
            </w:tcBorders>
            <w:shd w:val="clear" w:color="auto" w:fill="auto"/>
            <w:vAlign w:val="center"/>
          </w:tcPr>
          <w:p w14:paraId="4E1333BF"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Components</w:t>
            </w:r>
          </w:p>
        </w:tc>
        <w:tc>
          <w:tcPr>
            <w:tcW w:w="1669" w:type="dxa"/>
            <w:tcBorders>
              <w:bottom w:val="single" w:sz="4" w:space="0" w:color="404040" w:themeColor="text1" w:themeTint="BF"/>
            </w:tcBorders>
            <w:shd w:val="clear" w:color="auto" w:fill="auto"/>
            <w:vAlign w:val="center"/>
          </w:tcPr>
          <w:p w14:paraId="51B4F7E8"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Formula</w:t>
            </w:r>
          </w:p>
        </w:tc>
        <w:tc>
          <w:tcPr>
            <w:tcW w:w="1274" w:type="dxa"/>
            <w:tcBorders>
              <w:bottom w:val="single" w:sz="4" w:space="0" w:color="404040" w:themeColor="text1" w:themeTint="BF"/>
            </w:tcBorders>
            <w:shd w:val="clear" w:color="auto" w:fill="auto"/>
            <w:vAlign w:val="center"/>
          </w:tcPr>
          <w:p w14:paraId="26977119"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AUC</w:t>
            </w:r>
          </w:p>
        </w:tc>
        <w:tc>
          <w:tcPr>
            <w:tcW w:w="1877" w:type="dxa"/>
            <w:tcBorders>
              <w:bottom w:val="single" w:sz="4" w:space="0" w:color="404040" w:themeColor="text1" w:themeTint="BF"/>
            </w:tcBorders>
            <w:shd w:val="clear" w:color="auto" w:fill="auto"/>
            <w:vAlign w:val="center"/>
          </w:tcPr>
          <w:p w14:paraId="1ADAA28D" w14:textId="42F4C900" w:rsidR="00693572" w:rsidRPr="001E5D32" w:rsidRDefault="00693572" w:rsidP="001E5D32">
            <w:pPr>
              <w:spacing w:line="360" w:lineRule="auto"/>
              <w:rPr>
                <w:rFonts w:ascii="Book Antiqua" w:eastAsiaTheme="minorEastAsia" w:hAnsi="Book Antiqua"/>
                <w:b/>
                <w:sz w:val="24"/>
                <w:lang w:val="en-GB"/>
              </w:rPr>
            </w:pPr>
            <w:r w:rsidRPr="001E5D32">
              <w:rPr>
                <w:rFonts w:ascii="Book Antiqua" w:eastAsia="Times New Roman" w:hAnsi="Book Antiqua"/>
                <w:b/>
                <w:sz w:val="24"/>
                <w:lang w:val="en-GB"/>
              </w:rPr>
              <w:t>Ref</w:t>
            </w:r>
            <w:r w:rsidR="00FD6070" w:rsidRPr="001E5D32">
              <w:rPr>
                <w:rFonts w:ascii="Book Antiqua" w:eastAsiaTheme="minorEastAsia" w:hAnsi="Book Antiqua" w:hint="eastAsia"/>
                <w:b/>
                <w:sz w:val="24"/>
                <w:lang w:val="en-GB"/>
              </w:rPr>
              <w:t>.</w:t>
            </w:r>
          </w:p>
        </w:tc>
      </w:tr>
      <w:tr w:rsidR="00693572" w:rsidRPr="001E5D32" w14:paraId="50B63D2B" w14:textId="77777777" w:rsidTr="00AE34AE">
        <w:tc>
          <w:tcPr>
            <w:tcW w:w="1690" w:type="dxa"/>
            <w:tcBorders>
              <w:bottom w:val="single" w:sz="4" w:space="0" w:color="7F7F7F" w:themeColor="text1" w:themeTint="80"/>
              <w:right w:val="single" w:sz="4" w:space="0" w:color="7F7F7F" w:themeColor="text1" w:themeTint="80"/>
            </w:tcBorders>
            <w:shd w:val="clear" w:color="auto" w:fill="FFFFFF" w:themeFill="background1"/>
          </w:tcPr>
          <w:p w14:paraId="5CB37217"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HAIR score</w:t>
            </w:r>
          </w:p>
        </w:tc>
        <w:tc>
          <w:tcPr>
            <w:tcW w:w="2983"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B2CC015"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Hypertension</w:t>
            </w:r>
          </w:p>
          <w:p w14:paraId="2ED1DCC4" w14:textId="1ACC1DA8"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Elevated ALT (&gt;</w:t>
            </w:r>
            <w:r w:rsidR="002E4CB5" w:rsidRPr="001E5D32">
              <w:rPr>
                <w:rFonts w:ascii="Book Antiqua" w:eastAsiaTheme="minorEastAsia" w:hAnsi="Book Antiqua" w:hint="eastAsia"/>
                <w:sz w:val="24"/>
                <w:lang w:val="en-GB"/>
              </w:rPr>
              <w:t xml:space="preserve"> </w:t>
            </w:r>
            <w:r w:rsidRPr="001E5D32">
              <w:rPr>
                <w:rFonts w:ascii="Book Antiqua" w:eastAsia="Times New Roman" w:hAnsi="Book Antiqua"/>
                <w:sz w:val="24"/>
                <w:lang w:val="en-GB"/>
              </w:rPr>
              <w:t>40IU/L)</w:t>
            </w:r>
          </w:p>
          <w:p w14:paraId="440F1DD9" w14:textId="239A6F81"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Insulin Resistance (index&gt;</w:t>
            </w:r>
            <w:r w:rsidR="002E4CB5" w:rsidRPr="001E5D32">
              <w:rPr>
                <w:rFonts w:ascii="Book Antiqua" w:eastAsiaTheme="minorEastAsia" w:hAnsi="Book Antiqua" w:hint="eastAsia"/>
                <w:sz w:val="24"/>
                <w:lang w:val="en-GB"/>
              </w:rPr>
              <w:t xml:space="preserve"> </w:t>
            </w:r>
            <w:r w:rsidRPr="001E5D32">
              <w:rPr>
                <w:rFonts w:ascii="Book Antiqua" w:eastAsia="Times New Roman" w:hAnsi="Book Antiqua"/>
                <w:sz w:val="24"/>
                <w:lang w:val="en-GB"/>
              </w:rPr>
              <w:t>5)</w:t>
            </w:r>
          </w:p>
        </w:tc>
        <w:tc>
          <w:tcPr>
            <w:tcW w:w="1669"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2F8F516"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Weighted sum (0-4)</w:t>
            </w:r>
          </w:p>
          <w:p w14:paraId="73DF0C01" w14:textId="77777777" w:rsidR="00693572" w:rsidRPr="001E5D32" w:rsidRDefault="00693572" w:rsidP="001E5D32">
            <w:pPr>
              <w:spacing w:line="360" w:lineRule="auto"/>
              <w:rPr>
                <w:rFonts w:ascii="Book Antiqua" w:eastAsia="Times New Roman" w:hAnsi="Book Antiqua"/>
                <w:sz w:val="24"/>
                <w:lang w:val="en-GB"/>
              </w:rPr>
            </w:pPr>
          </w:p>
        </w:tc>
        <w:tc>
          <w:tcPr>
            <w:tcW w:w="1274"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EDC7959"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0.90</w:t>
            </w:r>
          </w:p>
        </w:tc>
        <w:tc>
          <w:tcPr>
            <w:tcW w:w="1877" w:type="dxa"/>
            <w:tcBorders>
              <w:left w:val="single" w:sz="4" w:space="0" w:color="7F7F7F" w:themeColor="text1" w:themeTint="80"/>
              <w:bottom w:val="single" w:sz="4" w:space="0" w:color="7F7F7F" w:themeColor="text1" w:themeTint="80"/>
            </w:tcBorders>
            <w:shd w:val="clear" w:color="auto" w:fill="FFFFFF" w:themeFill="background1"/>
          </w:tcPr>
          <w:p w14:paraId="7B283640" w14:textId="2D4D792B" w:rsidR="00693572" w:rsidRPr="001E5D32" w:rsidRDefault="002E4CB5"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Dixon </w:t>
            </w:r>
            <w:r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[52]</w:t>
            </w:r>
          </w:p>
        </w:tc>
      </w:tr>
      <w:tr w:rsidR="00693572" w:rsidRPr="001E5D32" w14:paraId="09F537B2" w14:textId="77777777" w:rsidTr="00AE34AE">
        <w:tc>
          <w:tcPr>
            <w:tcW w:w="169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A5587A3"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Gholam’s model</w:t>
            </w:r>
          </w:p>
        </w:tc>
        <w:tc>
          <w:tcPr>
            <w:tcW w:w="29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E41836F"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DM II</w:t>
            </w:r>
          </w:p>
          <w:p w14:paraId="725BFFAE"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AST level</w:t>
            </w:r>
          </w:p>
        </w:tc>
        <w:tc>
          <w:tcPr>
            <w:tcW w:w="16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E6CA58E"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Algorithm</w:t>
            </w:r>
          </w:p>
          <w:p w14:paraId="39180F6E" w14:textId="77777777" w:rsidR="00693572" w:rsidRPr="001E5D32" w:rsidRDefault="00693572" w:rsidP="001E5D32">
            <w:pPr>
              <w:spacing w:line="360" w:lineRule="auto"/>
              <w:rPr>
                <w:rFonts w:ascii="Book Antiqua" w:eastAsia="Times New Roman" w:hAnsi="Book Antiqua"/>
                <w:sz w:val="24"/>
                <w:lang w:val="en-GB"/>
              </w:rPr>
            </w:pPr>
          </w:p>
        </w:tc>
        <w:tc>
          <w:tcPr>
            <w:tcW w:w="12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B14B671"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0.90</w:t>
            </w:r>
          </w:p>
        </w:tc>
        <w:tc>
          <w:tcPr>
            <w:tcW w:w="187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14:paraId="14A7F1D5" w14:textId="11428A03" w:rsidR="00693572" w:rsidRPr="001E5D32" w:rsidRDefault="002E4CB5"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Gholam </w:t>
            </w:r>
            <w:r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[53]</w:t>
            </w:r>
          </w:p>
        </w:tc>
      </w:tr>
      <w:tr w:rsidR="00693572" w:rsidRPr="001E5D32" w14:paraId="46E1C3B4" w14:textId="77777777" w:rsidTr="00AE34AE">
        <w:tc>
          <w:tcPr>
            <w:tcW w:w="169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F666DCD"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NASH clinical scoring system for morbid obesity</w:t>
            </w:r>
          </w:p>
        </w:tc>
        <w:tc>
          <w:tcPr>
            <w:tcW w:w="29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78F058C"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Hypertension </w:t>
            </w:r>
          </w:p>
          <w:p w14:paraId="04D4AEEB"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DM II</w:t>
            </w:r>
          </w:p>
          <w:p w14:paraId="6E4725CA" w14:textId="055DED3A"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Elevated AST (&gt;</w:t>
            </w:r>
            <w:r w:rsidR="002E4CB5" w:rsidRPr="001E5D32">
              <w:rPr>
                <w:rFonts w:ascii="Book Antiqua" w:eastAsiaTheme="minorEastAsia" w:hAnsi="Book Antiqua" w:hint="eastAsia"/>
                <w:sz w:val="24"/>
                <w:lang w:val="en-GB"/>
              </w:rPr>
              <w:t xml:space="preserve"> </w:t>
            </w:r>
            <w:r w:rsidRPr="001E5D32">
              <w:rPr>
                <w:rFonts w:ascii="Book Antiqua" w:eastAsia="Times New Roman" w:hAnsi="Book Antiqua"/>
                <w:sz w:val="24"/>
                <w:lang w:val="en-GB"/>
              </w:rPr>
              <w:t>27</w:t>
            </w:r>
            <w:r w:rsidR="002E4CB5" w:rsidRPr="001E5D32">
              <w:rPr>
                <w:rFonts w:ascii="Book Antiqua" w:eastAsiaTheme="minorEastAsia" w:hAnsi="Book Antiqua" w:hint="eastAsia"/>
                <w:sz w:val="24"/>
                <w:lang w:val="en-GB"/>
              </w:rPr>
              <w:t xml:space="preserve"> </w:t>
            </w:r>
            <w:r w:rsidRPr="001E5D32">
              <w:rPr>
                <w:rFonts w:ascii="Book Antiqua" w:eastAsia="Times New Roman" w:hAnsi="Book Antiqua"/>
                <w:sz w:val="24"/>
                <w:lang w:val="en-GB"/>
              </w:rPr>
              <w:t>IU/L)</w:t>
            </w:r>
          </w:p>
          <w:p w14:paraId="3A81ADF8" w14:textId="409DEB70"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Elevated ALT (&gt;</w:t>
            </w:r>
            <w:r w:rsidR="002E4CB5" w:rsidRPr="001E5D32">
              <w:rPr>
                <w:rFonts w:ascii="Book Antiqua" w:eastAsiaTheme="minorEastAsia" w:hAnsi="Book Antiqua" w:hint="eastAsia"/>
                <w:sz w:val="24"/>
                <w:lang w:val="en-GB"/>
              </w:rPr>
              <w:t xml:space="preserve"> </w:t>
            </w:r>
            <w:r w:rsidRPr="001E5D32">
              <w:rPr>
                <w:rFonts w:ascii="Book Antiqua" w:eastAsia="Times New Roman" w:hAnsi="Book Antiqua"/>
                <w:sz w:val="24"/>
                <w:lang w:val="en-GB"/>
              </w:rPr>
              <w:t>27</w:t>
            </w:r>
            <w:r w:rsidR="002E4CB5" w:rsidRPr="001E5D32">
              <w:rPr>
                <w:rFonts w:ascii="Book Antiqua" w:eastAsiaTheme="minorEastAsia" w:hAnsi="Book Antiqua" w:hint="eastAsia"/>
                <w:sz w:val="24"/>
                <w:lang w:val="en-GB"/>
              </w:rPr>
              <w:t xml:space="preserve"> </w:t>
            </w:r>
            <w:r w:rsidRPr="001E5D32">
              <w:rPr>
                <w:rFonts w:ascii="Book Antiqua" w:eastAsia="Times New Roman" w:hAnsi="Book Antiqua"/>
                <w:sz w:val="24"/>
                <w:lang w:val="en-GB"/>
              </w:rPr>
              <w:t>IU/L)</w:t>
            </w:r>
          </w:p>
          <w:p w14:paraId="1BFBD90A"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OSA</w:t>
            </w:r>
          </w:p>
          <w:p w14:paraId="27C21539"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non-black race</w:t>
            </w:r>
          </w:p>
        </w:tc>
        <w:tc>
          <w:tcPr>
            <w:tcW w:w="16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BB4F536"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Weighted sum (0-7)</w:t>
            </w:r>
          </w:p>
          <w:p w14:paraId="482FF9B9" w14:textId="77777777" w:rsidR="00693572" w:rsidRPr="001E5D32" w:rsidRDefault="00693572" w:rsidP="001E5D32">
            <w:pPr>
              <w:spacing w:line="360" w:lineRule="auto"/>
              <w:rPr>
                <w:rFonts w:ascii="Book Antiqua" w:eastAsia="Times New Roman" w:hAnsi="Book Antiqua"/>
                <w:sz w:val="24"/>
                <w:lang w:val="en-GB"/>
              </w:rPr>
            </w:pPr>
          </w:p>
        </w:tc>
        <w:tc>
          <w:tcPr>
            <w:tcW w:w="12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38C17A1"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Not reported</w:t>
            </w:r>
          </w:p>
        </w:tc>
        <w:tc>
          <w:tcPr>
            <w:tcW w:w="187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14:paraId="60736B21" w14:textId="5F5D567F" w:rsidR="00693572" w:rsidRPr="001E5D32" w:rsidRDefault="002E4CB5"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Campos </w:t>
            </w:r>
            <w:r w:rsidRPr="001E5D32">
              <w:rPr>
                <w:rFonts w:ascii="Book Antiqua" w:eastAsia="Times New Roman" w:hAnsi="Book Antiqua"/>
                <w:i/>
                <w:sz w:val="24"/>
                <w:lang w:val="en-GB"/>
              </w:rPr>
              <w:t>et a</w:t>
            </w:r>
            <w:r w:rsidRPr="001E5D32">
              <w:rPr>
                <w:rFonts w:ascii="Book Antiqua" w:eastAsiaTheme="minorEastAsia" w:hAnsi="Book Antiqua" w:hint="eastAsia"/>
                <w:i/>
                <w:sz w:val="24"/>
                <w:lang w:val="en-GB"/>
              </w:rPr>
              <w:t>l</w:t>
            </w:r>
            <w:r w:rsidR="00693572" w:rsidRPr="001E5D32">
              <w:rPr>
                <w:rFonts w:ascii="Book Antiqua" w:eastAsia="Times New Roman" w:hAnsi="Book Antiqua"/>
                <w:sz w:val="24"/>
                <w:vertAlign w:val="superscript"/>
                <w:lang w:val="en-GB"/>
              </w:rPr>
              <w:t>[54]</w:t>
            </w:r>
          </w:p>
        </w:tc>
      </w:tr>
      <w:tr w:rsidR="00693572" w:rsidRPr="001E5D32" w14:paraId="72E5CC06" w14:textId="77777777" w:rsidTr="00AE34AE">
        <w:tc>
          <w:tcPr>
            <w:tcW w:w="169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E1DADC0"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Ulitsky’s score</w:t>
            </w:r>
          </w:p>
        </w:tc>
        <w:tc>
          <w:tcPr>
            <w:tcW w:w="29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39F8507"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DM II</w:t>
            </w:r>
          </w:p>
          <w:p w14:paraId="09BF3510" w14:textId="0165CACD"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Elevated ALT(&gt;</w:t>
            </w:r>
            <w:r w:rsidR="002E4CB5" w:rsidRPr="001E5D32">
              <w:rPr>
                <w:rFonts w:ascii="Book Antiqua" w:eastAsiaTheme="minorEastAsia" w:hAnsi="Book Antiqua" w:hint="eastAsia"/>
                <w:sz w:val="24"/>
                <w:lang w:val="en-GB"/>
              </w:rPr>
              <w:t xml:space="preserve"> </w:t>
            </w:r>
            <w:r w:rsidRPr="001E5D32">
              <w:rPr>
                <w:rFonts w:ascii="Book Antiqua" w:eastAsia="Times New Roman" w:hAnsi="Book Antiqua"/>
                <w:sz w:val="24"/>
                <w:lang w:val="en-GB"/>
              </w:rPr>
              <w:t>40</w:t>
            </w:r>
            <w:r w:rsidR="002E4CB5" w:rsidRPr="001E5D32">
              <w:rPr>
                <w:rFonts w:ascii="Book Antiqua" w:eastAsiaTheme="minorEastAsia" w:hAnsi="Book Antiqua" w:hint="eastAsia"/>
                <w:sz w:val="24"/>
                <w:lang w:val="en-GB"/>
              </w:rPr>
              <w:t xml:space="preserve"> </w:t>
            </w:r>
            <w:r w:rsidRPr="001E5D32">
              <w:rPr>
                <w:rFonts w:ascii="Book Antiqua" w:eastAsia="Times New Roman" w:hAnsi="Book Antiqua"/>
                <w:sz w:val="24"/>
                <w:lang w:val="en-GB"/>
              </w:rPr>
              <w:t>IU/L)</w:t>
            </w:r>
          </w:p>
          <w:p w14:paraId="07636049" w14:textId="6153F009"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Elevated triglycerides (&gt;</w:t>
            </w:r>
            <w:r w:rsidR="002E4CB5" w:rsidRPr="001E5D32">
              <w:rPr>
                <w:rFonts w:ascii="Book Antiqua" w:eastAsiaTheme="minorEastAsia" w:hAnsi="Book Antiqua" w:hint="eastAsia"/>
                <w:sz w:val="24"/>
                <w:lang w:val="en-GB"/>
              </w:rPr>
              <w:t xml:space="preserve"> </w:t>
            </w:r>
            <w:r w:rsidRPr="001E5D32">
              <w:rPr>
                <w:rFonts w:ascii="Book Antiqua" w:eastAsia="Times New Roman" w:hAnsi="Book Antiqua"/>
                <w:sz w:val="24"/>
                <w:lang w:val="en-GB"/>
              </w:rPr>
              <w:t>150</w:t>
            </w:r>
            <w:r w:rsidR="002E4CB5" w:rsidRPr="001E5D32">
              <w:rPr>
                <w:rFonts w:ascii="Book Antiqua" w:eastAsiaTheme="minorEastAsia" w:hAnsi="Book Antiqua" w:hint="eastAsia"/>
                <w:sz w:val="24"/>
                <w:lang w:val="en-GB"/>
              </w:rPr>
              <w:t xml:space="preserve"> </w:t>
            </w:r>
            <w:r w:rsidRPr="001E5D32">
              <w:rPr>
                <w:rFonts w:ascii="Book Antiqua" w:eastAsia="Times New Roman" w:hAnsi="Book Antiqua"/>
                <w:sz w:val="24"/>
                <w:lang w:val="en-GB"/>
              </w:rPr>
              <w:t>mg/dL)</w:t>
            </w:r>
          </w:p>
          <w:p w14:paraId="0A719036"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OSA</w:t>
            </w:r>
          </w:p>
        </w:tc>
        <w:tc>
          <w:tcPr>
            <w:tcW w:w="16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1B62A3B"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Weighted sum (0-5)</w:t>
            </w:r>
          </w:p>
        </w:tc>
        <w:tc>
          <w:tcPr>
            <w:tcW w:w="12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47EDF45"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Not reported</w:t>
            </w:r>
          </w:p>
        </w:tc>
        <w:tc>
          <w:tcPr>
            <w:tcW w:w="187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14:paraId="124818A2" w14:textId="429F7874" w:rsidR="00693572" w:rsidRPr="001E5D32" w:rsidRDefault="00D641D3"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Ulitsky </w:t>
            </w:r>
            <w:r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[55]</w:t>
            </w:r>
          </w:p>
        </w:tc>
      </w:tr>
      <w:tr w:rsidR="00693572" w:rsidRPr="001E5D32" w14:paraId="62D8D67C" w14:textId="77777777" w:rsidTr="00AE34AE">
        <w:tc>
          <w:tcPr>
            <w:tcW w:w="1690" w:type="dxa"/>
            <w:tcBorders>
              <w:top w:val="single" w:sz="4" w:space="0" w:color="7F7F7F" w:themeColor="text1" w:themeTint="80"/>
              <w:right w:val="single" w:sz="4" w:space="0" w:color="7F7F7F" w:themeColor="text1" w:themeTint="80"/>
            </w:tcBorders>
            <w:shd w:val="clear" w:color="auto" w:fill="FFFFFF" w:themeFill="background1"/>
          </w:tcPr>
          <w:p w14:paraId="74D105D3"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NASH predictive index</w:t>
            </w:r>
          </w:p>
        </w:tc>
        <w:tc>
          <w:tcPr>
            <w:tcW w:w="2983"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hemeFill="background1"/>
          </w:tcPr>
          <w:p w14:paraId="11D97567"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Female sex</w:t>
            </w:r>
          </w:p>
          <w:p w14:paraId="5E79ACBC"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Body Mass Index</w:t>
            </w:r>
          </w:p>
          <w:p w14:paraId="7CE48A99"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HOMA-IR</w:t>
            </w:r>
          </w:p>
          <w:p w14:paraId="66A61BC5"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AST levels</w:t>
            </w:r>
          </w:p>
          <w:p w14:paraId="0D844F14"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ALT levels </w:t>
            </w:r>
          </w:p>
        </w:tc>
        <w:tc>
          <w:tcPr>
            <w:tcW w:w="1669"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hemeFill="background1"/>
          </w:tcPr>
          <w:p w14:paraId="27DA6512"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Algorithm</w:t>
            </w:r>
          </w:p>
        </w:tc>
        <w:tc>
          <w:tcPr>
            <w:tcW w:w="1274"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hemeFill="background1"/>
          </w:tcPr>
          <w:p w14:paraId="00641CDD"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0.780</w:t>
            </w:r>
          </w:p>
        </w:tc>
        <w:tc>
          <w:tcPr>
            <w:tcW w:w="1877" w:type="dxa"/>
            <w:tcBorders>
              <w:top w:val="single" w:sz="4" w:space="0" w:color="7F7F7F" w:themeColor="text1" w:themeTint="80"/>
              <w:left w:val="single" w:sz="4" w:space="0" w:color="7F7F7F" w:themeColor="text1" w:themeTint="80"/>
            </w:tcBorders>
            <w:shd w:val="clear" w:color="auto" w:fill="FFFFFF" w:themeFill="background1"/>
          </w:tcPr>
          <w:p w14:paraId="1BB3FC0A" w14:textId="0E9EF9E8" w:rsidR="00693572" w:rsidRPr="001E5D32" w:rsidRDefault="002E4CB5"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Zein</w:t>
            </w:r>
            <w:r w:rsidRPr="001E5D32">
              <w:rPr>
                <w:rFonts w:ascii="Book Antiqua" w:eastAsia="Times New Roman" w:hAnsi="Book Antiqua"/>
                <w:i/>
                <w:sz w:val="24"/>
                <w:lang w:val="en-GB"/>
              </w:rPr>
              <w:t xml:space="preserve"> et al</w:t>
            </w:r>
            <w:r w:rsidR="00693572" w:rsidRPr="001E5D32">
              <w:rPr>
                <w:rFonts w:ascii="Book Antiqua" w:eastAsia="Times New Roman" w:hAnsi="Book Antiqua"/>
                <w:sz w:val="24"/>
                <w:vertAlign w:val="superscript"/>
                <w:lang w:val="en-GB"/>
              </w:rPr>
              <w:t>[56]</w:t>
            </w:r>
          </w:p>
        </w:tc>
      </w:tr>
    </w:tbl>
    <w:p w14:paraId="33A94CE2" w14:textId="2764D99E" w:rsidR="00693572" w:rsidRPr="001E5D32" w:rsidRDefault="00693572" w:rsidP="001E5D32">
      <w:pPr>
        <w:shd w:val="clear" w:color="auto" w:fill="FFFFFF" w:themeFill="background1"/>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AUC: </w:t>
      </w:r>
      <w:r w:rsidR="002E4CB5" w:rsidRPr="001E5D32">
        <w:rPr>
          <w:rFonts w:ascii="Book Antiqua" w:eastAsia="Times New Roman" w:hAnsi="Book Antiqua"/>
          <w:sz w:val="24"/>
          <w:lang w:val="en-GB"/>
        </w:rPr>
        <w:t xml:space="preserve">Area </w:t>
      </w:r>
      <w:r w:rsidRPr="001E5D32">
        <w:rPr>
          <w:rFonts w:ascii="Book Antiqua" w:eastAsia="Times New Roman" w:hAnsi="Book Antiqua"/>
          <w:sz w:val="24"/>
          <w:lang w:val="en-GB"/>
        </w:rPr>
        <w:t xml:space="preserve">under curve; ALT: </w:t>
      </w:r>
      <w:r w:rsidR="002E4CB5" w:rsidRPr="001E5D32">
        <w:rPr>
          <w:rFonts w:ascii="Book Antiqua" w:eastAsia="Times New Roman" w:hAnsi="Book Antiqua"/>
          <w:sz w:val="24"/>
          <w:lang w:val="en-GB"/>
        </w:rPr>
        <w:t xml:space="preserve">Alanine </w:t>
      </w:r>
      <w:r w:rsidRPr="001E5D32">
        <w:rPr>
          <w:rFonts w:ascii="Book Antiqua" w:eastAsia="Times New Roman" w:hAnsi="Book Antiqua"/>
          <w:sz w:val="24"/>
          <w:lang w:val="en-GB"/>
        </w:rPr>
        <w:t xml:space="preserve">aminotransferase; DM II: </w:t>
      </w:r>
      <w:r w:rsidR="002E4CB5" w:rsidRPr="001E5D32">
        <w:rPr>
          <w:rFonts w:ascii="Book Antiqua" w:eastAsia="Times New Roman" w:hAnsi="Book Antiqua"/>
          <w:sz w:val="24"/>
          <w:lang w:val="en-GB"/>
        </w:rPr>
        <w:t xml:space="preserve">Diabetes </w:t>
      </w:r>
      <w:r w:rsidRPr="001E5D32">
        <w:rPr>
          <w:rFonts w:ascii="Book Antiqua" w:eastAsia="Times New Roman" w:hAnsi="Book Antiqua"/>
          <w:sz w:val="24"/>
          <w:lang w:val="en-GB"/>
        </w:rPr>
        <w:t xml:space="preserve">mellitus type II; AST: </w:t>
      </w:r>
      <w:r w:rsidR="002E4CB5" w:rsidRPr="001E5D32">
        <w:rPr>
          <w:rFonts w:ascii="Book Antiqua" w:eastAsia="Times New Roman" w:hAnsi="Book Antiqua"/>
          <w:sz w:val="24"/>
          <w:lang w:val="en-GB"/>
        </w:rPr>
        <w:t xml:space="preserve">Aspartate </w:t>
      </w:r>
      <w:r w:rsidRPr="001E5D32">
        <w:rPr>
          <w:rFonts w:ascii="Book Antiqua" w:eastAsia="Times New Roman" w:hAnsi="Book Antiqua"/>
          <w:sz w:val="24"/>
          <w:lang w:val="en-GB"/>
        </w:rPr>
        <w:t xml:space="preserve">aminotransferase; OSA: </w:t>
      </w:r>
      <w:r w:rsidR="002E4CB5" w:rsidRPr="001E5D32">
        <w:rPr>
          <w:rFonts w:ascii="Book Antiqua" w:eastAsia="Times New Roman" w:hAnsi="Book Antiqua"/>
          <w:sz w:val="24"/>
          <w:lang w:val="en-GB"/>
        </w:rPr>
        <w:t xml:space="preserve">Obstructive </w:t>
      </w:r>
      <w:r w:rsidRPr="001E5D32">
        <w:rPr>
          <w:rFonts w:ascii="Book Antiqua" w:eastAsia="Times New Roman" w:hAnsi="Book Antiqua"/>
          <w:sz w:val="24"/>
          <w:lang w:val="en-GB"/>
        </w:rPr>
        <w:t>sleep apnoea; HOMA-IR</w:t>
      </w:r>
      <w:r w:rsidRPr="001E5D32">
        <w:rPr>
          <w:rFonts w:ascii="Book Antiqua" w:hAnsi="Book Antiqua"/>
          <w:sz w:val="24"/>
        </w:rPr>
        <w:t xml:space="preserve">: </w:t>
      </w:r>
      <w:r w:rsidRPr="001E5D32">
        <w:rPr>
          <w:rFonts w:ascii="Book Antiqua" w:eastAsia="Times New Roman" w:hAnsi="Book Antiqua"/>
          <w:sz w:val="24"/>
          <w:lang w:val="en-GB"/>
        </w:rPr>
        <w:t>Homeostatic Measurement Assessment of Insulin Resistance.</w:t>
      </w:r>
    </w:p>
    <w:p w14:paraId="764B224F" w14:textId="77777777" w:rsidR="00FD6070" w:rsidRPr="001E5D32" w:rsidRDefault="00FD6070" w:rsidP="001E5D32">
      <w:pPr>
        <w:widowControl/>
        <w:spacing w:line="360" w:lineRule="auto"/>
        <w:rPr>
          <w:rFonts w:ascii="Book Antiqua" w:eastAsia="Times New Roman" w:hAnsi="Book Antiqua"/>
          <w:i/>
          <w:sz w:val="24"/>
          <w:lang w:val="en-GB"/>
        </w:rPr>
      </w:pPr>
      <w:r w:rsidRPr="001E5D32">
        <w:rPr>
          <w:rFonts w:ascii="Book Antiqua" w:eastAsia="Times New Roman" w:hAnsi="Book Antiqua"/>
          <w:i/>
          <w:sz w:val="24"/>
          <w:lang w:val="en-GB"/>
        </w:rPr>
        <w:br w:type="page"/>
      </w:r>
    </w:p>
    <w:p w14:paraId="563EB4A3" w14:textId="57703DED" w:rsidR="009249DE" w:rsidRPr="001E5D32" w:rsidRDefault="00693572" w:rsidP="001E5D32">
      <w:pPr>
        <w:shd w:val="clear" w:color="auto" w:fill="FFFFFF" w:themeFill="background1"/>
        <w:spacing w:line="360" w:lineRule="auto"/>
        <w:rPr>
          <w:rFonts w:ascii="Book Antiqua" w:eastAsiaTheme="minorEastAsia" w:hAnsi="Book Antiqua"/>
          <w:b/>
          <w:sz w:val="24"/>
          <w:lang w:val="en-GB"/>
        </w:rPr>
      </w:pPr>
      <w:r w:rsidRPr="001E5D32">
        <w:rPr>
          <w:rFonts w:ascii="Book Antiqua" w:eastAsia="Times New Roman" w:hAnsi="Book Antiqua"/>
          <w:b/>
          <w:sz w:val="24"/>
          <w:lang w:val="en-GB"/>
        </w:rPr>
        <w:t>Table 3 Composite predictive models for advanced hepatic fi</w:t>
      </w:r>
      <w:r w:rsidR="00FD6070" w:rsidRPr="001E5D32">
        <w:rPr>
          <w:rFonts w:ascii="Book Antiqua" w:eastAsia="Times New Roman" w:hAnsi="Book Antiqua"/>
          <w:b/>
          <w:sz w:val="24"/>
          <w:lang w:val="en-GB"/>
        </w:rPr>
        <w:t>brosis in chronic liver disease</w:t>
      </w:r>
    </w:p>
    <w:tbl>
      <w:tblPr>
        <w:tblW w:w="948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CellMar>
          <w:top w:w="28" w:type="dxa"/>
          <w:bottom w:w="28" w:type="dxa"/>
        </w:tblCellMar>
        <w:tblLook w:val="04A0" w:firstRow="1" w:lastRow="0" w:firstColumn="1" w:lastColumn="0" w:noHBand="0" w:noVBand="1"/>
      </w:tblPr>
      <w:tblGrid>
        <w:gridCol w:w="2117"/>
        <w:gridCol w:w="2229"/>
        <w:gridCol w:w="1556"/>
        <w:gridCol w:w="1743"/>
        <w:gridCol w:w="1843"/>
      </w:tblGrid>
      <w:tr w:rsidR="00693572" w:rsidRPr="001E5D32" w14:paraId="588C1820" w14:textId="77777777" w:rsidTr="00AE34AE">
        <w:trPr>
          <w:tblHeader/>
        </w:trPr>
        <w:tc>
          <w:tcPr>
            <w:tcW w:w="2117" w:type="dxa"/>
            <w:shd w:val="clear" w:color="auto" w:fill="auto"/>
            <w:vAlign w:val="center"/>
          </w:tcPr>
          <w:p w14:paraId="65F5ACEE"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Biomarker panel</w:t>
            </w:r>
          </w:p>
        </w:tc>
        <w:tc>
          <w:tcPr>
            <w:tcW w:w="2229" w:type="dxa"/>
            <w:tcBorders>
              <w:bottom w:val="single" w:sz="4" w:space="0" w:color="404040" w:themeColor="text1" w:themeTint="BF"/>
            </w:tcBorders>
            <w:shd w:val="clear" w:color="auto" w:fill="auto"/>
            <w:vAlign w:val="center"/>
          </w:tcPr>
          <w:p w14:paraId="1CF81A01"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Components</w:t>
            </w:r>
          </w:p>
        </w:tc>
        <w:tc>
          <w:tcPr>
            <w:tcW w:w="1556" w:type="dxa"/>
            <w:tcBorders>
              <w:bottom w:val="single" w:sz="4" w:space="0" w:color="404040" w:themeColor="text1" w:themeTint="BF"/>
            </w:tcBorders>
            <w:shd w:val="clear" w:color="auto" w:fill="auto"/>
            <w:vAlign w:val="center"/>
          </w:tcPr>
          <w:p w14:paraId="750A4F48"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Formula</w:t>
            </w:r>
          </w:p>
        </w:tc>
        <w:tc>
          <w:tcPr>
            <w:tcW w:w="1743" w:type="dxa"/>
            <w:tcBorders>
              <w:bottom w:val="single" w:sz="4" w:space="0" w:color="404040" w:themeColor="text1" w:themeTint="BF"/>
            </w:tcBorders>
            <w:shd w:val="clear" w:color="auto" w:fill="auto"/>
            <w:vAlign w:val="center"/>
          </w:tcPr>
          <w:p w14:paraId="279082D5"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Validated in adult NAFLD</w:t>
            </w:r>
          </w:p>
        </w:tc>
        <w:tc>
          <w:tcPr>
            <w:tcW w:w="1843" w:type="dxa"/>
            <w:tcBorders>
              <w:bottom w:val="single" w:sz="4" w:space="0" w:color="404040" w:themeColor="text1" w:themeTint="BF"/>
            </w:tcBorders>
            <w:shd w:val="clear" w:color="auto" w:fill="auto"/>
            <w:vAlign w:val="center"/>
          </w:tcPr>
          <w:p w14:paraId="6DF7DAA7" w14:textId="74F81FA7" w:rsidR="00693572" w:rsidRPr="001E5D32" w:rsidRDefault="00693572" w:rsidP="001E5D32">
            <w:pPr>
              <w:spacing w:line="360" w:lineRule="auto"/>
              <w:rPr>
                <w:rFonts w:ascii="Book Antiqua" w:eastAsiaTheme="minorEastAsia" w:hAnsi="Book Antiqua"/>
                <w:b/>
                <w:sz w:val="24"/>
                <w:lang w:val="en-GB"/>
              </w:rPr>
            </w:pPr>
            <w:r w:rsidRPr="001E5D32">
              <w:rPr>
                <w:rFonts w:ascii="Book Antiqua" w:eastAsia="Times New Roman" w:hAnsi="Book Antiqua"/>
                <w:b/>
                <w:sz w:val="24"/>
                <w:lang w:val="en-GB"/>
              </w:rPr>
              <w:t>Ref</w:t>
            </w:r>
            <w:r w:rsidR="00FD6070" w:rsidRPr="001E5D32">
              <w:rPr>
                <w:rFonts w:ascii="Book Antiqua" w:eastAsiaTheme="minorEastAsia" w:hAnsi="Book Antiqua" w:hint="eastAsia"/>
                <w:b/>
                <w:sz w:val="24"/>
                <w:lang w:val="en-GB"/>
              </w:rPr>
              <w:t>.</w:t>
            </w:r>
          </w:p>
        </w:tc>
      </w:tr>
      <w:tr w:rsidR="00693572" w:rsidRPr="001E5D32" w14:paraId="643BB23A" w14:textId="77777777" w:rsidTr="00AE34AE">
        <w:tc>
          <w:tcPr>
            <w:tcW w:w="2117" w:type="dxa"/>
            <w:shd w:val="clear" w:color="auto" w:fill="auto"/>
            <w:vAlign w:val="center"/>
          </w:tcPr>
          <w:p w14:paraId="11866D5A"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APRI index</w:t>
            </w:r>
          </w:p>
        </w:tc>
        <w:tc>
          <w:tcPr>
            <w:tcW w:w="2229" w:type="dxa"/>
            <w:tcBorders>
              <w:bottom w:val="single" w:sz="4" w:space="0" w:color="7F7F7F" w:themeColor="text1" w:themeTint="80"/>
              <w:right w:val="single" w:sz="4" w:space="0" w:color="7F7F7F" w:themeColor="text1" w:themeTint="80"/>
            </w:tcBorders>
            <w:shd w:val="clear" w:color="auto" w:fill="FFFFFF" w:themeFill="background1"/>
            <w:vAlign w:val="center"/>
          </w:tcPr>
          <w:p w14:paraId="6D1DD47C"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AST, platelet count</w:t>
            </w:r>
          </w:p>
        </w:tc>
        <w:tc>
          <w:tcPr>
            <w:tcW w:w="1556"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C6D7B21"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Ratio</w:t>
            </w:r>
          </w:p>
        </w:tc>
        <w:tc>
          <w:tcPr>
            <w:tcW w:w="1743"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F1971FB" w14:textId="52259D03" w:rsidR="00693572" w:rsidRPr="001E5D32" w:rsidRDefault="009249DE"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sym w:font="Wingdings" w:char="F0FC"/>
            </w:r>
          </w:p>
        </w:tc>
        <w:tc>
          <w:tcPr>
            <w:tcW w:w="1843" w:type="dxa"/>
            <w:tcBorders>
              <w:left w:val="single" w:sz="4" w:space="0" w:color="7F7F7F" w:themeColor="text1" w:themeTint="80"/>
              <w:bottom w:val="single" w:sz="4" w:space="0" w:color="7F7F7F" w:themeColor="text1" w:themeTint="80"/>
            </w:tcBorders>
            <w:shd w:val="clear" w:color="auto" w:fill="FFFFFF" w:themeFill="background1"/>
            <w:vAlign w:val="center"/>
          </w:tcPr>
          <w:p w14:paraId="0E36B7F4" w14:textId="6A168A75" w:rsidR="00693572" w:rsidRPr="001E5D32" w:rsidRDefault="00D641D3"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Kruger</w:t>
            </w:r>
            <w:r w:rsidRPr="001E5D32">
              <w:rPr>
                <w:rFonts w:ascii="Book Antiqua" w:eastAsia="Times New Roman" w:hAnsi="Book Antiqua"/>
                <w:i/>
                <w:sz w:val="24"/>
                <w:lang w:val="en-GB"/>
              </w:rPr>
              <w:t xml:space="preserve"> et al</w:t>
            </w:r>
            <w:r w:rsidR="00693572" w:rsidRPr="001E5D32">
              <w:rPr>
                <w:rFonts w:ascii="Book Antiqua" w:eastAsia="Times New Roman" w:hAnsi="Book Antiqua"/>
                <w:sz w:val="24"/>
                <w:vertAlign w:val="superscript"/>
                <w:lang w:val="en-GB"/>
              </w:rPr>
              <w:t>[96]</w:t>
            </w:r>
          </w:p>
        </w:tc>
      </w:tr>
      <w:tr w:rsidR="00693572" w:rsidRPr="001E5D32" w14:paraId="0195F79D" w14:textId="77777777" w:rsidTr="00AE34AE">
        <w:tc>
          <w:tcPr>
            <w:tcW w:w="2117" w:type="dxa"/>
            <w:shd w:val="clear" w:color="auto" w:fill="auto"/>
            <w:vAlign w:val="center"/>
          </w:tcPr>
          <w:p w14:paraId="613149D0"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BAAT score</w:t>
            </w:r>
          </w:p>
        </w:tc>
        <w:tc>
          <w:tcPr>
            <w:tcW w:w="222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AE99C3C"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Age, BMI, ALT, triglycerides</w:t>
            </w:r>
          </w:p>
        </w:tc>
        <w:tc>
          <w:tcPr>
            <w:tcW w:w="15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F1B8450"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Weighted sum</w:t>
            </w:r>
          </w:p>
        </w:tc>
        <w:tc>
          <w:tcPr>
            <w:tcW w:w="17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DAFB4B9" w14:textId="43C4C563" w:rsidR="00693572" w:rsidRPr="001E5D32" w:rsidRDefault="009249DE"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sym w:font="Wingdings" w:char="F0FC"/>
            </w:r>
          </w:p>
        </w:tc>
        <w:tc>
          <w:tcPr>
            <w:tcW w:w="1843"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68B4F7DE" w14:textId="287C9211" w:rsidR="00693572" w:rsidRPr="001E5D32" w:rsidRDefault="00D641D3"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Ratziu </w:t>
            </w:r>
            <w:r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[97]</w:t>
            </w:r>
          </w:p>
        </w:tc>
      </w:tr>
      <w:tr w:rsidR="00693572" w:rsidRPr="001E5D32" w14:paraId="73E622F8" w14:textId="77777777" w:rsidTr="00AE34AE">
        <w:tc>
          <w:tcPr>
            <w:tcW w:w="2117" w:type="dxa"/>
            <w:shd w:val="clear" w:color="auto" w:fill="auto"/>
            <w:vAlign w:val="center"/>
          </w:tcPr>
          <w:p w14:paraId="7148EE17"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BARD score</w:t>
            </w:r>
          </w:p>
        </w:tc>
        <w:tc>
          <w:tcPr>
            <w:tcW w:w="222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5E2E112"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BMI, AST, ALT, DM II</w:t>
            </w:r>
          </w:p>
        </w:tc>
        <w:tc>
          <w:tcPr>
            <w:tcW w:w="15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BE1202B"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Weighted sum</w:t>
            </w:r>
          </w:p>
        </w:tc>
        <w:tc>
          <w:tcPr>
            <w:tcW w:w="17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69BE70A" w14:textId="6ED5497E" w:rsidR="00693572" w:rsidRPr="001E5D32" w:rsidRDefault="009249DE"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sym w:font="Wingdings" w:char="F0FC"/>
            </w:r>
          </w:p>
        </w:tc>
        <w:tc>
          <w:tcPr>
            <w:tcW w:w="1843"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65FB472B" w14:textId="326FF2DF" w:rsidR="00693572" w:rsidRPr="001E5D32" w:rsidRDefault="00D641D3"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Harrison </w:t>
            </w:r>
            <w:r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[98]</w:t>
            </w:r>
          </w:p>
        </w:tc>
      </w:tr>
      <w:tr w:rsidR="00693572" w:rsidRPr="001E5D32" w14:paraId="74034AEE" w14:textId="77777777" w:rsidTr="00AE34AE">
        <w:tc>
          <w:tcPr>
            <w:tcW w:w="2117" w:type="dxa"/>
            <w:shd w:val="clear" w:color="auto" w:fill="auto"/>
            <w:vAlign w:val="center"/>
          </w:tcPr>
          <w:p w14:paraId="5ED888F1"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 xml:space="preserve">Cirrhosis discrimination score </w:t>
            </w:r>
          </w:p>
        </w:tc>
        <w:tc>
          <w:tcPr>
            <w:tcW w:w="222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40A6157"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AST, ALT, platelet count, INR</w:t>
            </w:r>
          </w:p>
        </w:tc>
        <w:tc>
          <w:tcPr>
            <w:tcW w:w="15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D450DA4"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Weighted sum</w:t>
            </w:r>
          </w:p>
        </w:tc>
        <w:tc>
          <w:tcPr>
            <w:tcW w:w="17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D29078C" w14:textId="07716183" w:rsidR="00693572" w:rsidRPr="001E5D32" w:rsidRDefault="009249DE"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sym w:font="Wingdings" w:char="F0FB"/>
            </w:r>
          </w:p>
        </w:tc>
        <w:tc>
          <w:tcPr>
            <w:tcW w:w="1843"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1A135DD4" w14:textId="0C40E2F7" w:rsidR="00693572" w:rsidRPr="001E5D32" w:rsidRDefault="00FD6070"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Bonacini </w:t>
            </w:r>
            <w:r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[99]</w:t>
            </w:r>
          </w:p>
        </w:tc>
      </w:tr>
      <w:tr w:rsidR="00693572" w:rsidRPr="001E5D32" w14:paraId="049434CC" w14:textId="77777777" w:rsidTr="00AE34AE">
        <w:tc>
          <w:tcPr>
            <w:tcW w:w="2117" w:type="dxa"/>
            <w:shd w:val="clear" w:color="auto" w:fill="auto"/>
            <w:vAlign w:val="center"/>
          </w:tcPr>
          <w:p w14:paraId="3D5E8027"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FIB-4 index</w:t>
            </w:r>
          </w:p>
        </w:tc>
        <w:tc>
          <w:tcPr>
            <w:tcW w:w="222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D671D06"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Age, AST, ALT, platelet count</w:t>
            </w:r>
          </w:p>
        </w:tc>
        <w:tc>
          <w:tcPr>
            <w:tcW w:w="15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7D16C9D"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Algorithm</w:t>
            </w:r>
          </w:p>
        </w:tc>
        <w:tc>
          <w:tcPr>
            <w:tcW w:w="17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8407936" w14:textId="10450B07" w:rsidR="00693572" w:rsidRPr="001E5D32" w:rsidRDefault="009249DE"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sym w:font="Wingdings" w:char="F0FC"/>
            </w:r>
          </w:p>
        </w:tc>
        <w:tc>
          <w:tcPr>
            <w:tcW w:w="1843"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4C76CC9B" w14:textId="48766725" w:rsidR="00693572" w:rsidRPr="001E5D32" w:rsidRDefault="00FD6070"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Shah </w:t>
            </w:r>
            <w:r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[100]</w:t>
            </w:r>
          </w:p>
        </w:tc>
      </w:tr>
      <w:tr w:rsidR="00693572" w:rsidRPr="001E5D32" w14:paraId="20320568" w14:textId="77777777" w:rsidTr="00AE34AE">
        <w:tc>
          <w:tcPr>
            <w:tcW w:w="2117" w:type="dxa"/>
            <w:shd w:val="clear" w:color="auto" w:fill="auto"/>
            <w:vAlign w:val="center"/>
          </w:tcPr>
          <w:p w14:paraId="44BA2B75"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 xml:space="preserve">Fibrosis probability index </w:t>
            </w:r>
          </w:p>
        </w:tc>
        <w:tc>
          <w:tcPr>
            <w:tcW w:w="222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5220DEF"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Age, AST, previous alcohol use, HOMA-IR, cholesterol</w:t>
            </w:r>
          </w:p>
        </w:tc>
        <w:tc>
          <w:tcPr>
            <w:tcW w:w="15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67D48E9"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Algorithm</w:t>
            </w:r>
          </w:p>
        </w:tc>
        <w:tc>
          <w:tcPr>
            <w:tcW w:w="17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F631099" w14:textId="17AF8377" w:rsidR="00693572" w:rsidRPr="001E5D32" w:rsidRDefault="009249DE"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sym w:font="Wingdings" w:char="F0FB"/>
            </w:r>
          </w:p>
        </w:tc>
        <w:tc>
          <w:tcPr>
            <w:tcW w:w="1843"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5680A475" w14:textId="51F07541" w:rsidR="00693572" w:rsidRPr="001E5D32" w:rsidRDefault="00FD6070"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Sud </w:t>
            </w:r>
            <w:r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[101]</w:t>
            </w:r>
          </w:p>
        </w:tc>
      </w:tr>
      <w:tr w:rsidR="00693572" w:rsidRPr="001E5D32" w14:paraId="27DE75F6" w14:textId="77777777" w:rsidTr="00AE34AE">
        <w:tc>
          <w:tcPr>
            <w:tcW w:w="2117" w:type="dxa"/>
            <w:shd w:val="clear" w:color="auto" w:fill="auto"/>
            <w:vAlign w:val="center"/>
          </w:tcPr>
          <w:p w14:paraId="3A0625A6"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Forns index</w:t>
            </w:r>
          </w:p>
        </w:tc>
        <w:tc>
          <w:tcPr>
            <w:tcW w:w="222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8DF13FE"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Age, platelet count, GGT, cholesterol</w:t>
            </w:r>
          </w:p>
        </w:tc>
        <w:tc>
          <w:tcPr>
            <w:tcW w:w="15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10EC413"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Algorithm</w:t>
            </w:r>
          </w:p>
        </w:tc>
        <w:tc>
          <w:tcPr>
            <w:tcW w:w="17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E84EDB5" w14:textId="4E543A15" w:rsidR="00693572" w:rsidRPr="001E5D32" w:rsidRDefault="009249DE"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sym w:font="Wingdings" w:char="F0FC"/>
            </w:r>
          </w:p>
        </w:tc>
        <w:tc>
          <w:tcPr>
            <w:tcW w:w="1843"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7CA02CAA" w14:textId="3F8B97FA" w:rsidR="00693572" w:rsidRPr="001E5D32" w:rsidRDefault="00D641D3"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For</w:t>
            </w:r>
            <w:r w:rsidR="00FD6070" w:rsidRPr="001E5D32">
              <w:rPr>
                <w:rFonts w:ascii="Book Antiqua" w:eastAsia="Times New Roman" w:hAnsi="Book Antiqua"/>
                <w:sz w:val="24"/>
                <w:lang w:val="en-GB"/>
              </w:rPr>
              <w:t xml:space="preserve">ns </w:t>
            </w:r>
            <w:r w:rsidR="00FD6070"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[102]</w:t>
            </w:r>
          </w:p>
        </w:tc>
      </w:tr>
      <w:tr w:rsidR="00693572" w:rsidRPr="001E5D32" w14:paraId="6998B040" w14:textId="77777777" w:rsidTr="00AE34AE">
        <w:tc>
          <w:tcPr>
            <w:tcW w:w="2117" w:type="dxa"/>
            <w:shd w:val="clear" w:color="auto" w:fill="auto"/>
            <w:vAlign w:val="center"/>
          </w:tcPr>
          <w:p w14:paraId="1C60301E"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Gholam’s score</w:t>
            </w:r>
          </w:p>
        </w:tc>
        <w:tc>
          <w:tcPr>
            <w:tcW w:w="222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122A8E5"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ALT, HbA1C</w:t>
            </w:r>
          </w:p>
        </w:tc>
        <w:tc>
          <w:tcPr>
            <w:tcW w:w="15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9B6234C"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Weighted score</w:t>
            </w:r>
          </w:p>
        </w:tc>
        <w:tc>
          <w:tcPr>
            <w:tcW w:w="17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B74E6BC" w14:textId="0AA746CF" w:rsidR="00693572" w:rsidRPr="001E5D32" w:rsidRDefault="009249DE"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sym w:font="Wingdings" w:char="F0FC"/>
            </w:r>
          </w:p>
        </w:tc>
        <w:tc>
          <w:tcPr>
            <w:tcW w:w="1843"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4EC4A91E" w14:textId="476AE6B4" w:rsidR="00693572" w:rsidRPr="001E5D32" w:rsidRDefault="00FD6070"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Gholam </w:t>
            </w:r>
            <w:r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[53]</w:t>
            </w:r>
          </w:p>
        </w:tc>
      </w:tr>
      <w:tr w:rsidR="00693572" w:rsidRPr="001E5D32" w14:paraId="3A81040D" w14:textId="77777777" w:rsidTr="00AE34AE">
        <w:tc>
          <w:tcPr>
            <w:tcW w:w="2117" w:type="dxa"/>
            <w:shd w:val="clear" w:color="auto" w:fill="auto"/>
            <w:vAlign w:val="center"/>
          </w:tcPr>
          <w:p w14:paraId="21AE649D"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Hui model</w:t>
            </w:r>
          </w:p>
        </w:tc>
        <w:tc>
          <w:tcPr>
            <w:tcW w:w="222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A569AF3"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BMI, bilirubin, albumin, platelet count</w:t>
            </w:r>
          </w:p>
        </w:tc>
        <w:tc>
          <w:tcPr>
            <w:tcW w:w="15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78333CC"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Algorithm</w:t>
            </w:r>
          </w:p>
        </w:tc>
        <w:tc>
          <w:tcPr>
            <w:tcW w:w="17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F66D294" w14:textId="43532D45" w:rsidR="00693572" w:rsidRPr="001E5D32" w:rsidRDefault="009249DE"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sym w:font="Wingdings" w:char="F0FB"/>
            </w:r>
          </w:p>
        </w:tc>
        <w:tc>
          <w:tcPr>
            <w:tcW w:w="1843"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56A95DD1" w14:textId="2120653E" w:rsidR="00693572" w:rsidRPr="001E5D32" w:rsidRDefault="00FD6070"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Hui </w:t>
            </w:r>
            <w:r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[103]</w:t>
            </w:r>
          </w:p>
        </w:tc>
      </w:tr>
      <w:tr w:rsidR="00693572" w:rsidRPr="001E5D32" w14:paraId="56184B54" w14:textId="77777777" w:rsidTr="00AE34AE">
        <w:tc>
          <w:tcPr>
            <w:tcW w:w="2117" w:type="dxa"/>
            <w:shd w:val="clear" w:color="auto" w:fill="auto"/>
            <w:vAlign w:val="center"/>
          </w:tcPr>
          <w:p w14:paraId="02853A7F"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King score</w:t>
            </w:r>
          </w:p>
        </w:tc>
        <w:tc>
          <w:tcPr>
            <w:tcW w:w="222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C21D076"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Age, AST, platelet count, INR</w:t>
            </w:r>
          </w:p>
        </w:tc>
        <w:tc>
          <w:tcPr>
            <w:tcW w:w="15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8470CCB"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Algorithm</w:t>
            </w:r>
          </w:p>
        </w:tc>
        <w:tc>
          <w:tcPr>
            <w:tcW w:w="17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8C2B4FD" w14:textId="01CB4A42" w:rsidR="00693572" w:rsidRPr="001E5D32" w:rsidRDefault="009249DE"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sym w:font="Wingdings" w:char="F0FB"/>
            </w:r>
          </w:p>
        </w:tc>
        <w:tc>
          <w:tcPr>
            <w:tcW w:w="1843"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10A647AC" w14:textId="6C00B902" w:rsidR="00693572" w:rsidRPr="001E5D32" w:rsidRDefault="00FD6070"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Cross </w:t>
            </w:r>
            <w:r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[104]</w:t>
            </w:r>
          </w:p>
        </w:tc>
      </w:tr>
      <w:tr w:rsidR="00693572" w:rsidRPr="001E5D32" w14:paraId="0C89D18C" w14:textId="77777777" w:rsidTr="00AE34AE">
        <w:tc>
          <w:tcPr>
            <w:tcW w:w="2117" w:type="dxa"/>
            <w:shd w:val="clear" w:color="auto" w:fill="auto"/>
            <w:vAlign w:val="center"/>
          </w:tcPr>
          <w:p w14:paraId="7D0EB80B"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Lok index</w:t>
            </w:r>
          </w:p>
        </w:tc>
        <w:tc>
          <w:tcPr>
            <w:tcW w:w="222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8B778BB"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AST, ALT, platelet count, INR</w:t>
            </w:r>
          </w:p>
        </w:tc>
        <w:tc>
          <w:tcPr>
            <w:tcW w:w="15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19F65CA"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Algorithm</w:t>
            </w:r>
          </w:p>
        </w:tc>
        <w:tc>
          <w:tcPr>
            <w:tcW w:w="17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B10D7A5" w14:textId="0AB5F6D7" w:rsidR="00693572" w:rsidRPr="001E5D32" w:rsidRDefault="009249DE"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sym w:font="Wingdings" w:char="F0FB"/>
            </w:r>
          </w:p>
        </w:tc>
        <w:tc>
          <w:tcPr>
            <w:tcW w:w="1843"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202D7FBA" w14:textId="172B5BFB" w:rsidR="00693572" w:rsidRPr="001E5D32" w:rsidRDefault="00FD6070"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Lok</w:t>
            </w:r>
            <w:r w:rsidRPr="001E5D32">
              <w:rPr>
                <w:rFonts w:ascii="Book Antiqua" w:eastAsia="Times New Roman" w:hAnsi="Book Antiqua"/>
                <w:i/>
                <w:sz w:val="24"/>
                <w:lang w:val="en-GB"/>
              </w:rPr>
              <w:t xml:space="preserve"> et al</w:t>
            </w:r>
            <w:r w:rsidR="00693572" w:rsidRPr="001E5D32">
              <w:rPr>
                <w:rFonts w:ascii="Book Antiqua" w:eastAsia="Times New Roman" w:hAnsi="Book Antiqua"/>
                <w:sz w:val="24"/>
                <w:vertAlign w:val="superscript"/>
                <w:lang w:val="en-GB"/>
              </w:rPr>
              <w:t>[105]</w:t>
            </w:r>
          </w:p>
        </w:tc>
      </w:tr>
      <w:tr w:rsidR="00693572" w:rsidRPr="001E5D32" w14:paraId="4E717D7F" w14:textId="77777777" w:rsidTr="00AE34AE">
        <w:tc>
          <w:tcPr>
            <w:tcW w:w="2117" w:type="dxa"/>
            <w:shd w:val="clear" w:color="auto" w:fill="auto"/>
            <w:vAlign w:val="center"/>
          </w:tcPr>
          <w:p w14:paraId="1E38AC92" w14:textId="77777777" w:rsidR="00693572" w:rsidRPr="001E5D32" w:rsidRDefault="00693572" w:rsidP="001E5D32">
            <w:pPr>
              <w:spacing w:line="360" w:lineRule="auto"/>
              <w:rPr>
                <w:rFonts w:ascii="Book Antiqua" w:eastAsia="Times New Roman" w:hAnsi="Book Antiqua"/>
                <w:b/>
                <w:sz w:val="24"/>
                <w:lang w:val="en-GB"/>
              </w:rPr>
            </w:pPr>
            <w:r w:rsidRPr="001E5D32">
              <w:rPr>
                <w:rFonts w:ascii="Book Antiqua" w:eastAsia="Times New Roman" w:hAnsi="Book Antiqua"/>
                <w:b/>
                <w:sz w:val="24"/>
                <w:lang w:val="en-GB"/>
              </w:rPr>
              <w:t xml:space="preserve">NAFLD fibrosis score </w:t>
            </w:r>
          </w:p>
        </w:tc>
        <w:tc>
          <w:tcPr>
            <w:tcW w:w="2229" w:type="dxa"/>
            <w:tcBorders>
              <w:top w:val="single" w:sz="4" w:space="0" w:color="7F7F7F" w:themeColor="text1" w:themeTint="80"/>
              <w:right w:val="single" w:sz="4" w:space="0" w:color="7F7F7F" w:themeColor="text1" w:themeTint="80"/>
            </w:tcBorders>
            <w:shd w:val="clear" w:color="auto" w:fill="FFFFFF" w:themeFill="background1"/>
            <w:vAlign w:val="center"/>
          </w:tcPr>
          <w:p w14:paraId="7F41262A"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Age, BMI, platelet count, albumin, AST/ALT ratio, IFG/DM II</w:t>
            </w:r>
          </w:p>
        </w:tc>
        <w:tc>
          <w:tcPr>
            <w:tcW w:w="155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hemeFill="background1"/>
            <w:vAlign w:val="center"/>
          </w:tcPr>
          <w:p w14:paraId="01622441" w14:textId="77777777" w:rsidR="00693572" w:rsidRPr="001E5D32" w:rsidRDefault="00693572"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Algorithm</w:t>
            </w:r>
          </w:p>
        </w:tc>
        <w:tc>
          <w:tcPr>
            <w:tcW w:w="1743"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hemeFill="background1"/>
            <w:vAlign w:val="center"/>
          </w:tcPr>
          <w:p w14:paraId="2D1582FE" w14:textId="053CDAEC" w:rsidR="00693572" w:rsidRPr="001E5D32" w:rsidRDefault="009249DE"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sym w:font="Wingdings" w:char="F0FC"/>
            </w:r>
          </w:p>
        </w:tc>
        <w:tc>
          <w:tcPr>
            <w:tcW w:w="1843" w:type="dxa"/>
            <w:tcBorders>
              <w:top w:val="single" w:sz="4" w:space="0" w:color="7F7F7F" w:themeColor="text1" w:themeTint="80"/>
              <w:left w:val="single" w:sz="4" w:space="0" w:color="7F7F7F" w:themeColor="text1" w:themeTint="80"/>
            </w:tcBorders>
            <w:shd w:val="clear" w:color="auto" w:fill="FFFFFF" w:themeFill="background1"/>
            <w:vAlign w:val="center"/>
          </w:tcPr>
          <w:p w14:paraId="2D4F18A7" w14:textId="1D18D9DA" w:rsidR="00693572" w:rsidRPr="001E5D32" w:rsidRDefault="00FD6070" w:rsidP="001E5D32">
            <w:pPr>
              <w:spacing w:line="360" w:lineRule="auto"/>
              <w:rPr>
                <w:rFonts w:ascii="Book Antiqua" w:eastAsia="Times New Roman" w:hAnsi="Book Antiqua"/>
                <w:sz w:val="24"/>
                <w:lang w:val="en-GB"/>
              </w:rPr>
            </w:pPr>
            <w:r w:rsidRPr="001E5D32">
              <w:rPr>
                <w:rFonts w:ascii="Book Antiqua" w:eastAsia="Times New Roman" w:hAnsi="Book Antiqua"/>
                <w:sz w:val="24"/>
                <w:lang w:val="en-GB"/>
              </w:rPr>
              <w:t xml:space="preserve">Angulo </w:t>
            </w:r>
            <w:r w:rsidRPr="001E5D32">
              <w:rPr>
                <w:rFonts w:ascii="Book Antiqua" w:eastAsia="Times New Roman" w:hAnsi="Book Antiqua"/>
                <w:i/>
                <w:sz w:val="24"/>
                <w:lang w:val="en-GB"/>
              </w:rPr>
              <w:t>et al</w:t>
            </w:r>
            <w:r w:rsidR="00693572" w:rsidRPr="001E5D32">
              <w:rPr>
                <w:rFonts w:ascii="Book Antiqua" w:eastAsia="Times New Roman" w:hAnsi="Book Antiqua"/>
                <w:sz w:val="24"/>
                <w:vertAlign w:val="superscript"/>
                <w:lang w:val="en-GB"/>
              </w:rPr>
              <w:t>[106]</w:t>
            </w:r>
          </w:p>
        </w:tc>
      </w:tr>
    </w:tbl>
    <w:p w14:paraId="49099CC8" w14:textId="0F6B92E0" w:rsidR="00693572" w:rsidRPr="001E5D32" w:rsidRDefault="00693572" w:rsidP="001E5D32">
      <w:pPr>
        <w:spacing w:line="360" w:lineRule="auto"/>
        <w:rPr>
          <w:rFonts w:ascii="Book Antiqua" w:hAnsi="Book Antiqua"/>
          <w:sz w:val="24"/>
        </w:rPr>
      </w:pPr>
      <w:r w:rsidRPr="001E5D32">
        <w:rPr>
          <w:rFonts w:ascii="Book Antiqua" w:eastAsia="Times New Roman" w:hAnsi="Book Antiqua"/>
          <w:sz w:val="24"/>
          <w:lang w:val="en-GB"/>
        </w:rPr>
        <w:t xml:space="preserve">NAFLD: </w:t>
      </w:r>
      <w:r w:rsidR="00FD6070" w:rsidRPr="001E5D32">
        <w:rPr>
          <w:rFonts w:ascii="Book Antiqua" w:eastAsia="Times New Roman" w:hAnsi="Book Antiqua"/>
          <w:sz w:val="24"/>
          <w:lang w:val="en-GB"/>
        </w:rPr>
        <w:t>Non</w:t>
      </w:r>
      <w:r w:rsidRPr="001E5D32">
        <w:rPr>
          <w:rFonts w:ascii="Book Antiqua" w:eastAsia="Times New Roman" w:hAnsi="Book Antiqua"/>
          <w:sz w:val="24"/>
          <w:lang w:val="en-GB"/>
        </w:rPr>
        <w:t xml:space="preserve">-alcoholic fatty liver disease; APRI: </w:t>
      </w:r>
      <w:r w:rsidR="00FD6070" w:rsidRPr="001E5D32">
        <w:rPr>
          <w:rFonts w:ascii="Book Antiqua" w:eastAsia="Times New Roman" w:hAnsi="Book Antiqua"/>
          <w:sz w:val="24"/>
          <w:lang w:val="en-GB"/>
        </w:rPr>
        <w:t xml:space="preserve">Aspartate </w:t>
      </w:r>
      <w:r w:rsidRPr="001E5D32">
        <w:rPr>
          <w:rFonts w:ascii="Book Antiqua" w:eastAsia="Times New Roman" w:hAnsi="Book Antiqua"/>
          <w:sz w:val="24"/>
          <w:lang w:val="en-GB"/>
        </w:rPr>
        <w:t>aminotransferase to platelet ratio index; AST:</w:t>
      </w:r>
      <w:r w:rsidRPr="001E5D32">
        <w:rPr>
          <w:rFonts w:ascii="Book Antiqua" w:hAnsi="Book Antiqua"/>
          <w:sz w:val="24"/>
        </w:rPr>
        <w:t xml:space="preserve"> </w:t>
      </w:r>
      <w:r w:rsidR="00FD6070" w:rsidRPr="001E5D32">
        <w:rPr>
          <w:rFonts w:ascii="Book Antiqua" w:eastAsia="Times New Roman" w:hAnsi="Book Antiqua"/>
          <w:sz w:val="24"/>
          <w:lang w:val="en-GB"/>
        </w:rPr>
        <w:t xml:space="preserve">Aspartate </w:t>
      </w:r>
      <w:r w:rsidRPr="001E5D32">
        <w:rPr>
          <w:rFonts w:ascii="Book Antiqua" w:eastAsia="Times New Roman" w:hAnsi="Book Antiqua"/>
          <w:sz w:val="24"/>
          <w:lang w:val="en-GB"/>
        </w:rPr>
        <w:t xml:space="preserve">aminotransferase; BMI: </w:t>
      </w:r>
      <w:r w:rsidR="00FD6070" w:rsidRPr="001E5D32">
        <w:rPr>
          <w:rFonts w:ascii="Book Antiqua" w:eastAsia="Times New Roman" w:hAnsi="Book Antiqua"/>
          <w:sz w:val="24"/>
          <w:lang w:val="en-GB"/>
        </w:rPr>
        <w:t xml:space="preserve">Body </w:t>
      </w:r>
      <w:r w:rsidRPr="001E5D32">
        <w:rPr>
          <w:rFonts w:ascii="Book Antiqua" w:eastAsia="Times New Roman" w:hAnsi="Book Antiqua"/>
          <w:sz w:val="24"/>
          <w:lang w:val="en-GB"/>
        </w:rPr>
        <w:t xml:space="preserve">mass index; ALT: </w:t>
      </w:r>
      <w:r w:rsidR="00FD6070" w:rsidRPr="001E5D32">
        <w:rPr>
          <w:rFonts w:ascii="Book Antiqua" w:eastAsia="Times New Roman" w:hAnsi="Book Antiqua"/>
          <w:sz w:val="24"/>
          <w:lang w:val="en-GB"/>
        </w:rPr>
        <w:t xml:space="preserve">Alanine </w:t>
      </w:r>
      <w:r w:rsidRPr="001E5D32">
        <w:rPr>
          <w:rFonts w:ascii="Book Antiqua" w:eastAsia="Times New Roman" w:hAnsi="Book Antiqua"/>
          <w:sz w:val="24"/>
          <w:lang w:val="en-GB"/>
        </w:rPr>
        <w:t xml:space="preserve">aminotransferase; DM II: </w:t>
      </w:r>
      <w:r w:rsidR="00FD6070" w:rsidRPr="001E5D32">
        <w:rPr>
          <w:rFonts w:ascii="Book Antiqua" w:eastAsia="Times New Roman" w:hAnsi="Book Antiqua"/>
          <w:sz w:val="24"/>
          <w:lang w:val="en-GB"/>
        </w:rPr>
        <w:t xml:space="preserve">Diabetes </w:t>
      </w:r>
      <w:r w:rsidRPr="001E5D32">
        <w:rPr>
          <w:rFonts w:ascii="Book Antiqua" w:eastAsia="Times New Roman" w:hAnsi="Book Antiqua"/>
          <w:sz w:val="24"/>
          <w:lang w:val="en-GB"/>
        </w:rPr>
        <w:t xml:space="preserve">mellitus type II; HOMA-IR: Homeostatic Measurement Assessment of Insulin Resistance; IFG: </w:t>
      </w:r>
      <w:r w:rsidR="00FD6070" w:rsidRPr="001E5D32">
        <w:rPr>
          <w:rFonts w:ascii="Book Antiqua" w:eastAsia="Times New Roman" w:hAnsi="Book Antiqua"/>
          <w:sz w:val="24"/>
          <w:lang w:val="en-GB"/>
        </w:rPr>
        <w:t xml:space="preserve">Impaired </w:t>
      </w:r>
      <w:r w:rsidRPr="001E5D32">
        <w:rPr>
          <w:rFonts w:ascii="Book Antiqua" w:eastAsia="Times New Roman" w:hAnsi="Book Antiqua"/>
          <w:sz w:val="24"/>
          <w:lang w:val="en-GB"/>
        </w:rPr>
        <w:t xml:space="preserve">fasting glucose. </w:t>
      </w:r>
    </w:p>
    <w:sectPr w:rsidR="00693572" w:rsidRPr="001E5D3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49A52" w14:textId="77777777" w:rsidR="005450A1" w:rsidRDefault="005450A1" w:rsidP="008272AD">
      <w:r>
        <w:separator/>
      </w:r>
    </w:p>
  </w:endnote>
  <w:endnote w:type="continuationSeparator" w:id="0">
    <w:p w14:paraId="0CB81BD8" w14:textId="77777777" w:rsidR="005450A1" w:rsidRDefault="005450A1" w:rsidP="0082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984659"/>
      <w:docPartObj>
        <w:docPartGallery w:val="Page Numbers (Bottom of Page)"/>
        <w:docPartUnique/>
      </w:docPartObj>
    </w:sdtPr>
    <w:sdtEndPr>
      <w:rPr>
        <w:color w:val="7F7F7F" w:themeColor="background1" w:themeShade="7F"/>
        <w:spacing w:val="60"/>
      </w:rPr>
    </w:sdtEndPr>
    <w:sdtContent>
      <w:p w14:paraId="6E465519" w14:textId="5536D3AB" w:rsidR="00195906" w:rsidRDefault="0019590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459B0" w:rsidRPr="00F459B0">
          <w:rPr>
            <w:b/>
            <w:bCs/>
            <w:noProof/>
          </w:rPr>
          <w:t>1</w:t>
        </w:r>
        <w:r>
          <w:rPr>
            <w:b/>
            <w:bCs/>
            <w:noProof/>
          </w:rPr>
          <w:fldChar w:fldCharType="end"/>
        </w:r>
        <w:r>
          <w:rPr>
            <w:b/>
            <w:bCs/>
          </w:rPr>
          <w:t xml:space="preserve"> | </w:t>
        </w:r>
        <w:r>
          <w:rPr>
            <w:color w:val="7F7F7F" w:themeColor="background1" w:themeShade="7F"/>
            <w:spacing w:val="60"/>
          </w:rPr>
          <w:t>Page</w:t>
        </w:r>
      </w:p>
    </w:sdtContent>
  </w:sdt>
  <w:p w14:paraId="5F1FCEA5" w14:textId="77777777" w:rsidR="00195906" w:rsidRDefault="001959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C58C0" w14:textId="77777777" w:rsidR="005450A1" w:rsidRDefault="005450A1" w:rsidP="008272AD">
      <w:r>
        <w:separator/>
      </w:r>
    </w:p>
  </w:footnote>
  <w:footnote w:type="continuationSeparator" w:id="0">
    <w:p w14:paraId="43A98BE8" w14:textId="77777777" w:rsidR="005450A1" w:rsidRDefault="005450A1" w:rsidP="008272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16B"/>
    <w:multiLevelType w:val="hybridMultilevel"/>
    <w:tmpl w:val="B7D2A476"/>
    <w:lvl w:ilvl="0" w:tplc="40EAE5D8">
      <w:start w:val="1"/>
      <w:numFmt w:val="decimal"/>
      <w:lvlText w:val="%1"/>
      <w:lvlJc w:val="left"/>
      <w:pPr>
        <w:ind w:left="720" w:hanging="360"/>
      </w:pPr>
      <w:rPr>
        <w:rFonts w:ascii="Book Antiqua" w:eastAsia="宋体" w:hAnsi="Book Antiqua"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3B5FB5"/>
    <w:multiLevelType w:val="hybridMultilevel"/>
    <w:tmpl w:val="0088C2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E772DA"/>
    <w:multiLevelType w:val="hybridMultilevel"/>
    <w:tmpl w:val="C7E094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C7E168E"/>
    <w:multiLevelType w:val="hybridMultilevel"/>
    <w:tmpl w:val="1220A8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75F7AB4"/>
    <w:multiLevelType w:val="hybridMultilevel"/>
    <w:tmpl w:val="2F0A00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7D5DB5"/>
    <w:multiLevelType w:val="hybridMultilevel"/>
    <w:tmpl w:val="70B402FE"/>
    <w:lvl w:ilvl="0" w:tplc="EEB2A4F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FB005C4"/>
    <w:multiLevelType w:val="hybridMultilevel"/>
    <w:tmpl w:val="DAC09E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21977ED"/>
    <w:multiLevelType w:val="hybridMultilevel"/>
    <w:tmpl w:val="B20C0E98"/>
    <w:lvl w:ilvl="0" w:tplc="40EAE5D8">
      <w:start w:val="1"/>
      <w:numFmt w:val="decimal"/>
      <w:lvlText w:val="%1"/>
      <w:lvlJc w:val="left"/>
      <w:pPr>
        <w:ind w:left="1080" w:hanging="720"/>
      </w:pPr>
      <w:rPr>
        <w:rFonts w:ascii="Book Antiqua" w:eastAsia="宋体" w:hAnsi="Book Antiqua"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70"/>
    <w:rsid w:val="000035DE"/>
    <w:rsid w:val="0000418E"/>
    <w:rsid w:val="0000744E"/>
    <w:rsid w:val="00007F07"/>
    <w:rsid w:val="00030143"/>
    <w:rsid w:val="00032BF3"/>
    <w:rsid w:val="0003533D"/>
    <w:rsid w:val="0003588F"/>
    <w:rsid w:val="00045B32"/>
    <w:rsid w:val="00051215"/>
    <w:rsid w:val="000539A2"/>
    <w:rsid w:val="00062C88"/>
    <w:rsid w:val="00066F30"/>
    <w:rsid w:val="000775EE"/>
    <w:rsid w:val="00077AB1"/>
    <w:rsid w:val="00081316"/>
    <w:rsid w:val="00083687"/>
    <w:rsid w:val="000A1CF2"/>
    <w:rsid w:val="000B3225"/>
    <w:rsid w:val="000B70C5"/>
    <w:rsid w:val="000C252A"/>
    <w:rsid w:val="000D4496"/>
    <w:rsid w:val="000D62E1"/>
    <w:rsid w:val="000E2906"/>
    <w:rsid w:val="000E4EC6"/>
    <w:rsid w:val="000F0DD0"/>
    <w:rsid w:val="000F6678"/>
    <w:rsid w:val="00102633"/>
    <w:rsid w:val="00106CDA"/>
    <w:rsid w:val="00111607"/>
    <w:rsid w:val="00112C8D"/>
    <w:rsid w:val="001179D6"/>
    <w:rsid w:val="001217D0"/>
    <w:rsid w:val="00123389"/>
    <w:rsid w:val="00126A93"/>
    <w:rsid w:val="001309C9"/>
    <w:rsid w:val="001321A6"/>
    <w:rsid w:val="00132FD1"/>
    <w:rsid w:val="00135965"/>
    <w:rsid w:val="00136858"/>
    <w:rsid w:val="00141D9F"/>
    <w:rsid w:val="00144F15"/>
    <w:rsid w:val="00156299"/>
    <w:rsid w:val="00162723"/>
    <w:rsid w:val="001676F4"/>
    <w:rsid w:val="00170638"/>
    <w:rsid w:val="00184F7C"/>
    <w:rsid w:val="00192ECB"/>
    <w:rsid w:val="001951EA"/>
    <w:rsid w:val="001958A8"/>
    <w:rsid w:val="00195906"/>
    <w:rsid w:val="001B1471"/>
    <w:rsid w:val="001B448E"/>
    <w:rsid w:val="001C2C0F"/>
    <w:rsid w:val="001C4BC8"/>
    <w:rsid w:val="001C4FB9"/>
    <w:rsid w:val="001C7B8E"/>
    <w:rsid w:val="001D4622"/>
    <w:rsid w:val="001D694E"/>
    <w:rsid w:val="001E072A"/>
    <w:rsid w:val="001E3520"/>
    <w:rsid w:val="001E5353"/>
    <w:rsid w:val="001E5D32"/>
    <w:rsid w:val="001E7AF9"/>
    <w:rsid w:val="001F78C0"/>
    <w:rsid w:val="00202183"/>
    <w:rsid w:val="0020429C"/>
    <w:rsid w:val="00212EA3"/>
    <w:rsid w:val="002225A8"/>
    <w:rsid w:val="00230416"/>
    <w:rsid w:val="00234860"/>
    <w:rsid w:val="0023770A"/>
    <w:rsid w:val="00237857"/>
    <w:rsid w:val="00237B27"/>
    <w:rsid w:val="00251B1B"/>
    <w:rsid w:val="00275723"/>
    <w:rsid w:val="00281C1C"/>
    <w:rsid w:val="002932C5"/>
    <w:rsid w:val="002965EB"/>
    <w:rsid w:val="002971A9"/>
    <w:rsid w:val="0029757F"/>
    <w:rsid w:val="002A0688"/>
    <w:rsid w:val="002A125F"/>
    <w:rsid w:val="002A2647"/>
    <w:rsid w:val="002A279B"/>
    <w:rsid w:val="002B373C"/>
    <w:rsid w:val="002C11A1"/>
    <w:rsid w:val="002C2B39"/>
    <w:rsid w:val="002C4BCE"/>
    <w:rsid w:val="002C6E34"/>
    <w:rsid w:val="002D0CF8"/>
    <w:rsid w:val="002E1DEA"/>
    <w:rsid w:val="002E37D2"/>
    <w:rsid w:val="002E424A"/>
    <w:rsid w:val="002E4CB5"/>
    <w:rsid w:val="002F63B3"/>
    <w:rsid w:val="0030326B"/>
    <w:rsid w:val="00303EB5"/>
    <w:rsid w:val="00313A56"/>
    <w:rsid w:val="00326C3F"/>
    <w:rsid w:val="00336488"/>
    <w:rsid w:val="00344396"/>
    <w:rsid w:val="00345E2C"/>
    <w:rsid w:val="003602E5"/>
    <w:rsid w:val="00364AB6"/>
    <w:rsid w:val="003706CC"/>
    <w:rsid w:val="0037269B"/>
    <w:rsid w:val="00380EDC"/>
    <w:rsid w:val="00383750"/>
    <w:rsid w:val="00383C10"/>
    <w:rsid w:val="003D0503"/>
    <w:rsid w:val="003F01C3"/>
    <w:rsid w:val="003F05F8"/>
    <w:rsid w:val="003F3A35"/>
    <w:rsid w:val="004117A9"/>
    <w:rsid w:val="00414BBF"/>
    <w:rsid w:val="0042650A"/>
    <w:rsid w:val="00445B0E"/>
    <w:rsid w:val="004560CA"/>
    <w:rsid w:val="00457175"/>
    <w:rsid w:val="004573B9"/>
    <w:rsid w:val="00460447"/>
    <w:rsid w:val="00460E0D"/>
    <w:rsid w:val="00461B32"/>
    <w:rsid w:val="00461F78"/>
    <w:rsid w:val="00462C17"/>
    <w:rsid w:val="00466E67"/>
    <w:rsid w:val="004807D4"/>
    <w:rsid w:val="00491041"/>
    <w:rsid w:val="004928D9"/>
    <w:rsid w:val="004A1328"/>
    <w:rsid w:val="004A15AA"/>
    <w:rsid w:val="004A49CB"/>
    <w:rsid w:val="004A6922"/>
    <w:rsid w:val="004B35F7"/>
    <w:rsid w:val="004B42DD"/>
    <w:rsid w:val="004B5913"/>
    <w:rsid w:val="004C112E"/>
    <w:rsid w:val="004C4229"/>
    <w:rsid w:val="004C43D7"/>
    <w:rsid w:val="004C502F"/>
    <w:rsid w:val="004D59F5"/>
    <w:rsid w:val="004D6E8F"/>
    <w:rsid w:val="004E0A88"/>
    <w:rsid w:val="004E1D7B"/>
    <w:rsid w:val="004F41EC"/>
    <w:rsid w:val="004F6581"/>
    <w:rsid w:val="004F7FCA"/>
    <w:rsid w:val="005034C6"/>
    <w:rsid w:val="00516932"/>
    <w:rsid w:val="00527DEE"/>
    <w:rsid w:val="0053174E"/>
    <w:rsid w:val="00537CA8"/>
    <w:rsid w:val="00541F6E"/>
    <w:rsid w:val="005446EF"/>
    <w:rsid w:val="005450A1"/>
    <w:rsid w:val="00567074"/>
    <w:rsid w:val="00585399"/>
    <w:rsid w:val="00587B76"/>
    <w:rsid w:val="005900C6"/>
    <w:rsid w:val="005A10B7"/>
    <w:rsid w:val="005B4A96"/>
    <w:rsid w:val="005D645B"/>
    <w:rsid w:val="005D65FB"/>
    <w:rsid w:val="005D7369"/>
    <w:rsid w:val="005E30F9"/>
    <w:rsid w:val="005E416F"/>
    <w:rsid w:val="005E5E2F"/>
    <w:rsid w:val="005F2C82"/>
    <w:rsid w:val="00604B1B"/>
    <w:rsid w:val="0060633E"/>
    <w:rsid w:val="00612042"/>
    <w:rsid w:val="00612E23"/>
    <w:rsid w:val="00615547"/>
    <w:rsid w:val="0062269E"/>
    <w:rsid w:val="006326F8"/>
    <w:rsid w:val="00632861"/>
    <w:rsid w:val="00633382"/>
    <w:rsid w:val="00633F77"/>
    <w:rsid w:val="00636F82"/>
    <w:rsid w:val="00637570"/>
    <w:rsid w:val="00644412"/>
    <w:rsid w:val="00647954"/>
    <w:rsid w:val="00653944"/>
    <w:rsid w:val="00660551"/>
    <w:rsid w:val="006620AF"/>
    <w:rsid w:val="006673E4"/>
    <w:rsid w:val="0067054E"/>
    <w:rsid w:val="00672AA3"/>
    <w:rsid w:val="00673AF6"/>
    <w:rsid w:val="00690D01"/>
    <w:rsid w:val="00693572"/>
    <w:rsid w:val="006A1066"/>
    <w:rsid w:val="006A22A5"/>
    <w:rsid w:val="006A3615"/>
    <w:rsid w:val="006A646E"/>
    <w:rsid w:val="006B2DF7"/>
    <w:rsid w:val="006B618B"/>
    <w:rsid w:val="006C51AF"/>
    <w:rsid w:val="006C5CA6"/>
    <w:rsid w:val="006C5DC9"/>
    <w:rsid w:val="006D118E"/>
    <w:rsid w:val="006D1326"/>
    <w:rsid w:val="006D4660"/>
    <w:rsid w:val="006D4F52"/>
    <w:rsid w:val="006E0031"/>
    <w:rsid w:val="006E26EF"/>
    <w:rsid w:val="006E4192"/>
    <w:rsid w:val="006E5181"/>
    <w:rsid w:val="0070179F"/>
    <w:rsid w:val="0070575E"/>
    <w:rsid w:val="00707033"/>
    <w:rsid w:val="00712EC1"/>
    <w:rsid w:val="00721D83"/>
    <w:rsid w:val="007265D3"/>
    <w:rsid w:val="00734E8A"/>
    <w:rsid w:val="007369AA"/>
    <w:rsid w:val="00744DFA"/>
    <w:rsid w:val="007465D4"/>
    <w:rsid w:val="0074724A"/>
    <w:rsid w:val="00750266"/>
    <w:rsid w:val="00752B57"/>
    <w:rsid w:val="00753FE6"/>
    <w:rsid w:val="0076039C"/>
    <w:rsid w:val="00760F2B"/>
    <w:rsid w:val="00762402"/>
    <w:rsid w:val="00763373"/>
    <w:rsid w:val="00763743"/>
    <w:rsid w:val="007663F7"/>
    <w:rsid w:val="00766826"/>
    <w:rsid w:val="0077052A"/>
    <w:rsid w:val="00774576"/>
    <w:rsid w:val="00786DF8"/>
    <w:rsid w:val="00793403"/>
    <w:rsid w:val="00797067"/>
    <w:rsid w:val="007A08D9"/>
    <w:rsid w:val="007B2ECC"/>
    <w:rsid w:val="007C2855"/>
    <w:rsid w:val="007D2A08"/>
    <w:rsid w:val="007D51B0"/>
    <w:rsid w:val="007F1588"/>
    <w:rsid w:val="00806039"/>
    <w:rsid w:val="008068C1"/>
    <w:rsid w:val="00814072"/>
    <w:rsid w:val="00816BC0"/>
    <w:rsid w:val="00824003"/>
    <w:rsid w:val="008246EB"/>
    <w:rsid w:val="0082479A"/>
    <w:rsid w:val="008272AD"/>
    <w:rsid w:val="00827473"/>
    <w:rsid w:val="00837937"/>
    <w:rsid w:val="008417E0"/>
    <w:rsid w:val="0085724C"/>
    <w:rsid w:val="008719FA"/>
    <w:rsid w:val="00872041"/>
    <w:rsid w:val="0087279D"/>
    <w:rsid w:val="00880ED6"/>
    <w:rsid w:val="00882BCD"/>
    <w:rsid w:val="00884C7B"/>
    <w:rsid w:val="00887BB0"/>
    <w:rsid w:val="00890D32"/>
    <w:rsid w:val="0089325D"/>
    <w:rsid w:val="00893736"/>
    <w:rsid w:val="008A5055"/>
    <w:rsid w:val="008A6B6F"/>
    <w:rsid w:val="008B0EB0"/>
    <w:rsid w:val="008B52FE"/>
    <w:rsid w:val="008C10DD"/>
    <w:rsid w:val="008C4B96"/>
    <w:rsid w:val="008D113D"/>
    <w:rsid w:val="008D2A9C"/>
    <w:rsid w:val="008E1518"/>
    <w:rsid w:val="008E1A70"/>
    <w:rsid w:val="008E5F28"/>
    <w:rsid w:val="008E77FF"/>
    <w:rsid w:val="008F3942"/>
    <w:rsid w:val="008F4152"/>
    <w:rsid w:val="008F4F5F"/>
    <w:rsid w:val="008F5F11"/>
    <w:rsid w:val="00900C8A"/>
    <w:rsid w:val="009132A7"/>
    <w:rsid w:val="00914E0F"/>
    <w:rsid w:val="00920226"/>
    <w:rsid w:val="009249DE"/>
    <w:rsid w:val="00931C00"/>
    <w:rsid w:val="0094144C"/>
    <w:rsid w:val="00947E4A"/>
    <w:rsid w:val="0095047C"/>
    <w:rsid w:val="00951F21"/>
    <w:rsid w:val="009547DF"/>
    <w:rsid w:val="0095676A"/>
    <w:rsid w:val="009602F7"/>
    <w:rsid w:val="00972679"/>
    <w:rsid w:val="00973357"/>
    <w:rsid w:val="009A69D3"/>
    <w:rsid w:val="009B490B"/>
    <w:rsid w:val="009B62FD"/>
    <w:rsid w:val="009C031E"/>
    <w:rsid w:val="009C39D2"/>
    <w:rsid w:val="009C7861"/>
    <w:rsid w:val="009D12DB"/>
    <w:rsid w:val="009D2DE3"/>
    <w:rsid w:val="009E2D84"/>
    <w:rsid w:val="009F3402"/>
    <w:rsid w:val="00A02A28"/>
    <w:rsid w:val="00A06552"/>
    <w:rsid w:val="00A14BF5"/>
    <w:rsid w:val="00A157B4"/>
    <w:rsid w:val="00A2046C"/>
    <w:rsid w:val="00A26656"/>
    <w:rsid w:val="00A4159B"/>
    <w:rsid w:val="00A428AC"/>
    <w:rsid w:val="00A4325D"/>
    <w:rsid w:val="00A57264"/>
    <w:rsid w:val="00A62A72"/>
    <w:rsid w:val="00A67612"/>
    <w:rsid w:val="00A67957"/>
    <w:rsid w:val="00A7298F"/>
    <w:rsid w:val="00A7406A"/>
    <w:rsid w:val="00A75D43"/>
    <w:rsid w:val="00A8273C"/>
    <w:rsid w:val="00A95B81"/>
    <w:rsid w:val="00AA2921"/>
    <w:rsid w:val="00AA2C67"/>
    <w:rsid w:val="00AA4CC6"/>
    <w:rsid w:val="00AA61CD"/>
    <w:rsid w:val="00AB0159"/>
    <w:rsid w:val="00AB39A5"/>
    <w:rsid w:val="00AC275F"/>
    <w:rsid w:val="00AC34EA"/>
    <w:rsid w:val="00AD1806"/>
    <w:rsid w:val="00AD5DF3"/>
    <w:rsid w:val="00AE32C0"/>
    <w:rsid w:val="00AE34AE"/>
    <w:rsid w:val="00AE402E"/>
    <w:rsid w:val="00AE6172"/>
    <w:rsid w:val="00AE6731"/>
    <w:rsid w:val="00AF4156"/>
    <w:rsid w:val="00AF4571"/>
    <w:rsid w:val="00AF7141"/>
    <w:rsid w:val="00B01B33"/>
    <w:rsid w:val="00B058A4"/>
    <w:rsid w:val="00B11F43"/>
    <w:rsid w:val="00B301AF"/>
    <w:rsid w:val="00B31939"/>
    <w:rsid w:val="00B3637B"/>
    <w:rsid w:val="00B36EA8"/>
    <w:rsid w:val="00B51545"/>
    <w:rsid w:val="00B63416"/>
    <w:rsid w:val="00B72C7E"/>
    <w:rsid w:val="00B81E93"/>
    <w:rsid w:val="00B82901"/>
    <w:rsid w:val="00B9095E"/>
    <w:rsid w:val="00B90C5F"/>
    <w:rsid w:val="00B90FC8"/>
    <w:rsid w:val="00B946EC"/>
    <w:rsid w:val="00BA0211"/>
    <w:rsid w:val="00BA1694"/>
    <w:rsid w:val="00BA18DC"/>
    <w:rsid w:val="00BA1CC6"/>
    <w:rsid w:val="00BA3448"/>
    <w:rsid w:val="00BA381C"/>
    <w:rsid w:val="00BA50DE"/>
    <w:rsid w:val="00BA7404"/>
    <w:rsid w:val="00BC12D2"/>
    <w:rsid w:val="00BC51C9"/>
    <w:rsid w:val="00BD4ECD"/>
    <w:rsid w:val="00BF517D"/>
    <w:rsid w:val="00BF6F35"/>
    <w:rsid w:val="00BF7F92"/>
    <w:rsid w:val="00C108A1"/>
    <w:rsid w:val="00C11BED"/>
    <w:rsid w:val="00C23BDD"/>
    <w:rsid w:val="00C23ECF"/>
    <w:rsid w:val="00C25535"/>
    <w:rsid w:val="00C31224"/>
    <w:rsid w:val="00C37693"/>
    <w:rsid w:val="00C46335"/>
    <w:rsid w:val="00C517A0"/>
    <w:rsid w:val="00C5467B"/>
    <w:rsid w:val="00C6029B"/>
    <w:rsid w:val="00C66DD3"/>
    <w:rsid w:val="00C73363"/>
    <w:rsid w:val="00C865C1"/>
    <w:rsid w:val="00C91818"/>
    <w:rsid w:val="00C93B47"/>
    <w:rsid w:val="00CA1037"/>
    <w:rsid w:val="00CB19EF"/>
    <w:rsid w:val="00CB2509"/>
    <w:rsid w:val="00CB6796"/>
    <w:rsid w:val="00CC0CD0"/>
    <w:rsid w:val="00CD0F98"/>
    <w:rsid w:val="00CD2CB5"/>
    <w:rsid w:val="00CD32C0"/>
    <w:rsid w:val="00CD3D59"/>
    <w:rsid w:val="00CD41EA"/>
    <w:rsid w:val="00CD69D3"/>
    <w:rsid w:val="00CE0D71"/>
    <w:rsid w:val="00CE241E"/>
    <w:rsid w:val="00CE3F8C"/>
    <w:rsid w:val="00D008A6"/>
    <w:rsid w:val="00D01C92"/>
    <w:rsid w:val="00D060A4"/>
    <w:rsid w:val="00D16F9D"/>
    <w:rsid w:val="00D254D2"/>
    <w:rsid w:val="00D30741"/>
    <w:rsid w:val="00D33005"/>
    <w:rsid w:val="00D3662C"/>
    <w:rsid w:val="00D37034"/>
    <w:rsid w:val="00D37176"/>
    <w:rsid w:val="00D43274"/>
    <w:rsid w:val="00D51193"/>
    <w:rsid w:val="00D54B17"/>
    <w:rsid w:val="00D5693E"/>
    <w:rsid w:val="00D57CFA"/>
    <w:rsid w:val="00D641D3"/>
    <w:rsid w:val="00D65B19"/>
    <w:rsid w:val="00D70884"/>
    <w:rsid w:val="00D81AE5"/>
    <w:rsid w:val="00D8328E"/>
    <w:rsid w:val="00D84E51"/>
    <w:rsid w:val="00D953BA"/>
    <w:rsid w:val="00DA4F2A"/>
    <w:rsid w:val="00DB19BB"/>
    <w:rsid w:val="00DC083B"/>
    <w:rsid w:val="00DC43E1"/>
    <w:rsid w:val="00DC556E"/>
    <w:rsid w:val="00DD04DF"/>
    <w:rsid w:val="00DD208E"/>
    <w:rsid w:val="00DF1971"/>
    <w:rsid w:val="00DF717B"/>
    <w:rsid w:val="00DF7CE9"/>
    <w:rsid w:val="00E029A5"/>
    <w:rsid w:val="00E041DD"/>
    <w:rsid w:val="00E11B88"/>
    <w:rsid w:val="00E122D0"/>
    <w:rsid w:val="00E12579"/>
    <w:rsid w:val="00E20CDF"/>
    <w:rsid w:val="00E22CC9"/>
    <w:rsid w:val="00E26442"/>
    <w:rsid w:val="00E321EE"/>
    <w:rsid w:val="00E32C12"/>
    <w:rsid w:val="00E47B7A"/>
    <w:rsid w:val="00E52781"/>
    <w:rsid w:val="00E61EE7"/>
    <w:rsid w:val="00E66ADA"/>
    <w:rsid w:val="00E718C4"/>
    <w:rsid w:val="00E8196E"/>
    <w:rsid w:val="00E9147C"/>
    <w:rsid w:val="00E95640"/>
    <w:rsid w:val="00E95DCE"/>
    <w:rsid w:val="00E9733A"/>
    <w:rsid w:val="00EA3B0D"/>
    <w:rsid w:val="00EB0CB6"/>
    <w:rsid w:val="00EC1648"/>
    <w:rsid w:val="00ED458E"/>
    <w:rsid w:val="00ED7602"/>
    <w:rsid w:val="00EE31DA"/>
    <w:rsid w:val="00EE394D"/>
    <w:rsid w:val="00EE4900"/>
    <w:rsid w:val="00EF02BC"/>
    <w:rsid w:val="00EF28FC"/>
    <w:rsid w:val="00EF76AB"/>
    <w:rsid w:val="00EF7755"/>
    <w:rsid w:val="00F0094E"/>
    <w:rsid w:val="00F10839"/>
    <w:rsid w:val="00F11B37"/>
    <w:rsid w:val="00F11C81"/>
    <w:rsid w:val="00F14788"/>
    <w:rsid w:val="00F16C56"/>
    <w:rsid w:val="00F21494"/>
    <w:rsid w:val="00F23C22"/>
    <w:rsid w:val="00F459B0"/>
    <w:rsid w:val="00F62F23"/>
    <w:rsid w:val="00F660DE"/>
    <w:rsid w:val="00F77A2E"/>
    <w:rsid w:val="00F81C33"/>
    <w:rsid w:val="00F85196"/>
    <w:rsid w:val="00F853AF"/>
    <w:rsid w:val="00F97584"/>
    <w:rsid w:val="00FD0224"/>
    <w:rsid w:val="00FD6070"/>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5F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70"/>
    <w:pPr>
      <w:widowControl w:val="0"/>
      <w:spacing w:after="0" w:line="240" w:lineRule="auto"/>
      <w:jc w:val="both"/>
    </w:pPr>
    <w:rPr>
      <w:rFonts w:ascii="Times New Roman" w:eastAsia="宋体"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884"/>
    <w:pPr>
      <w:ind w:left="720"/>
      <w:contextualSpacing/>
    </w:pPr>
  </w:style>
  <w:style w:type="paragraph" w:styleId="Header">
    <w:name w:val="header"/>
    <w:basedOn w:val="Normal"/>
    <w:link w:val="HeaderChar"/>
    <w:uiPriority w:val="99"/>
    <w:unhideWhenUsed/>
    <w:rsid w:val="008272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272AD"/>
    <w:rPr>
      <w:rFonts w:ascii="Times New Roman" w:eastAsia="宋体" w:hAnsi="Times New Roman" w:cs="Times New Roman"/>
      <w:kern w:val="2"/>
      <w:sz w:val="18"/>
      <w:szCs w:val="18"/>
      <w:lang w:val="en-US" w:eastAsia="zh-CN"/>
    </w:rPr>
  </w:style>
  <w:style w:type="paragraph" w:styleId="Footer">
    <w:name w:val="footer"/>
    <w:basedOn w:val="Normal"/>
    <w:link w:val="FooterChar"/>
    <w:uiPriority w:val="99"/>
    <w:unhideWhenUsed/>
    <w:rsid w:val="008272A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272AD"/>
    <w:rPr>
      <w:rFonts w:ascii="Times New Roman" w:eastAsia="宋体" w:hAnsi="Times New Roman" w:cs="Times New Roman"/>
      <w:kern w:val="2"/>
      <w:sz w:val="18"/>
      <w:szCs w:val="18"/>
      <w:lang w:val="en-US" w:eastAsia="zh-CN"/>
    </w:rPr>
  </w:style>
  <w:style w:type="character" w:styleId="CommentReference">
    <w:name w:val="annotation reference"/>
    <w:basedOn w:val="DefaultParagraphFont"/>
    <w:uiPriority w:val="99"/>
    <w:semiHidden/>
    <w:unhideWhenUsed/>
    <w:rsid w:val="008272AD"/>
    <w:rPr>
      <w:sz w:val="21"/>
      <w:szCs w:val="21"/>
    </w:rPr>
  </w:style>
  <w:style w:type="paragraph" w:styleId="CommentText">
    <w:name w:val="annotation text"/>
    <w:basedOn w:val="Normal"/>
    <w:link w:val="CommentTextChar"/>
    <w:unhideWhenUsed/>
    <w:rsid w:val="008272AD"/>
    <w:pPr>
      <w:jc w:val="left"/>
    </w:pPr>
  </w:style>
  <w:style w:type="character" w:customStyle="1" w:styleId="CommentTextChar">
    <w:name w:val="Comment Text Char"/>
    <w:basedOn w:val="DefaultParagraphFont"/>
    <w:link w:val="CommentText"/>
    <w:rsid w:val="008272AD"/>
    <w:rPr>
      <w:rFonts w:ascii="Times New Roman" w:eastAsia="宋体" w:hAnsi="Times New Roman" w:cs="Times New Roman"/>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8272AD"/>
    <w:rPr>
      <w:b/>
      <w:bCs/>
    </w:rPr>
  </w:style>
  <w:style w:type="character" w:customStyle="1" w:styleId="CommentSubjectChar">
    <w:name w:val="Comment Subject Char"/>
    <w:basedOn w:val="CommentTextChar"/>
    <w:link w:val="CommentSubject"/>
    <w:uiPriority w:val="99"/>
    <w:semiHidden/>
    <w:rsid w:val="008272AD"/>
    <w:rPr>
      <w:rFonts w:ascii="Times New Roman" w:eastAsia="宋体" w:hAnsi="Times New Roman" w:cs="Times New Roman"/>
      <w:b/>
      <w:bCs/>
      <w:kern w:val="2"/>
      <w:sz w:val="21"/>
      <w:szCs w:val="24"/>
      <w:lang w:val="en-US" w:eastAsia="zh-CN"/>
    </w:rPr>
  </w:style>
  <w:style w:type="paragraph" w:styleId="BalloonText">
    <w:name w:val="Balloon Text"/>
    <w:basedOn w:val="Normal"/>
    <w:link w:val="BalloonTextChar"/>
    <w:uiPriority w:val="99"/>
    <w:semiHidden/>
    <w:unhideWhenUsed/>
    <w:rsid w:val="008272AD"/>
    <w:rPr>
      <w:sz w:val="18"/>
      <w:szCs w:val="18"/>
    </w:rPr>
  </w:style>
  <w:style w:type="character" w:customStyle="1" w:styleId="BalloonTextChar">
    <w:name w:val="Balloon Text Char"/>
    <w:basedOn w:val="DefaultParagraphFont"/>
    <w:link w:val="BalloonText"/>
    <w:uiPriority w:val="99"/>
    <w:semiHidden/>
    <w:rsid w:val="008272AD"/>
    <w:rPr>
      <w:rFonts w:ascii="Times New Roman" w:eastAsia="宋体" w:hAnsi="Times New Roman" w:cs="Times New Roman"/>
      <w:kern w:val="2"/>
      <w:sz w:val="18"/>
      <w:szCs w:val="18"/>
      <w:lang w:val="en-US" w:eastAsia="zh-CN"/>
    </w:rPr>
  </w:style>
  <w:style w:type="character" w:styleId="Hyperlink">
    <w:name w:val="Hyperlink"/>
    <w:uiPriority w:val="99"/>
    <w:unhideWhenUsed/>
    <w:rsid w:val="008272AD"/>
    <w:rPr>
      <w:color w:val="0000FF"/>
      <w:u w:val="single"/>
    </w:rPr>
  </w:style>
  <w:style w:type="character" w:customStyle="1" w:styleId="apple-converted-space">
    <w:name w:val="apple-converted-space"/>
    <w:basedOn w:val="DefaultParagraphFont"/>
    <w:rsid w:val="001309C9"/>
  </w:style>
  <w:style w:type="paragraph" w:styleId="BodyTextIndent">
    <w:name w:val="Body Text Indent"/>
    <w:basedOn w:val="Normal"/>
    <w:link w:val="BodyTextIndentChar"/>
    <w:uiPriority w:val="99"/>
    <w:unhideWhenUsed/>
    <w:rsid w:val="00D54B17"/>
    <w:pPr>
      <w:spacing w:after="120"/>
      <w:ind w:leftChars="200" w:left="420"/>
    </w:pPr>
    <w:rPr>
      <w:rFonts w:ascii="Book Antiqua" w:eastAsiaTheme="minorEastAsia" w:hAnsi="Book Antiqua"/>
      <w:kern w:val="0"/>
      <w:sz w:val="20"/>
      <w:szCs w:val="20"/>
      <w:lang w:eastAsia="ja-JP"/>
    </w:rPr>
  </w:style>
  <w:style w:type="character" w:customStyle="1" w:styleId="BodyTextIndentChar">
    <w:name w:val="Body Text Indent Char"/>
    <w:basedOn w:val="DefaultParagraphFont"/>
    <w:link w:val="BodyTextIndent"/>
    <w:uiPriority w:val="99"/>
    <w:rsid w:val="00D54B17"/>
    <w:rPr>
      <w:rFonts w:ascii="Book Antiqua" w:hAnsi="Book Antiqua" w:cs="Times New Roman"/>
      <w:sz w:val="20"/>
      <w:szCs w:val="20"/>
      <w:lang w:val="en-US" w:eastAsia="ja-JP"/>
    </w:rPr>
  </w:style>
  <w:style w:type="paragraph" w:styleId="BodyText">
    <w:name w:val="Body Text"/>
    <w:basedOn w:val="Normal"/>
    <w:link w:val="BodyTextChar"/>
    <w:uiPriority w:val="99"/>
    <w:semiHidden/>
    <w:unhideWhenUsed/>
    <w:rsid w:val="00195906"/>
    <w:pPr>
      <w:spacing w:after="120"/>
    </w:pPr>
  </w:style>
  <w:style w:type="character" w:customStyle="1" w:styleId="BodyTextChar">
    <w:name w:val="Body Text Char"/>
    <w:basedOn w:val="DefaultParagraphFont"/>
    <w:link w:val="BodyText"/>
    <w:uiPriority w:val="99"/>
    <w:semiHidden/>
    <w:rsid w:val="00195906"/>
    <w:rPr>
      <w:rFonts w:ascii="Times New Roman" w:eastAsia="宋体" w:hAnsi="Times New Roman" w:cs="Times New Roman"/>
      <w:kern w:val="2"/>
      <w:sz w:val="21"/>
      <w:szCs w:val="24"/>
      <w:lang w:val="en-US" w:eastAsia="zh-CN"/>
    </w:rPr>
  </w:style>
  <w:style w:type="character" w:styleId="Strong">
    <w:name w:val="Strong"/>
    <w:qFormat/>
    <w:rsid w:val="001E5D3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70"/>
    <w:pPr>
      <w:widowControl w:val="0"/>
      <w:spacing w:after="0" w:line="240" w:lineRule="auto"/>
      <w:jc w:val="both"/>
    </w:pPr>
    <w:rPr>
      <w:rFonts w:ascii="Times New Roman" w:eastAsia="宋体"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884"/>
    <w:pPr>
      <w:ind w:left="720"/>
      <w:contextualSpacing/>
    </w:pPr>
  </w:style>
  <w:style w:type="paragraph" w:styleId="Header">
    <w:name w:val="header"/>
    <w:basedOn w:val="Normal"/>
    <w:link w:val="HeaderChar"/>
    <w:uiPriority w:val="99"/>
    <w:unhideWhenUsed/>
    <w:rsid w:val="008272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272AD"/>
    <w:rPr>
      <w:rFonts w:ascii="Times New Roman" w:eastAsia="宋体" w:hAnsi="Times New Roman" w:cs="Times New Roman"/>
      <w:kern w:val="2"/>
      <w:sz w:val="18"/>
      <w:szCs w:val="18"/>
      <w:lang w:val="en-US" w:eastAsia="zh-CN"/>
    </w:rPr>
  </w:style>
  <w:style w:type="paragraph" w:styleId="Footer">
    <w:name w:val="footer"/>
    <w:basedOn w:val="Normal"/>
    <w:link w:val="FooterChar"/>
    <w:uiPriority w:val="99"/>
    <w:unhideWhenUsed/>
    <w:rsid w:val="008272A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272AD"/>
    <w:rPr>
      <w:rFonts w:ascii="Times New Roman" w:eastAsia="宋体" w:hAnsi="Times New Roman" w:cs="Times New Roman"/>
      <w:kern w:val="2"/>
      <w:sz w:val="18"/>
      <w:szCs w:val="18"/>
      <w:lang w:val="en-US" w:eastAsia="zh-CN"/>
    </w:rPr>
  </w:style>
  <w:style w:type="character" w:styleId="CommentReference">
    <w:name w:val="annotation reference"/>
    <w:basedOn w:val="DefaultParagraphFont"/>
    <w:uiPriority w:val="99"/>
    <w:semiHidden/>
    <w:unhideWhenUsed/>
    <w:rsid w:val="008272AD"/>
    <w:rPr>
      <w:sz w:val="21"/>
      <w:szCs w:val="21"/>
    </w:rPr>
  </w:style>
  <w:style w:type="paragraph" w:styleId="CommentText">
    <w:name w:val="annotation text"/>
    <w:basedOn w:val="Normal"/>
    <w:link w:val="CommentTextChar"/>
    <w:unhideWhenUsed/>
    <w:rsid w:val="008272AD"/>
    <w:pPr>
      <w:jc w:val="left"/>
    </w:pPr>
  </w:style>
  <w:style w:type="character" w:customStyle="1" w:styleId="CommentTextChar">
    <w:name w:val="Comment Text Char"/>
    <w:basedOn w:val="DefaultParagraphFont"/>
    <w:link w:val="CommentText"/>
    <w:rsid w:val="008272AD"/>
    <w:rPr>
      <w:rFonts w:ascii="Times New Roman" w:eastAsia="宋体" w:hAnsi="Times New Roman" w:cs="Times New Roman"/>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8272AD"/>
    <w:rPr>
      <w:b/>
      <w:bCs/>
    </w:rPr>
  </w:style>
  <w:style w:type="character" w:customStyle="1" w:styleId="CommentSubjectChar">
    <w:name w:val="Comment Subject Char"/>
    <w:basedOn w:val="CommentTextChar"/>
    <w:link w:val="CommentSubject"/>
    <w:uiPriority w:val="99"/>
    <w:semiHidden/>
    <w:rsid w:val="008272AD"/>
    <w:rPr>
      <w:rFonts w:ascii="Times New Roman" w:eastAsia="宋体" w:hAnsi="Times New Roman" w:cs="Times New Roman"/>
      <w:b/>
      <w:bCs/>
      <w:kern w:val="2"/>
      <w:sz w:val="21"/>
      <w:szCs w:val="24"/>
      <w:lang w:val="en-US" w:eastAsia="zh-CN"/>
    </w:rPr>
  </w:style>
  <w:style w:type="paragraph" w:styleId="BalloonText">
    <w:name w:val="Balloon Text"/>
    <w:basedOn w:val="Normal"/>
    <w:link w:val="BalloonTextChar"/>
    <w:uiPriority w:val="99"/>
    <w:semiHidden/>
    <w:unhideWhenUsed/>
    <w:rsid w:val="008272AD"/>
    <w:rPr>
      <w:sz w:val="18"/>
      <w:szCs w:val="18"/>
    </w:rPr>
  </w:style>
  <w:style w:type="character" w:customStyle="1" w:styleId="BalloonTextChar">
    <w:name w:val="Balloon Text Char"/>
    <w:basedOn w:val="DefaultParagraphFont"/>
    <w:link w:val="BalloonText"/>
    <w:uiPriority w:val="99"/>
    <w:semiHidden/>
    <w:rsid w:val="008272AD"/>
    <w:rPr>
      <w:rFonts w:ascii="Times New Roman" w:eastAsia="宋体" w:hAnsi="Times New Roman" w:cs="Times New Roman"/>
      <w:kern w:val="2"/>
      <w:sz w:val="18"/>
      <w:szCs w:val="18"/>
      <w:lang w:val="en-US" w:eastAsia="zh-CN"/>
    </w:rPr>
  </w:style>
  <w:style w:type="character" w:styleId="Hyperlink">
    <w:name w:val="Hyperlink"/>
    <w:uiPriority w:val="99"/>
    <w:unhideWhenUsed/>
    <w:rsid w:val="008272AD"/>
    <w:rPr>
      <w:color w:val="0000FF"/>
      <w:u w:val="single"/>
    </w:rPr>
  </w:style>
  <w:style w:type="character" w:customStyle="1" w:styleId="apple-converted-space">
    <w:name w:val="apple-converted-space"/>
    <w:basedOn w:val="DefaultParagraphFont"/>
    <w:rsid w:val="001309C9"/>
  </w:style>
  <w:style w:type="paragraph" w:styleId="BodyTextIndent">
    <w:name w:val="Body Text Indent"/>
    <w:basedOn w:val="Normal"/>
    <w:link w:val="BodyTextIndentChar"/>
    <w:uiPriority w:val="99"/>
    <w:unhideWhenUsed/>
    <w:rsid w:val="00D54B17"/>
    <w:pPr>
      <w:spacing w:after="120"/>
      <w:ind w:leftChars="200" w:left="420"/>
    </w:pPr>
    <w:rPr>
      <w:rFonts w:ascii="Book Antiqua" w:eastAsiaTheme="minorEastAsia" w:hAnsi="Book Antiqua"/>
      <w:kern w:val="0"/>
      <w:sz w:val="20"/>
      <w:szCs w:val="20"/>
      <w:lang w:eastAsia="ja-JP"/>
    </w:rPr>
  </w:style>
  <w:style w:type="character" w:customStyle="1" w:styleId="BodyTextIndentChar">
    <w:name w:val="Body Text Indent Char"/>
    <w:basedOn w:val="DefaultParagraphFont"/>
    <w:link w:val="BodyTextIndent"/>
    <w:uiPriority w:val="99"/>
    <w:rsid w:val="00D54B17"/>
    <w:rPr>
      <w:rFonts w:ascii="Book Antiqua" w:hAnsi="Book Antiqua" w:cs="Times New Roman"/>
      <w:sz w:val="20"/>
      <w:szCs w:val="20"/>
      <w:lang w:val="en-US" w:eastAsia="ja-JP"/>
    </w:rPr>
  </w:style>
  <w:style w:type="paragraph" w:styleId="BodyText">
    <w:name w:val="Body Text"/>
    <w:basedOn w:val="Normal"/>
    <w:link w:val="BodyTextChar"/>
    <w:uiPriority w:val="99"/>
    <w:semiHidden/>
    <w:unhideWhenUsed/>
    <w:rsid w:val="00195906"/>
    <w:pPr>
      <w:spacing w:after="120"/>
    </w:pPr>
  </w:style>
  <w:style w:type="character" w:customStyle="1" w:styleId="BodyTextChar">
    <w:name w:val="Body Text Char"/>
    <w:basedOn w:val="DefaultParagraphFont"/>
    <w:link w:val="BodyText"/>
    <w:uiPriority w:val="99"/>
    <w:semiHidden/>
    <w:rsid w:val="00195906"/>
    <w:rPr>
      <w:rFonts w:ascii="Times New Roman" w:eastAsia="宋体" w:hAnsi="Times New Roman" w:cs="Times New Roman"/>
      <w:kern w:val="2"/>
      <w:sz w:val="21"/>
      <w:szCs w:val="24"/>
      <w:lang w:val="en-US" w:eastAsia="zh-CN"/>
    </w:rPr>
  </w:style>
  <w:style w:type="character" w:styleId="Strong">
    <w:name w:val="Strong"/>
    <w:qFormat/>
    <w:rsid w:val="001E5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90970">
      <w:bodyDiv w:val="1"/>
      <w:marLeft w:val="0"/>
      <w:marRight w:val="0"/>
      <w:marTop w:val="0"/>
      <w:marBottom w:val="0"/>
      <w:divBdr>
        <w:top w:val="none" w:sz="0" w:space="0" w:color="auto"/>
        <w:left w:val="none" w:sz="0" w:space="0" w:color="auto"/>
        <w:bottom w:val="none" w:sz="0" w:space="0" w:color="auto"/>
        <w:right w:val="none" w:sz="0" w:space="0" w:color="auto"/>
      </w:divBdr>
    </w:div>
    <w:div w:id="938946544">
      <w:bodyDiv w:val="1"/>
      <w:marLeft w:val="0"/>
      <w:marRight w:val="0"/>
      <w:marTop w:val="0"/>
      <w:marBottom w:val="0"/>
      <w:divBdr>
        <w:top w:val="none" w:sz="0" w:space="0" w:color="auto"/>
        <w:left w:val="none" w:sz="0" w:space="0" w:color="auto"/>
        <w:bottom w:val="none" w:sz="0" w:space="0" w:color="auto"/>
        <w:right w:val="none" w:sz="0" w:space="0" w:color="auto"/>
      </w:divBdr>
    </w:div>
    <w:div w:id="1244607337">
      <w:bodyDiv w:val="1"/>
      <w:marLeft w:val="0"/>
      <w:marRight w:val="0"/>
      <w:marTop w:val="0"/>
      <w:marBottom w:val="0"/>
      <w:divBdr>
        <w:top w:val="none" w:sz="0" w:space="0" w:color="auto"/>
        <w:left w:val="none" w:sz="0" w:space="0" w:color="auto"/>
        <w:bottom w:val="none" w:sz="0" w:space="0" w:color="auto"/>
        <w:right w:val="none" w:sz="0" w:space="0" w:color="auto"/>
      </w:divBdr>
    </w:div>
    <w:div w:id="17808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hilmarklausl@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15565</Words>
  <Characters>88724</Characters>
  <Application>Microsoft Macintosh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NA MA</cp:lastModifiedBy>
  <cp:revision>2</cp:revision>
  <dcterms:created xsi:type="dcterms:W3CDTF">2015-04-01T15:30:00Z</dcterms:created>
  <dcterms:modified xsi:type="dcterms:W3CDTF">2015-04-01T15:30:00Z</dcterms:modified>
</cp:coreProperties>
</file>