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57B4D" w:rsidRPr="00343426" w:rsidRDefault="00657B4D" w:rsidP="00343426">
      <w:pPr>
        <w:spacing w:line="360" w:lineRule="auto"/>
        <w:jc w:val="both"/>
        <w:rPr>
          <w:rFonts w:ascii="Book Antiqua" w:hAnsi="Book Antiqua" w:cs="Tahoma"/>
          <w:b/>
          <w:lang w:eastAsia="zh-CN"/>
        </w:rPr>
      </w:pPr>
      <w:bookmarkStart w:id="0" w:name="OLE_LINK319"/>
      <w:bookmarkStart w:id="1" w:name="OLE_LINK320"/>
      <w:bookmarkStart w:id="2" w:name="OLE_LINK355"/>
      <w:bookmarkStart w:id="3" w:name="OLE_LINK403"/>
      <w:r w:rsidRPr="00343426">
        <w:rPr>
          <w:rFonts w:ascii="Book Antiqua" w:hAnsi="Book Antiqua" w:cs="Tahoma"/>
          <w:b/>
        </w:rPr>
        <w:t xml:space="preserve">Name of journal: </w:t>
      </w:r>
      <w:r w:rsidRPr="00343426">
        <w:rPr>
          <w:rFonts w:ascii="Book Antiqua" w:hAnsi="Book Antiqua" w:cs="Tahoma"/>
          <w:b/>
          <w:i/>
        </w:rPr>
        <w:t xml:space="preserve">World Journal of </w:t>
      </w:r>
      <w:r w:rsidRPr="00343426">
        <w:rPr>
          <w:rFonts w:ascii="Book Antiqua" w:hAnsi="Book Antiqua"/>
          <w:b/>
          <w:bCs/>
          <w:i/>
          <w:u w:color="0000FF"/>
        </w:rPr>
        <w:t>Gastrointestinal Endoscopy</w:t>
      </w:r>
      <w:r w:rsidRPr="00343426">
        <w:rPr>
          <w:rFonts w:ascii="Book Antiqua" w:hAnsi="Book Antiqua" w:cs="Tahoma"/>
          <w:b/>
          <w:i/>
        </w:rPr>
        <w:t xml:space="preserve"> </w:t>
      </w:r>
    </w:p>
    <w:p w:rsidR="00657B4D" w:rsidRPr="00343426" w:rsidRDefault="00657B4D" w:rsidP="00343426">
      <w:pPr>
        <w:spacing w:line="360" w:lineRule="auto"/>
        <w:jc w:val="both"/>
        <w:rPr>
          <w:rFonts w:ascii="Book Antiqua" w:eastAsia="宋体" w:hAnsi="Book Antiqua" w:cs="Tahoma"/>
          <w:b/>
          <w:lang w:eastAsia="zh-CN"/>
        </w:rPr>
      </w:pPr>
      <w:r w:rsidRPr="00343426">
        <w:rPr>
          <w:rFonts w:ascii="Book Antiqua" w:hAnsi="Book Antiqua" w:cs="Tahoma"/>
          <w:b/>
        </w:rPr>
        <w:t>ESPS Manuscript NO:</w:t>
      </w:r>
      <w:r w:rsidRPr="00343426">
        <w:rPr>
          <w:rFonts w:ascii="Book Antiqua" w:eastAsia="宋体" w:hAnsi="Book Antiqua" w:cs="Tahoma"/>
          <w:b/>
          <w:lang w:eastAsia="zh-CN"/>
        </w:rPr>
        <w:t xml:space="preserve"> 13700</w:t>
      </w:r>
    </w:p>
    <w:bookmarkEnd w:id="0"/>
    <w:bookmarkEnd w:id="1"/>
    <w:bookmarkEnd w:id="2"/>
    <w:bookmarkEnd w:id="3"/>
    <w:p w:rsidR="00657B4D" w:rsidRPr="00343426" w:rsidRDefault="00657B4D" w:rsidP="00343426">
      <w:pPr>
        <w:spacing w:line="360" w:lineRule="auto"/>
        <w:jc w:val="both"/>
        <w:rPr>
          <w:rFonts w:ascii="Book Antiqua" w:hAnsi="Book Antiqua" w:cs="Tahoma"/>
          <w:b/>
          <w:lang w:eastAsia="zh-CN"/>
        </w:rPr>
      </w:pPr>
      <w:r w:rsidRPr="00343426">
        <w:rPr>
          <w:rFonts w:ascii="Book Antiqua" w:hAnsi="Book Antiqua" w:cs="Tahoma"/>
          <w:b/>
        </w:rPr>
        <w:t>Columns:</w:t>
      </w:r>
      <w:r w:rsidRPr="00343426">
        <w:rPr>
          <w:rFonts w:ascii="Book Antiqua" w:hAnsi="Book Antiqua" w:cs="Tahoma"/>
          <w:b/>
          <w:lang w:eastAsia="zh-CN"/>
        </w:rPr>
        <w:t xml:space="preserve"> MINIREVIEWS</w:t>
      </w:r>
    </w:p>
    <w:p w:rsidR="00657B4D" w:rsidRPr="00343426" w:rsidRDefault="00657B4D" w:rsidP="00343426">
      <w:pPr>
        <w:pStyle w:val="Gvde"/>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Book Antiqua" w:hAnsi="Book Antiqua"/>
          <w:b/>
          <w:bCs/>
          <w:kern w:val="0"/>
          <w:lang w:eastAsia="zh-CN"/>
        </w:rPr>
      </w:pPr>
    </w:p>
    <w:p w:rsidR="00657B4D" w:rsidRPr="00343426" w:rsidRDefault="00657B4D" w:rsidP="00343426">
      <w:pPr>
        <w:pStyle w:val="Gvde"/>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Book Antiqua" w:hAnsi="Book Antiqua"/>
          <w:kern w:val="0"/>
        </w:rPr>
      </w:pPr>
      <w:r w:rsidRPr="00343426">
        <w:rPr>
          <w:rFonts w:ascii="Book Antiqua" w:hAnsi="Book Antiqua"/>
          <w:b/>
          <w:bCs/>
          <w:kern w:val="0"/>
          <w:lang w:val="en-US"/>
        </w:rPr>
        <w:t>Examining the whole bowel, double balloon enteroscopy: Indications, diagnostic yield and complications</w:t>
      </w:r>
    </w:p>
    <w:p w:rsidR="00657B4D" w:rsidRPr="00343426" w:rsidRDefault="00657B4D" w:rsidP="00343426">
      <w:pPr>
        <w:pStyle w:val="Gvde"/>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Book Antiqua" w:hAnsi="Book Antiqua"/>
          <w:kern w:val="0"/>
        </w:rPr>
      </w:pPr>
    </w:p>
    <w:p w:rsidR="00657B4D" w:rsidRPr="00343426" w:rsidRDefault="00657B4D" w:rsidP="00343426">
      <w:pPr>
        <w:pStyle w:val="Gvde"/>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Book Antiqua" w:hAnsi="Book Antiqua"/>
          <w:kern w:val="0"/>
        </w:rPr>
      </w:pPr>
      <w:r w:rsidRPr="00343426">
        <w:rPr>
          <w:rFonts w:ascii="Book Antiqua" w:hAnsi="Book Antiqua"/>
          <w:kern w:val="0"/>
        </w:rPr>
        <w:t>Saygili F</w:t>
      </w:r>
      <w:r w:rsidRPr="00343426">
        <w:rPr>
          <w:rFonts w:ascii="Book Antiqua" w:hAnsi="Book Antiqua"/>
          <w:i/>
          <w:iCs/>
          <w:kern w:val="0"/>
          <w:lang w:val="fr-FR"/>
        </w:rPr>
        <w:t xml:space="preserve"> et al</w:t>
      </w:r>
      <w:r w:rsidRPr="00343426">
        <w:rPr>
          <w:rFonts w:ascii="Book Antiqua" w:hAnsi="Book Antiqua"/>
          <w:kern w:val="0"/>
          <w:lang w:val="en-US"/>
        </w:rPr>
        <w:t>. Double balloon enteroscopy</w:t>
      </w:r>
    </w:p>
    <w:p w:rsidR="00657B4D" w:rsidRPr="00343426" w:rsidRDefault="00657B4D" w:rsidP="00343426">
      <w:pPr>
        <w:pStyle w:val="Gvde"/>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Book Antiqua" w:hAnsi="Book Antiqua"/>
          <w:kern w:val="0"/>
          <w:lang w:eastAsia="zh-CN"/>
        </w:rPr>
      </w:pPr>
    </w:p>
    <w:p w:rsidR="00657B4D" w:rsidRPr="00343426" w:rsidRDefault="00657B4D" w:rsidP="00343426">
      <w:pPr>
        <w:pStyle w:val="Gvde"/>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Book Antiqua" w:hAnsi="Book Antiqua"/>
          <w:kern w:val="0"/>
        </w:rPr>
      </w:pPr>
      <w:r w:rsidRPr="00343426">
        <w:rPr>
          <w:rFonts w:ascii="Book Antiqua" w:hAnsi="Book Antiqua"/>
          <w:kern w:val="0"/>
        </w:rPr>
        <w:t xml:space="preserve">Fatih </w:t>
      </w:r>
      <w:r w:rsidRPr="00343426">
        <w:rPr>
          <w:rFonts w:ascii="Book Antiqua" w:hAnsi="Book Antiqua"/>
          <w:bCs/>
          <w:kern w:val="0"/>
        </w:rPr>
        <w:t>Saygili</w:t>
      </w:r>
      <w:r w:rsidRPr="00343426">
        <w:rPr>
          <w:rFonts w:ascii="Book Antiqua" w:hAnsi="Book Antiqua"/>
          <w:kern w:val="0"/>
        </w:rPr>
        <w:t xml:space="preserve">, Saba Mukaddes </w:t>
      </w:r>
      <w:r w:rsidRPr="00343426">
        <w:rPr>
          <w:rFonts w:ascii="Book Antiqua" w:hAnsi="Book Antiqua"/>
          <w:bCs/>
          <w:kern w:val="0"/>
        </w:rPr>
        <w:t>Saygili</w:t>
      </w:r>
      <w:r w:rsidRPr="00343426">
        <w:rPr>
          <w:rFonts w:ascii="Book Antiqua" w:hAnsi="Book Antiqua"/>
          <w:kern w:val="0"/>
        </w:rPr>
        <w:t>, Erkin Oztas</w:t>
      </w:r>
    </w:p>
    <w:p w:rsidR="00657B4D" w:rsidRPr="00343426" w:rsidRDefault="00657B4D" w:rsidP="00343426">
      <w:pPr>
        <w:pStyle w:val="Gvde"/>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Book Antiqua" w:hAnsi="Book Antiqua"/>
          <w:b/>
          <w:bCs/>
          <w:kern w:val="0"/>
        </w:rPr>
      </w:pPr>
      <w:r w:rsidRPr="00343426">
        <w:rPr>
          <w:rFonts w:ascii="Book Antiqua" w:hAnsi="Book Antiqua"/>
          <w:kern w:val="0"/>
        </w:rPr>
        <w:t xml:space="preserve"> </w:t>
      </w:r>
    </w:p>
    <w:p w:rsidR="00657B4D" w:rsidRPr="00343426" w:rsidRDefault="00657B4D" w:rsidP="00343426">
      <w:pPr>
        <w:pStyle w:val="Gvde"/>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Book Antiqua" w:hAnsi="Book Antiqua"/>
          <w:b/>
          <w:bCs/>
          <w:kern w:val="0"/>
          <w:lang w:eastAsia="zh-CN"/>
        </w:rPr>
      </w:pPr>
      <w:r w:rsidRPr="00343426">
        <w:rPr>
          <w:rFonts w:ascii="Book Antiqua" w:hAnsi="Book Antiqua"/>
          <w:b/>
          <w:bCs/>
          <w:kern w:val="0"/>
        </w:rPr>
        <w:t>Fatih Saygili, Erkin Oztas,</w:t>
      </w:r>
      <w:r w:rsidR="00DE2717" w:rsidRPr="00343426">
        <w:rPr>
          <w:rFonts w:ascii="Book Antiqua" w:hAnsi="Book Antiqua"/>
          <w:b/>
          <w:bCs/>
          <w:kern w:val="0"/>
        </w:rPr>
        <w:t xml:space="preserve"> </w:t>
      </w:r>
      <w:r w:rsidRPr="00343426">
        <w:rPr>
          <w:rFonts w:ascii="Book Antiqua" w:hAnsi="Book Antiqua"/>
          <w:kern w:val="0"/>
        </w:rPr>
        <w:t>Department of Gastroenterology, Turkiye Yuksek Ihtisas Education and Research Hospital, 06040 Ankara, Turkıye</w:t>
      </w:r>
      <w:r w:rsidRPr="00343426">
        <w:rPr>
          <w:rFonts w:ascii="Book Antiqua" w:hAnsi="Book Antiqua"/>
          <w:b/>
          <w:bCs/>
          <w:kern w:val="0"/>
        </w:rPr>
        <w:t xml:space="preserve"> </w:t>
      </w:r>
    </w:p>
    <w:p w:rsidR="00657B4D" w:rsidRPr="00343426" w:rsidRDefault="00657B4D" w:rsidP="00343426">
      <w:pPr>
        <w:pStyle w:val="Gvde"/>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Book Antiqua" w:hAnsi="Book Antiqua"/>
          <w:b/>
          <w:bCs/>
          <w:kern w:val="0"/>
          <w:lang w:eastAsia="zh-CN"/>
        </w:rPr>
      </w:pPr>
    </w:p>
    <w:p w:rsidR="00657B4D" w:rsidRPr="00343426" w:rsidRDefault="00657B4D" w:rsidP="00343426">
      <w:pPr>
        <w:pStyle w:val="Gvde"/>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Book Antiqua" w:hAnsi="Book Antiqua"/>
          <w:kern w:val="0"/>
          <w:lang w:eastAsia="zh-CN"/>
        </w:rPr>
      </w:pPr>
      <w:r w:rsidRPr="00343426">
        <w:rPr>
          <w:rFonts w:ascii="Book Antiqua" w:hAnsi="Book Antiqua"/>
          <w:b/>
          <w:bCs/>
          <w:kern w:val="0"/>
        </w:rPr>
        <w:t>Saba Mukaddes Saygili,</w:t>
      </w:r>
      <w:r w:rsidRPr="00343426">
        <w:rPr>
          <w:rFonts w:ascii="Book Antiqua" w:hAnsi="Book Antiqua"/>
          <w:kern w:val="0"/>
          <w:lang w:val="en-US"/>
        </w:rPr>
        <w:t xml:space="preserve"> Department of Intensive Care, Ankara University, </w:t>
      </w:r>
      <w:r w:rsidRPr="00343426">
        <w:rPr>
          <w:rFonts w:ascii="Book Antiqua" w:hAnsi="Book Antiqua"/>
          <w:kern w:val="0"/>
        </w:rPr>
        <w:t>06040 Ankara, Turkıye</w:t>
      </w:r>
    </w:p>
    <w:p w:rsidR="00657B4D" w:rsidRPr="00343426" w:rsidRDefault="00657B4D" w:rsidP="00343426">
      <w:pPr>
        <w:pStyle w:val="Gvde"/>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Book Antiqua" w:hAnsi="Book Antiqua"/>
          <w:b/>
          <w:bCs/>
          <w:kern w:val="0"/>
          <w:lang w:eastAsia="zh-CN"/>
        </w:rPr>
      </w:pPr>
    </w:p>
    <w:p w:rsidR="00657B4D" w:rsidRDefault="00657B4D" w:rsidP="00343426">
      <w:pPr>
        <w:pStyle w:val="Gvde"/>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Book Antiqua" w:hAnsi="Book Antiqua"/>
          <w:spacing w:val="-5"/>
          <w:lang w:val="en-US" w:eastAsia="zh-CN"/>
        </w:rPr>
      </w:pPr>
      <w:r w:rsidRPr="00343426">
        <w:rPr>
          <w:rFonts w:ascii="Book Antiqua" w:hAnsi="Book Antiqua"/>
          <w:b/>
          <w:bCs/>
          <w:kern w:val="0"/>
          <w:lang w:val="en-US"/>
        </w:rPr>
        <w:t xml:space="preserve">Author contributions: </w:t>
      </w:r>
      <w:r w:rsidRPr="00343426">
        <w:rPr>
          <w:rFonts w:ascii="Book Antiqua" w:hAnsi="Book Antiqua"/>
          <w:kern w:val="0"/>
        </w:rPr>
        <w:t>Saygili F and Saygili SM did the bibliography search and wrote the simple draft of the review and Oztas E wrote the main points and edited the last end detailed version with improved English language</w:t>
      </w:r>
      <w:r w:rsidRPr="00343426">
        <w:rPr>
          <w:rFonts w:ascii="Book Antiqua" w:hAnsi="Book Antiqua"/>
          <w:spacing w:val="-5"/>
          <w:lang w:val="en-US"/>
        </w:rPr>
        <w:t>.</w:t>
      </w:r>
    </w:p>
    <w:p w:rsidR="00343426" w:rsidRDefault="00343426" w:rsidP="00343426">
      <w:pPr>
        <w:pStyle w:val="Gvde"/>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Book Antiqua" w:hAnsi="Book Antiqua"/>
          <w:spacing w:val="-5"/>
          <w:lang w:val="en-US" w:eastAsia="zh-CN"/>
        </w:rPr>
      </w:pPr>
    </w:p>
    <w:p w:rsidR="00343426" w:rsidRPr="001615F0" w:rsidRDefault="00343426" w:rsidP="00343426">
      <w:pPr>
        <w:pStyle w:val="BodyTextIndent"/>
        <w:spacing w:line="360" w:lineRule="auto"/>
        <w:ind w:leftChars="0" w:left="0"/>
        <w:rPr>
          <w:rFonts w:eastAsia="宋体"/>
          <w:sz w:val="24"/>
          <w:szCs w:val="24"/>
          <w:lang w:eastAsia="zh-CN"/>
        </w:rPr>
      </w:pPr>
      <w:r w:rsidRPr="001615F0">
        <w:rPr>
          <w:rFonts w:eastAsia="Times New Roman" w:cs="Gulim"/>
          <w:b/>
          <w:color w:val="000000"/>
          <w:sz w:val="24"/>
          <w:szCs w:val="24"/>
        </w:rPr>
        <w:t>Conflict-of-interest</w:t>
      </w:r>
      <w:r w:rsidRPr="001615F0">
        <w:rPr>
          <w:rFonts w:cs="Gulim"/>
          <w:b/>
          <w:color w:val="000000"/>
          <w:sz w:val="24"/>
          <w:szCs w:val="24"/>
          <w:lang w:eastAsia="zh-CN"/>
        </w:rPr>
        <w:t>:</w:t>
      </w:r>
      <w:r w:rsidRPr="001615F0">
        <w:rPr>
          <w:rFonts w:eastAsia="宋体" w:cs="Gulim"/>
          <w:b/>
          <w:color w:val="000000"/>
          <w:sz w:val="24"/>
          <w:szCs w:val="24"/>
          <w:lang w:eastAsia="zh-CN"/>
        </w:rPr>
        <w:t xml:space="preserve"> </w:t>
      </w:r>
      <w:r>
        <w:rPr>
          <w:sz w:val="24"/>
          <w:szCs w:val="24"/>
          <w:lang w:eastAsia="zh-CN"/>
        </w:rPr>
        <w:t xml:space="preserve">None </w:t>
      </w:r>
      <w:r>
        <w:rPr>
          <w:rFonts w:hint="eastAsia"/>
          <w:sz w:val="24"/>
          <w:szCs w:val="24"/>
          <w:lang w:eastAsia="zh-CN"/>
        </w:rPr>
        <w:t>of the authors have any conflict of interest.</w:t>
      </w:r>
    </w:p>
    <w:p w:rsidR="00343426" w:rsidRPr="001615F0" w:rsidRDefault="00343426" w:rsidP="00343426">
      <w:pPr>
        <w:pStyle w:val="CommentText"/>
        <w:adjustRightInd w:val="0"/>
        <w:snapToGrid w:val="0"/>
        <w:spacing w:line="360" w:lineRule="auto"/>
        <w:jc w:val="both"/>
        <w:rPr>
          <w:rFonts w:cs="Gulim"/>
          <w:b/>
          <w:color w:val="000000"/>
          <w:sz w:val="24"/>
          <w:szCs w:val="24"/>
          <w:lang w:eastAsia="zh-CN"/>
        </w:rPr>
      </w:pPr>
      <w:r w:rsidRPr="001615F0">
        <w:rPr>
          <w:rFonts w:eastAsia="Times New Roman" w:cs="Gulim"/>
          <w:b/>
          <w:color w:val="000000"/>
          <w:sz w:val="24"/>
          <w:szCs w:val="24"/>
        </w:rPr>
        <w:t xml:space="preserve"> </w:t>
      </w:r>
    </w:p>
    <w:p w:rsidR="00343426" w:rsidRPr="00343426" w:rsidRDefault="00343426" w:rsidP="00343426">
      <w:pPr>
        <w:spacing w:line="360" w:lineRule="auto"/>
        <w:jc w:val="both"/>
        <w:rPr>
          <w:rFonts w:ascii="Book Antiqua" w:eastAsiaTheme="minorEastAsia" w:hAnsi="Book Antiqua" w:cs="宋体"/>
          <w:lang w:eastAsia="zh-CN"/>
        </w:rPr>
      </w:pPr>
      <w:r w:rsidRPr="001615F0">
        <w:rPr>
          <w:rFonts w:ascii="Book Antiqua" w:hAnsi="Book Antiqua"/>
          <w:b/>
        </w:rPr>
        <w:t xml:space="preserve">Open-Access: </w:t>
      </w:r>
      <w:r w:rsidRPr="001615F0">
        <w:rPr>
          <w:rFonts w:ascii="Book Antiqua" w:hAnsi="Book Antiqua"/>
        </w:rPr>
        <w:t xml:space="preserve">This article is an </w:t>
      </w:r>
      <w:r w:rsidRPr="001615F0">
        <w:rPr>
          <w:rFonts w:ascii="Book Antiqua" w:hAnsi="Book Antiqua" w:cs="宋体"/>
        </w:rPr>
        <w:t xml:space="preserve">open-access article which </w:t>
      </w:r>
      <w:r w:rsidRPr="001615F0">
        <w:rPr>
          <w:rFonts w:ascii="Book Antiqua" w:hAnsi="Book Antiqua"/>
        </w:rPr>
        <w:t xml:space="preserve">selected by an in-house editor and fully peer-reviewed by external reviewers. It </w:t>
      </w:r>
      <w:r w:rsidRPr="001615F0">
        <w:rPr>
          <w:rFonts w:ascii="Book Antiqua" w:hAnsi="Book Antiqua" w:cs="宋体"/>
        </w:rPr>
        <w:t xml:space="preserve">distributed in accordance with </w:t>
      </w:r>
      <w:r w:rsidRPr="001615F0">
        <w:rPr>
          <w:rFonts w:ascii="Book Antiqua" w:hAnsi="Book Antiqua"/>
        </w:rPr>
        <w:t>the Cre</w:t>
      </w:r>
      <w:r w:rsidRPr="001615F0">
        <w:rPr>
          <w:rFonts w:ascii="Book Antiqua" w:hAnsi="Book Antiqua"/>
        </w:rPr>
        <w:t>a</w:t>
      </w:r>
      <w:r w:rsidRPr="001615F0">
        <w:rPr>
          <w:rFonts w:ascii="Book Antiqua" w:hAnsi="Book Antiqua"/>
        </w:rPr>
        <w:t>tive Commons Attribution Non Commercial (CC BY-NC 4.0) license, which permits others to distribute, remix, adapt, build upon this work non-commercially, and license their d</w:t>
      </w:r>
      <w:r w:rsidRPr="001615F0">
        <w:rPr>
          <w:rFonts w:ascii="Book Antiqua" w:hAnsi="Book Antiqua"/>
        </w:rPr>
        <w:t>e</w:t>
      </w:r>
      <w:r w:rsidRPr="001615F0">
        <w:rPr>
          <w:rFonts w:ascii="Book Antiqua" w:hAnsi="Book Antiqua"/>
        </w:rPr>
        <w:t>rivative works on different terms, provided the original work is properly cited and the use is non-commercial. See: http://creativecommons.org/licenses/by-nc/4.0/</w:t>
      </w:r>
    </w:p>
    <w:p w:rsidR="00657B4D" w:rsidRPr="00343426" w:rsidRDefault="00657B4D" w:rsidP="00343426">
      <w:pPr>
        <w:pStyle w:val="Gvde"/>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Book Antiqua" w:hAnsi="Book Antiqua"/>
          <w:b/>
          <w:bCs/>
          <w:kern w:val="0"/>
        </w:rPr>
      </w:pPr>
    </w:p>
    <w:p w:rsidR="00657B4D" w:rsidRPr="00343426" w:rsidRDefault="00657B4D" w:rsidP="00343426">
      <w:pPr>
        <w:pStyle w:val="Gvde"/>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Book Antiqua" w:hAnsi="Book Antiqua"/>
          <w:kern w:val="0"/>
        </w:rPr>
      </w:pPr>
      <w:r w:rsidRPr="00343426">
        <w:rPr>
          <w:rFonts w:ascii="Book Antiqua" w:hAnsi="Book Antiqua"/>
          <w:b/>
          <w:bCs/>
          <w:kern w:val="0"/>
          <w:lang w:val="en-US"/>
        </w:rPr>
        <w:t>Correspondence to: Erkin Oztas, MD</w:t>
      </w:r>
      <w:r w:rsidRPr="00343426">
        <w:rPr>
          <w:rFonts w:ascii="Book Antiqua" w:hAnsi="Book Antiqua"/>
          <w:b/>
          <w:bCs/>
          <w:kern w:val="0"/>
          <w:lang w:val="en-US" w:eastAsia="zh-CN"/>
        </w:rPr>
        <w:t>,</w:t>
      </w:r>
      <w:r w:rsidRPr="00343426">
        <w:rPr>
          <w:rFonts w:ascii="Book Antiqua" w:hAnsi="Book Antiqua"/>
          <w:b/>
          <w:bCs/>
          <w:kern w:val="0"/>
          <w:lang w:val="en-US"/>
        </w:rPr>
        <w:t xml:space="preserve"> Associate Professor, </w:t>
      </w:r>
      <w:r w:rsidR="00F35FF5" w:rsidRPr="00343426">
        <w:rPr>
          <w:rFonts w:ascii="Book Antiqua" w:hAnsi="Book Antiqua"/>
          <w:kern w:val="0"/>
        </w:rPr>
        <w:t>Department of Gastroenterology, Turkiye Yuksek Ihtisas Education and Research Hospital,</w:t>
      </w:r>
      <w:r w:rsidRPr="00343426">
        <w:rPr>
          <w:rFonts w:ascii="Book Antiqua" w:hAnsi="Book Antiqua"/>
          <w:kern w:val="0"/>
        </w:rPr>
        <w:t xml:space="preserve"> </w:t>
      </w:r>
      <w:r w:rsidR="00F35FF5" w:rsidRPr="00343426">
        <w:rPr>
          <w:rFonts w:ascii="Book Antiqua" w:hAnsi="Book Antiqua"/>
          <w:kern w:val="0"/>
        </w:rPr>
        <w:t xml:space="preserve">Hacettepe </w:t>
      </w:r>
      <w:r w:rsidR="00F35FF5" w:rsidRPr="00343426">
        <w:rPr>
          <w:rFonts w:ascii="Book Antiqua" w:hAnsi="Book Antiqua"/>
          <w:kern w:val="0"/>
        </w:rPr>
        <w:lastRenderedPageBreak/>
        <w:t>Mh.,</w:t>
      </w:r>
      <w:r w:rsidRPr="00343426">
        <w:rPr>
          <w:rFonts w:ascii="Book Antiqua" w:hAnsi="Book Antiqua"/>
          <w:kern w:val="0"/>
        </w:rPr>
        <w:t xml:space="preserve"> 06040 Ankara, Turkıye</w:t>
      </w:r>
      <w:r w:rsidRPr="00343426">
        <w:rPr>
          <w:rFonts w:ascii="Book Antiqua" w:hAnsi="Book Antiqua"/>
          <w:kern w:val="0"/>
          <w:lang w:eastAsia="zh-CN"/>
        </w:rPr>
        <w:t>.</w:t>
      </w:r>
      <w:r w:rsidRPr="00343426">
        <w:rPr>
          <w:rFonts w:ascii="Book Antiqua" w:hAnsi="Book Antiqua"/>
          <w:kern w:val="0"/>
        </w:rPr>
        <w:t xml:space="preserve"> </w:t>
      </w:r>
      <w:r w:rsidRPr="009A6AE2">
        <w:rPr>
          <w:rFonts w:ascii="Book Antiqua" w:hAnsi="Book Antiqua"/>
          <w:kern w:val="0"/>
        </w:rPr>
        <w:t xml:space="preserve">erkinous@yahoo.com </w:t>
      </w:r>
    </w:p>
    <w:p w:rsidR="00657B4D" w:rsidRPr="00343426" w:rsidRDefault="00657B4D" w:rsidP="00343426">
      <w:pPr>
        <w:pStyle w:val="Gvde"/>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Book Antiqua" w:hAnsi="Book Antiqua"/>
          <w:kern w:val="0"/>
        </w:rPr>
      </w:pPr>
    </w:p>
    <w:p w:rsidR="00657B4D" w:rsidRPr="00343426" w:rsidRDefault="00657B4D" w:rsidP="00343426">
      <w:pPr>
        <w:pStyle w:val="Gvde"/>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Book Antiqua" w:hAnsi="Book Antiqua"/>
          <w:b/>
          <w:bCs/>
          <w:kern w:val="0"/>
        </w:rPr>
      </w:pPr>
      <w:r w:rsidRPr="00343426">
        <w:rPr>
          <w:rFonts w:ascii="Book Antiqua" w:hAnsi="Book Antiqua"/>
          <w:b/>
          <w:kern w:val="0"/>
        </w:rPr>
        <w:t>Telephone:</w:t>
      </w:r>
      <w:r w:rsidRPr="00343426">
        <w:rPr>
          <w:rFonts w:ascii="Book Antiqua" w:hAnsi="Book Antiqua"/>
          <w:kern w:val="0"/>
        </w:rPr>
        <w:t xml:space="preserve"> +90-505-5025495</w:t>
      </w:r>
      <w:r w:rsidR="00DE2717" w:rsidRPr="00343426">
        <w:rPr>
          <w:rFonts w:ascii="Book Antiqua" w:hAnsi="Book Antiqua"/>
          <w:kern w:val="0"/>
        </w:rPr>
        <w:t xml:space="preserve">   </w:t>
      </w:r>
      <w:r w:rsidRPr="00343426">
        <w:rPr>
          <w:rFonts w:ascii="Book Antiqua" w:hAnsi="Book Antiqua"/>
          <w:kern w:val="0"/>
        </w:rPr>
        <w:t xml:space="preserve"> </w:t>
      </w:r>
      <w:r w:rsidRPr="00343426">
        <w:rPr>
          <w:rFonts w:ascii="Book Antiqua" w:hAnsi="Book Antiqua"/>
          <w:b/>
          <w:kern w:val="0"/>
        </w:rPr>
        <w:t>Fax:</w:t>
      </w:r>
      <w:r w:rsidRPr="00343426">
        <w:rPr>
          <w:rFonts w:ascii="Book Antiqua" w:hAnsi="Book Antiqua"/>
          <w:kern w:val="0"/>
        </w:rPr>
        <w:t xml:space="preserve"> +90-312-3124120</w:t>
      </w:r>
    </w:p>
    <w:p w:rsidR="00343426" w:rsidRPr="00343426" w:rsidRDefault="00343426" w:rsidP="00343426">
      <w:pPr>
        <w:spacing w:line="360" w:lineRule="auto"/>
        <w:jc w:val="both"/>
        <w:rPr>
          <w:rFonts w:ascii="Book Antiqua" w:eastAsiaTheme="minorEastAsia" w:hAnsi="Book Antiqua"/>
          <w:b/>
          <w:lang w:eastAsia="zh-CN"/>
        </w:rPr>
      </w:pPr>
      <w:r w:rsidRPr="00343426">
        <w:rPr>
          <w:rFonts w:ascii="Book Antiqua" w:hAnsi="Book Antiqua"/>
          <w:b/>
        </w:rPr>
        <w:t>Received:</w:t>
      </w:r>
      <w:r w:rsidRPr="00343426">
        <w:rPr>
          <w:rFonts w:ascii="Book Antiqua" w:eastAsiaTheme="minorEastAsia" w:hAnsi="Book Antiqua"/>
          <w:b/>
          <w:lang w:eastAsia="zh-CN"/>
        </w:rPr>
        <w:t xml:space="preserve"> </w:t>
      </w:r>
      <w:r w:rsidRPr="00343426">
        <w:rPr>
          <w:rFonts w:ascii="Book Antiqua" w:eastAsiaTheme="minorEastAsia" w:hAnsi="Book Antiqua"/>
          <w:lang w:eastAsia="zh-CN"/>
        </w:rPr>
        <w:t>August 29, 2014</w:t>
      </w:r>
    </w:p>
    <w:p w:rsidR="00343426" w:rsidRPr="00343426" w:rsidRDefault="00343426" w:rsidP="00343426">
      <w:pPr>
        <w:spacing w:line="360" w:lineRule="auto"/>
        <w:jc w:val="both"/>
        <w:rPr>
          <w:rFonts w:ascii="Book Antiqua" w:eastAsiaTheme="minorEastAsia" w:hAnsi="Book Antiqua"/>
          <w:b/>
          <w:lang w:eastAsia="zh-CN"/>
        </w:rPr>
      </w:pPr>
      <w:r w:rsidRPr="00343426">
        <w:rPr>
          <w:rFonts w:ascii="Book Antiqua" w:hAnsi="Book Antiqua"/>
          <w:b/>
        </w:rPr>
        <w:t>Peer-review started:</w:t>
      </w:r>
      <w:r w:rsidRPr="00343426">
        <w:rPr>
          <w:rFonts w:ascii="Book Antiqua" w:eastAsiaTheme="minorEastAsia" w:hAnsi="Book Antiqua"/>
          <w:b/>
          <w:lang w:eastAsia="zh-CN"/>
        </w:rPr>
        <w:t xml:space="preserve"> </w:t>
      </w:r>
      <w:r w:rsidRPr="00343426">
        <w:rPr>
          <w:rFonts w:ascii="Book Antiqua" w:eastAsiaTheme="minorEastAsia" w:hAnsi="Book Antiqua"/>
          <w:lang w:eastAsia="zh-CN"/>
        </w:rPr>
        <w:t>August 29, 2014</w:t>
      </w:r>
    </w:p>
    <w:p w:rsidR="00343426" w:rsidRPr="00343426" w:rsidRDefault="00343426" w:rsidP="00343426">
      <w:pPr>
        <w:spacing w:line="360" w:lineRule="auto"/>
        <w:jc w:val="both"/>
        <w:rPr>
          <w:rFonts w:ascii="Book Antiqua" w:eastAsiaTheme="minorEastAsia" w:hAnsi="Book Antiqua"/>
          <w:b/>
          <w:lang w:eastAsia="zh-CN"/>
        </w:rPr>
      </w:pPr>
      <w:r w:rsidRPr="00343426">
        <w:rPr>
          <w:rFonts w:ascii="Book Antiqua" w:hAnsi="Book Antiqua"/>
          <w:b/>
        </w:rPr>
        <w:t>First decision:</w:t>
      </w:r>
      <w:r w:rsidRPr="00343426">
        <w:rPr>
          <w:rFonts w:ascii="Book Antiqua" w:eastAsiaTheme="minorEastAsia" w:hAnsi="Book Antiqua"/>
          <w:b/>
          <w:lang w:eastAsia="zh-CN"/>
        </w:rPr>
        <w:t xml:space="preserve"> </w:t>
      </w:r>
      <w:r w:rsidRPr="00343426">
        <w:rPr>
          <w:rFonts w:ascii="Book Antiqua" w:eastAsiaTheme="minorEastAsia" w:hAnsi="Book Antiqua"/>
          <w:lang w:eastAsia="zh-CN"/>
        </w:rPr>
        <w:t>November 1, 2014</w:t>
      </w:r>
    </w:p>
    <w:p w:rsidR="00343426" w:rsidRPr="00343426" w:rsidRDefault="00343426" w:rsidP="00343426">
      <w:pPr>
        <w:spacing w:line="360" w:lineRule="auto"/>
        <w:jc w:val="both"/>
        <w:rPr>
          <w:rFonts w:ascii="Book Antiqua" w:eastAsiaTheme="minorEastAsia" w:hAnsi="Book Antiqua"/>
          <w:b/>
          <w:lang w:eastAsia="zh-CN"/>
        </w:rPr>
      </w:pPr>
      <w:r w:rsidRPr="00343426">
        <w:rPr>
          <w:rFonts w:ascii="Book Antiqua" w:hAnsi="Book Antiqua"/>
          <w:b/>
        </w:rPr>
        <w:t>Revised:</w:t>
      </w:r>
      <w:r w:rsidRPr="00343426">
        <w:rPr>
          <w:rFonts w:ascii="Book Antiqua" w:eastAsiaTheme="minorEastAsia" w:hAnsi="Book Antiqua"/>
          <w:b/>
          <w:lang w:eastAsia="zh-CN"/>
        </w:rPr>
        <w:t xml:space="preserve"> </w:t>
      </w:r>
      <w:r w:rsidRPr="00343426">
        <w:rPr>
          <w:rFonts w:ascii="Book Antiqua" w:eastAsiaTheme="minorEastAsia" w:hAnsi="Book Antiqua"/>
          <w:lang w:eastAsia="zh-CN"/>
        </w:rPr>
        <w:t>November 15, 2014</w:t>
      </w:r>
    </w:p>
    <w:p w:rsidR="00343426" w:rsidRPr="00ED5DEB" w:rsidRDefault="00343426" w:rsidP="00ED5DEB">
      <w:pPr>
        <w:rPr>
          <w:rFonts w:ascii="Book Antiqua" w:hAnsi="Book Antiqua"/>
          <w:iCs/>
        </w:rPr>
      </w:pPr>
      <w:r w:rsidRPr="00343426">
        <w:rPr>
          <w:rFonts w:ascii="Book Antiqua" w:hAnsi="Book Antiqua"/>
          <w:b/>
        </w:rPr>
        <w:t xml:space="preserve">Accepted: </w:t>
      </w:r>
      <w:bookmarkStart w:id="4" w:name="OLE_LINK1"/>
      <w:bookmarkStart w:id="5" w:name="OLE_LINK2"/>
      <w:bookmarkStart w:id="6" w:name="OLE_LINK3"/>
      <w:bookmarkStart w:id="7" w:name="OLE_LINK4"/>
      <w:bookmarkStart w:id="8" w:name="OLE_LINK5"/>
      <w:bookmarkStart w:id="9" w:name="OLE_LINK6"/>
      <w:bookmarkStart w:id="10" w:name="OLE_LINK7"/>
      <w:bookmarkStart w:id="11" w:name="OLE_LINK9"/>
      <w:bookmarkStart w:id="12" w:name="OLE_LINK10"/>
      <w:bookmarkStart w:id="13" w:name="OLE_LINK13"/>
      <w:bookmarkStart w:id="14" w:name="OLE_LINK14"/>
      <w:bookmarkStart w:id="15" w:name="OLE_LINK17"/>
      <w:bookmarkStart w:id="16" w:name="OLE_LINK18"/>
      <w:bookmarkStart w:id="17" w:name="OLE_LINK19"/>
      <w:bookmarkStart w:id="18" w:name="OLE_LINK22"/>
      <w:bookmarkStart w:id="19" w:name="OLE_LINK24"/>
      <w:bookmarkStart w:id="20" w:name="OLE_LINK25"/>
      <w:bookmarkStart w:id="21" w:name="OLE_LINK26"/>
      <w:bookmarkStart w:id="22" w:name="OLE_LINK27"/>
      <w:bookmarkStart w:id="23" w:name="OLE_LINK28"/>
      <w:bookmarkStart w:id="24" w:name="OLE_LINK29"/>
      <w:bookmarkStart w:id="25" w:name="OLE_LINK30"/>
      <w:bookmarkStart w:id="26" w:name="OLE_LINK31"/>
      <w:bookmarkStart w:id="27" w:name="OLE_LINK32"/>
      <w:bookmarkStart w:id="28" w:name="OLE_LINK34"/>
      <w:bookmarkStart w:id="29" w:name="OLE_LINK36"/>
      <w:bookmarkStart w:id="30" w:name="OLE_LINK37"/>
      <w:bookmarkStart w:id="31" w:name="OLE_LINK38"/>
      <w:bookmarkStart w:id="32" w:name="OLE_LINK41"/>
      <w:bookmarkStart w:id="33" w:name="OLE_LINK42"/>
      <w:bookmarkStart w:id="34" w:name="OLE_LINK44"/>
      <w:bookmarkStart w:id="35" w:name="OLE_LINK45"/>
      <w:bookmarkStart w:id="36" w:name="OLE_LINK46"/>
      <w:bookmarkStart w:id="37" w:name="OLE_LINK47"/>
      <w:bookmarkStart w:id="38" w:name="OLE_LINK52"/>
      <w:bookmarkStart w:id="39" w:name="OLE_LINK43"/>
      <w:bookmarkStart w:id="40" w:name="OLE_LINK57"/>
      <w:bookmarkStart w:id="41" w:name="OLE_LINK58"/>
      <w:bookmarkStart w:id="42" w:name="OLE_LINK8"/>
      <w:bookmarkStart w:id="43" w:name="OLE_LINK62"/>
      <w:bookmarkStart w:id="44" w:name="OLE_LINK66"/>
      <w:bookmarkStart w:id="45" w:name="OLE_LINK68"/>
      <w:bookmarkStart w:id="46" w:name="OLE_LINK69"/>
      <w:bookmarkStart w:id="47" w:name="OLE_LINK71"/>
      <w:bookmarkStart w:id="48" w:name="OLE_LINK74"/>
      <w:bookmarkStart w:id="49" w:name="OLE_LINK77"/>
      <w:bookmarkStart w:id="50" w:name="OLE_LINK78"/>
      <w:bookmarkStart w:id="51" w:name="OLE_LINK72"/>
      <w:bookmarkStart w:id="52" w:name="OLE_LINK73"/>
      <w:bookmarkStart w:id="53" w:name="OLE_LINK79"/>
      <w:bookmarkStart w:id="54" w:name="OLE_LINK81"/>
      <w:bookmarkStart w:id="55" w:name="OLE_LINK86"/>
      <w:bookmarkStart w:id="56" w:name="OLE_LINK87"/>
      <w:bookmarkStart w:id="57" w:name="OLE_LINK88"/>
      <w:bookmarkStart w:id="58" w:name="OLE_LINK89"/>
      <w:bookmarkStart w:id="59" w:name="OLE_LINK92"/>
      <w:bookmarkStart w:id="60" w:name="OLE_LINK94"/>
      <w:bookmarkStart w:id="61" w:name="OLE_LINK95"/>
      <w:r w:rsidR="00ED5DEB">
        <w:rPr>
          <w:rStyle w:val="Emphasis"/>
          <w:rFonts w:ascii="Book Antiqua" w:hAnsi="Book Antiqua"/>
          <w:i w:val="0"/>
        </w:rPr>
        <w:t>December</w:t>
      </w:r>
      <w:r w:rsidR="00ED5DEB" w:rsidRPr="00A63FB9">
        <w:rPr>
          <w:rStyle w:val="Emphasis"/>
          <w:rFonts w:ascii="Book Antiqua" w:hAnsi="Book Antiqua"/>
          <w:i w:val="0"/>
        </w:rPr>
        <w:t xml:space="preserve"> </w:t>
      </w:r>
      <w:r w:rsidR="00ED5DEB">
        <w:rPr>
          <w:rStyle w:val="Emphasis"/>
          <w:rFonts w:ascii="Book Antiqua" w:hAnsi="Book Antiqua"/>
          <w:i w:val="0"/>
        </w:rPr>
        <w:t>16</w:t>
      </w:r>
      <w:r w:rsidR="00ED5DEB" w:rsidRPr="00A63FB9">
        <w:rPr>
          <w:rStyle w:val="Emphasis"/>
          <w:rFonts w:ascii="Book Antiqua" w:hAnsi="Book Antiqua"/>
          <w:i w:val="0"/>
        </w:rPr>
        <w:t>, 2014</w:t>
      </w:r>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p>
    <w:p w:rsidR="00343426" w:rsidRPr="00343426" w:rsidRDefault="00343426" w:rsidP="00343426">
      <w:pPr>
        <w:spacing w:line="360" w:lineRule="auto"/>
        <w:jc w:val="both"/>
        <w:rPr>
          <w:rFonts w:ascii="Book Antiqua" w:hAnsi="Book Antiqua"/>
          <w:b/>
        </w:rPr>
      </w:pPr>
      <w:r w:rsidRPr="00343426">
        <w:rPr>
          <w:rFonts w:ascii="Book Antiqua" w:hAnsi="Book Antiqua"/>
          <w:b/>
        </w:rPr>
        <w:t>Article in press:</w:t>
      </w:r>
    </w:p>
    <w:p w:rsidR="00343426" w:rsidRPr="00343426" w:rsidRDefault="00343426" w:rsidP="00343426">
      <w:pPr>
        <w:spacing w:line="360" w:lineRule="auto"/>
        <w:jc w:val="both"/>
        <w:rPr>
          <w:rFonts w:ascii="Book Antiqua" w:hAnsi="Book Antiqua"/>
          <w:b/>
        </w:rPr>
      </w:pPr>
      <w:r w:rsidRPr="00343426">
        <w:rPr>
          <w:rFonts w:ascii="Book Antiqua" w:hAnsi="Book Antiqua"/>
          <w:b/>
        </w:rPr>
        <w:t xml:space="preserve">Published online: </w:t>
      </w:r>
    </w:p>
    <w:p w:rsidR="00326A75" w:rsidRPr="00343426" w:rsidRDefault="00326A75" w:rsidP="00343426">
      <w:pPr>
        <w:pStyle w:val="Gvde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Book Antiqua" w:eastAsia="Book Antiqua" w:hAnsi="Book Antiqua" w:cs="Book Antiqua"/>
          <w:kern w:val="0"/>
        </w:rPr>
      </w:pPr>
    </w:p>
    <w:p w:rsidR="00326A75" w:rsidRPr="00343426" w:rsidRDefault="00CE14F2" w:rsidP="00343426">
      <w:pPr>
        <w:pStyle w:val="Gvde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Book Antiqua" w:eastAsia="Book Antiqua" w:hAnsi="Book Antiqua" w:cs="Book Antiqua"/>
          <w:kern w:val="0"/>
        </w:rPr>
      </w:pPr>
      <w:r w:rsidRPr="00343426">
        <w:rPr>
          <w:rFonts w:ascii="Book Antiqua" w:hAnsi="Book Antiqua"/>
          <w:b/>
          <w:bCs/>
          <w:kern w:val="0"/>
        </w:rPr>
        <w:t xml:space="preserve">Abstract </w:t>
      </w:r>
    </w:p>
    <w:p w:rsidR="00326A75" w:rsidRPr="00343426" w:rsidRDefault="00DF5161" w:rsidP="00343426">
      <w:pPr>
        <w:pStyle w:val="Gvde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Book Antiqua" w:eastAsia="Book Antiqua" w:hAnsi="Book Antiqua" w:cs="Book Antiqua"/>
          <w:kern w:val="0"/>
        </w:rPr>
      </w:pPr>
      <w:r w:rsidRPr="00343426">
        <w:rPr>
          <w:rFonts w:ascii="Book Antiqua" w:hAnsi="Book Antiqua"/>
          <w:kern w:val="0"/>
        </w:rPr>
        <w:t>Double ballon enteroscopy (DBE)</w:t>
      </w:r>
      <w:r w:rsidR="00CE14F2" w:rsidRPr="00343426">
        <w:rPr>
          <w:rFonts w:ascii="Book Antiqua" w:hAnsi="Book Antiqua"/>
          <w:kern w:val="0"/>
        </w:rPr>
        <w:t xml:space="preserve"> is an advanced type of endoscopic procedure which brings the advantage of reaching the whole small bowel using anterograde or the retrograde route. This procedure is both diagnostic and interventional for a variety of small intestinal diseases, such as vascular lesions, tumors, polyps and involvement of inflammatory bowel diseases. Main indication is the diagnosis and treatment of mid-gastrointestinal bleeding according to the recent published data all over the world. The complication rates seem to be higher than conventional procedures but growing experience is lowering them and improving the procedure to be</w:t>
      </w:r>
      <w:bookmarkStart w:id="62" w:name="_GoBack"/>
      <w:r w:rsidR="00CE14F2" w:rsidRPr="00343426">
        <w:rPr>
          <w:rFonts w:ascii="Book Antiqua" w:hAnsi="Book Antiqua"/>
          <w:kern w:val="0"/>
        </w:rPr>
        <w:t xml:space="preserve"> safe </w:t>
      </w:r>
      <w:bookmarkEnd w:id="62"/>
      <w:r w:rsidR="00CE14F2" w:rsidRPr="00343426">
        <w:rPr>
          <w:rFonts w:ascii="Book Antiqua" w:hAnsi="Book Antiqua"/>
          <w:kern w:val="0"/>
        </w:rPr>
        <w:t>and well tolerated. This review is about the technique, indications, diagnostic importance and complications of DBE according to the literature growing since 2001.</w:t>
      </w:r>
      <w:r w:rsidR="00DE2717" w:rsidRPr="00343426">
        <w:rPr>
          <w:rFonts w:ascii="Book Antiqua" w:hAnsi="Book Antiqua"/>
          <w:kern w:val="0"/>
        </w:rPr>
        <w:t xml:space="preserve"> </w:t>
      </w:r>
    </w:p>
    <w:p w:rsidR="00326A75" w:rsidRPr="00343426" w:rsidRDefault="00326A75" w:rsidP="00343426">
      <w:pPr>
        <w:pStyle w:val="Gvde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Book Antiqua" w:hAnsi="Book Antiqua"/>
          <w:kern w:val="0"/>
        </w:rPr>
      </w:pPr>
    </w:p>
    <w:p w:rsidR="00DA4C1A" w:rsidRPr="00F36768" w:rsidRDefault="00DA4C1A" w:rsidP="00DA4C1A">
      <w:pPr>
        <w:spacing w:line="360" w:lineRule="auto"/>
        <w:rPr>
          <w:rFonts w:ascii="Book Antiqua" w:hAnsi="Book Antiqua"/>
          <w:i/>
          <w:iCs/>
          <w:lang w:eastAsia="zh-CN"/>
        </w:rPr>
      </w:pPr>
      <w:proofErr w:type="gramStart"/>
      <w:r>
        <w:rPr>
          <w:rFonts w:ascii="Book Antiqua" w:hAnsi="Book Antiqua" w:cs="Tahoma"/>
          <w:lang w:val="en-GB" w:eastAsia="ja-JP"/>
        </w:rPr>
        <w:t xml:space="preserve">© </w:t>
      </w:r>
      <w:r>
        <w:rPr>
          <w:rFonts w:ascii="Book Antiqua" w:eastAsia="AdvTimes" w:hAnsi="Book Antiqua" w:cs="AdvTimes"/>
          <w:lang w:val="fr-FR" w:eastAsia="ja-JP"/>
        </w:rPr>
        <w:t>The Author(s) 2015.</w:t>
      </w:r>
      <w:proofErr w:type="gramEnd"/>
      <w:r>
        <w:rPr>
          <w:rFonts w:ascii="Book Antiqua" w:eastAsia="AdvTimes" w:hAnsi="Book Antiqua" w:cs="AdvTimes"/>
          <w:lang w:val="fr-FR" w:eastAsia="ja-JP"/>
        </w:rPr>
        <w:t xml:space="preserve"> Published by </w:t>
      </w:r>
      <w:r>
        <w:rPr>
          <w:rFonts w:ascii="Book Antiqua" w:hAnsi="Book Antiqua" w:cs="Arial Unicode MS"/>
          <w:lang w:val="en-GB" w:eastAsia="ja-JP"/>
        </w:rPr>
        <w:t xml:space="preserve">Baishideng Publishing Group Inc. </w:t>
      </w:r>
      <w:r>
        <w:rPr>
          <w:rFonts w:ascii="Book Antiqua" w:hAnsi="Book Antiqua" w:cs="Arial Unicode MS"/>
          <w:lang w:val="fr-FR" w:eastAsia="ja-JP"/>
        </w:rPr>
        <w:t>All rights reserved</w:t>
      </w:r>
      <w:r>
        <w:rPr>
          <w:rFonts w:ascii="Book Antiqua" w:hAnsi="Book Antiqua" w:cs="Arial Unicode MS" w:hint="eastAsia"/>
          <w:lang w:val="fr-FR"/>
        </w:rPr>
        <w:t>.</w:t>
      </w:r>
    </w:p>
    <w:p w:rsidR="00DF5161" w:rsidRPr="00DA4C1A" w:rsidRDefault="00DF5161" w:rsidP="00343426">
      <w:pPr>
        <w:pStyle w:val="Gvde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Book Antiqua" w:hAnsi="Book Antiqua" w:cs="Book Antiqua"/>
          <w:kern w:val="0"/>
        </w:rPr>
      </w:pPr>
    </w:p>
    <w:p w:rsidR="00326A75" w:rsidRPr="00343426" w:rsidRDefault="00CE14F2" w:rsidP="00343426">
      <w:pPr>
        <w:pStyle w:val="Gvde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Book Antiqua" w:eastAsia="Book Antiqua" w:hAnsi="Book Antiqua" w:cs="Book Antiqua"/>
          <w:kern w:val="0"/>
        </w:rPr>
      </w:pPr>
      <w:r w:rsidRPr="00343426">
        <w:rPr>
          <w:rFonts w:ascii="Book Antiqua" w:hAnsi="Book Antiqua"/>
          <w:b/>
          <w:bCs/>
          <w:kern w:val="0"/>
        </w:rPr>
        <w:t>Key words:</w:t>
      </w:r>
      <w:r w:rsidRPr="00343426">
        <w:rPr>
          <w:rFonts w:ascii="Book Antiqua" w:hAnsi="Book Antiqua"/>
          <w:kern w:val="0"/>
        </w:rPr>
        <w:t xml:space="preserve"> Endoscopy</w:t>
      </w:r>
      <w:r w:rsidR="00657B4D" w:rsidRPr="00343426">
        <w:rPr>
          <w:rFonts w:ascii="Book Antiqua" w:hAnsi="Book Antiqua"/>
          <w:kern w:val="0"/>
        </w:rPr>
        <w:t>;</w:t>
      </w:r>
      <w:r w:rsidRPr="00343426">
        <w:rPr>
          <w:rFonts w:ascii="Book Antiqua" w:hAnsi="Book Antiqua"/>
          <w:kern w:val="0"/>
        </w:rPr>
        <w:t xml:space="preserve"> </w:t>
      </w:r>
      <w:r w:rsidR="00657B4D" w:rsidRPr="00343426">
        <w:rPr>
          <w:rFonts w:ascii="Book Antiqua" w:hAnsi="Book Antiqua"/>
          <w:kern w:val="0"/>
        </w:rPr>
        <w:t xml:space="preserve">Small </w:t>
      </w:r>
      <w:r w:rsidRPr="00343426">
        <w:rPr>
          <w:rFonts w:ascii="Book Antiqua" w:hAnsi="Book Antiqua"/>
          <w:kern w:val="0"/>
        </w:rPr>
        <w:t>bowel</w:t>
      </w:r>
      <w:r w:rsidR="00657B4D" w:rsidRPr="00343426">
        <w:rPr>
          <w:rFonts w:ascii="Book Antiqua" w:hAnsi="Book Antiqua"/>
          <w:kern w:val="0"/>
        </w:rPr>
        <w:t>;</w:t>
      </w:r>
      <w:r w:rsidRPr="00343426">
        <w:rPr>
          <w:rFonts w:ascii="Book Antiqua" w:hAnsi="Book Antiqua"/>
          <w:kern w:val="0"/>
        </w:rPr>
        <w:t xml:space="preserve"> Double balloon enteroscopy</w:t>
      </w:r>
    </w:p>
    <w:p w:rsidR="00326A75" w:rsidRPr="00343426" w:rsidRDefault="00326A75" w:rsidP="00343426">
      <w:pPr>
        <w:pStyle w:val="Gvde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Book Antiqua" w:eastAsia="Book Antiqua" w:hAnsi="Book Antiqua" w:cs="Book Antiqua"/>
          <w:kern w:val="0"/>
        </w:rPr>
      </w:pPr>
    </w:p>
    <w:p w:rsidR="00326A75" w:rsidRPr="00343426" w:rsidRDefault="00CE14F2" w:rsidP="00343426">
      <w:pPr>
        <w:pStyle w:val="Gvde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Book Antiqua" w:eastAsia="Book Antiqua" w:hAnsi="Book Antiqua" w:cs="Book Antiqua"/>
          <w:kern w:val="0"/>
        </w:rPr>
      </w:pPr>
      <w:r w:rsidRPr="00343426">
        <w:rPr>
          <w:rFonts w:ascii="Book Antiqua" w:hAnsi="Book Antiqua"/>
          <w:b/>
          <w:bCs/>
          <w:kern w:val="0"/>
        </w:rPr>
        <w:t>Core tip:</w:t>
      </w:r>
      <w:r w:rsidRPr="00343426">
        <w:rPr>
          <w:rFonts w:ascii="Book Antiqua" w:hAnsi="Book Antiqua"/>
          <w:kern w:val="0"/>
        </w:rPr>
        <w:t xml:space="preserve"> </w:t>
      </w:r>
      <w:r w:rsidR="00DF5161" w:rsidRPr="00343426">
        <w:rPr>
          <w:rFonts w:ascii="Book Antiqua" w:hAnsi="Book Antiqua"/>
          <w:kern w:val="0"/>
        </w:rPr>
        <w:t>Double ballon enteroscopy (DBE)</w:t>
      </w:r>
      <w:r w:rsidRPr="00343426">
        <w:rPr>
          <w:rFonts w:ascii="Book Antiqua" w:hAnsi="Book Antiqua"/>
          <w:kern w:val="0"/>
        </w:rPr>
        <w:t xml:space="preserve"> is a novel technique of great interest as the clinician gains the opportunity of examining the whole small bowel without any surgical intervention. Diagnostic and therapeutic ability of the procedure influences the importance and common use of DBE for patients with documented or suspected small bowel disease. This review summarizes the indications, diagnostic yield and complications of the procedure according to the worldwide knowledge since 2001. </w:t>
      </w:r>
    </w:p>
    <w:p w:rsidR="00DF5161" w:rsidRPr="00343426" w:rsidRDefault="00DF5161" w:rsidP="00343426">
      <w:pPr>
        <w:pStyle w:val="Gvde"/>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Book Antiqua" w:hAnsi="Book Antiqua"/>
          <w:kern w:val="0"/>
          <w:lang w:eastAsia="zh-CN"/>
        </w:rPr>
      </w:pPr>
    </w:p>
    <w:p w:rsidR="009A6AE2" w:rsidRDefault="00DF5161" w:rsidP="009A6AE2">
      <w:pPr>
        <w:pStyle w:val="Gvde"/>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Book Antiqua" w:hAnsi="Book Antiqua"/>
          <w:iCs/>
          <w:lang w:eastAsia="zh-CN"/>
        </w:rPr>
      </w:pPr>
      <w:r w:rsidRPr="00343426">
        <w:rPr>
          <w:rFonts w:ascii="Book Antiqua" w:hAnsi="Book Antiqua"/>
          <w:kern w:val="0"/>
        </w:rPr>
        <w:t>Saygili F</w:t>
      </w:r>
      <w:r w:rsidRPr="00343426">
        <w:rPr>
          <w:rFonts w:ascii="Book Antiqua" w:hAnsi="Book Antiqua"/>
          <w:i/>
          <w:iCs/>
          <w:kern w:val="0"/>
          <w:lang w:val="fr-FR" w:eastAsia="zh-CN"/>
        </w:rPr>
        <w:t xml:space="preserve">, </w:t>
      </w:r>
      <w:r w:rsidRPr="00343426">
        <w:rPr>
          <w:rFonts w:ascii="Book Antiqua" w:hAnsi="Book Antiqua"/>
          <w:bCs/>
          <w:kern w:val="0"/>
        </w:rPr>
        <w:t>Saygili</w:t>
      </w:r>
      <w:r w:rsidRPr="00343426">
        <w:rPr>
          <w:rFonts w:ascii="Book Antiqua" w:hAnsi="Book Antiqua"/>
          <w:bCs/>
          <w:kern w:val="0"/>
          <w:lang w:eastAsia="zh-CN"/>
        </w:rPr>
        <w:t xml:space="preserve"> SM, </w:t>
      </w:r>
      <w:r w:rsidRPr="00343426">
        <w:rPr>
          <w:rFonts w:ascii="Book Antiqua" w:hAnsi="Book Antiqua"/>
          <w:kern w:val="0"/>
        </w:rPr>
        <w:t>Oztas</w:t>
      </w:r>
      <w:r w:rsidRPr="00343426">
        <w:rPr>
          <w:rFonts w:ascii="Book Antiqua" w:hAnsi="Book Antiqua"/>
          <w:kern w:val="0"/>
          <w:lang w:eastAsia="zh-CN"/>
        </w:rPr>
        <w:t xml:space="preserve"> E. </w:t>
      </w:r>
      <w:r w:rsidRPr="00343426">
        <w:rPr>
          <w:rFonts w:ascii="Book Antiqua" w:hAnsi="Book Antiqua"/>
          <w:bCs/>
          <w:kern w:val="0"/>
          <w:lang w:val="en-US"/>
        </w:rPr>
        <w:t>Examining the whole bowel, double balloon enteroscopy: Indications, diagnostic yield and complications</w:t>
      </w:r>
      <w:r w:rsidRPr="00343426">
        <w:rPr>
          <w:rFonts w:ascii="Book Antiqua" w:hAnsi="Book Antiqua"/>
          <w:bCs/>
          <w:kern w:val="0"/>
          <w:lang w:val="en-US" w:eastAsia="zh-CN"/>
        </w:rPr>
        <w:t xml:space="preserve">. </w:t>
      </w:r>
      <w:r w:rsidRPr="00343426">
        <w:rPr>
          <w:rFonts w:ascii="Book Antiqua" w:hAnsi="Book Antiqua"/>
          <w:i/>
          <w:iCs/>
        </w:rPr>
        <w:t>World J Gastrointest Endosc</w:t>
      </w:r>
      <w:r w:rsidRPr="00343426">
        <w:rPr>
          <w:rFonts w:ascii="Book Antiqua" w:hAnsi="Book Antiqua"/>
          <w:i/>
          <w:iCs/>
          <w:lang w:eastAsia="zh-CN"/>
        </w:rPr>
        <w:t xml:space="preserve"> </w:t>
      </w:r>
      <w:r w:rsidRPr="00343426">
        <w:rPr>
          <w:rFonts w:ascii="Book Antiqua" w:hAnsi="Book Antiqua"/>
          <w:iCs/>
          <w:lang w:eastAsia="zh-CN"/>
        </w:rPr>
        <w:t>2014; In press</w:t>
      </w:r>
    </w:p>
    <w:p w:rsidR="009A6AE2" w:rsidRDefault="009A6AE2" w:rsidP="009A6AE2">
      <w:pPr>
        <w:pStyle w:val="Gvde"/>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Book Antiqua" w:hAnsi="Book Antiqua"/>
          <w:iCs/>
          <w:lang w:eastAsia="zh-CN"/>
        </w:rPr>
      </w:pPr>
    </w:p>
    <w:p w:rsidR="00326A75" w:rsidRPr="00343426" w:rsidRDefault="00CE14F2" w:rsidP="009A6AE2">
      <w:pPr>
        <w:pStyle w:val="Gvde"/>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Book Antiqua" w:eastAsia="Book Antiqua" w:hAnsi="Book Antiqua" w:cs="Book Antiqua"/>
          <w:b/>
          <w:bCs/>
          <w:kern w:val="0"/>
        </w:rPr>
      </w:pPr>
      <w:r w:rsidRPr="00343426">
        <w:rPr>
          <w:rFonts w:ascii="Book Antiqua" w:hAnsi="Book Antiqua"/>
          <w:b/>
          <w:bCs/>
          <w:kern w:val="0"/>
        </w:rPr>
        <w:t>INTRODUCTION</w:t>
      </w:r>
    </w:p>
    <w:p w:rsidR="00326A75" w:rsidRPr="00343426" w:rsidRDefault="00CE14F2" w:rsidP="00343426">
      <w:pPr>
        <w:pStyle w:val="GvdeA"/>
        <w:spacing w:line="360" w:lineRule="auto"/>
        <w:jc w:val="both"/>
        <w:rPr>
          <w:rFonts w:ascii="Book Antiqua" w:eastAsia="Book Antiqua" w:hAnsi="Book Antiqua" w:cs="Book Antiqua"/>
          <w:kern w:val="0"/>
        </w:rPr>
      </w:pPr>
      <w:r w:rsidRPr="00343426">
        <w:rPr>
          <w:rFonts w:ascii="Book Antiqua" w:hAnsi="Book Antiqua"/>
          <w:kern w:val="0"/>
        </w:rPr>
        <w:t>Evolving fiber optic technology provided the opportunity of examining inner body compartments that can be reached through either a natural or an artificial orifice. Gastrointestinal (GI) endoscopy is one of the best modalities to perform further investigations for the patients with digestive complaints. However before 1980s due to lack of technological improvements physicians had chance to examine only a short portion of the GI tract. Luckily only esophagogastroduodenoscopy and colonoscopy had the ability to diagnose and treat most of GI disturbances as we still experience in our daily practice that diseases associated with small bowel are comparably less to ones that involve upper GI and colon. The initial technique for small bowel endoscopy is push enteroscopy which was needed to be improved due to restricted capability of investigation depth. Single and double ballon enteroscopy (DBE) are now better procedures with improved visualization capability that gives physicians to examine the whole small bowel. By combining either upper or lower GI investigations now we have the opportunity to visualize the whole GI tract. These novel types of endoscopic procedures increase the effectiveness of diagnosis and minimally invasive treatments of small bowel and reduce the need for surgical interventions. This review aims to summarize indications, clinical importance and complications of DBE.</w:t>
      </w:r>
      <w:r w:rsidR="00DE2717" w:rsidRPr="00343426">
        <w:rPr>
          <w:rFonts w:ascii="Book Antiqua" w:hAnsi="Book Antiqua"/>
          <w:kern w:val="0"/>
        </w:rPr>
        <w:t xml:space="preserve">   </w:t>
      </w:r>
      <w:r w:rsidRPr="00343426">
        <w:rPr>
          <w:rFonts w:ascii="Book Antiqua" w:hAnsi="Book Antiqua"/>
          <w:kern w:val="0"/>
        </w:rPr>
        <w:t xml:space="preserve"> </w:t>
      </w:r>
    </w:p>
    <w:p w:rsidR="00326A75" w:rsidRPr="00343426" w:rsidRDefault="00326A75" w:rsidP="00343426">
      <w:pPr>
        <w:pStyle w:val="GvdeA"/>
        <w:spacing w:line="360" w:lineRule="auto"/>
        <w:jc w:val="both"/>
        <w:rPr>
          <w:rFonts w:ascii="Book Antiqua" w:hAnsi="Book Antiqua" w:cs="Book Antiqua"/>
          <w:b/>
          <w:bCs/>
        </w:rPr>
      </w:pPr>
    </w:p>
    <w:p w:rsidR="00326A75" w:rsidRPr="00343426" w:rsidRDefault="00CE14F2" w:rsidP="00343426">
      <w:pPr>
        <w:pStyle w:val="GvdeA"/>
        <w:spacing w:line="360" w:lineRule="auto"/>
        <w:jc w:val="both"/>
        <w:rPr>
          <w:rFonts w:ascii="Book Antiqua" w:hAnsi="Book Antiqua" w:cs="Book Antiqua"/>
          <w:b/>
          <w:bCs/>
        </w:rPr>
      </w:pPr>
      <w:r w:rsidRPr="00343426">
        <w:rPr>
          <w:rFonts w:ascii="Book Antiqua" w:hAnsi="Book Antiqua"/>
          <w:b/>
          <w:bCs/>
        </w:rPr>
        <w:t>REVIEW</w:t>
      </w:r>
    </w:p>
    <w:p w:rsidR="00326A75" w:rsidRPr="00343426" w:rsidRDefault="00CE14F2" w:rsidP="00343426">
      <w:pPr>
        <w:pStyle w:val="GvdeA"/>
        <w:spacing w:line="360" w:lineRule="auto"/>
        <w:jc w:val="both"/>
        <w:rPr>
          <w:rFonts w:ascii="Book Antiqua" w:eastAsia="Book Antiqua Bold" w:hAnsi="Book Antiqua" w:cs="Book Antiqua Bold"/>
          <w:b/>
          <w:i/>
          <w:iCs/>
        </w:rPr>
      </w:pPr>
      <w:r w:rsidRPr="00343426">
        <w:rPr>
          <w:rFonts w:ascii="Book Antiqua" w:hAnsi="Book Antiqua"/>
          <w:b/>
          <w:i/>
          <w:iCs/>
        </w:rPr>
        <w:t xml:space="preserve">Technical </w:t>
      </w:r>
      <w:r w:rsidR="00DE2717" w:rsidRPr="00343426">
        <w:rPr>
          <w:rFonts w:ascii="Book Antiqua" w:hAnsi="Book Antiqua"/>
          <w:b/>
          <w:i/>
          <w:iCs/>
        </w:rPr>
        <w:t>information</w:t>
      </w:r>
    </w:p>
    <w:p w:rsidR="00326A75" w:rsidRPr="00343426" w:rsidRDefault="00DE2717" w:rsidP="00343426">
      <w:pPr>
        <w:pStyle w:val="GvdeA"/>
        <w:spacing w:line="360" w:lineRule="auto"/>
        <w:jc w:val="both"/>
        <w:rPr>
          <w:rFonts w:ascii="Book Antiqua" w:hAnsi="Book Antiqua"/>
        </w:rPr>
      </w:pPr>
      <w:r w:rsidRPr="00343426">
        <w:rPr>
          <w:rFonts w:ascii="Book Antiqua" w:hAnsi="Book Antiqua"/>
        </w:rPr>
        <w:t xml:space="preserve">DBE system consists </w:t>
      </w:r>
      <w:r w:rsidR="00CE14F2" w:rsidRPr="00343426">
        <w:rPr>
          <w:rFonts w:ascii="Book Antiqua" w:hAnsi="Book Antiqua"/>
        </w:rPr>
        <w:t>of a high-resolution video endoscope, with a working length of 200 cm and a flexible overtube made of polyurethane. Latex balloons are attached at the tip of the endoscope and also on the overtube, and can be filled with air or emptied using a pressure controlled pump. The principle of the DBE technique is based on alternating pushing and pulling maneuvers, in order to</w:t>
      </w:r>
      <w:r w:rsidRPr="00343426">
        <w:rPr>
          <w:rFonts w:ascii="Book Antiqua" w:hAnsi="Book Antiqua"/>
        </w:rPr>
        <w:t xml:space="preserve"> </w:t>
      </w:r>
      <w:r w:rsidR="00CE14F2" w:rsidRPr="00343426">
        <w:rPr>
          <w:rFonts w:ascii="Book Antiqua" w:hAnsi="Book Antiqua"/>
        </w:rPr>
        <w:t>place the small bowel segments</w:t>
      </w:r>
      <w:bookmarkStart w:id="63" w:name="Mendeley_Bookmark_2eAaBDxQVD"/>
      <w:r w:rsidRPr="00343426">
        <w:rPr>
          <w:rFonts w:ascii="Book Antiqua" w:hAnsi="Book Antiqua"/>
        </w:rPr>
        <w:t xml:space="preserve"> onto the overtube step by </w:t>
      </w:r>
      <w:proofErr w:type="gramStart"/>
      <w:r w:rsidRPr="00343426">
        <w:rPr>
          <w:rFonts w:ascii="Book Antiqua" w:hAnsi="Book Antiqua"/>
        </w:rPr>
        <w:t>step</w:t>
      </w:r>
      <w:r w:rsidRPr="00343426">
        <w:rPr>
          <w:rFonts w:ascii="Book Antiqua" w:hAnsi="Book Antiqua"/>
          <w:vertAlign w:val="superscript"/>
        </w:rPr>
        <w:t>[</w:t>
      </w:r>
      <w:proofErr w:type="gramEnd"/>
      <w:r w:rsidR="00CE14F2" w:rsidRPr="00343426">
        <w:rPr>
          <w:rFonts w:ascii="Book Antiqua" w:hAnsi="Book Antiqua"/>
          <w:vertAlign w:val="superscript"/>
        </w:rPr>
        <w:t>1</w:t>
      </w:r>
      <w:bookmarkEnd w:id="63"/>
      <w:r w:rsidRPr="00343426">
        <w:rPr>
          <w:rFonts w:ascii="Book Antiqua" w:hAnsi="Book Antiqua"/>
          <w:vertAlign w:val="superscript"/>
        </w:rPr>
        <w:t>]</w:t>
      </w:r>
      <w:r w:rsidR="00CE14F2" w:rsidRPr="00343426">
        <w:rPr>
          <w:rFonts w:ascii="Book Antiqua" w:hAnsi="Book Antiqua"/>
        </w:rPr>
        <w:t xml:space="preserve">. DBE can be performed </w:t>
      </w:r>
      <w:r w:rsidR="00CE14F2" w:rsidRPr="00343426">
        <w:rPr>
          <w:rFonts w:ascii="Book Antiqua" w:hAnsi="Book Antiqua"/>
          <w:i/>
        </w:rPr>
        <w:t>via</w:t>
      </w:r>
      <w:r w:rsidR="00CE14F2" w:rsidRPr="00343426">
        <w:rPr>
          <w:rFonts w:ascii="Book Antiqua" w:hAnsi="Book Antiqua"/>
        </w:rPr>
        <w:t xml:space="preserve"> oral or anal route according to the clinical decision. 12 h of food and approximately 4 h of clear liquid fasting will be enough for the patient preparation of oral DBE. However standard colonoscopy preparation with restricted diet and laxatives will be needed for retrograde </w:t>
      </w:r>
      <w:proofErr w:type="gramStart"/>
      <w:r w:rsidR="00CE14F2" w:rsidRPr="00343426">
        <w:rPr>
          <w:rFonts w:ascii="Book Antiqua" w:hAnsi="Book Antiqua"/>
        </w:rPr>
        <w:t>examination</w:t>
      </w:r>
      <w:r w:rsidRPr="00343426">
        <w:rPr>
          <w:rFonts w:ascii="Book Antiqua" w:hAnsi="Book Antiqua"/>
          <w:vertAlign w:val="superscript"/>
        </w:rPr>
        <w:t>[</w:t>
      </w:r>
      <w:proofErr w:type="gramEnd"/>
      <w:r w:rsidRPr="00343426">
        <w:rPr>
          <w:rFonts w:ascii="Book Antiqua" w:hAnsi="Book Antiqua"/>
          <w:vertAlign w:val="superscript"/>
        </w:rPr>
        <w:t>2]</w:t>
      </w:r>
      <w:r w:rsidR="00CE14F2" w:rsidRPr="00343426">
        <w:rPr>
          <w:rFonts w:ascii="Book Antiqua" w:hAnsi="Book Antiqua"/>
        </w:rPr>
        <w:t xml:space="preserve">. Peroperative sedation is necessary as the procedure duration is long and lower patient tolerance is expected to disturb the success of the procedure. Many options can be used for sedation but conventional conscious sedation with propofol is mainly used. Deep monitored sedation (with propofol, midazolam and/or fentanyl) can be preferred for oral examination with prolonged duration of the </w:t>
      </w:r>
      <w:proofErr w:type="gramStart"/>
      <w:r w:rsidR="00CE14F2" w:rsidRPr="00343426">
        <w:rPr>
          <w:rFonts w:ascii="Book Antiqua" w:hAnsi="Book Antiqua"/>
        </w:rPr>
        <w:t>procedure</w:t>
      </w:r>
      <w:r w:rsidRPr="00343426">
        <w:rPr>
          <w:rFonts w:ascii="Book Antiqua" w:hAnsi="Book Antiqua"/>
          <w:vertAlign w:val="superscript"/>
        </w:rPr>
        <w:t>[</w:t>
      </w:r>
      <w:proofErr w:type="gramEnd"/>
      <w:r w:rsidRPr="00343426">
        <w:rPr>
          <w:rFonts w:ascii="Book Antiqua" w:hAnsi="Book Antiqua"/>
          <w:vertAlign w:val="superscript"/>
        </w:rPr>
        <w:t>3]</w:t>
      </w:r>
      <w:r w:rsidR="00CE14F2" w:rsidRPr="00343426">
        <w:rPr>
          <w:rFonts w:ascii="Book Antiqua" w:hAnsi="Book Antiqua"/>
        </w:rPr>
        <w:t>. Radiologic fluoroscopic assistance can be used according to the endoscopist's preference.</w:t>
      </w:r>
      <w:r w:rsidR="00657B4D" w:rsidRPr="00343426">
        <w:rPr>
          <w:rFonts w:ascii="Book Antiqua" w:hAnsi="Book Antiqua"/>
        </w:rPr>
        <w:t xml:space="preserve"> The goal of the procedure is to examine the whole small bowel from duodenum to caecum or vice versa. However total enteroscopy can be performed in approximately 20% to 70% of the patients. Using both routes (oral and anal) complementary to each other by signing the furthest depth by tattooing or clip application, increases total enteroscopy rates. 230 cm beyond Treitz and 135 cm proximal to ileocecal valve can be considered as the average insertion depths for oral and anal route according to many different case series in the literature (Figure 1)</w:t>
      </w:r>
      <w:r w:rsidRPr="00343426">
        <w:rPr>
          <w:rFonts w:ascii="Book Antiqua" w:hAnsi="Book Antiqua"/>
        </w:rPr>
        <w:t xml:space="preserve"> </w:t>
      </w:r>
      <w:r w:rsidR="00CE14F2" w:rsidRPr="00343426">
        <w:rPr>
          <w:rFonts w:ascii="Book Antiqua" w:hAnsi="Book Antiqua"/>
        </w:rPr>
        <w:t xml:space="preserve"> </w:t>
      </w:r>
    </w:p>
    <w:p w:rsidR="00807719" w:rsidRPr="00343426" w:rsidRDefault="00807719" w:rsidP="00343426">
      <w:pPr>
        <w:pStyle w:val="GvdeA"/>
        <w:spacing w:line="360" w:lineRule="auto"/>
        <w:jc w:val="both"/>
        <w:rPr>
          <w:rFonts w:ascii="Book Antiqua" w:hAnsi="Book Antiqua" w:cs="Book Antiqua"/>
          <w:b/>
          <w:bCs/>
          <w:color w:val="FF0000"/>
        </w:rPr>
      </w:pPr>
    </w:p>
    <w:p w:rsidR="00326A75" w:rsidRPr="00343426" w:rsidRDefault="00CE14F2" w:rsidP="00343426">
      <w:pPr>
        <w:pStyle w:val="GvdeA"/>
        <w:spacing w:line="360" w:lineRule="auto"/>
        <w:jc w:val="both"/>
        <w:rPr>
          <w:rFonts w:ascii="Book Antiqua" w:eastAsia="Book Antiqua" w:hAnsi="Book Antiqua" w:cs="Book Antiqua"/>
          <w:b/>
          <w:shd w:val="clear" w:color="auto" w:fill="FFFF00"/>
        </w:rPr>
      </w:pPr>
      <w:r w:rsidRPr="00343426">
        <w:rPr>
          <w:rFonts w:ascii="Book Antiqua" w:hAnsi="Book Antiqua"/>
          <w:b/>
          <w:i/>
          <w:iCs/>
        </w:rPr>
        <w:t>Indications of DBE</w:t>
      </w:r>
    </w:p>
    <w:p w:rsidR="00326A75" w:rsidRPr="00343426" w:rsidRDefault="00DE2717" w:rsidP="00343426">
      <w:pPr>
        <w:pStyle w:val="GvdeA"/>
        <w:spacing w:line="360" w:lineRule="auto"/>
        <w:jc w:val="both"/>
        <w:rPr>
          <w:rFonts w:ascii="Book Antiqua" w:hAnsi="Book Antiqua" w:cs="Book Antiqua"/>
          <w:iCs/>
          <w:lang w:val="nl-NL"/>
        </w:rPr>
      </w:pPr>
      <w:r w:rsidRPr="00343426">
        <w:rPr>
          <w:rFonts w:ascii="Book Antiqua" w:hAnsi="Book Antiqua" w:cs="Book Antiqua"/>
          <w:iCs/>
          <w:lang w:val="nl-NL"/>
        </w:rPr>
        <w:t>The indications of DBE mainly consist of similar pathologies of upper and lower GI system that are localized or suspected to be in the small intestine. As the procedure takes long time and is an advanced and hard intervention, it is mostly indicated after some initial investigations. The indications and some interventions due to diagnosis are summarized on Table 1.</w:t>
      </w:r>
    </w:p>
    <w:p w:rsidR="00DE2717" w:rsidRPr="00343426" w:rsidRDefault="00DE2717" w:rsidP="00343426">
      <w:pPr>
        <w:pStyle w:val="GvdeA"/>
        <w:spacing w:line="360" w:lineRule="auto"/>
        <w:jc w:val="both"/>
        <w:rPr>
          <w:rFonts w:ascii="Book Antiqua" w:hAnsi="Book Antiqua" w:cs="Book Antiqua"/>
          <w:b/>
          <w:i/>
          <w:iCs/>
          <w:lang w:val="nl-NL"/>
        </w:rPr>
      </w:pPr>
    </w:p>
    <w:p w:rsidR="00326A75" w:rsidRPr="00343426" w:rsidRDefault="00CE14F2" w:rsidP="00343426">
      <w:pPr>
        <w:pStyle w:val="GvdeA"/>
        <w:spacing w:line="360" w:lineRule="auto"/>
        <w:jc w:val="both"/>
        <w:rPr>
          <w:rFonts w:ascii="Book Antiqua" w:eastAsia="Book Antiqua" w:hAnsi="Book Antiqua" w:cs="Book Antiqua"/>
          <w:b/>
        </w:rPr>
      </w:pPr>
      <w:r w:rsidRPr="00343426">
        <w:rPr>
          <w:rFonts w:ascii="Book Antiqua" w:hAnsi="Book Antiqua"/>
          <w:b/>
          <w:i/>
          <w:iCs/>
          <w:lang w:val="nl-NL"/>
        </w:rPr>
        <w:t xml:space="preserve">Mid-GI </w:t>
      </w:r>
      <w:r w:rsidR="00DE2717" w:rsidRPr="00343426">
        <w:rPr>
          <w:rFonts w:ascii="Book Antiqua" w:hAnsi="Book Antiqua"/>
          <w:b/>
          <w:i/>
          <w:iCs/>
          <w:lang w:val="nl-NL"/>
        </w:rPr>
        <w:t>bleeding</w:t>
      </w:r>
    </w:p>
    <w:p w:rsidR="00326A75" w:rsidRPr="00343426" w:rsidRDefault="00CE14F2" w:rsidP="00343426">
      <w:pPr>
        <w:pStyle w:val="GvdeA"/>
        <w:spacing w:line="360" w:lineRule="auto"/>
        <w:jc w:val="both"/>
        <w:rPr>
          <w:rFonts w:ascii="Book Antiqua" w:eastAsia="Book Antiqua" w:hAnsi="Book Antiqua" w:cs="Book Antiqua"/>
          <w:shd w:val="clear" w:color="auto" w:fill="FEFB00"/>
        </w:rPr>
      </w:pPr>
      <w:r w:rsidRPr="00343426">
        <w:rPr>
          <w:rFonts w:ascii="Book Antiqua" w:hAnsi="Book Antiqua"/>
        </w:rPr>
        <w:t>The most common indication (up to half of the procedures) for DBE is suspected or known mid-GI bleeding which refers to the blood loss from the distance between papilla Vateri and ileocecal valve. This can be either occult or obscure which may suggest an idea to choose the beginning route for the procedure, where melena encourages the oral route, the occurrence of hematochesia which cannot be defined by routine colonoscopy suggests retrograde examination for the initial management</w:t>
      </w:r>
      <w:r w:rsidR="00DE2717" w:rsidRPr="00343426">
        <w:rPr>
          <w:rFonts w:ascii="Book Antiqua" w:hAnsi="Book Antiqua"/>
          <w:vertAlign w:val="superscript"/>
        </w:rPr>
        <w:t>[4,5]</w:t>
      </w:r>
      <w:r w:rsidRPr="00343426">
        <w:rPr>
          <w:rFonts w:ascii="Book Antiqua" w:hAnsi="Book Antiqua"/>
        </w:rPr>
        <w:t xml:space="preserve">. </w:t>
      </w:r>
      <w:r w:rsidR="00DF5161" w:rsidRPr="00343426">
        <w:rPr>
          <w:rFonts w:ascii="Book Antiqua" w:hAnsi="Book Antiqua"/>
        </w:rPr>
        <w:t>Video capsule endoscopy (VCE)</w:t>
      </w:r>
      <w:r w:rsidR="00DE2717" w:rsidRPr="00343426">
        <w:rPr>
          <w:rFonts w:ascii="Book Antiqua" w:hAnsi="Book Antiqua"/>
        </w:rPr>
        <w:t xml:space="preserve"> is mostly the first choice to investigate occult mid-GI bleeding and after diagnosis of bleeding site or determining the need for additional intervention DBE is performed as a completing </w:t>
      </w:r>
      <w:proofErr w:type="gramStart"/>
      <w:r w:rsidR="00DE2717" w:rsidRPr="00343426">
        <w:rPr>
          <w:rFonts w:ascii="Book Antiqua" w:hAnsi="Book Antiqua"/>
        </w:rPr>
        <w:t>procedure</w:t>
      </w:r>
      <w:r w:rsidR="00DE2717" w:rsidRPr="00343426">
        <w:rPr>
          <w:rFonts w:ascii="Book Antiqua" w:hAnsi="Book Antiqua"/>
          <w:vertAlign w:val="superscript"/>
        </w:rPr>
        <w:t>[</w:t>
      </w:r>
      <w:proofErr w:type="gramEnd"/>
      <w:r w:rsidR="00DE2717" w:rsidRPr="00343426">
        <w:rPr>
          <w:rFonts w:ascii="Book Antiqua" w:hAnsi="Book Antiqua"/>
          <w:vertAlign w:val="superscript"/>
        </w:rPr>
        <w:t>6]</w:t>
      </w:r>
      <w:r w:rsidR="00DE2717" w:rsidRPr="00343426">
        <w:rPr>
          <w:rFonts w:ascii="Book Antiqua" w:hAnsi="Book Antiqua"/>
        </w:rPr>
        <w:t xml:space="preserve">. </w:t>
      </w:r>
      <w:r w:rsidRPr="00343426">
        <w:rPr>
          <w:rFonts w:ascii="Book Antiqua" w:hAnsi="Book Antiqua"/>
        </w:rPr>
        <w:t xml:space="preserve">DBE has up to 90% of diagnostic yield for mid GI bleeding which is comparable to </w:t>
      </w:r>
      <w:r w:rsidR="00DF5161" w:rsidRPr="00343426">
        <w:rPr>
          <w:rFonts w:ascii="Book Antiqua" w:hAnsi="Book Antiqua"/>
        </w:rPr>
        <w:t>VCE</w:t>
      </w:r>
      <w:r w:rsidRPr="00343426">
        <w:rPr>
          <w:rFonts w:ascii="Book Antiqua" w:hAnsi="Book Antiqua"/>
        </w:rPr>
        <w:t xml:space="preserve"> and significantly better than push enteroscopy as having the advantage of improved insertion </w:t>
      </w:r>
      <w:proofErr w:type="gramStart"/>
      <w:r w:rsidRPr="00343426">
        <w:rPr>
          <w:rFonts w:ascii="Book Antiqua" w:hAnsi="Book Antiqua"/>
        </w:rPr>
        <w:t>depth</w:t>
      </w:r>
      <w:r w:rsidR="00DE2717" w:rsidRPr="00343426">
        <w:rPr>
          <w:rFonts w:ascii="Book Antiqua" w:hAnsi="Book Antiqua"/>
          <w:vertAlign w:val="superscript"/>
        </w:rPr>
        <w:t>[</w:t>
      </w:r>
      <w:proofErr w:type="gramEnd"/>
      <w:r w:rsidR="00DE2717" w:rsidRPr="00343426">
        <w:rPr>
          <w:rFonts w:ascii="Book Antiqua" w:hAnsi="Book Antiqua"/>
          <w:vertAlign w:val="superscript"/>
        </w:rPr>
        <w:t>7]</w:t>
      </w:r>
      <w:r w:rsidRPr="00343426">
        <w:rPr>
          <w:rFonts w:ascii="Book Antiqua" w:hAnsi="Book Antiqua"/>
        </w:rPr>
        <w:t>.</w:t>
      </w:r>
      <w:r w:rsidR="00DE2717" w:rsidRPr="00343426">
        <w:rPr>
          <w:rFonts w:ascii="Book Antiqua" w:hAnsi="Book Antiqua"/>
        </w:rPr>
        <w:t xml:space="preserve"> As an alternative, push enteroscopy has been proven to have a diagnostic yield from 12% to 80% in investigating mid-GI bleeding, and higher rates are achieved when the bleeding is obscure (Figure 2).</w:t>
      </w:r>
      <w:r w:rsidRPr="00343426">
        <w:rPr>
          <w:rFonts w:ascii="Book Antiqua" w:hAnsi="Book Antiqua"/>
          <w:shd w:val="clear" w:color="auto" w:fill="FEFB00"/>
        </w:rPr>
        <w:t xml:space="preserve"> </w:t>
      </w:r>
    </w:p>
    <w:p w:rsidR="00326A75" w:rsidRPr="00343426" w:rsidRDefault="00CE14F2" w:rsidP="00343426">
      <w:pPr>
        <w:pStyle w:val="GvdeA"/>
        <w:spacing w:line="360" w:lineRule="auto"/>
        <w:ind w:firstLineChars="200" w:firstLine="480"/>
        <w:jc w:val="both"/>
        <w:rPr>
          <w:rFonts w:ascii="Book Antiqua" w:hAnsi="Book Antiqua"/>
        </w:rPr>
      </w:pPr>
      <w:r w:rsidRPr="00343426">
        <w:rPr>
          <w:rFonts w:ascii="Book Antiqua" w:hAnsi="Book Antiqua"/>
        </w:rPr>
        <w:t xml:space="preserve">Beyond diagnostic accuracy DBE brings the advantage of therapeutic interventions and ability to obtain tissue samples which is a great advantage when compared to </w:t>
      </w:r>
      <w:proofErr w:type="gramStart"/>
      <w:r w:rsidRPr="00343426">
        <w:rPr>
          <w:rFonts w:ascii="Book Antiqua" w:hAnsi="Book Antiqua"/>
        </w:rPr>
        <w:t>VCE</w:t>
      </w:r>
      <w:r w:rsidR="00DE2717" w:rsidRPr="00343426">
        <w:rPr>
          <w:rFonts w:ascii="Book Antiqua" w:hAnsi="Book Antiqua"/>
          <w:vertAlign w:val="superscript"/>
        </w:rPr>
        <w:t>[</w:t>
      </w:r>
      <w:proofErr w:type="gramEnd"/>
      <w:r w:rsidR="00DE2717" w:rsidRPr="00343426">
        <w:rPr>
          <w:rFonts w:ascii="Book Antiqua" w:hAnsi="Book Antiqua"/>
          <w:vertAlign w:val="superscript"/>
        </w:rPr>
        <w:t>8]</w:t>
      </w:r>
      <w:r w:rsidRPr="00343426">
        <w:rPr>
          <w:rFonts w:ascii="Book Antiqua" w:hAnsi="Book Antiqua"/>
        </w:rPr>
        <w:t>. Clinician can perform endoscopic hemostatic techniques for bleeding sites at the time of diagnosis even documented initially with another examination (</w:t>
      </w:r>
      <w:r w:rsidRPr="00343426">
        <w:rPr>
          <w:rFonts w:ascii="Book Antiqua" w:hAnsi="Book Antiqua"/>
          <w:i/>
        </w:rPr>
        <w:t>i.e.</w:t>
      </w:r>
      <w:r w:rsidR="00DE2717" w:rsidRPr="00343426">
        <w:rPr>
          <w:rFonts w:ascii="Book Antiqua" w:hAnsi="Book Antiqua"/>
          <w:i/>
        </w:rPr>
        <w:t>,</w:t>
      </w:r>
      <w:r w:rsidRPr="00343426">
        <w:rPr>
          <w:rFonts w:ascii="Book Antiqua" w:hAnsi="Book Antiqua"/>
        </w:rPr>
        <w:t xml:space="preserve"> radiological, scintigraphic or angiographic) or not. Also lesions that cause bleeding (</w:t>
      </w:r>
      <w:r w:rsidRPr="00343426">
        <w:rPr>
          <w:rFonts w:ascii="Book Antiqua" w:hAnsi="Book Antiqua"/>
          <w:i/>
        </w:rPr>
        <w:t>i.e</w:t>
      </w:r>
      <w:r w:rsidR="00DF5161" w:rsidRPr="00343426">
        <w:rPr>
          <w:rFonts w:ascii="Book Antiqua" w:hAnsi="Book Antiqua"/>
          <w:i/>
        </w:rPr>
        <w:t xml:space="preserve">., </w:t>
      </w:r>
      <w:r w:rsidRPr="00343426">
        <w:rPr>
          <w:rFonts w:ascii="Book Antiqua" w:hAnsi="Book Antiqua"/>
        </w:rPr>
        <w:t xml:space="preserve">angiodysplasia, polyps, small bowel tumors, foreign bodies...) diagnosed by using VCE can be reached with DBE for further tissue sampling or therapeutic </w:t>
      </w:r>
      <w:proofErr w:type="gramStart"/>
      <w:r w:rsidRPr="00343426">
        <w:rPr>
          <w:rFonts w:ascii="Book Antiqua" w:hAnsi="Book Antiqua"/>
        </w:rPr>
        <w:t>interventions</w:t>
      </w:r>
      <w:r w:rsidR="00DE2717" w:rsidRPr="00343426">
        <w:rPr>
          <w:rFonts w:ascii="Book Antiqua" w:hAnsi="Book Antiqua"/>
          <w:vertAlign w:val="superscript"/>
        </w:rPr>
        <w:t>[</w:t>
      </w:r>
      <w:proofErr w:type="gramEnd"/>
      <w:r w:rsidR="00DE2717" w:rsidRPr="00343426">
        <w:rPr>
          <w:rFonts w:ascii="Book Antiqua" w:hAnsi="Book Antiqua"/>
          <w:vertAlign w:val="superscript"/>
        </w:rPr>
        <w:t>9,10]</w:t>
      </w:r>
      <w:r w:rsidRPr="00343426">
        <w:rPr>
          <w:rFonts w:ascii="Book Antiqua" w:hAnsi="Book Antiqua"/>
        </w:rPr>
        <w:t xml:space="preserve">. </w:t>
      </w:r>
      <w:r w:rsidR="00DE2717" w:rsidRPr="00343426">
        <w:rPr>
          <w:rFonts w:ascii="Book Antiqua" w:hAnsi="Book Antiqua"/>
        </w:rPr>
        <w:t>When the bleeding is severe and persistent or the probability of intervention is strong, DBE can take the first place instead of VCE (Figure 3).</w:t>
      </w:r>
    </w:p>
    <w:p w:rsidR="00326A75" w:rsidRPr="00343426" w:rsidRDefault="00326A75" w:rsidP="00343426">
      <w:pPr>
        <w:pStyle w:val="GvdeA"/>
        <w:spacing w:line="360" w:lineRule="auto"/>
        <w:jc w:val="both"/>
        <w:rPr>
          <w:rFonts w:ascii="Book Antiqua" w:hAnsi="Book Antiqua" w:cs="Book Antiqua"/>
          <w:i/>
          <w:iCs/>
        </w:rPr>
      </w:pPr>
    </w:p>
    <w:p w:rsidR="00326A75" w:rsidRPr="00343426" w:rsidRDefault="00CE14F2" w:rsidP="00343426">
      <w:pPr>
        <w:pStyle w:val="GvdeA"/>
        <w:spacing w:line="360" w:lineRule="auto"/>
        <w:jc w:val="both"/>
        <w:rPr>
          <w:rFonts w:ascii="Book Antiqua" w:eastAsia="Book Antiqua" w:hAnsi="Book Antiqua" w:cs="Book Antiqua"/>
          <w:b/>
        </w:rPr>
      </w:pPr>
      <w:r w:rsidRPr="00343426">
        <w:rPr>
          <w:rFonts w:ascii="Book Antiqua" w:hAnsi="Book Antiqua"/>
          <w:b/>
          <w:i/>
          <w:iCs/>
        </w:rPr>
        <w:t xml:space="preserve">Abnormal </w:t>
      </w:r>
      <w:r w:rsidR="00DE2717" w:rsidRPr="00343426">
        <w:rPr>
          <w:rFonts w:ascii="Book Antiqua" w:hAnsi="Book Antiqua"/>
          <w:b/>
          <w:i/>
          <w:iCs/>
        </w:rPr>
        <w:t>findings in other examinations</w:t>
      </w:r>
    </w:p>
    <w:p w:rsidR="00326A75" w:rsidRPr="00343426" w:rsidRDefault="00CE14F2" w:rsidP="00343426">
      <w:pPr>
        <w:pStyle w:val="GvdeA"/>
        <w:spacing w:line="360" w:lineRule="auto"/>
        <w:jc w:val="both"/>
        <w:rPr>
          <w:rFonts w:ascii="Book Antiqua" w:hAnsi="Book Antiqua"/>
        </w:rPr>
      </w:pPr>
      <w:r w:rsidRPr="00343426">
        <w:rPr>
          <w:rFonts w:ascii="Book Antiqua" w:hAnsi="Book Antiqua"/>
        </w:rPr>
        <w:t xml:space="preserve">The interventional advantage offers DBE to be performed after abnormal findings of an initial diagnostic modality. Computed tomography (CT), magnetic resonance imaging (MRI) and VCE findings with suspected lesions can be confirmed and further applications can be performed with DBE. Also with suspected or known strictures of the small bowel, DBE comes further than VCE in order to avoid retention of the capsule and DBE becomes the initial approach for the </w:t>
      </w:r>
      <w:proofErr w:type="gramStart"/>
      <w:r w:rsidRPr="00343426">
        <w:rPr>
          <w:rFonts w:ascii="Book Antiqua" w:hAnsi="Book Antiqua"/>
        </w:rPr>
        <w:t>patient</w:t>
      </w:r>
      <w:r w:rsidR="00DE2717" w:rsidRPr="00343426">
        <w:rPr>
          <w:rFonts w:ascii="Book Antiqua" w:hAnsi="Book Antiqua"/>
          <w:vertAlign w:val="superscript"/>
        </w:rPr>
        <w:t>[</w:t>
      </w:r>
      <w:proofErr w:type="gramEnd"/>
      <w:r w:rsidR="00DE2717" w:rsidRPr="00343426">
        <w:rPr>
          <w:rFonts w:ascii="Book Antiqua" w:hAnsi="Book Antiqua"/>
          <w:vertAlign w:val="superscript"/>
        </w:rPr>
        <w:t>8]</w:t>
      </w:r>
      <w:r w:rsidRPr="00343426">
        <w:rPr>
          <w:rFonts w:ascii="Book Antiqua" w:hAnsi="Book Antiqua"/>
        </w:rPr>
        <w:t>.</w:t>
      </w:r>
      <w:r w:rsidR="00DE2717" w:rsidRPr="00343426">
        <w:rPr>
          <w:rFonts w:ascii="Book Antiqua" w:hAnsi="Book Antiqua"/>
        </w:rPr>
        <w:t xml:space="preserve"> </w:t>
      </w:r>
    </w:p>
    <w:p w:rsidR="00657B4D" w:rsidRPr="00343426" w:rsidRDefault="00657B4D" w:rsidP="00343426">
      <w:pPr>
        <w:pStyle w:val="GvdeA"/>
        <w:spacing w:line="360" w:lineRule="auto"/>
        <w:jc w:val="both"/>
        <w:rPr>
          <w:rFonts w:ascii="Book Antiqua" w:eastAsia="Book Antiqua" w:hAnsi="Book Antiqua" w:cs="Book Antiqua"/>
          <w:i/>
          <w:iCs/>
        </w:rPr>
      </w:pPr>
    </w:p>
    <w:p w:rsidR="00326A75" w:rsidRPr="00343426" w:rsidRDefault="00CE14F2" w:rsidP="00343426">
      <w:pPr>
        <w:pStyle w:val="GvdeA"/>
        <w:spacing w:line="360" w:lineRule="auto"/>
        <w:jc w:val="both"/>
        <w:rPr>
          <w:rFonts w:ascii="Book Antiqua" w:eastAsia="Book Antiqua" w:hAnsi="Book Antiqua" w:cs="Book Antiqua"/>
          <w:b/>
        </w:rPr>
      </w:pPr>
      <w:r w:rsidRPr="00343426">
        <w:rPr>
          <w:rFonts w:ascii="Book Antiqua" w:hAnsi="Book Antiqua"/>
          <w:b/>
          <w:i/>
          <w:iCs/>
          <w:lang w:val="da-DK"/>
        </w:rPr>
        <w:t xml:space="preserve">Polyposis </w:t>
      </w:r>
      <w:r w:rsidR="00DE2717" w:rsidRPr="00343426">
        <w:rPr>
          <w:rFonts w:ascii="Book Antiqua" w:hAnsi="Book Antiqua"/>
          <w:b/>
          <w:i/>
          <w:iCs/>
          <w:lang w:val="da-DK"/>
        </w:rPr>
        <w:t>syndromes</w:t>
      </w:r>
    </w:p>
    <w:p w:rsidR="00326A75" w:rsidRPr="00343426" w:rsidRDefault="00CE14F2" w:rsidP="00343426">
      <w:pPr>
        <w:pStyle w:val="GvdeA"/>
        <w:spacing w:line="360" w:lineRule="auto"/>
        <w:jc w:val="both"/>
        <w:rPr>
          <w:rFonts w:ascii="Book Antiqua" w:hAnsi="Book Antiqua"/>
        </w:rPr>
      </w:pPr>
      <w:r w:rsidRPr="00343426">
        <w:rPr>
          <w:rFonts w:ascii="Book Antiqua" w:hAnsi="Book Antiqua"/>
        </w:rPr>
        <w:t>The use of DBE in polyposis syndromes such as Familial Adenomatous Polyposis</w:t>
      </w:r>
      <w:r w:rsidR="00DF5161" w:rsidRPr="00343426">
        <w:rPr>
          <w:rFonts w:ascii="Book Antiqua" w:hAnsi="Book Antiqua"/>
        </w:rPr>
        <w:t xml:space="preserve"> </w:t>
      </w:r>
      <w:r w:rsidRPr="00343426">
        <w:rPr>
          <w:rFonts w:ascii="Book Antiqua" w:hAnsi="Book Antiqua"/>
        </w:rPr>
        <w:t>and Peutz Jeghers syndrome can be for screening and interventions for symptomatic patients (</w:t>
      </w:r>
      <w:r w:rsidRPr="00343426">
        <w:rPr>
          <w:rFonts w:ascii="Book Antiqua" w:hAnsi="Book Antiqua"/>
          <w:i/>
        </w:rPr>
        <w:t>i.e</w:t>
      </w:r>
      <w:r w:rsidR="00DE2717" w:rsidRPr="00343426">
        <w:rPr>
          <w:rFonts w:ascii="Book Antiqua" w:hAnsi="Book Antiqua"/>
          <w:i/>
        </w:rPr>
        <w:t>.,</w:t>
      </w:r>
      <w:r w:rsidRPr="00343426">
        <w:rPr>
          <w:rFonts w:ascii="Book Antiqua" w:hAnsi="Book Antiqua"/>
        </w:rPr>
        <w:t xml:space="preserve"> bleeding or partial obstruction)</w:t>
      </w:r>
      <w:r w:rsidR="00DE2717" w:rsidRPr="00343426">
        <w:rPr>
          <w:rFonts w:ascii="Book Antiqua" w:hAnsi="Book Antiqua"/>
          <w:vertAlign w:val="superscript"/>
        </w:rPr>
        <w:t>[11]</w:t>
      </w:r>
      <w:r w:rsidRPr="00343426">
        <w:rPr>
          <w:rFonts w:ascii="Book Antiqua" w:hAnsi="Book Antiqua"/>
        </w:rPr>
        <w:t xml:space="preserve">. </w:t>
      </w:r>
      <w:r w:rsidR="00DE2717" w:rsidRPr="00343426">
        <w:rPr>
          <w:rFonts w:ascii="Book Antiqua" w:hAnsi="Book Antiqua"/>
        </w:rPr>
        <w:t xml:space="preserve">Polyps larger than 15 mm are considered to bring tendency to intussusception and are recommended to be removed. CE is mainly used for detecting the large polyps or for surveillance, but DBE is encouraged to be performed for polypectomy instead of surgery. Patients with obstruction are treated with surgery and most of these patients that underwent surgery have intraabdominal adhesions. The risk of getting stuck and iatrogenic obstruction with capsule itself limits the use of CE in this setting and DBE becomes mainly the first choice for even surveillance of the small bowel. </w:t>
      </w:r>
      <w:r w:rsidRPr="00343426">
        <w:rPr>
          <w:rFonts w:ascii="Book Antiqua" w:hAnsi="Book Antiqua"/>
        </w:rPr>
        <w:t xml:space="preserve">The opportunity for polypectomy and mechanical dilatation of the intestinal strictures are the other unique advantages of DBE against other diagnostic </w:t>
      </w:r>
      <w:proofErr w:type="gramStart"/>
      <w:r w:rsidRPr="00343426">
        <w:rPr>
          <w:rFonts w:ascii="Book Antiqua" w:hAnsi="Book Antiqua"/>
        </w:rPr>
        <w:t>tools</w:t>
      </w:r>
      <w:r w:rsidR="00DE2717" w:rsidRPr="00343426">
        <w:rPr>
          <w:rFonts w:ascii="Book Antiqua" w:hAnsi="Book Antiqua"/>
          <w:vertAlign w:val="superscript"/>
        </w:rPr>
        <w:t>[</w:t>
      </w:r>
      <w:proofErr w:type="gramEnd"/>
      <w:r w:rsidR="00DE2717" w:rsidRPr="00343426">
        <w:rPr>
          <w:rFonts w:ascii="Book Antiqua" w:hAnsi="Book Antiqua"/>
          <w:vertAlign w:val="superscript"/>
        </w:rPr>
        <w:t>12]</w:t>
      </w:r>
      <w:r w:rsidR="00657B4D" w:rsidRPr="00343426">
        <w:rPr>
          <w:rFonts w:ascii="Book Antiqua" w:hAnsi="Book Antiqua"/>
        </w:rPr>
        <w:t xml:space="preserve"> (Figures 4 and </w:t>
      </w:r>
      <w:r w:rsidR="00DE2717" w:rsidRPr="00343426">
        <w:rPr>
          <w:rFonts w:ascii="Book Antiqua" w:hAnsi="Book Antiqua"/>
        </w:rPr>
        <w:t>5</w:t>
      </w:r>
      <w:r w:rsidR="00657B4D" w:rsidRPr="00343426">
        <w:rPr>
          <w:rFonts w:ascii="Book Antiqua" w:hAnsi="Book Antiqua"/>
        </w:rPr>
        <w:t>)</w:t>
      </w:r>
      <w:r w:rsidR="00DE2717" w:rsidRPr="00343426">
        <w:rPr>
          <w:rFonts w:ascii="Book Antiqua" w:hAnsi="Book Antiqua"/>
        </w:rPr>
        <w:t>.</w:t>
      </w:r>
    </w:p>
    <w:p w:rsidR="00326A75" w:rsidRPr="00343426" w:rsidRDefault="00326A75" w:rsidP="00343426">
      <w:pPr>
        <w:pStyle w:val="GvdeA"/>
        <w:spacing w:line="360" w:lineRule="auto"/>
        <w:jc w:val="both"/>
        <w:rPr>
          <w:rFonts w:ascii="Book Antiqua" w:eastAsia="Book Antiqua" w:hAnsi="Book Antiqua" w:cs="Book Antiqua"/>
        </w:rPr>
      </w:pPr>
    </w:p>
    <w:p w:rsidR="00326A75" w:rsidRPr="00343426" w:rsidRDefault="00DE2717" w:rsidP="00343426">
      <w:pPr>
        <w:pStyle w:val="GvdeA"/>
        <w:spacing w:line="360" w:lineRule="auto"/>
        <w:jc w:val="both"/>
        <w:rPr>
          <w:rFonts w:ascii="Book Antiqua" w:eastAsia="Book Antiqua" w:hAnsi="Book Antiqua" w:cs="Book Antiqua"/>
          <w:b/>
        </w:rPr>
      </w:pPr>
      <w:r w:rsidRPr="00343426">
        <w:rPr>
          <w:rFonts w:ascii="Book Antiqua" w:hAnsi="Book Antiqua"/>
          <w:b/>
          <w:i/>
          <w:iCs/>
        </w:rPr>
        <w:t>Crohn's disease</w:t>
      </w:r>
    </w:p>
    <w:p w:rsidR="00326A75" w:rsidRPr="00343426" w:rsidRDefault="00CE14F2" w:rsidP="00343426">
      <w:pPr>
        <w:pStyle w:val="GvdeA"/>
        <w:spacing w:line="360" w:lineRule="auto"/>
        <w:jc w:val="both"/>
        <w:rPr>
          <w:rFonts w:ascii="Book Antiqua" w:eastAsia="Book Antiqua" w:hAnsi="Book Antiqua" w:cs="Book Antiqua"/>
        </w:rPr>
      </w:pPr>
      <w:r w:rsidRPr="00343426">
        <w:rPr>
          <w:rFonts w:ascii="Book Antiqua" w:hAnsi="Book Antiqua"/>
        </w:rPr>
        <w:t xml:space="preserve">DBE is not the first choice for the diagnosis of </w:t>
      </w:r>
      <w:r w:rsidR="00DE2717" w:rsidRPr="00343426">
        <w:rPr>
          <w:rFonts w:ascii="Book Antiqua" w:hAnsi="Book Antiqua"/>
          <w:iCs/>
        </w:rPr>
        <w:t>Crohn's disease</w:t>
      </w:r>
      <w:r w:rsidR="00DE2717" w:rsidRPr="00343426">
        <w:rPr>
          <w:rFonts w:ascii="Book Antiqua" w:hAnsi="Book Antiqua"/>
          <w:i/>
          <w:iCs/>
        </w:rPr>
        <w:t xml:space="preserve"> </w:t>
      </w:r>
      <w:r w:rsidR="00DE2717" w:rsidRPr="00343426">
        <w:rPr>
          <w:rFonts w:ascii="Book Antiqua" w:hAnsi="Book Antiqua"/>
          <w:iCs/>
        </w:rPr>
        <w:t>(CD)</w:t>
      </w:r>
      <w:r w:rsidRPr="00343426">
        <w:rPr>
          <w:rFonts w:ascii="Book Antiqua" w:hAnsi="Book Antiqua"/>
        </w:rPr>
        <w:t xml:space="preserve">, but suspicion of the disease with only small bowel involvement and follow up of the strictures to confirm even inflammatory or fibrotic to modify the treatment of the patient would bring the need for using DBE in the diagnostic side of this disease. Also tissue sampling for suspected malignancy on CD and ability to dilate the strictures in the small bowel other implementations of DBE in </w:t>
      </w:r>
      <w:proofErr w:type="gramStart"/>
      <w:r w:rsidRPr="00343426">
        <w:rPr>
          <w:rFonts w:ascii="Book Antiqua" w:hAnsi="Book Antiqua"/>
        </w:rPr>
        <w:t>CD</w:t>
      </w:r>
      <w:r w:rsidR="00DE2717" w:rsidRPr="00343426">
        <w:rPr>
          <w:rFonts w:ascii="Book Antiqua" w:hAnsi="Book Antiqua"/>
          <w:vertAlign w:val="superscript"/>
        </w:rPr>
        <w:t>[</w:t>
      </w:r>
      <w:proofErr w:type="gramEnd"/>
      <w:r w:rsidR="00DE2717" w:rsidRPr="00343426">
        <w:rPr>
          <w:rFonts w:ascii="Book Antiqua" w:hAnsi="Book Antiqua"/>
          <w:vertAlign w:val="superscript"/>
        </w:rPr>
        <w:t>13]</w:t>
      </w:r>
      <w:r w:rsidRPr="00343426">
        <w:rPr>
          <w:rFonts w:ascii="Book Antiqua" w:hAnsi="Book Antiqua"/>
        </w:rPr>
        <w:t xml:space="preserve">. </w:t>
      </w:r>
      <w:r w:rsidR="00DE2717" w:rsidRPr="00343426">
        <w:rPr>
          <w:rFonts w:ascii="Book Antiqua" w:hAnsi="Book Antiqua"/>
        </w:rPr>
        <w:t xml:space="preserve">Endoscopic confirmation of strictures to be inflammatory or fibrotic is of great importance to steer the treatment. Inflammatory strictures are suitable candidates for medical therapy where fibrotic strictures need mechanical interventions such as dilatation or surgery. Endoscopic dilatation therapy is an option for short (&lt; 3-4 cm), fibrotic strictures mainly due to scar tissues. The recurrence of strictures and need for repetitive dilatation or surgery is observed in a wide range and this information needs further investigations to be </w:t>
      </w:r>
      <w:proofErr w:type="gramStart"/>
      <w:r w:rsidR="00DE2717" w:rsidRPr="00343426">
        <w:rPr>
          <w:rFonts w:ascii="Book Antiqua" w:hAnsi="Book Antiqua"/>
        </w:rPr>
        <w:t>determined</w:t>
      </w:r>
      <w:r w:rsidR="00DE2717" w:rsidRPr="00343426">
        <w:rPr>
          <w:rFonts w:ascii="Book Antiqua" w:hAnsi="Book Antiqua"/>
          <w:vertAlign w:val="superscript"/>
        </w:rPr>
        <w:t>[</w:t>
      </w:r>
      <w:proofErr w:type="gramEnd"/>
      <w:r w:rsidR="00DE2717" w:rsidRPr="00343426">
        <w:rPr>
          <w:rFonts w:ascii="Book Antiqua" w:hAnsi="Book Antiqua"/>
          <w:vertAlign w:val="superscript"/>
        </w:rPr>
        <w:t>14]</w:t>
      </w:r>
      <w:r w:rsidR="00DE2717" w:rsidRPr="00343426">
        <w:rPr>
          <w:rFonts w:ascii="Book Antiqua" w:hAnsi="Book Antiqua"/>
        </w:rPr>
        <w:t xml:space="preserve"> (Figure 6).</w:t>
      </w:r>
    </w:p>
    <w:p w:rsidR="00326A75" w:rsidRPr="00343426" w:rsidRDefault="00326A75" w:rsidP="00343426">
      <w:pPr>
        <w:pStyle w:val="GvdeA"/>
        <w:spacing w:line="360" w:lineRule="auto"/>
        <w:jc w:val="both"/>
        <w:rPr>
          <w:rFonts w:ascii="Book Antiqua" w:hAnsi="Book Antiqua" w:cs="Book Antiqua"/>
          <w:b/>
          <w:shd w:val="clear" w:color="auto" w:fill="FFFF00"/>
        </w:rPr>
      </w:pPr>
    </w:p>
    <w:p w:rsidR="00DE2717" w:rsidRPr="00343426" w:rsidRDefault="00DE2717" w:rsidP="00343426">
      <w:pPr>
        <w:pStyle w:val="GvdeA"/>
        <w:spacing w:line="360" w:lineRule="auto"/>
        <w:jc w:val="both"/>
        <w:rPr>
          <w:rFonts w:ascii="Book Antiqua" w:eastAsia="Book Antiqua" w:hAnsi="Book Antiqua" w:cs="Book Antiqua"/>
          <w:b/>
          <w:i/>
          <w:iCs/>
        </w:rPr>
      </w:pPr>
      <w:r w:rsidRPr="00343426">
        <w:rPr>
          <w:rFonts w:ascii="Book Antiqua" w:eastAsia="Book Antiqua" w:hAnsi="Book Antiqua" w:cs="Book Antiqua"/>
          <w:b/>
          <w:i/>
          <w:iCs/>
        </w:rPr>
        <w:t>Foreign body removal</w:t>
      </w:r>
    </w:p>
    <w:p w:rsidR="00657B4D" w:rsidRPr="00343426" w:rsidRDefault="00DE2717" w:rsidP="00343426">
      <w:pPr>
        <w:pStyle w:val="GvdeA"/>
        <w:spacing w:line="360" w:lineRule="auto"/>
        <w:jc w:val="both"/>
        <w:rPr>
          <w:rFonts w:ascii="Book Antiqua" w:hAnsi="Book Antiqua" w:cs="Book Antiqua"/>
          <w:iCs/>
        </w:rPr>
      </w:pPr>
      <w:r w:rsidRPr="00343426">
        <w:rPr>
          <w:rFonts w:ascii="Book Antiqua" w:eastAsia="Book Antiqua" w:hAnsi="Book Antiqua" w:cs="Book Antiqua"/>
          <w:iCs/>
        </w:rPr>
        <w:t xml:space="preserve">Ligament of Treitz is one of the anatomical narrow points where the intestinal passage is relatively altered. However foreign bodies may pass this anatomical site and reach small bowel easily. The foreign bodies that are beyond the reach of gastroscopy and colonoscopy are candidates for DBE. Foreign bodies can be observed in pathologically narrowed intestinal sites such as tumors, strictures and large polyps. Even wireless capsules used for VCE can get stuck and need to be removed with DBE. Potentially harmful foreign bodies such as needles can be safely removed by using DBE with the help of overtube.  </w:t>
      </w:r>
    </w:p>
    <w:p w:rsidR="00DE2717" w:rsidRPr="00343426" w:rsidRDefault="00DE2717" w:rsidP="00343426">
      <w:pPr>
        <w:pStyle w:val="GvdeA"/>
        <w:spacing w:line="360" w:lineRule="auto"/>
        <w:jc w:val="both"/>
        <w:rPr>
          <w:rFonts w:ascii="Book Antiqua" w:hAnsi="Book Antiqua" w:cs="Book Antiqua"/>
          <w:i/>
          <w:iCs/>
        </w:rPr>
      </w:pPr>
    </w:p>
    <w:p w:rsidR="00326A75" w:rsidRPr="00343426" w:rsidRDefault="00CE14F2" w:rsidP="00343426">
      <w:pPr>
        <w:pStyle w:val="GvdeA"/>
        <w:spacing w:line="360" w:lineRule="auto"/>
        <w:jc w:val="both"/>
        <w:rPr>
          <w:rFonts w:ascii="Book Antiqua" w:eastAsia="Book Antiqua" w:hAnsi="Book Antiqua" w:cs="Book Antiqua"/>
          <w:b/>
        </w:rPr>
      </w:pPr>
      <w:r w:rsidRPr="00343426">
        <w:rPr>
          <w:rFonts w:ascii="Book Antiqua" w:hAnsi="Book Antiqua"/>
          <w:b/>
          <w:i/>
          <w:iCs/>
          <w:lang w:val="nl-NL"/>
        </w:rPr>
        <w:t xml:space="preserve">Small </w:t>
      </w:r>
      <w:r w:rsidR="00DE2717" w:rsidRPr="00343426">
        <w:rPr>
          <w:rFonts w:ascii="Book Antiqua" w:hAnsi="Book Antiqua"/>
          <w:b/>
          <w:i/>
          <w:iCs/>
          <w:lang w:val="nl-NL"/>
        </w:rPr>
        <w:t>bowel tumors</w:t>
      </w:r>
    </w:p>
    <w:p w:rsidR="00326A75" w:rsidRPr="00343426" w:rsidRDefault="00CE14F2" w:rsidP="00343426">
      <w:pPr>
        <w:pStyle w:val="GvdeA"/>
        <w:spacing w:line="360" w:lineRule="auto"/>
        <w:jc w:val="both"/>
        <w:rPr>
          <w:rFonts w:ascii="Book Antiqua" w:eastAsia="Book Antiqua" w:hAnsi="Book Antiqua" w:cs="Book Antiqua"/>
        </w:rPr>
      </w:pPr>
      <w:r w:rsidRPr="00343426">
        <w:rPr>
          <w:rFonts w:ascii="Book Antiqua" w:hAnsi="Book Antiqua"/>
        </w:rPr>
        <w:t>Suspected small bowel lymphoma in Celiac disease and a solitary mass of small bowel documented in an initial diagnostic procedure can be the indication to perform DBE. As small bowel tumors can be seen nearly 5% of patients with mid GI bleeding, direct visualization of the lesion and histologic sampling before surgical intervention is crucial and DBE is the choice of initial procedure</w:t>
      </w:r>
      <w:r w:rsidR="00DE2717" w:rsidRPr="00343426">
        <w:rPr>
          <w:rFonts w:ascii="Book Antiqua" w:hAnsi="Book Antiqua"/>
          <w:vertAlign w:val="superscript"/>
        </w:rPr>
        <w:t>[1</w:t>
      </w:r>
      <w:r w:rsidR="007E1F50">
        <w:rPr>
          <w:rFonts w:ascii="Book Antiqua" w:hAnsi="Book Antiqua" w:hint="eastAsia"/>
          <w:vertAlign w:val="superscript"/>
        </w:rPr>
        <w:t>5</w:t>
      </w:r>
      <w:r w:rsidR="00DE2717" w:rsidRPr="00343426">
        <w:rPr>
          <w:rFonts w:ascii="Book Antiqua" w:hAnsi="Book Antiqua"/>
          <w:vertAlign w:val="superscript"/>
        </w:rPr>
        <w:t>]</w:t>
      </w:r>
      <w:r w:rsidRPr="00343426">
        <w:rPr>
          <w:rFonts w:ascii="Book Antiqua" w:hAnsi="Book Antiqua"/>
        </w:rPr>
        <w:t>.</w:t>
      </w:r>
      <w:r w:rsidR="00DE2717" w:rsidRPr="00343426">
        <w:rPr>
          <w:rFonts w:ascii="Book Antiqua" w:hAnsi="Book Antiqua"/>
        </w:rPr>
        <w:t xml:space="preserve"> Also tattooing with DBE prior to surgery would be useful for surgeons to perform the most suitable surgical design (Figure 7). </w:t>
      </w:r>
      <w:r w:rsidR="00DE2717" w:rsidRPr="00343426">
        <w:rPr>
          <w:rFonts w:ascii="Book Antiqua" w:eastAsia="Book Antiqua" w:hAnsi="Book Antiqua" w:cs="Book Antiqua"/>
        </w:rPr>
        <w:t xml:space="preserve"> </w:t>
      </w:r>
    </w:p>
    <w:p w:rsidR="00DE2717" w:rsidRPr="00343426" w:rsidRDefault="00DE2717" w:rsidP="00343426">
      <w:pPr>
        <w:pStyle w:val="GvdeA"/>
        <w:spacing w:line="360" w:lineRule="auto"/>
        <w:jc w:val="both"/>
        <w:rPr>
          <w:rFonts w:ascii="Book Antiqua" w:hAnsi="Book Antiqua"/>
          <w:i/>
          <w:iCs/>
        </w:rPr>
      </w:pPr>
    </w:p>
    <w:p w:rsidR="00326A75" w:rsidRPr="00343426" w:rsidRDefault="00CE14F2" w:rsidP="00343426">
      <w:pPr>
        <w:pStyle w:val="GvdeA"/>
        <w:spacing w:line="360" w:lineRule="auto"/>
        <w:jc w:val="both"/>
        <w:rPr>
          <w:rFonts w:ascii="Book Antiqua" w:eastAsia="Book Antiqua" w:hAnsi="Book Antiqua" w:cs="Book Antiqua"/>
          <w:b/>
        </w:rPr>
      </w:pPr>
      <w:r w:rsidRPr="00343426">
        <w:rPr>
          <w:rFonts w:ascii="Book Antiqua" w:hAnsi="Book Antiqua"/>
          <w:b/>
          <w:i/>
          <w:iCs/>
        </w:rPr>
        <w:t xml:space="preserve">Biliary </w:t>
      </w:r>
      <w:r w:rsidR="00DE2717" w:rsidRPr="00343426">
        <w:rPr>
          <w:rFonts w:ascii="Book Antiqua" w:hAnsi="Book Antiqua"/>
          <w:b/>
          <w:i/>
          <w:iCs/>
        </w:rPr>
        <w:t xml:space="preserve">interventions in surgically modified </w:t>
      </w:r>
      <w:r w:rsidRPr="00343426">
        <w:rPr>
          <w:rFonts w:ascii="Book Antiqua" w:hAnsi="Book Antiqua"/>
          <w:b/>
          <w:i/>
          <w:iCs/>
        </w:rPr>
        <w:t xml:space="preserve">GI </w:t>
      </w:r>
      <w:r w:rsidR="00DE2717" w:rsidRPr="00343426">
        <w:rPr>
          <w:rFonts w:ascii="Book Antiqua" w:hAnsi="Book Antiqua"/>
          <w:b/>
          <w:i/>
          <w:iCs/>
        </w:rPr>
        <w:t>tract</w:t>
      </w:r>
    </w:p>
    <w:p w:rsidR="00CF108B" w:rsidRPr="00343426" w:rsidRDefault="00CE14F2" w:rsidP="00343426">
      <w:pPr>
        <w:pStyle w:val="GvdeA"/>
        <w:spacing w:line="360" w:lineRule="auto"/>
        <w:jc w:val="both"/>
        <w:rPr>
          <w:rFonts w:ascii="Book Antiqua" w:hAnsi="Book Antiqua"/>
        </w:rPr>
      </w:pPr>
      <w:r w:rsidRPr="00343426">
        <w:rPr>
          <w:rFonts w:ascii="Book Antiqua" w:hAnsi="Book Antiqua"/>
        </w:rPr>
        <w:t xml:space="preserve">DBE gives clinicians the chance to perform endoscopic retrograde cholangiopancreatography in patients with Bilroth II and Roux-en-Y anastomosis who have altered anatomy due to surgery. </w:t>
      </w:r>
      <w:r w:rsidR="00CF108B" w:rsidRPr="00343426">
        <w:rPr>
          <w:rFonts w:ascii="Book Antiqua" w:hAnsi="Book Antiqua"/>
        </w:rPr>
        <w:t xml:space="preserve">This approach can be </w:t>
      </w:r>
      <w:proofErr w:type="gramStart"/>
      <w:r w:rsidR="00CF108B" w:rsidRPr="00343426">
        <w:rPr>
          <w:rFonts w:ascii="Book Antiqua" w:hAnsi="Book Antiqua"/>
        </w:rPr>
        <w:t>both diagnostic or</w:t>
      </w:r>
      <w:proofErr w:type="gramEnd"/>
      <w:r w:rsidR="00CF108B" w:rsidRPr="00343426">
        <w:rPr>
          <w:rFonts w:ascii="Book Antiqua" w:hAnsi="Book Antiqua"/>
        </w:rPr>
        <w:t xml:space="preserve"> interventional such as stone extraction, dilatation or biliary stenting. Also patients who underwent bariatric surgery and gastric bypass have a long descending small bowel loop that lead to the afferent loop which can obtain access to the duodenum or the gastric remnant. DBE is used to pass this prolonged route in order to reach the biliary system. </w:t>
      </w:r>
    </w:p>
    <w:p w:rsidR="00326A75" w:rsidRPr="00343426" w:rsidRDefault="00CF108B" w:rsidP="00343426">
      <w:pPr>
        <w:pStyle w:val="GvdeA"/>
        <w:spacing w:line="360" w:lineRule="auto"/>
        <w:ind w:firstLineChars="200" w:firstLine="480"/>
        <w:jc w:val="both"/>
        <w:rPr>
          <w:rFonts w:ascii="Book Antiqua" w:hAnsi="Book Antiqua"/>
          <w:shd w:val="clear" w:color="auto" w:fill="FFFF00"/>
        </w:rPr>
      </w:pPr>
      <w:r w:rsidRPr="00343426">
        <w:rPr>
          <w:rFonts w:ascii="Book Antiqua" w:hAnsi="Book Antiqua"/>
        </w:rPr>
        <w:t xml:space="preserve">DBE can also be used in patients who could not have complete ileocolonoscopy due to technical difficulties such as adhesions. </w:t>
      </w:r>
    </w:p>
    <w:p w:rsidR="00657B4D" w:rsidRPr="00343426" w:rsidRDefault="00657B4D" w:rsidP="00343426">
      <w:pPr>
        <w:pStyle w:val="GvdeA"/>
        <w:spacing w:line="360" w:lineRule="auto"/>
        <w:jc w:val="both"/>
        <w:rPr>
          <w:rFonts w:ascii="Book Antiqua" w:eastAsia="Book Antiqua Bold" w:hAnsi="Book Antiqua" w:cs="Book Antiqua Bold"/>
          <w:i/>
          <w:iCs/>
        </w:rPr>
      </w:pPr>
    </w:p>
    <w:p w:rsidR="00326A75" w:rsidRPr="00343426" w:rsidRDefault="00CE14F2" w:rsidP="00343426">
      <w:pPr>
        <w:pStyle w:val="GvdeA"/>
        <w:spacing w:line="360" w:lineRule="auto"/>
        <w:jc w:val="both"/>
        <w:rPr>
          <w:rFonts w:ascii="Book Antiqua" w:eastAsia="Book Antiqua" w:hAnsi="Book Antiqua" w:cs="Book Antiqua"/>
          <w:b/>
        </w:rPr>
      </w:pPr>
      <w:r w:rsidRPr="00343426">
        <w:rPr>
          <w:rFonts w:ascii="Book Antiqua" w:hAnsi="Book Antiqua"/>
          <w:b/>
          <w:i/>
          <w:iCs/>
        </w:rPr>
        <w:t>Complications</w:t>
      </w:r>
    </w:p>
    <w:p w:rsidR="00326A75" w:rsidRPr="00343426" w:rsidRDefault="00CE14F2" w:rsidP="00343426">
      <w:pPr>
        <w:pStyle w:val="GvdeA"/>
        <w:spacing w:line="360" w:lineRule="auto"/>
        <w:jc w:val="both"/>
        <w:rPr>
          <w:rFonts w:ascii="Book Antiqua" w:hAnsi="Book Antiqua"/>
        </w:rPr>
      </w:pPr>
      <w:r w:rsidRPr="00343426">
        <w:rPr>
          <w:rFonts w:ascii="Book Antiqua" w:hAnsi="Book Antiqua"/>
        </w:rPr>
        <w:t xml:space="preserve">Procedure related complications differ according to the content of the examination. A procedure without therapeutic intervention brings low rates of complications. </w:t>
      </w:r>
      <w:r w:rsidR="00CF108B" w:rsidRPr="00343426">
        <w:rPr>
          <w:rFonts w:ascii="Book Antiqua" w:hAnsi="Book Antiqua"/>
        </w:rPr>
        <w:t xml:space="preserve">Due to prolonged procedure and air insufflation, abdominal pain can be observed in up to 20% patients. </w:t>
      </w:r>
      <w:r w:rsidRPr="00343426">
        <w:rPr>
          <w:rFonts w:ascii="Book Antiqua" w:hAnsi="Book Antiqua"/>
        </w:rPr>
        <w:t>Acute pancreatitis with a rate of 0</w:t>
      </w:r>
      <w:r w:rsidR="00CF108B" w:rsidRPr="00343426">
        <w:rPr>
          <w:rFonts w:ascii="Book Antiqua" w:hAnsi="Book Antiqua"/>
        </w:rPr>
        <w:t>.</w:t>
      </w:r>
      <w:r w:rsidRPr="00343426">
        <w:rPr>
          <w:rFonts w:ascii="Book Antiqua" w:hAnsi="Book Antiqua"/>
        </w:rPr>
        <w:t>3-0</w:t>
      </w:r>
      <w:r w:rsidR="00CF108B" w:rsidRPr="00343426">
        <w:rPr>
          <w:rFonts w:ascii="Book Antiqua" w:hAnsi="Book Antiqua"/>
        </w:rPr>
        <w:t>.</w:t>
      </w:r>
      <w:r w:rsidRPr="00343426">
        <w:rPr>
          <w:rFonts w:ascii="Book Antiqua" w:hAnsi="Book Antiqua"/>
        </w:rPr>
        <w:t>4% is the most common complication for oral route. It is supposed to be the result of increased pressure at the site of major papilla and ischemia of pancreas due to push and pull maneuvers. When therapeutic intervention is used complication rates increase up to 10% (perforation or bleeding following polypectomy or mucosal resection)</w:t>
      </w:r>
      <w:bookmarkStart w:id="64" w:name="Mendeley_Bookmark_rrQNC015mj"/>
      <w:r w:rsidR="00CF108B" w:rsidRPr="00343426">
        <w:rPr>
          <w:rFonts w:ascii="Book Antiqua" w:hAnsi="Book Antiqua"/>
          <w:vertAlign w:val="superscript"/>
        </w:rPr>
        <w:t>[</w:t>
      </w:r>
      <w:r w:rsidRPr="00343426">
        <w:rPr>
          <w:rFonts w:ascii="Book Antiqua" w:hAnsi="Book Antiqua"/>
          <w:vertAlign w:val="superscript"/>
        </w:rPr>
        <w:t>9,13,1</w:t>
      </w:r>
      <w:r w:rsidR="007E1F50">
        <w:rPr>
          <w:rFonts w:ascii="Book Antiqua" w:hAnsi="Book Antiqua" w:hint="eastAsia"/>
          <w:vertAlign w:val="superscript"/>
        </w:rPr>
        <w:t>6</w:t>
      </w:r>
      <w:bookmarkEnd w:id="64"/>
      <w:r w:rsidR="00CF108B" w:rsidRPr="00343426">
        <w:rPr>
          <w:rFonts w:ascii="Book Antiqua" w:hAnsi="Book Antiqua"/>
          <w:vertAlign w:val="superscript"/>
        </w:rPr>
        <w:t>]</w:t>
      </w:r>
      <w:r w:rsidRPr="00343426">
        <w:rPr>
          <w:rFonts w:ascii="Book Antiqua" w:hAnsi="Book Antiqua"/>
        </w:rPr>
        <w:t xml:space="preserve">. Patients who had previous abdominal surgery and altered anatomy has greater risk of complications. Also prolonged sedation beyond from the procedure itself has the risk of respiratory depression and aspiration with a rate of 1%. Experience of the endoscopist, shorter time of procedure and inflating the balloons distal to Treitz ligament are the clues to reduce the rate of complications. </w:t>
      </w:r>
    </w:p>
    <w:p w:rsidR="00CF108B" w:rsidRPr="00343426" w:rsidRDefault="00CF108B" w:rsidP="00343426">
      <w:pPr>
        <w:pStyle w:val="GvdeA"/>
        <w:spacing w:line="360" w:lineRule="auto"/>
        <w:jc w:val="both"/>
        <w:rPr>
          <w:rFonts w:ascii="Book Antiqua" w:eastAsia="Book Antiqua Bold" w:hAnsi="Book Antiqua" w:cs="Book Antiqua Bold"/>
          <w:i/>
          <w:iCs/>
        </w:rPr>
      </w:pPr>
    </w:p>
    <w:p w:rsidR="00326A75" w:rsidRPr="00343426" w:rsidRDefault="00CE14F2" w:rsidP="00343426">
      <w:pPr>
        <w:pStyle w:val="GvdeA"/>
        <w:spacing w:line="360" w:lineRule="auto"/>
        <w:jc w:val="both"/>
        <w:rPr>
          <w:rFonts w:ascii="Book Antiqua" w:eastAsia="Book Antiqua" w:hAnsi="Book Antiqua" w:cs="Book Antiqua"/>
          <w:b/>
        </w:rPr>
      </w:pPr>
      <w:r w:rsidRPr="00343426">
        <w:rPr>
          <w:rFonts w:ascii="Book Antiqua" w:hAnsi="Book Antiqua"/>
          <w:b/>
          <w:i/>
          <w:iCs/>
        </w:rPr>
        <w:t>Contraindications of DBE</w:t>
      </w:r>
    </w:p>
    <w:p w:rsidR="00326A75" w:rsidRPr="00343426" w:rsidRDefault="00CE14F2" w:rsidP="00343426">
      <w:pPr>
        <w:pStyle w:val="GvdeA"/>
        <w:spacing w:line="360" w:lineRule="auto"/>
        <w:jc w:val="both"/>
        <w:rPr>
          <w:rFonts w:ascii="Book Antiqua" w:eastAsia="Book Antiqua Bold" w:hAnsi="Book Antiqua" w:cs="Book Antiqua Bold"/>
          <w:i/>
          <w:iCs/>
          <w:shd w:val="clear" w:color="auto" w:fill="FFFF00"/>
        </w:rPr>
      </w:pPr>
      <w:r w:rsidRPr="00343426">
        <w:rPr>
          <w:rFonts w:ascii="Book Antiqua" w:hAnsi="Book Antiqua"/>
        </w:rPr>
        <w:t xml:space="preserve">The contraindications for DBE are the same as conventional upper or lower GI endoscopic procedures. These are presence of shock, acute myocardial infarction, fulminant colitis, acute perforation and peritonitis. Intraabdominal adhesions increase the difficulty of the procedure and limit the depth of insertion but they are not counted as a contraindication. </w:t>
      </w:r>
    </w:p>
    <w:p w:rsidR="00326A75" w:rsidRPr="00343426" w:rsidRDefault="00326A75" w:rsidP="00343426">
      <w:pPr>
        <w:pStyle w:val="GvdeA"/>
        <w:spacing w:line="360" w:lineRule="auto"/>
        <w:jc w:val="both"/>
        <w:rPr>
          <w:rFonts w:ascii="Book Antiqua" w:eastAsia="Book Antiqua Bold" w:hAnsi="Book Antiqua" w:cs="Book Antiqua Bold"/>
          <w:i/>
          <w:iCs/>
          <w:shd w:val="clear" w:color="auto" w:fill="FFFF00"/>
        </w:rPr>
      </w:pPr>
    </w:p>
    <w:p w:rsidR="00CF108B" w:rsidRPr="00343426" w:rsidRDefault="00CF108B" w:rsidP="00343426">
      <w:pPr>
        <w:pStyle w:val="GvdeA"/>
        <w:spacing w:line="360" w:lineRule="auto"/>
        <w:jc w:val="both"/>
        <w:rPr>
          <w:rFonts w:ascii="Book Antiqua" w:eastAsia="Book Antiqua" w:hAnsi="Book Antiqua" w:cs="Book Antiqua"/>
          <w:b/>
          <w:bCs/>
          <w:i/>
          <w:kern w:val="0"/>
        </w:rPr>
      </w:pPr>
      <w:r w:rsidRPr="00343426">
        <w:rPr>
          <w:rFonts w:ascii="Book Antiqua" w:eastAsia="Book Antiqua" w:hAnsi="Book Antiqua" w:cs="Book Antiqua"/>
          <w:b/>
          <w:bCs/>
          <w:i/>
          <w:kern w:val="0"/>
        </w:rPr>
        <w:t>Alternative techniques to examine the small bowel</w:t>
      </w:r>
    </w:p>
    <w:p w:rsidR="00CF108B" w:rsidRPr="00343426" w:rsidRDefault="00CF108B" w:rsidP="00343426">
      <w:pPr>
        <w:pStyle w:val="GvdeA"/>
        <w:spacing w:line="360" w:lineRule="auto"/>
        <w:jc w:val="both"/>
        <w:rPr>
          <w:rFonts w:ascii="Book Antiqua" w:eastAsia="Book Antiqua" w:hAnsi="Book Antiqua" w:cs="Book Antiqua"/>
          <w:bCs/>
          <w:kern w:val="0"/>
        </w:rPr>
      </w:pPr>
      <w:r w:rsidRPr="00343426">
        <w:rPr>
          <w:rFonts w:ascii="Book Antiqua" w:eastAsia="Book Antiqua" w:hAnsi="Book Antiqua" w:cs="Book Antiqua"/>
          <w:bCs/>
          <w:kern w:val="0"/>
        </w:rPr>
        <w:t xml:space="preserve">VCE is a good alternative or an initial procedure to use as a diagnostic tool mainly investigating mid-GI bleeding. However the inability of intervention is the main drawback of VCE. Three meta-analyses in the literature of DBE versus VCE showed similar diagnostic yields in patients with obscure GI </w:t>
      </w:r>
      <w:proofErr w:type="gramStart"/>
      <w:r w:rsidRPr="00343426">
        <w:rPr>
          <w:rFonts w:ascii="Book Antiqua" w:eastAsia="Book Antiqua" w:hAnsi="Book Antiqua" w:cs="Book Antiqua"/>
          <w:bCs/>
          <w:kern w:val="0"/>
        </w:rPr>
        <w:t>bleeding</w:t>
      </w:r>
      <w:r w:rsidRPr="00343426">
        <w:rPr>
          <w:rFonts w:ascii="Book Antiqua" w:hAnsi="Book Antiqua" w:cs="Book Antiqua"/>
          <w:bCs/>
          <w:kern w:val="0"/>
          <w:vertAlign w:val="superscript"/>
        </w:rPr>
        <w:t>[</w:t>
      </w:r>
      <w:proofErr w:type="gramEnd"/>
      <w:r w:rsidRPr="00343426">
        <w:rPr>
          <w:rFonts w:ascii="Book Antiqua" w:eastAsia="Book Antiqua" w:hAnsi="Book Antiqua" w:cs="Book Antiqua"/>
          <w:bCs/>
          <w:kern w:val="0"/>
          <w:vertAlign w:val="superscript"/>
        </w:rPr>
        <w:t>17</w:t>
      </w:r>
      <w:r w:rsidRPr="00343426">
        <w:rPr>
          <w:rFonts w:ascii="Book Antiqua" w:hAnsi="Book Antiqua" w:cs="Book Antiqua"/>
          <w:bCs/>
          <w:kern w:val="0"/>
          <w:vertAlign w:val="superscript"/>
        </w:rPr>
        <w:t>-</w:t>
      </w:r>
      <w:r w:rsidRPr="00343426">
        <w:rPr>
          <w:rFonts w:ascii="Book Antiqua" w:eastAsia="Book Antiqua" w:hAnsi="Book Antiqua" w:cs="Book Antiqua"/>
          <w:bCs/>
          <w:kern w:val="0"/>
          <w:vertAlign w:val="superscript"/>
        </w:rPr>
        <w:t>19</w:t>
      </w:r>
      <w:r w:rsidRPr="00343426">
        <w:rPr>
          <w:rFonts w:ascii="Book Antiqua" w:hAnsi="Book Antiqua" w:cs="Book Antiqua"/>
          <w:bCs/>
          <w:kern w:val="0"/>
          <w:vertAlign w:val="superscript"/>
        </w:rPr>
        <w:t>]</w:t>
      </w:r>
      <w:r w:rsidRPr="00343426">
        <w:rPr>
          <w:rFonts w:ascii="Book Antiqua" w:eastAsia="Book Antiqua" w:hAnsi="Book Antiqua" w:cs="Book Antiqua"/>
          <w:bCs/>
          <w:kern w:val="0"/>
        </w:rPr>
        <w:t>. A retrospective study of 162 patients demonstrated an advantage of VCE where it is technically hard to reach with DBE and superiority of DBE in patients with Roux-en-Y loop anatomy and diverticula.65 Overall, the diagnostic yield for DBE versus VCE appears to be similar. VCE has the advantage of being noninvasive and is more likely to achieve complete small bowel enteroscopy. As VCE can be performed in outpatient setting without sedation it does not carry the additional risks of anesthesia.</w:t>
      </w:r>
    </w:p>
    <w:p w:rsidR="00CF108B" w:rsidRPr="00343426" w:rsidRDefault="00CF108B" w:rsidP="00343426">
      <w:pPr>
        <w:pStyle w:val="GvdeA"/>
        <w:spacing w:line="360" w:lineRule="auto"/>
        <w:ind w:firstLineChars="200" w:firstLine="480"/>
        <w:jc w:val="both"/>
        <w:rPr>
          <w:rFonts w:ascii="Book Antiqua" w:eastAsia="Book Antiqua" w:hAnsi="Book Antiqua" w:cs="Book Antiqua"/>
          <w:bCs/>
          <w:kern w:val="0"/>
        </w:rPr>
      </w:pPr>
      <w:r w:rsidRPr="00343426">
        <w:rPr>
          <w:rFonts w:ascii="Book Antiqua" w:eastAsia="Book Antiqua" w:hAnsi="Book Antiqua" w:cs="Book Antiqua"/>
          <w:bCs/>
          <w:kern w:val="0"/>
        </w:rPr>
        <w:t xml:space="preserve">In most clinical scenario the initial approach is VCE and after addressing the site of pathology DBE is used for sampling or therapeutic intervention. This sequential approach decreases the procedure duration and enhances interventional success. </w:t>
      </w:r>
    </w:p>
    <w:p w:rsidR="00CF108B" w:rsidRPr="00343426" w:rsidRDefault="00CF108B" w:rsidP="00343426">
      <w:pPr>
        <w:pStyle w:val="GvdeA"/>
        <w:spacing w:line="360" w:lineRule="auto"/>
        <w:ind w:firstLineChars="200" w:firstLine="480"/>
        <w:jc w:val="both"/>
        <w:rPr>
          <w:rFonts w:ascii="Book Antiqua" w:eastAsia="Book Antiqua" w:hAnsi="Book Antiqua" w:cs="Book Antiqua"/>
          <w:bCs/>
          <w:kern w:val="0"/>
        </w:rPr>
      </w:pPr>
      <w:r w:rsidRPr="00343426">
        <w:rPr>
          <w:rFonts w:ascii="Book Antiqua" w:eastAsia="Book Antiqua" w:hAnsi="Book Antiqua" w:cs="Book Antiqua"/>
          <w:bCs/>
          <w:kern w:val="0"/>
        </w:rPr>
        <w:t xml:space="preserve">Single Balloon Enteroscopy (SBE) is another alternative procedure for similar indications with similar capabilities. Limited </w:t>
      </w:r>
      <w:proofErr w:type="gramStart"/>
      <w:r w:rsidRPr="00343426">
        <w:rPr>
          <w:rFonts w:ascii="Book Antiqua" w:eastAsia="Book Antiqua" w:hAnsi="Book Antiqua" w:cs="Book Antiqua"/>
          <w:bCs/>
          <w:kern w:val="0"/>
        </w:rPr>
        <w:t>number</w:t>
      </w:r>
      <w:proofErr w:type="gramEnd"/>
      <w:r w:rsidRPr="00343426">
        <w:rPr>
          <w:rFonts w:ascii="Book Antiqua" w:eastAsia="Book Antiqua" w:hAnsi="Book Antiqua" w:cs="Book Antiqua"/>
          <w:bCs/>
          <w:kern w:val="0"/>
        </w:rPr>
        <w:t xml:space="preserve"> of trials that compare SBE and DBE have showed that they have similar diagnostic and therapeutic yield. However DBE seems to be more effective in performing complete </w:t>
      </w:r>
      <w:proofErr w:type="gramStart"/>
      <w:r w:rsidRPr="00343426">
        <w:rPr>
          <w:rFonts w:ascii="Book Antiqua" w:eastAsia="Book Antiqua" w:hAnsi="Book Antiqua" w:cs="Book Antiqua"/>
          <w:bCs/>
          <w:kern w:val="0"/>
        </w:rPr>
        <w:t>enteroscopy</w:t>
      </w:r>
      <w:r w:rsidRPr="00343426">
        <w:rPr>
          <w:rFonts w:ascii="Book Antiqua" w:hAnsi="Book Antiqua" w:cs="Book Antiqua"/>
          <w:bCs/>
          <w:kern w:val="0"/>
          <w:vertAlign w:val="superscript"/>
        </w:rPr>
        <w:t>[</w:t>
      </w:r>
      <w:proofErr w:type="gramEnd"/>
      <w:r w:rsidRPr="00343426">
        <w:rPr>
          <w:rFonts w:ascii="Book Antiqua" w:eastAsia="Book Antiqua" w:hAnsi="Book Antiqua" w:cs="Book Antiqua"/>
          <w:bCs/>
          <w:kern w:val="0"/>
          <w:vertAlign w:val="superscript"/>
        </w:rPr>
        <w:t>20</w:t>
      </w:r>
      <w:r w:rsidRPr="00343426">
        <w:rPr>
          <w:rFonts w:ascii="Book Antiqua" w:hAnsi="Book Antiqua" w:cs="Book Antiqua"/>
          <w:bCs/>
          <w:kern w:val="0"/>
          <w:vertAlign w:val="superscript"/>
        </w:rPr>
        <w:t>-</w:t>
      </w:r>
      <w:r w:rsidRPr="00343426">
        <w:rPr>
          <w:rFonts w:ascii="Book Antiqua" w:eastAsia="Book Antiqua" w:hAnsi="Book Antiqua" w:cs="Book Antiqua"/>
          <w:bCs/>
          <w:kern w:val="0"/>
          <w:vertAlign w:val="superscript"/>
        </w:rPr>
        <w:t>23</w:t>
      </w:r>
      <w:r w:rsidRPr="00343426">
        <w:rPr>
          <w:rFonts w:ascii="Book Antiqua" w:hAnsi="Book Antiqua" w:cs="Book Antiqua"/>
          <w:bCs/>
          <w:kern w:val="0"/>
          <w:vertAlign w:val="superscript"/>
        </w:rPr>
        <w:t>]</w:t>
      </w:r>
      <w:r w:rsidRPr="00343426">
        <w:rPr>
          <w:rFonts w:ascii="Book Antiqua" w:eastAsia="Book Antiqua" w:hAnsi="Book Antiqua" w:cs="Book Antiqua"/>
          <w:bCs/>
          <w:kern w:val="0"/>
        </w:rPr>
        <w:t xml:space="preserve">.  </w:t>
      </w:r>
    </w:p>
    <w:p w:rsidR="00657B4D" w:rsidRPr="00343426" w:rsidRDefault="00CF108B" w:rsidP="00343426">
      <w:pPr>
        <w:pStyle w:val="GvdeA"/>
        <w:spacing w:line="360" w:lineRule="auto"/>
        <w:ind w:firstLineChars="200" w:firstLine="480"/>
        <w:jc w:val="both"/>
        <w:rPr>
          <w:rFonts w:ascii="Book Antiqua" w:hAnsi="Book Antiqua" w:cs="Book Antiqua"/>
          <w:bCs/>
          <w:kern w:val="0"/>
        </w:rPr>
      </w:pPr>
      <w:r w:rsidRPr="00343426">
        <w:rPr>
          <w:rFonts w:ascii="Book Antiqua" w:eastAsia="Book Antiqua" w:hAnsi="Book Antiqua" w:cs="Book Antiqua"/>
          <w:bCs/>
          <w:kern w:val="0"/>
        </w:rPr>
        <w:t xml:space="preserve">Intraoperative Enteroscopy (IOE) is </w:t>
      </w:r>
      <w:proofErr w:type="gramStart"/>
      <w:r w:rsidRPr="00343426">
        <w:rPr>
          <w:rFonts w:ascii="Book Antiqua" w:eastAsia="Book Antiqua" w:hAnsi="Book Antiqua" w:cs="Book Antiqua"/>
          <w:bCs/>
          <w:kern w:val="0"/>
        </w:rPr>
        <w:t>an another</w:t>
      </w:r>
      <w:proofErr w:type="gramEnd"/>
      <w:r w:rsidRPr="00343426">
        <w:rPr>
          <w:rFonts w:ascii="Book Antiqua" w:eastAsia="Book Antiqua" w:hAnsi="Book Antiqua" w:cs="Book Antiqua"/>
          <w:bCs/>
          <w:kern w:val="0"/>
        </w:rPr>
        <w:t xml:space="preserve"> alternative but after development of balloon enteroscopy techniques, IOE is not of initial choice as it is incomparably invasive.</w:t>
      </w:r>
    </w:p>
    <w:p w:rsidR="00CF108B" w:rsidRPr="00343426" w:rsidRDefault="00CF108B" w:rsidP="00343426">
      <w:pPr>
        <w:pStyle w:val="GvdeA"/>
        <w:spacing w:line="360" w:lineRule="auto"/>
        <w:jc w:val="both"/>
        <w:rPr>
          <w:rFonts w:ascii="Book Antiqua" w:hAnsi="Book Antiqua" w:cs="Book Antiqua"/>
          <w:bCs/>
          <w:kern w:val="0"/>
        </w:rPr>
      </w:pPr>
    </w:p>
    <w:p w:rsidR="00326A75" w:rsidRPr="00343426" w:rsidRDefault="00CE14F2" w:rsidP="00343426">
      <w:pPr>
        <w:pStyle w:val="GvdeA"/>
        <w:spacing w:line="360" w:lineRule="auto"/>
        <w:jc w:val="both"/>
        <w:rPr>
          <w:rFonts w:ascii="Book Antiqua" w:eastAsia="Book Antiqua" w:hAnsi="Book Antiqua" w:cs="Book Antiqua"/>
          <w:kern w:val="0"/>
        </w:rPr>
      </w:pPr>
      <w:r w:rsidRPr="00343426">
        <w:rPr>
          <w:rFonts w:ascii="Book Antiqua" w:hAnsi="Book Antiqua"/>
          <w:b/>
          <w:bCs/>
          <w:kern w:val="0"/>
        </w:rPr>
        <w:t>CONCLUSION</w:t>
      </w:r>
    </w:p>
    <w:p w:rsidR="00326A75" w:rsidRPr="00343426" w:rsidRDefault="00CE14F2" w:rsidP="00343426">
      <w:pPr>
        <w:pStyle w:val="GvdeA"/>
        <w:shd w:val="clear" w:color="auto" w:fill="FFFFFF"/>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Book Antiqua" w:eastAsia="Book Antiqua" w:hAnsi="Book Antiqua" w:cs="Book Antiqua"/>
        </w:rPr>
      </w:pPr>
      <w:r w:rsidRPr="00343426">
        <w:rPr>
          <w:rFonts w:ascii="Book Antiqua" w:hAnsi="Book Antiqua"/>
        </w:rPr>
        <w:t xml:space="preserve">DBE was first introduced by Yamamoto </w:t>
      </w:r>
      <w:r w:rsidRPr="00343426">
        <w:rPr>
          <w:rFonts w:ascii="Book Antiqua" w:hAnsi="Book Antiqua"/>
          <w:i/>
        </w:rPr>
        <w:t xml:space="preserve">et </w:t>
      </w:r>
      <w:proofErr w:type="gramStart"/>
      <w:r w:rsidRPr="00343426">
        <w:rPr>
          <w:rFonts w:ascii="Book Antiqua" w:hAnsi="Book Antiqua"/>
          <w:i/>
        </w:rPr>
        <w:t>al</w:t>
      </w:r>
      <w:bookmarkStart w:id="65" w:name="Mendeley_Bookmark_YA4qWSHIq4"/>
      <w:r w:rsidR="00DF5161" w:rsidRPr="00343426">
        <w:rPr>
          <w:rFonts w:ascii="Book Antiqua" w:hAnsi="Book Antiqua"/>
          <w:vertAlign w:val="superscript"/>
        </w:rPr>
        <w:t>[</w:t>
      </w:r>
      <w:proofErr w:type="gramEnd"/>
      <w:r w:rsidR="00DF5161" w:rsidRPr="00343426">
        <w:rPr>
          <w:rFonts w:ascii="Book Antiqua" w:hAnsi="Book Antiqua"/>
          <w:vertAlign w:val="superscript"/>
        </w:rPr>
        <w:t>1</w:t>
      </w:r>
      <w:bookmarkEnd w:id="65"/>
      <w:r w:rsidR="00DF5161" w:rsidRPr="00343426">
        <w:rPr>
          <w:rFonts w:ascii="Book Antiqua" w:hAnsi="Book Antiqua"/>
          <w:vertAlign w:val="superscript"/>
        </w:rPr>
        <w:t>]</w:t>
      </w:r>
      <w:r w:rsidRPr="00343426">
        <w:rPr>
          <w:rFonts w:ascii="Book Antiqua" w:hAnsi="Book Antiqua"/>
        </w:rPr>
        <w:t xml:space="preserve"> In 2001. Evolving technologic advances and experience of the clinicians has made this particularly difficult procedure to be highly effective and safe for evaluation of the small </w:t>
      </w:r>
      <w:proofErr w:type="gramStart"/>
      <w:r w:rsidRPr="00343426">
        <w:rPr>
          <w:rFonts w:ascii="Book Antiqua" w:hAnsi="Book Antiqua"/>
        </w:rPr>
        <w:t>bowel</w:t>
      </w:r>
      <w:bookmarkStart w:id="66" w:name="Mendeley_Bookmark_FBICbaaLfm"/>
      <w:r w:rsidR="00CF108B" w:rsidRPr="00343426">
        <w:rPr>
          <w:rFonts w:ascii="Book Antiqua" w:hAnsi="Book Antiqua"/>
          <w:vertAlign w:val="superscript"/>
        </w:rPr>
        <w:t>[</w:t>
      </w:r>
      <w:proofErr w:type="gramEnd"/>
      <w:r w:rsidRPr="00343426">
        <w:rPr>
          <w:rFonts w:ascii="Book Antiqua" w:hAnsi="Book Antiqua"/>
          <w:vertAlign w:val="superscript"/>
        </w:rPr>
        <w:t>24</w:t>
      </w:r>
      <w:bookmarkEnd w:id="66"/>
      <w:r w:rsidR="00CF108B" w:rsidRPr="00343426">
        <w:rPr>
          <w:rFonts w:ascii="Book Antiqua" w:hAnsi="Book Antiqua"/>
          <w:vertAlign w:val="superscript"/>
        </w:rPr>
        <w:t>]</w:t>
      </w:r>
      <w:r w:rsidRPr="00343426">
        <w:rPr>
          <w:rFonts w:ascii="Book Antiqua" w:hAnsi="Book Antiqua"/>
        </w:rPr>
        <w:t xml:space="preserve">. Growing experience more than a decade provided the chance to examine the whole intestinal system </w:t>
      </w:r>
      <w:r w:rsidRPr="00343426">
        <w:rPr>
          <w:rFonts w:ascii="Book Antiqua" w:hAnsi="Book Antiqua"/>
          <w:i/>
        </w:rPr>
        <w:t>via</w:t>
      </w:r>
      <w:r w:rsidRPr="00343426">
        <w:rPr>
          <w:rFonts w:ascii="Book Antiqua" w:hAnsi="Book Antiqua"/>
        </w:rPr>
        <w:t xml:space="preserve"> oral or rectal route. DBE has reduced the need of surgery for small intestinal diseases. Despite its high diagnostic yield the complications of the procedure are reasonable and can be reduced with experience and basic precautions. Despite the easy use of VCE DBE will remain an important small intestinal examination as it has the ability of therapeutic intervention and tissue sampling. Cumulative </w:t>
      </w:r>
      <w:proofErr w:type="gramStart"/>
      <w:r w:rsidRPr="00343426">
        <w:rPr>
          <w:rFonts w:ascii="Book Antiqua" w:hAnsi="Book Antiqua"/>
        </w:rPr>
        <w:t>experience of the endoscopist increase</w:t>
      </w:r>
      <w:proofErr w:type="gramEnd"/>
      <w:r w:rsidRPr="00343426">
        <w:rPr>
          <w:rFonts w:ascii="Book Antiqua" w:hAnsi="Book Antiqua"/>
        </w:rPr>
        <w:t xml:space="preserve"> the success and insertion depth when reducing the complications and duration of the procedure. This knowledge </w:t>
      </w:r>
      <w:proofErr w:type="gramStart"/>
      <w:r w:rsidRPr="00343426">
        <w:rPr>
          <w:rFonts w:ascii="Book Antiqua" w:hAnsi="Book Antiqua"/>
        </w:rPr>
        <w:t>suggest</w:t>
      </w:r>
      <w:proofErr w:type="gramEnd"/>
      <w:r w:rsidRPr="00343426">
        <w:rPr>
          <w:rFonts w:ascii="Book Antiqua" w:hAnsi="Book Antiqua"/>
        </w:rPr>
        <w:t xml:space="preserve"> that DBE should be best performed in referral centers by educated endoscopists. </w:t>
      </w:r>
      <w:r w:rsidR="00CF108B" w:rsidRPr="00343426">
        <w:rPr>
          <w:rFonts w:ascii="Book Antiqua" w:hAnsi="Book Antiqua"/>
        </w:rPr>
        <w:t xml:space="preserve">Also use of carbon dioxide insufflation instead of ambient air increases insertion depth and patient tolerance during the </w:t>
      </w:r>
      <w:proofErr w:type="gramStart"/>
      <w:r w:rsidR="00CF108B" w:rsidRPr="00343426">
        <w:rPr>
          <w:rFonts w:ascii="Book Antiqua" w:hAnsi="Book Antiqua"/>
        </w:rPr>
        <w:t>procedure</w:t>
      </w:r>
      <w:r w:rsidR="00CF108B" w:rsidRPr="00343426">
        <w:rPr>
          <w:rFonts w:ascii="Book Antiqua" w:hAnsi="Book Antiqua"/>
          <w:vertAlign w:val="superscript"/>
        </w:rPr>
        <w:t>[</w:t>
      </w:r>
      <w:proofErr w:type="gramEnd"/>
      <w:r w:rsidR="00CF108B" w:rsidRPr="00343426">
        <w:rPr>
          <w:rFonts w:ascii="Book Antiqua" w:hAnsi="Book Antiqua"/>
          <w:vertAlign w:val="superscript"/>
        </w:rPr>
        <w:t>25,26]</w:t>
      </w:r>
      <w:r w:rsidR="00CF108B" w:rsidRPr="00343426">
        <w:rPr>
          <w:rFonts w:ascii="Book Antiqua" w:hAnsi="Book Antiqua"/>
        </w:rPr>
        <w:t>.</w:t>
      </w:r>
    </w:p>
    <w:p w:rsidR="00326A75" w:rsidRPr="00343426" w:rsidRDefault="00326A75" w:rsidP="00343426">
      <w:pPr>
        <w:pStyle w:val="Gvde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Book Antiqua" w:eastAsia="Book Antiqua" w:hAnsi="Book Antiqua" w:cs="Book Antiqua"/>
        </w:rPr>
      </w:pPr>
    </w:p>
    <w:p w:rsidR="009B7BA6" w:rsidRPr="00343426" w:rsidRDefault="00657B4D" w:rsidP="00343426">
      <w:pPr>
        <w:spacing w:line="360" w:lineRule="auto"/>
        <w:jc w:val="both"/>
        <w:rPr>
          <w:rFonts w:ascii="Book Antiqua" w:eastAsiaTheme="minorEastAsia" w:hAnsi="Book Antiqua" w:cs="Book Antiqua"/>
          <w:b/>
          <w:lang w:eastAsia="zh-CN"/>
        </w:rPr>
      </w:pPr>
      <w:r w:rsidRPr="00343426">
        <w:rPr>
          <w:rFonts w:ascii="Book Antiqua" w:eastAsia="Book Antiqua" w:hAnsi="Book Antiqua" w:cs="Book Antiqua"/>
          <w:b/>
        </w:rPr>
        <w:t>REFERENCES</w:t>
      </w:r>
    </w:p>
    <w:p w:rsidR="009B7BA6" w:rsidRPr="001475A9" w:rsidRDefault="009B7BA6" w:rsidP="00343426">
      <w:pPr>
        <w:spacing w:line="360" w:lineRule="auto"/>
        <w:jc w:val="both"/>
        <w:rPr>
          <w:rFonts w:ascii="Book Antiqua" w:eastAsia="宋体" w:hAnsi="Book Antiqua" w:cs="宋体"/>
        </w:rPr>
      </w:pPr>
      <w:r w:rsidRPr="001475A9">
        <w:rPr>
          <w:rFonts w:ascii="Book Antiqua" w:eastAsia="宋体" w:hAnsi="Book Antiqua" w:cs="宋体"/>
        </w:rPr>
        <w:t xml:space="preserve">1 </w:t>
      </w:r>
      <w:r w:rsidRPr="001475A9">
        <w:rPr>
          <w:rFonts w:ascii="Book Antiqua" w:eastAsia="宋体" w:hAnsi="Book Antiqua" w:cs="宋体"/>
          <w:b/>
          <w:bCs/>
        </w:rPr>
        <w:t>Yamamoto H</w:t>
      </w:r>
      <w:r w:rsidRPr="001475A9">
        <w:rPr>
          <w:rFonts w:ascii="Book Antiqua" w:eastAsia="宋体" w:hAnsi="Book Antiqua" w:cs="宋体"/>
        </w:rPr>
        <w:t xml:space="preserve">, Sekine Y, Sato Y, Higashizawa T, Miyata T, Iino S, Ido K, Sugano K. Total enteroscopy with a nonsurgical steerable double-balloon method. </w:t>
      </w:r>
      <w:r w:rsidRPr="001475A9">
        <w:rPr>
          <w:rFonts w:ascii="Book Antiqua" w:eastAsia="宋体" w:hAnsi="Book Antiqua" w:cs="宋体"/>
          <w:i/>
          <w:iCs/>
        </w:rPr>
        <w:t>Gastrointest Endosc</w:t>
      </w:r>
      <w:r w:rsidRPr="001475A9">
        <w:rPr>
          <w:rFonts w:ascii="Book Antiqua" w:eastAsia="宋体" w:hAnsi="Book Antiqua" w:cs="宋体"/>
        </w:rPr>
        <w:t xml:space="preserve"> 2001; </w:t>
      </w:r>
      <w:r w:rsidRPr="001475A9">
        <w:rPr>
          <w:rFonts w:ascii="Book Antiqua" w:eastAsia="宋体" w:hAnsi="Book Antiqua" w:cs="宋体"/>
          <w:b/>
          <w:bCs/>
        </w:rPr>
        <w:t>53</w:t>
      </w:r>
      <w:r w:rsidRPr="001475A9">
        <w:rPr>
          <w:rFonts w:ascii="Book Antiqua" w:eastAsia="宋体" w:hAnsi="Book Antiqua" w:cs="宋体"/>
        </w:rPr>
        <w:t>: 216-220 [PMID: 11174299</w:t>
      </w:r>
      <w:r w:rsidRPr="00343426">
        <w:rPr>
          <w:rFonts w:ascii="Book Antiqua" w:eastAsia="宋体" w:hAnsi="Book Antiqua" w:cs="宋体"/>
        </w:rPr>
        <w:t xml:space="preserve"> DOI: 10.1067/mge.2001.112181</w:t>
      </w:r>
      <w:r w:rsidRPr="001475A9">
        <w:rPr>
          <w:rFonts w:ascii="Book Antiqua" w:eastAsia="宋体" w:hAnsi="Book Antiqua" w:cs="宋体"/>
        </w:rPr>
        <w:t>]</w:t>
      </w:r>
    </w:p>
    <w:p w:rsidR="009B7BA6" w:rsidRPr="001475A9" w:rsidRDefault="009B7BA6" w:rsidP="00343426">
      <w:pPr>
        <w:spacing w:line="360" w:lineRule="auto"/>
        <w:jc w:val="both"/>
        <w:rPr>
          <w:rFonts w:ascii="Book Antiqua" w:eastAsia="宋体" w:hAnsi="Book Antiqua" w:cs="宋体"/>
        </w:rPr>
      </w:pPr>
      <w:r w:rsidRPr="001475A9">
        <w:rPr>
          <w:rFonts w:ascii="Book Antiqua" w:eastAsia="宋体" w:hAnsi="Book Antiqua" w:cs="宋体"/>
        </w:rPr>
        <w:t xml:space="preserve">2 </w:t>
      </w:r>
      <w:r w:rsidRPr="001475A9">
        <w:rPr>
          <w:rFonts w:ascii="Book Antiqua" w:eastAsia="宋体" w:hAnsi="Book Antiqua" w:cs="宋体"/>
          <w:b/>
          <w:bCs/>
        </w:rPr>
        <w:t>Gerson LB</w:t>
      </w:r>
      <w:r w:rsidRPr="001475A9">
        <w:rPr>
          <w:rFonts w:ascii="Book Antiqua" w:eastAsia="宋体" w:hAnsi="Book Antiqua" w:cs="宋体"/>
        </w:rPr>
        <w:t xml:space="preserve">, Flodin JT, Miyabayashi K. Balloon-assisted enteroscopy: technology and troubleshooting. </w:t>
      </w:r>
      <w:r w:rsidRPr="001475A9">
        <w:rPr>
          <w:rFonts w:ascii="Book Antiqua" w:eastAsia="宋体" w:hAnsi="Book Antiqua" w:cs="宋体"/>
          <w:i/>
          <w:iCs/>
        </w:rPr>
        <w:t>Gastrointest Endosc</w:t>
      </w:r>
      <w:r w:rsidRPr="001475A9">
        <w:rPr>
          <w:rFonts w:ascii="Book Antiqua" w:eastAsia="宋体" w:hAnsi="Book Antiqua" w:cs="宋体"/>
        </w:rPr>
        <w:t xml:space="preserve"> 2008; </w:t>
      </w:r>
      <w:r w:rsidRPr="001475A9">
        <w:rPr>
          <w:rFonts w:ascii="Book Antiqua" w:eastAsia="宋体" w:hAnsi="Book Antiqua" w:cs="宋体"/>
          <w:b/>
          <w:bCs/>
        </w:rPr>
        <w:t>68</w:t>
      </w:r>
      <w:r w:rsidRPr="001475A9">
        <w:rPr>
          <w:rFonts w:ascii="Book Antiqua" w:eastAsia="宋体" w:hAnsi="Book Antiqua" w:cs="宋体"/>
        </w:rPr>
        <w:t>: 1158-1167 [PMID: 19028224</w:t>
      </w:r>
      <w:r w:rsidRPr="00343426">
        <w:rPr>
          <w:rFonts w:ascii="Book Antiqua" w:eastAsia="宋体" w:hAnsi="Book Antiqua" w:cs="宋体"/>
        </w:rPr>
        <w:t xml:space="preserve"> DOI: 10.1016/j.gie.2008.08.012</w:t>
      </w:r>
      <w:r w:rsidRPr="001475A9">
        <w:rPr>
          <w:rFonts w:ascii="Book Antiqua" w:eastAsia="宋体" w:hAnsi="Book Antiqua" w:cs="宋体"/>
        </w:rPr>
        <w:t>]</w:t>
      </w:r>
    </w:p>
    <w:p w:rsidR="009B7BA6" w:rsidRPr="001475A9" w:rsidRDefault="009B7BA6" w:rsidP="00343426">
      <w:pPr>
        <w:spacing w:line="360" w:lineRule="auto"/>
        <w:jc w:val="both"/>
        <w:rPr>
          <w:rFonts w:ascii="Book Antiqua" w:eastAsia="宋体" w:hAnsi="Book Antiqua" w:cs="宋体"/>
        </w:rPr>
      </w:pPr>
      <w:r w:rsidRPr="001475A9">
        <w:rPr>
          <w:rFonts w:ascii="Book Antiqua" w:eastAsia="宋体" w:hAnsi="Book Antiqua" w:cs="宋体"/>
        </w:rPr>
        <w:t xml:space="preserve">3 </w:t>
      </w:r>
      <w:r w:rsidRPr="001475A9">
        <w:rPr>
          <w:rFonts w:ascii="Book Antiqua" w:eastAsia="宋体" w:hAnsi="Book Antiqua" w:cs="宋体"/>
          <w:b/>
          <w:bCs/>
        </w:rPr>
        <w:t>Choi H</w:t>
      </w:r>
      <w:r w:rsidRPr="001475A9">
        <w:rPr>
          <w:rFonts w:ascii="Book Antiqua" w:eastAsia="宋体" w:hAnsi="Book Antiqua" w:cs="宋体"/>
        </w:rPr>
        <w:t>, Choi KY, Eun CS, Jang HJ, Park DI, Chang DK, Kim JO, Ko BM, Lee MS, Huh KC, Han DS, Byeon JS, Yang SK, Kim JH. Korean experience with double balloon endo</w:t>
      </w:r>
      <w:r w:rsidRPr="001475A9">
        <w:rPr>
          <w:rFonts w:ascii="Book Antiqua" w:eastAsia="宋体" w:hAnsi="Book Antiqua" w:cs="宋体"/>
        </w:rPr>
        <w:t>s</w:t>
      </w:r>
      <w:r w:rsidRPr="001475A9">
        <w:rPr>
          <w:rFonts w:ascii="Book Antiqua" w:eastAsia="宋体" w:hAnsi="Book Antiqua" w:cs="宋体"/>
        </w:rPr>
        <w:t xml:space="preserve">copy: Korean Association for the Study of Intestinal Diseases multi-center study. </w:t>
      </w:r>
      <w:r w:rsidRPr="001475A9">
        <w:rPr>
          <w:rFonts w:ascii="Book Antiqua" w:eastAsia="宋体" w:hAnsi="Book Antiqua" w:cs="宋体"/>
          <w:i/>
          <w:iCs/>
        </w:rPr>
        <w:t>Gastroi</w:t>
      </w:r>
      <w:r w:rsidRPr="001475A9">
        <w:rPr>
          <w:rFonts w:ascii="Book Antiqua" w:eastAsia="宋体" w:hAnsi="Book Antiqua" w:cs="宋体"/>
          <w:i/>
          <w:iCs/>
        </w:rPr>
        <w:t>n</w:t>
      </w:r>
      <w:r w:rsidRPr="001475A9">
        <w:rPr>
          <w:rFonts w:ascii="Book Antiqua" w:eastAsia="宋体" w:hAnsi="Book Antiqua" w:cs="宋体"/>
          <w:i/>
          <w:iCs/>
        </w:rPr>
        <w:t>test Endosc</w:t>
      </w:r>
      <w:r w:rsidRPr="001475A9">
        <w:rPr>
          <w:rFonts w:ascii="Book Antiqua" w:eastAsia="宋体" w:hAnsi="Book Antiqua" w:cs="宋体"/>
        </w:rPr>
        <w:t xml:space="preserve"> 2007; </w:t>
      </w:r>
      <w:r w:rsidRPr="001475A9">
        <w:rPr>
          <w:rFonts w:ascii="Book Antiqua" w:eastAsia="宋体" w:hAnsi="Book Antiqua" w:cs="宋体"/>
          <w:b/>
          <w:bCs/>
        </w:rPr>
        <w:t>66</w:t>
      </w:r>
      <w:r w:rsidRPr="001475A9">
        <w:rPr>
          <w:rFonts w:ascii="Book Antiqua" w:eastAsia="宋体" w:hAnsi="Book Antiqua" w:cs="宋体"/>
        </w:rPr>
        <w:t>: S22-S25 [PMID: 17709024</w:t>
      </w:r>
      <w:r w:rsidRPr="00343426">
        <w:rPr>
          <w:rFonts w:ascii="Book Antiqua" w:eastAsia="宋体" w:hAnsi="Book Antiqua" w:cs="宋体"/>
        </w:rPr>
        <w:t xml:space="preserve"> DOI: 10.1016/j.gie.2007.06.048</w:t>
      </w:r>
      <w:r w:rsidRPr="001475A9">
        <w:rPr>
          <w:rFonts w:ascii="Book Antiqua" w:eastAsia="宋体" w:hAnsi="Book Antiqua" w:cs="宋体"/>
        </w:rPr>
        <w:t>]</w:t>
      </w:r>
    </w:p>
    <w:p w:rsidR="009B7BA6" w:rsidRPr="001475A9" w:rsidRDefault="009B7BA6" w:rsidP="00343426">
      <w:pPr>
        <w:spacing w:line="360" w:lineRule="auto"/>
        <w:jc w:val="both"/>
        <w:rPr>
          <w:rFonts w:ascii="Book Antiqua" w:eastAsia="宋体" w:hAnsi="Book Antiqua" w:cs="宋体"/>
        </w:rPr>
      </w:pPr>
      <w:r w:rsidRPr="001475A9">
        <w:rPr>
          <w:rFonts w:ascii="Book Antiqua" w:eastAsia="宋体" w:hAnsi="Book Antiqua" w:cs="宋体"/>
        </w:rPr>
        <w:t xml:space="preserve">4 </w:t>
      </w:r>
      <w:r w:rsidRPr="001475A9">
        <w:rPr>
          <w:rFonts w:ascii="Book Antiqua" w:eastAsia="宋体" w:hAnsi="Book Antiqua" w:cs="宋体"/>
          <w:b/>
          <w:bCs/>
        </w:rPr>
        <w:t>Sun B</w:t>
      </w:r>
      <w:r w:rsidRPr="001475A9">
        <w:rPr>
          <w:rFonts w:ascii="Book Antiqua" w:eastAsia="宋体" w:hAnsi="Book Antiqua" w:cs="宋体"/>
        </w:rPr>
        <w:t xml:space="preserve">, Rajan E, Cheng S, Shen R, Zhang C, Zhang S, Wu Y, Zhong J. Diagnostic yield and therapeutic impact of double-balloon enteroscopy in a large cohort of patients with obscure gastrointestinal bleeding. </w:t>
      </w:r>
      <w:r w:rsidRPr="001475A9">
        <w:rPr>
          <w:rFonts w:ascii="Book Antiqua" w:eastAsia="宋体" w:hAnsi="Book Antiqua" w:cs="宋体"/>
          <w:i/>
          <w:iCs/>
        </w:rPr>
        <w:t>Am J Gastroenterol</w:t>
      </w:r>
      <w:r w:rsidRPr="001475A9">
        <w:rPr>
          <w:rFonts w:ascii="Book Antiqua" w:eastAsia="宋体" w:hAnsi="Book Antiqua" w:cs="宋体"/>
        </w:rPr>
        <w:t xml:space="preserve"> 2006; </w:t>
      </w:r>
      <w:r w:rsidRPr="001475A9">
        <w:rPr>
          <w:rFonts w:ascii="Book Antiqua" w:eastAsia="宋体" w:hAnsi="Book Antiqua" w:cs="宋体"/>
          <w:b/>
          <w:bCs/>
        </w:rPr>
        <w:t>101</w:t>
      </w:r>
      <w:r w:rsidRPr="001475A9">
        <w:rPr>
          <w:rFonts w:ascii="Book Antiqua" w:eastAsia="宋体" w:hAnsi="Book Antiqua" w:cs="宋体"/>
        </w:rPr>
        <w:t>: 2011-2015 [PMID: 16848814 DOI: 1</w:t>
      </w:r>
      <w:r w:rsidRPr="00343426">
        <w:rPr>
          <w:rFonts w:ascii="Book Antiqua" w:eastAsia="宋体" w:hAnsi="Book Antiqua" w:cs="宋体"/>
        </w:rPr>
        <w:t>0.1111/j.1572-0241.2006.00664.x</w:t>
      </w:r>
      <w:r w:rsidRPr="001475A9">
        <w:rPr>
          <w:rFonts w:ascii="Book Antiqua" w:eastAsia="宋体" w:hAnsi="Book Antiqua" w:cs="宋体"/>
        </w:rPr>
        <w:t>]</w:t>
      </w:r>
    </w:p>
    <w:p w:rsidR="009B7BA6" w:rsidRPr="001475A9" w:rsidRDefault="009B7BA6" w:rsidP="00343426">
      <w:pPr>
        <w:spacing w:line="360" w:lineRule="auto"/>
        <w:jc w:val="both"/>
        <w:rPr>
          <w:rFonts w:ascii="Book Antiqua" w:eastAsiaTheme="minorEastAsia" w:hAnsi="Book Antiqua" w:cs="宋体"/>
        </w:rPr>
      </w:pPr>
      <w:r w:rsidRPr="00343426">
        <w:rPr>
          <w:rFonts w:ascii="Book Antiqua" w:eastAsia="宋体" w:hAnsi="Book Antiqua" w:cs="宋体"/>
        </w:rPr>
        <w:t xml:space="preserve">5 </w:t>
      </w:r>
      <w:r w:rsidRPr="00343426">
        <w:rPr>
          <w:rFonts w:ascii="Book Antiqua" w:eastAsia="Book Antiqua" w:hAnsi="Book Antiqua" w:cs="Book Antiqua"/>
          <w:b/>
        </w:rPr>
        <w:t>May A,</w:t>
      </w:r>
      <w:r w:rsidRPr="00343426">
        <w:rPr>
          <w:rFonts w:ascii="Book Antiqua" w:eastAsia="Book Antiqua" w:hAnsi="Book Antiqua" w:cs="Book Antiqua"/>
        </w:rPr>
        <w:t xml:space="preserve"> Nachbar L, Ell C. Double-balloon enteroscopy (push-and-pull enteroscopy) of the small bowel: feasibility and diagnostic and therapeutic yield in patients with suspected small bowel disease. </w:t>
      </w:r>
      <w:r w:rsidRPr="00343426">
        <w:rPr>
          <w:rFonts w:ascii="Book Antiqua" w:eastAsia="Book Antiqua" w:hAnsi="Book Antiqua" w:cs="Book Antiqua"/>
          <w:i/>
        </w:rPr>
        <w:t>Gastrointest Endosc</w:t>
      </w:r>
      <w:r w:rsidRPr="00343426">
        <w:rPr>
          <w:rFonts w:ascii="Book Antiqua" w:eastAsia="Book Antiqua" w:hAnsi="Book Antiqua" w:cs="Book Antiqua"/>
        </w:rPr>
        <w:t xml:space="preserve"> 2005;</w:t>
      </w:r>
      <w:r w:rsidRPr="00343426">
        <w:rPr>
          <w:rFonts w:ascii="Book Antiqua" w:hAnsi="Book Antiqua" w:cs="Book Antiqua"/>
        </w:rPr>
        <w:t xml:space="preserve"> </w:t>
      </w:r>
      <w:r w:rsidRPr="00343426">
        <w:rPr>
          <w:rFonts w:ascii="Book Antiqua" w:eastAsia="Book Antiqua" w:hAnsi="Book Antiqua" w:cs="Book Antiqua"/>
          <w:b/>
        </w:rPr>
        <w:t>62</w:t>
      </w:r>
      <w:r w:rsidRPr="00343426">
        <w:rPr>
          <w:rFonts w:ascii="Book Antiqua" w:eastAsia="Book Antiqua" w:hAnsi="Book Antiqua" w:cs="Book Antiqua"/>
        </w:rPr>
        <w:t>:</w:t>
      </w:r>
      <w:r w:rsidRPr="00343426">
        <w:rPr>
          <w:rFonts w:ascii="Book Antiqua" w:hAnsi="Book Antiqua" w:cs="Book Antiqua"/>
        </w:rPr>
        <w:t xml:space="preserve"> </w:t>
      </w:r>
      <w:r w:rsidRPr="00343426">
        <w:rPr>
          <w:rFonts w:ascii="Book Antiqua" w:eastAsia="Book Antiqua" w:hAnsi="Book Antiqua" w:cs="Book Antiqua"/>
        </w:rPr>
        <w:t xml:space="preserve">62-70 </w:t>
      </w:r>
      <w:r w:rsidRPr="00343426">
        <w:rPr>
          <w:rFonts w:ascii="Book Antiqua" w:hAnsi="Book Antiqua" w:cs="Book Antiqua"/>
        </w:rPr>
        <w:t>[</w:t>
      </w:r>
      <w:r w:rsidRPr="00343426">
        <w:rPr>
          <w:rFonts w:ascii="Book Antiqua" w:eastAsia="Book Antiqua" w:hAnsi="Book Antiqua" w:cs="Book Antiqua"/>
        </w:rPr>
        <w:t>PMID: 15990821</w:t>
      </w:r>
      <w:r w:rsidRPr="00343426">
        <w:rPr>
          <w:rFonts w:ascii="Book Antiqua" w:hAnsi="Book Antiqua" w:cs="Book Antiqua"/>
        </w:rPr>
        <w:t xml:space="preserve"> </w:t>
      </w:r>
      <w:r w:rsidRPr="00343426">
        <w:rPr>
          <w:rFonts w:ascii="Book Antiqua" w:eastAsia="Book Antiqua" w:hAnsi="Book Antiqua" w:cs="Book Antiqua"/>
        </w:rPr>
        <w:t>DOI:</w:t>
      </w:r>
      <w:r w:rsidRPr="00343426">
        <w:rPr>
          <w:rFonts w:ascii="Book Antiqua" w:hAnsi="Book Antiqua" w:cs="Book Antiqua"/>
        </w:rPr>
        <w:t xml:space="preserve"> </w:t>
      </w:r>
      <w:r w:rsidRPr="00343426">
        <w:rPr>
          <w:rFonts w:ascii="Book Antiqua" w:eastAsia="Book Antiqua" w:hAnsi="Book Antiqua" w:cs="Book Antiqua"/>
        </w:rPr>
        <w:t>10.1016/S0016-5107(05)01586-5</w:t>
      </w:r>
      <w:r w:rsidRPr="00343426">
        <w:rPr>
          <w:rFonts w:ascii="Book Antiqua" w:hAnsi="Book Antiqua" w:cs="Book Antiqua"/>
        </w:rPr>
        <w:t>]</w:t>
      </w:r>
    </w:p>
    <w:p w:rsidR="009B7BA6" w:rsidRPr="001475A9" w:rsidRDefault="009B7BA6" w:rsidP="00343426">
      <w:pPr>
        <w:spacing w:line="360" w:lineRule="auto"/>
        <w:jc w:val="both"/>
        <w:rPr>
          <w:rFonts w:ascii="Book Antiqua" w:eastAsia="宋体" w:hAnsi="Book Antiqua" w:cs="宋体"/>
        </w:rPr>
      </w:pPr>
      <w:r w:rsidRPr="001475A9">
        <w:rPr>
          <w:rFonts w:ascii="Book Antiqua" w:eastAsia="宋体" w:hAnsi="Book Antiqua" w:cs="宋体"/>
        </w:rPr>
        <w:t xml:space="preserve">6 </w:t>
      </w:r>
      <w:r w:rsidRPr="001475A9">
        <w:rPr>
          <w:rFonts w:ascii="Book Antiqua" w:eastAsia="宋体" w:hAnsi="Book Antiqua" w:cs="宋体"/>
          <w:b/>
          <w:bCs/>
        </w:rPr>
        <w:t>Pohl J</w:t>
      </w:r>
      <w:r w:rsidRPr="001475A9">
        <w:rPr>
          <w:rFonts w:ascii="Book Antiqua" w:eastAsia="宋体" w:hAnsi="Book Antiqua" w:cs="宋体"/>
        </w:rPr>
        <w:t xml:space="preserve">, Delvaux M, Ell C, Gay G, May A, Mulder CJ, Pennazio M, Perez-Cuadrado E, Vilmann P. European Society of Gastrointestinal Endoscopy (ESGE) Guidelines: flexible enteroscopy for diagnosis and treatment of small-bowel diseases. </w:t>
      </w:r>
      <w:r w:rsidRPr="001475A9">
        <w:rPr>
          <w:rFonts w:ascii="Book Antiqua" w:eastAsia="宋体" w:hAnsi="Book Antiqua" w:cs="宋体"/>
          <w:i/>
          <w:iCs/>
        </w:rPr>
        <w:t>Endoscopy</w:t>
      </w:r>
      <w:r w:rsidRPr="001475A9">
        <w:rPr>
          <w:rFonts w:ascii="Book Antiqua" w:eastAsia="宋体" w:hAnsi="Book Antiqua" w:cs="宋体"/>
        </w:rPr>
        <w:t xml:space="preserve"> 2008; </w:t>
      </w:r>
      <w:r w:rsidRPr="001475A9">
        <w:rPr>
          <w:rFonts w:ascii="Book Antiqua" w:eastAsia="宋体" w:hAnsi="Book Antiqua" w:cs="宋体"/>
          <w:b/>
          <w:bCs/>
        </w:rPr>
        <w:t>40</w:t>
      </w:r>
      <w:r w:rsidRPr="001475A9">
        <w:rPr>
          <w:rFonts w:ascii="Book Antiqua" w:eastAsia="宋体" w:hAnsi="Book Antiqua" w:cs="宋体"/>
        </w:rPr>
        <w:t>: 609-618 [PMID: 18612</w:t>
      </w:r>
      <w:r w:rsidRPr="00343426">
        <w:rPr>
          <w:rFonts w:ascii="Book Antiqua" w:eastAsia="宋体" w:hAnsi="Book Antiqua" w:cs="宋体"/>
        </w:rPr>
        <w:t>948 DOI: 10.1055/s-2008-1077371</w:t>
      </w:r>
      <w:r w:rsidRPr="001475A9">
        <w:rPr>
          <w:rFonts w:ascii="Book Antiqua" w:eastAsia="宋体" w:hAnsi="Book Antiqua" w:cs="宋体"/>
        </w:rPr>
        <w:t>]</w:t>
      </w:r>
    </w:p>
    <w:p w:rsidR="009B7BA6" w:rsidRPr="001475A9" w:rsidRDefault="009B7BA6" w:rsidP="00343426">
      <w:pPr>
        <w:spacing w:line="360" w:lineRule="auto"/>
        <w:jc w:val="both"/>
        <w:rPr>
          <w:rFonts w:ascii="Book Antiqua" w:eastAsia="宋体" w:hAnsi="Book Antiqua" w:cs="宋体"/>
        </w:rPr>
      </w:pPr>
      <w:r w:rsidRPr="001475A9">
        <w:rPr>
          <w:rFonts w:ascii="Book Antiqua" w:eastAsia="宋体" w:hAnsi="Book Antiqua" w:cs="宋体"/>
        </w:rPr>
        <w:t xml:space="preserve">7 </w:t>
      </w:r>
      <w:r w:rsidRPr="001475A9">
        <w:rPr>
          <w:rFonts w:ascii="Book Antiqua" w:eastAsia="宋体" w:hAnsi="Book Antiqua" w:cs="宋体"/>
          <w:b/>
          <w:bCs/>
        </w:rPr>
        <w:t>Heine GD</w:t>
      </w:r>
      <w:r w:rsidRPr="001475A9">
        <w:rPr>
          <w:rFonts w:ascii="Book Antiqua" w:eastAsia="宋体" w:hAnsi="Book Antiqua" w:cs="宋体"/>
        </w:rPr>
        <w:t xml:space="preserve">, Hadithi M, Groenen MJ, Kuipers EJ, Jacobs MA, Mulder CJ. Double-balloon enteroscopy: indications, diagnostic yield, and complications in a series of 275 patients with suspected small-bowel disease. </w:t>
      </w:r>
      <w:r w:rsidRPr="001475A9">
        <w:rPr>
          <w:rFonts w:ascii="Book Antiqua" w:eastAsia="宋体" w:hAnsi="Book Antiqua" w:cs="宋体"/>
          <w:i/>
          <w:iCs/>
        </w:rPr>
        <w:t>Endoscopy</w:t>
      </w:r>
      <w:r w:rsidRPr="001475A9">
        <w:rPr>
          <w:rFonts w:ascii="Book Antiqua" w:eastAsia="宋体" w:hAnsi="Book Antiqua" w:cs="宋体"/>
        </w:rPr>
        <w:t xml:space="preserve"> 2006; </w:t>
      </w:r>
      <w:r w:rsidRPr="001475A9">
        <w:rPr>
          <w:rFonts w:ascii="Book Antiqua" w:eastAsia="宋体" w:hAnsi="Book Antiqua" w:cs="宋体"/>
          <w:b/>
          <w:bCs/>
        </w:rPr>
        <w:t>38</w:t>
      </w:r>
      <w:r w:rsidRPr="001475A9">
        <w:rPr>
          <w:rFonts w:ascii="Book Antiqua" w:eastAsia="宋体" w:hAnsi="Book Antiqua" w:cs="宋体"/>
        </w:rPr>
        <w:t>: 42-48 [PMID: 1642</w:t>
      </w:r>
      <w:r w:rsidRPr="00343426">
        <w:rPr>
          <w:rFonts w:ascii="Book Antiqua" w:eastAsia="宋体" w:hAnsi="Book Antiqua" w:cs="宋体"/>
        </w:rPr>
        <w:t>9354 DOI: 10.1055/s-2005-921188</w:t>
      </w:r>
      <w:r w:rsidRPr="001475A9">
        <w:rPr>
          <w:rFonts w:ascii="Book Antiqua" w:eastAsia="宋体" w:hAnsi="Book Antiqua" w:cs="宋体"/>
        </w:rPr>
        <w:t>]</w:t>
      </w:r>
    </w:p>
    <w:p w:rsidR="009B7BA6" w:rsidRPr="001475A9" w:rsidRDefault="009B7BA6" w:rsidP="00343426">
      <w:pPr>
        <w:spacing w:line="360" w:lineRule="auto"/>
        <w:jc w:val="both"/>
        <w:rPr>
          <w:rFonts w:ascii="Book Antiqua" w:eastAsia="宋体" w:hAnsi="Book Antiqua" w:cs="宋体"/>
        </w:rPr>
      </w:pPr>
      <w:r w:rsidRPr="001475A9">
        <w:rPr>
          <w:rFonts w:ascii="Book Antiqua" w:eastAsia="宋体" w:hAnsi="Book Antiqua" w:cs="宋体"/>
        </w:rPr>
        <w:t xml:space="preserve">8 </w:t>
      </w:r>
      <w:r w:rsidRPr="001475A9">
        <w:rPr>
          <w:rFonts w:ascii="Book Antiqua" w:eastAsia="宋体" w:hAnsi="Book Antiqua" w:cs="宋体"/>
          <w:b/>
          <w:bCs/>
        </w:rPr>
        <w:t>Nakamura M</w:t>
      </w:r>
      <w:r w:rsidRPr="001475A9">
        <w:rPr>
          <w:rFonts w:ascii="Book Antiqua" w:eastAsia="宋体" w:hAnsi="Book Antiqua" w:cs="宋体"/>
        </w:rPr>
        <w:t xml:space="preserve">, Niwa Y, Ohmiya N, Miyahara R, Ohashi A, Itoh A, Hirooka Y, Goto H. Preliminary comparison of capsule endoscopy and double-balloon enteroscopy in patients with suspected small-bowel bleeding. </w:t>
      </w:r>
      <w:r w:rsidRPr="001475A9">
        <w:rPr>
          <w:rFonts w:ascii="Book Antiqua" w:eastAsia="宋体" w:hAnsi="Book Antiqua" w:cs="宋体"/>
          <w:i/>
          <w:iCs/>
        </w:rPr>
        <w:t>Endoscopy</w:t>
      </w:r>
      <w:r w:rsidRPr="001475A9">
        <w:rPr>
          <w:rFonts w:ascii="Book Antiqua" w:eastAsia="宋体" w:hAnsi="Book Antiqua" w:cs="宋体"/>
        </w:rPr>
        <w:t xml:space="preserve"> 2006; </w:t>
      </w:r>
      <w:r w:rsidRPr="001475A9">
        <w:rPr>
          <w:rFonts w:ascii="Book Antiqua" w:eastAsia="宋体" w:hAnsi="Book Antiqua" w:cs="宋体"/>
          <w:b/>
          <w:bCs/>
        </w:rPr>
        <w:t>38</w:t>
      </w:r>
      <w:r w:rsidRPr="001475A9">
        <w:rPr>
          <w:rFonts w:ascii="Book Antiqua" w:eastAsia="宋体" w:hAnsi="Book Antiqua" w:cs="宋体"/>
        </w:rPr>
        <w:t>: 59-66 [PMID: 1642</w:t>
      </w:r>
      <w:r w:rsidRPr="00343426">
        <w:rPr>
          <w:rFonts w:ascii="Book Antiqua" w:eastAsia="宋体" w:hAnsi="Book Antiqua" w:cs="宋体"/>
        </w:rPr>
        <w:t>9356 DOI: 10.1055/s-2005-870446</w:t>
      </w:r>
      <w:r w:rsidRPr="001475A9">
        <w:rPr>
          <w:rFonts w:ascii="Book Antiqua" w:eastAsia="宋体" w:hAnsi="Book Antiqua" w:cs="宋体"/>
        </w:rPr>
        <w:t>]</w:t>
      </w:r>
    </w:p>
    <w:p w:rsidR="009B7BA6" w:rsidRPr="001475A9" w:rsidRDefault="009B7BA6" w:rsidP="00343426">
      <w:pPr>
        <w:spacing w:line="360" w:lineRule="auto"/>
        <w:jc w:val="both"/>
        <w:rPr>
          <w:rFonts w:ascii="Book Antiqua" w:eastAsia="宋体" w:hAnsi="Book Antiqua" w:cs="宋体"/>
        </w:rPr>
      </w:pPr>
      <w:r w:rsidRPr="001475A9">
        <w:rPr>
          <w:rFonts w:ascii="Book Antiqua" w:eastAsia="宋体" w:hAnsi="Book Antiqua" w:cs="宋体"/>
        </w:rPr>
        <w:t xml:space="preserve">9 </w:t>
      </w:r>
      <w:r w:rsidRPr="001475A9">
        <w:rPr>
          <w:rFonts w:ascii="Book Antiqua" w:eastAsia="宋体" w:hAnsi="Book Antiqua" w:cs="宋体"/>
          <w:b/>
          <w:bCs/>
        </w:rPr>
        <w:t>Xin L</w:t>
      </w:r>
      <w:r w:rsidRPr="001475A9">
        <w:rPr>
          <w:rFonts w:ascii="Book Antiqua" w:eastAsia="宋体" w:hAnsi="Book Antiqua" w:cs="宋体"/>
        </w:rPr>
        <w:t>, Liao Z, Jiang YP, Li ZS. Indications, detectability, positive findings, total ente</w:t>
      </w:r>
      <w:r w:rsidRPr="001475A9">
        <w:rPr>
          <w:rFonts w:ascii="Book Antiqua" w:eastAsia="宋体" w:hAnsi="Book Antiqua" w:cs="宋体"/>
        </w:rPr>
        <w:t>r</w:t>
      </w:r>
      <w:r w:rsidRPr="001475A9">
        <w:rPr>
          <w:rFonts w:ascii="Book Antiqua" w:eastAsia="宋体" w:hAnsi="Book Antiqua" w:cs="宋体"/>
        </w:rPr>
        <w:t xml:space="preserve">oscopy, and complications of diagnostic double-balloon endoscopy: a systematic review of data over the first decade of use. </w:t>
      </w:r>
      <w:r w:rsidRPr="001475A9">
        <w:rPr>
          <w:rFonts w:ascii="Book Antiqua" w:eastAsia="宋体" w:hAnsi="Book Antiqua" w:cs="宋体"/>
          <w:i/>
          <w:iCs/>
        </w:rPr>
        <w:t>Gastrointest Endosc</w:t>
      </w:r>
      <w:r w:rsidRPr="001475A9">
        <w:rPr>
          <w:rFonts w:ascii="Book Antiqua" w:eastAsia="宋体" w:hAnsi="Book Antiqua" w:cs="宋体"/>
        </w:rPr>
        <w:t xml:space="preserve"> 2011; </w:t>
      </w:r>
      <w:r w:rsidRPr="001475A9">
        <w:rPr>
          <w:rFonts w:ascii="Book Antiqua" w:eastAsia="宋体" w:hAnsi="Book Antiqua" w:cs="宋体"/>
          <w:b/>
          <w:bCs/>
        </w:rPr>
        <w:t>74</w:t>
      </w:r>
      <w:r w:rsidRPr="001475A9">
        <w:rPr>
          <w:rFonts w:ascii="Book Antiqua" w:eastAsia="宋体" w:hAnsi="Book Antiqua" w:cs="宋体"/>
        </w:rPr>
        <w:t xml:space="preserve">: 563-570 [PMID: 21620401 </w:t>
      </w:r>
      <w:r w:rsidRPr="00343426">
        <w:rPr>
          <w:rFonts w:ascii="Book Antiqua" w:eastAsia="宋体" w:hAnsi="Book Antiqua" w:cs="宋体"/>
        </w:rPr>
        <w:t>DOI: 10.1016/j.gie.2011.03.1239</w:t>
      </w:r>
      <w:r w:rsidRPr="001475A9">
        <w:rPr>
          <w:rFonts w:ascii="Book Antiqua" w:eastAsia="宋体" w:hAnsi="Book Antiqua" w:cs="宋体"/>
        </w:rPr>
        <w:t>]</w:t>
      </w:r>
    </w:p>
    <w:p w:rsidR="009B7BA6" w:rsidRPr="001475A9" w:rsidRDefault="009B7BA6" w:rsidP="00343426">
      <w:pPr>
        <w:spacing w:line="360" w:lineRule="auto"/>
        <w:jc w:val="both"/>
        <w:rPr>
          <w:rFonts w:ascii="Book Antiqua" w:eastAsia="宋体" w:hAnsi="Book Antiqua" w:cs="宋体"/>
        </w:rPr>
      </w:pPr>
      <w:r w:rsidRPr="001475A9">
        <w:rPr>
          <w:rFonts w:ascii="Book Antiqua" w:eastAsia="宋体" w:hAnsi="Book Antiqua" w:cs="宋体"/>
        </w:rPr>
        <w:t xml:space="preserve">10 </w:t>
      </w:r>
      <w:r w:rsidRPr="001475A9">
        <w:rPr>
          <w:rFonts w:ascii="Book Antiqua" w:eastAsia="宋体" w:hAnsi="Book Antiqua" w:cs="宋体"/>
          <w:b/>
          <w:bCs/>
        </w:rPr>
        <w:t>Chen WG</w:t>
      </w:r>
      <w:r w:rsidRPr="001475A9">
        <w:rPr>
          <w:rFonts w:ascii="Book Antiqua" w:eastAsia="宋体" w:hAnsi="Book Antiqua" w:cs="宋体"/>
        </w:rPr>
        <w:t xml:space="preserve">, Shan GD, Zhang H, Li L, Yue M, Xiang Z, Cheng Y, Wu CJ, Fang Y, Chen LH. Double-balloon enteroscopy in small bowel tumors: a Chinese single-center study. </w:t>
      </w:r>
      <w:r w:rsidRPr="001475A9">
        <w:rPr>
          <w:rFonts w:ascii="Book Antiqua" w:eastAsia="宋体" w:hAnsi="Book Antiqua" w:cs="宋体"/>
          <w:i/>
          <w:iCs/>
        </w:rPr>
        <w:t>World J Gastroenterol</w:t>
      </w:r>
      <w:r w:rsidRPr="001475A9">
        <w:rPr>
          <w:rFonts w:ascii="Book Antiqua" w:eastAsia="宋体" w:hAnsi="Book Antiqua" w:cs="宋体"/>
        </w:rPr>
        <w:t xml:space="preserve"> 2013; </w:t>
      </w:r>
      <w:r w:rsidRPr="001475A9">
        <w:rPr>
          <w:rFonts w:ascii="Book Antiqua" w:eastAsia="宋体" w:hAnsi="Book Antiqua" w:cs="宋体"/>
          <w:b/>
          <w:bCs/>
        </w:rPr>
        <w:t>19</w:t>
      </w:r>
      <w:r w:rsidRPr="001475A9">
        <w:rPr>
          <w:rFonts w:ascii="Book Antiqua" w:eastAsia="宋体" w:hAnsi="Book Antiqua" w:cs="宋体"/>
        </w:rPr>
        <w:t>: 3665-3671 [PMID: 2380187</w:t>
      </w:r>
      <w:r w:rsidRPr="00343426">
        <w:rPr>
          <w:rFonts w:ascii="Book Antiqua" w:eastAsia="宋体" w:hAnsi="Book Antiqua" w:cs="宋体"/>
        </w:rPr>
        <w:t>0 DOI: 10.3748/wjg.v19.i23.3665</w:t>
      </w:r>
      <w:r w:rsidRPr="001475A9">
        <w:rPr>
          <w:rFonts w:ascii="Book Antiqua" w:eastAsia="宋体" w:hAnsi="Book Antiqua" w:cs="宋体"/>
        </w:rPr>
        <w:t>]</w:t>
      </w:r>
    </w:p>
    <w:p w:rsidR="009B7BA6" w:rsidRPr="001475A9" w:rsidRDefault="009B7BA6" w:rsidP="00343426">
      <w:pPr>
        <w:spacing w:line="360" w:lineRule="auto"/>
        <w:jc w:val="both"/>
        <w:rPr>
          <w:rFonts w:ascii="Book Antiqua" w:eastAsia="宋体" w:hAnsi="Book Antiqua" w:cs="宋体"/>
        </w:rPr>
      </w:pPr>
      <w:proofErr w:type="gramStart"/>
      <w:r w:rsidRPr="001475A9">
        <w:rPr>
          <w:rFonts w:ascii="Book Antiqua" w:eastAsia="宋体" w:hAnsi="Book Antiqua" w:cs="宋体"/>
        </w:rPr>
        <w:t xml:space="preserve">11 </w:t>
      </w:r>
      <w:r w:rsidRPr="001475A9">
        <w:rPr>
          <w:rFonts w:ascii="Book Antiqua" w:eastAsia="宋体" w:hAnsi="Book Antiqua" w:cs="宋体"/>
          <w:b/>
          <w:bCs/>
        </w:rPr>
        <w:t>Akarsu M</w:t>
      </w:r>
      <w:r w:rsidRPr="001475A9">
        <w:rPr>
          <w:rFonts w:ascii="Book Antiqua" w:eastAsia="宋体" w:hAnsi="Book Antiqua" w:cs="宋体"/>
        </w:rPr>
        <w:t>, U</w:t>
      </w:r>
      <w:r w:rsidRPr="001475A9">
        <w:rPr>
          <w:rFonts w:ascii="Book Antiqua" w:eastAsia="MS Mincho" w:hAnsi="Book Antiqua" w:cs="MS Mincho"/>
        </w:rPr>
        <w:t>ğ</w:t>
      </w:r>
      <w:r w:rsidRPr="001475A9">
        <w:rPr>
          <w:rFonts w:ascii="Book Antiqua" w:eastAsia="宋体" w:hAnsi="Book Antiqua" w:cs="宋体"/>
        </w:rPr>
        <w:t>ur Kantar F, Akpinar H. Double-balloon endoscopy in patients with Peutz-Jeghers syndrome.</w:t>
      </w:r>
      <w:proofErr w:type="gramEnd"/>
      <w:r w:rsidRPr="001475A9">
        <w:rPr>
          <w:rFonts w:ascii="Book Antiqua" w:eastAsia="宋体" w:hAnsi="Book Antiqua" w:cs="宋体"/>
        </w:rPr>
        <w:t xml:space="preserve"> </w:t>
      </w:r>
      <w:r w:rsidRPr="001475A9">
        <w:rPr>
          <w:rFonts w:ascii="Book Antiqua" w:eastAsia="宋体" w:hAnsi="Book Antiqua" w:cs="宋体"/>
          <w:i/>
          <w:iCs/>
        </w:rPr>
        <w:t>Turk J Gastroenterol</w:t>
      </w:r>
      <w:r w:rsidRPr="001475A9">
        <w:rPr>
          <w:rFonts w:ascii="Book Antiqua" w:eastAsia="宋体" w:hAnsi="Book Antiqua" w:cs="宋体"/>
        </w:rPr>
        <w:t xml:space="preserve"> 2012; </w:t>
      </w:r>
      <w:r w:rsidRPr="001475A9">
        <w:rPr>
          <w:rFonts w:ascii="Book Antiqua" w:eastAsia="宋体" w:hAnsi="Book Antiqua" w:cs="宋体"/>
          <w:b/>
          <w:bCs/>
        </w:rPr>
        <w:t>23</w:t>
      </w:r>
      <w:r w:rsidRPr="001475A9">
        <w:rPr>
          <w:rFonts w:ascii="Book Antiqua" w:eastAsia="宋体" w:hAnsi="Book Antiqua" w:cs="宋体"/>
        </w:rPr>
        <w:t>: 496-502 [PMID: 23161293 DOI: 10.4318/tjg.2012.0356]</w:t>
      </w:r>
    </w:p>
    <w:p w:rsidR="009B7BA6" w:rsidRPr="001475A9" w:rsidRDefault="009B7BA6" w:rsidP="00343426">
      <w:pPr>
        <w:spacing w:line="360" w:lineRule="auto"/>
        <w:jc w:val="both"/>
        <w:rPr>
          <w:rFonts w:ascii="Book Antiqua" w:eastAsia="宋体" w:hAnsi="Book Antiqua" w:cs="宋体"/>
        </w:rPr>
      </w:pPr>
      <w:r w:rsidRPr="001475A9">
        <w:rPr>
          <w:rFonts w:ascii="Book Antiqua" w:eastAsia="宋体" w:hAnsi="Book Antiqua" w:cs="宋体"/>
        </w:rPr>
        <w:t xml:space="preserve">12 </w:t>
      </w:r>
      <w:r w:rsidRPr="001475A9">
        <w:rPr>
          <w:rFonts w:ascii="Book Antiqua" w:eastAsia="宋体" w:hAnsi="Book Antiqua" w:cs="宋体"/>
          <w:b/>
          <w:bCs/>
        </w:rPr>
        <w:t>Jovanovic I</w:t>
      </w:r>
      <w:r w:rsidRPr="001475A9">
        <w:rPr>
          <w:rFonts w:ascii="Book Antiqua" w:eastAsia="宋体" w:hAnsi="Book Antiqua" w:cs="宋体"/>
        </w:rPr>
        <w:t xml:space="preserve">, Vormbrock K, Zimmermann L, Djuranovic S, Ugljesic M, Malfertheiner P, Fry LC, Mönkemüller K. Therapeutic double-balloon enteroscopy: a binational, three-center experience. </w:t>
      </w:r>
      <w:r w:rsidRPr="001475A9">
        <w:rPr>
          <w:rFonts w:ascii="Book Antiqua" w:eastAsia="宋体" w:hAnsi="Book Antiqua" w:cs="宋体"/>
          <w:i/>
          <w:iCs/>
        </w:rPr>
        <w:t>Dig Dis</w:t>
      </w:r>
      <w:r w:rsidRPr="001475A9">
        <w:rPr>
          <w:rFonts w:ascii="Book Antiqua" w:eastAsia="宋体" w:hAnsi="Book Antiqua" w:cs="宋体"/>
        </w:rPr>
        <w:t xml:space="preserve"> 2011; </w:t>
      </w:r>
      <w:r w:rsidRPr="001475A9">
        <w:rPr>
          <w:rFonts w:ascii="Book Antiqua" w:eastAsia="宋体" w:hAnsi="Book Antiqua" w:cs="宋体"/>
          <w:b/>
          <w:bCs/>
        </w:rPr>
        <w:t xml:space="preserve">29 </w:t>
      </w:r>
      <w:r w:rsidRPr="001475A9">
        <w:rPr>
          <w:rFonts w:ascii="Book Antiqua" w:eastAsia="宋体" w:hAnsi="Book Antiqua" w:cs="宋体"/>
          <w:bCs/>
        </w:rPr>
        <w:t>Suppl 1</w:t>
      </w:r>
      <w:r w:rsidRPr="001475A9">
        <w:rPr>
          <w:rFonts w:ascii="Book Antiqua" w:eastAsia="宋体" w:hAnsi="Book Antiqua" w:cs="宋体"/>
        </w:rPr>
        <w:t xml:space="preserve">: 27-31 [PMID: </w:t>
      </w:r>
      <w:r w:rsidRPr="00343426">
        <w:rPr>
          <w:rFonts w:ascii="Book Antiqua" w:eastAsia="宋体" w:hAnsi="Book Antiqua" w:cs="宋体"/>
        </w:rPr>
        <w:t>22104749 DOI: 10.1159/000331125</w:t>
      </w:r>
      <w:r w:rsidRPr="001475A9">
        <w:rPr>
          <w:rFonts w:ascii="Book Antiqua" w:eastAsia="宋体" w:hAnsi="Book Antiqua" w:cs="宋体"/>
        </w:rPr>
        <w:t>]</w:t>
      </w:r>
    </w:p>
    <w:p w:rsidR="009B7BA6" w:rsidRPr="001475A9" w:rsidRDefault="009B7BA6" w:rsidP="00343426">
      <w:pPr>
        <w:spacing w:line="360" w:lineRule="auto"/>
        <w:jc w:val="both"/>
        <w:rPr>
          <w:rFonts w:ascii="Book Antiqua" w:eastAsia="宋体" w:hAnsi="Book Antiqua" w:cs="宋体"/>
        </w:rPr>
      </w:pPr>
      <w:r w:rsidRPr="001475A9">
        <w:rPr>
          <w:rFonts w:ascii="Book Antiqua" w:eastAsia="宋体" w:hAnsi="Book Antiqua" w:cs="宋体"/>
        </w:rPr>
        <w:t xml:space="preserve">13 </w:t>
      </w:r>
      <w:r w:rsidRPr="001475A9">
        <w:rPr>
          <w:rFonts w:ascii="Book Antiqua" w:eastAsia="宋体" w:hAnsi="Book Antiqua" w:cs="宋体"/>
          <w:b/>
          <w:bCs/>
        </w:rPr>
        <w:t>Schulz C</w:t>
      </w:r>
      <w:r w:rsidRPr="001475A9">
        <w:rPr>
          <w:rFonts w:ascii="Book Antiqua" w:eastAsia="宋体" w:hAnsi="Book Antiqua" w:cs="宋体"/>
        </w:rPr>
        <w:t xml:space="preserve">, Mönkemüller K, Salheiser M, Bellutti M, Schütte K, Malfertheiner P. Double-balloon enteroscopy in the diagnosis of suspected isolated Crohn's disease of the small bowel. </w:t>
      </w:r>
      <w:r w:rsidRPr="001475A9">
        <w:rPr>
          <w:rFonts w:ascii="Book Antiqua" w:eastAsia="宋体" w:hAnsi="Book Antiqua" w:cs="宋体"/>
          <w:i/>
          <w:iCs/>
        </w:rPr>
        <w:t>Dig Endosc</w:t>
      </w:r>
      <w:r w:rsidRPr="001475A9">
        <w:rPr>
          <w:rFonts w:ascii="Book Antiqua" w:eastAsia="宋体" w:hAnsi="Book Antiqua" w:cs="宋体"/>
        </w:rPr>
        <w:t xml:space="preserve"> 2014; </w:t>
      </w:r>
      <w:r w:rsidRPr="001475A9">
        <w:rPr>
          <w:rFonts w:ascii="Book Antiqua" w:eastAsia="宋体" w:hAnsi="Book Antiqua" w:cs="宋体"/>
          <w:b/>
          <w:bCs/>
        </w:rPr>
        <w:t>26</w:t>
      </w:r>
      <w:r w:rsidRPr="001475A9">
        <w:rPr>
          <w:rFonts w:ascii="Book Antiqua" w:eastAsia="宋体" w:hAnsi="Book Antiqua" w:cs="宋体"/>
        </w:rPr>
        <w:t xml:space="preserve">: 236-242 [PMID: </w:t>
      </w:r>
      <w:r w:rsidRPr="00343426">
        <w:rPr>
          <w:rFonts w:ascii="Book Antiqua" w:eastAsia="宋体" w:hAnsi="Book Antiqua" w:cs="宋体"/>
        </w:rPr>
        <w:t>23855454 DOI: 10.1111/den.12142</w:t>
      </w:r>
      <w:r w:rsidRPr="001475A9">
        <w:rPr>
          <w:rFonts w:ascii="Book Antiqua" w:eastAsia="宋体" w:hAnsi="Book Antiqua" w:cs="宋体"/>
        </w:rPr>
        <w:t>]</w:t>
      </w:r>
    </w:p>
    <w:p w:rsidR="009B7BA6" w:rsidRPr="001475A9" w:rsidRDefault="009B7BA6" w:rsidP="00343426">
      <w:pPr>
        <w:spacing w:line="360" w:lineRule="auto"/>
        <w:jc w:val="both"/>
        <w:rPr>
          <w:rFonts w:ascii="Book Antiqua" w:eastAsia="宋体" w:hAnsi="Book Antiqua" w:cs="宋体"/>
        </w:rPr>
      </w:pPr>
      <w:r w:rsidRPr="001475A9">
        <w:rPr>
          <w:rFonts w:ascii="Book Antiqua" w:eastAsia="宋体" w:hAnsi="Book Antiqua" w:cs="宋体"/>
        </w:rPr>
        <w:t xml:space="preserve">14 </w:t>
      </w:r>
      <w:r w:rsidRPr="001475A9">
        <w:rPr>
          <w:rFonts w:ascii="Book Antiqua" w:eastAsia="宋体" w:hAnsi="Book Antiqua" w:cs="宋体"/>
          <w:b/>
          <w:bCs/>
        </w:rPr>
        <w:t>Möschler O</w:t>
      </w:r>
      <w:r w:rsidRPr="001475A9">
        <w:rPr>
          <w:rFonts w:ascii="Book Antiqua" w:eastAsia="宋体" w:hAnsi="Book Antiqua" w:cs="宋体"/>
        </w:rPr>
        <w:t xml:space="preserve">, May A, Müller MK, Ell C. Complications in and performance of double-balloon enteroscopy (DBE): results from a large prospective DBE database in Germany. </w:t>
      </w:r>
      <w:r w:rsidRPr="001475A9">
        <w:rPr>
          <w:rFonts w:ascii="Book Antiqua" w:eastAsia="宋体" w:hAnsi="Book Antiqua" w:cs="宋体"/>
          <w:i/>
          <w:iCs/>
        </w:rPr>
        <w:t>Endoscopy</w:t>
      </w:r>
      <w:r w:rsidRPr="001475A9">
        <w:rPr>
          <w:rFonts w:ascii="Book Antiqua" w:eastAsia="宋体" w:hAnsi="Book Antiqua" w:cs="宋体"/>
        </w:rPr>
        <w:t xml:space="preserve"> 2011; </w:t>
      </w:r>
      <w:r w:rsidRPr="001475A9">
        <w:rPr>
          <w:rFonts w:ascii="Book Antiqua" w:eastAsia="宋体" w:hAnsi="Book Antiqua" w:cs="宋体"/>
          <w:b/>
          <w:bCs/>
        </w:rPr>
        <w:t>43</w:t>
      </w:r>
      <w:r w:rsidRPr="001475A9">
        <w:rPr>
          <w:rFonts w:ascii="Book Antiqua" w:eastAsia="宋体" w:hAnsi="Book Antiqua" w:cs="宋体"/>
        </w:rPr>
        <w:t>: 484-489 [PMID: 21370</w:t>
      </w:r>
      <w:r w:rsidRPr="00343426">
        <w:rPr>
          <w:rFonts w:ascii="Book Antiqua" w:eastAsia="宋体" w:hAnsi="Book Antiqua" w:cs="宋体"/>
        </w:rPr>
        <w:t>220 DOI: 10.1055/s-0030-1256249</w:t>
      </w:r>
      <w:r w:rsidRPr="001475A9">
        <w:rPr>
          <w:rFonts w:ascii="Book Antiqua" w:eastAsia="宋体" w:hAnsi="Book Antiqua" w:cs="宋体"/>
        </w:rPr>
        <w:t>]</w:t>
      </w:r>
    </w:p>
    <w:p w:rsidR="007E1F50" w:rsidRDefault="009B7BA6" w:rsidP="007E1F50">
      <w:pPr>
        <w:spacing w:line="360" w:lineRule="auto"/>
        <w:jc w:val="both"/>
        <w:rPr>
          <w:rFonts w:ascii="Book Antiqua" w:eastAsia="宋体" w:hAnsi="Book Antiqua" w:cs="宋体"/>
          <w:lang w:eastAsia="zh-CN"/>
        </w:rPr>
      </w:pPr>
      <w:r w:rsidRPr="001475A9">
        <w:rPr>
          <w:rFonts w:ascii="Book Antiqua" w:eastAsia="宋体" w:hAnsi="Book Antiqua" w:cs="宋体"/>
        </w:rPr>
        <w:t>1</w:t>
      </w:r>
      <w:r w:rsidR="007E1F50">
        <w:rPr>
          <w:rFonts w:ascii="Book Antiqua" w:eastAsia="宋体" w:hAnsi="Book Antiqua" w:cs="宋体" w:hint="eastAsia"/>
          <w:lang w:eastAsia="zh-CN"/>
        </w:rPr>
        <w:t>5</w:t>
      </w:r>
      <w:r w:rsidRPr="001475A9">
        <w:rPr>
          <w:rFonts w:ascii="Book Antiqua" w:eastAsia="宋体" w:hAnsi="Book Antiqua" w:cs="宋体"/>
        </w:rPr>
        <w:t xml:space="preserve"> </w:t>
      </w:r>
      <w:r w:rsidRPr="001475A9">
        <w:rPr>
          <w:rFonts w:ascii="Book Antiqua" w:eastAsia="宋体" w:hAnsi="Book Antiqua" w:cs="宋体"/>
          <w:b/>
          <w:bCs/>
        </w:rPr>
        <w:t>Onal IK</w:t>
      </w:r>
      <w:r w:rsidRPr="001475A9">
        <w:rPr>
          <w:rFonts w:ascii="Book Antiqua" w:eastAsia="宋体" w:hAnsi="Book Antiqua" w:cs="宋体"/>
        </w:rPr>
        <w:t xml:space="preserve">, Akdogan M, Arhan M, Yalinkilic ZM, Cicek B, Kacar S, Kurt M, Ibis M, Ozin YO, Sayilir A, Sayilir A, Sasmaz N. Double balloon enteroscopy: a 3-year experience at a tertiary care center. </w:t>
      </w:r>
      <w:r w:rsidRPr="001475A9">
        <w:rPr>
          <w:rFonts w:ascii="Book Antiqua" w:eastAsia="宋体" w:hAnsi="Book Antiqua" w:cs="宋体"/>
          <w:i/>
          <w:iCs/>
        </w:rPr>
        <w:t>Hepatogastroenterology</w:t>
      </w:r>
      <w:r w:rsidRPr="001475A9">
        <w:rPr>
          <w:rFonts w:ascii="Book Antiqua" w:eastAsia="宋体" w:hAnsi="Book Antiqua" w:cs="宋体"/>
        </w:rPr>
        <w:t xml:space="preserve"> 2012; </w:t>
      </w:r>
      <w:r w:rsidRPr="001475A9">
        <w:rPr>
          <w:rFonts w:ascii="Book Antiqua" w:eastAsia="宋体" w:hAnsi="Book Antiqua" w:cs="宋体"/>
          <w:b/>
          <w:bCs/>
        </w:rPr>
        <w:t>59</w:t>
      </w:r>
      <w:r w:rsidRPr="001475A9">
        <w:rPr>
          <w:rFonts w:ascii="Book Antiqua" w:eastAsia="宋体" w:hAnsi="Book Antiqua" w:cs="宋体"/>
        </w:rPr>
        <w:t>: 1851-1854 [PMID:</w:t>
      </w:r>
      <w:r w:rsidRPr="00343426">
        <w:rPr>
          <w:rFonts w:ascii="Book Antiqua" w:eastAsia="宋体" w:hAnsi="Book Antiqua" w:cs="宋体"/>
        </w:rPr>
        <w:t xml:space="preserve"> 22819903 DOI: 10.5754/hge10828</w:t>
      </w:r>
      <w:r w:rsidRPr="001475A9">
        <w:rPr>
          <w:rFonts w:ascii="Book Antiqua" w:eastAsia="宋体" w:hAnsi="Book Antiqua" w:cs="宋体"/>
        </w:rPr>
        <w:t>]</w:t>
      </w:r>
      <w:r w:rsidR="007E1F50" w:rsidRPr="007E1F50">
        <w:rPr>
          <w:rFonts w:ascii="Book Antiqua" w:eastAsia="宋体" w:hAnsi="Book Antiqua" w:cs="宋体"/>
        </w:rPr>
        <w:t xml:space="preserve"> </w:t>
      </w:r>
    </w:p>
    <w:p w:rsidR="009B7BA6" w:rsidRPr="001475A9" w:rsidRDefault="007E1F50" w:rsidP="00343426">
      <w:pPr>
        <w:spacing w:line="360" w:lineRule="auto"/>
        <w:jc w:val="both"/>
        <w:rPr>
          <w:rFonts w:ascii="Book Antiqua" w:eastAsia="宋体" w:hAnsi="Book Antiqua" w:cs="宋体"/>
          <w:lang w:eastAsia="zh-CN"/>
        </w:rPr>
      </w:pPr>
      <w:r w:rsidRPr="001475A9">
        <w:rPr>
          <w:rFonts w:ascii="Book Antiqua" w:eastAsia="宋体" w:hAnsi="Book Antiqua" w:cs="宋体"/>
        </w:rPr>
        <w:t>1</w:t>
      </w:r>
      <w:r>
        <w:rPr>
          <w:rFonts w:ascii="Book Antiqua" w:eastAsia="宋体" w:hAnsi="Book Antiqua" w:cs="宋体" w:hint="eastAsia"/>
          <w:lang w:eastAsia="zh-CN"/>
        </w:rPr>
        <w:t>6</w:t>
      </w:r>
      <w:r w:rsidRPr="001475A9">
        <w:rPr>
          <w:rFonts w:ascii="Book Antiqua" w:eastAsia="宋体" w:hAnsi="Book Antiqua" w:cs="宋体"/>
        </w:rPr>
        <w:t xml:space="preserve"> </w:t>
      </w:r>
      <w:r w:rsidRPr="001475A9">
        <w:rPr>
          <w:rFonts w:ascii="Book Antiqua" w:eastAsia="宋体" w:hAnsi="Book Antiqua" w:cs="宋体"/>
          <w:b/>
          <w:bCs/>
        </w:rPr>
        <w:t>Van Assche G</w:t>
      </w:r>
      <w:r w:rsidRPr="001475A9">
        <w:rPr>
          <w:rFonts w:ascii="Book Antiqua" w:eastAsia="宋体" w:hAnsi="Book Antiqua" w:cs="宋体"/>
        </w:rPr>
        <w:t xml:space="preserve">, Vermeire S, Rutgeerts P. Endoscopic therapy of strictures in Crohn's disease. </w:t>
      </w:r>
      <w:r w:rsidRPr="001475A9">
        <w:rPr>
          <w:rFonts w:ascii="Book Antiqua" w:eastAsia="宋体" w:hAnsi="Book Antiqua" w:cs="宋体"/>
          <w:i/>
          <w:iCs/>
        </w:rPr>
        <w:t>Inflamm Bowel Dis</w:t>
      </w:r>
      <w:r w:rsidRPr="001475A9">
        <w:rPr>
          <w:rFonts w:ascii="Book Antiqua" w:eastAsia="宋体" w:hAnsi="Book Antiqua" w:cs="宋体"/>
        </w:rPr>
        <w:t xml:space="preserve"> 2007; </w:t>
      </w:r>
      <w:r w:rsidRPr="001475A9">
        <w:rPr>
          <w:rFonts w:ascii="Book Antiqua" w:eastAsia="宋体" w:hAnsi="Book Antiqua" w:cs="宋体"/>
          <w:b/>
          <w:bCs/>
        </w:rPr>
        <w:t>13</w:t>
      </w:r>
      <w:r w:rsidRPr="001475A9">
        <w:rPr>
          <w:rFonts w:ascii="Book Antiqua" w:eastAsia="宋体" w:hAnsi="Book Antiqua" w:cs="宋体"/>
        </w:rPr>
        <w:t>: 356-3</w:t>
      </w:r>
      <w:r w:rsidRPr="00343426">
        <w:rPr>
          <w:rFonts w:ascii="Book Antiqua" w:eastAsia="宋体" w:hAnsi="Book Antiqua" w:cs="宋体"/>
        </w:rPr>
        <w:t>58; discussion 3</w:t>
      </w:r>
      <w:r w:rsidRPr="001475A9">
        <w:rPr>
          <w:rFonts w:ascii="Book Antiqua" w:eastAsia="宋体" w:hAnsi="Book Antiqua" w:cs="宋体"/>
        </w:rPr>
        <w:t>6</w:t>
      </w:r>
      <w:r w:rsidRPr="00343426">
        <w:rPr>
          <w:rFonts w:ascii="Book Antiqua" w:eastAsia="宋体" w:hAnsi="Book Antiqua" w:cs="宋体"/>
        </w:rPr>
        <w:t>2</w:t>
      </w:r>
      <w:r w:rsidRPr="001475A9">
        <w:rPr>
          <w:rFonts w:ascii="Book Antiqua" w:eastAsia="宋体" w:hAnsi="Book Antiqua" w:cs="宋体"/>
        </w:rPr>
        <w:t>-3</w:t>
      </w:r>
      <w:r w:rsidRPr="00343426">
        <w:rPr>
          <w:rFonts w:ascii="Book Antiqua" w:eastAsia="宋体" w:hAnsi="Book Antiqua" w:cs="宋体"/>
        </w:rPr>
        <w:t>63</w:t>
      </w:r>
      <w:r w:rsidRPr="001475A9">
        <w:rPr>
          <w:rFonts w:ascii="Book Antiqua" w:eastAsia="宋体" w:hAnsi="Book Antiqua" w:cs="宋体"/>
        </w:rPr>
        <w:t xml:space="preserve"> [PMID: </w:t>
      </w:r>
      <w:r w:rsidRPr="00343426">
        <w:rPr>
          <w:rFonts w:ascii="Book Antiqua" w:eastAsia="宋体" w:hAnsi="Book Antiqua" w:cs="宋体"/>
        </w:rPr>
        <w:t>17230480 DOI: 10.1002/ibd.20091</w:t>
      </w:r>
      <w:r w:rsidRPr="001475A9">
        <w:rPr>
          <w:rFonts w:ascii="Book Antiqua" w:eastAsia="宋体" w:hAnsi="Book Antiqua" w:cs="宋体"/>
        </w:rPr>
        <w:t>]</w:t>
      </w:r>
    </w:p>
    <w:p w:rsidR="009B7BA6" w:rsidRPr="001475A9" w:rsidRDefault="009B7BA6" w:rsidP="00343426">
      <w:pPr>
        <w:spacing w:line="360" w:lineRule="auto"/>
        <w:jc w:val="both"/>
        <w:rPr>
          <w:rFonts w:ascii="Book Antiqua" w:eastAsia="宋体" w:hAnsi="Book Antiqua" w:cs="宋体"/>
        </w:rPr>
      </w:pPr>
      <w:r w:rsidRPr="001475A9">
        <w:rPr>
          <w:rFonts w:ascii="Book Antiqua" w:eastAsia="宋体" w:hAnsi="Book Antiqua" w:cs="宋体"/>
        </w:rPr>
        <w:t xml:space="preserve">17 </w:t>
      </w:r>
      <w:r w:rsidRPr="001475A9">
        <w:rPr>
          <w:rFonts w:ascii="Book Antiqua" w:eastAsia="宋体" w:hAnsi="Book Antiqua" w:cs="宋体"/>
          <w:b/>
          <w:bCs/>
        </w:rPr>
        <w:t>Chen X</w:t>
      </w:r>
      <w:r w:rsidRPr="001475A9">
        <w:rPr>
          <w:rFonts w:ascii="Book Antiqua" w:eastAsia="宋体" w:hAnsi="Book Antiqua" w:cs="宋体"/>
        </w:rPr>
        <w:t xml:space="preserve">, Ran ZH, Tong JL. A meta-analysis of the yield of capsule endoscopy compared to double-balloon enteroscopy in patients with small bowel diseases. </w:t>
      </w:r>
      <w:r w:rsidRPr="001475A9">
        <w:rPr>
          <w:rFonts w:ascii="Book Antiqua" w:eastAsia="宋体" w:hAnsi="Book Antiqua" w:cs="宋体"/>
          <w:i/>
          <w:iCs/>
        </w:rPr>
        <w:t>World J Gastroenterol</w:t>
      </w:r>
      <w:r w:rsidRPr="001475A9">
        <w:rPr>
          <w:rFonts w:ascii="Book Antiqua" w:eastAsia="宋体" w:hAnsi="Book Antiqua" w:cs="宋体"/>
        </w:rPr>
        <w:t xml:space="preserve"> 2007; </w:t>
      </w:r>
      <w:r w:rsidRPr="001475A9">
        <w:rPr>
          <w:rFonts w:ascii="Book Antiqua" w:eastAsia="宋体" w:hAnsi="Book Antiqua" w:cs="宋体"/>
          <w:b/>
          <w:bCs/>
        </w:rPr>
        <w:t>13</w:t>
      </w:r>
      <w:r w:rsidRPr="001475A9">
        <w:rPr>
          <w:rFonts w:ascii="Book Antiqua" w:eastAsia="宋体" w:hAnsi="Book Antiqua" w:cs="宋体"/>
        </w:rPr>
        <w:t>: 4372-4378 [PMID: 1770861</w:t>
      </w:r>
      <w:r w:rsidRPr="00343426">
        <w:rPr>
          <w:rFonts w:ascii="Book Antiqua" w:eastAsia="宋体" w:hAnsi="Book Antiqua" w:cs="宋体"/>
        </w:rPr>
        <w:t>4 DOI: 10.3748/wjg.v13.i32.4372</w:t>
      </w:r>
      <w:r w:rsidRPr="001475A9">
        <w:rPr>
          <w:rFonts w:ascii="Book Antiqua" w:eastAsia="宋体" w:hAnsi="Book Antiqua" w:cs="宋体"/>
        </w:rPr>
        <w:t>]</w:t>
      </w:r>
    </w:p>
    <w:p w:rsidR="009B7BA6" w:rsidRPr="001475A9" w:rsidRDefault="009B7BA6" w:rsidP="00343426">
      <w:pPr>
        <w:spacing w:line="360" w:lineRule="auto"/>
        <w:jc w:val="both"/>
        <w:rPr>
          <w:rFonts w:ascii="Book Antiqua" w:eastAsia="宋体" w:hAnsi="Book Antiqua" w:cs="宋体"/>
        </w:rPr>
      </w:pPr>
      <w:r w:rsidRPr="001475A9">
        <w:rPr>
          <w:rFonts w:ascii="Book Antiqua" w:eastAsia="宋体" w:hAnsi="Book Antiqua" w:cs="宋体"/>
        </w:rPr>
        <w:t xml:space="preserve">18 </w:t>
      </w:r>
      <w:r w:rsidRPr="001475A9">
        <w:rPr>
          <w:rFonts w:ascii="Book Antiqua" w:eastAsia="宋体" w:hAnsi="Book Antiqua" w:cs="宋体"/>
          <w:b/>
          <w:bCs/>
        </w:rPr>
        <w:t>Pasha SF</w:t>
      </w:r>
      <w:r w:rsidRPr="001475A9">
        <w:rPr>
          <w:rFonts w:ascii="Book Antiqua" w:eastAsia="宋体" w:hAnsi="Book Antiqua" w:cs="宋体"/>
        </w:rPr>
        <w:t xml:space="preserve">, Leighton JA, Das A, Harrison ME, Decker GA, Fleischer DE, Sharma VK. Double-balloon enteroscopy and capsule endoscopy have comparable diagnostic yield in small-bowel disease: a meta-analysis. </w:t>
      </w:r>
      <w:r w:rsidRPr="001475A9">
        <w:rPr>
          <w:rFonts w:ascii="Book Antiqua" w:eastAsia="宋体" w:hAnsi="Book Antiqua" w:cs="宋体"/>
          <w:i/>
          <w:iCs/>
        </w:rPr>
        <w:t>Clin Gastroenterol Hepatol</w:t>
      </w:r>
      <w:r w:rsidRPr="001475A9">
        <w:rPr>
          <w:rFonts w:ascii="Book Antiqua" w:eastAsia="宋体" w:hAnsi="Book Antiqua" w:cs="宋体"/>
        </w:rPr>
        <w:t xml:space="preserve"> 2008; </w:t>
      </w:r>
      <w:r w:rsidRPr="001475A9">
        <w:rPr>
          <w:rFonts w:ascii="Book Antiqua" w:eastAsia="宋体" w:hAnsi="Book Antiqua" w:cs="宋体"/>
          <w:b/>
          <w:bCs/>
        </w:rPr>
        <w:t>6</w:t>
      </w:r>
      <w:r w:rsidRPr="001475A9">
        <w:rPr>
          <w:rFonts w:ascii="Book Antiqua" w:eastAsia="宋体" w:hAnsi="Book Antiqua" w:cs="宋体"/>
        </w:rPr>
        <w:t>: 671-676 [PMID: 18356113</w:t>
      </w:r>
      <w:r w:rsidRPr="00343426">
        <w:rPr>
          <w:rFonts w:ascii="Book Antiqua" w:eastAsia="宋体" w:hAnsi="Book Antiqua" w:cs="宋体"/>
        </w:rPr>
        <w:t xml:space="preserve"> DOI: 10.1016/j.cgh.2008.01.005</w:t>
      </w:r>
      <w:r w:rsidRPr="001475A9">
        <w:rPr>
          <w:rFonts w:ascii="Book Antiqua" w:eastAsia="宋体" w:hAnsi="Book Antiqua" w:cs="宋体"/>
        </w:rPr>
        <w:t>]</w:t>
      </w:r>
    </w:p>
    <w:p w:rsidR="009B7BA6" w:rsidRPr="001475A9" w:rsidRDefault="009B7BA6" w:rsidP="00343426">
      <w:pPr>
        <w:spacing w:line="360" w:lineRule="auto"/>
        <w:jc w:val="both"/>
        <w:rPr>
          <w:rFonts w:ascii="Book Antiqua" w:eastAsia="宋体" w:hAnsi="Book Antiqua" w:cs="宋体"/>
        </w:rPr>
      </w:pPr>
      <w:r w:rsidRPr="001475A9">
        <w:rPr>
          <w:rFonts w:ascii="Book Antiqua" w:eastAsia="宋体" w:hAnsi="Book Antiqua" w:cs="宋体"/>
        </w:rPr>
        <w:t xml:space="preserve">19 </w:t>
      </w:r>
      <w:r w:rsidRPr="001475A9">
        <w:rPr>
          <w:rFonts w:ascii="Book Antiqua" w:eastAsia="宋体" w:hAnsi="Book Antiqua" w:cs="宋体"/>
          <w:b/>
          <w:bCs/>
        </w:rPr>
        <w:t>Teshima CW</w:t>
      </w:r>
      <w:r w:rsidRPr="001475A9">
        <w:rPr>
          <w:rFonts w:ascii="Book Antiqua" w:eastAsia="宋体" w:hAnsi="Book Antiqua" w:cs="宋体"/>
        </w:rPr>
        <w:t xml:space="preserve">, Kuipers EJ, van Zanten SV, Mensink PB. Double balloon enteroscopy and capsule endoscopy for obscure gastrointestinal bleeding: an updated meta-analysis. </w:t>
      </w:r>
      <w:r w:rsidRPr="001475A9">
        <w:rPr>
          <w:rFonts w:ascii="Book Antiqua" w:eastAsia="宋体" w:hAnsi="Book Antiqua" w:cs="宋体"/>
          <w:i/>
          <w:iCs/>
        </w:rPr>
        <w:t>J Ga</w:t>
      </w:r>
      <w:r w:rsidRPr="001475A9">
        <w:rPr>
          <w:rFonts w:ascii="Book Antiqua" w:eastAsia="宋体" w:hAnsi="Book Antiqua" w:cs="宋体"/>
          <w:i/>
          <w:iCs/>
        </w:rPr>
        <w:t>s</w:t>
      </w:r>
      <w:r w:rsidRPr="001475A9">
        <w:rPr>
          <w:rFonts w:ascii="Book Antiqua" w:eastAsia="宋体" w:hAnsi="Book Antiqua" w:cs="宋体"/>
          <w:i/>
          <w:iCs/>
        </w:rPr>
        <w:t>troenterol Hepatol</w:t>
      </w:r>
      <w:r w:rsidRPr="001475A9">
        <w:rPr>
          <w:rFonts w:ascii="Book Antiqua" w:eastAsia="宋体" w:hAnsi="Book Antiqua" w:cs="宋体"/>
        </w:rPr>
        <w:t xml:space="preserve"> 2011; </w:t>
      </w:r>
      <w:r w:rsidRPr="001475A9">
        <w:rPr>
          <w:rFonts w:ascii="Book Antiqua" w:eastAsia="宋体" w:hAnsi="Book Antiqua" w:cs="宋体"/>
          <w:b/>
          <w:bCs/>
        </w:rPr>
        <w:t>26</w:t>
      </w:r>
      <w:r w:rsidRPr="001475A9">
        <w:rPr>
          <w:rFonts w:ascii="Book Antiqua" w:eastAsia="宋体" w:hAnsi="Book Antiqua" w:cs="宋体"/>
        </w:rPr>
        <w:t>: 796-801 [PMID: 21155884 DOI: 1</w:t>
      </w:r>
      <w:r w:rsidRPr="00343426">
        <w:rPr>
          <w:rFonts w:ascii="Book Antiqua" w:eastAsia="宋体" w:hAnsi="Book Antiqua" w:cs="宋体"/>
        </w:rPr>
        <w:t>0.1111/j.1440-1746.2010.06530.x</w:t>
      </w:r>
      <w:r w:rsidRPr="001475A9">
        <w:rPr>
          <w:rFonts w:ascii="Book Antiqua" w:eastAsia="宋体" w:hAnsi="Book Antiqua" w:cs="宋体"/>
        </w:rPr>
        <w:t>]</w:t>
      </w:r>
    </w:p>
    <w:p w:rsidR="009B7BA6" w:rsidRPr="001475A9" w:rsidRDefault="009B7BA6" w:rsidP="00343426">
      <w:pPr>
        <w:spacing w:line="360" w:lineRule="auto"/>
        <w:jc w:val="both"/>
        <w:rPr>
          <w:rFonts w:ascii="Book Antiqua" w:eastAsia="宋体" w:hAnsi="Book Antiqua" w:cs="宋体"/>
        </w:rPr>
      </w:pPr>
      <w:r w:rsidRPr="001475A9">
        <w:rPr>
          <w:rFonts w:ascii="Book Antiqua" w:eastAsia="宋体" w:hAnsi="Book Antiqua" w:cs="宋体"/>
        </w:rPr>
        <w:t xml:space="preserve">20 </w:t>
      </w:r>
      <w:r w:rsidRPr="001475A9">
        <w:rPr>
          <w:rFonts w:ascii="Book Antiqua" w:eastAsia="宋体" w:hAnsi="Book Antiqua" w:cs="宋体"/>
          <w:b/>
          <w:bCs/>
        </w:rPr>
        <w:t>Arakawa D</w:t>
      </w:r>
      <w:r w:rsidRPr="001475A9">
        <w:rPr>
          <w:rFonts w:ascii="Book Antiqua" w:eastAsia="宋体" w:hAnsi="Book Antiqua" w:cs="宋体"/>
        </w:rPr>
        <w:t>, Ohmiya N, Nakamura M, Honda W, Shirai O, Itoh A, Hirooka Y, Niwa Y, Maeda O, Ando T, Goto H. Outcome after enteroscopy for patients with obscure GI blee</w:t>
      </w:r>
      <w:r w:rsidRPr="001475A9">
        <w:rPr>
          <w:rFonts w:ascii="Book Antiqua" w:eastAsia="宋体" w:hAnsi="Book Antiqua" w:cs="宋体"/>
        </w:rPr>
        <w:t>d</w:t>
      </w:r>
      <w:r w:rsidRPr="001475A9">
        <w:rPr>
          <w:rFonts w:ascii="Book Antiqua" w:eastAsia="宋体" w:hAnsi="Book Antiqua" w:cs="宋体"/>
        </w:rPr>
        <w:t>ing: diagnostic comparison between double-balloon endoscopy and videocapsule endo</w:t>
      </w:r>
      <w:r w:rsidRPr="001475A9">
        <w:rPr>
          <w:rFonts w:ascii="Book Antiqua" w:eastAsia="宋体" w:hAnsi="Book Antiqua" w:cs="宋体"/>
        </w:rPr>
        <w:t>s</w:t>
      </w:r>
      <w:r w:rsidRPr="001475A9">
        <w:rPr>
          <w:rFonts w:ascii="Book Antiqua" w:eastAsia="宋体" w:hAnsi="Book Antiqua" w:cs="宋体"/>
        </w:rPr>
        <w:t xml:space="preserve">copy. </w:t>
      </w:r>
      <w:r w:rsidRPr="001475A9">
        <w:rPr>
          <w:rFonts w:ascii="Book Antiqua" w:eastAsia="宋体" w:hAnsi="Book Antiqua" w:cs="宋体"/>
          <w:i/>
          <w:iCs/>
        </w:rPr>
        <w:t>Gastrointest Endosc</w:t>
      </w:r>
      <w:r w:rsidRPr="001475A9">
        <w:rPr>
          <w:rFonts w:ascii="Book Antiqua" w:eastAsia="宋体" w:hAnsi="Book Antiqua" w:cs="宋体"/>
        </w:rPr>
        <w:t xml:space="preserve"> 2009; </w:t>
      </w:r>
      <w:r w:rsidRPr="001475A9">
        <w:rPr>
          <w:rFonts w:ascii="Book Antiqua" w:eastAsia="宋体" w:hAnsi="Book Antiqua" w:cs="宋体"/>
          <w:b/>
          <w:bCs/>
        </w:rPr>
        <w:t>69</w:t>
      </w:r>
      <w:r w:rsidRPr="001475A9">
        <w:rPr>
          <w:rFonts w:ascii="Book Antiqua" w:eastAsia="宋体" w:hAnsi="Book Antiqua" w:cs="宋体"/>
        </w:rPr>
        <w:t>: 866-874 [PMID: 19136098 DOI: 10.1016/j.gie.2008.06</w:t>
      </w:r>
      <w:r w:rsidRPr="00343426">
        <w:rPr>
          <w:rFonts w:ascii="Book Antiqua" w:eastAsia="宋体" w:hAnsi="Book Antiqua" w:cs="宋体"/>
        </w:rPr>
        <w:t>.008</w:t>
      </w:r>
      <w:r w:rsidRPr="001475A9">
        <w:rPr>
          <w:rFonts w:ascii="Book Antiqua" w:eastAsia="宋体" w:hAnsi="Book Antiqua" w:cs="宋体"/>
        </w:rPr>
        <w:t>]</w:t>
      </w:r>
    </w:p>
    <w:p w:rsidR="009B7BA6" w:rsidRPr="001475A9" w:rsidRDefault="009B7BA6" w:rsidP="00343426">
      <w:pPr>
        <w:spacing w:line="360" w:lineRule="auto"/>
        <w:jc w:val="both"/>
        <w:rPr>
          <w:rFonts w:ascii="Book Antiqua" w:eastAsia="宋体" w:hAnsi="Book Antiqua" w:cs="宋体"/>
        </w:rPr>
      </w:pPr>
      <w:r w:rsidRPr="001475A9">
        <w:rPr>
          <w:rFonts w:ascii="Book Antiqua" w:eastAsia="宋体" w:hAnsi="Book Antiqua" w:cs="宋体"/>
        </w:rPr>
        <w:t xml:space="preserve">21 </w:t>
      </w:r>
      <w:r w:rsidRPr="001475A9">
        <w:rPr>
          <w:rFonts w:ascii="Book Antiqua" w:eastAsia="宋体" w:hAnsi="Book Antiqua" w:cs="宋体"/>
          <w:b/>
          <w:bCs/>
        </w:rPr>
        <w:t>May A</w:t>
      </w:r>
      <w:r w:rsidRPr="001475A9">
        <w:rPr>
          <w:rFonts w:ascii="Book Antiqua" w:eastAsia="宋体" w:hAnsi="Book Antiqua" w:cs="宋体"/>
        </w:rPr>
        <w:t xml:space="preserve">, Färber M, Aschmoneit I, Pohl J, Manner H, Lotterer E, Möschler O, Kunz J, Gossner L, Mönkemüller K, Ell C. Prospective multicenter trial comparing push-and-pull enteroscopy with the single- and double-balloon techniques in patients with small-bowel disorders. </w:t>
      </w:r>
      <w:r w:rsidRPr="001475A9">
        <w:rPr>
          <w:rFonts w:ascii="Book Antiqua" w:eastAsia="宋体" w:hAnsi="Book Antiqua" w:cs="宋体"/>
          <w:i/>
          <w:iCs/>
        </w:rPr>
        <w:t>Am J Gastroenterol</w:t>
      </w:r>
      <w:r w:rsidRPr="001475A9">
        <w:rPr>
          <w:rFonts w:ascii="Book Antiqua" w:eastAsia="宋体" w:hAnsi="Book Antiqua" w:cs="宋体"/>
        </w:rPr>
        <w:t xml:space="preserve"> 2010; </w:t>
      </w:r>
      <w:r w:rsidRPr="001475A9">
        <w:rPr>
          <w:rFonts w:ascii="Book Antiqua" w:eastAsia="宋体" w:hAnsi="Book Antiqua" w:cs="宋体"/>
          <w:b/>
          <w:bCs/>
        </w:rPr>
        <w:t>105</w:t>
      </w:r>
      <w:r w:rsidRPr="001475A9">
        <w:rPr>
          <w:rFonts w:ascii="Book Antiqua" w:eastAsia="宋体" w:hAnsi="Book Antiqua" w:cs="宋体"/>
        </w:rPr>
        <w:t>: 575-581 [PM</w:t>
      </w:r>
      <w:r w:rsidRPr="00343426">
        <w:rPr>
          <w:rFonts w:ascii="Book Antiqua" w:eastAsia="宋体" w:hAnsi="Book Antiqua" w:cs="宋体"/>
        </w:rPr>
        <w:t>ID: 20051942</w:t>
      </w:r>
      <w:r w:rsidRPr="001475A9">
        <w:rPr>
          <w:rFonts w:ascii="Book Antiqua" w:eastAsia="宋体" w:hAnsi="Book Antiqua" w:cs="宋体"/>
        </w:rPr>
        <w:t>]</w:t>
      </w:r>
    </w:p>
    <w:p w:rsidR="009B7BA6" w:rsidRPr="001475A9" w:rsidRDefault="009B7BA6" w:rsidP="00343426">
      <w:pPr>
        <w:spacing w:line="360" w:lineRule="auto"/>
        <w:jc w:val="both"/>
        <w:rPr>
          <w:rFonts w:ascii="Book Antiqua" w:eastAsia="宋体" w:hAnsi="Book Antiqua" w:cs="宋体"/>
        </w:rPr>
      </w:pPr>
      <w:r w:rsidRPr="001475A9">
        <w:rPr>
          <w:rFonts w:ascii="Book Antiqua" w:eastAsia="宋体" w:hAnsi="Book Antiqua" w:cs="宋体"/>
        </w:rPr>
        <w:t xml:space="preserve">22 </w:t>
      </w:r>
      <w:r w:rsidRPr="001475A9">
        <w:rPr>
          <w:rFonts w:ascii="Book Antiqua" w:eastAsia="宋体" w:hAnsi="Book Antiqua" w:cs="宋体"/>
          <w:b/>
          <w:bCs/>
        </w:rPr>
        <w:t>Domagk D</w:t>
      </w:r>
      <w:r w:rsidRPr="001475A9">
        <w:rPr>
          <w:rFonts w:ascii="Book Antiqua" w:eastAsia="宋体" w:hAnsi="Book Antiqua" w:cs="宋体"/>
        </w:rPr>
        <w:t>, Mensink P, Aktas H, Lenz P, Meister T, Luegering A, Ullerich H, Aabakken L, Heinecke A, Domschke W, Kuipers E, Bretthauer M. Single- vs. double-balloon ente</w:t>
      </w:r>
      <w:r w:rsidRPr="001475A9">
        <w:rPr>
          <w:rFonts w:ascii="Book Antiqua" w:eastAsia="宋体" w:hAnsi="Book Antiqua" w:cs="宋体"/>
        </w:rPr>
        <w:t>r</w:t>
      </w:r>
      <w:r w:rsidRPr="001475A9">
        <w:rPr>
          <w:rFonts w:ascii="Book Antiqua" w:eastAsia="宋体" w:hAnsi="Book Antiqua" w:cs="宋体"/>
        </w:rPr>
        <w:t xml:space="preserve">oscopy in small-bowel diagnostics: a randomized multicenter trial. </w:t>
      </w:r>
      <w:r w:rsidRPr="001475A9">
        <w:rPr>
          <w:rFonts w:ascii="Book Antiqua" w:eastAsia="宋体" w:hAnsi="Book Antiqua" w:cs="宋体"/>
          <w:i/>
          <w:iCs/>
        </w:rPr>
        <w:t>Endoscopy</w:t>
      </w:r>
      <w:r w:rsidRPr="001475A9">
        <w:rPr>
          <w:rFonts w:ascii="Book Antiqua" w:eastAsia="宋体" w:hAnsi="Book Antiqua" w:cs="宋体"/>
        </w:rPr>
        <w:t xml:space="preserve"> 2011; </w:t>
      </w:r>
      <w:r w:rsidRPr="001475A9">
        <w:rPr>
          <w:rFonts w:ascii="Book Antiqua" w:eastAsia="宋体" w:hAnsi="Book Antiqua" w:cs="宋体"/>
          <w:b/>
          <w:bCs/>
        </w:rPr>
        <w:t>43</w:t>
      </w:r>
      <w:r w:rsidRPr="001475A9">
        <w:rPr>
          <w:rFonts w:ascii="Book Antiqua" w:eastAsia="宋体" w:hAnsi="Book Antiqua" w:cs="宋体"/>
        </w:rPr>
        <w:t>: 472-476 [PMID: 21384</w:t>
      </w:r>
      <w:r w:rsidRPr="00343426">
        <w:rPr>
          <w:rFonts w:ascii="Book Antiqua" w:eastAsia="宋体" w:hAnsi="Book Antiqua" w:cs="宋体"/>
        </w:rPr>
        <w:t>320 DOI: 10.1055/s-0030-1256247</w:t>
      </w:r>
      <w:r w:rsidRPr="001475A9">
        <w:rPr>
          <w:rFonts w:ascii="Book Antiqua" w:eastAsia="宋体" w:hAnsi="Book Antiqua" w:cs="宋体"/>
        </w:rPr>
        <w:t>]</w:t>
      </w:r>
    </w:p>
    <w:p w:rsidR="009B7BA6" w:rsidRPr="001475A9" w:rsidRDefault="009B7BA6" w:rsidP="00343426">
      <w:pPr>
        <w:spacing w:line="360" w:lineRule="auto"/>
        <w:jc w:val="both"/>
        <w:rPr>
          <w:rFonts w:ascii="Book Antiqua" w:eastAsia="宋体" w:hAnsi="Book Antiqua" w:cs="宋体"/>
        </w:rPr>
      </w:pPr>
      <w:r w:rsidRPr="001475A9">
        <w:rPr>
          <w:rFonts w:ascii="Book Antiqua" w:eastAsia="宋体" w:hAnsi="Book Antiqua" w:cs="宋体"/>
        </w:rPr>
        <w:t xml:space="preserve">23 </w:t>
      </w:r>
      <w:r w:rsidRPr="001475A9">
        <w:rPr>
          <w:rFonts w:ascii="Book Antiqua" w:eastAsia="宋体" w:hAnsi="Book Antiqua" w:cs="宋体"/>
          <w:b/>
          <w:bCs/>
        </w:rPr>
        <w:t>Takano N</w:t>
      </w:r>
      <w:r w:rsidRPr="001475A9">
        <w:rPr>
          <w:rFonts w:ascii="Book Antiqua" w:eastAsia="宋体" w:hAnsi="Book Antiqua" w:cs="宋体"/>
        </w:rPr>
        <w:t xml:space="preserve">, Yamada A, Watabe H, Togo G, Yamaji Y, Yoshida H, Kawabe T, Omata M, Koike K. Single-balloon versus double-balloon endoscopy for achieving total enteroscopy: a randomized, controlled trial. </w:t>
      </w:r>
      <w:r w:rsidRPr="001475A9">
        <w:rPr>
          <w:rFonts w:ascii="Book Antiqua" w:eastAsia="宋体" w:hAnsi="Book Antiqua" w:cs="宋体"/>
          <w:i/>
          <w:iCs/>
        </w:rPr>
        <w:t>Gastrointest Endosc</w:t>
      </w:r>
      <w:r w:rsidRPr="001475A9">
        <w:rPr>
          <w:rFonts w:ascii="Book Antiqua" w:eastAsia="宋体" w:hAnsi="Book Antiqua" w:cs="宋体"/>
        </w:rPr>
        <w:t xml:space="preserve"> 2011; </w:t>
      </w:r>
      <w:r w:rsidRPr="001475A9">
        <w:rPr>
          <w:rFonts w:ascii="Book Antiqua" w:eastAsia="宋体" w:hAnsi="Book Antiqua" w:cs="宋体"/>
          <w:b/>
          <w:bCs/>
        </w:rPr>
        <w:t>73</w:t>
      </w:r>
      <w:r w:rsidRPr="001475A9">
        <w:rPr>
          <w:rFonts w:ascii="Book Antiqua" w:eastAsia="宋体" w:hAnsi="Book Antiqua" w:cs="宋体"/>
        </w:rPr>
        <w:t>: 734-739 [PMID: 21272875</w:t>
      </w:r>
      <w:r w:rsidRPr="00343426">
        <w:rPr>
          <w:rFonts w:ascii="Book Antiqua" w:eastAsia="宋体" w:hAnsi="Book Antiqua" w:cs="宋体"/>
        </w:rPr>
        <w:t xml:space="preserve"> DOI: 10.1016/j.gie.2010.10.047</w:t>
      </w:r>
      <w:r w:rsidRPr="001475A9">
        <w:rPr>
          <w:rFonts w:ascii="Book Antiqua" w:eastAsia="宋体" w:hAnsi="Book Antiqua" w:cs="宋体"/>
        </w:rPr>
        <w:t>]</w:t>
      </w:r>
    </w:p>
    <w:p w:rsidR="009B7BA6" w:rsidRPr="001475A9" w:rsidRDefault="009B7BA6" w:rsidP="00343426">
      <w:pPr>
        <w:spacing w:line="360" w:lineRule="auto"/>
        <w:jc w:val="both"/>
        <w:rPr>
          <w:rFonts w:ascii="Book Antiqua" w:eastAsia="宋体" w:hAnsi="Book Antiqua" w:cs="宋体"/>
        </w:rPr>
      </w:pPr>
      <w:proofErr w:type="gramStart"/>
      <w:r w:rsidRPr="001475A9">
        <w:rPr>
          <w:rFonts w:ascii="Book Antiqua" w:eastAsia="宋体" w:hAnsi="Book Antiqua" w:cs="宋体"/>
        </w:rPr>
        <w:t xml:space="preserve">24 </w:t>
      </w:r>
      <w:r w:rsidRPr="001475A9">
        <w:rPr>
          <w:rFonts w:ascii="Book Antiqua" w:eastAsia="宋体" w:hAnsi="Book Antiqua" w:cs="宋体"/>
          <w:b/>
          <w:bCs/>
        </w:rPr>
        <w:t>Delvaux M</w:t>
      </w:r>
      <w:r w:rsidRPr="001475A9">
        <w:rPr>
          <w:rFonts w:ascii="Book Antiqua" w:eastAsia="宋体" w:hAnsi="Book Antiqua" w:cs="宋体"/>
        </w:rPr>
        <w:t>, Gay G. International Conference on Capsule and Double-Balloon Endo</w:t>
      </w:r>
      <w:r w:rsidRPr="001475A9">
        <w:rPr>
          <w:rFonts w:ascii="Book Antiqua" w:eastAsia="宋体" w:hAnsi="Book Antiqua" w:cs="宋体"/>
        </w:rPr>
        <w:t>s</w:t>
      </w:r>
      <w:r w:rsidRPr="001475A9">
        <w:rPr>
          <w:rFonts w:ascii="Book Antiqua" w:eastAsia="宋体" w:hAnsi="Book Antiqua" w:cs="宋体"/>
        </w:rPr>
        <w:t>copy (ICCD).</w:t>
      </w:r>
      <w:proofErr w:type="gramEnd"/>
      <w:r w:rsidRPr="001475A9">
        <w:rPr>
          <w:rFonts w:ascii="Book Antiqua" w:eastAsia="宋体" w:hAnsi="Book Antiqua" w:cs="宋体"/>
        </w:rPr>
        <w:t xml:space="preserve"> Paris, 27-28 August 2010. </w:t>
      </w:r>
      <w:r w:rsidRPr="001475A9">
        <w:rPr>
          <w:rFonts w:ascii="Book Antiqua" w:eastAsia="宋体" w:hAnsi="Book Antiqua" w:cs="宋体"/>
          <w:i/>
          <w:iCs/>
        </w:rPr>
        <w:t>Endoscopy</w:t>
      </w:r>
      <w:r w:rsidRPr="001475A9">
        <w:rPr>
          <w:rFonts w:ascii="Book Antiqua" w:eastAsia="宋体" w:hAnsi="Book Antiqua" w:cs="宋体"/>
        </w:rPr>
        <w:t xml:space="preserve"> 2011; </w:t>
      </w:r>
      <w:r w:rsidRPr="001475A9">
        <w:rPr>
          <w:rFonts w:ascii="Book Antiqua" w:eastAsia="宋体" w:hAnsi="Book Antiqua" w:cs="宋体"/>
          <w:b/>
          <w:bCs/>
        </w:rPr>
        <w:t>43</w:t>
      </w:r>
      <w:r w:rsidRPr="001475A9">
        <w:rPr>
          <w:rFonts w:ascii="Book Antiqua" w:eastAsia="宋体" w:hAnsi="Book Antiqua" w:cs="宋体"/>
        </w:rPr>
        <w:t>: 533-539 [PMID: 21425</w:t>
      </w:r>
      <w:r w:rsidRPr="00343426">
        <w:rPr>
          <w:rFonts w:ascii="Book Antiqua" w:eastAsia="宋体" w:hAnsi="Book Antiqua" w:cs="宋体"/>
        </w:rPr>
        <w:t>038 DOI: 10.1055/s-0030-1256248</w:t>
      </w:r>
      <w:r w:rsidRPr="001475A9">
        <w:rPr>
          <w:rFonts w:ascii="Book Antiqua" w:eastAsia="宋体" w:hAnsi="Book Antiqua" w:cs="宋体"/>
        </w:rPr>
        <w:t>]</w:t>
      </w:r>
    </w:p>
    <w:p w:rsidR="009B7BA6" w:rsidRPr="001475A9" w:rsidRDefault="009B7BA6" w:rsidP="00343426">
      <w:pPr>
        <w:spacing w:line="360" w:lineRule="auto"/>
        <w:jc w:val="both"/>
        <w:rPr>
          <w:rFonts w:ascii="Book Antiqua" w:eastAsia="宋体" w:hAnsi="Book Antiqua" w:cs="宋体"/>
        </w:rPr>
      </w:pPr>
      <w:r w:rsidRPr="001475A9">
        <w:rPr>
          <w:rFonts w:ascii="Book Antiqua" w:eastAsia="宋体" w:hAnsi="Book Antiqua" w:cs="宋体"/>
        </w:rPr>
        <w:t xml:space="preserve">25 </w:t>
      </w:r>
      <w:r w:rsidRPr="001475A9">
        <w:rPr>
          <w:rFonts w:ascii="Book Antiqua" w:eastAsia="宋体" w:hAnsi="Book Antiqua" w:cs="宋体"/>
          <w:b/>
          <w:bCs/>
        </w:rPr>
        <w:t>Domagk D</w:t>
      </w:r>
      <w:r w:rsidRPr="001475A9">
        <w:rPr>
          <w:rFonts w:ascii="Book Antiqua" w:eastAsia="宋体" w:hAnsi="Book Antiqua" w:cs="宋体"/>
        </w:rPr>
        <w:t xml:space="preserve">, Bretthauer M, Lenz P, Aabakken L, Ullerich H, Maaser C, Domschke W, Kucharzik T. Carbon dioxide insufflation improves intubation depth in double-balloon enteroscopy: a randomized, controlled, double-blind trial. </w:t>
      </w:r>
      <w:r w:rsidRPr="001475A9">
        <w:rPr>
          <w:rFonts w:ascii="Book Antiqua" w:eastAsia="宋体" w:hAnsi="Book Antiqua" w:cs="宋体"/>
          <w:i/>
          <w:iCs/>
        </w:rPr>
        <w:t>Endoscopy</w:t>
      </w:r>
      <w:r w:rsidRPr="001475A9">
        <w:rPr>
          <w:rFonts w:ascii="Book Antiqua" w:eastAsia="宋体" w:hAnsi="Book Antiqua" w:cs="宋体"/>
        </w:rPr>
        <w:t xml:space="preserve"> 2007; </w:t>
      </w:r>
      <w:r w:rsidRPr="001475A9">
        <w:rPr>
          <w:rFonts w:ascii="Book Antiqua" w:eastAsia="宋体" w:hAnsi="Book Antiqua" w:cs="宋体"/>
          <w:b/>
          <w:bCs/>
        </w:rPr>
        <w:t>39</w:t>
      </w:r>
      <w:r w:rsidRPr="001475A9">
        <w:rPr>
          <w:rFonts w:ascii="Book Antiqua" w:eastAsia="宋体" w:hAnsi="Book Antiqua" w:cs="宋体"/>
        </w:rPr>
        <w:t>: 1064-1067 [PMID: 1807</w:t>
      </w:r>
      <w:r w:rsidRPr="00343426">
        <w:rPr>
          <w:rFonts w:ascii="Book Antiqua" w:eastAsia="宋体" w:hAnsi="Book Antiqua" w:cs="宋体"/>
        </w:rPr>
        <w:t>2057 DOI: 10.1055/s-2007-966990</w:t>
      </w:r>
      <w:r w:rsidRPr="001475A9">
        <w:rPr>
          <w:rFonts w:ascii="Book Antiqua" w:eastAsia="宋体" w:hAnsi="Book Antiqua" w:cs="宋体"/>
        </w:rPr>
        <w:t>]</w:t>
      </w:r>
    </w:p>
    <w:p w:rsidR="009B7BA6" w:rsidRDefault="009B7BA6" w:rsidP="00343426">
      <w:pPr>
        <w:pStyle w:val="TextBody"/>
        <w:spacing w:after="0" w:line="360" w:lineRule="auto"/>
        <w:jc w:val="both"/>
        <w:rPr>
          <w:rFonts w:ascii="Book Antiqua" w:eastAsia="宋体" w:hAnsi="Book Antiqua" w:cs="宋体"/>
          <w:kern w:val="0"/>
        </w:rPr>
      </w:pPr>
      <w:r w:rsidRPr="001475A9">
        <w:rPr>
          <w:rFonts w:ascii="Book Antiqua" w:eastAsia="宋体" w:hAnsi="Book Antiqua" w:cs="宋体"/>
          <w:kern w:val="0"/>
        </w:rPr>
        <w:t xml:space="preserve">26 </w:t>
      </w:r>
      <w:r w:rsidRPr="001475A9">
        <w:rPr>
          <w:rFonts w:ascii="Book Antiqua" w:eastAsia="宋体" w:hAnsi="Book Antiqua" w:cs="宋体"/>
          <w:b/>
          <w:bCs/>
          <w:kern w:val="0"/>
        </w:rPr>
        <w:t>Hirai F</w:t>
      </w:r>
      <w:r w:rsidRPr="001475A9">
        <w:rPr>
          <w:rFonts w:ascii="Book Antiqua" w:eastAsia="宋体" w:hAnsi="Book Antiqua" w:cs="宋体"/>
          <w:kern w:val="0"/>
        </w:rPr>
        <w:t xml:space="preserve">, Beppu T, Nishimura T, Takatsu N, Ashizuka S, Seki T, Hisabe T, Nagahama T, Yao K, Matsui T, Beppu T, Nakashima R, Inada N, Tajiri E, Mitsuru H, Shigematsu H. Carbon dioxide insufflation compared with air insufflation in double-balloon enteroscopy: a prospective, randomized, double-blind trial. </w:t>
      </w:r>
      <w:r w:rsidRPr="001475A9">
        <w:rPr>
          <w:rFonts w:ascii="Book Antiqua" w:eastAsia="宋体" w:hAnsi="Book Antiqua" w:cs="宋体"/>
          <w:i/>
          <w:iCs/>
          <w:kern w:val="0"/>
        </w:rPr>
        <w:t>Gastrointest Endosc</w:t>
      </w:r>
      <w:r w:rsidRPr="001475A9">
        <w:rPr>
          <w:rFonts w:ascii="Book Antiqua" w:eastAsia="宋体" w:hAnsi="Book Antiqua" w:cs="宋体"/>
          <w:kern w:val="0"/>
        </w:rPr>
        <w:t xml:space="preserve"> 2011; </w:t>
      </w:r>
      <w:r w:rsidRPr="001475A9">
        <w:rPr>
          <w:rFonts w:ascii="Book Antiqua" w:eastAsia="宋体" w:hAnsi="Book Antiqua" w:cs="宋体"/>
          <w:b/>
          <w:bCs/>
          <w:kern w:val="0"/>
        </w:rPr>
        <w:t>73</w:t>
      </w:r>
      <w:r w:rsidRPr="001475A9">
        <w:rPr>
          <w:rFonts w:ascii="Book Antiqua" w:eastAsia="宋体" w:hAnsi="Book Antiqua" w:cs="宋体"/>
          <w:kern w:val="0"/>
        </w:rPr>
        <w:t>: 743-749 [PMID: 21237455</w:t>
      </w:r>
      <w:r w:rsidRPr="00343426">
        <w:rPr>
          <w:rFonts w:ascii="Book Antiqua" w:eastAsia="宋体" w:hAnsi="Book Antiqua" w:cs="宋体"/>
          <w:kern w:val="0"/>
        </w:rPr>
        <w:t xml:space="preserve"> DOI: 10.1016/j.gie.2010.10.003</w:t>
      </w:r>
      <w:r w:rsidRPr="001475A9">
        <w:rPr>
          <w:rFonts w:ascii="Book Antiqua" w:eastAsia="宋体" w:hAnsi="Book Antiqua" w:cs="宋体"/>
          <w:kern w:val="0"/>
        </w:rPr>
        <w:t>]</w:t>
      </w:r>
    </w:p>
    <w:p w:rsidR="00343426" w:rsidRPr="006B3D6C" w:rsidRDefault="00343426" w:rsidP="00343426">
      <w:pPr>
        <w:wordWrap w:val="0"/>
        <w:adjustRightInd w:val="0"/>
        <w:snapToGrid w:val="0"/>
        <w:spacing w:line="360" w:lineRule="auto"/>
        <w:ind w:right="239"/>
        <w:jc w:val="right"/>
        <w:rPr>
          <w:rFonts w:ascii="Book Antiqua" w:hAnsi="Book Antiqua"/>
          <w:b/>
          <w:bCs/>
          <w:lang w:val="en-GB"/>
        </w:rPr>
      </w:pPr>
      <w:r w:rsidRPr="006B3D6C">
        <w:rPr>
          <w:rStyle w:val="Strong"/>
          <w:rFonts w:ascii="Book Antiqua" w:hAnsi="Book Antiqua" w:cs="Arial"/>
          <w:noProof/>
          <w:lang w:val="en-GB"/>
        </w:rPr>
        <w:t>P-Reviewer:</w:t>
      </w:r>
      <w:r w:rsidRPr="006B3D6C">
        <w:rPr>
          <w:rFonts w:ascii="Book Antiqua" w:hAnsi="Book Antiqua" w:hint="eastAsia"/>
          <w:lang w:val="en-GB"/>
        </w:rPr>
        <w:t xml:space="preserve"> </w:t>
      </w:r>
      <w:r w:rsidRPr="00343426">
        <w:rPr>
          <w:rFonts w:ascii="Book Antiqua" w:hAnsi="Book Antiqua"/>
          <w:lang w:val="en-GB"/>
        </w:rPr>
        <w:t>Botaitis</w:t>
      </w:r>
      <w:r>
        <w:rPr>
          <w:rFonts w:ascii="Book Antiqua" w:eastAsiaTheme="minorEastAsia" w:hAnsi="Book Antiqua" w:hint="eastAsia"/>
          <w:lang w:val="en-GB" w:eastAsia="zh-CN"/>
        </w:rPr>
        <w:t xml:space="preserve"> </w:t>
      </w:r>
      <w:r w:rsidRPr="00343426">
        <w:rPr>
          <w:rFonts w:ascii="Book Antiqua" w:hAnsi="Book Antiqua"/>
          <w:lang w:val="en-GB"/>
        </w:rPr>
        <w:t>SC</w:t>
      </w:r>
      <w:r>
        <w:rPr>
          <w:rFonts w:ascii="Book Antiqua" w:eastAsiaTheme="minorEastAsia" w:hAnsi="Book Antiqua" w:hint="eastAsia"/>
          <w:lang w:val="en-GB" w:eastAsia="zh-CN"/>
        </w:rPr>
        <w:t>,</w:t>
      </w:r>
      <w:r w:rsidRPr="00343426">
        <w:t xml:space="preserve"> </w:t>
      </w:r>
      <w:r w:rsidRPr="00343426">
        <w:rPr>
          <w:rFonts w:ascii="Book Antiqua" w:eastAsiaTheme="minorEastAsia" w:hAnsi="Book Antiqua"/>
          <w:lang w:val="en-GB" w:eastAsia="zh-CN"/>
        </w:rPr>
        <w:t>Chow WK</w:t>
      </w:r>
      <w:r w:rsidRPr="006B3D6C">
        <w:rPr>
          <w:rFonts w:ascii="Book Antiqua" w:hAnsi="Book Antiqua" w:hint="eastAsia"/>
          <w:lang w:val="en-GB" w:eastAsia="zh-CN"/>
        </w:rPr>
        <w:t xml:space="preserve">, </w:t>
      </w:r>
      <w:r>
        <w:rPr>
          <w:rFonts w:ascii="Book Antiqua" w:hAnsi="Book Antiqua"/>
          <w:lang w:val="en-GB" w:eastAsia="zh-CN"/>
        </w:rPr>
        <w:t>Wang</w:t>
      </w:r>
      <w:r w:rsidRPr="00343426">
        <w:rPr>
          <w:rFonts w:ascii="Book Antiqua" w:hAnsi="Book Antiqua"/>
          <w:lang w:val="en-GB" w:eastAsia="zh-CN"/>
        </w:rPr>
        <w:t xml:space="preserve"> DR</w:t>
      </w:r>
      <w:r w:rsidRPr="006B3D6C">
        <w:rPr>
          <w:rFonts w:ascii="Book Antiqua" w:hAnsi="Book Antiqua" w:hint="eastAsia"/>
          <w:bCs/>
          <w:lang w:val="en-GB"/>
        </w:rPr>
        <w:t xml:space="preserve"> </w:t>
      </w:r>
      <w:r w:rsidRPr="006B3D6C">
        <w:rPr>
          <w:rFonts w:ascii="Book Antiqua" w:hAnsi="Book Antiqua"/>
          <w:b/>
          <w:bCs/>
          <w:lang w:val="en-GB"/>
        </w:rPr>
        <w:t>S-Editor:</w:t>
      </w:r>
      <w:r w:rsidRPr="006B3D6C">
        <w:rPr>
          <w:rFonts w:ascii="Book Antiqua" w:hAnsi="Book Antiqua"/>
          <w:bCs/>
          <w:lang w:val="en-GB"/>
        </w:rPr>
        <w:t xml:space="preserve"> Tian YL</w:t>
      </w:r>
    </w:p>
    <w:p w:rsidR="00343426" w:rsidRPr="0044675C" w:rsidRDefault="00343426" w:rsidP="00343426">
      <w:pPr>
        <w:adjustRightInd w:val="0"/>
        <w:snapToGrid w:val="0"/>
        <w:spacing w:line="360" w:lineRule="auto"/>
        <w:ind w:right="239"/>
        <w:jc w:val="right"/>
        <w:rPr>
          <w:rFonts w:ascii="Book Antiqua" w:hAnsi="Book Antiqua"/>
          <w:bCs/>
        </w:rPr>
      </w:pPr>
      <w:r w:rsidRPr="008D7BB3">
        <w:rPr>
          <w:rFonts w:ascii="Book Antiqua" w:hAnsi="Book Antiqua"/>
          <w:b/>
          <w:bCs/>
        </w:rPr>
        <w:t>L-Editor:   E-Editor:</w:t>
      </w:r>
    </w:p>
    <w:p w:rsidR="00343426" w:rsidRPr="00343426" w:rsidRDefault="00343426" w:rsidP="00343426">
      <w:pPr>
        <w:pStyle w:val="TextBody"/>
        <w:spacing w:after="0" w:line="360" w:lineRule="auto"/>
        <w:jc w:val="both"/>
        <w:rPr>
          <w:rFonts w:ascii="Book Antiqua" w:eastAsia="宋体" w:hAnsi="Book Antiqua" w:cs="宋体"/>
          <w:kern w:val="0"/>
        </w:rPr>
      </w:pPr>
    </w:p>
    <w:p w:rsidR="009B7BA6" w:rsidRPr="00343426" w:rsidRDefault="009B7BA6" w:rsidP="00343426">
      <w:pPr>
        <w:spacing w:line="360" w:lineRule="auto"/>
        <w:jc w:val="both"/>
        <w:rPr>
          <w:rFonts w:ascii="Book Antiqua" w:eastAsia="宋体" w:hAnsi="Book Antiqua" w:cs="宋体"/>
          <w:lang w:eastAsia="zh-CN"/>
        </w:rPr>
      </w:pPr>
      <w:r w:rsidRPr="00343426">
        <w:rPr>
          <w:rFonts w:ascii="Book Antiqua" w:eastAsia="宋体" w:hAnsi="Book Antiqua" w:cs="宋体"/>
        </w:rPr>
        <w:br w:type="page"/>
      </w:r>
    </w:p>
    <w:p w:rsidR="00657B4D" w:rsidRPr="00343426" w:rsidRDefault="00657B4D" w:rsidP="00343426">
      <w:pPr>
        <w:pStyle w:val="TextBody"/>
        <w:spacing w:after="0" w:line="360" w:lineRule="auto"/>
        <w:jc w:val="both"/>
        <w:rPr>
          <w:rFonts w:ascii="Book Antiqua" w:hAnsi="Book Antiqua" w:cs="Book Antiqua"/>
          <w:b/>
        </w:rPr>
      </w:pPr>
    </w:p>
    <w:p w:rsidR="00CF108B" w:rsidRPr="00343426" w:rsidRDefault="00CF108B" w:rsidP="00343426">
      <w:pPr>
        <w:pStyle w:val="TextBody"/>
        <w:spacing w:after="0" w:line="360" w:lineRule="auto"/>
        <w:jc w:val="both"/>
        <w:rPr>
          <w:rFonts w:ascii="Book Antiqua" w:hAnsi="Book Antiqua" w:cs="Book Antiqua"/>
          <w:b/>
        </w:rPr>
      </w:pPr>
      <w:r w:rsidRPr="00343426">
        <w:rPr>
          <w:rFonts w:ascii="Book Antiqua" w:hAnsi="Book Antiqua"/>
          <w:noProof/>
          <w:lang w:eastAsia="en-US"/>
        </w:rPr>
        <w:drawing>
          <wp:inline distT="0" distB="0" distL="0" distR="0" wp14:anchorId="41A12A53" wp14:editId="5EE189E4">
            <wp:extent cx="5486400" cy="270637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486400" cy="2706370"/>
                    </a:xfrm>
                    <a:prstGeom prst="rect">
                      <a:avLst/>
                    </a:prstGeom>
                  </pic:spPr>
                </pic:pic>
              </a:graphicData>
            </a:graphic>
          </wp:inline>
        </w:drawing>
      </w:r>
    </w:p>
    <w:p w:rsidR="00657B4D" w:rsidRPr="00343426" w:rsidRDefault="00CF108B" w:rsidP="00343426">
      <w:pPr>
        <w:pStyle w:val="TextBody"/>
        <w:spacing w:after="0" w:line="360" w:lineRule="auto"/>
        <w:jc w:val="both"/>
        <w:rPr>
          <w:rFonts w:ascii="Book Antiqua" w:hAnsi="Book Antiqua" w:cs="Book Antiqua"/>
          <w:b/>
        </w:rPr>
      </w:pPr>
      <w:r w:rsidRPr="00343426">
        <w:rPr>
          <w:rFonts w:ascii="Book Antiqua" w:eastAsia="Book Antiqua" w:hAnsi="Book Antiqua" w:cs="Book Antiqua"/>
          <w:b/>
        </w:rPr>
        <w:t>Figure 1</w:t>
      </w:r>
      <w:r w:rsidR="00657B4D" w:rsidRPr="00343426">
        <w:rPr>
          <w:rFonts w:ascii="Book Antiqua" w:eastAsia="Book Antiqua" w:hAnsi="Book Antiqua" w:cs="Book Antiqua"/>
          <w:b/>
        </w:rPr>
        <w:t xml:space="preserve"> Double balloon system, the tip and overtube</w:t>
      </w:r>
      <w:r w:rsidRPr="00343426">
        <w:rPr>
          <w:rFonts w:ascii="Book Antiqua" w:hAnsi="Book Antiqua" w:cs="Book Antiqua"/>
          <w:b/>
        </w:rPr>
        <w:t>.</w:t>
      </w:r>
    </w:p>
    <w:p w:rsidR="00CF108B" w:rsidRPr="00343426" w:rsidRDefault="00CF108B" w:rsidP="00343426">
      <w:pPr>
        <w:pStyle w:val="TextBody"/>
        <w:spacing w:after="0" w:line="360" w:lineRule="auto"/>
        <w:jc w:val="both"/>
        <w:rPr>
          <w:rFonts w:ascii="Book Antiqua" w:hAnsi="Book Antiqua" w:cs="Book Antiqua"/>
          <w:b/>
        </w:rPr>
      </w:pPr>
      <w:r w:rsidRPr="00343426">
        <w:rPr>
          <w:rFonts w:ascii="Book Antiqua" w:hAnsi="Book Antiqua"/>
          <w:noProof/>
          <w:lang w:eastAsia="en-US"/>
        </w:rPr>
        <w:drawing>
          <wp:inline distT="0" distB="0" distL="0" distR="0" wp14:anchorId="0D73E492" wp14:editId="3214685E">
            <wp:extent cx="4418602" cy="2763672"/>
            <wp:effectExtent l="0" t="0" r="127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418602" cy="2763672"/>
                    </a:xfrm>
                    <a:prstGeom prst="rect">
                      <a:avLst/>
                    </a:prstGeom>
                  </pic:spPr>
                </pic:pic>
              </a:graphicData>
            </a:graphic>
          </wp:inline>
        </w:drawing>
      </w:r>
    </w:p>
    <w:p w:rsidR="00657B4D" w:rsidRPr="00343426" w:rsidRDefault="00CF108B" w:rsidP="00343426">
      <w:pPr>
        <w:pStyle w:val="TextBody"/>
        <w:spacing w:after="0" w:line="360" w:lineRule="auto"/>
        <w:jc w:val="both"/>
        <w:rPr>
          <w:rFonts w:ascii="Book Antiqua" w:hAnsi="Book Antiqua" w:cs="Book Antiqua"/>
        </w:rPr>
      </w:pPr>
      <w:r w:rsidRPr="00343426">
        <w:rPr>
          <w:rFonts w:ascii="Book Antiqua" w:eastAsia="Book Antiqua" w:hAnsi="Book Antiqua" w:cs="Book Antiqua"/>
          <w:b/>
        </w:rPr>
        <w:t>Figure 2</w:t>
      </w:r>
      <w:r w:rsidR="00DE2717" w:rsidRPr="00343426">
        <w:rPr>
          <w:rFonts w:ascii="Book Antiqua" w:eastAsia="Book Antiqua" w:hAnsi="Book Antiqua" w:cs="Book Antiqua"/>
          <w:b/>
        </w:rPr>
        <w:t xml:space="preserve"> </w:t>
      </w:r>
      <w:r w:rsidR="00657B4D" w:rsidRPr="00343426">
        <w:rPr>
          <w:rFonts w:ascii="Book Antiqua" w:eastAsia="Book Antiqua" w:hAnsi="Book Antiqua" w:cs="Book Antiqua"/>
          <w:b/>
        </w:rPr>
        <w:t xml:space="preserve">Algorithm for suspected </w:t>
      </w:r>
      <w:r w:rsidR="00C46547" w:rsidRPr="00343426">
        <w:rPr>
          <w:rFonts w:ascii="Book Antiqua" w:eastAsia="Book Antiqua" w:hAnsi="Book Antiqua" w:cs="Book Antiqua"/>
          <w:b/>
        </w:rPr>
        <w:t xml:space="preserve">occult </w:t>
      </w:r>
      <w:r w:rsidR="00657B4D" w:rsidRPr="00343426">
        <w:rPr>
          <w:rFonts w:ascii="Book Antiqua" w:eastAsia="Book Antiqua" w:hAnsi="Book Antiqua" w:cs="Book Antiqua"/>
          <w:b/>
        </w:rPr>
        <w:t xml:space="preserve">GI </w:t>
      </w:r>
      <w:r w:rsidR="00C46547" w:rsidRPr="00343426">
        <w:rPr>
          <w:rFonts w:ascii="Book Antiqua" w:eastAsia="Book Antiqua" w:hAnsi="Book Antiqua" w:cs="Book Antiqua"/>
          <w:b/>
        </w:rPr>
        <w:t>bleeding</w:t>
      </w:r>
      <w:r w:rsidR="00657B4D" w:rsidRPr="00343426">
        <w:rPr>
          <w:rFonts w:ascii="Book Antiqua" w:eastAsia="Book Antiqua" w:hAnsi="Book Antiqua" w:cs="Book Antiqua"/>
          <w:b/>
        </w:rPr>
        <w:t>. Radiological imaging or VCE can be used for initial addressing the focus and enteroscopy (suitable route and modality) can be used for definitive diagnosis and therapeutic intervention</w:t>
      </w:r>
      <w:r w:rsidRPr="00343426">
        <w:rPr>
          <w:rFonts w:ascii="Book Antiqua" w:hAnsi="Book Antiqua" w:cs="Book Antiqua"/>
          <w:b/>
        </w:rPr>
        <w:t>.</w:t>
      </w:r>
      <w:r w:rsidRPr="00343426">
        <w:rPr>
          <w:rFonts w:ascii="Book Antiqua" w:hAnsi="Book Antiqua" w:cs="Book Antiqua"/>
        </w:rPr>
        <w:t xml:space="preserve"> GI: </w:t>
      </w:r>
      <w:r w:rsidRPr="00343426">
        <w:rPr>
          <w:rFonts w:ascii="Book Antiqua" w:hAnsi="Book Antiqua"/>
          <w:kern w:val="0"/>
        </w:rPr>
        <w:t xml:space="preserve">Gastrointestinal; </w:t>
      </w:r>
      <w:r w:rsidRPr="00343426">
        <w:rPr>
          <w:rFonts w:ascii="Book Antiqua" w:eastAsia="Book Antiqua" w:hAnsi="Book Antiqua" w:cs="Book Antiqua"/>
        </w:rPr>
        <w:t>VCE</w:t>
      </w:r>
      <w:r w:rsidRPr="00343426">
        <w:rPr>
          <w:rFonts w:ascii="Book Antiqua" w:hAnsi="Book Antiqua" w:cs="Book Antiqua"/>
        </w:rPr>
        <w:t xml:space="preserve">: </w:t>
      </w:r>
      <w:r w:rsidRPr="00343426">
        <w:rPr>
          <w:rFonts w:ascii="Book Antiqua" w:hAnsi="Book Antiqua"/>
        </w:rPr>
        <w:t>Video capsule endoscopy; MR: Magnetic resonance.</w:t>
      </w:r>
    </w:p>
    <w:p w:rsidR="00657B4D" w:rsidRPr="00343426" w:rsidRDefault="00C46547" w:rsidP="00343426">
      <w:pPr>
        <w:pStyle w:val="TextBody"/>
        <w:spacing w:after="0" w:line="360" w:lineRule="auto"/>
        <w:jc w:val="both"/>
        <w:rPr>
          <w:rFonts w:ascii="Book Antiqua" w:eastAsia="Book Antiqua" w:hAnsi="Book Antiqua" w:cs="Book Antiqua"/>
        </w:rPr>
      </w:pPr>
      <w:r w:rsidRPr="00343426">
        <w:rPr>
          <w:rFonts w:ascii="Book Antiqua" w:hAnsi="Book Antiqua"/>
          <w:noProof/>
          <w:lang w:eastAsia="en-US"/>
        </w:rPr>
        <w:drawing>
          <wp:inline distT="0" distB="0" distL="0" distR="0" wp14:anchorId="53F4A1E2" wp14:editId="6AF33CBB">
            <wp:extent cx="5486400" cy="3291840"/>
            <wp:effectExtent l="0" t="0" r="0" b="381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486400" cy="3291840"/>
                    </a:xfrm>
                    <a:prstGeom prst="rect">
                      <a:avLst/>
                    </a:prstGeom>
                  </pic:spPr>
                </pic:pic>
              </a:graphicData>
            </a:graphic>
          </wp:inline>
        </w:drawing>
      </w:r>
    </w:p>
    <w:p w:rsidR="00657B4D" w:rsidRPr="00343426" w:rsidRDefault="00CF108B" w:rsidP="00343426">
      <w:pPr>
        <w:pStyle w:val="TextBody"/>
        <w:spacing w:after="0" w:line="360" w:lineRule="auto"/>
        <w:jc w:val="both"/>
        <w:rPr>
          <w:rFonts w:ascii="Book Antiqua" w:hAnsi="Book Antiqua" w:cs="Book Antiqua"/>
        </w:rPr>
      </w:pPr>
      <w:r w:rsidRPr="00343426">
        <w:rPr>
          <w:rFonts w:ascii="Book Antiqua" w:eastAsia="Book Antiqua" w:hAnsi="Book Antiqua" w:cs="Book Antiqua"/>
          <w:b/>
        </w:rPr>
        <w:t>Figure 3</w:t>
      </w:r>
      <w:r w:rsidR="00C46547" w:rsidRPr="00343426">
        <w:rPr>
          <w:rFonts w:ascii="Book Antiqua" w:eastAsia="Book Antiqua" w:hAnsi="Book Antiqua" w:cs="Book Antiqua"/>
          <w:b/>
        </w:rPr>
        <w:t xml:space="preserve"> </w:t>
      </w:r>
      <w:r w:rsidR="00CC215B" w:rsidRPr="00343426">
        <w:rPr>
          <w:rFonts w:ascii="Book Antiqua" w:hAnsi="Book Antiqua"/>
          <w:b/>
          <w:kern w:val="0"/>
        </w:rPr>
        <w:t>Double ballon enteroscopy.</w:t>
      </w:r>
      <w:r w:rsidR="00CC215B" w:rsidRPr="00343426">
        <w:rPr>
          <w:rFonts w:ascii="Book Antiqua" w:hAnsi="Book Antiqua" w:cs="Book Antiqua"/>
        </w:rPr>
        <w:t xml:space="preserve"> </w:t>
      </w:r>
      <w:r w:rsidR="00C46547" w:rsidRPr="00343426">
        <w:rPr>
          <w:rFonts w:ascii="Book Antiqua" w:hAnsi="Book Antiqua" w:cs="Book Antiqua"/>
        </w:rPr>
        <w:t>A:</w:t>
      </w:r>
      <w:r w:rsidR="00657B4D" w:rsidRPr="00343426">
        <w:rPr>
          <w:rFonts w:ascii="Book Antiqua" w:eastAsia="Book Antiqua" w:hAnsi="Book Antiqua" w:cs="Book Antiqua"/>
        </w:rPr>
        <w:t xml:space="preserve"> Endoscopic appearance of an angioectasia in mid jejunum</w:t>
      </w:r>
      <w:r w:rsidR="00C46547" w:rsidRPr="00343426">
        <w:rPr>
          <w:rFonts w:ascii="Book Antiqua" w:hAnsi="Book Antiqua" w:cs="Book Antiqua"/>
        </w:rPr>
        <w:t>;</w:t>
      </w:r>
      <w:r w:rsidR="00657B4D" w:rsidRPr="00343426">
        <w:rPr>
          <w:rFonts w:ascii="Book Antiqua" w:eastAsia="Book Antiqua" w:hAnsi="Book Antiqua" w:cs="Book Antiqua"/>
        </w:rPr>
        <w:t xml:space="preserve"> </w:t>
      </w:r>
      <w:r w:rsidR="00C46547" w:rsidRPr="00343426">
        <w:rPr>
          <w:rFonts w:ascii="Book Antiqua" w:eastAsia="Book Antiqua" w:hAnsi="Book Antiqua" w:cs="Book Antiqua"/>
        </w:rPr>
        <w:t>B</w:t>
      </w:r>
      <w:r w:rsidR="00C46547" w:rsidRPr="00343426">
        <w:rPr>
          <w:rFonts w:ascii="Book Antiqua" w:hAnsi="Book Antiqua" w:cs="Book Antiqua"/>
        </w:rPr>
        <w:t>:</w:t>
      </w:r>
      <w:r w:rsidR="00657B4D" w:rsidRPr="00343426">
        <w:rPr>
          <w:rFonts w:ascii="Book Antiqua" w:eastAsia="Book Antiqua" w:hAnsi="Book Antiqua" w:cs="Book Antiqua"/>
        </w:rPr>
        <w:t xml:space="preserve"> Eradication of angioectasia with </w:t>
      </w:r>
      <w:r w:rsidR="00C46547" w:rsidRPr="00343426">
        <w:rPr>
          <w:rFonts w:ascii="Book Antiqua" w:eastAsia="Book Antiqua" w:hAnsi="Book Antiqua" w:cs="Book Antiqua"/>
        </w:rPr>
        <w:t xml:space="preserve">Argon Plasma Coagulation </w:t>
      </w:r>
      <w:r w:rsidR="00657B4D" w:rsidRPr="00343426">
        <w:rPr>
          <w:rFonts w:ascii="Book Antiqua" w:eastAsia="Book Antiqua" w:hAnsi="Book Antiqua" w:cs="Book Antiqua"/>
        </w:rPr>
        <w:t>application</w:t>
      </w:r>
      <w:r w:rsidR="00C46547" w:rsidRPr="00343426">
        <w:rPr>
          <w:rFonts w:ascii="Book Antiqua" w:hAnsi="Book Antiqua" w:cs="Book Antiqua"/>
        </w:rPr>
        <w:t>.</w:t>
      </w:r>
    </w:p>
    <w:p w:rsidR="00657B4D" w:rsidRPr="00343426" w:rsidRDefault="00C46547" w:rsidP="00343426">
      <w:pPr>
        <w:pStyle w:val="TextBody"/>
        <w:spacing w:after="0" w:line="360" w:lineRule="auto"/>
        <w:jc w:val="both"/>
        <w:rPr>
          <w:rFonts w:ascii="Book Antiqua" w:eastAsia="Book Antiqua" w:hAnsi="Book Antiqua" w:cs="Book Antiqua"/>
        </w:rPr>
      </w:pPr>
      <w:r w:rsidRPr="00343426">
        <w:rPr>
          <w:rFonts w:ascii="Book Antiqua" w:hAnsi="Book Antiqua"/>
          <w:noProof/>
          <w:lang w:eastAsia="en-US"/>
        </w:rPr>
        <w:drawing>
          <wp:inline distT="0" distB="0" distL="0" distR="0" wp14:anchorId="106DC5C7" wp14:editId="5E490FB9">
            <wp:extent cx="3643953" cy="3243447"/>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642483" cy="3242139"/>
                    </a:xfrm>
                    <a:prstGeom prst="rect">
                      <a:avLst/>
                    </a:prstGeom>
                  </pic:spPr>
                </pic:pic>
              </a:graphicData>
            </a:graphic>
          </wp:inline>
        </w:drawing>
      </w:r>
    </w:p>
    <w:p w:rsidR="00657B4D" w:rsidRPr="00343426" w:rsidRDefault="00C46547" w:rsidP="00343426">
      <w:pPr>
        <w:pStyle w:val="TextBody"/>
        <w:spacing w:after="0" w:line="360" w:lineRule="auto"/>
        <w:jc w:val="both"/>
        <w:rPr>
          <w:rFonts w:ascii="Book Antiqua" w:hAnsi="Book Antiqua" w:cs="Book Antiqua"/>
          <w:b/>
        </w:rPr>
      </w:pPr>
      <w:r w:rsidRPr="00343426">
        <w:rPr>
          <w:rFonts w:ascii="Book Antiqua" w:eastAsia="Book Antiqua" w:hAnsi="Book Antiqua" w:cs="Book Antiqua"/>
          <w:b/>
        </w:rPr>
        <w:t>Figure 4</w:t>
      </w:r>
      <w:r w:rsidR="00657B4D" w:rsidRPr="00343426">
        <w:rPr>
          <w:rFonts w:ascii="Book Antiqua" w:eastAsia="Book Antiqua" w:hAnsi="Book Antiqua" w:cs="Book Antiqua"/>
          <w:b/>
        </w:rPr>
        <w:t xml:space="preserve"> Jejunal polyp of Peutz-Jeghers </w:t>
      </w:r>
      <w:r w:rsidRPr="00343426">
        <w:rPr>
          <w:rFonts w:ascii="Book Antiqua" w:eastAsia="Book Antiqua" w:hAnsi="Book Antiqua" w:cs="Book Antiqua"/>
          <w:b/>
        </w:rPr>
        <w:t>syndrome</w:t>
      </w:r>
      <w:r w:rsidRPr="00343426">
        <w:rPr>
          <w:rFonts w:ascii="Book Antiqua" w:hAnsi="Book Antiqua" w:cs="Book Antiqua"/>
          <w:b/>
        </w:rPr>
        <w:t>.</w:t>
      </w:r>
    </w:p>
    <w:p w:rsidR="00657B4D" w:rsidRPr="00343426" w:rsidRDefault="00C46547" w:rsidP="00343426">
      <w:pPr>
        <w:pStyle w:val="TextBody"/>
        <w:spacing w:after="0" w:line="360" w:lineRule="auto"/>
        <w:jc w:val="both"/>
        <w:rPr>
          <w:rFonts w:ascii="Book Antiqua" w:eastAsia="Book Antiqua" w:hAnsi="Book Antiqua" w:cs="Book Antiqua"/>
        </w:rPr>
      </w:pPr>
      <w:r w:rsidRPr="00343426">
        <w:rPr>
          <w:rFonts w:ascii="Book Antiqua" w:hAnsi="Book Antiqua"/>
          <w:noProof/>
          <w:lang w:eastAsia="en-US"/>
        </w:rPr>
        <w:drawing>
          <wp:inline distT="0" distB="0" distL="0" distR="0" wp14:anchorId="33ED2165" wp14:editId="2B26FCD4">
            <wp:extent cx="3444757" cy="2947917"/>
            <wp:effectExtent l="0" t="0" r="3810" b="508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443966" cy="2947240"/>
                    </a:xfrm>
                    <a:prstGeom prst="rect">
                      <a:avLst/>
                    </a:prstGeom>
                  </pic:spPr>
                </pic:pic>
              </a:graphicData>
            </a:graphic>
          </wp:inline>
        </w:drawing>
      </w:r>
    </w:p>
    <w:p w:rsidR="00657B4D" w:rsidRPr="00343426" w:rsidRDefault="00C46547" w:rsidP="00343426">
      <w:pPr>
        <w:pStyle w:val="TextBody"/>
        <w:spacing w:after="0" w:line="360" w:lineRule="auto"/>
        <w:jc w:val="both"/>
        <w:rPr>
          <w:rFonts w:ascii="Book Antiqua" w:eastAsia="Book Antiqua" w:hAnsi="Book Antiqua" w:cs="Book Antiqua"/>
          <w:b/>
        </w:rPr>
      </w:pPr>
      <w:r w:rsidRPr="00343426">
        <w:rPr>
          <w:rFonts w:ascii="Book Antiqua" w:eastAsia="Book Antiqua" w:hAnsi="Book Antiqua" w:cs="Book Antiqua"/>
          <w:b/>
        </w:rPr>
        <w:t>Figure 5</w:t>
      </w:r>
      <w:r w:rsidR="00657B4D" w:rsidRPr="00343426">
        <w:rPr>
          <w:rFonts w:ascii="Book Antiqua" w:eastAsia="Book Antiqua" w:hAnsi="Book Antiqua" w:cs="Book Antiqua"/>
          <w:b/>
        </w:rPr>
        <w:t xml:space="preserve"> Polypectomy with </w:t>
      </w:r>
      <w:r w:rsidRPr="00343426">
        <w:rPr>
          <w:rFonts w:ascii="Book Antiqua" w:hAnsi="Book Antiqua"/>
          <w:b/>
          <w:kern w:val="0"/>
        </w:rPr>
        <w:t>double ballon enteroscopy.</w:t>
      </w:r>
    </w:p>
    <w:p w:rsidR="00C46547" w:rsidRPr="00343426" w:rsidRDefault="00C46547" w:rsidP="00343426">
      <w:pPr>
        <w:pStyle w:val="TextBody"/>
        <w:spacing w:after="0" w:line="360" w:lineRule="auto"/>
        <w:jc w:val="both"/>
        <w:rPr>
          <w:rFonts w:ascii="Book Antiqua" w:hAnsi="Book Antiqua" w:cs="Book Antiqua"/>
        </w:rPr>
      </w:pPr>
      <w:r w:rsidRPr="00343426">
        <w:rPr>
          <w:rFonts w:ascii="Book Antiqua" w:hAnsi="Book Antiqua" w:cs="Book Antiqua"/>
          <w:noProof/>
          <w:lang w:eastAsia="en-US"/>
        </w:rPr>
        <w:drawing>
          <wp:inline distT="0" distB="0" distL="0" distR="0" wp14:anchorId="11BE2264" wp14:editId="463A13D8">
            <wp:extent cx="3415405" cy="3145809"/>
            <wp:effectExtent l="0" t="0" r="0" b="0"/>
            <wp:docPr id="3"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officeArt objec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15405" cy="3145809"/>
                    </a:xfrm>
                    <a:prstGeom prst="rect">
                      <a:avLst/>
                    </a:prstGeom>
                    <a:noFill/>
                    <a:ln>
                      <a:noFill/>
                    </a:ln>
                    <a:extLst/>
                  </pic:spPr>
                </pic:pic>
              </a:graphicData>
            </a:graphic>
          </wp:inline>
        </w:drawing>
      </w:r>
    </w:p>
    <w:p w:rsidR="00657B4D" w:rsidRPr="00343426" w:rsidRDefault="00C46547" w:rsidP="00343426">
      <w:pPr>
        <w:pStyle w:val="TextBody"/>
        <w:spacing w:after="0" w:line="360" w:lineRule="auto"/>
        <w:jc w:val="both"/>
        <w:rPr>
          <w:rFonts w:ascii="Book Antiqua" w:hAnsi="Book Antiqua" w:cs="Book Antiqua"/>
          <w:b/>
        </w:rPr>
      </w:pPr>
      <w:r w:rsidRPr="00343426">
        <w:rPr>
          <w:rFonts w:ascii="Book Antiqua" w:eastAsia="Book Antiqua" w:hAnsi="Book Antiqua" w:cs="Book Antiqua"/>
          <w:b/>
        </w:rPr>
        <w:t>Figure 6</w:t>
      </w:r>
      <w:r w:rsidR="00657B4D" w:rsidRPr="00343426">
        <w:rPr>
          <w:rFonts w:ascii="Book Antiqua" w:eastAsia="Book Antiqua" w:hAnsi="Book Antiqua" w:cs="Book Antiqua"/>
          <w:b/>
        </w:rPr>
        <w:t xml:space="preserve"> Jejunal stricture of Crohn's </w:t>
      </w:r>
      <w:r w:rsidRPr="00343426">
        <w:rPr>
          <w:rFonts w:ascii="Book Antiqua" w:eastAsia="Book Antiqua" w:hAnsi="Book Antiqua" w:cs="Book Antiqua"/>
          <w:b/>
        </w:rPr>
        <w:t>disease</w:t>
      </w:r>
      <w:r w:rsidRPr="00343426">
        <w:rPr>
          <w:rFonts w:ascii="Book Antiqua" w:hAnsi="Book Antiqua" w:cs="Book Antiqua"/>
          <w:b/>
        </w:rPr>
        <w:t>.</w:t>
      </w:r>
    </w:p>
    <w:p w:rsidR="00C46547" w:rsidRPr="00343426" w:rsidRDefault="00C46547" w:rsidP="00343426">
      <w:pPr>
        <w:pStyle w:val="TextBody"/>
        <w:spacing w:after="0" w:line="360" w:lineRule="auto"/>
        <w:jc w:val="both"/>
        <w:rPr>
          <w:rFonts w:ascii="Book Antiqua" w:hAnsi="Book Antiqua" w:cs="Book Antiqua"/>
          <w:b/>
        </w:rPr>
      </w:pPr>
      <w:r w:rsidRPr="00343426">
        <w:rPr>
          <w:rFonts w:ascii="Book Antiqua" w:hAnsi="Book Antiqua" w:cs="Book Antiqua"/>
          <w:b/>
          <w:noProof/>
          <w:lang w:eastAsia="en-US"/>
        </w:rPr>
        <w:drawing>
          <wp:inline distT="0" distB="0" distL="0" distR="0" wp14:anchorId="3D18242E" wp14:editId="6230C2F7">
            <wp:extent cx="3470584" cy="3173105"/>
            <wp:effectExtent l="0" t="0" r="0" b="8255"/>
            <wp:docPr id="2050"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officeArt objec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69104" cy="3171752"/>
                    </a:xfrm>
                    <a:prstGeom prst="rect">
                      <a:avLst/>
                    </a:prstGeom>
                    <a:noFill/>
                    <a:ln>
                      <a:noFill/>
                    </a:ln>
                    <a:extLst/>
                  </pic:spPr>
                </pic:pic>
              </a:graphicData>
            </a:graphic>
          </wp:inline>
        </w:drawing>
      </w:r>
    </w:p>
    <w:p w:rsidR="00326A75" w:rsidRPr="00343426" w:rsidRDefault="00C46547" w:rsidP="00343426">
      <w:pPr>
        <w:pStyle w:val="TextBody"/>
        <w:spacing w:after="0" w:line="360" w:lineRule="auto"/>
        <w:jc w:val="both"/>
        <w:rPr>
          <w:rFonts w:ascii="Book Antiqua" w:hAnsi="Book Antiqua" w:cs="Book Antiqua"/>
          <w:b/>
        </w:rPr>
      </w:pPr>
      <w:proofErr w:type="gramStart"/>
      <w:r w:rsidRPr="00343426">
        <w:rPr>
          <w:rFonts w:ascii="Book Antiqua" w:eastAsia="Book Antiqua" w:hAnsi="Book Antiqua" w:cs="Book Antiqua"/>
          <w:b/>
        </w:rPr>
        <w:t>Figure 7</w:t>
      </w:r>
      <w:r w:rsidR="00657B4D" w:rsidRPr="00343426">
        <w:rPr>
          <w:rFonts w:ascii="Book Antiqua" w:eastAsia="Book Antiqua" w:hAnsi="Book Antiqua" w:cs="Book Antiqua"/>
          <w:b/>
        </w:rPr>
        <w:t xml:space="preserve"> Ulcerating tumor located in mid jejunum</w:t>
      </w:r>
      <w:r w:rsidRPr="00343426">
        <w:rPr>
          <w:rFonts w:ascii="Book Antiqua" w:hAnsi="Book Antiqua" w:cs="Book Antiqua"/>
          <w:b/>
        </w:rPr>
        <w:t>.</w:t>
      </w:r>
      <w:proofErr w:type="gramEnd"/>
    </w:p>
    <w:p w:rsidR="00326A75" w:rsidRPr="00343426" w:rsidRDefault="00CE14F2" w:rsidP="00343426">
      <w:pPr>
        <w:spacing w:line="360" w:lineRule="auto"/>
        <w:jc w:val="both"/>
        <w:rPr>
          <w:rFonts w:ascii="Book Antiqua" w:hAnsi="Book Antiqua"/>
        </w:rPr>
      </w:pPr>
      <w:r w:rsidRPr="00343426">
        <w:rPr>
          <w:rFonts w:ascii="Book Antiqua" w:eastAsia="Book Antiqua Bold" w:hAnsi="Book Antiqua" w:cs="Book Antiqua Bold"/>
          <w:i/>
          <w:iCs/>
          <w:shd w:val="clear" w:color="auto" w:fill="FFFF00"/>
        </w:rPr>
        <w:br w:type="page"/>
      </w:r>
    </w:p>
    <w:p w:rsidR="00CC215B" w:rsidRPr="00343426" w:rsidRDefault="00F35FF5" w:rsidP="00343426">
      <w:pPr>
        <w:spacing w:line="360" w:lineRule="auto"/>
        <w:jc w:val="both"/>
        <w:rPr>
          <w:rFonts w:ascii="Book Antiqua" w:eastAsiaTheme="minorEastAsia" w:hAnsi="Book Antiqua"/>
          <w:b/>
          <w:lang w:eastAsia="zh-CN"/>
        </w:rPr>
      </w:pPr>
      <w:r w:rsidRPr="00343426">
        <w:rPr>
          <w:rFonts w:ascii="Book Antiqua" w:hAnsi="Book Antiqua"/>
          <w:b/>
        </w:rPr>
        <w:t>Table 1</w:t>
      </w:r>
      <w:r w:rsidR="00CC215B" w:rsidRPr="00343426">
        <w:rPr>
          <w:rFonts w:ascii="Book Antiqua" w:hAnsi="Book Antiqua"/>
          <w:b/>
        </w:rPr>
        <w:t xml:space="preserve"> Indic</w:t>
      </w:r>
      <w:r w:rsidRPr="00343426">
        <w:rPr>
          <w:rFonts w:ascii="Book Antiqua" w:hAnsi="Book Antiqua"/>
          <w:b/>
        </w:rPr>
        <w:t>ations and Interventions in double ballon enteroscopy</w:t>
      </w:r>
    </w:p>
    <w:tbl>
      <w:tblPr>
        <w:tblStyle w:val="TableGrid"/>
        <w:tblpPr w:leftFromText="180" w:rightFromText="180" w:vertAnchor="page" w:horzAnchor="margin" w:tblpY="1656"/>
        <w:tblW w:w="0" w:type="auto"/>
        <w:tblLook w:val="04A0" w:firstRow="1" w:lastRow="0" w:firstColumn="1" w:lastColumn="0" w:noHBand="0" w:noVBand="1"/>
      </w:tblPr>
      <w:tblGrid>
        <w:gridCol w:w="4261"/>
        <w:gridCol w:w="4261"/>
      </w:tblGrid>
      <w:tr w:rsidR="00F35FF5" w:rsidRPr="00343426" w:rsidTr="00F35FF5">
        <w:tc>
          <w:tcPr>
            <w:tcW w:w="4261" w:type="dxa"/>
          </w:tcPr>
          <w:p w:rsidR="00F35FF5" w:rsidRPr="00343426" w:rsidRDefault="00F35FF5" w:rsidP="00343426">
            <w:pPr>
              <w:spacing w:line="360" w:lineRule="auto"/>
              <w:jc w:val="both"/>
              <w:rPr>
                <w:rFonts w:ascii="Book Antiqua" w:hAnsi="Book Antiqua"/>
                <w:b/>
              </w:rPr>
            </w:pPr>
            <w:r w:rsidRPr="00343426">
              <w:rPr>
                <w:rFonts w:ascii="Book Antiqua" w:hAnsi="Book Antiqua"/>
                <w:b/>
              </w:rPr>
              <w:t>Indications</w:t>
            </w:r>
            <w:r w:rsidRPr="00343426">
              <w:rPr>
                <w:rFonts w:ascii="Book Antiqua" w:hAnsi="Book Antiqua"/>
                <w:b/>
              </w:rPr>
              <w:tab/>
            </w:r>
          </w:p>
          <w:p w:rsidR="00F35FF5" w:rsidRPr="00343426" w:rsidRDefault="00F35FF5" w:rsidP="00343426">
            <w:pPr>
              <w:spacing w:line="360" w:lineRule="auto"/>
              <w:jc w:val="both"/>
              <w:rPr>
                <w:rFonts w:ascii="Book Antiqua" w:hAnsi="Book Antiqua"/>
              </w:rPr>
            </w:pPr>
          </w:p>
        </w:tc>
        <w:tc>
          <w:tcPr>
            <w:tcW w:w="4261" w:type="dxa"/>
          </w:tcPr>
          <w:p w:rsidR="00F35FF5" w:rsidRPr="00343426" w:rsidRDefault="00F35FF5" w:rsidP="00343426">
            <w:pPr>
              <w:spacing w:line="360" w:lineRule="auto"/>
              <w:jc w:val="both"/>
              <w:rPr>
                <w:rFonts w:ascii="Book Antiqua" w:hAnsi="Book Antiqua"/>
                <w:b/>
              </w:rPr>
            </w:pPr>
            <w:r w:rsidRPr="00343426">
              <w:rPr>
                <w:rFonts w:ascii="Book Antiqua" w:hAnsi="Book Antiqua"/>
                <w:b/>
              </w:rPr>
              <w:t>Therapeutic interventions</w:t>
            </w:r>
          </w:p>
        </w:tc>
      </w:tr>
      <w:tr w:rsidR="00F35FF5" w:rsidRPr="00343426" w:rsidTr="00F35FF5">
        <w:tc>
          <w:tcPr>
            <w:tcW w:w="4261" w:type="dxa"/>
          </w:tcPr>
          <w:p w:rsidR="00F35FF5" w:rsidRPr="00343426" w:rsidRDefault="00F35FF5" w:rsidP="00343426">
            <w:pPr>
              <w:spacing w:line="360" w:lineRule="auto"/>
              <w:jc w:val="both"/>
              <w:rPr>
                <w:rFonts w:ascii="Book Antiqua" w:hAnsi="Book Antiqua"/>
                <w:b/>
              </w:rPr>
            </w:pPr>
            <w:r w:rsidRPr="00343426">
              <w:rPr>
                <w:rFonts w:ascii="Book Antiqua" w:hAnsi="Book Antiqua"/>
                <w:b/>
              </w:rPr>
              <w:t>Mid-gastrointestinal bleeding</w:t>
            </w:r>
          </w:p>
        </w:tc>
        <w:tc>
          <w:tcPr>
            <w:tcW w:w="4261" w:type="dxa"/>
          </w:tcPr>
          <w:p w:rsidR="00F35FF5" w:rsidRPr="00343426" w:rsidRDefault="00F35FF5" w:rsidP="00343426">
            <w:pPr>
              <w:spacing w:line="360" w:lineRule="auto"/>
              <w:jc w:val="both"/>
              <w:rPr>
                <w:rFonts w:ascii="Book Antiqua" w:hAnsi="Book Antiqua"/>
              </w:rPr>
            </w:pPr>
            <w:r w:rsidRPr="00343426">
              <w:rPr>
                <w:rFonts w:ascii="Book Antiqua" w:hAnsi="Book Antiqua"/>
              </w:rPr>
              <w:t>Endoscopic hemostatic therapies</w:t>
            </w:r>
          </w:p>
          <w:p w:rsidR="00F35FF5" w:rsidRPr="00343426" w:rsidRDefault="00F35FF5" w:rsidP="00343426">
            <w:pPr>
              <w:spacing w:line="360" w:lineRule="auto"/>
              <w:jc w:val="both"/>
              <w:rPr>
                <w:rFonts w:ascii="Book Antiqua" w:hAnsi="Book Antiqua"/>
              </w:rPr>
            </w:pPr>
            <w:r w:rsidRPr="00343426">
              <w:rPr>
                <w:rFonts w:ascii="Book Antiqua" w:hAnsi="Book Antiqua"/>
              </w:rPr>
              <w:t>Injection sclerotherapy</w:t>
            </w:r>
          </w:p>
          <w:p w:rsidR="00F35FF5" w:rsidRPr="00343426" w:rsidRDefault="00F35FF5" w:rsidP="00343426">
            <w:pPr>
              <w:spacing w:line="360" w:lineRule="auto"/>
              <w:jc w:val="both"/>
              <w:rPr>
                <w:rFonts w:ascii="Book Antiqua" w:eastAsiaTheme="minorEastAsia" w:hAnsi="Book Antiqua"/>
                <w:lang w:eastAsia="zh-CN"/>
              </w:rPr>
            </w:pPr>
            <w:r w:rsidRPr="00343426">
              <w:rPr>
                <w:rFonts w:ascii="Book Antiqua" w:hAnsi="Book Antiqua"/>
              </w:rPr>
              <w:t xml:space="preserve">Argon plasma coagulation </w:t>
            </w:r>
          </w:p>
          <w:p w:rsidR="00F35FF5" w:rsidRPr="00343426" w:rsidRDefault="00F35FF5" w:rsidP="00343426">
            <w:pPr>
              <w:spacing w:line="360" w:lineRule="auto"/>
              <w:jc w:val="both"/>
              <w:rPr>
                <w:rFonts w:ascii="Book Antiqua" w:hAnsi="Book Antiqua"/>
              </w:rPr>
            </w:pPr>
            <w:r w:rsidRPr="00343426">
              <w:rPr>
                <w:rFonts w:ascii="Book Antiqua" w:hAnsi="Book Antiqua"/>
              </w:rPr>
              <w:t>Endoscopic hemostatic clip applic</w:t>
            </w:r>
            <w:r w:rsidRPr="00343426">
              <w:rPr>
                <w:rFonts w:ascii="Book Antiqua" w:hAnsi="Book Antiqua"/>
              </w:rPr>
              <w:t>a</w:t>
            </w:r>
            <w:r w:rsidRPr="00343426">
              <w:rPr>
                <w:rFonts w:ascii="Book Antiqua" w:hAnsi="Book Antiqua"/>
              </w:rPr>
              <w:t>tion</w:t>
            </w:r>
          </w:p>
          <w:p w:rsidR="00F35FF5" w:rsidRPr="00343426" w:rsidRDefault="00F35FF5" w:rsidP="00343426">
            <w:pPr>
              <w:spacing w:line="360" w:lineRule="auto"/>
              <w:jc w:val="both"/>
              <w:rPr>
                <w:rFonts w:ascii="Book Antiqua" w:hAnsi="Book Antiqua"/>
              </w:rPr>
            </w:pPr>
          </w:p>
        </w:tc>
      </w:tr>
      <w:tr w:rsidR="00F35FF5" w:rsidRPr="00343426" w:rsidTr="00F35FF5">
        <w:tc>
          <w:tcPr>
            <w:tcW w:w="4261" w:type="dxa"/>
          </w:tcPr>
          <w:p w:rsidR="00F35FF5" w:rsidRPr="00343426" w:rsidRDefault="00F35FF5" w:rsidP="00343426">
            <w:pPr>
              <w:spacing w:line="360" w:lineRule="auto"/>
              <w:jc w:val="both"/>
              <w:rPr>
                <w:rFonts w:ascii="Book Antiqua" w:hAnsi="Book Antiqua"/>
              </w:rPr>
            </w:pPr>
            <w:r w:rsidRPr="00343426">
              <w:rPr>
                <w:rFonts w:ascii="Book Antiqua" w:hAnsi="Book Antiqua"/>
              </w:rPr>
              <w:t>Abnormal findings in other examin</w:t>
            </w:r>
            <w:r w:rsidRPr="00343426">
              <w:rPr>
                <w:rFonts w:ascii="Book Antiqua" w:hAnsi="Book Antiqua"/>
              </w:rPr>
              <w:t>a</w:t>
            </w:r>
            <w:r w:rsidRPr="00343426">
              <w:rPr>
                <w:rFonts w:ascii="Book Antiqua" w:hAnsi="Book Antiqua"/>
              </w:rPr>
              <w:t>tions</w:t>
            </w:r>
          </w:p>
        </w:tc>
        <w:tc>
          <w:tcPr>
            <w:tcW w:w="4261" w:type="dxa"/>
          </w:tcPr>
          <w:p w:rsidR="00F35FF5" w:rsidRPr="00343426" w:rsidRDefault="00F35FF5" w:rsidP="00343426">
            <w:pPr>
              <w:spacing w:line="360" w:lineRule="auto"/>
              <w:jc w:val="both"/>
              <w:rPr>
                <w:rFonts w:ascii="Book Antiqua" w:hAnsi="Book Antiqua"/>
              </w:rPr>
            </w:pPr>
            <w:r w:rsidRPr="00343426">
              <w:rPr>
                <w:rFonts w:ascii="Book Antiqua" w:hAnsi="Book Antiqua"/>
              </w:rPr>
              <w:t>Diagnosis and therapy</w:t>
            </w:r>
          </w:p>
        </w:tc>
      </w:tr>
      <w:tr w:rsidR="00F35FF5" w:rsidRPr="00343426" w:rsidTr="00F35FF5">
        <w:tc>
          <w:tcPr>
            <w:tcW w:w="4261" w:type="dxa"/>
          </w:tcPr>
          <w:p w:rsidR="00F35FF5" w:rsidRPr="00343426" w:rsidRDefault="00F35FF5" w:rsidP="00343426">
            <w:pPr>
              <w:spacing w:line="360" w:lineRule="auto"/>
              <w:jc w:val="both"/>
              <w:rPr>
                <w:rFonts w:ascii="Book Antiqua" w:hAnsi="Book Antiqua"/>
              </w:rPr>
            </w:pPr>
            <w:r w:rsidRPr="00343426">
              <w:rPr>
                <w:rFonts w:ascii="Book Antiqua" w:hAnsi="Book Antiqua"/>
              </w:rPr>
              <w:t>Polyps of the small bowel (</w:t>
            </w:r>
            <w:r w:rsidRPr="00343426">
              <w:rPr>
                <w:rFonts w:ascii="Book Antiqua" w:hAnsi="Book Antiqua"/>
                <w:i/>
              </w:rPr>
              <w:t>e.g.</w:t>
            </w:r>
            <w:r w:rsidRPr="00343426">
              <w:rPr>
                <w:rFonts w:ascii="Book Antiqua" w:eastAsiaTheme="minorEastAsia" w:hAnsi="Book Antiqua"/>
                <w:i/>
                <w:lang w:eastAsia="zh-CN"/>
              </w:rPr>
              <w:t xml:space="preserve">, </w:t>
            </w:r>
            <w:r w:rsidRPr="00343426">
              <w:rPr>
                <w:rFonts w:ascii="Book Antiqua" w:hAnsi="Book Antiqua"/>
              </w:rPr>
              <w:t>Pol</w:t>
            </w:r>
            <w:r w:rsidRPr="00343426">
              <w:rPr>
                <w:rFonts w:ascii="Book Antiqua" w:hAnsi="Book Antiqua"/>
              </w:rPr>
              <w:t>y</w:t>
            </w:r>
            <w:r w:rsidRPr="00343426">
              <w:rPr>
                <w:rFonts w:ascii="Book Antiqua" w:hAnsi="Book Antiqua"/>
              </w:rPr>
              <w:t>posis syndromes)</w:t>
            </w:r>
          </w:p>
        </w:tc>
        <w:tc>
          <w:tcPr>
            <w:tcW w:w="4261" w:type="dxa"/>
          </w:tcPr>
          <w:p w:rsidR="00F35FF5" w:rsidRPr="00343426" w:rsidRDefault="00F35FF5" w:rsidP="00343426">
            <w:pPr>
              <w:spacing w:line="360" w:lineRule="auto"/>
              <w:jc w:val="both"/>
              <w:rPr>
                <w:rFonts w:ascii="Book Antiqua" w:hAnsi="Book Antiqua"/>
              </w:rPr>
            </w:pPr>
            <w:r w:rsidRPr="00343426">
              <w:rPr>
                <w:rFonts w:ascii="Book Antiqua" w:hAnsi="Book Antiqua"/>
              </w:rPr>
              <w:t>Endoscopic polypectomy</w:t>
            </w:r>
          </w:p>
        </w:tc>
      </w:tr>
      <w:tr w:rsidR="00F35FF5" w:rsidRPr="00343426" w:rsidTr="00F35FF5">
        <w:tc>
          <w:tcPr>
            <w:tcW w:w="4261" w:type="dxa"/>
          </w:tcPr>
          <w:p w:rsidR="00F35FF5" w:rsidRPr="00343426" w:rsidRDefault="00F35FF5" w:rsidP="00343426">
            <w:pPr>
              <w:spacing w:line="360" w:lineRule="auto"/>
              <w:jc w:val="both"/>
              <w:rPr>
                <w:rFonts w:ascii="Book Antiqua" w:hAnsi="Book Antiqua"/>
              </w:rPr>
            </w:pPr>
            <w:r w:rsidRPr="00343426">
              <w:rPr>
                <w:rFonts w:ascii="Book Antiqua" w:hAnsi="Book Antiqua"/>
              </w:rPr>
              <w:t>Crohn's diseases</w:t>
            </w:r>
          </w:p>
          <w:p w:rsidR="00F35FF5" w:rsidRPr="00343426" w:rsidRDefault="00F35FF5" w:rsidP="00343426">
            <w:pPr>
              <w:spacing w:line="360" w:lineRule="auto"/>
              <w:jc w:val="both"/>
              <w:rPr>
                <w:rFonts w:ascii="Book Antiqua" w:hAnsi="Book Antiqua"/>
              </w:rPr>
            </w:pPr>
            <w:r w:rsidRPr="00343426">
              <w:rPr>
                <w:rFonts w:ascii="Book Antiqua" w:hAnsi="Book Antiqua"/>
              </w:rPr>
              <w:t xml:space="preserve">    Diagnosis, complications</w:t>
            </w:r>
          </w:p>
        </w:tc>
        <w:tc>
          <w:tcPr>
            <w:tcW w:w="4261" w:type="dxa"/>
          </w:tcPr>
          <w:p w:rsidR="00F35FF5" w:rsidRPr="00343426" w:rsidRDefault="00F35FF5" w:rsidP="00343426">
            <w:pPr>
              <w:spacing w:line="360" w:lineRule="auto"/>
              <w:jc w:val="both"/>
              <w:rPr>
                <w:rFonts w:ascii="Book Antiqua" w:hAnsi="Book Antiqua"/>
              </w:rPr>
            </w:pPr>
            <w:r w:rsidRPr="00343426">
              <w:rPr>
                <w:rFonts w:ascii="Book Antiqua" w:hAnsi="Book Antiqua"/>
              </w:rPr>
              <w:t>Diagnostic sampling</w:t>
            </w:r>
          </w:p>
          <w:p w:rsidR="00F35FF5" w:rsidRPr="00343426" w:rsidRDefault="00F35FF5" w:rsidP="00343426">
            <w:pPr>
              <w:spacing w:line="360" w:lineRule="auto"/>
              <w:jc w:val="both"/>
              <w:rPr>
                <w:rFonts w:ascii="Book Antiqua" w:hAnsi="Book Antiqua"/>
              </w:rPr>
            </w:pPr>
            <w:r w:rsidRPr="00343426">
              <w:rPr>
                <w:rFonts w:ascii="Book Antiqua" w:hAnsi="Book Antiqua"/>
              </w:rPr>
              <w:t>Balloon dilatation for strictures</w:t>
            </w:r>
          </w:p>
        </w:tc>
      </w:tr>
      <w:tr w:rsidR="00F35FF5" w:rsidRPr="00343426" w:rsidTr="00F35FF5">
        <w:tc>
          <w:tcPr>
            <w:tcW w:w="4261" w:type="dxa"/>
          </w:tcPr>
          <w:p w:rsidR="00F35FF5" w:rsidRPr="00343426" w:rsidRDefault="00F35FF5" w:rsidP="00343426">
            <w:pPr>
              <w:spacing w:line="360" w:lineRule="auto"/>
              <w:jc w:val="both"/>
              <w:rPr>
                <w:rFonts w:ascii="Book Antiqua" w:hAnsi="Book Antiqua"/>
              </w:rPr>
            </w:pPr>
            <w:r w:rsidRPr="00343426">
              <w:rPr>
                <w:rFonts w:ascii="Book Antiqua" w:hAnsi="Book Antiqua"/>
              </w:rPr>
              <w:t>Foreign body ingestion</w:t>
            </w:r>
            <w:r w:rsidRPr="00343426">
              <w:rPr>
                <w:rFonts w:ascii="Book Antiqua" w:hAnsi="Book Antiqua"/>
              </w:rPr>
              <w:tab/>
            </w:r>
          </w:p>
        </w:tc>
        <w:tc>
          <w:tcPr>
            <w:tcW w:w="4261" w:type="dxa"/>
          </w:tcPr>
          <w:p w:rsidR="00F35FF5" w:rsidRPr="00343426" w:rsidRDefault="00F35FF5" w:rsidP="00343426">
            <w:pPr>
              <w:spacing w:line="360" w:lineRule="auto"/>
              <w:jc w:val="both"/>
              <w:rPr>
                <w:rFonts w:ascii="Book Antiqua" w:hAnsi="Book Antiqua"/>
              </w:rPr>
            </w:pPr>
            <w:r w:rsidRPr="00343426">
              <w:rPr>
                <w:rFonts w:ascii="Book Antiqua" w:hAnsi="Book Antiqua"/>
              </w:rPr>
              <w:t>Foreign body removal</w:t>
            </w:r>
          </w:p>
        </w:tc>
      </w:tr>
      <w:tr w:rsidR="00F35FF5" w:rsidRPr="00343426" w:rsidTr="00F35FF5">
        <w:tc>
          <w:tcPr>
            <w:tcW w:w="4261" w:type="dxa"/>
          </w:tcPr>
          <w:p w:rsidR="00F35FF5" w:rsidRPr="00343426" w:rsidRDefault="00F35FF5" w:rsidP="00343426">
            <w:pPr>
              <w:spacing w:line="360" w:lineRule="auto"/>
              <w:jc w:val="both"/>
              <w:rPr>
                <w:rFonts w:ascii="Book Antiqua" w:hAnsi="Book Antiqua"/>
              </w:rPr>
            </w:pPr>
            <w:r w:rsidRPr="00343426">
              <w:rPr>
                <w:rFonts w:ascii="Book Antiqua" w:hAnsi="Book Antiqua"/>
              </w:rPr>
              <w:t>Small bowel tumors</w:t>
            </w:r>
          </w:p>
        </w:tc>
        <w:tc>
          <w:tcPr>
            <w:tcW w:w="4261" w:type="dxa"/>
          </w:tcPr>
          <w:p w:rsidR="00F35FF5" w:rsidRPr="00343426" w:rsidRDefault="00F35FF5" w:rsidP="00343426">
            <w:pPr>
              <w:spacing w:line="360" w:lineRule="auto"/>
              <w:jc w:val="both"/>
              <w:rPr>
                <w:rFonts w:ascii="Book Antiqua" w:hAnsi="Book Antiqua"/>
              </w:rPr>
            </w:pPr>
            <w:r w:rsidRPr="00343426">
              <w:rPr>
                <w:rFonts w:ascii="Book Antiqua" w:hAnsi="Book Antiqua"/>
              </w:rPr>
              <w:t>Diagnostic sampling</w:t>
            </w:r>
          </w:p>
          <w:p w:rsidR="00F35FF5" w:rsidRPr="00343426" w:rsidRDefault="00F35FF5" w:rsidP="00343426">
            <w:pPr>
              <w:spacing w:line="360" w:lineRule="auto"/>
              <w:jc w:val="both"/>
              <w:rPr>
                <w:rFonts w:ascii="Book Antiqua" w:hAnsi="Book Antiqua"/>
              </w:rPr>
            </w:pPr>
            <w:r w:rsidRPr="00343426">
              <w:rPr>
                <w:rFonts w:ascii="Book Antiqua" w:hAnsi="Book Antiqua"/>
              </w:rPr>
              <w:t>Self</w:t>
            </w:r>
            <w:r w:rsidRPr="00343426">
              <w:rPr>
                <w:rFonts w:ascii="Book Antiqua" w:eastAsiaTheme="minorEastAsia" w:hAnsi="Book Antiqua"/>
                <w:lang w:eastAsia="zh-CN"/>
              </w:rPr>
              <w:t>-</w:t>
            </w:r>
            <w:r w:rsidRPr="00343426">
              <w:rPr>
                <w:rFonts w:ascii="Book Antiqua" w:hAnsi="Book Antiqua"/>
              </w:rPr>
              <w:t>expanding stents for obstruction</w:t>
            </w:r>
          </w:p>
        </w:tc>
      </w:tr>
      <w:tr w:rsidR="00F35FF5" w:rsidRPr="00343426" w:rsidTr="00F35FF5">
        <w:tc>
          <w:tcPr>
            <w:tcW w:w="4261" w:type="dxa"/>
          </w:tcPr>
          <w:p w:rsidR="00F35FF5" w:rsidRPr="00343426" w:rsidRDefault="00F35FF5" w:rsidP="00343426">
            <w:pPr>
              <w:spacing w:line="360" w:lineRule="auto"/>
              <w:jc w:val="both"/>
              <w:rPr>
                <w:rFonts w:ascii="Book Antiqua" w:hAnsi="Book Antiqua"/>
              </w:rPr>
            </w:pPr>
            <w:r w:rsidRPr="00343426">
              <w:rPr>
                <w:rFonts w:ascii="Book Antiqua" w:hAnsi="Book Antiqua"/>
              </w:rPr>
              <w:t>Endoscopic retrograde cholang</w:t>
            </w:r>
            <w:r w:rsidRPr="00343426">
              <w:rPr>
                <w:rFonts w:ascii="Book Antiqua" w:hAnsi="Book Antiqua"/>
              </w:rPr>
              <w:t>i</w:t>
            </w:r>
            <w:r w:rsidRPr="00343426">
              <w:rPr>
                <w:rFonts w:ascii="Book Antiqua" w:hAnsi="Book Antiqua"/>
              </w:rPr>
              <w:t>ography in surgically altered anat</w:t>
            </w:r>
            <w:r w:rsidRPr="00343426">
              <w:rPr>
                <w:rFonts w:ascii="Book Antiqua" w:hAnsi="Book Antiqua"/>
              </w:rPr>
              <w:t>o</w:t>
            </w:r>
            <w:r w:rsidRPr="00343426">
              <w:rPr>
                <w:rFonts w:ascii="Book Antiqua" w:hAnsi="Book Antiqua"/>
              </w:rPr>
              <w:t>my</w:t>
            </w:r>
          </w:p>
        </w:tc>
        <w:tc>
          <w:tcPr>
            <w:tcW w:w="4261" w:type="dxa"/>
          </w:tcPr>
          <w:p w:rsidR="00F35FF5" w:rsidRPr="00343426" w:rsidRDefault="00F35FF5" w:rsidP="00343426">
            <w:pPr>
              <w:spacing w:line="360" w:lineRule="auto"/>
              <w:jc w:val="both"/>
              <w:rPr>
                <w:rFonts w:ascii="Book Antiqua" w:hAnsi="Book Antiqua"/>
              </w:rPr>
            </w:pPr>
            <w:r w:rsidRPr="00343426">
              <w:rPr>
                <w:rFonts w:ascii="Book Antiqua" w:hAnsi="Book Antiqua"/>
              </w:rPr>
              <w:t>Diagnosis</w:t>
            </w:r>
          </w:p>
          <w:p w:rsidR="00F35FF5" w:rsidRPr="00343426" w:rsidRDefault="00F35FF5" w:rsidP="00343426">
            <w:pPr>
              <w:spacing w:line="360" w:lineRule="auto"/>
              <w:jc w:val="both"/>
              <w:rPr>
                <w:rFonts w:ascii="Book Antiqua" w:hAnsi="Book Antiqua"/>
              </w:rPr>
            </w:pPr>
            <w:r w:rsidRPr="00343426">
              <w:rPr>
                <w:rFonts w:ascii="Book Antiqua" w:hAnsi="Book Antiqua"/>
              </w:rPr>
              <w:t>Stone extraction</w:t>
            </w:r>
          </w:p>
          <w:p w:rsidR="00F35FF5" w:rsidRPr="00343426" w:rsidRDefault="00F35FF5" w:rsidP="00343426">
            <w:pPr>
              <w:spacing w:line="360" w:lineRule="auto"/>
              <w:jc w:val="both"/>
              <w:rPr>
                <w:rFonts w:ascii="Book Antiqua" w:hAnsi="Book Antiqua"/>
              </w:rPr>
            </w:pPr>
            <w:r w:rsidRPr="00343426">
              <w:rPr>
                <w:rFonts w:ascii="Book Antiqua" w:hAnsi="Book Antiqua"/>
              </w:rPr>
              <w:t>Dilatation</w:t>
            </w:r>
          </w:p>
          <w:p w:rsidR="00F35FF5" w:rsidRPr="00343426" w:rsidRDefault="00F35FF5" w:rsidP="00343426">
            <w:pPr>
              <w:spacing w:line="360" w:lineRule="auto"/>
              <w:jc w:val="both"/>
              <w:rPr>
                <w:rFonts w:ascii="Book Antiqua" w:hAnsi="Book Antiqua"/>
              </w:rPr>
            </w:pPr>
            <w:r w:rsidRPr="00343426">
              <w:rPr>
                <w:rFonts w:ascii="Book Antiqua" w:hAnsi="Book Antiqua"/>
              </w:rPr>
              <w:t>Stenting</w:t>
            </w:r>
          </w:p>
        </w:tc>
      </w:tr>
      <w:tr w:rsidR="00F35FF5" w:rsidRPr="00343426" w:rsidTr="00F35FF5">
        <w:tc>
          <w:tcPr>
            <w:tcW w:w="4261" w:type="dxa"/>
          </w:tcPr>
          <w:p w:rsidR="00F35FF5" w:rsidRPr="00343426" w:rsidRDefault="00F35FF5" w:rsidP="00343426">
            <w:pPr>
              <w:spacing w:line="360" w:lineRule="auto"/>
              <w:jc w:val="both"/>
              <w:rPr>
                <w:rFonts w:ascii="Book Antiqua" w:hAnsi="Book Antiqua"/>
              </w:rPr>
            </w:pPr>
            <w:r w:rsidRPr="00343426">
              <w:rPr>
                <w:rFonts w:ascii="Book Antiqua" w:hAnsi="Book Antiqua"/>
              </w:rPr>
              <w:t>Incomplete colonoscopy due to tec</w:t>
            </w:r>
            <w:r w:rsidRPr="00343426">
              <w:rPr>
                <w:rFonts w:ascii="Book Antiqua" w:hAnsi="Book Antiqua"/>
              </w:rPr>
              <w:t>h</w:t>
            </w:r>
            <w:r w:rsidRPr="00343426">
              <w:rPr>
                <w:rFonts w:ascii="Book Antiqua" w:hAnsi="Book Antiqua"/>
              </w:rPr>
              <w:t>nical difficulty</w:t>
            </w:r>
            <w:r w:rsidRPr="00343426">
              <w:rPr>
                <w:rFonts w:ascii="Book Antiqua" w:hAnsi="Book Antiqua"/>
              </w:rPr>
              <w:tab/>
            </w:r>
          </w:p>
        </w:tc>
        <w:tc>
          <w:tcPr>
            <w:tcW w:w="4261" w:type="dxa"/>
          </w:tcPr>
          <w:p w:rsidR="00F35FF5" w:rsidRPr="00343426" w:rsidRDefault="00F35FF5" w:rsidP="00343426">
            <w:pPr>
              <w:spacing w:line="360" w:lineRule="auto"/>
              <w:jc w:val="both"/>
              <w:rPr>
                <w:rFonts w:ascii="Book Antiqua" w:hAnsi="Book Antiqua"/>
              </w:rPr>
            </w:pPr>
            <w:r w:rsidRPr="00343426">
              <w:rPr>
                <w:rFonts w:ascii="Book Antiqua" w:hAnsi="Book Antiqua"/>
              </w:rPr>
              <w:t>Complete colonoscopy</w:t>
            </w:r>
          </w:p>
        </w:tc>
      </w:tr>
    </w:tbl>
    <w:p w:rsidR="00CC215B" w:rsidRPr="00343426" w:rsidRDefault="00CC215B" w:rsidP="00343426">
      <w:pPr>
        <w:spacing w:line="360" w:lineRule="auto"/>
        <w:jc w:val="both"/>
        <w:rPr>
          <w:rFonts w:ascii="Book Antiqua" w:eastAsiaTheme="minorEastAsia" w:hAnsi="Book Antiqua"/>
          <w:lang w:eastAsia="zh-CN"/>
        </w:rPr>
      </w:pPr>
    </w:p>
    <w:p w:rsidR="00CC215B" w:rsidRPr="00343426" w:rsidRDefault="00CC215B" w:rsidP="00343426">
      <w:pPr>
        <w:spacing w:line="360" w:lineRule="auto"/>
        <w:jc w:val="both"/>
        <w:rPr>
          <w:rFonts w:ascii="Book Antiqua" w:eastAsiaTheme="minorEastAsia" w:hAnsi="Book Antiqua"/>
          <w:lang w:eastAsia="zh-CN"/>
        </w:rPr>
      </w:pPr>
    </w:p>
    <w:p w:rsidR="00CC215B" w:rsidRPr="00343426" w:rsidRDefault="00CC215B" w:rsidP="00343426">
      <w:pPr>
        <w:spacing w:line="360" w:lineRule="auto"/>
        <w:jc w:val="both"/>
        <w:rPr>
          <w:rFonts w:ascii="Book Antiqua" w:eastAsiaTheme="minorEastAsia" w:hAnsi="Book Antiqua"/>
          <w:lang w:eastAsia="zh-CN"/>
        </w:rPr>
      </w:pPr>
    </w:p>
    <w:p w:rsidR="00CC215B" w:rsidRPr="00343426" w:rsidRDefault="00CC215B" w:rsidP="00343426">
      <w:pPr>
        <w:spacing w:line="360" w:lineRule="auto"/>
        <w:jc w:val="both"/>
        <w:rPr>
          <w:rFonts w:ascii="Book Antiqua" w:eastAsiaTheme="minorEastAsia" w:hAnsi="Book Antiqua"/>
          <w:lang w:eastAsia="zh-CN"/>
        </w:rPr>
      </w:pPr>
    </w:p>
    <w:p w:rsidR="00CC215B" w:rsidRPr="00343426" w:rsidRDefault="00CC215B" w:rsidP="00343426">
      <w:pPr>
        <w:spacing w:line="360" w:lineRule="auto"/>
        <w:jc w:val="both"/>
        <w:rPr>
          <w:rFonts w:ascii="Book Antiqua" w:eastAsiaTheme="minorEastAsia" w:hAnsi="Book Antiqua"/>
          <w:lang w:eastAsia="zh-CN"/>
        </w:rPr>
      </w:pPr>
    </w:p>
    <w:p w:rsidR="00CC215B" w:rsidRPr="00343426" w:rsidRDefault="00CC215B" w:rsidP="00343426">
      <w:pPr>
        <w:spacing w:line="360" w:lineRule="auto"/>
        <w:jc w:val="both"/>
        <w:rPr>
          <w:rFonts w:ascii="Book Antiqua" w:eastAsiaTheme="minorEastAsia" w:hAnsi="Book Antiqua"/>
          <w:lang w:eastAsia="zh-CN"/>
        </w:rPr>
      </w:pPr>
    </w:p>
    <w:p w:rsidR="00CC215B" w:rsidRPr="00343426" w:rsidRDefault="00CC215B" w:rsidP="00343426">
      <w:pPr>
        <w:spacing w:line="360" w:lineRule="auto"/>
        <w:jc w:val="both"/>
        <w:rPr>
          <w:rFonts w:ascii="Book Antiqua" w:eastAsiaTheme="minorEastAsia" w:hAnsi="Book Antiqua"/>
          <w:lang w:eastAsia="zh-CN"/>
        </w:rPr>
      </w:pPr>
    </w:p>
    <w:p w:rsidR="00CC215B" w:rsidRPr="00343426" w:rsidRDefault="00CC215B" w:rsidP="00343426">
      <w:pPr>
        <w:spacing w:line="360" w:lineRule="auto"/>
        <w:jc w:val="both"/>
        <w:rPr>
          <w:rFonts w:ascii="Book Antiqua" w:eastAsiaTheme="minorEastAsia" w:hAnsi="Book Antiqua"/>
          <w:lang w:eastAsia="zh-CN"/>
        </w:rPr>
      </w:pPr>
    </w:p>
    <w:p w:rsidR="00CC215B" w:rsidRPr="00343426" w:rsidRDefault="00CC215B" w:rsidP="00343426">
      <w:pPr>
        <w:spacing w:line="360" w:lineRule="auto"/>
        <w:jc w:val="both"/>
        <w:rPr>
          <w:rFonts w:ascii="Book Antiqua" w:eastAsiaTheme="minorEastAsia" w:hAnsi="Book Antiqua"/>
          <w:lang w:eastAsia="zh-CN"/>
        </w:rPr>
      </w:pPr>
    </w:p>
    <w:p w:rsidR="00CC215B" w:rsidRPr="00343426" w:rsidRDefault="00CC215B" w:rsidP="00343426">
      <w:pPr>
        <w:spacing w:line="360" w:lineRule="auto"/>
        <w:jc w:val="both"/>
        <w:rPr>
          <w:rFonts w:ascii="Book Antiqua" w:eastAsiaTheme="minorEastAsia" w:hAnsi="Book Antiqua"/>
          <w:lang w:eastAsia="zh-CN"/>
        </w:rPr>
      </w:pPr>
    </w:p>
    <w:p w:rsidR="00CC215B" w:rsidRPr="00343426" w:rsidRDefault="00CC215B" w:rsidP="00343426">
      <w:pPr>
        <w:spacing w:line="360" w:lineRule="auto"/>
        <w:jc w:val="both"/>
        <w:rPr>
          <w:rFonts w:ascii="Book Antiqua" w:eastAsiaTheme="minorEastAsia" w:hAnsi="Book Antiqua"/>
          <w:lang w:eastAsia="zh-CN"/>
        </w:rPr>
      </w:pPr>
    </w:p>
    <w:p w:rsidR="00CC215B" w:rsidRPr="00343426" w:rsidRDefault="00CC215B" w:rsidP="00343426">
      <w:pPr>
        <w:spacing w:line="360" w:lineRule="auto"/>
        <w:jc w:val="both"/>
        <w:rPr>
          <w:rFonts w:ascii="Book Antiqua" w:eastAsiaTheme="minorEastAsia" w:hAnsi="Book Antiqua"/>
          <w:lang w:eastAsia="zh-CN"/>
        </w:rPr>
      </w:pPr>
    </w:p>
    <w:p w:rsidR="00CC215B" w:rsidRPr="00343426" w:rsidRDefault="00CC215B" w:rsidP="00343426">
      <w:pPr>
        <w:spacing w:line="360" w:lineRule="auto"/>
        <w:jc w:val="both"/>
        <w:rPr>
          <w:rFonts w:ascii="Book Antiqua" w:eastAsiaTheme="minorEastAsia" w:hAnsi="Book Antiqua"/>
          <w:lang w:eastAsia="zh-CN"/>
        </w:rPr>
      </w:pPr>
    </w:p>
    <w:p w:rsidR="00CC215B" w:rsidRPr="00343426" w:rsidRDefault="00CC215B" w:rsidP="00343426">
      <w:pPr>
        <w:spacing w:line="360" w:lineRule="auto"/>
        <w:jc w:val="both"/>
        <w:rPr>
          <w:rFonts w:ascii="Book Antiqua" w:eastAsiaTheme="minorEastAsia" w:hAnsi="Book Antiqua"/>
          <w:lang w:eastAsia="zh-CN"/>
        </w:rPr>
      </w:pPr>
    </w:p>
    <w:p w:rsidR="00CC215B" w:rsidRPr="00343426" w:rsidRDefault="00CC215B" w:rsidP="00343426">
      <w:pPr>
        <w:spacing w:line="360" w:lineRule="auto"/>
        <w:jc w:val="both"/>
        <w:rPr>
          <w:rFonts w:ascii="Book Antiqua" w:eastAsiaTheme="minorEastAsia" w:hAnsi="Book Antiqua"/>
          <w:lang w:eastAsia="zh-CN"/>
        </w:rPr>
      </w:pPr>
    </w:p>
    <w:p w:rsidR="00CC215B" w:rsidRPr="00343426" w:rsidRDefault="00CC215B" w:rsidP="00343426">
      <w:pPr>
        <w:spacing w:line="360" w:lineRule="auto"/>
        <w:jc w:val="both"/>
        <w:rPr>
          <w:rFonts w:ascii="Book Antiqua" w:eastAsiaTheme="minorEastAsia" w:hAnsi="Book Antiqua"/>
          <w:lang w:eastAsia="zh-CN"/>
        </w:rPr>
      </w:pPr>
    </w:p>
    <w:p w:rsidR="00CC215B" w:rsidRPr="00343426" w:rsidRDefault="00CC215B" w:rsidP="00343426">
      <w:pPr>
        <w:spacing w:line="360" w:lineRule="auto"/>
        <w:jc w:val="both"/>
        <w:rPr>
          <w:rFonts w:ascii="Book Antiqua" w:eastAsiaTheme="minorEastAsia" w:hAnsi="Book Antiqua" w:cs="Book Antiqua Bold"/>
          <w:iCs/>
          <w:kern w:val="1"/>
          <w:shd w:val="clear" w:color="auto" w:fill="FFFF00"/>
          <w:lang w:eastAsia="zh-CN"/>
        </w:rPr>
      </w:pPr>
    </w:p>
    <w:p w:rsidR="00326A75" w:rsidRPr="00343426" w:rsidRDefault="00326A75" w:rsidP="00343426">
      <w:pPr>
        <w:pStyle w:val="TextBody"/>
        <w:spacing w:after="0" w:line="360" w:lineRule="auto"/>
        <w:jc w:val="both"/>
        <w:rPr>
          <w:rFonts w:ascii="Book Antiqua" w:hAnsi="Book Antiqua"/>
        </w:rPr>
      </w:pPr>
    </w:p>
    <w:sectPr w:rsidR="00326A75" w:rsidRPr="00343426">
      <w:pgSz w:w="11900" w:h="16840"/>
      <w:pgMar w:top="1134" w:right="1134" w:bottom="1536" w:left="1134" w:header="720" w:footer="1134"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A5A80" w:rsidRDefault="00BA5A80">
      <w:r>
        <w:separator/>
      </w:r>
    </w:p>
  </w:endnote>
  <w:endnote w:type="continuationSeparator" w:id="0">
    <w:p w:rsidR="00BA5A80" w:rsidRDefault="00BA5A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宋体">
    <w:charset w:val="50"/>
    <w:family w:val="auto"/>
    <w:pitch w:val="variable"/>
    <w:sig w:usb0="00000001" w:usb1="080E0000" w:usb2="00000010" w:usb3="00000000" w:csb0="00040000" w:csb1="00000000"/>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00"/>
    <w:family w:val="auto"/>
    <w:pitch w:val="variable"/>
    <w:sig w:usb0="F7FFAFFF" w:usb1="E9DFFFFF" w:usb2="0000003F" w:usb3="00000000" w:csb0="003F01FF" w:csb1="00000000"/>
  </w:font>
  <w:font w:name="Book Antiqua">
    <w:panose1 w:val="020406020503050303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Gulim">
    <w:altName w:val="굴림"/>
    <w:charset w:val="81"/>
    <w:family w:val="swiss"/>
    <w:pitch w:val="variable"/>
    <w:sig w:usb0="B00002AF" w:usb1="69D77CFB" w:usb2="00000030" w:usb3="00000000" w:csb0="0008009F" w:csb1="00000000"/>
  </w:font>
  <w:font w:name="AdvTimes">
    <w:altName w:val="Arial Unicode MS"/>
    <w:panose1 w:val="00000000000000000000"/>
    <w:charset w:val="86"/>
    <w:family w:val="auto"/>
    <w:notTrueType/>
    <w:pitch w:val="default"/>
    <w:sig w:usb0="00000000" w:usb1="080E0000" w:usb2="00000010" w:usb3="00000000" w:csb0="00040000" w:csb1="00000000"/>
  </w:font>
  <w:font w:name="Book Antiqua Bold">
    <w:charset w:val="00"/>
    <w:family w:val="roman"/>
    <w:pitch w:val="default"/>
  </w:font>
  <w:font w:name="MS Mincho">
    <w:altName w:val="ＭＳ 明朝"/>
    <w:charset w:val="80"/>
    <w:family w:val="modern"/>
    <w:pitch w:val="fixed"/>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黑体">
    <w:altName w:val="Arial Unicode MS"/>
    <w:charset w:val="86"/>
    <w:family w:val="modern"/>
    <w:pitch w:val="fixed"/>
    <w:sig w:usb0="800002BF" w:usb1="38CF7CFA" w:usb2="00000016" w:usb3="00000000" w:csb0="00040001"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A5A80" w:rsidRDefault="00BA5A80">
      <w:r>
        <w:separator/>
      </w:r>
    </w:p>
  </w:footnote>
  <w:footnote w:type="continuationSeparator" w:id="0">
    <w:p w:rsidR="00BA5A80" w:rsidRDefault="00BA5A8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grammar="clean"/>
  <w:defaultTabStop w:val="720"/>
  <w:autoHyphenation/>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
  <w:rsids>
    <w:rsidRoot w:val="00326A75"/>
    <w:rsid w:val="0007329E"/>
    <w:rsid w:val="00326A75"/>
    <w:rsid w:val="00343426"/>
    <w:rsid w:val="00657B4D"/>
    <w:rsid w:val="00757F5F"/>
    <w:rsid w:val="00793FE9"/>
    <w:rsid w:val="007E1F50"/>
    <w:rsid w:val="00807719"/>
    <w:rsid w:val="009A6AE2"/>
    <w:rsid w:val="009B7BA6"/>
    <w:rsid w:val="00BA5A80"/>
    <w:rsid w:val="00C46547"/>
    <w:rsid w:val="00CC215B"/>
    <w:rsid w:val="00CE14F2"/>
    <w:rsid w:val="00CF108B"/>
    <w:rsid w:val="00D37853"/>
    <w:rsid w:val="00DA4C1A"/>
    <w:rsid w:val="00DE2717"/>
    <w:rsid w:val="00DF5161"/>
    <w:rsid w:val="00ED5DEB"/>
    <w:rsid w:val="00F35FF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bdr w:val="nil"/>
        <w:lang w:val="en-US" w:eastAsia="zh-CN"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rFonts w:eastAsia="Times New Roman"/>
      <w:color w:val="000000"/>
      <w:sz w:val="24"/>
      <w:szCs w:val="24"/>
      <w:u w:color="00000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table" w:customStyle="1" w:styleId="TableNormal1">
    <w:name w:val="Table Normal1"/>
    <w:tblPr>
      <w:tblInd w:w="0" w:type="dxa"/>
      <w:tblCellMar>
        <w:top w:w="0" w:type="dxa"/>
        <w:left w:w="0" w:type="dxa"/>
        <w:bottom w:w="0" w:type="dxa"/>
        <w:right w:w="0" w:type="dxa"/>
      </w:tblCellMar>
    </w:tblPr>
  </w:style>
  <w:style w:type="paragraph" w:customStyle="1" w:styleId="BalkveAltlk">
    <w:name w:val="Başlık ve Altlık"/>
    <w:pPr>
      <w:tabs>
        <w:tab w:val="right" w:pos="9020"/>
      </w:tabs>
    </w:pPr>
    <w:rPr>
      <w:rFonts w:ascii="Helvetica" w:hAnsi="Arial Unicode MS" w:cs="Arial Unicode MS"/>
      <w:color w:val="000000"/>
      <w:sz w:val="24"/>
      <w:szCs w:val="24"/>
    </w:rPr>
  </w:style>
  <w:style w:type="paragraph" w:customStyle="1" w:styleId="GvdeA">
    <w:name w:val="Gövde A"/>
    <w:pPr>
      <w:widowControl w:val="0"/>
      <w:suppressAutoHyphens/>
    </w:pPr>
    <w:rPr>
      <w:rFonts w:hAnsi="Arial Unicode MS" w:cs="Arial Unicode MS"/>
      <w:color w:val="000000"/>
      <w:kern w:val="1"/>
      <w:sz w:val="24"/>
      <w:szCs w:val="24"/>
      <w:u w:color="000000"/>
    </w:rPr>
  </w:style>
  <w:style w:type="character" w:customStyle="1" w:styleId="Yok">
    <w:name w:val="Yok"/>
  </w:style>
  <w:style w:type="character" w:customStyle="1" w:styleId="Hyperlink0">
    <w:name w:val="Hyperlink.0"/>
    <w:basedOn w:val="Yok"/>
    <w:rPr>
      <w:rFonts w:ascii="Book Antiqua" w:eastAsia="Book Antiqua" w:hAnsi="Book Antiqua" w:cs="Book Antiqua"/>
      <w:color w:val="000080"/>
      <w:sz w:val="20"/>
      <w:szCs w:val="20"/>
      <w:u w:val="single" w:color="000080"/>
    </w:rPr>
  </w:style>
  <w:style w:type="paragraph" w:customStyle="1" w:styleId="TextBody">
    <w:name w:val="Text Body"/>
    <w:pPr>
      <w:widowControl w:val="0"/>
      <w:suppressAutoHyphens/>
      <w:spacing w:after="140" w:line="288" w:lineRule="auto"/>
    </w:pPr>
    <w:rPr>
      <w:rFonts w:hAnsi="Arial Unicode MS" w:cs="Arial Unicode MS"/>
      <w:color w:val="000000"/>
      <w:kern w:val="1"/>
      <w:sz w:val="24"/>
      <w:szCs w:val="24"/>
      <w:u w:color="000000"/>
    </w:rPr>
  </w:style>
  <w:style w:type="paragraph" w:customStyle="1" w:styleId="TableContents">
    <w:name w:val="Table Contents"/>
    <w:pPr>
      <w:widowControl w:val="0"/>
      <w:suppressAutoHyphens/>
    </w:pPr>
    <w:rPr>
      <w:rFonts w:hAnsi="Arial Unicode MS" w:cs="Arial Unicode MS"/>
      <w:color w:val="000000"/>
      <w:kern w:val="1"/>
      <w:sz w:val="24"/>
      <w:szCs w:val="24"/>
      <w:u w:color="000000"/>
    </w:rPr>
  </w:style>
  <w:style w:type="paragraph" w:styleId="Header">
    <w:name w:val="header"/>
    <w:basedOn w:val="Normal"/>
    <w:link w:val="HeaderChar"/>
    <w:uiPriority w:val="99"/>
    <w:unhideWhenUsed/>
    <w:rsid w:val="00657B4D"/>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657B4D"/>
    <w:rPr>
      <w:rFonts w:eastAsia="Times New Roman"/>
      <w:color w:val="000000"/>
      <w:sz w:val="18"/>
      <w:szCs w:val="18"/>
      <w:u w:color="000000"/>
      <w:lang w:eastAsia="en-US"/>
    </w:rPr>
  </w:style>
  <w:style w:type="paragraph" w:styleId="Footer">
    <w:name w:val="footer"/>
    <w:basedOn w:val="Normal"/>
    <w:link w:val="FooterChar"/>
    <w:uiPriority w:val="99"/>
    <w:unhideWhenUsed/>
    <w:rsid w:val="00657B4D"/>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657B4D"/>
    <w:rPr>
      <w:rFonts w:eastAsia="Times New Roman"/>
      <w:color w:val="000000"/>
      <w:sz w:val="18"/>
      <w:szCs w:val="18"/>
      <w:u w:color="000000"/>
      <w:lang w:eastAsia="en-US"/>
    </w:rPr>
  </w:style>
  <w:style w:type="paragraph" w:customStyle="1" w:styleId="Gvde">
    <w:name w:val="Gövde"/>
    <w:rsid w:val="00657B4D"/>
    <w:pPr>
      <w:widowControl w:val="0"/>
      <w:suppressAutoHyphens/>
    </w:pPr>
    <w:rPr>
      <w:rFonts w:hAnsi="Arial Unicode MS" w:cs="Arial Unicode MS"/>
      <w:color w:val="000000"/>
      <w:kern w:val="1"/>
      <w:sz w:val="24"/>
      <w:szCs w:val="24"/>
      <w:u w:color="000000"/>
      <w:lang w:val="tr-TR" w:eastAsia="tr-TR"/>
    </w:rPr>
  </w:style>
  <w:style w:type="paragraph" w:styleId="BalloonText">
    <w:name w:val="Balloon Text"/>
    <w:basedOn w:val="Normal"/>
    <w:link w:val="BalloonTextChar"/>
    <w:uiPriority w:val="99"/>
    <w:semiHidden/>
    <w:unhideWhenUsed/>
    <w:rsid w:val="00CF108B"/>
    <w:rPr>
      <w:sz w:val="18"/>
      <w:szCs w:val="18"/>
    </w:rPr>
  </w:style>
  <w:style w:type="character" w:customStyle="1" w:styleId="BalloonTextChar">
    <w:name w:val="Balloon Text Char"/>
    <w:basedOn w:val="DefaultParagraphFont"/>
    <w:link w:val="BalloonText"/>
    <w:uiPriority w:val="99"/>
    <w:semiHidden/>
    <w:rsid w:val="00CF108B"/>
    <w:rPr>
      <w:rFonts w:eastAsia="Times New Roman"/>
      <w:color w:val="000000"/>
      <w:sz w:val="18"/>
      <w:szCs w:val="18"/>
      <w:u w:color="000000"/>
      <w:lang w:eastAsia="en-US"/>
    </w:rPr>
  </w:style>
  <w:style w:type="table" w:styleId="TableGrid">
    <w:name w:val="Table Grid"/>
    <w:basedOn w:val="TableNormal"/>
    <w:uiPriority w:val="59"/>
    <w:rsid w:val="00CC215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mmentText">
    <w:name w:val="annotation text"/>
    <w:basedOn w:val="Normal"/>
    <w:link w:val="CommentTextChar"/>
    <w:unhideWhenUsed/>
    <w:rsid w:val="00343426"/>
    <w:pPr>
      <w:widowControl w:val="0"/>
      <w:pBdr>
        <w:top w:val="none" w:sz="0" w:space="0" w:color="auto"/>
        <w:left w:val="none" w:sz="0" w:space="0" w:color="auto"/>
        <w:bottom w:val="none" w:sz="0" w:space="0" w:color="auto"/>
        <w:right w:val="none" w:sz="0" w:space="0" w:color="auto"/>
        <w:between w:val="none" w:sz="0" w:space="0" w:color="auto"/>
        <w:bar w:val="none" w:sz="0" w:color="auto"/>
      </w:pBdr>
    </w:pPr>
    <w:rPr>
      <w:rFonts w:ascii="Book Antiqua" w:eastAsiaTheme="minorEastAsia" w:hAnsi="Book Antiqua"/>
      <w:color w:val="auto"/>
      <w:sz w:val="20"/>
      <w:szCs w:val="20"/>
      <w:bdr w:val="none" w:sz="0" w:space="0" w:color="auto"/>
      <w:lang w:eastAsia="ja-JP"/>
    </w:rPr>
  </w:style>
  <w:style w:type="character" w:customStyle="1" w:styleId="CommentTextChar">
    <w:name w:val="Comment Text Char"/>
    <w:basedOn w:val="DefaultParagraphFont"/>
    <w:link w:val="CommentText"/>
    <w:rsid w:val="00343426"/>
    <w:rPr>
      <w:rFonts w:ascii="Book Antiqua" w:hAnsi="Book Antiqua"/>
      <w:bdr w:val="none" w:sz="0" w:space="0" w:color="auto"/>
      <w:lang w:eastAsia="ja-JP"/>
    </w:rPr>
  </w:style>
  <w:style w:type="paragraph" w:styleId="BodyTextIndent">
    <w:name w:val="Body Text Indent"/>
    <w:basedOn w:val="Normal"/>
    <w:link w:val="BodyTextIndentChar"/>
    <w:uiPriority w:val="99"/>
    <w:unhideWhenUsed/>
    <w:rsid w:val="00343426"/>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120"/>
      <w:ind w:leftChars="200" w:left="420"/>
      <w:jc w:val="both"/>
    </w:pPr>
    <w:rPr>
      <w:rFonts w:ascii="Book Antiqua" w:eastAsiaTheme="minorEastAsia" w:hAnsi="Book Antiqua"/>
      <w:color w:val="auto"/>
      <w:sz w:val="20"/>
      <w:szCs w:val="20"/>
      <w:bdr w:val="none" w:sz="0" w:space="0" w:color="auto"/>
      <w:lang w:eastAsia="ja-JP"/>
    </w:rPr>
  </w:style>
  <w:style w:type="character" w:customStyle="1" w:styleId="BodyTextIndentChar">
    <w:name w:val="Body Text Indent Char"/>
    <w:basedOn w:val="DefaultParagraphFont"/>
    <w:link w:val="BodyTextIndent"/>
    <w:uiPriority w:val="99"/>
    <w:rsid w:val="00343426"/>
    <w:rPr>
      <w:rFonts w:ascii="Book Antiqua" w:hAnsi="Book Antiqua"/>
      <w:bdr w:val="none" w:sz="0" w:space="0" w:color="auto"/>
      <w:lang w:eastAsia="ja-JP"/>
    </w:rPr>
  </w:style>
  <w:style w:type="character" w:styleId="Strong">
    <w:name w:val="Strong"/>
    <w:qFormat/>
    <w:rsid w:val="00343426"/>
    <w:rPr>
      <w:b/>
      <w:bCs/>
    </w:rPr>
  </w:style>
  <w:style w:type="character" w:styleId="Emphasis">
    <w:name w:val="Emphasis"/>
    <w:qFormat/>
    <w:rsid w:val="00ED5DEB"/>
    <w:rPr>
      <w:i/>
      <w:i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bdr w:val="nil"/>
        <w:lang w:val="en-US" w:eastAsia="zh-CN"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rFonts w:eastAsia="Times New Roman"/>
      <w:color w:val="000000"/>
      <w:sz w:val="24"/>
      <w:szCs w:val="24"/>
      <w:u w:color="00000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table" w:customStyle="1" w:styleId="TableNormal1">
    <w:name w:val="Table Normal1"/>
    <w:tblPr>
      <w:tblInd w:w="0" w:type="dxa"/>
      <w:tblCellMar>
        <w:top w:w="0" w:type="dxa"/>
        <w:left w:w="0" w:type="dxa"/>
        <w:bottom w:w="0" w:type="dxa"/>
        <w:right w:w="0" w:type="dxa"/>
      </w:tblCellMar>
    </w:tblPr>
  </w:style>
  <w:style w:type="paragraph" w:customStyle="1" w:styleId="BalkveAltlk">
    <w:name w:val="Başlık ve Altlık"/>
    <w:pPr>
      <w:tabs>
        <w:tab w:val="right" w:pos="9020"/>
      </w:tabs>
    </w:pPr>
    <w:rPr>
      <w:rFonts w:ascii="Helvetica" w:hAnsi="Arial Unicode MS" w:cs="Arial Unicode MS"/>
      <w:color w:val="000000"/>
      <w:sz w:val="24"/>
      <w:szCs w:val="24"/>
    </w:rPr>
  </w:style>
  <w:style w:type="paragraph" w:customStyle="1" w:styleId="GvdeA">
    <w:name w:val="Gövde A"/>
    <w:pPr>
      <w:widowControl w:val="0"/>
      <w:suppressAutoHyphens/>
    </w:pPr>
    <w:rPr>
      <w:rFonts w:hAnsi="Arial Unicode MS" w:cs="Arial Unicode MS"/>
      <w:color w:val="000000"/>
      <w:kern w:val="1"/>
      <w:sz w:val="24"/>
      <w:szCs w:val="24"/>
      <w:u w:color="000000"/>
    </w:rPr>
  </w:style>
  <w:style w:type="character" w:customStyle="1" w:styleId="Yok">
    <w:name w:val="Yok"/>
  </w:style>
  <w:style w:type="character" w:customStyle="1" w:styleId="Hyperlink0">
    <w:name w:val="Hyperlink.0"/>
    <w:basedOn w:val="Yok"/>
    <w:rPr>
      <w:rFonts w:ascii="Book Antiqua" w:eastAsia="Book Antiqua" w:hAnsi="Book Antiqua" w:cs="Book Antiqua"/>
      <w:color w:val="000080"/>
      <w:sz w:val="20"/>
      <w:szCs w:val="20"/>
      <w:u w:val="single" w:color="000080"/>
    </w:rPr>
  </w:style>
  <w:style w:type="paragraph" w:customStyle="1" w:styleId="TextBody">
    <w:name w:val="Text Body"/>
    <w:pPr>
      <w:widowControl w:val="0"/>
      <w:suppressAutoHyphens/>
      <w:spacing w:after="140" w:line="288" w:lineRule="auto"/>
    </w:pPr>
    <w:rPr>
      <w:rFonts w:hAnsi="Arial Unicode MS" w:cs="Arial Unicode MS"/>
      <w:color w:val="000000"/>
      <w:kern w:val="1"/>
      <w:sz w:val="24"/>
      <w:szCs w:val="24"/>
      <w:u w:color="000000"/>
    </w:rPr>
  </w:style>
  <w:style w:type="paragraph" w:customStyle="1" w:styleId="TableContents">
    <w:name w:val="Table Contents"/>
    <w:pPr>
      <w:widowControl w:val="0"/>
      <w:suppressAutoHyphens/>
    </w:pPr>
    <w:rPr>
      <w:rFonts w:hAnsi="Arial Unicode MS" w:cs="Arial Unicode MS"/>
      <w:color w:val="000000"/>
      <w:kern w:val="1"/>
      <w:sz w:val="24"/>
      <w:szCs w:val="24"/>
      <w:u w:color="000000"/>
    </w:rPr>
  </w:style>
  <w:style w:type="paragraph" w:styleId="Header">
    <w:name w:val="header"/>
    <w:basedOn w:val="Normal"/>
    <w:link w:val="HeaderChar"/>
    <w:uiPriority w:val="99"/>
    <w:unhideWhenUsed/>
    <w:rsid w:val="00657B4D"/>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657B4D"/>
    <w:rPr>
      <w:rFonts w:eastAsia="Times New Roman"/>
      <w:color w:val="000000"/>
      <w:sz w:val="18"/>
      <w:szCs w:val="18"/>
      <w:u w:color="000000"/>
      <w:lang w:eastAsia="en-US"/>
    </w:rPr>
  </w:style>
  <w:style w:type="paragraph" w:styleId="Footer">
    <w:name w:val="footer"/>
    <w:basedOn w:val="Normal"/>
    <w:link w:val="FooterChar"/>
    <w:uiPriority w:val="99"/>
    <w:unhideWhenUsed/>
    <w:rsid w:val="00657B4D"/>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657B4D"/>
    <w:rPr>
      <w:rFonts w:eastAsia="Times New Roman"/>
      <w:color w:val="000000"/>
      <w:sz w:val="18"/>
      <w:szCs w:val="18"/>
      <w:u w:color="000000"/>
      <w:lang w:eastAsia="en-US"/>
    </w:rPr>
  </w:style>
  <w:style w:type="paragraph" w:customStyle="1" w:styleId="Gvde">
    <w:name w:val="Gövde"/>
    <w:rsid w:val="00657B4D"/>
    <w:pPr>
      <w:widowControl w:val="0"/>
      <w:suppressAutoHyphens/>
    </w:pPr>
    <w:rPr>
      <w:rFonts w:hAnsi="Arial Unicode MS" w:cs="Arial Unicode MS"/>
      <w:color w:val="000000"/>
      <w:kern w:val="1"/>
      <w:sz w:val="24"/>
      <w:szCs w:val="24"/>
      <w:u w:color="000000"/>
      <w:lang w:val="tr-TR" w:eastAsia="tr-TR"/>
    </w:rPr>
  </w:style>
  <w:style w:type="paragraph" w:styleId="BalloonText">
    <w:name w:val="Balloon Text"/>
    <w:basedOn w:val="Normal"/>
    <w:link w:val="BalloonTextChar"/>
    <w:uiPriority w:val="99"/>
    <w:semiHidden/>
    <w:unhideWhenUsed/>
    <w:rsid w:val="00CF108B"/>
    <w:rPr>
      <w:sz w:val="18"/>
      <w:szCs w:val="18"/>
    </w:rPr>
  </w:style>
  <w:style w:type="character" w:customStyle="1" w:styleId="BalloonTextChar">
    <w:name w:val="Balloon Text Char"/>
    <w:basedOn w:val="DefaultParagraphFont"/>
    <w:link w:val="BalloonText"/>
    <w:uiPriority w:val="99"/>
    <w:semiHidden/>
    <w:rsid w:val="00CF108B"/>
    <w:rPr>
      <w:rFonts w:eastAsia="Times New Roman"/>
      <w:color w:val="000000"/>
      <w:sz w:val="18"/>
      <w:szCs w:val="18"/>
      <w:u w:color="000000"/>
      <w:lang w:eastAsia="en-US"/>
    </w:rPr>
  </w:style>
  <w:style w:type="table" w:styleId="TableGrid">
    <w:name w:val="Table Grid"/>
    <w:basedOn w:val="TableNormal"/>
    <w:uiPriority w:val="59"/>
    <w:rsid w:val="00CC215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mmentText">
    <w:name w:val="annotation text"/>
    <w:basedOn w:val="Normal"/>
    <w:link w:val="CommentTextChar"/>
    <w:unhideWhenUsed/>
    <w:rsid w:val="00343426"/>
    <w:pPr>
      <w:widowControl w:val="0"/>
      <w:pBdr>
        <w:top w:val="none" w:sz="0" w:space="0" w:color="auto"/>
        <w:left w:val="none" w:sz="0" w:space="0" w:color="auto"/>
        <w:bottom w:val="none" w:sz="0" w:space="0" w:color="auto"/>
        <w:right w:val="none" w:sz="0" w:space="0" w:color="auto"/>
        <w:between w:val="none" w:sz="0" w:space="0" w:color="auto"/>
        <w:bar w:val="none" w:sz="0" w:color="auto"/>
      </w:pBdr>
    </w:pPr>
    <w:rPr>
      <w:rFonts w:ascii="Book Antiqua" w:eastAsiaTheme="minorEastAsia" w:hAnsi="Book Antiqua"/>
      <w:color w:val="auto"/>
      <w:sz w:val="20"/>
      <w:szCs w:val="20"/>
      <w:bdr w:val="none" w:sz="0" w:space="0" w:color="auto"/>
      <w:lang w:eastAsia="ja-JP"/>
    </w:rPr>
  </w:style>
  <w:style w:type="character" w:customStyle="1" w:styleId="CommentTextChar">
    <w:name w:val="Comment Text Char"/>
    <w:basedOn w:val="DefaultParagraphFont"/>
    <w:link w:val="CommentText"/>
    <w:rsid w:val="00343426"/>
    <w:rPr>
      <w:rFonts w:ascii="Book Antiqua" w:hAnsi="Book Antiqua"/>
      <w:bdr w:val="none" w:sz="0" w:space="0" w:color="auto"/>
      <w:lang w:eastAsia="ja-JP"/>
    </w:rPr>
  </w:style>
  <w:style w:type="paragraph" w:styleId="BodyTextIndent">
    <w:name w:val="Body Text Indent"/>
    <w:basedOn w:val="Normal"/>
    <w:link w:val="BodyTextIndentChar"/>
    <w:uiPriority w:val="99"/>
    <w:unhideWhenUsed/>
    <w:rsid w:val="00343426"/>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120"/>
      <w:ind w:leftChars="200" w:left="420"/>
      <w:jc w:val="both"/>
    </w:pPr>
    <w:rPr>
      <w:rFonts w:ascii="Book Antiqua" w:eastAsiaTheme="minorEastAsia" w:hAnsi="Book Antiqua"/>
      <w:color w:val="auto"/>
      <w:sz w:val="20"/>
      <w:szCs w:val="20"/>
      <w:bdr w:val="none" w:sz="0" w:space="0" w:color="auto"/>
      <w:lang w:eastAsia="ja-JP"/>
    </w:rPr>
  </w:style>
  <w:style w:type="character" w:customStyle="1" w:styleId="BodyTextIndentChar">
    <w:name w:val="Body Text Indent Char"/>
    <w:basedOn w:val="DefaultParagraphFont"/>
    <w:link w:val="BodyTextIndent"/>
    <w:uiPriority w:val="99"/>
    <w:rsid w:val="00343426"/>
    <w:rPr>
      <w:rFonts w:ascii="Book Antiqua" w:hAnsi="Book Antiqua"/>
      <w:bdr w:val="none" w:sz="0" w:space="0" w:color="auto"/>
      <w:lang w:eastAsia="ja-JP"/>
    </w:rPr>
  </w:style>
  <w:style w:type="character" w:styleId="Strong">
    <w:name w:val="Strong"/>
    <w:qFormat/>
    <w:rsid w:val="00343426"/>
    <w:rPr>
      <w:b/>
      <w:bCs/>
    </w:rPr>
  </w:style>
  <w:style w:type="character" w:styleId="Emphasis">
    <w:name w:val="Emphasis"/>
    <w:qFormat/>
    <w:rsid w:val="00ED5DE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8772859">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5.png"/><Relationship Id="rId12" Type="http://schemas.openxmlformats.org/officeDocument/2006/relationships/image" Target="media/image6.jpeg"/><Relationship Id="rId13" Type="http://schemas.openxmlformats.org/officeDocument/2006/relationships/image" Target="media/image7.jpeg"/><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png"/><Relationship Id="rId9" Type="http://schemas.openxmlformats.org/officeDocument/2006/relationships/image" Target="media/image3.png"/><Relationship Id="rId10" Type="http://schemas.openxmlformats.org/officeDocument/2006/relationships/image" Target="media/image4.png"/></Relationships>
</file>

<file path=word/theme/_rels/theme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黑体"/>
        <a:cs typeface="Helvetica"/>
      </a:majorFont>
      <a:minorFont>
        <a:latin typeface="Helvetica"/>
        <a:ea typeface="宋体"/>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
              <a:solidFill>
                <a:srgbClr val="000000"/>
              </a:solidFill>
            </a:uFill>
            <a:latin typeface="Times New Roman"/>
            <a:ea typeface="Times New Roman"/>
            <a:cs typeface="Times New Roman"/>
            <a:sym typeface="Times New Roman"/>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17</Pages>
  <Words>3954</Words>
  <Characters>22539</Characters>
  <Application>Microsoft Macintosh Word</Application>
  <DocSecurity>0</DocSecurity>
  <Lines>187</Lines>
  <Paragraphs>52</Paragraphs>
  <ScaleCrop>false</ScaleCrop>
  <Company>微软中国</Company>
  <LinksUpToDate>false</LinksUpToDate>
  <CharactersWithSpaces>26441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NA MA</cp:lastModifiedBy>
  <cp:revision>2</cp:revision>
  <dcterms:created xsi:type="dcterms:W3CDTF">2014-12-16T18:10:00Z</dcterms:created>
  <dcterms:modified xsi:type="dcterms:W3CDTF">2014-12-16T18:10:00Z</dcterms:modified>
</cp:coreProperties>
</file>