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D53" w:rsidRPr="00706939" w:rsidRDefault="00350D53" w:rsidP="00045356">
      <w:pPr>
        <w:spacing w:after="0" w:line="360" w:lineRule="auto"/>
        <w:jc w:val="both"/>
        <w:rPr>
          <w:rFonts w:ascii="Book Antiqua" w:hAnsi="Book Antiqua" w:cs="Tahoma"/>
          <w:b/>
          <w:sz w:val="24"/>
          <w:szCs w:val="24"/>
        </w:rPr>
      </w:pPr>
      <w:r w:rsidRPr="00706939">
        <w:rPr>
          <w:rFonts w:ascii="Book Antiqua" w:hAnsi="Book Antiqua" w:cs="Tahoma"/>
          <w:b/>
          <w:sz w:val="24"/>
          <w:szCs w:val="24"/>
        </w:rPr>
        <w:t>Name of journal: World Journal of Gastroenterology</w:t>
      </w:r>
    </w:p>
    <w:p w:rsidR="00350D53" w:rsidRPr="00706939" w:rsidRDefault="00350D53" w:rsidP="00045356">
      <w:pPr>
        <w:spacing w:after="0" w:line="360" w:lineRule="auto"/>
        <w:jc w:val="both"/>
        <w:rPr>
          <w:rFonts w:ascii="Book Antiqua" w:hAnsi="Book Antiqua" w:cs="Tahoma"/>
          <w:b/>
          <w:sz w:val="24"/>
          <w:szCs w:val="24"/>
          <w:lang w:eastAsia="zh-CN"/>
        </w:rPr>
      </w:pPr>
      <w:r w:rsidRPr="00706939">
        <w:rPr>
          <w:rFonts w:ascii="Book Antiqua" w:hAnsi="Book Antiqua" w:cs="Tahoma"/>
          <w:b/>
          <w:sz w:val="24"/>
          <w:szCs w:val="24"/>
        </w:rPr>
        <w:t xml:space="preserve">ESPS Manuscript NO: </w:t>
      </w:r>
      <w:r w:rsidRPr="00706939">
        <w:rPr>
          <w:rFonts w:ascii="Book Antiqua" w:hAnsi="Book Antiqua" w:cs="Tahoma"/>
          <w:b/>
          <w:sz w:val="24"/>
          <w:szCs w:val="24"/>
          <w:lang w:eastAsia="zh-CN"/>
        </w:rPr>
        <w:t>13950</w:t>
      </w:r>
    </w:p>
    <w:p w:rsidR="00350D53" w:rsidRPr="00706939" w:rsidRDefault="00350D53" w:rsidP="00045356">
      <w:pPr>
        <w:spacing w:after="0" w:line="360" w:lineRule="auto"/>
        <w:jc w:val="both"/>
        <w:rPr>
          <w:rFonts w:ascii="Book Antiqua" w:hAnsi="Book Antiqua"/>
          <w:b/>
          <w:sz w:val="24"/>
          <w:szCs w:val="24"/>
          <w:lang w:eastAsia="zh-CN"/>
        </w:rPr>
      </w:pPr>
      <w:r w:rsidRPr="00706939">
        <w:rPr>
          <w:rFonts w:ascii="Book Antiqua" w:hAnsi="Book Antiqua" w:cs="Tahoma"/>
          <w:b/>
          <w:sz w:val="24"/>
          <w:szCs w:val="24"/>
        </w:rPr>
        <w:t>Columns:</w:t>
      </w:r>
      <w:r w:rsidRPr="00706939">
        <w:rPr>
          <w:rFonts w:ascii="Book Antiqua" w:hAnsi="Book Antiqua"/>
          <w:b/>
          <w:sz w:val="24"/>
          <w:szCs w:val="24"/>
        </w:rPr>
        <w:t xml:space="preserve"> Original Articles</w:t>
      </w:r>
    </w:p>
    <w:p w:rsidR="00350D53" w:rsidRPr="00706939" w:rsidRDefault="00350D53" w:rsidP="00045356">
      <w:pPr>
        <w:spacing w:after="0" w:line="360" w:lineRule="auto"/>
        <w:jc w:val="both"/>
        <w:rPr>
          <w:rFonts w:ascii="Book Antiqua" w:hAnsi="Book Antiqua"/>
          <w:b/>
          <w:sz w:val="24"/>
          <w:szCs w:val="24"/>
          <w:lang w:eastAsia="zh-CN"/>
        </w:rPr>
      </w:pPr>
    </w:p>
    <w:p w:rsidR="0043192C" w:rsidRPr="00706939" w:rsidRDefault="00350D53" w:rsidP="00045356">
      <w:pPr>
        <w:pStyle w:val="paragraphscx98479858"/>
        <w:spacing w:before="0" w:beforeAutospacing="0" w:after="0" w:afterAutospacing="0" w:line="360" w:lineRule="auto"/>
        <w:jc w:val="both"/>
        <w:textAlignment w:val="baseline"/>
        <w:rPr>
          <w:rFonts w:ascii="Book Antiqua" w:hAnsi="Book Antiqua" w:cs="Segoe UI"/>
          <w:i/>
        </w:rPr>
      </w:pPr>
      <w:r w:rsidRPr="00706939">
        <w:rPr>
          <w:rStyle w:val="normaltextrunscx98479858"/>
          <w:rFonts w:ascii="Book Antiqua" w:hAnsi="Book Antiqua" w:cs="Segoe UI"/>
          <w:b/>
          <w:bCs/>
          <w:i/>
        </w:rPr>
        <w:t>Prospective Study</w:t>
      </w:r>
      <w:r w:rsidRPr="00706939">
        <w:rPr>
          <w:rStyle w:val="eopscx98479858"/>
          <w:rFonts w:ascii="Book Antiqua" w:hAnsi="Book Antiqua" w:cs="Segoe UI"/>
          <w: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proofErr w:type="spellStart"/>
      <w:r w:rsidRPr="00706939">
        <w:rPr>
          <w:rStyle w:val="spellingerrorscx98479858"/>
          <w:rFonts w:ascii="Book Antiqua" w:hAnsi="Book Antiqua" w:cs="Segoe UI"/>
          <w:b/>
          <w:bCs/>
        </w:rPr>
        <w:t>Immunohistochemical</w:t>
      </w:r>
      <w:proofErr w:type="spellEnd"/>
      <w:r w:rsidRPr="00706939">
        <w:rPr>
          <w:rStyle w:val="normaltextrunscx98479858"/>
          <w:rFonts w:ascii="Book Antiqua" w:hAnsi="Book Antiqua" w:cs="Segoe UI"/>
          <w:b/>
          <w:bCs/>
        </w:rPr>
        <w:t xml:space="preserve"> </w:t>
      </w:r>
      <w:bookmarkStart w:id="0" w:name="OLE_LINK1"/>
      <w:r w:rsidRPr="00706939">
        <w:rPr>
          <w:rStyle w:val="normaltextrunscx98479858"/>
          <w:rFonts w:ascii="Book Antiqua" w:hAnsi="Book Antiqua" w:cs="Segoe UI"/>
          <w:b/>
          <w:bCs/>
        </w:rPr>
        <w:t>CD3</w:t>
      </w:r>
      <w:bookmarkEnd w:id="0"/>
      <w:r w:rsidRPr="00706939">
        <w:rPr>
          <w:rStyle w:val="normaltextrunscx98479858"/>
          <w:rFonts w:ascii="Book Antiqua" w:hAnsi="Book Antiqua" w:cs="Segoe UI"/>
          <w:b/>
          <w:bCs/>
        </w:rPr>
        <w:t xml:space="preserve"> staining detects additional patients with </w:t>
      </w:r>
      <w:r w:rsidR="007E47C2">
        <w:rPr>
          <w:rStyle w:val="normaltextrunscx98479858"/>
          <w:rFonts w:ascii="Book Antiqua" w:hAnsi="Book Antiqua" w:cs="Segoe UI"/>
          <w:b/>
          <w:bCs/>
        </w:rPr>
        <w:t>celiac disease</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045356" w:rsidP="00045356">
      <w:pPr>
        <w:pStyle w:val="paragraphscx98479858"/>
        <w:spacing w:before="0" w:beforeAutospacing="0" w:after="0" w:afterAutospacing="0" w:line="360" w:lineRule="auto"/>
        <w:jc w:val="both"/>
        <w:textAlignment w:val="baseline"/>
        <w:rPr>
          <w:rStyle w:val="eopscx98479858"/>
          <w:rFonts w:ascii="Book Antiqua" w:eastAsiaTheme="minorEastAsia" w:hAnsi="Book Antiqua" w:cs="Segoe UI"/>
          <w:lang w:eastAsia="zh-CN"/>
        </w:rPr>
      </w:pPr>
      <w:r w:rsidRPr="00706939">
        <w:rPr>
          <w:rStyle w:val="normaltextrunscx98479858"/>
          <w:rFonts w:ascii="Book Antiqua" w:hAnsi="Book Antiqua" w:cs="Segoe UI"/>
          <w:lang w:val="nl-NL"/>
        </w:rPr>
        <w:t>Mubarak</w:t>
      </w:r>
      <w:r w:rsidRPr="00706939">
        <w:rPr>
          <w:rStyle w:val="normaltextrunscx98479858"/>
          <w:rFonts w:ascii="Book Antiqua" w:hAnsi="Book Antiqua" w:cs="Segoe UI"/>
        </w:rPr>
        <w:t xml:space="preserve"> </w:t>
      </w:r>
      <w:r w:rsidRPr="00706939">
        <w:rPr>
          <w:rStyle w:val="normaltextrunscx98479858"/>
          <w:rFonts w:ascii="Book Antiqua" w:eastAsiaTheme="minorEastAsia" w:hAnsi="Book Antiqua" w:cs="Segoe UI" w:hint="eastAsia"/>
          <w:lang w:eastAsia="zh-CN"/>
        </w:rPr>
        <w:t xml:space="preserve"> A</w:t>
      </w:r>
      <w:r w:rsidRPr="00706939">
        <w:rPr>
          <w:rStyle w:val="normaltextrunscx98479858"/>
          <w:rFonts w:ascii="Book Antiqua" w:eastAsiaTheme="minorEastAsia" w:hAnsi="Book Antiqua" w:cs="Segoe UI" w:hint="eastAsia"/>
          <w:i/>
          <w:lang w:eastAsia="zh-CN"/>
        </w:rPr>
        <w:t xml:space="preserve"> et al.</w:t>
      </w:r>
      <w:r w:rsidRPr="00706939">
        <w:rPr>
          <w:rStyle w:val="normaltextrunscx98479858"/>
          <w:rFonts w:ascii="Book Antiqua" w:eastAsiaTheme="minorEastAsia" w:hAnsi="Book Antiqua" w:cs="Segoe UI" w:hint="eastAsia"/>
          <w:lang w:eastAsia="zh-CN"/>
        </w:rPr>
        <w:t xml:space="preserve"> </w:t>
      </w:r>
      <w:r w:rsidR="0043192C" w:rsidRPr="00706939">
        <w:rPr>
          <w:rStyle w:val="normaltextrunscx98479858"/>
          <w:rFonts w:ascii="Book Antiqua" w:hAnsi="Book Antiqua" w:cs="Segoe UI"/>
        </w:rPr>
        <w:t xml:space="preserve">CD3 staining in diagnosing </w:t>
      </w:r>
      <w:r w:rsidR="007E47C2">
        <w:rPr>
          <w:rStyle w:val="normaltextrunscx98479858"/>
          <w:rFonts w:ascii="Book Antiqua" w:hAnsi="Book Antiqua" w:cs="Segoe UI"/>
        </w:rPr>
        <w:t>celiac disease</w:t>
      </w:r>
      <w:r w:rsidR="0043192C" w:rsidRPr="00706939">
        <w:rPr>
          <w:rStyle w:val="eopscx98479858"/>
          <w:rFonts w:ascii="Book Antiqua" w:hAnsi="Book Antiqua" w:cs="Segoe UI"/>
        </w:rPr>
        <w:t> </w:t>
      </w:r>
    </w:p>
    <w:p w:rsidR="00045356" w:rsidRPr="00706939" w:rsidRDefault="00045356"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p>
    <w:p w:rsidR="00045356" w:rsidRPr="00706939" w:rsidRDefault="0043192C" w:rsidP="00045356">
      <w:pPr>
        <w:pStyle w:val="paragraphscx98479858"/>
        <w:spacing w:before="0" w:beforeAutospacing="0" w:after="0" w:afterAutospacing="0" w:line="360" w:lineRule="auto"/>
        <w:jc w:val="both"/>
        <w:textAlignment w:val="baseline"/>
        <w:rPr>
          <w:rStyle w:val="normaltextrunscx98479858"/>
          <w:rFonts w:ascii="Book Antiqua" w:eastAsiaTheme="minorEastAsia" w:hAnsi="Book Antiqua" w:cs="Segoe UI"/>
          <w:lang w:val="nl-NL" w:eastAsia="zh-CN"/>
        </w:rPr>
      </w:pPr>
      <w:r w:rsidRPr="00706939">
        <w:rPr>
          <w:rStyle w:val="spellingerrorscx98479858"/>
          <w:rFonts w:ascii="Book Antiqua" w:hAnsi="Book Antiqua" w:cs="Segoe UI"/>
          <w:lang w:val="nl-NL"/>
        </w:rPr>
        <w:t>Amani</w:t>
      </w:r>
      <w:r w:rsidRPr="00706939">
        <w:rPr>
          <w:rStyle w:val="normaltextrunscx98479858"/>
          <w:rFonts w:ascii="Book Antiqua" w:hAnsi="Book Antiqua" w:cs="Segoe UI"/>
          <w:lang w:val="nl-NL"/>
        </w:rPr>
        <w:t xml:space="preserve"> Mubarak, Victorien M Wolters, Roderick HJ Houwen, </w:t>
      </w:r>
      <w:r w:rsidRPr="00706939">
        <w:rPr>
          <w:rStyle w:val="spellingerrorscx98479858"/>
          <w:rFonts w:ascii="Book Antiqua" w:hAnsi="Book Antiqua" w:cs="Segoe UI"/>
          <w:lang w:val="nl-NL"/>
        </w:rPr>
        <w:t>Fiebo</w:t>
      </w:r>
      <w:r w:rsidRPr="00706939">
        <w:rPr>
          <w:rStyle w:val="normaltextrunscx98479858"/>
          <w:rFonts w:ascii="Book Antiqua" w:hAnsi="Book Antiqua" w:cs="Segoe UI"/>
          <w:lang w:val="nl-NL"/>
        </w:rPr>
        <w:t xml:space="preserve"> JW ten Kate</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lang w:val="nl-NL"/>
        </w:rPr>
      </w:pPr>
      <w:r w:rsidRPr="00706939">
        <w:rPr>
          <w:rStyle w:val="eopscx98479858"/>
          <w:rFonts w:ascii="Book Antiqua" w:hAnsi="Book Antiqua" w:cs="Segoe UI"/>
          <w:lang w:val="nl-NL"/>
        </w:rPr>
        <w:t> </w:t>
      </w:r>
    </w:p>
    <w:p w:rsidR="0043192C" w:rsidRPr="00706939" w:rsidRDefault="00F02CE9" w:rsidP="00045356">
      <w:pPr>
        <w:pStyle w:val="paragraphscx98479858"/>
        <w:spacing w:before="0" w:beforeAutospacing="0" w:after="0" w:afterAutospacing="0" w:line="360" w:lineRule="auto"/>
        <w:jc w:val="both"/>
        <w:textAlignment w:val="baseline"/>
        <w:rPr>
          <w:rStyle w:val="normaltextrunscx98479858"/>
          <w:rFonts w:ascii="Book Antiqua" w:eastAsiaTheme="minorEastAsia" w:hAnsi="Book Antiqua" w:cs="Segoe UI"/>
          <w:lang w:eastAsia="zh-CN"/>
        </w:rPr>
      </w:pPr>
      <w:r w:rsidRPr="00706939">
        <w:rPr>
          <w:rStyle w:val="spellingerrorscx98479858"/>
          <w:rFonts w:ascii="Book Antiqua" w:hAnsi="Book Antiqua" w:cs="Segoe UI"/>
          <w:b/>
          <w:lang w:val="nl-NL"/>
        </w:rPr>
        <w:t>Amani</w:t>
      </w:r>
      <w:r w:rsidRPr="00706939">
        <w:rPr>
          <w:rStyle w:val="normaltextrunscx98479858"/>
          <w:rFonts w:ascii="Book Antiqua" w:hAnsi="Book Antiqua" w:cs="Segoe UI"/>
          <w:b/>
          <w:lang w:val="nl-NL"/>
        </w:rPr>
        <w:t xml:space="preserve"> Mubarak, Victorien M Wolters,</w:t>
      </w:r>
      <w:r w:rsidRPr="00706939">
        <w:rPr>
          <w:rStyle w:val="normaltextrunscx98479858"/>
          <w:rFonts w:ascii="Book Antiqua" w:eastAsiaTheme="minorEastAsia" w:hAnsi="Book Antiqua" w:cs="Segoe UI"/>
          <w:b/>
          <w:lang w:val="nl-NL" w:eastAsia="zh-CN"/>
        </w:rPr>
        <w:t xml:space="preserve"> </w:t>
      </w:r>
      <w:r w:rsidRPr="00706939">
        <w:rPr>
          <w:rStyle w:val="normaltextrunscx98479858"/>
          <w:rFonts w:ascii="Book Antiqua" w:hAnsi="Book Antiqua" w:cs="Segoe UI"/>
          <w:b/>
          <w:lang w:val="nl-NL"/>
        </w:rPr>
        <w:t xml:space="preserve">Roderick HJ Houwen, </w:t>
      </w:r>
      <w:r w:rsidR="0043192C" w:rsidRPr="00706939">
        <w:rPr>
          <w:rStyle w:val="normaltextrunscx98479858"/>
          <w:rFonts w:ascii="Book Antiqua" w:hAnsi="Book Antiqua" w:cs="Segoe UI"/>
        </w:rPr>
        <w:t xml:space="preserve">Department of </w:t>
      </w:r>
      <w:r w:rsidR="0043192C" w:rsidRPr="00706939">
        <w:rPr>
          <w:rStyle w:val="spellingerrorscx98479858"/>
          <w:rFonts w:ascii="Book Antiqua" w:hAnsi="Book Antiqua" w:cs="Segoe UI"/>
        </w:rPr>
        <w:t>Pediatric</w:t>
      </w:r>
      <w:r w:rsidR="0043192C" w:rsidRPr="00706939">
        <w:rPr>
          <w:rStyle w:val="normaltextrunscx98479858"/>
          <w:rFonts w:ascii="Book Antiqua" w:hAnsi="Book Antiqua" w:cs="Segoe UI"/>
        </w:rPr>
        <w:t xml:space="preserve"> Gastroenterology, University Medical </w:t>
      </w:r>
      <w:r w:rsidR="0043192C" w:rsidRPr="00706939">
        <w:rPr>
          <w:rStyle w:val="spellingerrorscx98479858"/>
          <w:rFonts w:ascii="Book Antiqua" w:hAnsi="Book Antiqua" w:cs="Segoe UI"/>
        </w:rPr>
        <w:t>Center</w:t>
      </w:r>
      <w:r w:rsidR="0043192C" w:rsidRPr="00706939">
        <w:rPr>
          <w:rStyle w:val="normaltextrunscx98479858"/>
          <w:rFonts w:ascii="Book Antiqua" w:hAnsi="Book Antiqua" w:cs="Segoe UI"/>
        </w:rPr>
        <w:t xml:space="preserve"> Utrecht, Wilhelmina Children’s hospital, 350</w:t>
      </w:r>
      <w:r w:rsidR="00045356" w:rsidRPr="00706939">
        <w:rPr>
          <w:rStyle w:val="normaltextrunscx98479858"/>
          <w:rFonts w:ascii="Book Antiqua" w:hAnsi="Book Antiqua" w:cs="Segoe UI"/>
        </w:rPr>
        <w:t>8 AB</w:t>
      </w:r>
      <w:r w:rsidRPr="00706939">
        <w:rPr>
          <w:rStyle w:val="normaltextrunscx98479858"/>
          <w:rFonts w:ascii="Book Antiqua" w:hAnsi="Book Antiqua" w:cs="Segoe UI"/>
        </w:rPr>
        <w:t xml:space="preserve"> Utrecht, The Netherlands</w:t>
      </w:r>
    </w:p>
    <w:p w:rsidR="00F02CE9" w:rsidRPr="00706939" w:rsidRDefault="00F02CE9"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p>
    <w:p w:rsidR="0043192C" w:rsidRPr="00706939" w:rsidRDefault="00F02CE9"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r w:rsidRPr="00706939">
        <w:rPr>
          <w:rStyle w:val="spellingerrorscx98479858"/>
          <w:rFonts w:ascii="Book Antiqua" w:hAnsi="Book Antiqua" w:cs="Segoe UI"/>
          <w:b/>
          <w:lang w:val="nl-NL"/>
        </w:rPr>
        <w:t>Fiebo</w:t>
      </w:r>
      <w:r w:rsidRPr="00706939">
        <w:rPr>
          <w:rStyle w:val="normaltextrunscx98479858"/>
          <w:rFonts w:ascii="Book Antiqua" w:hAnsi="Book Antiqua" w:cs="Segoe UI"/>
          <w:b/>
          <w:lang w:val="nl-NL"/>
        </w:rPr>
        <w:t xml:space="preserve"> JW ten Kate, </w:t>
      </w:r>
      <w:r w:rsidR="0043192C" w:rsidRPr="00706939">
        <w:rPr>
          <w:rStyle w:val="normaltextrunscx98479858"/>
          <w:rFonts w:ascii="Book Antiqua" w:hAnsi="Book Antiqua" w:cs="Segoe UI"/>
        </w:rPr>
        <w:t xml:space="preserve">Department of Pathology, University Medical </w:t>
      </w:r>
      <w:r w:rsidR="0043192C" w:rsidRPr="00706939">
        <w:rPr>
          <w:rStyle w:val="spellingerrorscx98479858"/>
          <w:rFonts w:ascii="Book Antiqua" w:hAnsi="Book Antiqua" w:cs="Segoe UI"/>
        </w:rPr>
        <w:t>Center</w:t>
      </w:r>
      <w:r w:rsidR="00045356" w:rsidRPr="00706939">
        <w:rPr>
          <w:rStyle w:val="normaltextrunscx98479858"/>
          <w:rFonts w:ascii="Book Antiqua" w:hAnsi="Book Antiqua" w:cs="Segoe UI"/>
        </w:rPr>
        <w:t xml:space="preserve"> Utrecht, 3508 GA</w:t>
      </w:r>
      <w:r w:rsidR="0043192C" w:rsidRPr="00706939">
        <w:rPr>
          <w:rStyle w:val="normaltextrunscx98479858"/>
          <w:rFonts w:ascii="Book Antiqua" w:hAnsi="Book Antiqua" w:cs="Segoe UI"/>
        </w:rPr>
        <w:t xml:space="preserve"> </w:t>
      </w:r>
      <w:r w:rsidRPr="00706939">
        <w:rPr>
          <w:rStyle w:val="normaltextrunscx98479858"/>
          <w:rFonts w:ascii="Book Antiqua" w:hAnsi="Book Antiqua" w:cs="Segoe UI"/>
        </w:rPr>
        <w:t>Utrecht, The Netherlands</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Style w:val="normaltextrunscx98479858"/>
          <w:rFonts w:ascii="Book Antiqua" w:eastAsiaTheme="minorEastAsia" w:hAnsi="Book Antiqua" w:cs="Segoe UI"/>
          <w:lang w:eastAsia="zh-CN"/>
        </w:rPr>
      </w:pPr>
      <w:r w:rsidRPr="00706939">
        <w:rPr>
          <w:rStyle w:val="normaltextrunscx98479858"/>
          <w:rFonts w:ascii="Book Antiqua" w:hAnsi="Book Antiqua" w:cs="Segoe UI"/>
          <w:b/>
          <w:bCs/>
        </w:rPr>
        <w:t>Author contributions:</w:t>
      </w:r>
      <w:r w:rsidRPr="00706939">
        <w:rPr>
          <w:rStyle w:val="eopscx98479858"/>
          <w:rFonts w:ascii="Book Antiqua" w:hAnsi="Book Antiqua" w:cs="Segoe UI"/>
        </w:rPr>
        <w:t> </w:t>
      </w:r>
      <w:r w:rsidR="00045356" w:rsidRPr="00706939">
        <w:rPr>
          <w:rFonts w:ascii="Book Antiqua" w:eastAsiaTheme="minorEastAsia" w:hAnsi="Book Antiqua" w:cs="Segoe UI"/>
          <w:lang w:eastAsia="zh-CN"/>
        </w:rPr>
        <w:t xml:space="preserve"> </w:t>
      </w:r>
      <w:r w:rsidRPr="00706939">
        <w:rPr>
          <w:rStyle w:val="normaltextrunscx98479858"/>
          <w:rFonts w:ascii="Book Antiqua" w:hAnsi="Book Antiqua" w:cs="Segoe UI"/>
        </w:rPr>
        <w:t>Mubarak</w:t>
      </w:r>
      <w:r w:rsidR="00045356" w:rsidRPr="00706939">
        <w:rPr>
          <w:rStyle w:val="normaltextrunscx98479858"/>
          <w:rFonts w:ascii="Book Antiqua" w:eastAsiaTheme="minorEastAsia" w:hAnsi="Book Antiqua" w:cs="Segoe UI"/>
          <w:lang w:eastAsia="zh-CN"/>
        </w:rPr>
        <w:t xml:space="preserve"> A</w:t>
      </w:r>
      <w:r w:rsidRPr="00706939">
        <w:rPr>
          <w:rStyle w:val="normaltextrunscx98479858"/>
          <w:rFonts w:ascii="Book Antiqua" w:hAnsi="Book Antiqua" w:cs="Segoe UI"/>
        </w:rPr>
        <w:t xml:space="preserve"> designed the study, included the </w:t>
      </w:r>
      <w:r w:rsidR="00045356" w:rsidRPr="00706939">
        <w:rPr>
          <w:rStyle w:val="normaltextrunscx98479858"/>
          <w:rFonts w:ascii="Book Antiqua" w:hAnsi="Book Antiqua" w:cs="Segoe UI"/>
        </w:rPr>
        <w:t>patients, and wrote the article</w:t>
      </w:r>
      <w:r w:rsidR="00045356" w:rsidRPr="00706939">
        <w:rPr>
          <w:rStyle w:val="normaltextrunscx98479858"/>
          <w:rFonts w:ascii="Book Antiqua" w:eastAsiaTheme="minorEastAsia" w:hAnsi="Book Antiqua" w:cs="Segoe UI"/>
          <w:lang w:eastAsia="zh-CN"/>
        </w:rPr>
        <w:t>;</w:t>
      </w:r>
      <w:r w:rsidR="00045356" w:rsidRPr="00706939">
        <w:rPr>
          <w:rFonts w:ascii="Book Antiqua" w:eastAsiaTheme="minorEastAsia" w:hAnsi="Book Antiqua" w:cs="Segoe UI"/>
          <w:lang w:eastAsia="zh-CN"/>
        </w:rPr>
        <w:t xml:space="preserve"> </w:t>
      </w:r>
      <w:r w:rsidRPr="00706939">
        <w:rPr>
          <w:rStyle w:val="normaltextrunscx98479858"/>
          <w:rFonts w:ascii="Book Antiqua" w:hAnsi="Book Antiqua" w:cs="Segoe UI"/>
        </w:rPr>
        <w:t>Wolters</w:t>
      </w:r>
      <w:r w:rsidR="00045356" w:rsidRPr="00706939">
        <w:rPr>
          <w:rStyle w:val="normaltextrunscx98479858"/>
          <w:rFonts w:ascii="Book Antiqua" w:eastAsiaTheme="minorEastAsia" w:hAnsi="Book Antiqua" w:cs="Segoe UI"/>
          <w:lang w:eastAsia="zh-CN"/>
        </w:rPr>
        <w:t xml:space="preserve"> V</w:t>
      </w:r>
      <w:r w:rsidR="00045356" w:rsidRPr="00706939">
        <w:rPr>
          <w:rStyle w:val="normaltextrunscx98479858"/>
          <w:rFonts w:ascii="Book Antiqua" w:hAnsi="Book Antiqua" w:cs="Segoe UI"/>
        </w:rPr>
        <w:t xml:space="preserve"> edited the manuscript</w:t>
      </w:r>
      <w:r w:rsidR="00045356" w:rsidRPr="00706939">
        <w:rPr>
          <w:rStyle w:val="normaltextrunscx98479858"/>
          <w:rFonts w:ascii="Book Antiqua" w:eastAsiaTheme="minorEastAsia" w:hAnsi="Book Antiqua" w:cs="Segoe UI"/>
          <w:lang w:eastAsia="zh-CN"/>
        </w:rPr>
        <w:t xml:space="preserve">; </w:t>
      </w:r>
      <w:proofErr w:type="spellStart"/>
      <w:r w:rsidRPr="00706939">
        <w:rPr>
          <w:rStyle w:val="spellingerrorscx98479858"/>
          <w:rFonts w:ascii="Book Antiqua" w:hAnsi="Book Antiqua" w:cs="Segoe UI"/>
        </w:rPr>
        <w:t>Houwen</w:t>
      </w:r>
      <w:proofErr w:type="spellEnd"/>
      <w:r w:rsidR="00045356" w:rsidRPr="00706939">
        <w:rPr>
          <w:rStyle w:val="normaltextrunscx98479858"/>
          <w:rFonts w:ascii="Book Antiqua" w:eastAsiaTheme="minorEastAsia" w:hAnsi="Book Antiqua" w:cs="Segoe UI"/>
          <w:lang w:eastAsia="zh-CN"/>
        </w:rPr>
        <w:t xml:space="preserve"> R</w:t>
      </w:r>
      <w:r w:rsidRPr="00706939">
        <w:rPr>
          <w:rStyle w:val="normaltextrunscx98479858"/>
          <w:rFonts w:ascii="Book Antiqua" w:hAnsi="Book Antiqua" w:cs="Segoe UI"/>
        </w:rPr>
        <w:t xml:space="preserve"> designe</w:t>
      </w:r>
      <w:r w:rsidR="00045356" w:rsidRPr="00706939">
        <w:rPr>
          <w:rStyle w:val="normaltextrunscx98479858"/>
          <w:rFonts w:ascii="Book Antiqua" w:hAnsi="Book Antiqua" w:cs="Segoe UI"/>
        </w:rPr>
        <w:t>d the study, edited the article</w:t>
      </w:r>
      <w:r w:rsidR="00045356" w:rsidRPr="00706939">
        <w:rPr>
          <w:rStyle w:val="normaltextrunscx98479858"/>
          <w:rFonts w:ascii="Book Antiqua" w:eastAsiaTheme="minorEastAsia" w:hAnsi="Book Antiqua" w:cs="Segoe UI"/>
          <w:lang w:eastAsia="zh-CN"/>
        </w:rPr>
        <w:t>;</w:t>
      </w:r>
      <w:r w:rsidR="00045356" w:rsidRPr="00706939">
        <w:rPr>
          <w:rFonts w:ascii="Book Antiqua" w:eastAsiaTheme="minorEastAsia" w:hAnsi="Book Antiqua" w:cs="Segoe UI"/>
          <w:lang w:eastAsia="zh-CN"/>
        </w:rPr>
        <w:t xml:space="preserve"> </w:t>
      </w:r>
      <w:r w:rsidRPr="00706939">
        <w:rPr>
          <w:rStyle w:val="normaltextrunscx98479858"/>
          <w:rFonts w:ascii="Book Antiqua" w:hAnsi="Book Antiqua" w:cs="Segoe UI"/>
        </w:rPr>
        <w:t>ten Kate</w:t>
      </w:r>
      <w:r w:rsidR="00045356" w:rsidRPr="00706939">
        <w:rPr>
          <w:rStyle w:val="normaltextrunscx98479858"/>
          <w:rFonts w:ascii="Book Antiqua" w:eastAsiaTheme="minorEastAsia" w:hAnsi="Book Antiqua" w:cs="Segoe UI"/>
          <w:lang w:eastAsia="zh-CN"/>
        </w:rPr>
        <w:t xml:space="preserve"> FJW</w:t>
      </w:r>
      <w:r w:rsidRPr="00706939">
        <w:rPr>
          <w:rStyle w:val="normaltextrunscx98479858"/>
          <w:rFonts w:ascii="Book Antiqua" w:hAnsi="Book Antiqua" w:cs="Segoe UI"/>
        </w:rPr>
        <w:t xml:space="preserve"> designed the study, edited the artic</w:t>
      </w:r>
      <w:r w:rsidR="00045356" w:rsidRPr="00706939">
        <w:rPr>
          <w:rStyle w:val="normaltextrunscx98479858"/>
          <w:rFonts w:ascii="Book Antiqua" w:hAnsi="Book Antiqua" w:cs="Segoe UI"/>
        </w:rPr>
        <w:t>le, and evaluated the histology</w:t>
      </w:r>
      <w:r w:rsidR="00045356" w:rsidRPr="00706939">
        <w:rPr>
          <w:rStyle w:val="normaltextrunscx98479858"/>
          <w:rFonts w:ascii="Book Antiqua" w:eastAsiaTheme="minorEastAsia" w:hAnsi="Book Antiqua" w:cs="Segoe UI"/>
          <w:lang w:eastAsia="zh-CN"/>
        </w:rPr>
        <w:t>.</w:t>
      </w:r>
    </w:p>
    <w:p w:rsidR="00045356" w:rsidRPr="00706939" w:rsidRDefault="00045356" w:rsidP="00045356">
      <w:pPr>
        <w:pStyle w:val="paragraphscx98479858"/>
        <w:spacing w:before="0" w:beforeAutospacing="0" w:after="0" w:afterAutospacing="0" w:line="360" w:lineRule="auto"/>
        <w:jc w:val="both"/>
        <w:textAlignment w:val="baseline"/>
        <w:rPr>
          <w:rStyle w:val="normaltextrunscx98479858"/>
          <w:rFonts w:ascii="Book Antiqua" w:eastAsiaTheme="minorEastAsia" w:hAnsi="Book Antiqua" w:cs="Segoe UI"/>
          <w:lang w:eastAsia="zh-CN"/>
        </w:rPr>
      </w:pPr>
    </w:p>
    <w:p w:rsidR="00045356" w:rsidRPr="00706939" w:rsidRDefault="00045356" w:rsidP="00045356">
      <w:pPr>
        <w:spacing w:line="360" w:lineRule="auto"/>
        <w:jc w:val="both"/>
        <w:rPr>
          <w:rFonts w:ascii="Book Antiqua" w:hAnsi="Book Antiqua" w:cs="宋体"/>
          <w:sz w:val="24"/>
        </w:rPr>
      </w:pPr>
      <w:r w:rsidRPr="00706939">
        <w:rPr>
          <w:rFonts w:ascii="Book Antiqua" w:hAnsi="Book Antiqua"/>
          <w:b/>
          <w:sz w:val="24"/>
        </w:rPr>
        <w:t xml:space="preserve">Open-Access: </w:t>
      </w:r>
      <w:r w:rsidRPr="00706939">
        <w:rPr>
          <w:rFonts w:ascii="Book Antiqua" w:hAnsi="Book Antiqua"/>
          <w:sz w:val="24"/>
        </w:rPr>
        <w:t xml:space="preserve">This article is an </w:t>
      </w:r>
      <w:r w:rsidRPr="00706939">
        <w:rPr>
          <w:rFonts w:ascii="Book Antiqua" w:hAnsi="Book Antiqua" w:cs="宋体"/>
          <w:sz w:val="24"/>
        </w:rPr>
        <w:t xml:space="preserve">open-access article which </w:t>
      </w:r>
      <w:r w:rsidR="00F9091F">
        <w:rPr>
          <w:rFonts w:ascii="Book Antiqua" w:hAnsi="Book Antiqua" w:cs="宋体" w:hint="eastAsia"/>
          <w:sz w:val="24"/>
          <w:lang w:eastAsia="zh-CN"/>
        </w:rPr>
        <w:t xml:space="preserve">was </w:t>
      </w:r>
      <w:r w:rsidRPr="00706939">
        <w:rPr>
          <w:rFonts w:ascii="Book Antiqua" w:hAnsi="Book Antiqua"/>
          <w:sz w:val="24"/>
        </w:rPr>
        <w:t>selected by an in-house editor and fully peer-reviewed by external reviewers. It</w:t>
      </w:r>
      <w:r w:rsidR="00F9091F">
        <w:rPr>
          <w:rFonts w:ascii="Book Antiqua" w:hAnsi="Book Antiqua" w:hint="eastAsia"/>
          <w:sz w:val="24"/>
          <w:lang w:eastAsia="zh-CN"/>
        </w:rPr>
        <w:t xml:space="preserve"> is</w:t>
      </w:r>
      <w:r w:rsidRPr="00706939">
        <w:rPr>
          <w:rFonts w:ascii="Book Antiqua" w:hAnsi="Book Antiqua"/>
          <w:sz w:val="24"/>
        </w:rPr>
        <w:t xml:space="preserve"> </w:t>
      </w:r>
      <w:r w:rsidRPr="00706939">
        <w:rPr>
          <w:rFonts w:ascii="Book Antiqua" w:hAnsi="Book Antiqua" w:cs="宋体"/>
          <w:sz w:val="24"/>
        </w:rPr>
        <w:t xml:space="preserve">distributed in accordance with </w:t>
      </w:r>
      <w:r w:rsidRPr="00706939">
        <w:rPr>
          <w:rFonts w:ascii="Book Antiqua" w:hAnsi="Book Antiqua"/>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w:t>
      </w:r>
      <w:r w:rsidR="00706939">
        <w:rPr>
          <w:rFonts w:ascii="Book Antiqua" w:hAnsi="Book Antiqua"/>
          <w:sz w:val="24"/>
        </w:rPr>
        <w:t xml:space="preserve">: </w:t>
      </w:r>
      <w:r w:rsidRPr="00706939">
        <w:rPr>
          <w:rFonts w:ascii="Book Antiqua" w:hAnsi="Book Antiqua"/>
          <w:sz w:val="24"/>
        </w:rPr>
        <w:t>licenses/by-nc/4.0/</w:t>
      </w:r>
    </w:p>
    <w:p w:rsidR="00045356" w:rsidRPr="00706939" w:rsidRDefault="00045356"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 xml:space="preserve">Correspondence to: Amani Mubarak, </w:t>
      </w:r>
      <w:r w:rsidR="00F02CE9" w:rsidRPr="00706939">
        <w:rPr>
          <w:rStyle w:val="normaltextrunscx98479858"/>
          <w:rFonts w:ascii="Book Antiqua" w:hAnsi="Book Antiqua" w:cs="Segoe UI"/>
          <w:b/>
          <w:lang w:val="nl-NL"/>
        </w:rPr>
        <w:t>MD, PhD</w:t>
      </w:r>
      <w:r w:rsidR="00F02CE9" w:rsidRPr="00706939">
        <w:rPr>
          <w:rStyle w:val="normaltextrunscx98479858"/>
          <w:rFonts w:ascii="Book Antiqua" w:eastAsiaTheme="minorEastAsia" w:hAnsi="Book Antiqua" w:cs="Segoe UI"/>
          <w:b/>
          <w:lang w:eastAsia="zh-CN"/>
        </w:rPr>
        <w:t>,</w:t>
      </w:r>
      <w:r w:rsidR="00F02CE9" w:rsidRPr="00706939">
        <w:rPr>
          <w:rStyle w:val="normaltextrunscx98479858"/>
          <w:rFonts w:ascii="Book Antiqua" w:eastAsiaTheme="minorEastAsia" w:hAnsi="Book Antiqua" w:cs="Segoe UI"/>
          <w:lang w:eastAsia="zh-CN"/>
        </w:rPr>
        <w:t xml:space="preserve"> </w:t>
      </w:r>
      <w:r w:rsidRPr="00706939">
        <w:rPr>
          <w:rStyle w:val="normaltextrunscx98479858"/>
          <w:rFonts w:ascii="Book Antiqua" w:hAnsi="Book Antiqua" w:cs="Segoe UI"/>
        </w:rPr>
        <w:t xml:space="preserve">Department of </w:t>
      </w:r>
      <w:r w:rsidRPr="00706939">
        <w:rPr>
          <w:rStyle w:val="spellingerrorscx98479858"/>
          <w:rFonts w:ascii="Book Antiqua" w:hAnsi="Book Antiqua" w:cs="Segoe UI"/>
        </w:rPr>
        <w:t>Pediatric</w:t>
      </w:r>
      <w:r w:rsidRPr="00706939">
        <w:rPr>
          <w:rStyle w:val="normaltextrunscx98479858"/>
          <w:rFonts w:ascii="Book Antiqua" w:hAnsi="Book Antiqua" w:cs="Segoe UI"/>
        </w:rPr>
        <w:t xml:space="preserve"> Gastroenterology, University Medical </w:t>
      </w:r>
      <w:r w:rsidRPr="00706939">
        <w:rPr>
          <w:rStyle w:val="spellingerrorscx98479858"/>
          <w:rFonts w:ascii="Book Antiqua" w:hAnsi="Book Antiqua" w:cs="Segoe UI"/>
        </w:rPr>
        <w:t>Center</w:t>
      </w:r>
      <w:r w:rsidRPr="00706939">
        <w:rPr>
          <w:rStyle w:val="normaltextrunscx98479858"/>
          <w:rFonts w:ascii="Book Antiqua" w:hAnsi="Book Antiqua" w:cs="Segoe UI"/>
        </w:rPr>
        <w:t xml:space="preserve"> Utrecht/ Wilhelmina Children’s </w:t>
      </w:r>
      <w:r w:rsidR="00045356" w:rsidRPr="00706939">
        <w:rPr>
          <w:rStyle w:val="normaltextrunscx98479858"/>
          <w:rFonts w:ascii="Book Antiqua" w:hAnsi="Book Antiqua" w:cs="Segoe UI"/>
        </w:rPr>
        <w:t>hospital, PO BOX 85090, 3508AB</w:t>
      </w:r>
      <w:r w:rsidRPr="00706939">
        <w:rPr>
          <w:rStyle w:val="normaltextrunscx98479858"/>
          <w:rFonts w:ascii="Book Antiqua" w:hAnsi="Book Antiqua" w:cs="Segoe UI"/>
        </w:rPr>
        <w:t xml:space="preserve"> Utrecht, </w:t>
      </w:r>
      <w:r w:rsidR="00045356" w:rsidRPr="00706939">
        <w:rPr>
          <w:rStyle w:val="normaltextrunscx98479858"/>
          <w:rFonts w:ascii="Book Antiqua" w:hAnsi="Book Antiqua" w:cs="Segoe UI"/>
        </w:rPr>
        <w:t xml:space="preserve">The </w:t>
      </w:r>
      <w:r w:rsidRPr="00706939">
        <w:rPr>
          <w:rStyle w:val="normaltextrunscx98479858"/>
          <w:rFonts w:ascii="Book Antiqua" w:hAnsi="Book Antiqua" w:cs="Segoe UI"/>
        </w:rPr>
        <w:t xml:space="preserve">Netherlands. </w:t>
      </w:r>
      <w:hyperlink r:id="rId8" w:history="1">
        <w:r w:rsidRPr="00706939">
          <w:rPr>
            <w:rStyle w:val="normaltextrunscx98479858"/>
            <w:rFonts w:ascii="Book Antiqua" w:hAnsi="Book Antiqua" w:cs="Segoe UI"/>
          </w:rPr>
          <w:t>dr.amani.mubarak@gmail.com</w:t>
        </w:r>
      </w:hyperlink>
      <w:r w:rsidRPr="00706939">
        <w:rPr>
          <w:rStyle w:val="eopscx98479858"/>
          <w:rFonts w:ascii="Book Antiqua" w:hAnsi="Book Antiqua" w:cs="Segoe UI"/>
        </w:rPr>
        <w:t> </w:t>
      </w:r>
    </w:p>
    <w:p w:rsidR="00CE28E8" w:rsidRDefault="00CE28E8" w:rsidP="00045356">
      <w:pPr>
        <w:pStyle w:val="paragraphscx98479858"/>
        <w:spacing w:before="0" w:beforeAutospacing="0" w:after="0" w:afterAutospacing="0" w:line="360" w:lineRule="auto"/>
        <w:jc w:val="both"/>
        <w:textAlignment w:val="baseline"/>
        <w:rPr>
          <w:rStyle w:val="normaltextrunscx98479858"/>
          <w:rFonts w:ascii="Book Antiqua" w:eastAsiaTheme="minorEastAsia" w:hAnsi="Book Antiqua" w:cs="Segoe UI"/>
          <w:b/>
          <w:bCs/>
          <w:lang w:eastAsia="zh-CN"/>
        </w:rPr>
      </w:pPr>
    </w:p>
    <w:p w:rsidR="00045356" w:rsidRPr="00706939" w:rsidRDefault="0043192C" w:rsidP="00045356">
      <w:pPr>
        <w:pStyle w:val="paragraphscx98479858"/>
        <w:spacing w:before="0" w:beforeAutospacing="0" w:after="0" w:afterAutospacing="0" w:line="360" w:lineRule="auto"/>
        <w:jc w:val="both"/>
        <w:textAlignment w:val="baseline"/>
        <w:rPr>
          <w:rStyle w:val="normaltextrunscx98479858"/>
          <w:rFonts w:ascii="Book Antiqua" w:eastAsiaTheme="minorEastAsia" w:hAnsi="Book Antiqua" w:cs="Segoe UI"/>
          <w:lang w:eastAsia="zh-CN"/>
        </w:rPr>
      </w:pPr>
      <w:r w:rsidRPr="00706939">
        <w:rPr>
          <w:rStyle w:val="normaltextrunscx98479858"/>
          <w:rFonts w:ascii="Book Antiqua" w:hAnsi="Book Antiqua" w:cs="Segoe UI"/>
          <w:b/>
          <w:bCs/>
        </w:rPr>
        <w:t>Telephone</w:t>
      </w:r>
      <w:r w:rsidRPr="00706939">
        <w:rPr>
          <w:rStyle w:val="normaltextrunscx98479858"/>
          <w:rFonts w:ascii="Book Antiqua" w:hAnsi="Book Antiqua" w:cs="Segoe UI"/>
        </w:rPr>
        <w:t>: +31</w:t>
      </w:r>
      <w:r w:rsidR="00045356" w:rsidRPr="00706939">
        <w:rPr>
          <w:rStyle w:val="normaltextrunscx98479858"/>
          <w:rFonts w:ascii="Book Antiqua" w:eastAsiaTheme="minorEastAsia" w:hAnsi="Book Antiqua" w:cs="Segoe UI" w:hint="eastAsia"/>
          <w:lang w:eastAsia="zh-CN"/>
        </w:rPr>
        <w:t>-</w:t>
      </w:r>
      <w:r w:rsidRPr="00706939">
        <w:rPr>
          <w:rStyle w:val="normaltextrunscx98479858"/>
          <w:rFonts w:ascii="Book Antiqua" w:hAnsi="Book Antiqua" w:cs="Segoe UI"/>
        </w:rPr>
        <w:t>887</w:t>
      </w:r>
      <w:r w:rsidR="00045356" w:rsidRPr="00706939">
        <w:rPr>
          <w:rStyle w:val="normaltextrunscx98479858"/>
          <w:rFonts w:ascii="Book Antiqua" w:eastAsiaTheme="minorEastAsia" w:hAnsi="Book Antiqua" w:cs="Segoe UI" w:hint="eastAsia"/>
          <w:lang w:eastAsia="zh-CN"/>
        </w:rPr>
        <w:t>-</w:t>
      </w:r>
      <w:r w:rsidRPr="00706939">
        <w:rPr>
          <w:rStyle w:val="normaltextrunscx98479858"/>
          <w:rFonts w:ascii="Book Antiqua" w:hAnsi="Book Antiqua" w:cs="Segoe UI"/>
        </w:rPr>
        <w:t>555555</w:t>
      </w:r>
      <w:r w:rsidR="00D55257" w:rsidRPr="00706939">
        <w:rPr>
          <w:rStyle w:val="normaltextrunscx98479858"/>
          <w:rFonts w:ascii="Book Antiqua" w:hAnsi="Book Antiqua" w:cs="Segoe UI"/>
        </w:rPr>
        <w:t xml:space="preserve">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Fax</w:t>
      </w:r>
      <w:r w:rsidRPr="00706939">
        <w:rPr>
          <w:rStyle w:val="normaltextrunscx98479858"/>
          <w:rFonts w:ascii="Book Antiqua" w:hAnsi="Book Antiqua" w:cs="Segoe UI"/>
        </w:rPr>
        <w:t>: +31</w:t>
      </w:r>
      <w:r w:rsidR="00045356" w:rsidRPr="00706939">
        <w:rPr>
          <w:rStyle w:val="normaltextrunscx98479858"/>
          <w:rFonts w:ascii="Book Antiqua" w:eastAsiaTheme="minorEastAsia" w:hAnsi="Book Antiqua" w:cs="Segoe UI" w:hint="eastAsia"/>
          <w:lang w:eastAsia="zh-CN"/>
        </w:rPr>
        <w:t>-</w:t>
      </w:r>
      <w:r w:rsidRPr="00706939">
        <w:rPr>
          <w:rStyle w:val="normaltextrunscx98479858"/>
          <w:rFonts w:ascii="Book Antiqua" w:hAnsi="Book Antiqua" w:cs="Segoe UI"/>
        </w:rPr>
        <w:t>887</w:t>
      </w:r>
      <w:r w:rsidR="00045356" w:rsidRPr="00706939">
        <w:rPr>
          <w:rStyle w:val="normaltextrunscx98479858"/>
          <w:rFonts w:ascii="Book Antiqua" w:eastAsiaTheme="minorEastAsia" w:hAnsi="Book Antiqua" w:cs="Segoe UI" w:hint="eastAsia"/>
          <w:lang w:eastAsia="zh-CN"/>
        </w:rPr>
        <w:t>-</w:t>
      </w:r>
      <w:r w:rsidRPr="00706939">
        <w:rPr>
          <w:rStyle w:val="normaltextrunscx98479858"/>
          <w:rFonts w:ascii="Book Antiqua" w:hAnsi="Book Antiqua" w:cs="Segoe UI"/>
        </w:rPr>
        <w:t>555347</w:t>
      </w:r>
      <w:r w:rsidRPr="00706939">
        <w:rPr>
          <w:rStyle w:val="eopscx98479858"/>
          <w:rFonts w:ascii="Book Antiqua" w:hAnsi="Book Antiqua" w:cs="Segoe UI"/>
        </w:rPr>
        <w:t> </w:t>
      </w:r>
    </w:p>
    <w:p w:rsidR="00045356" w:rsidRPr="00CE28E8" w:rsidRDefault="00045356" w:rsidP="00CE28E8">
      <w:pPr>
        <w:pStyle w:val="paragraphscx98479858"/>
        <w:spacing w:before="0" w:beforeAutospacing="0" w:after="0" w:afterAutospacing="0" w:line="360" w:lineRule="auto"/>
        <w:jc w:val="both"/>
        <w:textAlignment w:val="baseline"/>
        <w:rPr>
          <w:rFonts w:ascii="Book Antiqua" w:hAnsi="Book Antiqua" w:cs="Segoe UI"/>
        </w:rPr>
      </w:pPr>
      <w:r w:rsidRPr="00706939">
        <w:rPr>
          <w:rFonts w:ascii="Book Antiqua" w:hAnsi="Book Antiqua"/>
          <w:b/>
        </w:rPr>
        <w:t xml:space="preserve">Received:   </w:t>
      </w:r>
      <w:r w:rsidRPr="00706939">
        <w:rPr>
          <w:rFonts w:ascii="Book Antiqua" w:hAnsi="Book Antiqua" w:hint="eastAsia"/>
          <w:lang w:eastAsia="zh-CN"/>
        </w:rPr>
        <w:t>September 9, 2014</w:t>
      </w:r>
    </w:p>
    <w:p w:rsidR="00045356" w:rsidRPr="00706939" w:rsidRDefault="00045356" w:rsidP="00045356">
      <w:pPr>
        <w:spacing w:line="360" w:lineRule="auto"/>
        <w:rPr>
          <w:rFonts w:ascii="Book Antiqua" w:hAnsi="Book Antiqua"/>
          <w:sz w:val="24"/>
          <w:lang w:eastAsia="zh-CN"/>
        </w:rPr>
      </w:pPr>
      <w:r w:rsidRPr="00706939">
        <w:rPr>
          <w:rFonts w:ascii="Book Antiqua" w:hAnsi="Book Antiqua" w:hint="eastAsia"/>
          <w:b/>
          <w:sz w:val="24"/>
        </w:rPr>
        <w:t>Peer-review started</w:t>
      </w:r>
      <w:r w:rsidRPr="00706939">
        <w:rPr>
          <w:rFonts w:ascii="Book Antiqua" w:hAnsi="Book Antiqua"/>
          <w:b/>
          <w:sz w:val="24"/>
        </w:rPr>
        <w:t>:</w:t>
      </w:r>
      <w:r w:rsidRPr="00706939">
        <w:rPr>
          <w:rFonts w:ascii="Book Antiqua" w:hAnsi="Book Antiqua" w:hint="eastAsia"/>
          <w:b/>
          <w:sz w:val="24"/>
          <w:lang w:eastAsia="zh-CN"/>
        </w:rPr>
        <w:t xml:space="preserve"> </w:t>
      </w:r>
      <w:r w:rsidRPr="00706939">
        <w:rPr>
          <w:rFonts w:ascii="Book Antiqua" w:hAnsi="Book Antiqua" w:hint="eastAsia"/>
          <w:sz w:val="24"/>
          <w:lang w:eastAsia="zh-CN"/>
        </w:rPr>
        <w:t>September 10, 2014</w:t>
      </w:r>
    </w:p>
    <w:p w:rsidR="00045356" w:rsidRPr="00706939" w:rsidRDefault="00045356" w:rsidP="00045356">
      <w:pPr>
        <w:spacing w:line="360" w:lineRule="auto"/>
        <w:rPr>
          <w:rFonts w:ascii="Book Antiqua" w:hAnsi="Book Antiqua"/>
          <w:sz w:val="24"/>
          <w:lang w:eastAsia="zh-CN"/>
        </w:rPr>
      </w:pPr>
      <w:r w:rsidRPr="00706939">
        <w:rPr>
          <w:rFonts w:ascii="Book Antiqua" w:hAnsi="Book Antiqua"/>
          <w:b/>
          <w:sz w:val="24"/>
        </w:rPr>
        <w:t>First decision:</w:t>
      </w:r>
      <w:r w:rsidRPr="00706939">
        <w:rPr>
          <w:rFonts w:ascii="Book Antiqua" w:hAnsi="Book Antiqua" w:hint="eastAsia"/>
          <w:sz w:val="24"/>
          <w:lang w:eastAsia="zh-CN"/>
        </w:rPr>
        <w:t xml:space="preserve"> October 14, 2014</w:t>
      </w:r>
    </w:p>
    <w:p w:rsidR="00045356" w:rsidRPr="00706939" w:rsidRDefault="00045356" w:rsidP="00045356">
      <w:pPr>
        <w:spacing w:line="360" w:lineRule="auto"/>
        <w:rPr>
          <w:rFonts w:ascii="Book Antiqua" w:hAnsi="Book Antiqua"/>
          <w:sz w:val="24"/>
          <w:lang w:eastAsia="zh-CN"/>
        </w:rPr>
      </w:pPr>
      <w:r w:rsidRPr="00706939">
        <w:rPr>
          <w:rFonts w:ascii="Book Antiqua" w:hAnsi="Book Antiqua"/>
          <w:b/>
          <w:sz w:val="24"/>
        </w:rPr>
        <w:t xml:space="preserve">Revised: </w:t>
      </w:r>
      <w:r w:rsidRPr="00706939">
        <w:rPr>
          <w:rFonts w:ascii="Book Antiqua" w:hAnsi="Book Antiqua"/>
          <w:sz w:val="24"/>
        </w:rPr>
        <w:t xml:space="preserve"> </w:t>
      </w:r>
      <w:r w:rsidRPr="00706939">
        <w:rPr>
          <w:rFonts w:ascii="Book Antiqua" w:hAnsi="Book Antiqua" w:hint="eastAsia"/>
          <w:sz w:val="24"/>
          <w:lang w:eastAsia="zh-CN"/>
        </w:rPr>
        <w:t>December 2, 2014</w:t>
      </w:r>
    </w:p>
    <w:p w:rsidR="00045356" w:rsidRPr="008517D3" w:rsidRDefault="00045356" w:rsidP="008517D3">
      <w:pPr>
        <w:rPr>
          <w:rFonts w:ascii="Book Antiqua" w:hAnsi="Book Antiqua"/>
          <w:color w:val="000000"/>
          <w:sz w:val="24"/>
        </w:rPr>
      </w:pPr>
      <w:r w:rsidRPr="00706939">
        <w:rPr>
          <w:rFonts w:ascii="Book Antiqua" w:hAnsi="Book Antiqua"/>
          <w:b/>
          <w:sz w:val="24"/>
        </w:rPr>
        <w:t>Accepted:</w:t>
      </w:r>
      <w:bookmarkStart w:id="1" w:name="OLE_LINK37"/>
      <w:bookmarkStart w:id="2" w:name="OLE_LINK36"/>
      <w:bookmarkStart w:id="3" w:name="OLE_LINK32"/>
      <w:bookmarkStart w:id="4" w:name="OLE_LINK31"/>
      <w:bookmarkStart w:id="5" w:name="OLE_LINK30"/>
      <w:bookmarkStart w:id="6" w:name="OLE_LINK29"/>
      <w:bookmarkStart w:id="7" w:name="OLE_LINK28"/>
      <w:bookmarkStart w:id="8" w:name="OLE_LINK25"/>
      <w:bookmarkStart w:id="9" w:name="OLE_LINK24"/>
      <w:bookmarkStart w:id="10" w:name="OLE_LINK22"/>
      <w:bookmarkStart w:id="11" w:name="OLE_LINK19"/>
      <w:bookmarkStart w:id="12" w:name="OLE_LINK18"/>
      <w:bookmarkStart w:id="13" w:name="OLE_LINK7"/>
      <w:bookmarkStart w:id="14" w:name="OLE_LINK13"/>
      <w:bookmarkStart w:id="15" w:name="OLE_LINK6"/>
      <w:bookmarkStart w:id="16" w:name="OLE_LINK10"/>
      <w:bookmarkStart w:id="17" w:name="OLE_LINK9"/>
      <w:bookmarkStart w:id="18" w:name="OLE_LINK8"/>
      <w:bookmarkStart w:id="19" w:name="OLE_LINK5"/>
      <w:bookmarkStart w:id="20" w:name="OLE_LINK4"/>
      <w:bookmarkStart w:id="21" w:name="OLE_LINK3"/>
      <w:bookmarkStart w:id="22" w:name="OLE_LINK2"/>
      <w:bookmarkStart w:id="23" w:name="OLE_LINK43"/>
      <w:bookmarkStart w:id="24" w:name="OLE_LINK45"/>
      <w:r w:rsidR="008517D3" w:rsidRPr="008517D3">
        <w:rPr>
          <w:rFonts w:ascii="Book Antiqua" w:hAnsi="Book Antiqua"/>
          <w:color w:val="000000"/>
          <w:sz w:val="24"/>
        </w:rPr>
        <w:t xml:space="preserve"> </w:t>
      </w:r>
      <w:r w:rsidR="008517D3">
        <w:rPr>
          <w:rFonts w:ascii="Book Antiqua" w:hAnsi="Book Antiqua"/>
          <w:color w:val="000000"/>
          <w:sz w:val="24"/>
        </w:rPr>
        <w:t>January 8, 201</w:t>
      </w:r>
      <w:bookmarkEnd w:id="1"/>
      <w:bookmarkEnd w:id="2"/>
      <w:r w:rsidR="008517D3">
        <w:rPr>
          <w:rFonts w:ascii="Book Antiqua" w:hAnsi="Book Antiqua"/>
          <w:color w:val="000000"/>
          <w:sz w:val="24"/>
        </w:rPr>
        <w:t>5</w:t>
      </w:r>
      <w:bookmarkStart w:id="25" w:name="_GoBack"/>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706939">
        <w:rPr>
          <w:rFonts w:ascii="Book Antiqua" w:hAnsi="Book Antiqua"/>
          <w:b/>
          <w:sz w:val="24"/>
        </w:rPr>
        <w:t xml:space="preserve"> </w:t>
      </w:r>
    </w:p>
    <w:p w:rsidR="00045356" w:rsidRPr="00706939" w:rsidRDefault="00045356" w:rsidP="00045356">
      <w:pPr>
        <w:spacing w:line="360" w:lineRule="auto"/>
        <w:rPr>
          <w:rFonts w:ascii="Book Antiqua" w:hAnsi="Book Antiqua"/>
          <w:b/>
          <w:sz w:val="24"/>
        </w:rPr>
      </w:pPr>
      <w:r w:rsidRPr="00706939">
        <w:rPr>
          <w:rFonts w:ascii="Book Antiqua" w:hAnsi="Book Antiqua"/>
          <w:b/>
          <w:sz w:val="24"/>
        </w:rPr>
        <w:t>Article in press:</w:t>
      </w:r>
    </w:p>
    <w:p w:rsidR="00045356" w:rsidRPr="00706939" w:rsidRDefault="00045356" w:rsidP="00045356">
      <w:pPr>
        <w:spacing w:line="360" w:lineRule="auto"/>
        <w:rPr>
          <w:rFonts w:ascii="Book Antiqua" w:hAnsi="Book Antiqua"/>
          <w:b/>
          <w:sz w:val="24"/>
        </w:rPr>
      </w:pPr>
      <w:r w:rsidRPr="00706939">
        <w:rPr>
          <w:rFonts w:ascii="Book Antiqua" w:hAnsi="Book Antiqua"/>
          <w:b/>
          <w:sz w:val="24"/>
        </w:rPr>
        <w:t xml:space="preserve">Published online: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043D25" w:rsidRPr="00706939" w:rsidRDefault="00043D25" w:rsidP="00045356">
      <w:pPr>
        <w:pStyle w:val="paragraphscx98479858"/>
        <w:spacing w:before="0" w:beforeAutospacing="0" w:after="0" w:afterAutospacing="0" w:line="360" w:lineRule="auto"/>
        <w:jc w:val="both"/>
        <w:textAlignment w:val="baseline"/>
        <w:rPr>
          <w:rFonts w:ascii="Book Antiqua" w:hAnsi="Book Antiqua" w:cs="Segoe UI"/>
        </w:rPr>
      </w:pPr>
    </w:p>
    <w:p w:rsidR="00045356" w:rsidRPr="00706939" w:rsidRDefault="00045356">
      <w:pPr>
        <w:spacing w:after="0" w:line="240" w:lineRule="auto"/>
        <w:rPr>
          <w:rStyle w:val="normaltextrunscx98479858"/>
          <w:rFonts w:ascii="Book Antiqua" w:eastAsia="Times New Roman" w:hAnsi="Book Antiqua" w:cs="Segoe UI"/>
          <w:b/>
          <w:bCs/>
          <w:sz w:val="24"/>
          <w:szCs w:val="24"/>
          <w:lang w:val="en-US"/>
        </w:rPr>
      </w:pPr>
      <w:r w:rsidRPr="00706939">
        <w:rPr>
          <w:rStyle w:val="normaltextrunscx98479858"/>
          <w:rFonts w:ascii="Book Antiqua" w:hAnsi="Book Antiqua" w:cs="Segoe UI"/>
          <w:b/>
          <w:bCs/>
        </w:rPr>
        <w:br w:type="page"/>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lastRenderedPageBreak/>
        <w:t>Abstract</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 xml:space="preserve">AIM: </w:t>
      </w:r>
      <w:r w:rsidRPr="00706939">
        <w:rPr>
          <w:rStyle w:val="normaltextrunscx98479858"/>
          <w:rFonts w:ascii="Book Antiqua" w:hAnsi="Book Antiqua" w:cs="Segoe UI"/>
        </w:rPr>
        <w:t xml:space="preserve">To investigate whether performing </w:t>
      </w:r>
      <w:proofErr w:type="spellStart"/>
      <w:r w:rsidRPr="00706939">
        <w:rPr>
          <w:rStyle w:val="spellingerrorscx98479858"/>
          <w:rFonts w:ascii="Book Antiqua" w:hAnsi="Book Antiqua" w:cs="Segoe UI"/>
        </w:rPr>
        <w:t>immunohistochemical</w:t>
      </w:r>
      <w:proofErr w:type="spellEnd"/>
      <w:r w:rsidRPr="00706939">
        <w:rPr>
          <w:rStyle w:val="normaltextrunscx98479858"/>
          <w:rFonts w:ascii="Book Antiqua" w:hAnsi="Book Antiqua" w:cs="Segoe UI"/>
        </w:rPr>
        <w:t xml:space="preserve"> CD3 staining, in order to improve the detection of intra-epithelial lymphocytosis, has an additional value in the histological diagnosis of </w:t>
      </w:r>
      <w:r w:rsidR="007E47C2">
        <w:rPr>
          <w:rStyle w:val="normaltextrunscx98479858"/>
          <w:rFonts w:ascii="Book Antiqua" w:hAnsi="Book Antiqua" w:cs="Segoe UI"/>
        </w:rPr>
        <w:t>celiac disease</w:t>
      </w:r>
      <w:r w:rsidRPr="00706939">
        <w:rPr>
          <w:rStyle w:val="normaltextrunscx98479858"/>
          <w:rFonts w:ascii="Book Antiqua" w:hAnsi="Book Antiqua" w:cs="Segoe UI"/>
        </w:rPr>
        <w:t>.</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 xml:space="preserve">METHODS: </w:t>
      </w:r>
      <w:r w:rsidRPr="00706939">
        <w:rPr>
          <w:rStyle w:val="normaltextrunscx98479858"/>
          <w:rFonts w:ascii="Book Antiqua" w:hAnsi="Book Antiqua" w:cs="Segoe UI"/>
        </w:rPr>
        <w:t xml:space="preserve">Biopsies stained by </w:t>
      </w:r>
      <w:proofErr w:type="spellStart"/>
      <w:r w:rsidRPr="00706939">
        <w:rPr>
          <w:rStyle w:val="spellingerrorscx98479858"/>
          <w:rFonts w:ascii="Book Antiqua" w:hAnsi="Book Antiqua" w:cs="Segoe UI"/>
        </w:rPr>
        <w:t>hematoxylin</w:t>
      </w:r>
      <w:proofErr w:type="spellEnd"/>
      <w:r w:rsidRPr="00706939">
        <w:rPr>
          <w:rStyle w:val="normaltextrunscx98479858"/>
          <w:rFonts w:ascii="Book Antiqua" w:hAnsi="Book Antiqua" w:cs="Segoe UI"/>
        </w:rPr>
        <w:t xml:space="preserve"> and eosin (HE) of 159 children were evaluated using the Marsh classification. Subsequently CD3 stains were evaluated separately and independently. </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 xml:space="preserve">RESULTS: </w:t>
      </w:r>
      <w:r w:rsidRPr="00706939">
        <w:rPr>
          <w:rStyle w:val="normaltextrunscx98479858"/>
          <w:rFonts w:ascii="Book Antiqua" w:hAnsi="Book Antiqua" w:cs="Segoe UI"/>
        </w:rPr>
        <w:t xml:space="preserve">A difference in evaluation between the routine HE sections and the CD3 stains was present in 20 (12.6%) cases. In 10 (6.3%) patients the diagnosis of </w:t>
      </w:r>
      <w:r w:rsidR="007E47C2">
        <w:rPr>
          <w:rStyle w:val="normaltextrunscx98479858"/>
          <w:rFonts w:ascii="Book Antiqua" w:hAnsi="Book Antiqua" w:cs="Segoe UI"/>
        </w:rPr>
        <w:t>Celiac disease</w:t>
      </w:r>
      <w:r w:rsidRPr="00706939">
        <w:rPr>
          <w:rStyle w:val="normaltextrunscx98479858"/>
          <w:rFonts w:ascii="Book Antiqua" w:hAnsi="Book Antiqua" w:cs="Segoe UI"/>
        </w:rPr>
        <w:t xml:space="preserve"> (Marsh II and III) changed upon examination of the CD3 stains: </w:t>
      </w:r>
      <w:proofErr w:type="gramStart"/>
      <w:r w:rsidRPr="00706939">
        <w:rPr>
          <w:rStyle w:val="normaltextrunscx98479858"/>
          <w:rFonts w:ascii="Book Antiqua" w:hAnsi="Book Antiqua" w:cs="Segoe UI"/>
        </w:rPr>
        <w:t>in 9 case</w:t>
      </w:r>
      <w:proofErr w:type="gramEnd"/>
      <w:r w:rsidRPr="00706939">
        <w:rPr>
          <w:rStyle w:val="normaltextrunscx98479858"/>
          <w:rFonts w:ascii="Book Antiqua" w:hAnsi="Book Antiqua" w:cs="Segoe UI"/>
        </w:rPr>
        <w:t xml:space="preserve"> </w:t>
      </w:r>
      <w:r w:rsidR="007E47C2">
        <w:rPr>
          <w:rStyle w:val="normaltextrunscx98479858"/>
          <w:rFonts w:ascii="Book Antiqua" w:hAnsi="Book Antiqua" w:cs="Segoe UI"/>
        </w:rPr>
        <w:t>celiac disease</w:t>
      </w:r>
      <w:r w:rsidRPr="00706939">
        <w:rPr>
          <w:rStyle w:val="normaltextrunscx98479858"/>
          <w:rFonts w:ascii="Book Antiqua" w:hAnsi="Book Antiqua" w:cs="Segoe UI"/>
        </w:rPr>
        <w:t xml:space="preserve"> had initially been missed on the HE sections while 1 patient had been over-diagnosed on the routine sections. In all patients the final diagnosis based on the CD3 stains was concordant with serological results, but was not so previously.</w:t>
      </w:r>
      <w:r w:rsidRPr="00706939">
        <w:rPr>
          <w:rStyle w:val="normaltextrunscx98479858"/>
          <w:rFonts w:ascii="Book Antiqua" w:hAnsi="Book Antiqua" w:cs="Segoe UI"/>
          <w:b/>
          <w:bCs/>
        </w:rPr>
        <w:t xml:space="preserve"> </w:t>
      </w:r>
      <w:r w:rsidRPr="00706939">
        <w:rPr>
          <w:rStyle w:val="normaltextrunscx98479858"/>
          <w:rFonts w:ascii="Book Antiqua" w:hAnsi="Book Antiqua" w:cs="Segoe UI"/>
        </w:rPr>
        <w:t>In the other 10 (12.3%) patients the detection of sole intra-epithelial lymphocytosis (Marsh I) improved. Nine patients turned out to have Marsh I on CD3 sections, but this had been missed on routine sections. Interestingly, the only patient with negative serology had Giardiasis. Finally, in 1 patient with negative serology, in whom Marsh I was suspected on HE sections, this diagnosis was withdrawn after evaluation of the CD3 sections. </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 xml:space="preserve">CONCLUSION: </w:t>
      </w:r>
      <w:r w:rsidRPr="00706939">
        <w:rPr>
          <w:rStyle w:val="normaltextrunscx98479858"/>
          <w:rFonts w:ascii="Book Antiqua" w:hAnsi="Book Antiqua" w:cs="Segoe UI"/>
        </w:rPr>
        <w:t>S</w:t>
      </w:r>
      <w:r w:rsidRPr="00706939">
        <w:rPr>
          <w:rStyle w:val="spellingerrorscx98479858"/>
          <w:rFonts w:ascii="Book Antiqua" w:hAnsi="Book Antiqua" w:cs="Segoe UI"/>
        </w:rPr>
        <w:t>taining</w:t>
      </w:r>
      <w:r w:rsidRPr="00706939">
        <w:rPr>
          <w:rStyle w:val="normaltextrunscx98479858"/>
          <w:rFonts w:ascii="Book Antiqua" w:hAnsi="Book Antiqua" w:cs="Segoe UI"/>
        </w:rPr>
        <w:t xml:space="preserve"> for CD3 has an additional value in the histological detection of </w:t>
      </w:r>
      <w:r w:rsidR="007E47C2">
        <w:rPr>
          <w:rStyle w:val="normaltextrunscx98479858"/>
          <w:rFonts w:ascii="Book Antiqua" w:hAnsi="Book Antiqua" w:cs="Segoe UI"/>
        </w:rPr>
        <w:t>Celiac disease</w:t>
      </w:r>
      <w:r w:rsidRPr="00706939">
        <w:rPr>
          <w:rStyle w:val="normaltextrunscx98479858"/>
          <w:rFonts w:ascii="Book Antiqua" w:hAnsi="Book Antiqua" w:cs="Segoe UI"/>
        </w:rPr>
        <w:t xml:space="preserve"> lesions, with CD3 stains to be performed whenever there is a discrepancy between serology and the diagnosis made on HE sections. </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043D25" w:rsidRPr="00706939" w:rsidRDefault="00045356" w:rsidP="006E4C7D">
      <w:pPr>
        <w:spacing w:line="360" w:lineRule="auto"/>
        <w:jc w:val="both"/>
        <w:rPr>
          <w:rFonts w:ascii="Book Antiqua" w:hAnsi="Book Antiqua" w:cs="Arial"/>
          <w:sz w:val="24"/>
          <w:lang w:eastAsia="zh-CN"/>
        </w:rPr>
      </w:pPr>
      <w:r w:rsidRPr="00706939">
        <w:rPr>
          <w:rFonts w:ascii="Book Antiqua" w:hAnsi="Book Antiqua"/>
          <w:sz w:val="24"/>
        </w:rPr>
        <w:t>©</w:t>
      </w:r>
      <w:r w:rsidRPr="00706939">
        <w:rPr>
          <w:rFonts w:ascii="Book Antiqua" w:hAnsi="Book Antiqua" w:hint="eastAsia"/>
          <w:sz w:val="24"/>
        </w:rPr>
        <w:t xml:space="preserve"> </w:t>
      </w:r>
      <w:r w:rsidRPr="00706939">
        <w:rPr>
          <w:rFonts w:ascii="Book Antiqua" w:hAnsi="Book Antiqua" w:cs="Arial"/>
          <w:sz w:val="24"/>
        </w:rPr>
        <w:t>The Author(s) 2015. Published by Baishideng Publishing Group Inc. All rights reserved.</w:t>
      </w:r>
    </w:p>
    <w:p w:rsidR="00045356" w:rsidRPr="00706939" w:rsidRDefault="00045356" w:rsidP="00045356">
      <w:pPr>
        <w:spacing w:line="360" w:lineRule="auto"/>
        <w:rPr>
          <w:rStyle w:val="eopscx98479858"/>
          <w:rFonts w:ascii="Book Antiqua" w:hAnsi="Book Antiqua" w:cs="Arial"/>
          <w:sz w:val="24"/>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eastAsiaTheme="minorEastAsia" w:hAnsi="Book Antiqua" w:cs="Segoe UI"/>
          <w:lang w:eastAsia="zh-CN"/>
        </w:rPr>
      </w:pPr>
      <w:r w:rsidRPr="00706939">
        <w:rPr>
          <w:rStyle w:val="normaltextrunscx98479858"/>
          <w:rFonts w:ascii="Book Antiqua" w:hAnsi="Book Antiqua" w:cs="Segoe UI"/>
          <w:b/>
          <w:bCs/>
        </w:rPr>
        <w:lastRenderedPageBreak/>
        <w:t>Key words</w:t>
      </w:r>
      <w:r w:rsidRPr="00706939">
        <w:rPr>
          <w:rStyle w:val="normaltextrunscx98479858"/>
          <w:rFonts w:ascii="Book Antiqua" w:hAnsi="Book Antiqua" w:cs="Segoe UI"/>
        </w:rPr>
        <w:t xml:space="preserve">: </w:t>
      </w:r>
      <w:r w:rsidR="007E47C2">
        <w:rPr>
          <w:rStyle w:val="normaltextrunscx98479858"/>
          <w:rFonts w:ascii="Book Antiqua" w:hAnsi="Book Antiqua" w:cs="Segoe UI"/>
        </w:rPr>
        <w:t>Celiac disease</w:t>
      </w:r>
      <w:r w:rsidRPr="00706939">
        <w:rPr>
          <w:rStyle w:val="normaltextrunscx98479858"/>
          <w:rFonts w:ascii="Book Antiqua" w:hAnsi="Book Antiqua" w:cs="Segoe UI"/>
        </w:rPr>
        <w:t xml:space="preserve">; CD3 staining; </w:t>
      </w:r>
      <w:r w:rsidR="006F74F7" w:rsidRPr="00706939">
        <w:rPr>
          <w:rStyle w:val="normaltextrunscx98479858"/>
          <w:rFonts w:ascii="Book Antiqua" w:hAnsi="Book Antiqua" w:cs="Segoe UI"/>
        </w:rPr>
        <w:t>Diagnosis</w:t>
      </w:r>
      <w:r w:rsidRPr="00706939">
        <w:rPr>
          <w:rStyle w:val="normaltextrunscx98479858"/>
          <w:rFonts w:ascii="Book Antiqua" w:hAnsi="Book Antiqua" w:cs="Segoe UI"/>
        </w:rPr>
        <w:t xml:space="preserve">; </w:t>
      </w:r>
      <w:r w:rsidR="006F74F7" w:rsidRPr="00706939">
        <w:rPr>
          <w:rStyle w:val="normaltextrunscx98479858"/>
          <w:rFonts w:ascii="Book Antiqua" w:hAnsi="Book Antiqua" w:cs="Segoe UI"/>
        </w:rPr>
        <w:t>Intra</w:t>
      </w:r>
      <w:r w:rsidRPr="00706939">
        <w:rPr>
          <w:rStyle w:val="normaltextrunscx98479858"/>
          <w:rFonts w:ascii="Book Antiqua" w:hAnsi="Book Antiqua" w:cs="Segoe UI"/>
        </w:rPr>
        <w:t xml:space="preserve">-epithelial lymphocytosis; </w:t>
      </w:r>
      <w:r w:rsidR="00C83AC5" w:rsidRPr="00706939">
        <w:rPr>
          <w:rStyle w:val="normaltextrunscx98479858"/>
          <w:rFonts w:ascii="Book Antiqua" w:hAnsi="Book Antiqua" w:cs="Segoe UI"/>
        </w:rPr>
        <w:t>Histology</w:t>
      </w:r>
      <w:r w:rsidRPr="00706939">
        <w:rPr>
          <w:rStyle w:val="normaltextrunscx98479858"/>
          <w:rFonts w:ascii="Book Antiqua" w:hAnsi="Book Antiqua" w:cs="Segoe UI"/>
        </w:rPr>
        <w:t>; Marsh classification</w:t>
      </w:r>
      <w:r w:rsidRPr="00706939">
        <w:rPr>
          <w:rStyle w:val="eopscx98479858"/>
          <w:rFonts w:ascii="Book Antiqua" w:hAnsi="Book Antiqua" w:cs="Segoe UI"/>
        </w:rPr>
        <w:t> </w:t>
      </w:r>
    </w:p>
    <w:p w:rsidR="00045356" w:rsidRPr="00706939" w:rsidRDefault="00045356" w:rsidP="00045356">
      <w:pPr>
        <w:pStyle w:val="paragraphscx98479858"/>
        <w:spacing w:before="0" w:beforeAutospacing="0" w:after="0" w:afterAutospacing="0" w:line="360" w:lineRule="auto"/>
        <w:jc w:val="both"/>
        <w:textAlignment w:val="baseline"/>
        <w:rPr>
          <w:rStyle w:val="eopscx98479858"/>
          <w:rFonts w:ascii="Book Antiqua" w:eastAsiaTheme="minorEastAsia" w:hAnsi="Book Antiqua" w:cs="Segoe UI"/>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Core tip:</w:t>
      </w:r>
      <w:r w:rsidRPr="00706939">
        <w:rPr>
          <w:rStyle w:val="eopscx98479858"/>
          <w:rFonts w:ascii="Book Antiqua" w:hAnsi="Book Antiqua" w:cs="Segoe UI"/>
        </w:rPr>
        <w:t> </w:t>
      </w:r>
      <w:r w:rsidR="00045356" w:rsidRPr="00706939">
        <w:rPr>
          <w:rFonts w:ascii="Book Antiqua" w:eastAsiaTheme="minorEastAsia" w:hAnsi="Book Antiqua" w:cs="Segoe UI" w:hint="eastAsia"/>
          <w:lang w:eastAsia="zh-CN"/>
        </w:rPr>
        <w:t xml:space="preserve"> </w:t>
      </w:r>
      <w:r w:rsidRPr="00706939">
        <w:rPr>
          <w:rStyle w:val="normaltextrunscx98479858"/>
          <w:rFonts w:ascii="Book Antiqua" w:hAnsi="Book Antiqua" w:cs="Segoe UI"/>
        </w:rPr>
        <w:t xml:space="preserve">Intra-epithelial lymphocytosis is considered to be the most important histological finding in </w:t>
      </w:r>
      <w:r w:rsidR="006E4C7D">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and therefore provides the key to a correct diagnosis. However, when evaluating the number of intra-epithelial lymphocytes on </w:t>
      </w:r>
      <w:proofErr w:type="spellStart"/>
      <w:r w:rsidRPr="00706939">
        <w:rPr>
          <w:rStyle w:val="spellingerrorscx98479858"/>
          <w:rFonts w:ascii="Book Antiqua" w:hAnsi="Book Antiqua" w:cs="Segoe UI"/>
        </w:rPr>
        <w:t>hematoxylin</w:t>
      </w:r>
      <w:proofErr w:type="spellEnd"/>
      <w:r w:rsidRPr="00706939">
        <w:rPr>
          <w:rStyle w:val="normaltextrunscx98479858"/>
          <w:rFonts w:ascii="Book Antiqua" w:hAnsi="Book Antiqua" w:cs="Segoe UI"/>
        </w:rPr>
        <w:t xml:space="preserve"> and eosin stained sections, the lack of contrast between the cells might cause some diagnostic difficulties. In this study we showed that performing CD3 stains improves the histological diagnosis of </w:t>
      </w:r>
      <w:r w:rsidR="008E7331">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In fact, this study demonstrated that CD3 staining should be performed whenever there is a discrepancy between serology and the histological evaluation on routine sections.       </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045356"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val="nl-NL" w:eastAsia="zh-CN"/>
        </w:rPr>
      </w:pPr>
      <w:r w:rsidRPr="00706939">
        <w:rPr>
          <w:rStyle w:val="spellingerrorscx98479858"/>
          <w:rFonts w:ascii="Book Antiqua" w:hAnsi="Book Antiqua" w:cs="Segoe UI"/>
          <w:lang w:val="nl-NL"/>
        </w:rPr>
        <w:t>Mubarak</w:t>
      </w:r>
      <w:r w:rsidRPr="00706939">
        <w:rPr>
          <w:rStyle w:val="spellingerrorscx98479858"/>
          <w:rFonts w:ascii="Book Antiqua" w:eastAsiaTheme="minorEastAsia" w:hAnsi="Book Antiqua" w:cs="Segoe UI" w:hint="eastAsia"/>
          <w:lang w:val="nl-NL" w:eastAsia="zh-CN"/>
        </w:rPr>
        <w:t xml:space="preserve"> </w:t>
      </w:r>
      <w:r w:rsidRPr="00706939">
        <w:rPr>
          <w:rStyle w:val="normaltextrunscx98479858"/>
          <w:rFonts w:ascii="Book Antiqua" w:hAnsi="Book Antiqua" w:cs="Segoe UI"/>
          <w:lang w:val="nl-NL"/>
        </w:rPr>
        <w:t>A</w:t>
      </w:r>
      <w:r w:rsidRPr="00706939">
        <w:rPr>
          <w:rStyle w:val="normaltextrunscx98479858"/>
          <w:rFonts w:ascii="Book Antiqua" w:eastAsiaTheme="minorEastAsia" w:hAnsi="Book Antiqua" w:cs="Segoe UI" w:hint="eastAsia"/>
          <w:lang w:val="nl-NL" w:eastAsia="zh-CN"/>
        </w:rPr>
        <w:t xml:space="preserve">, </w:t>
      </w:r>
      <w:r w:rsidRPr="00706939">
        <w:rPr>
          <w:rStyle w:val="normaltextrunscx98479858"/>
          <w:rFonts w:ascii="Book Antiqua" w:hAnsi="Book Antiqua" w:cs="Segoe UI"/>
          <w:lang w:val="nl-NL"/>
        </w:rPr>
        <w:t>Wolters</w:t>
      </w:r>
      <w:r w:rsidRPr="00706939">
        <w:rPr>
          <w:rStyle w:val="normaltextrunscx98479858"/>
          <w:rFonts w:ascii="Book Antiqua" w:eastAsiaTheme="minorEastAsia" w:hAnsi="Book Antiqua" w:cs="Segoe UI" w:hint="eastAsia"/>
          <w:lang w:val="nl-NL" w:eastAsia="zh-CN"/>
        </w:rPr>
        <w:t xml:space="preserve"> </w:t>
      </w:r>
      <w:r w:rsidRPr="00706939">
        <w:rPr>
          <w:rStyle w:val="normaltextrunscx98479858"/>
          <w:rFonts w:ascii="Book Antiqua" w:hAnsi="Book Antiqua" w:cs="Segoe UI"/>
          <w:lang w:val="nl-NL"/>
        </w:rPr>
        <w:t>VM</w:t>
      </w:r>
      <w:r w:rsidRPr="00706939">
        <w:rPr>
          <w:rStyle w:val="normaltextrunscx98479858"/>
          <w:rFonts w:ascii="Book Antiqua" w:eastAsiaTheme="minorEastAsia" w:hAnsi="Book Antiqua" w:cs="Segoe UI" w:hint="eastAsia"/>
          <w:lang w:val="nl-NL" w:eastAsia="zh-CN"/>
        </w:rPr>
        <w:t>,</w:t>
      </w:r>
      <w:r w:rsidRPr="00706939">
        <w:rPr>
          <w:rStyle w:val="normaltextrunscx98479858"/>
          <w:rFonts w:ascii="Book Antiqua" w:hAnsi="Book Antiqua" w:cs="Segoe UI"/>
          <w:lang w:val="nl-NL"/>
        </w:rPr>
        <w:t xml:space="preserve"> Houwen</w:t>
      </w:r>
      <w:r w:rsidRPr="00706939">
        <w:rPr>
          <w:rStyle w:val="normaltextrunscx98479858"/>
          <w:rFonts w:ascii="Book Antiqua" w:eastAsiaTheme="minorEastAsia" w:hAnsi="Book Antiqua" w:cs="Segoe UI" w:hint="eastAsia"/>
          <w:lang w:val="nl-NL" w:eastAsia="zh-CN"/>
        </w:rPr>
        <w:t xml:space="preserve"> </w:t>
      </w:r>
      <w:r w:rsidRPr="00706939">
        <w:rPr>
          <w:rStyle w:val="normaltextrunscx98479858"/>
          <w:rFonts w:ascii="Book Antiqua" w:hAnsi="Book Antiqua" w:cs="Segoe UI"/>
          <w:lang w:val="nl-NL"/>
        </w:rPr>
        <w:t>RHJ; ten Kate</w:t>
      </w:r>
      <w:r w:rsidRPr="00706939">
        <w:rPr>
          <w:rStyle w:val="eopscx98479858"/>
          <w:rFonts w:ascii="Book Antiqua" w:hAnsi="Book Antiqua" w:cs="Segoe UI"/>
          <w:lang w:val="nl-NL"/>
        </w:rPr>
        <w:t> </w:t>
      </w:r>
      <w:r w:rsidRPr="00706939">
        <w:rPr>
          <w:rStyle w:val="normaltextrunscx98479858"/>
          <w:rFonts w:ascii="Book Antiqua" w:hAnsi="Book Antiqua" w:cs="Segoe UI"/>
          <w:lang w:val="nl-NL"/>
        </w:rPr>
        <w:t>FJW</w:t>
      </w:r>
      <w:r w:rsidRPr="00706939">
        <w:rPr>
          <w:rStyle w:val="normaltextrunscx98479858"/>
          <w:rFonts w:ascii="Book Antiqua" w:eastAsiaTheme="minorEastAsia" w:hAnsi="Book Antiqua" w:cs="Segoe UI" w:hint="eastAsia"/>
          <w:lang w:val="nl-NL" w:eastAsia="zh-CN"/>
        </w:rPr>
        <w:t>.</w:t>
      </w:r>
      <w:r w:rsidRPr="00706939">
        <w:rPr>
          <w:rFonts w:ascii="Book Antiqua" w:eastAsiaTheme="minorEastAsia" w:hAnsi="Book Antiqua" w:cs="Segoe UI" w:hint="eastAsia"/>
          <w:lang w:val="nl-NL" w:eastAsia="zh-CN"/>
        </w:rPr>
        <w:t xml:space="preserve"> </w:t>
      </w:r>
      <w:proofErr w:type="spellStart"/>
      <w:r w:rsidR="0043192C" w:rsidRPr="00706939">
        <w:rPr>
          <w:rStyle w:val="spellingerrorscx98479858"/>
          <w:rFonts w:ascii="Book Antiqua" w:hAnsi="Book Antiqua" w:cs="Segoe UI"/>
          <w:bCs/>
        </w:rPr>
        <w:t>Immunohistochemical</w:t>
      </w:r>
      <w:proofErr w:type="spellEnd"/>
      <w:r w:rsidR="0043192C" w:rsidRPr="00706939">
        <w:rPr>
          <w:rStyle w:val="normaltextrunscx98479858"/>
          <w:rFonts w:ascii="Book Antiqua" w:hAnsi="Book Antiqua" w:cs="Segoe UI"/>
          <w:bCs/>
        </w:rPr>
        <w:t xml:space="preserve"> CD3 staining detects additional patients with </w:t>
      </w:r>
      <w:r w:rsidR="008E7331">
        <w:rPr>
          <w:rStyle w:val="normaltextrunscx98479858"/>
          <w:rFonts w:ascii="Book Antiqua" w:hAnsi="Book Antiqua" w:cs="Segoe UI"/>
          <w:bCs/>
        </w:rPr>
        <w:t xml:space="preserve">celiac </w:t>
      </w:r>
      <w:r w:rsidR="007E47C2">
        <w:rPr>
          <w:rStyle w:val="normaltextrunscx98479858"/>
          <w:rFonts w:ascii="Book Antiqua" w:hAnsi="Book Antiqua" w:cs="Segoe UI"/>
          <w:bCs/>
        </w:rPr>
        <w:t>disease</w:t>
      </w:r>
      <w:r w:rsidRPr="00706939">
        <w:rPr>
          <w:rStyle w:val="normaltextrunscx98479858"/>
          <w:rFonts w:ascii="Book Antiqua" w:eastAsiaTheme="minorEastAsia" w:hAnsi="Book Antiqua" w:cs="Segoe UI" w:hint="eastAsia"/>
          <w:bCs/>
          <w:lang w:eastAsia="zh-CN"/>
        </w:rPr>
        <w:t>.</w:t>
      </w:r>
      <w:r w:rsidR="0043192C" w:rsidRPr="00706939">
        <w:rPr>
          <w:rStyle w:val="eopscx98479858"/>
          <w:rFonts w:ascii="Book Antiqua" w:hAnsi="Book Antiqua" w:cs="Segoe UI"/>
        </w:rPr>
        <w:t> </w:t>
      </w:r>
      <w:r w:rsidR="0043192C" w:rsidRPr="00706939">
        <w:rPr>
          <w:rStyle w:val="normaltextrunscx98479858"/>
          <w:rFonts w:ascii="Book Antiqua" w:hAnsi="Book Antiqua" w:cs="Segoe UI"/>
          <w:i/>
          <w:iCs/>
        </w:rPr>
        <w:t xml:space="preserve">World J </w:t>
      </w:r>
      <w:proofErr w:type="spellStart"/>
      <w:r w:rsidR="0043192C" w:rsidRPr="00706939">
        <w:rPr>
          <w:rStyle w:val="spellingerrorscx98479858"/>
          <w:rFonts w:ascii="Book Antiqua" w:hAnsi="Book Antiqua" w:cs="Segoe UI"/>
          <w:i/>
          <w:iCs/>
        </w:rPr>
        <w:t>Gastroenterol</w:t>
      </w:r>
      <w:proofErr w:type="spellEnd"/>
      <w:r w:rsidR="0043192C" w:rsidRPr="00706939">
        <w:rPr>
          <w:rStyle w:val="normaltextrunscx98479858"/>
          <w:rFonts w:ascii="Book Antiqua" w:hAnsi="Book Antiqua" w:cs="Segoe UI"/>
        </w:rPr>
        <w:t xml:space="preserve"> 201</w:t>
      </w:r>
      <w:r w:rsidRPr="00706939">
        <w:rPr>
          <w:rStyle w:val="normaltextrunscx98479858"/>
          <w:rFonts w:ascii="Book Antiqua" w:eastAsiaTheme="minorEastAsia" w:hAnsi="Book Antiqua" w:cs="Segoe UI" w:hint="eastAsia"/>
          <w:lang w:eastAsia="zh-CN"/>
        </w:rPr>
        <w:t>5</w:t>
      </w:r>
      <w:r w:rsidR="0043192C" w:rsidRPr="00706939">
        <w:rPr>
          <w:rStyle w:val="normaltextrunscx98479858"/>
          <w:rFonts w:ascii="Book Antiqua" w:hAnsi="Book Antiqua" w:cs="Segoe UI"/>
        </w:rPr>
        <w:t xml:space="preserve">; </w:t>
      </w:r>
      <w:proofErr w:type="gramStart"/>
      <w:r w:rsidR="0043192C" w:rsidRPr="00706939">
        <w:rPr>
          <w:rStyle w:val="normaltextrunscx98479858"/>
          <w:rFonts w:ascii="Book Antiqua" w:hAnsi="Book Antiqua" w:cs="Segoe UI"/>
        </w:rPr>
        <w:t>In</w:t>
      </w:r>
      <w:proofErr w:type="gramEnd"/>
      <w:r w:rsidR="0043192C" w:rsidRPr="00706939">
        <w:rPr>
          <w:rStyle w:val="normaltextrunscx98479858"/>
          <w:rFonts w:ascii="Book Antiqua" w:hAnsi="Book Antiqua" w:cs="Segoe UI"/>
        </w:rPr>
        <w:t xml:space="preserve"> press</w:t>
      </w:r>
      <w:r w:rsidR="0043192C"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scx98479858"/>
          <w:rFonts w:ascii="Book Antiqua" w:hAnsi="Book Antiqua" w:cs="Segoe UI"/>
        </w:rPr>
        <w:t> </w:t>
      </w:r>
      <w:r w:rsidRPr="00706939">
        <w:rPr>
          <w:rFonts w:ascii="Book Antiqua" w:hAnsi="Book Antiqua" w:cs="Segoe UI"/>
        </w:rPr>
        <w:br/>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045356" w:rsidRPr="00706939" w:rsidRDefault="00045356">
      <w:pPr>
        <w:spacing w:after="0" w:line="240" w:lineRule="auto"/>
        <w:rPr>
          <w:rStyle w:val="normaltextrunscx98479858"/>
          <w:rFonts w:ascii="Book Antiqua" w:eastAsia="Times New Roman" w:hAnsi="Book Antiqua" w:cs="Segoe UI"/>
          <w:b/>
          <w:bCs/>
          <w:sz w:val="24"/>
          <w:szCs w:val="24"/>
          <w:lang w:val="en-US"/>
        </w:rPr>
      </w:pPr>
      <w:r w:rsidRPr="00706939">
        <w:rPr>
          <w:rStyle w:val="normaltextrunscx98479858"/>
          <w:rFonts w:ascii="Book Antiqua" w:hAnsi="Book Antiqua" w:cs="Segoe UI"/>
          <w:b/>
          <w:bCs/>
        </w:rPr>
        <w:br w:type="page"/>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lastRenderedPageBreak/>
        <w:t>INTRODUCTION </w:t>
      </w:r>
      <w:r w:rsidRPr="00706939">
        <w:rPr>
          <w:rStyle w:val="eopscx98479858"/>
          <w:rFonts w:ascii="Book Antiqua" w:hAnsi="Book Antiqua" w:cs="Segoe UI"/>
        </w:rPr>
        <w:t> </w:t>
      </w:r>
    </w:p>
    <w:p w:rsidR="0043192C" w:rsidRPr="00706939" w:rsidRDefault="007E47C2" w:rsidP="00045356">
      <w:pPr>
        <w:pStyle w:val="paragraphscx98479858"/>
        <w:spacing w:before="0" w:beforeAutospacing="0" w:after="0" w:afterAutospacing="0" w:line="360" w:lineRule="auto"/>
        <w:jc w:val="both"/>
        <w:textAlignment w:val="baseline"/>
        <w:rPr>
          <w:rFonts w:ascii="Book Antiqua" w:hAnsi="Book Antiqua" w:cs="Segoe UI"/>
        </w:rPr>
      </w:pPr>
      <w:r>
        <w:rPr>
          <w:rStyle w:val="normaltextrunscx98479858"/>
          <w:rFonts w:ascii="Book Antiqua" w:hAnsi="Book Antiqua" w:cs="Segoe UI"/>
        </w:rPr>
        <w:t>Celiac disease</w:t>
      </w:r>
      <w:r w:rsidR="0043192C" w:rsidRPr="00706939">
        <w:rPr>
          <w:rStyle w:val="normaltextrunscx98479858"/>
          <w:rFonts w:ascii="Book Antiqua" w:hAnsi="Book Antiqua" w:cs="Segoe UI"/>
        </w:rPr>
        <w:t xml:space="preserve"> is a permanent intolerance to gluten, a storage protein in wheat and the related grain species barley and </w:t>
      </w:r>
      <w:proofErr w:type="gramStart"/>
      <w:r w:rsidR="0043192C" w:rsidRPr="00706939">
        <w:rPr>
          <w:rStyle w:val="normaltextrunscx98479858"/>
          <w:rFonts w:ascii="Book Antiqua" w:hAnsi="Book Antiqua" w:cs="Segoe UI"/>
        </w:rPr>
        <w:t>rye</w:t>
      </w:r>
      <w:r w:rsidR="00045356" w:rsidRPr="00706939">
        <w:rPr>
          <w:rStyle w:val="normaltextrunscx98479858"/>
          <w:rFonts w:ascii="Book Antiqua" w:eastAsiaTheme="minorEastAsia" w:hAnsi="Book Antiqua" w:cs="Segoe UI" w:hint="eastAsia"/>
          <w:vertAlign w:val="superscript"/>
          <w:lang w:eastAsia="zh-CN"/>
        </w:rPr>
        <w:t>[</w:t>
      </w:r>
      <w:proofErr w:type="gramEnd"/>
      <w:r w:rsidR="0043192C" w:rsidRPr="00706939">
        <w:rPr>
          <w:rStyle w:val="normaltextrunscx98479858"/>
          <w:rFonts w:ascii="Book Antiqua" w:hAnsi="Book Antiqua" w:cs="Segoe UI"/>
          <w:vertAlign w:val="superscript"/>
        </w:rPr>
        <w:t>1</w:t>
      </w:r>
      <w:r w:rsidR="00045356" w:rsidRPr="00706939">
        <w:rPr>
          <w:rStyle w:val="normaltextrunscx98479858"/>
          <w:rFonts w:ascii="Book Antiqua" w:eastAsiaTheme="minorEastAsia" w:hAnsi="Book Antiqua" w:cs="Segoe UI" w:hint="eastAsia"/>
          <w:vertAlign w:val="superscript"/>
          <w:lang w:eastAsia="zh-CN"/>
        </w:rPr>
        <w:t>]</w:t>
      </w:r>
      <w:r w:rsidR="0043192C" w:rsidRPr="00706939">
        <w:rPr>
          <w:rStyle w:val="normaltextrunscx98479858"/>
          <w:rFonts w:ascii="Book Antiqua" w:hAnsi="Book Antiqua" w:cs="Segoe UI"/>
        </w:rPr>
        <w:t xml:space="preserve">. Ingesting these grain species in genetically susceptible individuals causes inflammation of the small intestine, which is reversible upon elimination of gluten from the </w:t>
      </w:r>
      <w:proofErr w:type="gramStart"/>
      <w:r w:rsidR="0043192C" w:rsidRPr="00706939">
        <w:rPr>
          <w:rStyle w:val="normaltextrunscx98479858"/>
          <w:rFonts w:ascii="Book Antiqua" w:hAnsi="Book Antiqua" w:cs="Segoe UI"/>
        </w:rPr>
        <w:t>diet</w:t>
      </w:r>
      <w:r w:rsidR="00045356" w:rsidRPr="00706939">
        <w:rPr>
          <w:rStyle w:val="normaltextrunscx98479858"/>
          <w:rFonts w:ascii="Book Antiqua" w:eastAsiaTheme="minorEastAsia" w:hAnsi="Book Antiqua" w:cs="Segoe UI" w:hint="eastAsia"/>
          <w:vertAlign w:val="superscript"/>
          <w:lang w:eastAsia="zh-CN"/>
        </w:rPr>
        <w:t>[</w:t>
      </w:r>
      <w:proofErr w:type="gramEnd"/>
      <w:r w:rsidR="00045356" w:rsidRPr="00706939">
        <w:rPr>
          <w:rStyle w:val="normaltextrunscx98479858"/>
          <w:rFonts w:ascii="Book Antiqua" w:eastAsiaTheme="minorEastAsia" w:hAnsi="Book Antiqua" w:cs="Segoe UI" w:hint="eastAsia"/>
          <w:vertAlign w:val="superscript"/>
          <w:lang w:eastAsia="zh-CN"/>
        </w:rPr>
        <w:t>2,3]</w:t>
      </w:r>
      <w:r w:rsidR="0043192C" w:rsidRPr="00706939">
        <w:rPr>
          <w:rStyle w:val="normaltextrunscx98479858"/>
          <w:rFonts w:ascii="Book Antiqua" w:hAnsi="Book Antiqua" w:cs="Segoe UI"/>
        </w:rPr>
        <w:t>.</w:t>
      </w:r>
      <w:r w:rsidR="0043192C" w:rsidRPr="00706939">
        <w:rPr>
          <w:rStyle w:val="normaltextrunscx98479858"/>
          <w:rFonts w:ascii="Book Antiqua" w:hAnsi="Book Antiqua" w:cs="Segoe UI"/>
          <w:vertAlign w:val="superscript"/>
        </w:rPr>
        <w:t xml:space="preserve"> </w:t>
      </w:r>
      <w:r w:rsidR="0043192C" w:rsidRPr="00706939">
        <w:rPr>
          <w:rStyle w:val="normaltextrunscx98479858"/>
          <w:rFonts w:ascii="Book Antiqua" w:hAnsi="Book Antiqua" w:cs="Segoe UI"/>
        </w:rPr>
        <w:t xml:space="preserve">To screen for </w:t>
      </w:r>
      <w:r w:rsidR="00422F9F">
        <w:rPr>
          <w:rStyle w:val="normaltextrunscx98479858"/>
          <w:rFonts w:ascii="Book Antiqua" w:hAnsi="Book Antiqua" w:cs="Segoe UI"/>
        </w:rPr>
        <w:t xml:space="preserve">celiac </w:t>
      </w:r>
      <w:r>
        <w:rPr>
          <w:rStyle w:val="normaltextrunscx98479858"/>
          <w:rFonts w:ascii="Book Antiqua" w:hAnsi="Book Antiqua" w:cs="Segoe UI"/>
        </w:rPr>
        <w:t>disease</w:t>
      </w:r>
      <w:r w:rsidR="0043192C" w:rsidRPr="00706939">
        <w:rPr>
          <w:rStyle w:val="normaltextrunscx98479858"/>
          <w:rFonts w:ascii="Book Antiqua" w:hAnsi="Book Antiqua" w:cs="Segoe UI"/>
        </w:rPr>
        <w:t>, highly specific and sensitive antibodies are available, but until now in many cases a small intestinal biops</w:t>
      </w:r>
      <w:r w:rsidR="00C93DB1">
        <w:rPr>
          <w:rStyle w:val="normaltextrunscx98479858"/>
          <w:rFonts w:ascii="Book Antiqua" w:hAnsi="Book Antiqua" w:cs="Segoe UI"/>
        </w:rPr>
        <w:t xml:space="preserve">y is required for the </w:t>
      </w:r>
      <w:proofErr w:type="gramStart"/>
      <w:r w:rsidR="00C93DB1">
        <w:rPr>
          <w:rStyle w:val="normaltextrunscx98479858"/>
          <w:rFonts w:ascii="Book Antiqua" w:hAnsi="Book Antiqua" w:cs="Segoe UI"/>
        </w:rPr>
        <w:t>diagnosis</w:t>
      </w:r>
      <w:r w:rsidR="00045356" w:rsidRPr="00706939">
        <w:rPr>
          <w:rStyle w:val="normaltextrunscx98479858"/>
          <w:rFonts w:ascii="Book Antiqua" w:eastAsiaTheme="minorEastAsia" w:hAnsi="Book Antiqua" w:cs="Segoe UI" w:hint="eastAsia"/>
          <w:vertAlign w:val="superscript"/>
          <w:lang w:eastAsia="zh-CN"/>
        </w:rPr>
        <w:t>[</w:t>
      </w:r>
      <w:proofErr w:type="gramEnd"/>
      <w:r w:rsidR="00045356" w:rsidRPr="00706939">
        <w:rPr>
          <w:rStyle w:val="normaltextrunscx98479858"/>
          <w:rFonts w:ascii="Book Antiqua" w:eastAsiaTheme="minorEastAsia" w:hAnsi="Book Antiqua" w:cs="Segoe UI" w:hint="eastAsia"/>
          <w:vertAlign w:val="superscript"/>
          <w:lang w:eastAsia="zh-CN"/>
        </w:rPr>
        <w:t>4,5]</w:t>
      </w:r>
      <w:r w:rsidR="0043192C" w:rsidRPr="00706939">
        <w:rPr>
          <w:rStyle w:val="normaltextrunscx98479858"/>
          <w:rFonts w:ascii="Book Antiqua" w:hAnsi="Book Antiqua" w:cs="Segoe UI"/>
        </w:rPr>
        <w:t>. </w:t>
      </w:r>
      <w:r w:rsidR="0043192C"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165" w:firstLine="396"/>
        <w:jc w:val="both"/>
        <w:textAlignment w:val="baseline"/>
        <w:rPr>
          <w:rFonts w:ascii="Book Antiqua" w:hAnsi="Book Antiqua" w:cs="Segoe UI"/>
        </w:rPr>
      </w:pPr>
      <w:r w:rsidRPr="00706939">
        <w:rPr>
          <w:rStyle w:val="normaltextrunscx98479858"/>
          <w:rFonts w:ascii="Book Antiqua" w:hAnsi="Book Antiqua" w:cs="Segoe UI"/>
        </w:rPr>
        <w:t xml:space="preserve">Typically, the triad of an increased density of intra-epithelial lymphocytes (IELs), hyperplasia of the crypts and villous atrophy are observed in patients with </w:t>
      </w:r>
      <w:r w:rsidR="00422F9F">
        <w:rPr>
          <w:rStyle w:val="normaltextrunscx98479858"/>
          <w:rFonts w:ascii="Book Antiqua" w:hAnsi="Book Antiqua" w:cs="Segoe UI"/>
        </w:rPr>
        <w:t xml:space="preserve">celiac </w:t>
      </w:r>
      <w:proofErr w:type="gramStart"/>
      <w:r w:rsidR="007E47C2">
        <w:rPr>
          <w:rStyle w:val="normaltextrunscx98479858"/>
          <w:rFonts w:ascii="Book Antiqua" w:hAnsi="Book Antiqua" w:cs="Segoe UI"/>
        </w:rPr>
        <w:t>disease</w:t>
      </w:r>
      <w:r w:rsidR="00045356" w:rsidRPr="00706939">
        <w:rPr>
          <w:rStyle w:val="normaltextrunscx98479858"/>
          <w:rFonts w:ascii="Book Antiqua" w:eastAsiaTheme="minorEastAsia" w:hAnsi="Book Antiqua" w:cs="Segoe UI" w:hint="eastAsia"/>
          <w:vertAlign w:val="superscript"/>
          <w:lang w:eastAsia="zh-CN"/>
        </w:rPr>
        <w:t>[</w:t>
      </w:r>
      <w:proofErr w:type="gramEnd"/>
      <w:r w:rsidR="00045356" w:rsidRPr="00706939">
        <w:rPr>
          <w:rStyle w:val="normaltextrunscx98479858"/>
          <w:rFonts w:ascii="Book Antiqua" w:eastAsiaTheme="minorEastAsia" w:hAnsi="Book Antiqua" w:cs="Segoe UI" w:hint="eastAsia"/>
          <w:vertAlign w:val="superscript"/>
          <w:lang w:eastAsia="zh-CN"/>
        </w:rPr>
        <w:t>2]</w:t>
      </w:r>
      <w:r w:rsidRPr="00706939">
        <w:rPr>
          <w:rStyle w:val="normaltextrunscx98479858"/>
          <w:rFonts w:ascii="Book Antiqua" w:hAnsi="Book Antiqua" w:cs="Segoe UI"/>
        </w:rPr>
        <w:t xml:space="preserve">. However, villous atrophy can also be found in various other diseases such as Giardiasis, Whipple’s disease, Tropical </w:t>
      </w:r>
      <w:proofErr w:type="spellStart"/>
      <w:r w:rsidRPr="00706939">
        <w:rPr>
          <w:rStyle w:val="spellingerrorscx98479858"/>
          <w:rFonts w:ascii="Book Antiqua" w:hAnsi="Book Antiqua" w:cs="Segoe UI"/>
        </w:rPr>
        <w:t>Sprue</w:t>
      </w:r>
      <w:proofErr w:type="spellEnd"/>
      <w:r w:rsidRPr="00706939">
        <w:rPr>
          <w:rStyle w:val="normaltextrunscx98479858"/>
          <w:rFonts w:ascii="Book Antiqua" w:hAnsi="Book Antiqua" w:cs="Segoe UI"/>
        </w:rPr>
        <w:t xml:space="preserve"> </w:t>
      </w:r>
      <w:proofErr w:type="spellStart"/>
      <w:proofErr w:type="gramStart"/>
      <w:r w:rsidRPr="00706939">
        <w:rPr>
          <w:rStyle w:val="spellingerrorscx98479858"/>
          <w:rFonts w:ascii="Book Antiqua" w:hAnsi="Book Antiqua" w:cs="Segoe UI"/>
          <w:i/>
        </w:rPr>
        <w:t>etc</w:t>
      </w:r>
      <w:proofErr w:type="spellEnd"/>
      <w:r w:rsidR="00045356" w:rsidRPr="00706939">
        <w:rPr>
          <w:rStyle w:val="normaltextrunscx98479858"/>
          <w:rFonts w:ascii="Book Antiqua" w:eastAsiaTheme="minorEastAsia" w:hAnsi="Book Antiqua" w:cs="Segoe UI" w:hint="eastAsia"/>
          <w:vertAlign w:val="superscript"/>
          <w:lang w:eastAsia="zh-CN"/>
        </w:rPr>
        <w:t>[</w:t>
      </w:r>
      <w:proofErr w:type="gramEnd"/>
      <w:r w:rsidR="00045356" w:rsidRPr="00706939">
        <w:rPr>
          <w:rStyle w:val="normaltextrunscx98479858"/>
          <w:rFonts w:ascii="Book Antiqua" w:eastAsiaTheme="minorEastAsia" w:hAnsi="Book Antiqua" w:cs="Segoe UI" w:hint="eastAsia"/>
          <w:vertAlign w:val="superscript"/>
          <w:lang w:eastAsia="zh-CN"/>
        </w:rPr>
        <w:t>6]</w:t>
      </w:r>
      <w:r w:rsidRPr="00706939">
        <w:rPr>
          <w:rStyle w:val="normaltextrunscx98479858"/>
          <w:rFonts w:ascii="Book Antiqua" w:hAnsi="Book Antiqua" w:cs="Segoe UI"/>
        </w:rPr>
        <w:t>.</w:t>
      </w:r>
      <w:r w:rsidRPr="00706939">
        <w:rPr>
          <w:rStyle w:val="normaltextrunscx98479858"/>
          <w:rFonts w:ascii="Book Antiqua" w:hAnsi="Book Antiqua" w:cs="Segoe UI"/>
          <w:vertAlign w:val="superscript"/>
        </w:rPr>
        <w:t xml:space="preserve"> </w:t>
      </w:r>
      <w:r w:rsidRPr="00706939">
        <w:rPr>
          <w:rStyle w:val="normaltextrunscx98479858"/>
          <w:rFonts w:ascii="Book Antiqua" w:hAnsi="Book Antiqua" w:cs="Segoe UI"/>
        </w:rPr>
        <w:t xml:space="preserve">On the other hand according to most recent guidelines, villous atrophy is not necessary for the diagnosis of </w:t>
      </w:r>
      <w:r w:rsidR="00422F9F">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provided that intra-epithelial lymphocytosis and </w:t>
      </w:r>
      <w:proofErr w:type="spellStart"/>
      <w:r w:rsidRPr="00706939">
        <w:rPr>
          <w:rStyle w:val="spellingerrorscx98479858"/>
          <w:rFonts w:ascii="Book Antiqua" w:hAnsi="Book Antiqua" w:cs="Segoe UI"/>
        </w:rPr>
        <w:t>crypthyperplasia</w:t>
      </w:r>
      <w:proofErr w:type="spellEnd"/>
      <w:r w:rsidRPr="00706939">
        <w:rPr>
          <w:rStyle w:val="normaltextrunscx98479858"/>
          <w:rFonts w:ascii="Book Antiqua" w:hAnsi="Book Antiqua" w:cs="Segoe UI"/>
        </w:rPr>
        <w:t xml:space="preserve"> are present</w:t>
      </w:r>
      <w:r w:rsidR="00045356" w:rsidRPr="00706939">
        <w:rPr>
          <w:rStyle w:val="normaltextrunscx98479858"/>
          <w:rFonts w:ascii="Book Antiqua" w:eastAsiaTheme="minorEastAsia" w:hAnsi="Book Antiqua" w:cs="Segoe UI" w:hint="eastAsia"/>
          <w:vertAlign w:val="superscript"/>
          <w:lang w:eastAsia="zh-CN"/>
        </w:rPr>
        <w:t>[5]</w:t>
      </w:r>
      <w:r w:rsidRPr="00706939">
        <w:rPr>
          <w:rStyle w:val="normaltextrunscx98479858"/>
          <w:rFonts w:ascii="Book Antiqua" w:hAnsi="Book Antiqua" w:cs="Segoe UI"/>
        </w:rPr>
        <w:t xml:space="preserve">. Crypt hyperplasia is a sign of increased intestinal turnover, and is thought to </w:t>
      </w:r>
      <w:proofErr w:type="gramStart"/>
      <w:r w:rsidRPr="00706939">
        <w:rPr>
          <w:rStyle w:val="normaltextrunscx98479858"/>
          <w:rFonts w:ascii="Book Antiqua" w:hAnsi="Book Antiqua" w:cs="Segoe UI"/>
        </w:rPr>
        <w:t>occur</w:t>
      </w:r>
      <w:proofErr w:type="gramEnd"/>
      <w:r w:rsidRPr="00706939">
        <w:rPr>
          <w:rStyle w:val="normaltextrunscx98479858"/>
          <w:rFonts w:ascii="Book Antiqua" w:hAnsi="Book Antiqua" w:cs="Segoe UI"/>
        </w:rPr>
        <w:t xml:space="preserve"> secondary to the villous destruction and inflammation. The presence of intra-epithelial lymphocytosis, although not pathognomonic for the disease, is considered to be the most important histological finding for </w:t>
      </w:r>
      <w:r w:rsidR="00422F9F">
        <w:rPr>
          <w:rStyle w:val="normaltextrunscx98479858"/>
          <w:rFonts w:ascii="Book Antiqua" w:hAnsi="Book Antiqua" w:cs="Segoe UI"/>
        </w:rPr>
        <w:t xml:space="preserve">celiac </w:t>
      </w:r>
      <w:proofErr w:type="gramStart"/>
      <w:r w:rsidR="007E47C2">
        <w:rPr>
          <w:rStyle w:val="normaltextrunscx98479858"/>
          <w:rFonts w:ascii="Book Antiqua" w:hAnsi="Book Antiqua" w:cs="Segoe UI"/>
        </w:rPr>
        <w:t>disease</w:t>
      </w:r>
      <w:r w:rsidR="00045356" w:rsidRPr="00706939">
        <w:rPr>
          <w:rStyle w:val="normaltextrunscx98479858"/>
          <w:rFonts w:ascii="Book Antiqua" w:eastAsiaTheme="minorEastAsia" w:hAnsi="Book Antiqua" w:cs="Segoe UI" w:hint="eastAsia"/>
          <w:vertAlign w:val="superscript"/>
          <w:lang w:eastAsia="zh-CN"/>
        </w:rPr>
        <w:t>[</w:t>
      </w:r>
      <w:proofErr w:type="gramEnd"/>
      <w:r w:rsidR="00045356" w:rsidRPr="00706939">
        <w:rPr>
          <w:rStyle w:val="normaltextrunscx98479858"/>
          <w:rFonts w:ascii="Book Antiqua" w:eastAsiaTheme="minorEastAsia" w:hAnsi="Book Antiqua" w:cs="Segoe UI" w:hint="eastAsia"/>
          <w:vertAlign w:val="superscript"/>
          <w:lang w:eastAsia="zh-CN"/>
        </w:rPr>
        <w:t>7,8]</w:t>
      </w:r>
      <w:r w:rsidRPr="00706939">
        <w:rPr>
          <w:rStyle w:val="normaltextrunscx98479858"/>
          <w:rFonts w:ascii="Book Antiqua" w:hAnsi="Book Antiqua" w:cs="Segoe UI"/>
        </w:rPr>
        <w:t xml:space="preserve">. Therefore, in many cases detecting IELs provides the key to a correct diagnosis. The presence of IELs is usually evaluated on </w:t>
      </w:r>
      <w:proofErr w:type="spellStart"/>
      <w:r w:rsidRPr="00706939">
        <w:rPr>
          <w:rStyle w:val="spellingerrorscx98479858"/>
          <w:rFonts w:ascii="Book Antiqua" w:hAnsi="Book Antiqua" w:cs="Segoe UI"/>
        </w:rPr>
        <w:t>hematoxylin</w:t>
      </w:r>
      <w:proofErr w:type="spellEnd"/>
      <w:r w:rsidRPr="00706939">
        <w:rPr>
          <w:rStyle w:val="normaltextrunscx98479858"/>
          <w:rFonts w:ascii="Book Antiqua" w:hAnsi="Book Antiqua" w:cs="Segoe UI"/>
        </w:rPr>
        <w:t xml:space="preserve"> and eosin (HE) stains, but due to the lack of contrast between the cells, the presence of intra-epithelial lymphocytosis might not always be clear, especially when the number of IELs is only moderately increased. Because IELs are CD3 positive cells, performing </w:t>
      </w:r>
      <w:proofErr w:type="spellStart"/>
      <w:r w:rsidRPr="00706939">
        <w:rPr>
          <w:rStyle w:val="spellingerrorscx98479858"/>
          <w:rFonts w:ascii="Book Antiqua" w:hAnsi="Book Antiqua" w:cs="Segoe UI"/>
        </w:rPr>
        <w:t>immunohistochemical</w:t>
      </w:r>
      <w:proofErr w:type="spellEnd"/>
      <w:r w:rsidRPr="00706939">
        <w:rPr>
          <w:rStyle w:val="normaltextrunscx98479858"/>
          <w:rFonts w:ascii="Book Antiqua" w:hAnsi="Book Antiqua" w:cs="Segoe UI"/>
        </w:rPr>
        <w:t xml:space="preserve"> staining against CD3 might aid in estimating the number of IELs. The aim of this study was therefore to investigate whether CD3 staining should routinely be performed on all biopsies, or that it is only necessary in specific cases.</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MATERIALS AND METHODS</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i/>
          <w:iCs/>
        </w:rPr>
        <w:t>Patients</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rPr>
        <w:t xml:space="preserve">Pediatric patients (53 girls; 106 boys) suspected with </w:t>
      </w:r>
      <w:r w:rsidR="00422F9F">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who had undergone a small intestinal biopsy between March 2009 and October 2012 in the Wilhelmina Children’s Hospital, Utrecht, The Netherlands, were prospectively </w:t>
      </w:r>
      <w:r w:rsidRPr="00706939">
        <w:rPr>
          <w:rStyle w:val="normaltextrunscx98479858"/>
          <w:rFonts w:ascii="Book Antiqua" w:hAnsi="Book Antiqua" w:cs="Segoe UI"/>
        </w:rPr>
        <w:lastRenderedPageBreak/>
        <w:t xml:space="preserve">included in the study. Patients were referred to us because of </w:t>
      </w:r>
      <w:r w:rsidR="00422F9F">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associated symptoms or because they carry a risk factor for </w:t>
      </w:r>
      <w:r w:rsidR="00422F9F">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All patients carried the disease associated HLA type. Patients were between 0.9 years and 17.8 years at the time of the biopsy. </w:t>
      </w:r>
      <w:proofErr w:type="gramStart"/>
      <w:r w:rsidRPr="00706939">
        <w:rPr>
          <w:rStyle w:val="normaltextrunscx98479858"/>
          <w:rFonts w:ascii="Book Antiqua" w:hAnsi="Book Antiqua" w:cs="Segoe UI"/>
        </w:rPr>
        <w:t>When a patient had undergone more than one biopsy session, only biopsies from the first session were included in the study.</w:t>
      </w:r>
      <w:proofErr w:type="gramEnd"/>
      <w:r w:rsidRPr="00706939">
        <w:rPr>
          <w:rStyle w:val="normaltextrunscx98479858"/>
          <w:rFonts w:ascii="Book Antiqua" w:hAnsi="Book Antiqua" w:cs="Segoe UI"/>
        </w:rPr>
        <w:t> </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150" w:firstLine="360"/>
        <w:jc w:val="both"/>
        <w:textAlignment w:val="baseline"/>
        <w:rPr>
          <w:rStyle w:val="eopscx98479858"/>
          <w:rFonts w:ascii="Book Antiqua" w:eastAsiaTheme="minorEastAsia" w:hAnsi="Book Antiqua" w:cs="Segoe UI"/>
          <w:lang w:eastAsia="zh-CN"/>
        </w:rPr>
      </w:pPr>
      <w:r w:rsidRPr="00706939">
        <w:rPr>
          <w:rStyle w:val="normaltextrunscx98479858"/>
          <w:rFonts w:ascii="Book Antiqua" w:hAnsi="Book Antiqua" w:cs="Segoe UI"/>
        </w:rPr>
        <w:t>Results of anti-</w:t>
      </w:r>
      <w:proofErr w:type="spellStart"/>
      <w:r w:rsidRPr="00706939">
        <w:rPr>
          <w:rStyle w:val="spellingerrorscx98479858"/>
          <w:rFonts w:ascii="Book Antiqua" w:hAnsi="Book Antiqua" w:cs="Segoe UI"/>
        </w:rPr>
        <w:t>endomysium</w:t>
      </w:r>
      <w:proofErr w:type="spellEnd"/>
      <w:r w:rsidRPr="00706939">
        <w:rPr>
          <w:rStyle w:val="normaltextrunscx98479858"/>
          <w:rFonts w:ascii="Book Antiqua" w:hAnsi="Book Antiqua" w:cs="Segoe UI"/>
        </w:rPr>
        <w:t xml:space="preserve"> antibodies (EMA) and anti-tissue </w:t>
      </w:r>
      <w:proofErr w:type="spellStart"/>
      <w:r w:rsidRPr="00706939">
        <w:rPr>
          <w:rStyle w:val="normaltextrunscx98479858"/>
          <w:rFonts w:ascii="Book Antiqua" w:hAnsi="Book Antiqua" w:cs="Segoe UI"/>
        </w:rPr>
        <w:t>transglutaminase</w:t>
      </w:r>
      <w:proofErr w:type="spellEnd"/>
      <w:r w:rsidRPr="00706939">
        <w:rPr>
          <w:rStyle w:val="normaltextrunscx98479858"/>
          <w:rFonts w:ascii="Book Antiqua" w:hAnsi="Book Antiqua" w:cs="Segoe UI"/>
        </w:rPr>
        <w:t xml:space="preserve"> antibodies (</w:t>
      </w:r>
      <w:proofErr w:type="spellStart"/>
      <w:r w:rsidRPr="00706939">
        <w:rPr>
          <w:rStyle w:val="spellingerrorscx98479858"/>
          <w:rFonts w:ascii="Book Antiqua" w:hAnsi="Book Antiqua" w:cs="Segoe UI"/>
        </w:rPr>
        <w:t>tTGA</w:t>
      </w:r>
      <w:proofErr w:type="spellEnd"/>
      <w:r w:rsidRPr="00706939">
        <w:rPr>
          <w:rStyle w:val="normaltextrunscx98479858"/>
          <w:rFonts w:ascii="Book Antiqua" w:hAnsi="Book Antiqua" w:cs="Segoe UI"/>
        </w:rPr>
        <w:t>) as well as the clinical data of the patients were collected from the medical records. The study was performed according to the guidelines of the local medical ethical board.</w:t>
      </w:r>
      <w:r w:rsidRPr="00706939">
        <w:rPr>
          <w:rStyle w:val="eopscx98479858"/>
          <w:rFonts w:ascii="Book Antiqua" w:hAnsi="Book Antiqua" w:cs="Segoe UI"/>
        </w:rPr>
        <w:t> </w:t>
      </w:r>
    </w:p>
    <w:p w:rsidR="00045356" w:rsidRPr="00706939" w:rsidRDefault="00045356" w:rsidP="00045356">
      <w:pPr>
        <w:pStyle w:val="paragraphscx98479858"/>
        <w:spacing w:before="0" w:beforeAutospacing="0" w:after="0" w:afterAutospacing="0" w:line="360" w:lineRule="auto"/>
        <w:ind w:firstLineChars="150" w:firstLine="360"/>
        <w:jc w:val="both"/>
        <w:textAlignment w:val="baseline"/>
        <w:rPr>
          <w:rFonts w:ascii="Book Antiqua" w:eastAsiaTheme="minorEastAsia" w:hAnsi="Book Antiqua" w:cs="Segoe UI"/>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i/>
          <w:iCs/>
        </w:rPr>
        <w:t>Histology</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rPr>
        <w:t xml:space="preserve">Biopsies were obtained by upper endoscopy. </w:t>
      </w:r>
      <w:r w:rsidRPr="00706939">
        <w:rPr>
          <w:rStyle w:val="spellingerrorscx98479858"/>
          <w:rFonts w:ascii="Book Antiqua" w:hAnsi="Book Antiqua" w:cs="Segoe UI"/>
        </w:rPr>
        <w:t>Pediatric</w:t>
      </w:r>
      <w:r w:rsidRPr="00706939">
        <w:rPr>
          <w:rStyle w:val="normaltextrunscx98479858"/>
          <w:rFonts w:ascii="Book Antiqua" w:hAnsi="Book Antiqua" w:cs="Segoe UI"/>
        </w:rPr>
        <w:t xml:space="preserve"> gastroenterologists were asked to take at least 4 biopsies from the distal duodenum and as of the end of 2009 at least 1 biopsy from the duodenal bulb.  In reality, 0 (in 33 cases) to 5 biopsies were obtained from the duodenal bulb with an average of 2.0 biopsies. From the distal duodenum 3.1 (range 1-7) biopsies were acquired on average. Biopsies were fixed in formalin (10% neutral buffered formalin) and then embedded in paraffin, and 4-um-thick sections were stained with HE, Periodic acid-Schiff and CD3 (</w:t>
      </w:r>
      <w:proofErr w:type="spellStart"/>
      <w:r w:rsidRPr="00706939">
        <w:rPr>
          <w:rStyle w:val="spellingerrorscx98479858"/>
          <w:rFonts w:ascii="Book Antiqua" w:hAnsi="Book Antiqua" w:cs="Segoe UI"/>
        </w:rPr>
        <w:t>Dako</w:t>
      </w:r>
      <w:proofErr w:type="spellEnd"/>
      <w:r w:rsidRPr="00706939">
        <w:rPr>
          <w:rStyle w:val="normaltextrunscx98479858"/>
          <w:rFonts w:ascii="Book Antiqua" w:hAnsi="Book Antiqua" w:cs="Segoe UI"/>
        </w:rPr>
        <w:t xml:space="preserve">, </w:t>
      </w:r>
      <w:proofErr w:type="spellStart"/>
      <w:r w:rsidRPr="00706939">
        <w:rPr>
          <w:rStyle w:val="spellingerrorscx98479858"/>
          <w:rFonts w:ascii="Book Antiqua" w:hAnsi="Book Antiqua" w:cs="Segoe UI"/>
        </w:rPr>
        <w:t>Glostrup</w:t>
      </w:r>
      <w:proofErr w:type="spellEnd"/>
      <w:r w:rsidRPr="00706939">
        <w:rPr>
          <w:rStyle w:val="normaltextrunscx98479858"/>
          <w:rFonts w:ascii="Book Antiqua" w:hAnsi="Book Antiqua" w:cs="Segoe UI"/>
        </w:rPr>
        <w:t xml:space="preserve">, Denmark; </w:t>
      </w:r>
      <w:proofErr w:type="spellStart"/>
      <w:r w:rsidRPr="00706939">
        <w:rPr>
          <w:rStyle w:val="spellingerrorscx98479858"/>
          <w:rFonts w:ascii="Book Antiqua" w:hAnsi="Book Antiqua" w:cs="Segoe UI"/>
        </w:rPr>
        <w:t>batchnumber</w:t>
      </w:r>
      <w:proofErr w:type="spellEnd"/>
      <w:r w:rsidRPr="00706939">
        <w:rPr>
          <w:rStyle w:val="normaltextrunscx98479858"/>
          <w:rFonts w:ascii="Book Antiqua" w:hAnsi="Book Antiqua" w:cs="Segoe UI"/>
        </w:rPr>
        <w:t xml:space="preserve"> 81639; dilution 1:50; pretreatment with EDTA).</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200" w:firstLine="480"/>
        <w:jc w:val="both"/>
        <w:textAlignment w:val="baseline"/>
        <w:rPr>
          <w:rFonts w:ascii="Book Antiqua" w:hAnsi="Book Antiqua" w:cs="Segoe UI"/>
        </w:rPr>
      </w:pPr>
      <w:r w:rsidRPr="00706939">
        <w:rPr>
          <w:rStyle w:val="normaltextrunscx98479858"/>
          <w:rFonts w:ascii="Book Antiqua" w:hAnsi="Book Antiqua" w:cs="Segoe UI"/>
        </w:rPr>
        <w:t>All biopsies were evaluated by an experienced pathologist, specialized in gastro-intestinal diseases, who was blinded to the clinical and serological data of the patients. The pathologist first evaluated the HE stained sections. On a separate occasion</w:t>
      </w:r>
      <w:r w:rsidR="00045356" w:rsidRPr="00706939">
        <w:rPr>
          <w:rStyle w:val="normaltextrunscx98479858"/>
          <w:rFonts w:ascii="Book Antiqua" w:hAnsi="Book Antiqua" w:cs="Segoe UI"/>
        </w:rPr>
        <w:t xml:space="preserve"> the CD3 stains were evaluated </w:t>
      </w:r>
      <w:r w:rsidRPr="00706939">
        <w:rPr>
          <w:rStyle w:val="normaltextrunscx98479858"/>
          <w:rFonts w:ascii="Book Antiqua" w:hAnsi="Book Antiqua" w:cs="Segoe UI"/>
        </w:rPr>
        <w:t>independently from the HE stains.</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200" w:firstLine="480"/>
        <w:jc w:val="both"/>
        <w:textAlignment w:val="baseline"/>
        <w:rPr>
          <w:rFonts w:ascii="Book Antiqua" w:hAnsi="Book Antiqua" w:cs="Segoe UI"/>
        </w:rPr>
      </w:pPr>
      <w:r w:rsidRPr="00706939">
        <w:rPr>
          <w:rStyle w:val="normaltextrunscx98479858"/>
          <w:rFonts w:ascii="Book Antiqua" w:hAnsi="Book Antiqua" w:cs="Segoe UI"/>
        </w:rPr>
        <w:t xml:space="preserve">Biopsy results were reported according to the Marsh classification, as modified by </w:t>
      </w:r>
      <w:proofErr w:type="spellStart"/>
      <w:proofErr w:type="gramStart"/>
      <w:r w:rsidRPr="00706939">
        <w:rPr>
          <w:rStyle w:val="spellingerrorscx98479858"/>
          <w:rFonts w:ascii="Book Antiqua" w:hAnsi="Book Antiqua" w:cs="Segoe UI"/>
        </w:rPr>
        <w:t>Oberhuber</w:t>
      </w:r>
      <w:proofErr w:type="spellEnd"/>
      <w:r w:rsidR="00045356" w:rsidRPr="00706939">
        <w:rPr>
          <w:rStyle w:val="normaltextrunscx98479858"/>
          <w:rFonts w:ascii="Book Antiqua" w:eastAsiaTheme="minorEastAsia" w:hAnsi="Book Antiqua" w:cs="Segoe UI" w:hint="eastAsia"/>
          <w:vertAlign w:val="superscript"/>
          <w:lang w:eastAsia="zh-CN"/>
        </w:rPr>
        <w:t>[</w:t>
      </w:r>
      <w:proofErr w:type="gramEnd"/>
      <w:r w:rsidR="00045356" w:rsidRPr="00706939">
        <w:rPr>
          <w:rStyle w:val="normaltextrunscx98479858"/>
          <w:rFonts w:ascii="Book Antiqua" w:eastAsiaTheme="minorEastAsia" w:hAnsi="Book Antiqua" w:cs="Segoe UI" w:hint="eastAsia"/>
          <w:vertAlign w:val="superscript"/>
          <w:lang w:eastAsia="zh-CN"/>
        </w:rPr>
        <w:t>2,9]</w:t>
      </w:r>
      <w:r w:rsidRPr="00706939">
        <w:rPr>
          <w:rStyle w:val="normaltextrunscx98479858"/>
          <w:rFonts w:ascii="Book Antiqua" w:hAnsi="Book Antiqua" w:cs="Segoe UI"/>
        </w:rPr>
        <w:t>. In case of patchy lesions, the final Marsh score was based on the worst affected site. Marsh I lesions are defined as an increased number of IELs. On the HE-stains this was determined by visual estimation. On the CD3 stains, ≥</w:t>
      </w:r>
      <w:r w:rsidR="00045356" w:rsidRPr="00706939">
        <w:rPr>
          <w:rStyle w:val="normaltextrunscx98479858"/>
          <w:rFonts w:ascii="Book Antiqua" w:eastAsiaTheme="minorEastAsia" w:hAnsi="Book Antiqua" w:cs="Segoe UI" w:hint="eastAsia"/>
          <w:lang w:eastAsia="zh-CN"/>
        </w:rPr>
        <w:t xml:space="preserve"> </w:t>
      </w:r>
      <w:r w:rsidRPr="00706939">
        <w:rPr>
          <w:rStyle w:val="normaltextrunscx98479858"/>
          <w:rFonts w:ascii="Book Antiqua" w:hAnsi="Book Antiqua" w:cs="Segoe UI"/>
        </w:rPr>
        <w:t xml:space="preserve">30 lymphocytes per 100 epithelial cells were considered as intra-epithelial </w:t>
      </w:r>
      <w:proofErr w:type="gramStart"/>
      <w:r w:rsidRPr="00706939">
        <w:rPr>
          <w:rStyle w:val="normaltextrunscx98479858"/>
          <w:rFonts w:ascii="Book Antiqua" w:hAnsi="Book Antiqua" w:cs="Segoe UI"/>
        </w:rPr>
        <w:t>lymphocytosis</w:t>
      </w:r>
      <w:r w:rsidR="00045356" w:rsidRPr="00706939">
        <w:rPr>
          <w:rStyle w:val="normaltextrunscx98479858"/>
          <w:rFonts w:ascii="Book Antiqua" w:eastAsiaTheme="minorEastAsia" w:hAnsi="Book Antiqua" w:cs="Segoe UI" w:hint="eastAsia"/>
          <w:vertAlign w:val="superscript"/>
          <w:lang w:eastAsia="zh-CN"/>
        </w:rPr>
        <w:t>[</w:t>
      </w:r>
      <w:proofErr w:type="gramEnd"/>
      <w:r w:rsidR="00045356" w:rsidRPr="00706939">
        <w:rPr>
          <w:rStyle w:val="normaltextrunscx98479858"/>
          <w:rFonts w:ascii="Book Antiqua" w:eastAsiaTheme="minorEastAsia" w:hAnsi="Book Antiqua" w:cs="Segoe UI" w:hint="eastAsia"/>
          <w:vertAlign w:val="superscript"/>
          <w:lang w:eastAsia="zh-CN"/>
        </w:rPr>
        <w:t>10,11]</w:t>
      </w:r>
      <w:r w:rsidRPr="00706939">
        <w:rPr>
          <w:rStyle w:val="normaltextrunscx98479858"/>
          <w:rFonts w:ascii="Book Antiqua" w:hAnsi="Book Antiqua" w:cs="Segoe UI"/>
        </w:rPr>
        <w:t>. In Marsh II lesions crypt hyperplasia along with an increased number of IELs are found. Finally, Marsh III lesions include the findings in Marsh II, along with various grades of villous atrophy. </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200" w:firstLine="480"/>
        <w:jc w:val="both"/>
        <w:textAlignment w:val="baseline"/>
        <w:rPr>
          <w:rStyle w:val="eopscx98479858"/>
          <w:rFonts w:ascii="Book Antiqua" w:eastAsiaTheme="minorEastAsia" w:hAnsi="Book Antiqua" w:cs="Segoe UI"/>
          <w:lang w:eastAsia="zh-CN"/>
        </w:rPr>
      </w:pPr>
      <w:r w:rsidRPr="00706939">
        <w:rPr>
          <w:rStyle w:val="normaltextrunscx98479858"/>
          <w:rFonts w:ascii="Book Antiqua" w:hAnsi="Book Antiqua" w:cs="Segoe UI"/>
        </w:rPr>
        <w:lastRenderedPageBreak/>
        <w:t xml:space="preserve">Marsh II and Marsh III lesion were considered to be diagnostic for </w:t>
      </w:r>
      <w:r w:rsidR="00422F9F">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but were reported separately. Marsh I was reported as a separate entity. </w:t>
      </w:r>
      <w:proofErr w:type="gramStart"/>
      <w:r w:rsidR="00422F9F">
        <w:rPr>
          <w:rStyle w:val="normaltextrunscx98479858"/>
          <w:rFonts w:ascii="Book Antiqua" w:hAnsi="Book Antiqua" w:cs="Segoe UI"/>
        </w:rPr>
        <w:t>celiac</w:t>
      </w:r>
      <w:proofErr w:type="gramEnd"/>
      <w:r w:rsidR="00422F9F">
        <w:rPr>
          <w:rStyle w:val="normaltextrunscx98479858"/>
          <w:rFonts w:ascii="Book Antiqua" w:hAnsi="Book Antiqua" w:cs="Segoe UI"/>
        </w:rPr>
        <w:t xml:space="preserve">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was excluded in patients with a normal small intestine (Marsh 0) or abnormalities not diagnostic for Marsh II or III (</w:t>
      </w:r>
      <w:r w:rsidRPr="00C93DB1">
        <w:rPr>
          <w:rStyle w:val="normaltextrunscx98479858"/>
          <w:rFonts w:ascii="Book Antiqua" w:hAnsi="Book Antiqua" w:cs="Segoe UI"/>
          <w:i/>
        </w:rPr>
        <w:t>i.e.</w:t>
      </w:r>
      <w:r w:rsidR="00C93DB1" w:rsidRPr="00C93DB1">
        <w:rPr>
          <w:rStyle w:val="normaltextrunscx98479858"/>
          <w:rFonts w:ascii="Book Antiqua" w:eastAsiaTheme="minorEastAsia" w:hAnsi="Book Antiqua" w:cs="Segoe UI" w:hint="eastAsia"/>
          <w:i/>
          <w:lang w:eastAsia="zh-CN"/>
        </w:rPr>
        <w:t>,</w:t>
      </w:r>
      <w:r w:rsidRPr="00C93DB1">
        <w:rPr>
          <w:rStyle w:val="normaltextrunscx98479858"/>
          <w:rFonts w:ascii="Book Antiqua" w:hAnsi="Book Antiqua" w:cs="Segoe UI"/>
          <w:i/>
        </w:rPr>
        <w:t xml:space="preserve"> </w:t>
      </w:r>
      <w:r w:rsidRPr="00706939">
        <w:rPr>
          <w:rStyle w:val="normaltextrunscx98479858"/>
          <w:rFonts w:ascii="Book Antiqua" w:hAnsi="Book Antiqua" w:cs="Segoe UI"/>
        </w:rPr>
        <w:t xml:space="preserve">only crypt hyperplasia and/or villous atrophy without intra-epithelial lymphocytosis). In case of discrepancy between the HE and CD3 section, the final diagnosis was based on the serological data of the patients. For example, a patient with positive serology who has crypt hyperplasia and villous atrophy, but increased </w:t>
      </w:r>
      <w:proofErr w:type="spellStart"/>
      <w:r w:rsidRPr="00706939">
        <w:rPr>
          <w:rStyle w:val="spellingerrorscx98479858"/>
          <w:rFonts w:ascii="Book Antiqua" w:hAnsi="Book Antiqua" w:cs="Segoe UI"/>
        </w:rPr>
        <w:t>IEls</w:t>
      </w:r>
      <w:proofErr w:type="spellEnd"/>
      <w:r w:rsidRPr="00706939">
        <w:rPr>
          <w:rStyle w:val="normaltextrunscx98479858"/>
          <w:rFonts w:ascii="Book Antiqua" w:hAnsi="Book Antiqua" w:cs="Segoe UI"/>
        </w:rPr>
        <w:t xml:space="preserve"> only on the CD3 sections (so on the HE sections no diagnosis of </w:t>
      </w:r>
      <w:r w:rsidR="00422F9F">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but on the CD3 sections a Marsh III lesion), was considered to have </w:t>
      </w:r>
      <w:r w:rsidR="00422F9F">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00316AB8" w:rsidRPr="00706939">
        <w:rPr>
          <w:rStyle w:val="normaltextrunscx98479858"/>
          <w:rFonts w:ascii="Book Antiqua" w:hAnsi="Book Antiqua" w:cs="Segoe UI"/>
        </w:rPr>
        <w:t xml:space="preserve"> (Figure 1</w:t>
      </w:r>
      <w:r w:rsidR="00045356" w:rsidRPr="00706939">
        <w:rPr>
          <w:rStyle w:val="normaltextrunscx98479858"/>
          <w:rFonts w:ascii="Book Antiqua" w:hAnsi="Book Antiqua" w:cs="Segoe UI"/>
        </w:rPr>
        <w:t>A</w:t>
      </w:r>
      <w:r w:rsidR="00316AB8" w:rsidRPr="00706939">
        <w:rPr>
          <w:rStyle w:val="normaltextrunscx98479858"/>
          <w:rFonts w:ascii="Book Antiqua" w:hAnsi="Book Antiqua" w:cs="Segoe UI"/>
        </w:rPr>
        <w:t>)</w:t>
      </w:r>
      <w:r w:rsidRPr="00706939">
        <w:rPr>
          <w:rStyle w:val="normaltextrunscx98479858"/>
          <w:rFonts w:ascii="Book Antiqua" w:hAnsi="Book Antiqua" w:cs="Segoe UI"/>
        </w:rPr>
        <w:t xml:space="preserve">. Similarly, in patients with </w:t>
      </w:r>
      <w:r w:rsidR="00182B1B" w:rsidRPr="00706939">
        <w:rPr>
          <w:rStyle w:val="normaltextrunscx98479858"/>
          <w:rFonts w:ascii="Book Antiqua" w:hAnsi="Book Antiqua" w:cs="Segoe UI"/>
        </w:rPr>
        <w:t>positive</w:t>
      </w:r>
      <w:r w:rsidRPr="00706939">
        <w:rPr>
          <w:rStyle w:val="normaltextrunscx98479858"/>
          <w:rFonts w:ascii="Book Antiqua" w:hAnsi="Book Antiqua" w:cs="Segoe UI"/>
        </w:rPr>
        <w:t xml:space="preserve"> serology and a Marsh 0 on the HE section but a Marsh </w:t>
      </w:r>
      <w:r w:rsidR="00077CBD" w:rsidRPr="00706939">
        <w:rPr>
          <w:rStyle w:val="normaltextrunscx98479858"/>
          <w:rFonts w:ascii="Book Antiqua" w:hAnsi="Book Antiqua" w:cs="Segoe UI"/>
        </w:rPr>
        <w:t>I</w:t>
      </w:r>
      <w:r w:rsidRPr="00706939">
        <w:rPr>
          <w:rStyle w:val="normaltextrunscx98479858"/>
          <w:rFonts w:ascii="Book Antiqua" w:hAnsi="Book Antiqua" w:cs="Segoe UI"/>
        </w:rPr>
        <w:t xml:space="preserve"> on the CD3 sections, the final diagnosis was considered to be a Marsh </w:t>
      </w:r>
      <w:r w:rsidR="00182B1B" w:rsidRPr="00706939">
        <w:rPr>
          <w:rStyle w:val="normaltextrunscx98479858"/>
          <w:rFonts w:ascii="Book Antiqua" w:hAnsi="Book Antiqua" w:cs="Segoe UI"/>
        </w:rPr>
        <w:t>1 (Figure 1</w:t>
      </w:r>
      <w:r w:rsidR="00045356" w:rsidRPr="00706939">
        <w:rPr>
          <w:rStyle w:val="normaltextrunscx98479858"/>
          <w:rFonts w:ascii="Book Antiqua" w:hAnsi="Book Antiqua" w:cs="Segoe UI"/>
        </w:rPr>
        <w:t>B</w:t>
      </w:r>
      <w:r w:rsidR="00182B1B" w:rsidRPr="00706939">
        <w:rPr>
          <w:rStyle w:val="normaltextrunscx98479858"/>
          <w:rFonts w:ascii="Book Antiqua" w:hAnsi="Book Antiqua" w:cs="Segoe UI"/>
        </w:rPr>
        <w:t>)</w:t>
      </w:r>
      <w:r w:rsidRPr="00706939">
        <w:rPr>
          <w:rStyle w:val="normaltextrunscx98479858"/>
          <w:rFonts w:ascii="Book Antiqua" w:hAnsi="Book Antiqua" w:cs="Segoe UI"/>
        </w:rPr>
        <w:t>. </w:t>
      </w:r>
      <w:r w:rsidRPr="00706939">
        <w:rPr>
          <w:rStyle w:val="eopscx98479858"/>
          <w:rFonts w:ascii="Book Antiqua" w:hAnsi="Book Antiqua" w:cs="Segoe UI"/>
        </w:rPr>
        <w:t> </w:t>
      </w:r>
    </w:p>
    <w:p w:rsidR="00045356" w:rsidRPr="00706939" w:rsidRDefault="00045356" w:rsidP="00045356">
      <w:pPr>
        <w:pStyle w:val="paragraphscx98479858"/>
        <w:spacing w:before="0" w:beforeAutospacing="0" w:after="0" w:afterAutospacing="0" w:line="360" w:lineRule="auto"/>
        <w:ind w:firstLineChars="200" w:firstLine="480"/>
        <w:jc w:val="both"/>
        <w:textAlignment w:val="baseline"/>
        <w:rPr>
          <w:rFonts w:ascii="Book Antiqua" w:eastAsiaTheme="minorEastAsia" w:hAnsi="Book Antiqua" w:cs="Segoe UI"/>
          <w:lang w:eastAsia="zh-CN"/>
        </w:rPr>
      </w:pPr>
    </w:p>
    <w:p w:rsidR="00045356" w:rsidRPr="00706939" w:rsidRDefault="00045356" w:rsidP="00045356">
      <w:pPr>
        <w:spacing w:line="360" w:lineRule="auto"/>
        <w:rPr>
          <w:rFonts w:ascii="Book Antiqua" w:hAnsi="Book Antiqua"/>
          <w:b/>
          <w:i/>
          <w:sz w:val="24"/>
        </w:rPr>
      </w:pPr>
      <w:r w:rsidRPr="00706939">
        <w:rPr>
          <w:rFonts w:ascii="Book Antiqua" w:hAnsi="Book Antiqua"/>
          <w:b/>
          <w:i/>
          <w:sz w:val="24"/>
        </w:rPr>
        <w:t>Statistical analysis</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rPr>
        <w:t>Descriptive statistics using SPSS for Windows version 15.0 was used to compare the conclusion of the pathologist before and after performing the CD3 stains. </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RESULTS</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rPr>
        <w:t xml:space="preserve">A diagnosis of Marsh III, based on the HE stains, could be made in 87 patients, but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was rejected in 1 (1.1%) patient with negative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serology after examination of the CD3 stains (Table 1). Only 1 patient had a Marsh II lesion on the HE sections which was also recognized on the CD3 stains.</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200" w:firstLine="480"/>
        <w:jc w:val="both"/>
        <w:textAlignment w:val="baseline"/>
        <w:rPr>
          <w:rFonts w:ascii="Book Antiqua" w:hAnsi="Book Antiqua" w:cs="Segoe UI"/>
        </w:rPr>
      </w:pPr>
      <w:r w:rsidRPr="00706939">
        <w:rPr>
          <w:rStyle w:val="normaltextrunscx98479858"/>
          <w:rFonts w:ascii="Book Antiqua" w:hAnsi="Book Antiqua" w:cs="Segoe UI"/>
        </w:rPr>
        <w:t xml:space="preserve">On the HE stains, 6 patients were considered to have a Marsh I lesion, but in 2 patients the diagnosis of Marsh I changed after assessment of the CD3 stains. In 1 (16,7%) patient with negative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serology a Marsh 0 was seen instead and in the other one (16.7%) a Marsh III lesion was present. In the latter patient, who had positive </w:t>
      </w:r>
      <w:proofErr w:type="spellStart"/>
      <w:r w:rsidRPr="00706939">
        <w:rPr>
          <w:rStyle w:val="spellingerrorscx98479858"/>
          <w:rFonts w:ascii="Book Antiqua" w:hAnsi="Book Antiqua" w:cs="Segoe UI"/>
        </w:rPr>
        <w:t>tTGA</w:t>
      </w:r>
      <w:proofErr w:type="spellEnd"/>
      <w:r w:rsidRPr="00706939">
        <w:rPr>
          <w:rStyle w:val="normaltextrunscx98479858"/>
          <w:rFonts w:ascii="Book Antiqua" w:hAnsi="Book Antiqua" w:cs="Segoe UI"/>
        </w:rPr>
        <w:t xml:space="preserve"> and EMA, this could be explained by the fact that on the HE sections a Marsh I lesion was found in the bulb and crypt hyperplasia and villous atrophy (but without intra-epithelial lymphocytosis) were found in the distal duodenum. So, on the HE stains the most affected site seemed to be the duodenal bulb. However, on the CD3 stains an increased number of IELs was seen in both parts of the duodenum </w:t>
      </w:r>
      <w:r w:rsidRPr="00706939">
        <w:rPr>
          <w:rStyle w:val="normaltextrunscx98479858"/>
          <w:rFonts w:ascii="Book Antiqua" w:hAnsi="Book Antiqua" w:cs="Segoe UI"/>
        </w:rPr>
        <w:lastRenderedPageBreak/>
        <w:t>while the most affected site on the CD3 stains turned out to be the distal duodenum (Marsh III). </w:t>
      </w:r>
      <w:r w:rsidRPr="00706939">
        <w:rPr>
          <w:rStyle w:val="eopscx98479858"/>
          <w:rFonts w:ascii="Book Antiqua" w:hAnsi="Book Antiqua" w:cs="Segoe UI"/>
        </w:rPr>
        <w:t> </w:t>
      </w:r>
    </w:p>
    <w:p w:rsidR="0043192C" w:rsidRPr="00706939" w:rsidRDefault="006F38BB" w:rsidP="00045356">
      <w:pPr>
        <w:pStyle w:val="paragraphscx98479858"/>
        <w:spacing w:before="0" w:beforeAutospacing="0" w:after="0" w:afterAutospacing="0" w:line="360" w:lineRule="auto"/>
        <w:ind w:firstLineChars="200" w:firstLine="480"/>
        <w:jc w:val="both"/>
        <w:textAlignment w:val="baseline"/>
        <w:rPr>
          <w:rFonts w:ascii="Book Antiqua" w:hAnsi="Book Antiqua" w:cs="Segoe UI"/>
        </w:rPr>
      </w:pPr>
      <w:r>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0043192C" w:rsidRPr="00706939">
        <w:rPr>
          <w:rStyle w:val="normaltextrunscx98479858"/>
          <w:rFonts w:ascii="Book Antiqua" w:hAnsi="Book Antiqua" w:cs="Segoe UI"/>
        </w:rPr>
        <w:t xml:space="preserve"> was excluded in 65 patients on the HE slides. However, </w:t>
      </w:r>
      <w:r>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0043192C" w:rsidRPr="00706939">
        <w:rPr>
          <w:rStyle w:val="normaltextrunscx98479858"/>
          <w:rFonts w:ascii="Book Antiqua" w:hAnsi="Book Antiqua" w:cs="Segoe UI"/>
        </w:rPr>
        <w:t xml:space="preserve"> could be diagnosed after employing CD3 stains in 6 (9.2%) patients with Marsh III and 2 (3.1%) patients with Marsh II histology. All of them had positive </w:t>
      </w:r>
      <w:r>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0043192C" w:rsidRPr="00706939">
        <w:rPr>
          <w:rStyle w:val="normaltextrunscx98479858"/>
          <w:rFonts w:ascii="Book Antiqua" w:hAnsi="Book Antiqua" w:cs="Segoe UI"/>
        </w:rPr>
        <w:t xml:space="preserve"> serology. Finally, after evaluation of the CD3 stains Marsh I lesions were identified in another 9 (13.8%) patients. Eight of them had positive </w:t>
      </w:r>
      <w:r w:rsidR="007E47C2">
        <w:rPr>
          <w:rStyle w:val="normaltextrunscx98479858"/>
          <w:rFonts w:ascii="Book Antiqua" w:hAnsi="Book Antiqua" w:cs="Segoe UI"/>
        </w:rPr>
        <w:t>Celiac disease</w:t>
      </w:r>
      <w:r w:rsidR="0043192C" w:rsidRPr="00706939">
        <w:rPr>
          <w:rStyle w:val="normaltextrunscx98479858"/>
          <w:rFonts w:ascii="Book Antiqua" w:hAnsi="Book Antiqua" w:cs="Segoe UI"/>
        </w:rPr>
        <w:t xml:space="preserve"> antibodies whereas 1 patient was negative for </w:t>
      </w:r>
      <w:proofErr w:type="spellStart"/>
      <w:r w:rsidR="0043192C" w:rsidRPr="00706939">
        <w:rPr>
          <w:rStyle w:val="spellingerrorscx98479858"/>
          <w:rFonts w:ascii="Book Antiqua" w:hAnsi="Book Antiqua" w:cs="Segoe UI"/>
        </w:rPr>
        <w:t>tTGA</w:t>
      </w:r>
      <w:proofErr w:type="spellEnd"/>
      <w:r w:rsidR="0043192C" w:rsidRPr="00706939">
        <w:rPr>
          <w:rStyle w:val="normaltextrunscx98479858"/>
          <w:rFonts w:ascii="Book Antiqua" w:hAnsi="Book Antiqua" w:cs="Segoe UI"/>
        </w:rPr>
        <w:t xml:space="preserve"> and EMA. Interestingly, the patient with negative serology and Marsh I had Giardiasis. </w:t>
      </w:r>
      <w:r w:rsidR="0043192C"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150" w:firstLine="360"/>
        <w:jc w:val="both"/>
        <w:textAlignment w:val="baseline"/>
        <w:rPr>
          <w:rFonts w:ascii="Book Antiqua" w:hAnsi="Book Antiqua" w:cs="Segoe UI"/>
        </w:rPr>
      </w:pPr>
      <w:r w:rsidRPr="00706939">
        <w:rPr>
          <w:rStyle w:val="eopscx98479858"/>
          <w:rFonts w:ascii="Book Antiqua" w:hAnsi="Book Antiqua" w:cs="Segoe UI"/>
        </w:rPr>
        <w:t> </w:t>
      </w:r>
      <w:r w:rsidRPr="00706939">
        <w:rPr>
          <w:rStyle w:val="normaltextrunscx98479858"/>
          <w:rFonts w:ascii="Book Antiqua" w:hAnsi="Book Antiqua" w:cs="Segoe UI"/>
        </w:rPr>
        <w:t xml:space="preserve">In summary, a difference in assessment between the HE slides and the CD3 sections was found in 20 (12.6%) patients. In 9 (5.7%) patients a Marsh I was found and in 1 (0.6%) patient a Marsh I was rejected when evaluating the CD3 sections. Most importantly, in 10 (6.3%) patients the diagnosis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(Marsh II and Marsh III) changed: on the CD3 stains 1 (0.6%) patient turned out to have no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2 (1.3%) patients turned out to have Marsh II lesions and 7 (4.4%) patients had Marsh III histology. </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DISCUSSION</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rPr>
        <w:t xml:space="preserve">Even after a recent update of the ESPGHAN guidelines for the diagnosis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which states that a biopsy can be omitted in symptomatic cases with very high </w:t>
      </w:r>
      <w:proofErr w:type="spellStart"/>
      <w:r w:rsidRPr="00706939">
        <w:rPr>
          <w:rStyle w:val="spellingerrorscx98479858"/>
          <w:rFonts w:ascii="Book Antiqua" w:hAnsi="Book Antiqua" w:cs="Segoe UI"/>
        </w:rPr>
        <w:t>tTGA</w:t>
      </w:r>
      <w:proofErr w:type="spellEnd"/>
      <w:r w:rsidRPr="00706939">
        <w:rPr>
          <w:rStyle w:val="normaltextrunscx98479858"/>
          <w:rFonts w:ascii="Book Antiqua" w:hAnsi="Book Antiqua" w:cs="Segoe UI"/>
        </w:rPr>
        <w:t xml:space="preserve"> levels, positive EMA and the disease related human leukocyte antigen types, for most patients histological assessment of duodenal biopsies is still necessary for the diagnosis. In this respect, apart from grading villous atrophy and crypt hyperplasia, judging intra-epithelial lymphocytosis is </w:t>
      </w:r>
      <w:proofErr w:type="gramStart"/>
      <w:r w:rsidRPr="00706939">
        <w:rPr>
          <w:rStyle w:val="normaltextrunscx98479858"/>
          <w:rFonts w:ascii="Book Antiqua" w:hAnsi="Book Antiqua" w:cs="Segoe UI"/>
        </w:rPr>
        <w:t>essential</w:t>
      </w:r>
      <w:r w:rsidR="00045356" w:rsidRPr="00706939">
        <w:rPr>
          <w:rStyle w:val="normaltextrunscx98479858"/>
          <w:rFonts w:ascii="Book Antiqua" w:eastAsiaTheme="minorEastAsia" w:hAnsi="Book Antiqua" w:cs="Segoe UI" w:hint="eastAsia"/>
          <w:vertAlign w:val="superscript"/>
          <w:lang w:eastAsia="zh-CN"/>
        </w:rPr>
        <w:t>[</w:t>
      </w:r>
      <w:proofErr w:type="gramEnd"/>
      <w:r w:rsidR="00045356" w:rsidRPr="00706939">
        <w:rPr>
          <w:rStyle w:val="normaltextrunscx98479858"/>
          <w:rFonts w:ascii="Book Antiqua" w:eastAsiaTheme="minorEastAsia" w:hAnsi="Book Antiqua" w:cs="Segoe UI" w:hint="eastAsia"/>
          <w:vertAlign w:val="superscript"/>
          <w:lang w:eastAsia="zh-CN"/>
        </w:rPr>
        <w:t>5]</w:t>
      </w:r>
      <w:r w:rsidRPr="00706939">
        <w:rPr>
          <w:rStyle w:val="normaltextrunscx98479858"/>
          <w:rFonts w:ascii="Book Antiqua" w:hAnsi="Book Antiqua" w:cs="Segoe UI"/>
        </w:rPr>
        <w:t xml:space="preserve">. We evaluated whether performing CD3 stains improves the histological evaluation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200" w:firstLine="480"/>
        <w:jc w:val="both"/>
        <w:textAlignment w:val="baseline"/>
        <w:rPr>
          <w:rFonts w:ascii="Book Antiqua" w:hAnsi="Book Antiqua" w:cs="Segoe UI"/>
        </w:rPr>
      </w:pPr>
      <w:r w:rsidRPr="00706939">
        <w:rPr>
          <w:rStyle w:val="normaltextrunscx98479858"/>
          <w:rFonts w:ascii="Book Antiqua" w:hAnsi="Book Antiqua" w:cs="Segoe UI"/>
        </w:rPr>
        <w:t xml:space="preserve">Our results show that compared to HE stains alone CD3 stains did lead to a different assessment in 12.6% (20/159) of the patients. More importantly, almost 10% (9/96) of the patients with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(Marsh II and III) in the current study would have been missed if a CD3 stain had not been performed. It is highly unlikely that these patients were over-diagnosed as all of them had positive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w:t>
      </w:r>
      <w:r w:rsidRPr="00706939">
        <w:rPr>
          <w:rStyle w:val="normaltextrunscx98479858"/>
          <w:rFonts w:ascii="Book Antiqua" w:hAnsi="Book Antiqua" w:cs="Segoe UI"/>
        </w:rPr>
        <w:lastRenderedPageBreak/>
        <w:t xml:space="preserve">serology. They probably would not have started a gluten free diet or would unnecessarily have had subsequent biopsies. On the other hand, when the diagnosis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is already made on the HE </w:t>
      </w:r>
      <w:proofErr w:type="gramStart"/>
      <w:r w:rsidRPr="00706939">
        <w:rPr>
          <w:rStyle w:val="normaltextrunscx98479858"/>
          <w:rFonts w:ascii="Book Antiqua" w:hAnsi="Book Antiqua" w:cs="Segoe UI"/>
        </w:rPr>
        <w:t>slides,</w:t>
      </w:r>
      <w:proofErr w:type="gramEnd"/>
      <w:r w:rsidRPr="00706939">
        <w:rPr>
          <w:rStyle w:val="normaltextrunscx98479858"/>
          <w:rFonts w:ascii="Book Antiqua" w:hAnsi="Book Antiqua" w:cs="Segoe UI"/>
        </w:rPr>
        <w:t xml:space="preserve"> the chance that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will be ruled out on subsequent CD3 stains is small. Yet, without a CD3 stain 1 of the 48 patients with apparent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on the HE stains would have been misdiagnosed with the disease, and would therefore unnecessarily have carried the burden of following the gluten free diet. Interestingly, in this over-diagnosed patient,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serology was negative. Therefore, in order to catch all Marsh II and Marsh III lesions and at the same time not over-diagnose any patient with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CD3 staining should be performed in all cases of villous atrophy and/or crypt hyperplasia, when the initial conclusion made on the HE stains is discrepant with the serology results. </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200" w:firstLine="480"/>
        <w:jc w:val="both"/>
        <w:textAlignment w:val="baseline"/>
        <w:rPr>
          <w:rFonts w:ascii="Book Antiqua" w:hAnsi="Book Antiqua" w:cs="Segoe UI"/>
        </w:rPr>
      </w:pPr>
      <w:r w:rsidRPr="00706939">
        <w:rPr>
          <w:rStyle w:val="normaltextrunscx98479858"/>
          <w:rFonts w:ascii="Book Antiqua" w:hAnsi="Book Antiqua" w:cs="Segoe UI"/>
        </w:rPr>
        <w:t xml:space="preserve">In addition, performing CD3 staining, also leads to an improved detection of Marsh I lesions. In fact, in almost 14% (9/65) of the patients in whom on the HE slides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was excluded, a Marsh I lesion was found. Interestingly, only 1 of these 9 patients had negative serology, but the Marsh I in this patient could be explained by a Giardiasis infection.  In addition without CD3 staining, another patient with negative serology would have been over-diagnosed with Marsh I. Therefore, in order to catch al Marsh I lesions, that are un</w:t>
      </w:r>
      <w:r w:rsidR="00045356" w:rsidRPr="00706939">
        <w:rPr>
          <w:rStyle w:val="normaltextrunscx98479858"/>
          <w:rFonts w:ascii="Book Antiqua" w:hAnsi="Book Antiqua" w:cs="Segoe UI"/>
        </w:rPr>
        <w:t>explained by other conditions, </w:t>
      </w:r>
      <w:r w:rsidRPr="00706939">
        <w:rPr>
          <w:rStyle w:val="normaltextrunscx98479858"/>
          <w:rFonts w:ascii="Book Antiqua" w:hAnsi="Book Antiqua" w:cs="Segoe UI"/>
        </w:rPr>
        <w:t>and at the same time not over-diagnose any patient with Marsh I, CD3 staining should again be performed whenever there is discrepancy between serology and histology.</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ind w:firstLineChars="200" w:firstLine="480"/>
        <w:jc w:val="both"/>
        <w:textAlignment w:val="baseline"/>
        <w:rPr>
          <w:rFonts w:ascii="Book Antiqua" w:hAnsi="Book Antiqua" w:cs="Segoe UI"/>
        </w:rPr>
      </w:pPr>
      <w:r w:rsidRPr="00706939">
        <w:rPr>
          <w:rStyle w:val="normaltextrunscx98479858"/>
          <w:rFonts w:ascii="Book Antiqua" w:hAnsi="Book Antiqua" w:cs="Segoe UI"/>
        </w:rPr>
        <w:t xml:space="preserve">The implication of finding lymphocytic enteritis (Marsh I) is unclear however, because this lesion does not occur exclusively in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as was also seen in our patient with </w:t>
      </w:r>
      <w:proofErr w:type="gramStart"/>
      <w:r w:rsidRPr="00706939">
        <w:rPr>
          <w:rStyle w:val="normaltextrunscx98479858"/>
          <w:rFonts w:ascii="Book Antiqua" w:hAnsi="Book Antiqua" w:cs="Segoe UI"/>
        </w:rPr>
        <w:t>Giardiasis</w:t>
      </w:r>
      <w:r w:rsidR="00045356" w:rsidRPr="00706939">
        <w:rPr>
          <w:rStyle w:val="normaltextrunscx98479858"/>
          <w:rFonts w:ascii="Book Antiqua" w:eastAsiaTheme="minorEastAsia" w:hAnsi="Book Antiqua" w:cs="Segoe UI" w:hint="eastAsia"/>
          <w:vertAlign w:val="superscript"/>
          <w:lang w:eastAsia="zh-CN"/>
        </w:rPr>
        <w:t>[</w:t>
      </w:r>
      <w:proofErr w:type="gramEnd"/>
      <w:r w:rsidR="00045356" w:rsidRPr="00706939">
        <w:rPr>
          <w:rStyle w:val="normaltextrunscx98479858"/>
          <w:rFonts w:ascii="Book Antiqua" w:hAnsi="Book Antiqua" w:cs="Segoe UI"/>
          <w:vertAlign w:val="superscript"/>
        </w:rPr>
        <w:t>5,12,</w:t>
      </w:r>
      <w:r w:rsidRPr="00706939">
        <w:rPr>
          <w:rStyle w:val="normaltextrunscx98479858"/>
          <w:rFonts w:ascii="Book Antiqua" w:hAnsi="Book Antiqua" w:cs="Segoe UI"/>
          <w:vertAlign w:val="superscript"/>
        </w:rPr>
        <w:t>13</w:t>
      </w:r>
      <w:r w:rsidR="00045356" w:rsidRPr="00706939">
        <w:rPr>
          <w:rStyle w:val="normaltextrunscx98479858"/>
          <w:rFonts w:ascii="Book Antiqua" w:eastAsiaTheme="minorEastAsia" w:hAnsi="Book Antiqua" w:cs="Segoe UI" w:hint="eastAsia"/>
          <w:vertAlign w:val="superscript"/>
          <w:lang w:eastAsia="zh-CN"/>
        </w:rPr>
        <w:t>]</w:t>
      </w:r>
      <w:r w:rsidRPr="00706939">
        <w:rPr>
          <w:rStyle w:val="normaltextrunscx98479858"/>
          <w:rFonts w:ascii="Book Antiqua" w:hAnsi="Book Antiqua" w:cs="Segoe UI"/>
        </w:rPr>
        <w:t xml:space="preserve">. Nevertheless there is some evidence that a Marsh I lesion is clinically important and should therefore be detected, especially in patients with positive serology. First of all, Marsh I abnormalities may be an early stage of </w:t>
      </w:r>
      <w:r w:rsidR="007E47C2">
        <w:rPr>
          <w:rStyle w:val="normaltextrunscx98479858"/>
          <w:rFonts w:ascii="Book Antiqua" w:hAnsi="Book Antiqua" w:cs="Segoe UI"/>
        </w:rPr>
        <w:t>Celiac disease</w:t>
      </w:r>
      <w:r w:rsidRPr="00706939">
        <w:rPr>
          <w:rStyle w:val="normaltextrunscx98479858"/>
          <w:rFonts w:ascii="Book Antiqua" w:hAnsi="Book Antiqua" w:cs="Segoe UI"/>
        </w:rPr>
        <w:t xml:space="preserve"> and may thus develop in some patients into active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over </w:t>
      </w:r>
      <w:proofErr w:type="gramStart"/>
      <w:r w:rsidRPr="00706939">
        <w:rPr>
          <w:rStyle w:val="normaltextrunscx98479858"/>
          <w:rFonts w:ascii="Book Antiqua" w:hAnsi="Book Antiqua" w:cs="Segoe UI"/>
        </w:rPr>
        <w:t>time</w:t>
      </w:r>
      <w:r w:rsidR="00706939" w:rsidRPr="00706939">
        <w:rPr>
          <w:rStyle w:val="normaltextrunscx98479858"/>
          <w:rFonts w:ascii="Book Antiqua" w:eastAsiaTheme="minorEastAsia" w:hAnsi="Book Antiqua" w:cs="Segoe UI" w:hint="eastAsia"/>
          <w:vertAlign w:val="superscript"/>
          <w:lang w:eastAsia="zh-CN"/>
        </w:rPr>
        <w:t>[</w:t>
      </w:r>
      <w:proofErr w:type="gramEnd"/>
      <w:r w:rsidR="00706939" w:rsidRPr="00706939">
        <w:rPr>
          <w:rStyle w:val="normaltextrunscx98479858"/>
          <w:rFonts w:ascii="Book Antiqua" w:eastAsiaTheme="minorEastAsia" w:hAnsi="Book Antiqua" w:cs="Segoe UI" w:hint="eastAsia"/>
          <w:vertAlign w:val="superscript"/>
          <w:lang w:eastAsia="zh-CN"/>
        </w:rPr>
        <w:t>14-21]</w:t>
      </w:r>
      <w:r w:rsidRPr="00706939">
        <w:rPr>
          <w:rStyle w:val="normaltextrunscx98479858"/>
          <w:rFonts w:ascii="Book Antiqua" w:hAnsi="Book Antiqua" w:cs="Segoe UI"/>
        </w:rPr>
        <w:t>.</w:t>
      </w:r>
      <w:r w:rsidRPr="00706939">
        <w:rPr>
          <w:rStyle w:val="normaltextrunscx98479858"/>
          <w:rFonts w:ascii="Book Antiqua" w:hAnsi="Book Antiqua" w:cs="Segoe UI"/>
          <w:vertAlign w:val="superscript"/>
        </w:rPr>
        <w:t xml:space="preserve"> </w:t>
      </w:r>
      <w:r w:rsidRPr="00706939">
        <w:rPr>
          <w:rStyle w:val="normaltextrunscx98479858"/>
          <w:rFonts w:ascii="Book Antiqua" w:hAnsi="Book Antiqua" w:cs="Segoe UI"/>
        </w:rPr>
        <w:t xml:space="preserve">In addition, a gluten challenge seems to cause mucosal deterioration and a diagnosis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in some patients with Marsh </w:t>
      </w:r>
      <w:proofErr w:type="gramStart"/>
      <w:r w:rsidRPr="00706939">
        <w:rPr>
          <w:rStyle w:val="normaltextrunscx98479858"/>
          <w:rFonts w:ascii="Book Antiqua" w:hAnsi="Book Antiqua" w:cs="Segoe UI"/>
        </w:rPr>
        <w:t>I</w:t>
      </w:r>
      <w:r w:rsidR="00706939" w:rsidRPr="00706939">
        <w:rPr>
          <w:rStyle w:val="normaltextrunscx98479858"/>
          <w:rFonts w:ascii="Book Antiqua" w:eastAsiaTheme="minorEastAsia" w:hAnsi="Book Antiqua" w:cs="Segoe UI" w:hint="eastAsia"/>
          <w:vertAlign w:val="superscript"/>
          <w:lang w:eastAsia="zh-CN"/>
        </w:rPr>
        <w:t>[</w:t>
      </w:r>
      <w:proofErr w:type="gramEnd"/>
      <w:r w:rsidR="00706939" w:rsidRPr="00706939">
        <w:rPr>
          <w:rStyle w:val="normaltextrunscx98479858"/>
          <w:rFonts w:ascii="Book Antiqua" w:eastAsiaTheme="minorEastAsia" w:hAnsi="Book Antiqua" w:cs="Segoe UI" w:hint="eastAsia"/>
          <w:vertAlign w:val="superscript"/>
          <w:lang w:eastAsia="zh-CN"/>
        </w:rPr>
        <w:t>22]</w:t>
      </w:r>
      <w:r w:rsidRPr="00706939">
        <w:rPr>
          <w:rStyle w:val="normaltextrunscx98479858"/>
          <w:rFonts w:ascii="Book Antiqua" w:hAnsi="Book Antiqua" w:cs="Segoe UI"/>
        </w:rPr>
        <w:t>.</w:t>
      </w:r>
      <w:r w:rsidRPr="00706939">
        <w:rPr>
          <w:rStyle w:val="normaltextrunscx98479858"/>
          <w:rFonts w:ascii="Book Antiqua" w:hAnsi="Book Antiqua" w:cs="Segoe UI"/>
          <w:vertAlign w:val="superscript"/>
        </w:rPr>
        <w:t xml:space="preserve"> </w:t>
      </w:r>
      <w:r w:rsidRPr="00706939">
        <w:rPr>
          <w:rStyle w:val="normaltextrunscx98479858"/>
          <w:rFonts w:ascii="Book Antiqua" w:hAnsi="Book Antiqua" w:cs="Segoe UI"/>
        </w:rPr>
        <w:t xml:space="preserve">Finally, various studies </w:t>
      </w:r>
      <w:r w:rsidRPr="00706939">
        <w:rPr>
          <w:rStyle w:val="normaltextrunscx98479858"/>
          <w:rFonts w:ascii="Book Antiqua" w:hAnsi="Book Antiqua" w:cs="Segoe UI"/>
        </w:rPr>
        <w:lastRenderedPageBreak/>
        <w:t xml:space="preserve">have shown that patients with Marsh I lesions might benefit from the gluten free diet, at least on the short </w:t>
      </w:r>
      <w:proofErr w:type="gramStart"/>
      <w:r w:rsidRPr="00706939">
        <w:rPr>
          <w:rStyle w:val="normaltextrunscx98479858"/>
          <w:rFonts w:ascii="Book Antiqua" w:hAnsi="Book Antiqua" w:cs="Segoe UI"/>
        </w:rPr>
        <w:t>term</w:t>
      </w:r>
      <w:r w:rsidR="00706939" w:rsidRPr="00706939">
        <w:rPr>
          <w:rStyle w:val="normaltextrunscx98479858"/>
          <w:rFonts w:ascii="Book Antiqua" w:eastAsiaTheme="minorEastAsia" w:hAnsi="Book Antiqua" w:cs="Segoe UI" w:hint="eastAsia"/>
          <w:vertAlign w:val="superscript"/>
          <w:lang w:eastAsia="zh-CN"/>
        </w:rPr>
        <w:t>[</w:t>
      </w:r>
      <w:proofErr w:type="gramEnd"/>
      <w:r w:rsidR="00706939" w:rsidRPr="00706939">
        <w:rPr>
          <w:rStyle w:val="normaltextrunscx98479858"/>
          <w:rFonts w:ascii="Book Antiqua" w:eastAsiaTheme="minorEastAsia" w:hAnsi="Book Antiqua" w:cs="Segoe UI" w:hint="eastAsia"/>
          <w:vertAlign w:val="superscript"/>
          <w:lang w:eastAsia="zh-CN"/>
        </w:rPr>
        <w:t>17-21]</w:t>
      </w:r>
      <w:r w:rsidRPr="00706939">
        <w:rPr>
          <w:rStyle w:val="normaltextrunscx98479858"/>
          <w:rFonts w:ascii="Book Antiqua" w:hAnsi="Book Antiqua" w:cs="Segoe UI"/>
        </w:rPr>
        <w:t>.</w:t>
      </w:r>
      <w:r w:rsidRPr="00706939">
        <w:rPr>
          <w:rStyle w:val="eopscx98479858"/>
          <w:rFonts w:ascii="Book Antiqua" w:hAnsi="Book Antiqua" w:cs="Segoe UI"/>
        </w:rPr>
        <w:t> </w:t>
      </w:r>
    </w:p>
    <w:p w:rsidR="0043192C" w:rsidRPr="00706939" w:rsidRDefault="0043192C" w:rsidP="00706939">
      <w:pPr>
        <w:pStyle w:val="paragraphscx98479858"/>
        <w:spacing w:before="0" w:beforeAutospacing="0" w:after="0" w:afterAutospacing="0" w:line="360" w:lineRule="auto"/>
        <w:ind w:firstLineChars="250" w:firstLine="600"/>
        <w:jc w:val="both"/>
        <w:textAlignment w:val="baseline"/>
        <w:rPr>
          <w:rFonts w:ascii="Book Antiqua" w:hAnsi="Book Antiqua" w:cs="Segoe UI"/>
        </w:rPr>
      </w:pPr>
      <w:r w:rsidRPr="00706939">
        <w:rPr>
          <w:rStyle w:val="normaltextrunscx98479858"/>
          <w:rFonts w:ascii="Book Antiqua" w:hAnsi="Book Antiqua" w:cs="Segoe UI"/>
        </w:rPr>
        <w:t xml:space="preserve">In conclusion, </w:t>
      </w:r>
      <w:proofErr w:type="spellStart"/>
      <w:r w:rsidRPr="00706939">
        <w:rPr>
          <w:rStyle w:val="spellingerrorscx98479858"/>
          <w:rFonts w:ascii="Book Antiqua" w:hAnsi="Book Antiqua" w:cs="Segoe UI"/>
        </w:rPr>
        <w:t>immunohistochemical</w:t>
      </w:r>
      <w:proofErr w:type="spellEnd"/>
      <w:r w:rsidRPr="00706939">
        <w:rPr>
          <w:rStyle w:val="normaltextrunscx98479858"/>
          <w:rFonts w:ascii="Book Antiqua" w:hAnsi="Book Antiqua" w:cs="Segoe UI"/>
        </w:rPr>
        <w:t xml:space="preserve"> staining for CD3 has an additional role in the histological detection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lesions. In order to make an appropriate diagnosis of the total spectrum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associated lesions, CD3 staining should be performed in all cases of discrepancy between serology and the histological conclusion on the routine sections.</w:t>
      </w:r>
      <w:r w:rsidRPr="00706939">
        <w:rPr>
          <w:rStyle w:val="eopscx98479858"/>
          <w:rFonts w:ascii="Book Antiqua" w:hAnsi="Book Antiqua" w:cs="Segoe UI"/>
        </w:rPr>
        <w:t> </w:t>
      </w:r>
    </w:p>
    <w:p w:rsidR="00080587" w:rsidRPr="00706939" w:rsidRDefault="00080587"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rPr>
        <w:t>COMMENTS</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i/>
          <w:iCs/>
        </w:rPr>
        <w:t>Background</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eastAsiaTheme="minorEastAsia" w:hAnsi="Book Antiqua" w:cs="Segoe UI"/>
          <w:lang w:eastAsia="zh-CN"/>
        </w:rPr>
      </w:pPr>
      <w:r w:rsidRPr="00706939">
        <w:rPr>
          <w:rStyle w:val="normaltextrunscx98479858"/>
          <w:rFonts w:ascii="Book Antiqua" w:hAnsi="Book Antiqua" w:cs="Segoe UI"/>
        </w:rPr>
        <w:t xml:space="preserve">Histological lesions in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are characterized by intra-epithelial lymphocytosis, crypt hyperplasia and in many cases villous atrophy (Marsh II and III). In addition, the existence of solely intra-epithelial lymphocytosis (Marsh I), is also associated with (the development of) the disease. The presence of these lymphocytes in the epithelium is usually evaluated on </w:t>
      </w:r>
      <w:proofErr w:type="spellStart"/>
      <w:r w:rsidRPr="00706939">
        <w:rPr>
          <w:rStyle w:val="spellingerrorscx98479858"/>
          <w:rFonts w:ascii="Book Antiqua" w:hAnsi="Book Antiqua" w:cs="Segoe UI"/>
        </w:rPr>
        <w:t>hematoxylin</w:t>
      </w:r>
      <w:proofErr w:type="spellEnd"/>
      <w:r w:rsidRPr="00706939">
        <w:rPr>
          <w:rStyle w:val="normaltextrunscx98479858"/>
          <w:rFonts w:ascii="Book Antiqua" w:hAnsi="Book Antiqua" w:cs="Segoe UI"/>
        </w:rPr>
        <w:t xml:space="preserve"> and eosin (HE) stains, but the lack of contrast between the cells can make evaluation difficult, which can hinder a correct diagnosis. Because intra-epithelial lymphocytes are CD3 positive cells, performing </w:t>
      </w:r>
      <w:proofErr w:type="spellStart"/>
      <w:r w:rsidRPr="00706939">
        <w:rPr>
          <w:rStyle w:val="spellingerrorscx98479858"/>
          <w:rFonts w:ascii="Book Antiqua" w:hAnsi="Book Antiqua" w:cs="Segoe UI"/>
        </w:rPr>
        <w:t>immunohistochemical</w:t>
      </w:r>
      <w:proofErr w:type="spellEnd"/>
      <w:r w:rsidRPr="00706939">
        <w:rPr>
          <w:rStyle w:val="normaltextrunscx98479858"/>
          <w:rFonts w:ascii="Book Antiqua" w:hAnsi="Book Antiqua" w:cs="Segoe UI"/>
        </w:rPr>
        <w:t xml:space="preserve"> staining against CD3 might aid in estimating the number of intra-epithelial lymphocytes. </w:t>
      </w:r>
      <w:r w:rsidRPr="00706939">
        <w:rPr>
          <w:rStyle w:val="eopscx98479858"/>
          <w:rFonts w:ascii="Book Antiqua" w:hAnsi="Book Antiqua" w:cs="Segoe UI"/>
        </w:rPr>
        <w:t> </w:t>
      </w:r>
    </w:p>
    <w:p w:rsidR="00706939" w:rsidRPr="00706939" w:rsidRDefault="00706939"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i/>
          <w:iCs/>
        </w:rPr>
        <w:t>Research frontiers</w:t>
      </w:r>
      <w:r w:rsidRPr="00706939">
        <w:rPr>
          <w:rStyle w:val="eopscx98479858"/>
          <w:rFonts w:ascii="Book Antiqua" w:hAnsi="Book Antiqua" w:cs="Segoe UI"/>
        </w:rPr>
        <w:t> </w:t>
      </w:r>
    </w:p>
    <w:p w:rsidR="0043192C" w:rsidRPr="00706939" w:rsidRDefault="0043192C" w:rsidP="00045356">
      <w:pPr>
        <w:pStyle w:val="paragraphscx98479858"/>
        <w:spacing w:before="0" w:beforeAutospacing="0" w:after="0" w:afterAutospacing="0" w:line="360" w:lineRule="auto"/>
        <w:jc w:val="both"/>
        <w:textAlignment w:val="baseline"/>
        <w:rPr>
          <w:rStyle w:val="eopscx98479858"/>
          <w:rFonts w:ascii="Book Antiqua" w:eastAsiaTheme="minorEastAsia" w:hAnsi="Book Antiqua" w:cs="Segoe UI"/>
          <w:lang w:eastAsia="zh-CN"/>
        </w:rPr>
      </w:pPr>
      <w:r w:rsidRPr="00706939">
        <w:rPr>
          <w:rStyle w:val="normaltextrunscx98479858"/>
          <w:rFonts w:ascii="Book Antiqua" w:hAnsi="Book Antiqua" w:cs="Segoe UI"/>
        </w:rPr>
        <w:t xml:space="preserve">The additional value of performing CD3 staining in the diagnosis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has not been studied before. Therefore in this study we prospectively compared the results of HE sections to the results of CD3 sections in pediatric patients suspected with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In case of discrepancy between the two sections, the final diagnosis was based on the clinical and serological data of the patient.</w:t>
      </w:r>
      <w:r w:rsidRPr="00706939">
        <w:rPr>
          <w:rStyle w:val="eopscx98479858"/>
          <w:rFonts w:ascii="Book Antiqua" w:hAnsi="Book Antiqua" w:cs="Segoe UI"/>
        </w:rPr>
        <w:t> </w:t>
      </w:r>
    </w:p>
    <w:p w:rsidR="00706939" w:rsidRPr="00706939" w:rsidRDefault="00706939"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i/>
          <w:iCs/>
        </w:rPr>
        <w:t>Innovations and breakthroughs</w:t>
      </w:r>
      <w:r w:rsidRPr="00706939">
        <w:rPr>
          <w:rStyle w:val="eopscx98479858"/>
          <w:rFonts w:ascii="Book Antiqua" w:hAnsi="Book Antiqua" w:cs="Segoe UI"/>
        </w:rPr>
        <w:t> </w:t>
      </w:r>
    </w:p>
    <w:p w:rsidR="0043192C" w:rsidRDefault="0043192C" w:rsidP="00045356">
      <w:pPr>
        <w:pStyle w:val="paragraphscx98479858"/>
        <w:spacing w:before="0" w:beforeAutospacing="0" w:after="0" w:afterAutospacing="0" w:line="360" w:lineRule="auto"/>
        <w:jc w:val="both"/>
        <w:textAlignment w:val="baseline"/>
        <w:rPr>
          <w:rStyle w:val="eopscx98479858"/>
          <w:rFonts w:ascii="Book Antiqua" w:eastAsiaTheme="minorEastAsia" w:hAnsi="Book Antiqua" w:cs="Segoe UI"/>
          <w:lang w:eastAsia="zh-CN"/>
        </w:rPr>
      </w:pPr>
      <w:r w:rsidRPr="00706939">
        <w:rPr>
          <w:rStyle w:val="normaltextrunscx98479858"/>
          <w:rFonts w:ascii="Book Antiqua" w:hAnsi="Book Antiqua" w:cs="Segoe UI"/>
        </w:rPr>
        <w:t xml:space="preserve">Performing CD3 staining, leads to an additional diagnosis of Marsh I in 5% of the studied patients, while in 0.6% of the patients the diagnosis could be withdrawn after assessment of the CD3 stains. More importantly, in 5.7% of the patients the diagnosis </w:t>
      </w:r>
      <w:r w:rsidRPr="00706939">
        <w:rPr>
          <w:rStyle w:val="normaltextrunscx98479858"/>
          <w:rFonts w:ascii="Book Antiqua" w:hAnsi="Book Antiqua" w:cs="Segoe UI"/>
        </w:rPr>
        <w:lastRenderedPageBreak/>
        <w:t xml:space="preserve">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was missed on routine sections, but was detected with the addition of CD3 staining. Finally, in 0.6% of the cases the diagnosis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could be rejected after evaluation of the CD3 sections.</w:t>
      </w:r>
      <w:r w:rsidRPr="00706939">
        <w:rPr>
          <w:rStyle w:val="eopscx98479858"/>
          <w:rFonts w:ascii="Book Antiqua" w:hAnsi="Book Antiqua" w:cs="Segoe UI"/>
        </w:rPr>
        <w:t> </w:t>
      </w:r>
    </w:p>
    <w:p w:rsidR="00706939" w:rsidRPr="00706939" w:rsidRDefault="00706939"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i/>
          <w:iCs/>
        </w:rPr>
        <w:t>Applications</w:t>
      </w:r>
      <w:r w:rsidRPr="00706939">
        <w:rPr>
          <w:rStyle w:val="eopscx98479858"/>
          <w:rFonts w:ascii="Book Antiqua" w:hAnsi="Book Antiqua" w:cs="Segoe UI"/>
        </w:rPr>
        <w:t> </w:t>
      </w:r>
    </w:p>
    <w:p w:rsidR="0043192C" w:rsidRDefault="0043192C" w:rsidP="00045356">
      <w:pPr>
        <w:pStyle w:val="paragraphscx98479858"/>
        <w:spacing w:before="0" w:beforeAutospacing="0" w:after="0" w:afterAutospacing="0" w:line="360" w:lineRule="auto"/>
        <w:jc w:val="both"/>
        <w:textAlignment w:val="baseline"/>
        <w:rPr>
          <w:rStyle w:val="eopscx98479858"/>
          <w:rFonts w:ascii="Book Antiqua" w:eastAsiaTheme="minorEastAsia" w:hAnsi="Book Antiqua" w:cs="Segoe UI"/>
          <w:lang w:eastAsia="zh-CN"/>
        </w:rPr>
      </w:pPr>
      <w:r w:rsidRPr="00706939">
        <w:rPr>
          <w:rStyle w:val="normaltextrunscx98479858"/>
          <w:rFonts w:ascii="Book Antiqua" w:hAnsi="Book Antiqua" w:cs="Segoe UI"/>
        </w:rPr>
        <w:t xml:space="preserve">In order to make an appropriate diagnosis of the total spectrum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xml:space="preserve"> associated lesions, CD3 staining should be performed in all cases of discrepancy between serology and the conclusion of the pathologist based on the routine sections. </w:t>
      </w:r>
      <w:r w:rsidRPr="00706939">
        <w:rPr>
          <w:rStyle w:val="eopscx98479858"/>
          <w:rFonts w:ascii="Book Antiqua" w:hAnsi="Book Antiqua" w:cs="Segoe UI"/>
        </w:rPr>
        <w:t> </w:t>
      </w:r>
    </w:p>
    <w:p w:rsidR="00706939" w:rsidRPr="00706939" w:rsidRDefault="00706939"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i/>
          <w:iCs/>
        </w:rPr>
        <w:t>Terminology</w:t>
      </w:r>
      <w:r w:rsidRPr="00706939">
        <w:rPr>
          <w:rStyle w:val="eopscx98479858"/>
          <w:rFonts w:ascii="Book Antiqua" w:hAnsi="Book Antiqua" w:cs="Segoe UI"/>
        </w:rPr>
        <w:t> </w:t>
      </w:r>
    </w:p>
    <w:p w:rsidR="0043192C" w:rsidRDefault="0043192C" w:rsidP="00045356">
      <w:pPr>
        <w:pStyle w:val="paragraphscx98479858"/>
        <w:spacing w:before="0" w:beforeAutospacing="0" w:after="0" w:afterAutospacing="0" w:line="360" w:lineRule="auto"/>
        <w:jc w:val="both"/>
        <w:textAlignment w:val="baseline"/>
        <w:rPr>
          <w:rStyle w:val="eopscx98479858"/>
          <w:rFonts w:ascii="Book Antiqua" w:eastAsiaTheme="minorEastAsia" w:hAnsi="Book Antiqua" w:cs="Segoe UI"/>
          <w:lang w:eastAsia="zh-CN"/>
        </w:rPr>
      </w:pPr>
      <w:r w:rsidRPr="00706939">
        <w:rPr>
          <w:rStyle w:val="normaltextrunscx98479858"/>
          <w:rFonts w:ascii="Book Antiqua" w:hAnsi="Book Antiqua" w:cs="Segoe UI"/>
        </w:rPr>
        <w:t xml:space="preserve">Intra-epithelial lymphocytes: CD3 positive lymphocytes present in the epithelium of the small intestine. An increased number of intra-epithelial lymphocytes </w:t>
      </w:r>
      <w:proofErr w:type="gramStart"/>
      <w:r w:rsidRPr="00706939">
        <w:rPr>
          <w:rStyle w:val="normaltextrunscx98479858"/>
          <w:rFonts w:ascii="Book Antiqua" w:hAnsi="Book Antiqua" w:cs="Segoe UI"/>
        </w:rPr>
        <w:t>is</w:t>
      </w:r>
      <w:proofErr w:type="gramEnd"/>
      <w:r w:rsidRPr="00706939">
        <w:rPr>
          <w:rStyle w:val="normaltextrunscx98479858"/>
          <w:rFonts w:ascii="Book Antiqua" w:hAnsi="Book Antiqua" w:cs="Segoe UI"/>
        </w:rPr>
        <w:t xml:space="preserve"> mandatory to make a diagnosis of </w:t>
      </w:r>
      <w:r w:rsidR="006F38BB">
        <w:rPr>
          <w:rStyle w:val="normaltextrunscx98479858"/>
          <w:rFonts w:ascii="Book Antiqua" w:hAnsi="Book Antiqua" w:cs="Segoe UI"/>
        </w:rPr>
        <w:t xml:space="preserve">celiac </w:t>
      </w:r>
      <w:r w:rsidR="007E47C2">
        <w:rPr>
          <w:rStyle w:val="normaltextrunscx98479858"/>
          <w:rFonts w:ascii="Book Antiqua" w:hAnsi="Book Antiqua" w:cs="Segoe UI"/>
        </w:rPr>
        <w:t>disease</w:t>
      </w:r>
      <w:r w:rsidRPr="00706939">
        <w:rPr>
          <w:rStyle w:val="normaltextrunscx98479858"/>
          <w:rFonts w:ascii="Book Antiqua" w:hAnsi="Book Antiqua" w:cs="Segoe UI"/>
        </w:rPr>
        <w:t>. In addition, these lymphocytes are thought to play an important role in the pathophysiology of the disease.  </w:t>
      </w:r>
      <w:r w:rsidRPr="00706939">
        <w:rPr>
          <w:rStyle w:val="eopscx98479858"/>
          <w:rFonts w:ascii="Book Antiqua" w:hAnsi="Book Antiqua" w:cs="Segoe UI"/>
        </w:rPr>
        <w:t> </w:t>
      </w:r>
    </w:p>
    <w:p w:rsidR="00706939" w:rsidRPr="00706939" w:rsidRDefault="00706939" w:rsidP="00045356">
      <w:pPr>
        <w:pStyle w:val="paragraphscx98479858"/>
        <w:spacing w:before="0" w:beforeAutospacing="0" w:after="0" w:afterAutospacing="0" w:line="360" w:lineRule="auto"/>
        <w:jc w:val="both"/>
        <w:textAlignment w:val="baseline"/>
        <w:rPr>
          <w:rFonts w:ascii="Book Antiqua" w:eastAsiaTheme="minorEastAsia" w:hAnsi="Book Antiqua" w:cs="Segoe UI"/>
          <w:lang w:eastAsia="zh-CN"/>
        </w:rPr>
      </w:pPr>
    </w:p>
    <w:p w:rsidR="0043192C" w:rsidRPr="00706939" w:rsidRDefault="0043192C" w:rsidP="00045356">
      <w:pPr>
        <w:pStyle w:val="paragraphscx98479858"/>
        <w:spacing w:before="0" w:beforeAutospacing="0" w:after="0" w:afterAutospacing="0" w:line="360" w:lineRule="auto"/>
        <w:jc w:val="both"/>
        <w:textAlignment w:val="baseline"/>
        <w:rPr>
          <w:rFonts w:ascii="Book Antiqua" w:hAnsi="Book Antiqua" w:cs="Segoe UI"/>
        </w:rPr>
      </w:pPr>
      <w:r w:rsidRPr="00706939">
        <w:rPr>
          <w:rStyle w:val="normaltextrunscx98479858"/>
          <w:rFonts w:ascii="Book Antiqua" w:hAnsi="Book Antiqua" w:cs="Segoe UI"/>
          <w:b/>
          <w:bCs/>
          <w:i/>
          <w:iCs/>
        </w:rPr>
        <w:t>Peer review</w:t>
      </w:r>
      <w:r w:rsidRPr="00706939">
        <w:rPr>
          <w:rStyle w:val="eopscx98479858"/>
          <w:rFonts w:ascii="Book Antiqua" w:hAnsi="Book Antiqua" w:cs="Segoe UI"/>
        </w:rPr>
        <w:t> </w:t>
      </w:r>
    </w:p>
    <w:p w:rsidR="00776DAD" w:rsidRDefault="00706939" w:rsidP="00E94F45">
      <w:pPr>
        <w:spacing w:after="0" w:line="360" w:lineRule="auto"/>
        <w:jc w:val="both"/>
        <w:rPr>
          <w:rFonts w:ascii="Book Antiqua" w:eastAsiaTheme="minorEastAsia" w:hAnsi="Book Antiqua" w:cs="Mangal"/>
          <w:kern w:val="1"/>
          <w:sz w:val="24"/>
          <w:szCs w:val="24"/>
          <w:lang w:val="it-IT" w:eastAsia="zh-CN" w:bidi="hi-IN"/>
        </w:rPr>
      </w:pPr>
      <w:r w:rsidRPr="00706939">
        <w:rPr>
          <w:rFonts w:ascii="Book Antiqua" w:hAnsi="Book Antiqua"/>
          <w:sz w:val="24"/>
          <w:szCs w:val="24"/>
          <w:lang w:val="en-US"/>
        </w:rPr>
        <w:t xml:space="preserve">Mubarak </w:t>
      </w:r>
      <w:r w:rsidRPr="00706939">
        <w:rPr>
          <w:rFonts w:ascii="Book Antiqua" w:hAnsi="Book Antiqua"/>
          <w:i/>
          <w:sz w:val="24"/>
          <w:szCs w:val="24"/>
          <w:lang w:val="en-US"/>
        </w:rPr>
        <w:t>et al</w:t>
      </w:r>
      <w:r w:rsidRPr="00706939">
        <w:rPr>
          <w:rFonts w:ascii="Book Antiqua" w:hAnsi="Book Antiqua"/>
          <w:sz w:val="24"/>
          <w:szCs w:val="24"/>
          <w:lang w:val="en-US"/>
        </w:rPr>
        <w:t xml:space="preserve"> have assessed the diagnostic improvement of </w:t>
      </w:r>
      <w:r w:rsidR="007E47C2">
        <w:rPr>
          <w:rFonts w:ascii="Book Antiqua" w:hAnsi="Book Antiqua"/>
          <w:sz w:val="24"/>
          <w:szCs w:val="24"/>
          <w:lang w:val="en-US"/>
        </w:rPr>
        <w:t>celiac disease</w:t>
      </w:r>
      <w:r w:rsidRPr="00706939">
        <w:rPr>
          <w:rFonts w:ascii="Book Antiqua" w:hAnsi="Book Antiqua"/>
          <w:sz w:val="24"/>
          <w:szCs w:val="24"/>
          <w:lang w:val="en-US"/>
        </w:rPr>
        <w:t xml:space="preserve"> by adding </w:t>
      </w:r>
      <w:proofErr w:type="spellStart"/>
      <w:r w:rsidRPr="00706939">
        <w:rPr>
          <w:rFonts w:ascii="Book Antiqua" w:hAnsi="Book Antiqua"/>
          <w:sz w:val="24"/>
          <w:szCs w:val="24"/>
          <w:lang w:val="en-US"/>
        </w:rPr>
        <w:t>immunohistochemical</w:t>
      </w:r>
      <w:proofErr w:type="spellEnd"/>
      <w:r w:rsidRPr="00706939">
        <w:rPr>
          <w:rFonts w:ascii="Book Antiqua" w:hAnsi="Book Antiqua"/>
          <w:sz w:val="24"/>
          <w:szCs w:val="24"/>
          <w:lang w:val="en-US"/>
        </w:rPr>
        <w:t xml:space="preserve"> CD3 staining for duodenal mucosal biopsy samples.</w:t>
      </w:r>
      <w:r w:rsidR="002D2380" w:rsidRPr="00706939">
        <w:rPr>
          <w:rFonts w:ascii="Book Antiqua" w:hAnsi="Book Antiqua"/>
          <w:sz w:val="24"/>
          <w:szCs w:val="24"/>
          <w:lang w:val="en-US"/>
        </w:rPr>
        <w:br w:type="page"/>
      </w:r>
      <w:r w:rsidR="002D2380" w:rsidRPr="00706939">
        <w:rPr>
          <w:rFonts w:ascii="Book Antiqua" w:hAnsi="Book Antiqua"/>
          <w:b/>
          <w:sz w:val="24"/>
          <w:szCs w:val="24"/>
          <w:lang w:val="en-US"/>
        </w:rPr>
        <w:lastRenderedPageBreak/>
        <w:t>REFERENCES</w:t>
      </w:r>
      <w:bookmarkStart w:id="26" w:name="OLE_LINK478"/>
      <w:bookmarkStart w:id="27" w:name="OLE_LINK479"/>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1 </w:t>
      </w:r>
      <w:r w:rsidRPr="00A35CA8">
        <w:rPr>
          <w:rFonts w:ascii="Book Antiqua" w:hAnsi="Book Antiqua" w:cs="宋体"/>
          <w:b/>
          <w:bCs/>
          <w:sz w:val="24"/>
          <w:szCs w:val="24"/>
        </w:rPr>
        <w:t>Mäki M</w:t>
      </w:r>
      <w:r w:rsidRPr="00A35CA8">
        <w:rPr>
          <w:rFonts w:ascii="Book Antiqua" w:hAnsi="Book Antiqua" w:cs="宋体"/>
          <w:sz w:val="24"/>
          <w:szCs w:val="24"/>
        </w:rPr>
        <w:t>, Collin P. Coeliac disease. </w:t>
      </w:r>
      <w:r w:rsidRPr="00A35CA8">
        <w:rPr>
          <w:rFonts w:ascii="Book Antiqua" w:hAnsi="Book Antiqua" w:cs="宋体"/>
          <w:i/>
          <w:iCs/>
          <w:sz w:val="24"/>
          <w:szCs w:val="24"/>
        </w:rPr>
        <w:t>Lancet</w:t>
      </w:r>
      <w:r w:rsidRPr="00A35CA8">
        <w:rPr>
          <w:rFonts w:ascii="Book Antiqua" w:hAnsi="Book Antiqua" w:cs="宋体"/>
          <w:sz w:val="24"/>
          <w:szCs w:val="24"/>
        </w:rPr>
        <w:t> 1997; </w:t>
      </w:r>
      <w:r w:rsidRPr="00A35CA8">
        <w:rPr>
          <w:rFonts w:ascii="Book Antiqua" w:hAnsi="Book Antiqua" w:cs="宋体"/>
          <w:b/>
          <w:bCs/>
          <w:sz w:val="24"/>
          <w:szCs w:val="24"/>
        </w:rPr>
        <w:t>349</w:t>
      </w:r>
      <w:r w:rsidRPr="00A35CA8">
        <w:rPr>
          <w:rFonts w:ascii="Book Antiqua" w:hAnsi="Book Antiqua" w:cs="宋体"/>
          <w:sz w:val="24"/>
          <w:szCs w:val="24"/>
        </w:rPr>
        <w:t>: 1755-1759 [PMID: 9193393 DOI: 10.1016/S0140-6736(96)70237-4</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2 </w:t>
      </w:r>
      <w:r w:rsidRPr="00A35CA8">
        <w:rPr>
          <w:rFonts w:ascii="Book Antiqua" w:hAnsi="Book Antiqua" w:cs="宋体"/>
          <w:b/>
          <w:bCs/>
          <w:sz w:val="24"/>
          <w:szCs w:val="24"/>
        </w:rPr>
        <w:t>Marsh MN</w:t>
      </w:r>
      <w:r w:rsidRPr="00A35CA8">
        <w:rPr>
          <w:rFonts w:ascii="Book Antiqua" w:hAnsi="Book Antiqua" w:cs="宋体"/>
          <w:sz w:val="24"/>
          <w:szCs w:val="24"/>
        </w:rPr>
        <w:t>. Gluten, major histocompatibility complex, and the small intestine. A molecular and immunobiologic approach to the spectrum of gluten sensitivity ('celiac sprue'). </w:t>
      </w:r>
      <w:r w:rsidRPr="00A35CA8">
        <w:rPr>
          <w:rFonts w:ascii="Book Antiqua" w:hAnsi="Book Antiqua" w:cs="宋体"/>
          <w:i/>
          <w:iCs/>
          <w:sz w:val="24"/>
          <w:szCs w:val="24"/>
        </w:rPr>
        <w:t>Gastroenterology</w:t>
      </w:r>
      <w:r w:rsidRPr="00A35CA8">
        <w:rPr>
          <w:rFonts w:ascii="Book Antiqua" w:hAnsi="Book Antiqua" w:cs="宋体"/>
          <w:sz w:val="24"/>
          <w:szCs w:val="24"/>
        </w:rPr>
        <w:t> 1992; </w:t>
      </w:r>
      <w:r w:rsidRPr="00A35CA8">
        <w:rPr>
          <w:rFonts w:ascii="Book Antiqua" w:hAnsi="Book Antiqua" w:cs="宋体"/>
          <w:b/>
          <w:bCs/>
          <w:sz w:val="24"/>
          <w:szCs w:val="24"/>
        </w:rPr>
        <w:t>102</w:t>
      </w:r>
      <w:r w:rsidRPr="00A35CA8">
        <w:rPr>
          <w:rFonts w:ascii="Book Antiqua" w:hAnsi="Book Antiqua" w:cs="宋体"/>
          <w:sz w:val="24"/>
          <w:szCs w:val="24"/>
        </w:rPr>
        <w:t>: 330-354 [PMID: 1727768]</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3 </w:t>
      </w:r>
      <w:r w:rsidRPr="00A35CA8">
        <w:rPr>
          <w:rFonts w:ascii="Book Antiqua" w:hAnsi="Book Antiqua" w:cs="宋体"/>
          <w:b/>
          <w:bCs/>
          <w:sz w:val="24"/>
          <w:szCs w:val="24"/>
        </w:rPr>
        <w:t>Grefte JM</w:t>
      </w:r>
      <w:r w:rsidRPr="00A35CA8">
        <w:rPr>
          <w:rFonts w:ascii="Book Antiqua" w:hAnsi="Book Antiqua" w:cs="宋体"/>
          <w:sz w:val="24"/>
          <w:szCs w:val="24"/>
        </w:rPr>
        <w:t>, Bouman JG, Grond J, Jansen W, Kleibeuker JH. Slow and incomplete histological and functional recovery in adult gluten sensitive enteropathy. </w:t>
      </w:r>
      <w:r w:rsidRPr="00A35CA8">
        <w:rPr>
          <w:rFonts w:ascii="Book Antiqua" w:hAnsi="Book Antiqua" w:cs="宋体"/>
          <w:i/>
          <w:iCs/>
          <w:sz w:val="24"/>
          <w:szCs w:val="24"/>
        </w:rPr>
        <w:t>J Clin Pathol</w:t>
      </w:r>
      <w:r w:rsidRPr="00A35CA8">
        <w:rPr>
          <w:rFonts w:ascii="Book Antiqua" w:hAnsi="Book Antiqua" w:cs="宋体"/>
          <w:sz w:val="24"/>
          <w:szCs w:val="24"/>
        </w:rPr>
        <w:t> 1988; </w:t>
      </w:r>
      <w:r w:rsidRPr="00A35CA8">
        <w:rPr>
          <w:rFonts w:ascii="Book Antiqua" w:hAnsi="Book Antiqua" w:cs="宋体"/>
          <w:b/>
          <w:bCs/>
          <w:sz w:val="24"/>
          <w:szCs w:val="24"/>
        </w:rPr>
        <w:t>41</w:t>
      </w:r>
      <w:r w:rsidRPr="00A35CA8">
        <w:rPr>
          <w:rFonts w:ascii="Book Antiqua" w:hAnsi="Book Antiqua" w:cs="宋体"/>
          <w:sz w:val="24"/>
          <w:szCs w:val="24"/>
        </w:rPr>
        <w:t>: 886-891 [PMID: 3170777 DOI: 10.1136/jcp.41.8.886</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4 </w:t>
      </w:r>
      <w:r w:rsidRPr="00A35CA8">
        <w:rPr>
          <w:rFonts w:ascii="Book Antiqua" w:hAnsi="Book Antiqua" w:cs="宋体"/>
          <w:b/>
          <w:bCs/>
          <w:sz w:val="24"/>
          <w:szCs w:val="24"/>
        </w:rPr>
        <w:t>Rostom A</w:t>
      </w:r>
      <w:r w:rsidRPr="00A35CA8">
        <w:rPr>
          <w:rFonts w:ascii="Book Antiqua" w:hAnsi="Book Antiqua" w:cs="宋体"/>
          <w:sz w:val="24"/>
          <w:szCs w:val="24"/>
        </w:rPr>
        <w:t xml:space="preserve">, Dubé C, Cranney A, Saloojee N, Sy R, Garritty C, Sampson M, Zhang L, Yazdi F, Mamaladze V, Pan I, MacNeil J, Mack D, Patel D, Moher D. The diagnostic accuracy of serologic tests for </w:t>
      </w:r>
      <w:r w:rsidR="007E47C2">
        <w:rPr>
          <w:rFonts w:ascii="Book Antiqua" w:hAnsi="Book Antiqua" w:cs="宋体"/>
          <w:sz w:val="24"/>
          <w:szCs w:val="24"/>
        </w:rPr>
        <w:t>celiac disease</w:t>
      </w:r>
      <w:r w:rsidRPr="00A35CA8">
        <w:rPr>
          <w:rFonts w:ascii="Book Antiqua" w:hAnsi="Book Antiqua" w:cs="宋体"/>
          <w:sz w:val="24"/>
          <w:szCs w:val="24"/>
        </w:rPr>
        <w:t>: a systematic review. </w:t>
      </w:r>
      <w:r w:rsidRPr="00A35CA8">
        <w:rPr>
          <w:rFonts w:ascii="Book Antiqua" w:hAnsi="Book Antiqua" w:cs="宋体"/>
          <w:i/>
          <w:iCs/>
          <w:sz w:val="24"/>
          <w:szCs w:val="24"/>
        </w:rPr>
        <w:t>Gastroenterology</w:t>
      </w:r>
      <w:r w:rsidRPr="00A35CA8">
        <w:rPr>
          <w:rFonts w:ascii="Book Antiqua" w:hAnsi="Book Antiqua" w:cs="宋体"/>
          <w:sz w:val="24"/>
          <w:szCs w:val="24"/>
        </w:rPr>
        <w:t> 2005; </w:t>
      </w:r>
      <w:r w:rsidRPr="00A35CA8">
        <w:rPr>
          <w:rFonts w:ascii="Book Antiqua" w:hAnsi="Book Antiqua" w:cs="宋体"/>
          <w:b/>
          <w:bCs/>
          <w:sz w:val="24"/>
          <w:szCs w:val="24"/>
        </w:rPr>
        <w:t>128</w:t>
      </w:r>
      <w:r w:rsidRPr="00A35CA8">
        <w:rPr>
          <w:rFonts w:ascii="Book Antiqua" w:hAnsi="Book Antiqua" w:cs="宋体"/>
          <w:sz w:val="24"/>
          <w:szCs w:val="24"/>
        </w:rPr>
        <w:t>: S38-S46 [PMID: 15825125 DOI: 10.1053/j.gastro.2005.02.028</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5 </w:t>
      </w:r>
      <w:r w:rsidRPr="00A35CA8">
        <w:rPr>
          <w:rFonts w:ascii="Book Antiqua" w:hAnsi="Book Antiqua" w:cs="宋体"/>
          <w:b/>
          <w:bCs/>
          <w:sz w:val="24"/>
          <w:szCs w:val="24"/>
        </w:rPr>
        <w:t>Husby S</w:t>
      </w:r>
      <w:r w:rsidRPr="00A35CA8">
        <w:rPr>
          <w:rFonts w:ascii="Book Antiqua" w:hAnsi="Book Antiqua" w:cs="宋体"/>
          <w:sz w:val="24"/>
          <w:szCs w:val="24"/>
        </w:rPr>
        <w:t>, Koletzko S, Korponay-Szabó IR, Mearin ML, Phillips A, Shamir R, Troncone R, Giersiepen K, Branski D, Catassi C, Lelgeman M, Mäki M, Ribes-Koninckx C, Ventura A, Zimmer KP. European Society for Pediatric Gastroenterology, Hepatology, and Nutrition guidelines for the diagnosis of coeliac disease. </w:t>
      </w:r>
      <w:r w:rsidRPr="00A35CA8">
        <w:rPr>
          <w:rFonts w:ascii="Book Antiqua" w:hAnsi="Book Antiqua" w:cs="宋体"/>
          <w:i/>
          <w:iCs/>
          <w:sz w:val="24"/>
          <w:szCs w:val="24"/>
        </w:rPr>
        <w:t>J Pediatr Gastroenterol Nutr</w:t>
      </w:r>
      <w:r w:rsidRPr="00A35CA8">
        <w:rPr>
          <w:rFonts w:ascii="Book Antiqua" w:hAnsi="Book Antiqua" w:cs="宋体"/>
          <w:sz w:val="24"/>
          <w:szCs w:val="24"/>
        </w:rPr>
        <w:t> 2012; </w:t>
      </w:r>
      <w:r w:rsidRPr="00A35CA8">
        <w:rPr>
          <w:rFonts w:ascii="Book Antiqua" w:hAnsi="Book Antiqua" w:cs="宋体"/>
          <w:b/>
          <w:bCs/>
          <w:sz w:val="24"/>
          <w:szCs w:val="24"/>
        </w:rPr>
        <w:t>54</w:t>
      </w:r>
      <w:r w:rsidRPr="00A35CA8">
        <w:rPr>
          <w:rFonts w:ascii="Book Antiqua" w:hAnsi="Book Antiqua" w:cs="宋体"/>
          <w:sz w:val="24"/>
          <w:szCs w:val="24"/>
        </w:rPr>
        <w:t>: 136-160 [PMID: 22197856 DOI: 10.1097/MPG.0b013e31821a23d0</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6 </w:t>
      </w:r>
      <w:r w:rsidRPr="00A35CA8">
        <w:rPr>
          <w:rFonts w:ascii="Book Antiqua" w:hAnsi="Book Antiqua" w:cs="宋体"/>
          <w:b/>
          <w:bCs/>
          <w:sz w:val="24"/>
          <w:szCs w:val="24"/>
        </w:rPr>
        <w:t>O'Mahony S</w:t>
      </w:r>
      <w:r w:rsidRPr="00A35CA8">
        <w:rPr>
          <w:rFonts w:ascii="Book Antiqua" w:hAnsi="Book Antiqua" w:cs="宋体"/>
          <w:sz w:val="24"/>
          <w:szCs w:val="24"/>
        </w:rPr>
        <w:t>, Howdle PD, Losowsky MS. Review article: management of patients with non-responsive coeliac disease. </w:t>
      </w:r>
      <w:r w:rsidRPr="00A35CA8">
        <w:rPr>
          <w:rFonts w:ascii="Book Antiqua" w:hAnsi="Book Antiqua" w:cs="宋体"/>
          <w:i/>
          <w:iCs/>
          <w:sz w:val="24"/>
          <w:szCs w:val="24"/>
        </w:rPr>
        <w:t>Aliment Pharmacol Ther</w:t>
      </w:r>
      <w:r w:rsidRPr="00A35CA8">
        <w:rPr>
          <w:rFonts w:ascii="Book Antiqua" w:hAnsi="Book Antiqua" w:cs="宋体"/>
          <w:sz w:val="24"/>
          <w:szCs w:val="24"/>
        </w:rPr>
        <w:t> 1996; </w:t>
      </w:r>
      <w:r w:rsidRPr="00A35CA8">
        <w:rPr>
          <w:rFonts w:ascii="Book Antiqua" w:hAnsi="Book Antiqua" w:cs="宋体"/>
          <w:b/>
          <w:bCs/>
          <w:sz w:val="24"/>
          <w:szCs w:val="24"/>
        </w:rPr>
        <w:t>10</w:t>
      </w:r>
      <w:r w:rsidRPr="00A35CA8">
        <w:rPr>
          <w:rFonts w:ascii="Book Antiqua" w:hAnsi="Book Antiqua" w:cs="宋体"/>
          <w:sz w:val="24"/>
          <w:szCs w:val="24"/>
        </w:rPr>
        <w:t>: 671-680 [PMID: 8899074 DOI: 10.1046/j.1365-2036.1996.66237000.x</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7 </w:t>
      </w:r>
      <w:r w:rsidRPr="00A35CA8">
        <w:rPr>
          <w:rFonts w:ascii="Book Antiqua" w:hAnsi="Book Antiqua" w:cs="宋体"/>
          <w:b/>
          <w:bCs/>
          <w:sz w:val="24"/>
          <w:szCs w:val="24"/>
        </w:rPr>
        <w:t>Oberhuber G</w:t>
      </w:r>
      <w:r w:rsidRPr="00A35CA8">
        <w:rPr>
          <w:rFonts w:ascii="Book Antiqua" w:hAnsi="Book Antiqua" w:cs="宋体"/>
          <w:sz w:val="24"/>
          <w:szCs w:val="24"/>
        </w:rPr>
        <w:t>, Granditsch G, Vogelsang H. The histopathology of coeliac disease: time for a standardized report scheme for pathologists. </w:t>
      </w:r>
      <w:r w:rsidRPr="00A35CA8">
        <w:rPr>
          <w:rFonts w:ascii="Book Antiqua" w:hAnsi="Book Antiqua" w:cs="宋体"/>
          <w:i/>
          <w:iCs/>
          <w:sz w:val="24"/>
          <w:szCs w:val="24"/>
        </w:rPr>
        <w:t>Eur J Gastroenterol Hepatol</w:t>
      </w:r>
      <w:r w:rsidRPr="00A35CA8">
        <w:rPr>
          <w:rFonts w:ascii="Book Antiqua" w:hAnsi="Book Antiqua" w:cs="宋体"/>
          <w:sz w:val="24"/>
          <w:szCs w:val="24"/>
        </w:rPr>
        <w:t> 1999; </w:t>
      </w:r>
      <w:r w:rsidRPr="00A35CA8">
        <w:rPr>
          <w:rFonts w:ascii="Book Antiqua" w:hAnsi="Book Antiqua" w:cs="宋体"/>
          <w:b/>
          <w:bCs/>
          <w:sz w:val="24"/>
          <w:szCs w:val="24"/>
        </w:rPr>
        <w:t>11</w:t>
      </w:r>
      <w:r w:rsidRPr="00A35CA8">
        <w:rPr>
          <w:rFonts w:ascii="Book Antiqua" w:hAnsi="Book Antiqua" w:cs="宋体"/>
          <w:sz w:val="24"/>
          <w:szCs w:val="24"/>
        </w:rPr>
        <w:t>: 1185-1194 [PMID: 10524652 DOI: 10.1097/00042737-199910000-00019</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Pr>
          <w:rFonts w:ascii="Book Antiqua" w:hAnsi="Book Antiqua" w:cs="宋体"/>
          <w:sz w:val="24"/>
          <w:szCs w:val="24"/>
        </w:rPr>
        <w:lastRenderedPageBreak/>
        <w:t xml:space="preserve">8 </w:t>
      </w:r>
      <w:r w:rsidRPr="00A35CA8">
        <w:rPr>
          <w:rFonts w:ascii="Book Antiqua" w:hAnsi="Book Antiqua" w:cs="宋体"/>
          <w:b/>
          <w:sz w:val="24"/>
          <w:szCs w:val="24"/>
        </w:rPr>
        <w:t>Marsh MN,</w:t>
      </w:r>
      <w:r w:rsidRPr="00A35CA8">
        <w:rPr>
          <w:rFonts w:ascii="Book Antiqua" w:hAnsi="Book Antiqua" w:cs="宋体"/>
          <w:sz w:val="24"/>
          <w:szCs w:val="24"/>
        </w:rPr>
        <w:t xml:space="preserve"> Loft DE, Garner VG, Gordon D. Time/dose responses of celiac mucosae to graded oral challenges with Frazer's fraction III of gliadin. </w:t>
      </w:r>
      <w:r w:rsidRPr="00A35CA8">
        <w:rPr>
          <w:rFonts w:ascii="Book Antiqua" w:hAnsi="Book Antiqua" w:cs="宋体"/>
          <w:i/>
          <w:sz w:val="24"/>
          <w:szCs w:val="24"/>
        </w:rPr>
        <w:t xml:space="preserve">Eur J Gastroenterol Hepatol </w:t>
      </w:r>
      <w:r w:rsidRPr="00A35CA8">
        <w:rPr>
          <w:rFonts w:ascii="Book Antiqua" w:hAnsi="Book Antiqua" w:cs="宋体"/>
          <w:sz w:val="24"/>
          <w:szCs w:val="24"/>
        </w:rPr>
        <w:t xml:space="preserve">1992; </w:t>
      </w:r>
      <w:r w:rsidRPr="00A35CA8">
        <w:rPr>
          <w:rFonts w:ascii="Book Antiqua" w:hAnsi="Book Antiqua" w:cs="宋体"/>
          <w:b/>
          <w:sz w:val="24"/>
          <w:szCs w:val="24"/>
        </w:rPr>
        <w:t>4:</w:t>
      </w:r>
      <w:r w:rsidRPr="00A35CA8">
        <w:rPr>
          <w:rFonts w:ascii="Book Antiqua" w:hAnsi="Book Antiqua" w:cs="宋体"/>
          <w:sz w:val="24"/>
          <w:szCs w:val="24"/>
        </w:rPr>
        <w:t xml:space="preserve"> 66</w:t>
      </w:r>
      <w:r>
        <w:rPr>
          <w:rFonts w:ascii="Book Antiqua" w:hAnsi="Book Antiqua" w:cs="宋体"/>
          <w:sz w:val="24"/>
          <w:szCs w:val="24"/>
        </w:rPr>
        <w:t>7–73</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9 </w:t>
      </w:r>
      <w:r w:rsidRPr="00A35CA8">
        <w:rPr>
          <w:rFonts w:ascii="Book Antiqua" w:hAnsi="Book Antiqua" w:cs="宋体"/>
          <w:b/>
          <w:bCs/>
          <w:sz w:val="24"/>
          <w:szCs w:val="24"/>
        </w:rPr>
        <w:t>Oberhuber G</w:t>
      </w:r>
      <w:r w:rsidRPr="00A35CA8">
        <w:rPr>
          <w:rFonts w:ascii="Book Antiqua" w:hAnsi="Book Antiqua" w:cs="宋体"/>
          <w:sz w:val="24"/>
          <w:szCs w:val="24"/>
        </w:rPr>
        <w:t xml:space="preserve">. Histopathology of </w:t>
      </w:r>
      <w:r w:rsidR="007E47C2">
        <w:rPr>
          <w:rFonts w:ascii="Book Antiqua" w:hAnsi="Book Antiqua" w:cs="宋体"/>
          <w:sz w:val="24"/>
          <w:szCs w:val="24"/>
        </w:rPr>
        <w:t>celiac disease</w:t>
      </w:r>
      <w:r w:rsidRPr="00A35CA8">
        <w:rPr>
          <w:rFonts w:ascii="Book Antiqua" w:hAnsi="Book Antiqua" w:cs="宋体"/>
          <w:sz w:val="24"/>
          <w:szCs w:val="24"/>
        </w:rPr>
        <w:t>. </w:t>
      </w:r>
      <w:r w:rsidRPr="00A35CA8">
        <w:rPr>
          <w:rFonts w:ascii="Book Antiqua" w:hAnsi="Book Antiqua" w:cs="宋体"/>
          <w:i/>
          <w:iCs/>
          <w:sz w:val="24"/>
          <w:szCs w:val="24"/>
        </w:rPr>
        <w:t>Biomed Pharmacother</w:t>
      </w:r>
      <w:r w:rsidRPr="00A35CA8">
        <w:rPr>
          <w:rFonts w:ascii="Book Antiqua" w:hAnsi="Book Antiqua" w:cs="宋体"/>
          <w:sz w:val="24"/>
          <w:szCs w:val="24"/>
        </w:rPr>
        <w:t> 2000; </w:t>
      </w:r>
      <w:r w:rsidRPr="00A35CA8">
        <w:rPr>
          <w:rFonts w:ascii="Book Antiqua" w:hAnsi="Book Antiqua" w:cs="宋体"/>
          <w:b/>
          <w:bCs/>
          <w:sz w:val="24"/>
          <w:szCs w:val="24"/>
        </w:rPr>
        <w:t>54</w:t>
      </w:r>
      <w:r w:rsidRPr="00A35CA8">
        <w:rPr>
          <w:rFonts w:ascii="Book Antiqua" w:hAnsi="Book Antiqua" w:cs="宋体"/>
          <w:sz w:val="24"/>
          <w:szCs w:val="24"/>
        </w:rPr>
        <w:t>: 368-372 [PMID: 10989975 DOI: 10.1016/S0753-3322(01)80003-2</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Pr>
          <w:rFonts w:ascii="Book Antiqua" w:hAnsi="Book Antiqua" w:cs="宋体"/>
          <w:sz w:val="24"/>
          <w:szCs w:val="24"/>
        </w:rPr>
        <w:t>10</w:t>
      </w:r>
      <w:r>
        <w:rPr>
          <w:rFonts w:ascii="Book Antiqua" w:hAnsi="Book Antiqua" w:cs="宋体" w:hint="eastAsia"/>
          <w:sz w:val="24"/>
          <w:szCs w:val="24"/>
        </w:rPr>
        <w:t xml:space="preserve"> </w:t>
      </w:r>
      <w:r w:rsidRPr="00A35CA8">
        <w:rPr>
          <w:rFonts w:ascii="Book Antiqua" w:hAnsi="Book Antiqua" w:cs="宋体"/>
          <w:b/>
          <w:sz w:val="24"/>
          <w:szCs w:val="24"/>
        </w:rPr>
        <w:t>United European Gastroenterology.</w:t>
      </w:r>
      <w:r>
        <w:rPr>
          <w:rFonts w:ascii="Book Antiqua" w:hAnsi="Book Antiqua" w:cs="宋体"/>
          <w:sz w:val="24"/>
          <w:szCs w:val="24"/>
        </w:rPr>
        <w:t xml:space="preserve"> </w:t>
      </w:r>
      <w:r w:rsidRPr="00A35CA8">
        <w:rPr>
          <w:rFonts w:ascii="Book Antiqua" w:hAnsi="Book Antiqua" w:cs="宋体"/>
          <w:sz w:val="24"/>
          <w:szCs w:val="24"/>
        </w:rPr>
        <w:t>When is a coeliac a coeliac? Report of a working group of the United European Gastroenterology Week in Amsterdam, 2001. </w:t>
      </w:r>
      <w:r w:rsidRPr="00A35CA8">
        <w:rPr>
          <w:rFonts w:ascii="Book Antiqua" w:hAnsi="Book Antiqua" w:cs="宋体"/>
          <w:i/>
          <w:iCs/>
          <w:sz w:val="24"/>
          <w:szCs w:val="24"/>
        </w:rPr>
        <w:t>Eur J Gastroenterol Hepatol</w:t>
      </w:r>
      <w:r w:rsidRPr="00A35CA8">
        <w:rPr>
          <w:rFonts w:ascii="Book Antiqua" w:hAnsi="Book Antiqua" w:cs="宋体"/>
          <w:sz w:val="24"/>
          <w:szCs w:val="24"/>
        </w:rPr>
        <w:t> 2001; </w:t>
      </w:r>
      <w:r w:rsidRPr="00A35CA8">
        <w:rPr>
          <w:rFonts w:ascii="Book Antiqua" w:hAnsi="Book Antiqua" w:cs="宋体"/>
          <w:b/>
          <w:bCs/>
          <w:sz w:val="24"/>
          <w:szCs w:val="24"/>
        </w:rPr>
        <w:t>13</w:t>
      </w:r>
      <w:r w:rsidRPr="00A35CA8">
        <w:rPr>
          <w:rFonts w:ascii="Book Antiqua" w:hAnsi="Book Antiqua" w:cs="宋体"/>
          <w:sz w:val="24"/>
          <w:szCs w:val="24"/>
        </w:rPr>
        <w:t xml:space="preserve">: 1123-1128 [PMID: </w:t>
      </w:r>
      <w:bookmarkStart w:id="28" w:name="OLE_LINK480"/>
      <w:bookmarkStart w:id="29" w:name="OLE_LINK481"/>
      <w:r w:rsidRPr="00A35CA8">
        <w:rPr>
          <w:rFonts w:ascii="Book Antiqua" w:hAnsi="Book Antiqua" w:cs="宋体"/>
          <w:sz w:val="24"/>
          <w:szCs w:val="24"/>
        </w:rPr>
        <w:t>11564968</w:t>
      </w:r>
      <w:bookmarkEnd w:id="28"/>
      <w:bookmarkEnd w:id="29"/>
      <w:r w:rsidRPr="00A35CA8">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11 </w:t>
      </w:r>
      <w:r w:rsidRPr="00A35CA8">
        <w:rPr>
          <w:rFonts w:ascii="Book Antiqua" w:hAnsi="Book Antiqua" w:cs="宋体"/>
          <w:b/>
          <w:bCs/>
          <w:sz w:val="24"/>
          <w:szCs w:val="24"/>
        </w:rPr>
        <w:t>Veress B</w:t>
      </w:r>
      <w:r w:rsidRPr="00A35CA8">
        <w:rPr>
          <w:rFonts w:ascii="Book Antiqua" w:hAnsi="Book Antiqua" w:cs="宋体"/>
          <w:sz w:val="24"/>
          <w:szCs w:val="24"/>
        </w:rPr>
        <w:t>, Franzén L, Bodin L, Borch K. Duodenal intraepithelial lymphocyte-count revisited. </w:t>
      </w:r>
      <w:r w:rsidRPr="00A35CA8">
        <w:rPr>
          <w:rFonts w:ascii="Book Antiqua" w:hAnsi="Book Antiqua" w:cs="宋体"/>
          <w:i/>
          <w:iCs/>
          <w:sz w:val="24"/>
          <w:szCs w:val="24"/>
        </w:rPr>
        <w:t>Scand J Gastroenterol</w:t>
      </w:r>
      <w:r w:rsidRPr="00A35CA8">
        <w:rPr>
          <w:rFonts w:ascii="Book Antiqua" w:hAnsi="Book Antiqua" w:cs="宋体"/>
          <w:sz w:val="24"/>
          <w:szCs w:val="24"/>
        </w:rPr>
        <w:t> 2004; </w:t>
      </w:r>
      <w:r w:rsidRPr="00A35CA8">
        <w:rPr>
          <w:rFonts w:ascii="Book Antiqua" w:hAnsi="Book Antiqua" w:cs="宋体"/>
          <w:b/>
          <w:bCs/>
          <w:sz w:val="24"/>
          <w:szCs w:val="24"/>
        </w:rPr>
        <w:t>39</w:t>
      </w:r>
      <w:r w:rsidRPr="00A35CA8">
        <w:rPr>
          <w:rFonts w:ascii="Book Antiqua" w:hAnsi="Book Antiqua" w:cs="宋体"/>
          <w:sz w:val="24"/>
          <w:szCs w:val="24"/>
        </w:rPr>
        <w:t>: 138-144 [PMID: 15000275 DOI: 10.1080/00365520310007675</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12 </w:t>
      </w:r>
      <w:r w:rsidRPr="00A35CA8">
        <w:rPr>
          <w:rFonts w:ascii="Book Antiqua" w:hAnsi="Book Antiqua" w:cs="宋体"/>
          <w:b/>
          <w:bCs/>
          <w:sz w:val="24"/>
          <w:szCs w:val="24"/>
        </w:rPr>
        <w:t>Collin P</w:t>
      </w:r>
      <w:r w:rsidRPr="00A35CA8">
        <w:rPr>
          <w:rFonts w:ascii="Book Antiqua" w:hAnsi="Book Antiqua" w:cs="宋体"/>
          <w:sz w:val="24"/>
          <w:szCs w:val="24"/>
        </w:rPr>
        <w:t>, Wahab PJ, Murray JA. Intraepithelial lymphocytes and coeliac disease. </w:t>
      </w:r>
      <w:r w:rsidRPr="00A35CA8">
        <w:rPr>
          <w:rFonts w:ascii="Book Antiqua" w:hAnsi="Book Antiqua" w:cs="宋体"/>
          <w:i/>
          <w:iCs/>
          <w:sz w:val="24"/>
          <w:szCs w:val="24"/>
        </w:rPr>
        <w:t>Best Pract Res Clin Gastroenterol</w:t>
      </w:r>
      <w:r w:rsidRPr="00A35CA8">
        <w:rPr>
          <w:rFonts w:ascii="Book Antiqua" w:hAnsi="Book Antiqua" w:cs="宋体"/>
          <w:sz w:val="24"/>
          <w:szCs w:val="24"/>
        </w:rPr>
        <w:t> 2005; </w:t>
      </w:r>
      <w:r w:rsidRPr="00A35CA8">
        <w:rPr>
          <w:rFonts w:ascii="Book Antiqua" w:hAnsi="Book Antiqua" w:cs="宋体"/>
          <w:b/>
          <w:bCs/>
          <w:sz w:val="24"/>
          <w:szCs w:val="24"/>
        </w:rPr>
        <w:t>19</w:t>
      </w:r>
      <w:r w:rsidRPr="00A35CA8">
        <w:rPr>
          <w:rFonts w:ascii="Book Antiqua" w:hAnsi="Book Antiqua" w:cs="宋体"/>
          <w:sz w:val="24"/>
          <w:szCs w:val="24"/>
        </w:rPr>
        <w:t>: 341-350 [PMID: 15925840 DOI: 10.1016/j.bpg.2005.01.005</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13 </w:t>
      </w:r>
      <w:r w:rsidRPr="00A35CA8">
        <w:rPr>
          <w:rFonts w:ascii="Book Antiqua" w:hAnsi="Book Antiqua" w:cs="宋体"/>
          <w:b/>
          <w:bCs/>
          <w:sz w:val="24"/>
          <w:szCs w:val="24"/>
        </w:rPr>
        <w:t>Kakar S</w:t>
      </w:r>
      <w:r w:rsidRPr="00A35CA8">
        <w:rPr>
          <w:rFonts w:ascii="Book Antiqua" w:hAnsi="Book Antiqua" w:cs="宋体"/>
          <w:sz w:val="24"/>
          <w:szCs w:val="24"/>
        </w:rPr>
        <w:t>, Nehra V, Murray JA, Dayharsh GA, Burgart LJ. Significance of intraepithelial lymphocytosis in small bowel biopsy samples with normal mucosal architecture. </w:t>
      </w:r>
      <w:r w:rsidRPr="00A35CA8">
        <w:rPr>
          <w:rFonts w:ascii="Book Antiqua" w:hAnsi="Book Antiqua" w:cs="宋体"/>
          <w:i/>
          <w:iCs/>
          <w:sz w:val="24"/>
          <w:szCs w:val="24"/>
        </w:rPr>
        <w:t>Am J Gastroenterol</w:t>
      </w:r>
      <w:r w:rsidRPr="00A35CA8">
        <w:rPr>
          <w:rFonts w:ascii="Book Antiqua" w:hAnsi="Book Antiqua" w:cs="宋体"/>
          <w:sz w:val="24"/>
          <w:szCs w:val="24"/>
        </w:rPr>
        <w:t> 2003; </w:t>
      </w:r>
      <w:r w:rsidRPr="00A35CA8">
        <w:rPr>
          <w:rFonts w:ascii="Book Antiqua" w:hAnsi="Book Antiqua" w:cs="宋体"/>
          <w:b/>
          <w:bCs/>
          <w:sz w:val="24"/>
          <w:szCs w:val="24"/>
        </w:rPr>
        <w:t>98</w:t>
      </w:r>
      <w:r w:rsidRPr="00A35CA8">
        <w:rPr>
          <w:rFonts w:ascii="Book Antiqua" w:hAnsi="Book Antiqua" w:cs="宋体"/>
          <w:sz w:val="24"/>
          <w:szCs w:val="24"/>
        </w:rPr>
        <w:t>: 2027-2033 [PMID: 14499783 DOI: 10.1111/j.1572-0241.2003.07631.x</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14 </w:t>
      </w:r>
      <w:r w:rsidRPr="00A35CA8">
        <w:rPr>
          <w:rFonts w:ascii="Book Antiqua" w:hAnsi="Book Antiqua" w:cs="宋体"/>
          <w:b/>
          <w:bCs/>
          <w:sz w:val="24"/>
          <w:szCs w:val="24"/>
        </w:rPr>
        <w:t>Salmi TT</w:t>
      </w:r>
      <w:r w:rsidRPr="00A35CA8">
        <w:rPr>
          <w:rFonts w:ascii="Book Antiqua" w:hAnsi="Book Antiqua" w:cs="宋体"/>
          <w:sz w:val="24"/>
          <w:szCs w:val="24"/>
        </w:rPr>
        <w:t>, Collin P, Järvinen O, Haimila K, Partanen J, Laurila K, Korponay-Szabo IR, Huhtala H, Reunala T, Mäki M, Kaukinen K. Immunoglobulin A autoantibodies against transglutaminase 2 in the small intestinal mucosa predict forthcoming coeliac disease. </w:t>
      </w:r>
      <w:r w:rsidRPr="00A35CA8">
        <w:rPr>
          <w:rFonts w:ascii="Book Antiqua" w:hAnsi="Book Antiqua" w:cs="宋体"/>
          <w:i/>
          <w:iCs/>
          <w:sz w:val="24"/>
          <w:szCs w:val="24"/>
        </w:rPr>
        <w:t>Aliment Pharmacol Ther</w:t>
      </w:r>
      <w:r w:rsidRPr="00A35CA8">
        <w:rPr>
          <w:rFonts w:ascii="Book Antiqua" w:hAnsi="Book Antiqua" w:cs="宋体"/>
          <w:sz w:val="24"/>
          <w:szCs w:val="24"/>
        </w:rPr>
        <w:t> 2006; </w:t>
      </w:r>
      <w:r w:rsidRPr="00A35CA8">
        <w:rPr>
          <w:rFonts w:ascii="Book Antiqua" w:hAnsi="Book Antiqua" w:cs="宋体"/>
          <w:b/>
          <w:bCs/>
          <w:sz w:val="24"/>
          <w:szCs w:val="24"/>
        </w:rPr>
        <w:t>24</w:t>
      </w:r>
      <w:r w:rsidRPr="00A35CA8">
        <w:rPr>
          <w:rFonts w:ascii="Book Antiqua" w:hAnsi="Book Antiqua" w:cs="宋体"/>
          <w:sz w:val="24"/>
          <w:szCs w:val="24"/>
        </w:rPr>
        <w:t>: 541-552 [PMID: 16886921 DOI: 10.1111/j.1365-2036.2006.02997.x</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15 </w:t>
      </w:r>
      <w:r w:rsidRPr="00A35CA8">
        <w:rPr>
          <w:rFonts w:ascii="Book Antiqua" w:hAnsi="Book Antiqua" w:cs="宋体"/>
          <w:b/>
          <w:bCs/>
          <w:sz w:val="24"/>
          <w:szCs w:val="24"/>
        </w:rPr>
        <w:t>Lähdeaho ML</w:t>
      </w:r>
      <w:r w:rsidRPr="00A35CA8">
        <w:rPr>
          <w:rFonts w:ascii="Book Antiqua" w:hAnsi="Book Antiqua" w:cs="宋体"/>
          <w:sz w:val="24"/>
          <w:szCs w:val="24"/>
        </w:rPr>
        <w:t xml:space="preserve">, Kaukinen K, Collin P, Ruuska T, Partanen J, Haapala AM, Mäki M. </w:t>
      </w:r>
      <w:r w:rsidR="007E47C2">
        <w:rPr>
          <w:rFonts w:ascii="Book Antiqua" w:hAnsi="Book Antiqua" w:cs="宋体"/>
          <w:sz w:val="24"/>
          <w:szCs w:val="24"/>
        </w:rPr>
        <w:t>Celiac disease</w:t>
      </w:r>
      <w:r w:rsidRPr="00A35CA8">
        <w:rPr>
          <w:rFonts w:ascii="Book Antiqua" w:hAnsi="Book Antiqua" w:cs="宋体"/>
          <w:sz w:val="24"/>
          <w:szCs w:val="24"/>
        </w:rPr>
        <w:t>: from inflammation to atrophy: a long-term follow-up study. </w:t>
      </w:r>
      <w:r w:rsidRPr="00A35CA8">
        <w:rPr>
          <w:rFonts w:ascii="Book Antiqua" w:hAnsi="Book Antiqua" w:cs="宋体"/>
          <w:i/>
          <w:iCs/>
          <w:sz w:val="24"/>
          <w:szCs w:val="24"/>
        </w:rPr>
        <w:t>J Pediatr Gastroenterol Nutr</w:t>
      </w:r>
      <w:r w:rsidRPr="00A35CA8">
        <w:rPr>
          <w:rFonts w:ascii="Book Antiqua" w:hAnsi="Book Antiqua" w:cs="宋体"/>
          <w:sz w:val="24"/>
          <w:szCs w:val="24"/>
        </w:rPr>
        <w:t> 2005; </w:t>
      </w:r>
      <w:r w:rsidRPr="00A35CA8">
        <w:rPr>
          <w:rFonts w:ascii="Book Antiqua" w:hAnsi="Book Antiqua" w:cs="宋体"/>
          <w:b/>
          <w:bCs/>
          <w:sz w:val="24"/>
          <w:szCs w:val="24"/>
        </w:rPr>
        <w:t>41</w:t>
      </w:r>
      <w:r w:rsidRPr="00A35CA8">
        <w:rPr>
          <w:rFonts w:ascii="Book Antiqua" w:hAnsi="Book Antiqua" w:cs="宋体"/>
          <w:sz w:val="24"/>
          <w:szCs w:val="24"/>
        </w:rPr>
        <w:t>: 44-48 [PMID: 15990629 DOI: 10.1097/01.MPG.0000161972.60610.0E</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lastRenderedPageBreak/>
        <w:t>16 </w:t>
      </w:r>
      <w:r w:rsidRPr="00A35CA8">
        <w:rPr>
          <w:rFonts w:ascii="Book Antiqua" w:hAnsi="Book Antiqua" w:cs="宋体"/>
          <w:b/>
          <w:bCs/>
          <w:sz w:val="24"/>
          <w:szCs w:val="24"/>
        </w:rPr>
        <w:t>Paparo F</w:t>
      </w:r>
      <w:r w:rsidRPr="00A35CA8">
        <w:rPr>
          <w:rFonts w:ascii="Book Antiqua" w:hAnsi="Book Antiqua" w:cs="宋体"/>
          <w:sz w:val="24"/>
          <w:szCs w:val="24"/>
        </w:rPr>
        <w:t>, Petrone E, Tosco A, Maglio M, Borrelli M, Salvati VM, Miele E, Greco L, Auricchio S, Troncone R. Clinical, HLA, and small bowel immunohistochemical features of children with positive serum antiendomysium antibodies and architecturally normal small intestinal mucosa. </w:t>
      </w:r>
      <w:r w:rsidRPr="00A35CA8">
        <w:rPr>
          <w:rFonts w:ascii="Book Antiqua" w:hAnsi="Book Antiqua" w:cs="宋体"/>
          <w:i/>
          <w:iCs/>
          <w:sz w:val="24"/>
          <w:szCs w:val="24"/>
        </w:rPr>
        <w:t>Am J Gastroenterol</w:t>
      </w:r>
      <w:r w:rsidRPr="00A35CA8">
        <w:rPr>
          <w:rFonts w:ascii="Book Antiqua" w:hAnsi="Book Antiqua" w:cs="宋体"/>
          <w:sz w:val="24"/>
          <w:szCs w:val="24"/>
        </w:rPr>
        <w:t> 2005; </w:t>
      </w:r>
      <w:r w:rsidRPr="00A35CA8">
        <w:rPr>
          <w:rFonts w:ascii="Book Antiqua" w:hAnsi="Book Antiqua" w:cs="宋体"/>
          <w:b/>
          <w:bCs/>
          <w:sz w:val="24"/>
          <w:szCs w:val="24"/>
        </w:rPr>
        <w:t>100</w:t>
      </w:r>
      <w:r w:rsidRPr="00A35CA8">
        <w:rPr>
          <w:rFonts w:ascii="Book Antiqua" w:hAnsi="Book Antiqua" w:cs="宋体"/>
          <w:sz w:val="24"/>
          <w:szCs w:val="24"/>
        </w:rPr>
        <w:t>: 2294-2298 [PMID: 16181383 DOI: 10.1111/j.1572-0241.2005.41134.x</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17 </w:t>
      </w:r>
      <w:r w:rsidRPr="00A35CA8">
        <w:rPr>
          <w:rFonts w:ascii="Book Antiqua" w:hAnsi="Book Antiqua" w:cs="宋体"/>
          <w:b/>
          <w:bCs/>
          <w:sz w:val="24"/>
          <w:szCs w:val="24"/>
        </w:rPr>
        <w:t>Tursi A</w:t>
      </w:r>
      <w:r w:rsidRPr="00A35CA8">
        <w:rPr>
          <w:rFonts w:ascii="Book Antiqua" w:hAnsi="Book Antiqua" w:cs="宋体"/>
          <w:sz w:val="24"/>
          <w:szCs w:val="24"/>
        </w:rPr>
        <w:t>, Brandimarte G. The symptomatic and histologic response to a gluten-free diet in patients with borderline enteropathy. </w:t>
      </w:r>
      <w:r w:rsidRPr="00A35CA8">
        <w:rPr>
          <w:rFonts w:ascii="Book Antiqua" w:hAnsi="Book Antiqua" w:cs="宋体"/>
          <w:i/>
          <w:iCs/>
          <w:sz w:val="24"/>
          <w:szCs w:val="24"/>
        </w:rPr>
        <w:t>J Clin Gastroenterol</w:t>
      </w:r>
      <w:r w:rsidRPr="00A35CA8">
        <w:rPr>
          <w:rFonts w:ascii="Book Antiqua" w:hAnsi="Book Antiqua" w:cs="宋体"/>
          <w:sz w:val="24"/>
          <w:szCs w:val="24"/>
        </w:rPr>
        <w:t> 2003; </w:t>
      </w:r>
      <w:r w:rsidRPr="00A35CA8">
        <w:rPr>
          <w:rFonts w:ascii="Book Antiqua" w:hAnsi="Book Antiqua" w:cs="宋体"/>
          <w:b/>
          <w:bCs/>
          <w:sz w:val="24"/>
          <w:szCs w:val="24"/>
        </w:rPr>
        <w:t>36</w:t>
      </w:r>
      <w:r w:rsidRPr="00A35CA8">
        <w:rPr>
          <w:rFonts w:ascii="Book Antiqua" w:hAnsi="Book Antiqua" w:cs="宋体"/>
          <w:sz w:val="24"/>
          <w:szCs w:val="24"/>
        </w:rPr>
        <w:t>: 13-17 [PMID: 12488700 DOI: 10.1097/00004836-200301000-00006</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18 </w:t>
      </w:r>
      <w:r w:rsidRPr="00A35CA8">
        <w:rPr>
          <w:rFonts w:ascii="Book Antiqua" w:hAnsi="Book Antiqua" w:cs="宋体"/>
          <w:b/>
          <w:bCs/>
          <w:sz w:val="24"/>
          <w:szCs w:val="24"/>
        </w:rPr>
        <w:t>Dickey W</w:t>
      </w:r>
      <w:r w:rsidRPr="00A35CA8">
        <w:rPr>
          <w:rFonts w:ascii="Book Antiqua" w:hAnsi="Book Antiqua" w:cs="宋体"/>
          <w:sz w:val="24"/>
          <w:szCs w:val="24"/>
        </w:rPr>
        <w:t>, Hughes DF, McMillan SA. Patients with serum IgA endomysial antibodies and intact duodenal villi: clinical characteristics and management options. </w:t>
      </w:r>
      <w:r w:rsidRPr="00A35CA8">
        <w:rPr>
          <w:rFonts w:ascii="Book Antiqua" w:hAnsi="Book Antiqua" w:cs="宋体"/>
          <w:i/>
          <w:iCs/>
          <w:sz w:val="24"/>
          <w:szCs w:val="24"/>
        </w:rPr>
        <w:t>Scand J Gastroenterol</w:t>
      </w:r>
      <w:r w:rsidRPr="00A35CA8">
        <w:rPr>
          <w:rFonts w:ascii="Book Antiqua" w:hAnsi="Book Antiqua" w:cs="宋体"/>
          <w:sz w:val="24"/>
          <w:szCs w:val="24"/>
        </w:rPr>
        <w:t> 2005; </w:t>
      </w:r>
      <w:r w:rsidRPr="00A35CA8">
        <w:rPr>
          <w:rFonts w:ascii="Book Antiqua" w:hAnsi="Book Antiqua" w:cs="宋体"/>
          <w:b/>
          <w:bCs/>
          <w:sz w:val="24"/>
          <w:szCs w:val="24"/>
        </w:rPr>
        <w:t>40</w:t>
      </w:r>
      <w:r w:rsidRPr="00A35CA8">
        <w:rPr>
          <w:rFonts w:ascii="Book Antiqua" w:hAnsi="Book Antiqua" w:cs="宋体"/>
          <w:sz w:val="24"/>
          <w:szCs w:val="24"/>
        </w:rPr>
        <w:t>: 1240-1243 [PMID: 16265781 DOI: 10.1080/00365520510023747</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19 </w:t>
      </w:r>
      <w:r w:rsidRPr="00A35CA8">
        <w:rPr>
          <w:rFonts w:ascii="Book Antiqua" w:hAnsi="Book Antiqua" w:cs="宋体"/>
          <w:b/>
          <w:bCs/>
          <w:sz w:val="24"/>
          <w:szCs w:val="24"/>
        </w:rPr>
        <w:t>Kurppa K</w:t>
      </w:r>
      <w:r w:rsidRPr="00A35CA8">
        <w:rPr>
          <w:rFonts w:ascii="Book Antiqua" w:hAnsi="Book Antiqua" w:cs="宋体"/>
          <w:sz w:val="24"/>
          <w:szCs w:val="24"/>
        </w:rPr>
        <w:t xml:space="preserve">, Collin P, Viljamaa M, Haimila K, Saavalainen P, Partanen J, Laurila K, Huhtala H, Paasikivi K, Mäki M, Kaukinen K. Diagnosing mild enteropathy </w:t>
      </w:r>
      <w:r w:rsidR="007E47C2">
        <w:rPr>
          <w:rFonts w:ascii="Book Antiqua" w:hAnsi="Book Antiqua" w:cs="宋体"/>
          <w:sz w:val="24"/>
          <w:szCs w:val="24"/>
        </w:rPr>
        <w:t>celiac disease</w:t>
      </w:r>
      <w:r w:rsidRPr="00A35CA8">
        <w:rPr>
          <w:rFonts w:ascii="Book Antiqua" w:hAnsi="Book Antiqua" w:cs="宋体"/>
          <w:sz w:val="24"/>
          <w:szCs w:val="24"/>
        </w:rPr>
        <w:t>: a randomized, controlled clinical study. </w:t>
      </w:r>
      <w:r w:rsidRPr="00A35CA8">
        <w:rPr>
          <w:rFonts w:ascii="Book Antiqua" w:hAnsi="Book Antiqua" w:cs="宋体"/>
          <w:i/>
          <w:iCs/>
          <w:sz w:val="24"/>
          <w:szCs w:val="24"/>
        </w:rPr>
        <w:t>Gastroenterology</w:t>
      </w:r>
      <w:r w:rsidRPr="00A35CA8">
        <w:rPr>
          <w:rFonts w:ascii="Book Antiqua" w:hAnsi="Book Antiqua" w:cs="宋体"/>
          <w:sz w:val="24"/>
          <w:szCs w:val="24"/>
        </w:rPr>
        <w:t> 2009; </w:t>
      </w:r>
      <w:r w:rsidRPr="00A35CA8">
        <w:rPr>
          <w:rFonts w:ascii="Book Antiqua" w:hAnsi="Book Antiqua" w:cs="宋体"/>
          <w:b/>
          <w:bCs/>
          <w:sz w:val="24"/>
          <w:szCs w:val="24"/>
        </w:rPr>
        <w:t>136</w:t>
      </w:r>
      <w:r w:rsidRPr="00A35CA8">
        <w:rPr>
          <w:rFonts w:ascii="Book Antiqua" w:hAnsi="Book Antiqua" w:cs="宋体"/>
          <w:sz w:val="24"/>
          <w:szCs w:val="24"/>
        </w:rPr>
        <w:t>: 816-823 [PMID: 19111551 DOI: 10.1053/j.gastro.2008.11.040</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20 </w:t>
      </w:r>
      <w:r w:rsidRPr="00A35CA8">
        <w:rPr>
          <w:rFonts w:ascii="Book Antiqua" w:hAnsi="Book Antiqua" w:cs="宋体"/>
          <w:b/>
          <w:bCs/>
          <w:sz w:val="24"/>
          <w:szCs w:val="24"/>
        </w:rPr>
        <w:t>Kurppa K</w:t>
      </w:r>
      <w:r w:rsidRPr="00A35CA8">
        <w:rPr>
          <w:rFonts w:ascii="Book Antiqua" w:hAnsi="Book Antiqua" w:cs="宋体"/>
          <w:sz w:val="24"/>
          <w:szCs w:val="24"/>
        </w:rPr>
        <w:t xml:space="preserve">, Ashorn M, Iltanen S, Koskinen LL, Saavalainen P, Koskinen O, Mäki M, Kaukinen K. </w:t>
      </w:r>
      <w:r w:rsidR="007E47C2">
        <w:rPr>
          <w:rFonts w:ascii="Book Antiqua" w:hAnsi="Book Antiqua" w:cs="宋体"/>
          <w:sz w:val="24"/>
          <w:szCs w:val="24"/>
        </w:rPr>
        <w:t>Celiac disease</w:t>
      </w:r>
      <w:r w:rsidRPr="00A35CA8">
        <w:rPr>
          <w:rFonts w:ascii="Book Antiqua" w:hAnsi="Book Antiqua" w:cs="宋体"/>
          <w:sz w:val="24"/>
          <w:szCs w:val="24"/>
        </w:rPr>
        <w:t xml:space="preserve"> without villous atrophy in children: a prospective study. </w:t>
      </w:r>
      <w:r w:rsidRPr="00A35CA8">
        <w:rPr>
          <w:rFonts w:ascii="Book Antiqua" w:hAnsi="Book Antiqua" w:cs="宋体"/>
          <w:i/>
          <w:iCs/>
          <w:sz w:val="24"/>
          <w:szCs w:val="24"/>
        </w:rPr>
        <w:t>J Pediatr</w:t>
      </w:r>
      <w:r w:rsidRPr="00A35CA8">
        <w:rPr>
          <w:rFonts w:ascii="Book Antiqua" w:hAnsi="Book Antiqua" w:cs="宋体"/>
          <w:sz w:val="24"/>
          <w:szCs w:val="24"/>
        </w:rPr>
        <w:t> 2010; </w:t>
      </w:r>
      <w:r w:rsidRPr="00A35CA8">
        <w:rPr>
          <w:rFonts w:ascii="Book Antiqua" w:hAnsi="Book Antiqua" w:cs="宋体"/>
          <w:b/>
          <w:bCs/>
          <w:sz w:val="24"/>
          <w:szCs w:val="24"/>
        </w:rPr>
        <w:t>157</w:t>
      </w:r>
      <w:r w:rsidRPr="00A35CA8">
        <w:rPr>
          <w:rFonts w:ascii="Book Antiqua" w:hAnsi="Book Antiqua" w:cs="宋体"/>
          <w:sz w:val="24"/>
          <w:szCs w:val="24"/>
        </w:rPr>
        <w:t>: 373-80, 380.e1 [PMID: 20400102 DOI: 10.1016/j.jpeds.2010.02.070</w:t>
      </w:r>
      <w:r>
        <w:rPr>
          <w:rFonts w:ascii="Book Antiqua" w:hAnsi="Book Antiqua" w:cs="宋体"/>
          <w:sz w:val="24"/>
          <w:szCs w:val="24"/>
        </w:rPr>
        <w:t>]</w:t>
      </w:r>
    </w:p>
    <w:p w:rsidR="00E94F45" w:rsidRPr="00A35CA8" w:rsidRDefault="00E94F45" w:rsidP="00E94F45">
      <w:pPr>
        <w:spacing w:line="360" w:lineRule="auto"/>
        <w:jc w:val="both"/>
        <w:rPr>
          <w:rFonts w:ascii="Book Antiqua" w:hAnsi="Book Antiqua" w:cs="宋体"/>
          <w:sz w:val="24"/>
          <w:szCs w:val="24"/>
        </w:rPr>
      </w:pPr>
      <w:r w:rsidRPr="00A35CA8">
        <w:rPr>
          <w:rFonts w:ascii="Book Antiqua" w:hAnsi="Book Antiqua" w:cs="宋体"/>
          <w:sz w:val="24"/>
          <w:szCs w:val="24"/>
        </w:rPr>
        <w:t>21 </w:t>
      </w:r>
      <w:r w:rsidRPr="00A35CA8">
        <w:rPr>
          <w:rFonts w:ascii="Book Antiqua" w:hAnsi="Book Antiqua" w:cs="宋体"/>
          <w:b/>
          <w:bCs/>
          <w:sz w:val="24"/>
          <w:szCs w:val="24"/>
        </w:rPr>
        <w:t>Kurppa K</w:t>
      </w:r>
      <w:r w:rsidRPr="00A35CA8">
        <w:rPr>
          <w:rFonts w:ascii="Book Antiqua" w:hAnsi="Book Antiqua" w:cs="宋体"/>
          <w:sz w:val="24"/>
          <w:szCs w:val="24"/>
        </w:rPr>
        <w:t>, Collin P, Sievänen H, Huhtala H, Mäki M, Kaukinen K. Gastrointestinal symptoms, quality of life and bone mineral density in mild enteropathic coeliac disease: a prospective clinical trial. </w:t>
      </w:r>
      <w:r w:rsidRPr="00A35CA8">
        <w:rPr>
          <w:rFonts w:ascii="Book Antiqua" w:hAnsi="Book Antiqua" w:cs="宋体"/>
          <w:i/>
          <w:iCs/>
          <w:sz w:val="24"/>
          <w:szCs w:val="24"/>
        </w:rPr>
        <w:t>Scand J Gastroenterol</w:t>
      </w:r>
      <w:r w:rsidRPr="00A35CA8">
        <w:rPr>
          <w:rFonts w:ascii="Book Antiqua" w:hAnsi="Book Antiqua" w:cs="宋体"/>
          <w:sz w:val="24"/>
          <w:szCs w:val="24"/>
        </w:rPr>
        <w:t> 2010; </w:t>
      </w:r>
      <w:r w:rsidRPr="00A35CA8">
        <w:rPr>
          <w:rFonts w:ascii="Book Antiqua" w:hAnsi="Book Antiqua" w:cs="宋体"/>
          <w:b/>
          <w:bCs/>
          <w:sz w:val="24"/>
          <w:szCs w:val="24"/>
        </w:rPr>
        <w:t>45</w:t>
      </w:r>
      <w:r w:rsidRPr="00A35CA8">
        <w:rPr>
          <w:rFonts w:ascii="Book Antiqua" w:hAnsi="Book Antiqua" w:cs="宋体"/>
          <w:sz w:val="24"/>
          <w:szCs w:val="24"/>
        </w:rPr>
        <w:t>: 305-314 [PMID: 20059405 DOI: 10.3109/00365520903555879</w:t>
      </w:r>
      <w:r>
        <w:rPr>
          <w:rFonts w:ascii="Book Antiqua" w:hAnsi="Book Antiqua" w:cs="宋体"/>
          <w:sz w:val="24"/>
          <w:szCs w:val="24"/>
        </w:rPr>
        <w:t>]</w:t>
      </w:r>
    </w:p>
    <w:p w:rsidR="002D2380" w:rsidRPr="008F4656" w:rsidRDefault="00E94F45" w:rsidP="008F4656">
      <w:pPr>
        <w:spacing w:line="360" w:lineRule="auto"/>
        <w:jc w:val="both"/>
        <w:rPr>
          <w:rFonts w:ascii="Book Antiqua" w:hAnsi="Book Antiqua" w:cs="宋体"/>
          <w:sz w:val="24"/>
          <w:szCs w:val="24"/>
          <w:lang w:eastAsia="zh-CN"/>
        </w:rPr>
      </w:pPr>
      <w:r w:rsidRPr="00A35CA8">
        <w:rPr>
          <w:rFonts w:ascii="Book Antiqua" w:hAnsi="Book Antiqua" w:cs="宋体"/>
          <w:sz w:val="24"/>
          <w:szCs w:val="24"/>
        </w:rPr>
        <w:t>22 </w:t>
      </w:r>
      <w:r w:rsidRPr="00A35CA8">
        <w:rPr>
          <w:rFonts w:ascii="Book Antiqua" w:hAnsi="Book Antiqua" w:cs="宋体"/>
          <w:b/>
          <w:bCs/>
          <w:sz w:val="24"/>
          <w:szCs w:val="24"/>
        </w:rPr>
        <w:t>Wahab PJ</w:t>
      </w:r>
      <w:r w:rsidRPr="00A35CA8">
        <w:rPr>
          <w:rFonts w:ascii="Book Antiqua" w:hAnsi="Book Antiqua" w:cs="宋体"/>
          <w:sz w:val="24"/>
          <w:szCs w:val="24"/>
        </w:rPr>
        <w:t>, Crusius JB, Meijer JW, Mulder CJ. Gluten challenge in borderline gluten-sensitive enteropathy. </w:t>
      </w:r>
      <w:r w:rsidRPr="00A35CA8">
        <w:rPr>
          <w:rFonts w:ascii="Book Antiqua" w:hAnsi="Book Antiqua" w:cs="宋体"/>
          <w:i/>
          <w:iCs/>
          <w:sz w:val="24"/>
          <w:szCs w:val="24"/>
        </w:rPr>
        <w:t>Am J Gastroenterol</w:t>
      </w:r>
      <w:r w:rsidRPr="00A35CA8">
        <w:rPr>
          <w:rFonts w:ascii="Book Antiqua" w:hAnsi="Book Antiqua" w:cs="宋体"/>
          <w:sz w:val="24"/>
          <w:szCs w:val="24"/>
        </w:rPr>
        <w:t> 2001; </w:t>
      </w:r>
      <w:r w:rsidRPr="00A35CA8">
        <w:rPr>
          <w:rFonts w:ascii="Book Antiqua" w:hAnsi="Book Antiqua" w:cs="宋体"/>
          <w:b/>
          <w:bCs/>
          <w:sz w:val="24"/>
          <w:szCs w:val="24"/>
        </w:rPr>
        <w:t>96</w:t>
      </w:r>
      <w:r w:rsidRPr="00A35CA8">
        <w:rPr>
          <w:rFonts w:ascii="Book Antiqua" w:hAnsi="Book Antiqua" w:cs="宋体"/>
          <w:sz w:val="24"/>
          <w:szCs w:val="24"/>
        </w:rPr>
        <w:t>: 1464-1469 [PMID: 11374684 DOI: 10.1111/j.1572-0241.2001.03812.x</w:t>
      </w:r>
      <w:r>
        <w:rPr>
          <w:rFonts w:ascii="Book Antiqua" w:hAnsi="Book Antiqua" w:cs="宋体"/>
          <w:sz w:val="24"/>
          <w:szCs w:val="24"/>
        </w:rPr>
        <w:t>]</w:t>
      </w:r>
      <w:bookmarkEnd w:id="26"/>
      <w:bookmarkEnd w:id="27"/>
    </w:p>
    <w:p w:rsidR="002D2380" w:rsidRPr="00706939" w:rsidRDefault="002D2380" w:rsidP="008F4656">
      <w:pPr>
        <w:pStyle w:val="ac"/>
        <w:spacing w:line="360" w:lineRule="auto"/>
        <w:ind w:firstLineChars="0" w:firstLine="0"/>
        <w:jc w:val="right"/>
        <w:rPr>
          <w:rFonts w:ascii="Book Antiqua" w:eastAsia="宋体" w:hAnsi="Book Antiqua"/>
          <w:b/>
          <w:bCs/>
          <w:szCs w:val="24"/>
          <w:lang w:eastAsia="zh-CN"/>
        </w:rPr>
      </w:pPr>
      <w:bookmarkStart w:id="30" w:name="OLE_LINK277"/>
      <w:bookmarkStart w:id="31" w:name="OLE_LINK278"/>
      <w:bookmarkStart w:id="32" w:name="OLE_LINK279"/>
      <w:bookmarkStart w:id="33" w:name="OLE_LINK290"/>
      <w:bookmarkStart w:id="34" w:name="OLE_LINK301"/>
      <w:bookmarkStart w:id="35" w:name="OLE_LINK312"/>
      <w:bookmarkStart w:id="36" w:name="OLE_LINK315"/>
      <w:bookmarkStart w:id="37" w:name="OLE_LINK316"/>
      <w:bookmarkStart w:id="38" w:name="OLE_LINK317"/>
      <w:bookmarkStart w:id="39" w:name="OLE_LINK318"/>
      <w:bookmarkStart w:id="40" w:name="OLE_LINK326"/>
      <w:bookmarkStart w:id="41" w:name="OLE_LINK335"/>
      <w:bookmarkStart w:id="42" w:name="OLE_LINK339"/>
      <w:bookmarkStart w:id="43" w:name="OLE_LINK348"/>
      <w:bookmarkStart w:id="44" w:name="OLE_LINK399"/>
      <w:bookmarkStart w:id="45" w:name="OLE_LINK419"/>
      <w:bookmarkStart w:id="46" w:name="OLE_LINK420"/>
      <w:bookmarkStart w:id="47" w:name="OLE_LINK423"/>
      <w:bookmarkStart w:id="48" w:name="OLE_LINK449"/>
      <w:bookmarkStart w:id="49" w:name="OLE_LINK450"/>
      <w:bookmarkStart w:id="50" w:name="OLE_LINK454"/>
      <w:bookmarkStart w:id="51" w:name="OLE_LINK461"/>
      <w:bookmarkStart w:id="52" w:name="OLE_LINK471"/>
      <w:bookmarkStart w:id="53" w:name="OLE_LINK474"/>
      <w:r w:rsidRPr="00706939">
        <w:rPr>
          <w:rStyle w:val="ab"/>
          <w:rFonts w:ascii="Book Antiqua" w:hAnsi="Book Antiqua" w:cs="Arial"/>
          <w:bCs w:val="0"/>
          <w:noProof/>
          <w:szCs w:val="24"/>
        </w:rPr>
        <w:t>P-Reviewer</w:t>
      </w:r>
      <w:r w:rsidRPr="00706939">
        <w:rPr>
          <w:rStyle w:val="ab"/>
          <w:rFonts w:ascii="Book Antiqua" w:eastAsia="宋体" w:hAnsi="Book Antiqua" w:cs="Arial"/>
          <w:bCs w:val="0"/>
          <w:noProof/>
          <w:szCs w:val="24"/>
          <w:lang w:eastAsia="zh-CN"/>
        </w:rPr>
        <w:t>:</w:t>
      </w:r>
      <w:r w:rsidRPr="00706939">
        <w:rPr>
          <w:rFonts w:ascii="Book Antiqua" w:hAnsi="Book Antiqua"/>
          <w:bCs/>
          <w:szCs w:val="24"/>
        </w:rPr>
        <w:t xml:space="preserve">  </w:t>
      </w:r>
      <w:r w:rsidR="00706939">
        <w:rPr>
          <w:rFonts w:ascii="Book Antiqua" w:hAnsi="Book Antiqua"/>
          <w:bCs/>
          <w:szCs w:val="24"/>
        </w:rPr>
        <w:t>Nejad</w:t>
      </w:r>
      <w:r w:rsidR="00706939" w:rsidRPr="00706939">
        <w:rPr>
          <w:rFonts w:ascii="Book Antiqua" w:hAnsi="Book Antiqua"/>
          <w:bCs/>
          <w:szCs w:val="24"/>
        </w:rPr>
        <w:t xml:space="preserve"> MR</w:t>
      </w:r>
      <w:r w:rsidR="00706939">
        <w:rPr>
          <w:rFonts w:ascii="Book Antiqua" w:eastAsiaTheme="minorEastAsia" w:hAnsi="Book Antiqua" w:hint="eastAsia"/>
          <w:bCs/>
          <w:szCs w:val="24"/>
          <w:lang w:eastAsia="zh-CN"/>
        </w:rPr>
        <w:t>,</w:t>
      </w:r>
      <w:r w:rsidRPr="00706939">
        <w:rPr>
          <w:rFonts w:ascii="Book Antiqua" w:hAnsi="Book Antiqua"/>
          <w:bCs/>
          <w:szCs w:val="24"/>
        </w:rPr>
        <w:t xml:space="preserve"> </w:t>
      </w:r>
      <w:r w:rsidR="00706939" w:rsidRPr="00706939">
        <w:rPr>
          <w:rFonts w:ascii="Book Antiqua" w:hAnsi="Book Antiqua"/>
          <w:bCs/>
          <w:szCs w:val="24"/>
        </w:rPr>
        <w:t>Nomura</w:t>
      </w:r>
      <w:r w:rsidR="00706939">
        <w:rPr>
          <w:rFonts w:ascii="Book Antiqua" w:eastAsiaTheme="minorEastAsia" w:hAnsi="Book Antiqua" w:hint="eastAsia"/>
          <w:bCs/>
          <w:szCs w:val="24"/>
          <w:lang w:eastAsia="zh-CN"/>
        </w:rPr>
        <w:t xml:space="preserve"> S</w:t>
      </w:r>
      <w:r w:rsidRPr="00706939">
        <w:rPr>
          <w:rFonts w:ascii="Book Antiqua" w:hAnsi="Book Antiqua"/>
          <w:bCs/>
          <w:szCs w:val="24"/>
        </w:rPr>
        <w:t xml:space="preserve"> </w:t>
      </w:r>
      <w:r w:rsidRPr="00706939">
        <w:rPr>
          <w:rFonts w:ascii="Book Antiqua" w:hAnsi="Book Antiqua"/>
          <w:b/>
          <w:bCs/>
          <w:szCs w:val="24"/>
        </w:rPr>
        <w:t>S-Editor</w:t>
      </w:r>
      <w:r w:rsidRPr="00706939">
        <w:rPr>
          <w:rFonts w:ascii="Book Antiqua" w:eastAsia="宋体" w:hAnsi="Book Antiqua"/>
          <w:b/>
          <w:bCs/>
          <w:szCs w:val="24"/>
          <w:lang w:eastAsia="zh-CN"/>
        </w:rPr>
        <w:t>:</w:t>
      </w:r>
      <w:r w:rsidRPr="00706939">
        <w:rPr>
          <w:rFonts w:ascii="Book Antiqua" w:hAnsi="Book Antiqua"/>
          <w:bCs/>
          <w:szCs w:val="24"/>
        </w:rPr>
        <w:t xml:space="preserve"> </w:t>
      </w:r>
      <w:r w:rsidRPr="00706939">
        <w:rPr>
          <w:rFonts w:ascii="Book Antiqua" w:eastAsia="宋体" w:hAnsi="Book Antiqua"/>
          <w:bCs/>
          <w:szCs w:val="24"/>
          <w:lang w:eastAsia="zh-CN"/>
        </w:rPr>
        <w:t>Qi Y</w:t>
      </w:r>
      <w:r w:rsidRPr="00706939">
        <w:rPr>
          <w:rFonts w:ascii="Book Antiqua" w:hAnsi="Book Antiqua"/>
          <w:b/>
          <w:bCs/>
          <w:szCs w:val="24"/>
        </w:rPr>
        <w:t xml:space="preserve">   L-Editor</w:t>
      </w:r>
      <w:r w:rsidRPr="00706939">
        <w:rPr>
          <w:rFonts w:ascii="Book Antiqua" w:eastAsia="宋体" w:hAnsi="Book Antiqua"/>
          <w:b/>
          <w:bCs/>
          <w:szCs w:val="24"/>
          <w:lang w:eastAsia="zh-CN"/>
        </w:rPr>
        <w:t>:</w:t>
      </w:r>
      <w:r w:rsidRPr="00706939">
        <w:rPr>
          <w:rFonts w:ascii="Book Antiqua" w:hAnsi="Book Antiqua"/>
          <w:b/>
          <w:bCs/>
          <w:szCs w:val="24"/>
        </w:rPr>
        <w:t xml:space="preserve">   E-Editor</w:t>
      </w:r>
      <w:r w:rsidRPr="00706939">
        <w:rPr>
          <w:rFonts w:ascii="Book Antiqua" w:eastAsia="宋体" w:hAnsi="Book Antiqua"/>
          <w:b/>
          <w:bCs/>
          <w:szCs w:val="24"/>
          <w:lang w:eastAsia="zh-CN"/>
        </w:rPr>
        <w:t>:</w:t>
      </w: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2D2380" w:rsidRPr="00706939" w:rsidRDefault="002D2380" w:rsidP="00045356">
      <w:pPr>
        <w:spacing w:after="0" w:line="360" w:lineRule="auto"/>
        <w:jc w:val="both"/>
        <w:rPr>
          <w:rFonts w:ascii="Book Antiqua" w:hAnsi="Book Antiqua" w:cs="TTE446DEB0t00"/>
          <w:sz w:val="24"/>
          <w:szCs w:val="24"/>
          <w:lang w:val="it-IT" w:eastAsia="zh-CN"/>
        </w:rPr>
        <w:sectPr w:rsidR="002D2380" w:rsidRPr="00706939" w:rsidSect="00CB0291">
          <w:footerReference w:type="even" r:id="rId9"/>
          <w:footerReference w:type="default" r:id="rId10"/>
          <w:pgSz w:w="11906" w:h="16838"/>
          <w:pgMar w:top="1417" w:right="1417" w:bottom="1417" w:left="1417" w:header="708" w:footer="708" w:gutter="0"/>
          <w:cols w:space="708"/>
          <w:docGrid w:linePitch="360"/>
        </w:sectPr>
      </w:pPr>
    </w:p>
    <w:p w:rsidR="005D1D68" w:rsidRPr="00706939" w:rsidRDefault="005D1D68" w:rsidP="00045356">
      <w:pPr>
        <w:spacing w:after="0" w:line="360" w:lineRule="auto"/>
        <w:jc w:val="both"/>
        <w:rPr>
          <w:rFonts w:ascii="Book Antiqua" w:hAnsi="Book Antiqua" w:cs="Arial"/>
          <w:b/>
          <w:sz w:val="24"/>
          <w:szCs w:val="24"/>
          <w:lang w:val="en-US" w:eastAsia="zh-CN"/>
        </w:rPr>
      </w:pPr>
      <w:r w:rsidRPr="00706939">
        <w:rPr>
          <w:rFonts w:ascii="Book Antiqua" w:hAnsi="Book Antiqua" w:cs="Arial"/>
          <w:b/>
          <w:sz w:val="24"/>
          <w:szCs w:val="24"/>
          <w:lang w:val="en-US"/>
        </w:rPr>
        <w:lastRenderedPageBreak/>
        <w:t xml:space="preserve">Table 1 Marsh classification of duodenal biopsies on </w:t>
      </w:r>
      <w:proofErr w:type="spellStart"/>
      <w:r w:rsidR="002C3F56" w:rsidRPr="002C3F56">
        <w:rPr>
          <w:rFonts w:ascii="Book Antiqua" w:hAnsi="Book Antiqua" w:cs="Arial"/>
          <w:b/>
          <w:sz w:val="24"/>
          <w:szCs w:val="24"/>
          <w:lang w:val="en-US"/>
        </w:rPr>
        <w:t>hematoxylin</w:t>
      </w:r>
      <w:proofErr w:type="spellEnd"/>
      <w:r w:rsidR="002C3F56" w:rsidRPr="002C3F56">
        <w:rPr>
          <w:rFonts w:ascii="Book Antiqua" w:hAnsi="Book Antiqua" w:cs="Arial"/>
          <w:b/>
          <w:sz w:val="24"/>
          <w:szCs w:val="24"/>
          <w:lang w:val="en-US"/>
        </w:rPr>
        <w:t xml:space="preserve"> and eosin </w:t>
      </w:r>
      <w:r w:rsidRPr="00706939">
        <w:rPr>
          <w:rFonts w:ascii="Book Antiqua" w:hAnsi="Book Antiqua" w:cs="Arial"/>
          <w:b/>
          <w:sz w:val="24"/>
          <w:szCs w:val="24"/>
          <w:lang w:val="en-US"/>
        </w:rPr>
        <w:t>stains</w:t>
      </w:r>
      <w:r w:rsidRPr="00706939">
        <w:rPr>
          <w:rFonts w:ascii="Book Antiqua" w:hAnsi="Book Antiqua" w:cs="Arial"/>
          <w:b/>
          <w:sz w:val="24"/>
          <w:szCs w:val="24"/>
          <w:lang w:val="en-GB"/>
        </w:rPr>
        <w:t xml:space="preserve"> </w:t>
      </w:r>
      <w:r w:rsidRPr="00706939">
        <w:rPr>
          <w:rFonts w:ascii="Book Antiqua" w:hAnsi="Book Antiqua" w:cs="Arial"/>
          <w:b/>
          <w:sz w:val="24"/>
          <w:szCs w:val="24"/>
          <w:lang w:val="en-US"/>
        </w:rPr>
        <w:t>versus CD3 stains</w:t>
      </w:r>
      <w:r w:rsidR="003874AE">
        <w:rPr>
          <w:rFonts w:ascii="Book Antiqua" w:hAnsi="Book Antiqua" w:cs="Arial" w:hint="eastAsia"/>
          <w:b/>
          <w:sz w:val="24"/>
          <w:szCs w:val="24"/>
          <w:lang w:val="en-US" w:eastAsia="zh-CN"/>
        </w:rPr>
        <w:t xml:space="preserve"> </w:t>
      </w:r>
      <w:r w:rsidR="003874AE" w:rsidRPr="003874AE">
        <w:rPr>
          <w:rFonts w:ascii="Book Antiqua" w:hAnsi="Book Antiqua" w:cs="Arial" w:hint="eastAsia"/>
          <w:b/>
          <w:i/>
          <w:sz w:val="24"/>
          <w:szCs w:val="24"/>
          <w:lang w:val="en-US" w:eastAsia="zh-CN"/>
        </w:rPr>
        <w:t>n</w:t>
      </w:r>
      <w:r w:rsidR="003874AE">
        <w:rPr>
          <w:rFonts w:ascii="Book Antiqua" w:hAnsi="Book Antiqua" w:cs="Arial" w:hint="eastAsia"/>
          <w:b/>
          <w:sz w:val="24"/>
          <w:szCs w:val="24"/>
          <w:lang w:val="en-US" w:eastAsia="zh-CN"/>
        </w:rPr>
        <w:t xml:space="preserve"> (%)</w:t>
      </w:r>
    </w:p>
    <w:tbl>
      <w:tblPr>
        <w:tblpPr w:leftFromText="141" w:rightFromText="141" w:vertAnchor="page" w:horzAnchor="margin" w:tblpX="-885" w:tblpY="2139"/>
        <w:tblW w:w="14043" w:type="dxa"/>
        <w:tblBorders>
          <w:top w:val="single" w:sz="4" w:space="0" w:color="000000"/>
          <w:bottom w:val="single" w:sz="4" w:space="0" w:color="000000"/>
          <w:insideV w:val="single" w:sz="4" w:space="0" w:color="000000"/>
        </w:tblBorders>
        <w:tblLayout w:type="fixed"/>
        <w:tblLook w:val="00A0" w:firstRow="1" w:lastRow="0" w:firstColumn="1" w:lastColumn="0" w:noHBand="0" w:noVBand="0"/>
      </w:tblPr>
      <w:tblGrid>
        <w:gridCol w:w="1526"/>
        <w:gridCol w:w="2077"/>
        <w:gridCol w:w="2430"/>
        <w:gridCol w:w="2430"/>
        <w:gridCol w:w="2700"/>
        <w:gridCol w:w="2880"/>
      </w:tblGrid>
      <w:tr w:rsidR="00706939" w:rsidRPr="00706939" w:rsidTr="002C3F56">
        <w:tc>
          <w:tcPr>
            <w:tcW w:w="14043" w:type="dxa"/>
            <w:gridSpan w:val="6"/>
            <w:tcBorders>
              <w:top w:val="single" w:sz="4" w:space="0" w:color="000000"/>
              <w:bottom w:val="nil"/>
            </w:tcBorders>
            <w:shd w:val="clear" w:color="auto" w:fill="auto"/>
          </w:tcPr>
          <w:p w:rsidR="005D1D68" w:rsidRPr="00706939" w:rsidRDefault="005D1D68" w:rsidP="002C3F56">
            <w:pPr>
              <w:spacing w:after="0" w:line="360" w:lineRule="auto"/>
              <w:jc w:val="both"/>
              <w:rPr>
                <w:rFonts w:ascii="Book Antiqua" w:hAnsi="Book Antiqua" w:cs="Arial"/>
                <w:b/>
                <w:sz w:val="24"/>
                <w:szCs w:val="24"/>
                <w:lang w:val="en-US"/>
              </w:rPr>
            </w:pPr>
          </w:p>
          <w:p w:rsidR="005D1D68" w:rsidRPr="00706939" w:rsidRDefault="005D1D68" w:rsidP="002C3F56">
            <w:pPr>
              <w:spacing w:after="0" w:line="360" w:lineRule="auto"/>
              <w:jc w:val="both"/>
              <w:rPr>
                <w:rFonts w:ascii="Book Antiqua" w:hAnsi="Book Antiqua" w:cs="Arial"/>
                <w:b/>
                <w:sz w:val="24"/>
                <w:szCs w:val="24"/>
                <w:lang w:eastAsia="zh-CN"/>
              </w:rPr>
            </w:pPr>
            <w:r w:rsidRPr="00706939">
              <w:rPr>
                <w:rFonts w:ascii="Book Antiqua" w:hAnsi="Book Antiqua" w:cs="Arial"/>
                <w:b/>
                <w:sz w:val="24"/>
                <w:szCs w:val="24"/>
              </w:rPr>
              <w:t>Evaluation of CD3 stains</w:t>
            </w:r>
          </w:p>
        </w:tc>
      </w:tr>
      <w:tr w:rsidR="00706939" w:rsidRPr="00706939" w:rsidTr="002C3F56">
        <w:tc>
          <w:tcPr>
            <w:tcW w:w="1526" w:type="dxa"/>
            <w:vMerge w:val="restart"/>
            <w:tcBorders>
              <w:top w:val="nil"/>
              <w:bottom w:val="nil"/>
              <w:right w:val="nil"/>
            </w:tcBorders>
            <w:shd w:val="clear" w:color="auto" w:fill="auto"/>
          </w:tcPr>
          <w:p w:rsidR="005D1D68" w:rsidRPr="002C3F56" w:rsidRDefault="005D1D68" w:rsidP="002C3F56">
            <w:pPr>
              <w:spacing w:after="0" w:line="360" w:lineRule="auto"/>
              <w:jc w:val="both"/>
              <w:rPr>
                <w:rFonts w:ascii="Book Antiqua" w:hAnsi="Book Antiqua" w:cs="Arial"/>
                <w:sz w:val="24"/>
                <w:szCs w:val="24"/>
                <w:lang w:val="en-US"/>
              </w:rPr>
            </w:pPr>
          </w:p>
          <w:p w:rsidR="002C3F56" w:rsidRDefault="002C3F56" w:rsidP="002C3F56">
            <w:pPr>
              <w:spacing w:after="0" w:line="360" w:lineRule="auto"/>
              <w:jc w:val="both"/>
              <w:rPr>
                <w:rFonts w:ascii="Book Antiqua" w:hAnsi="Book Antiqua" w:cs="Arial"/>
                <w:sz w:val="24"/>
                <w:szCs w:val="24"/>
                <w:lang w:val="en-US" w:eastAsia="zh-CN"/>
              </w:rPr>
            </w:pPr>
          </w:p>
          <w:p w:rsidR="002C3F56" w:rsidRDefault="002C3F56" w:rsidP="002C3F56">
            <w:pPr>
              <w:spacing w:after="0" w:line="360" w:lineRule="auto"/>
              <w:jc w:val="both"/>
              <w:rPr>
                <w:rFonts w:ascii="Book Antiqua" w:hAnsi="Book Antiqua" w:cs="Arial"/>
                <w:sz w:val="24"/>
                <w:szCs w:val="24"/>
                <w:lang w:val="en-US" w:eastAsia="zh-CN"/>
              </w:rPr>
            </w:pPr>
          </w:p>
          <w:p w:rsidR="002C3F56" w:rsidRDefault="002C3F56" w:rsidP="002C3F56">
            <w:pPr>
              <w:spacing w:after="0" w:line="360" w:lineRule="auto"/>
              <w:jc w:val="both"/>
              <w:rPr>
                <w:rFonts w:ascii="Book Antiqua" w:hAnsi="Book Antiqua" w:cs="Arial"/>
                <w:sz w:val="24"/>
                <w:szCs w:val="24"/>
                <w:lang w:val="en-US" w:eastAsia="zh-CN"/>
              </w:rPr>
            </w:pPr>
          </w:p>
          <w:p w:rsidR="002C3F56" w:rsidRDefault="002C3F56" w:rsidP="002C3F56">
            <w:pPr>
              <w:spacing w:after="0" w:line="360" w:lineRule="auto"/>
              <w:jc w:val="both"/>
              <w:rPr>
                <w:rFonts w:ascii="Book Antiqua" w:hAnsi="Book Antiqua" w:cs="Arial"/>
                <w:sz w:val="24"/>
                <w:szCs w:val="24"/>
                <w:lang w:val="en-US" w:eastAsia="zh-CN"/>
              </w:rPr>
            </w:pPr>
          </w:p>
          <w:p w:rsidR="002C3F56" w:rsidRDefault="002C3F56" w:rsidP="002C3F56">
            <w:pPr>
              <w:spacing w:after="0" w:line="360" w:lineRule="auto"/>
              <w:jc w:val="both"/>
              <w:rPr>
                <w:rFonts w:ascii="Book Antiqua" w:hAnsi="Book Antiqua" w:cs="Arial"/>
                <w:sz w:val="24"/>
                <w:szCs w:val="24"/>
                <w:lang w:val="en-US" w:eastAsia="zh-CN"/>
              </w:rPr>
            </w:pPr>
          </w:p>
          <w:p w:rsidR="002C3F56" w:rsidRDefault="002C3F56" w:rsidP="002C3F56">
            <w:pPr>
              <w:spacing w:after="0" w:line="360" w:lineRule="auto"/>
              <w:jc w:val="both"/>
              <w:rPr>
                <w:rFonts w:ascii="Book Antiqua" w:hAnsi="Book Antiqua" w:cs="Arial"/>
                <w:sz w:val="24"/>
                <w:szCs w:val="24"/>
                <w:lang w:val="en-US" w:eastAsia="zh-CN"/>
              </w:rPr>
            </w:pPr>
          </w:p>
          <w:p w:rsidR="005D1D68" w:rsidRPr="009125A2" w:rsidRDefault="005D1D68" w:rsidP="002C3F56">
            <w:pPr>
              <w:spacing w:after="0" w:line="360" w:lineRule="auto"/>
              <w:jc w:val="both"/>
              <w:rPr>
                <w:rFonts w:ascii="Book Antiqua" w:hAnsi="Book Antiqua" w:cs="Arial"/>
                <w:sz w:val="24"/>
                <w:szCs w:val="24"/>
                <w:lang w:val="en-US" w:eastAsia="zh-CN"/>
              </w:rPr>
            </w:pPr>
            <w:r w:rsidRPr="009125A2">
              <w:rPr>
                <w:rFonts w:ascii="Book Antiqua" w:hAnsi="Book Antiqua" w:cs="Arial"/>
                <w:sz w:val="24"/>
                <w:szCs w:val="24"/>
                <w:lang w:val="en-US"/>
              </w:rPr>
              <w:t>Evaluation</w:t>
            </w:r>
          </w:p>
          <w:p w:rsidR="005D1D68" w:rsidRPr="002C3F56" w:rsidRDefault="002C3F56" w:rsidP="002C3F56">
            <w:pPr>
              <w:spacing w:after="0" w:line="360" w:lineRule="auto"/>
              <w:jc w:val="both"/>
              <w:rPr>
                <w:rFonts w:ascii="Book Antiqua" w:hAnsi="Book Antiqua" w:cs="Arial"/>
                <w:sz w:val="24"/>
                <w:szCs w:val="24"/>
                <w:lang w:val="en-US"/>
              </w:rPr>
            </w:pPr>
            <w:r w:rsidRPr="009125A2">
              <w:rPr>
                <w:rFonts w:ascii="Book Antiqua" w:hAnsi="Book Antiqua" w:cs="Arial"/>
                <w:sz w:val="24"/>
                <w:szCs w:val="24"/>
                <w:lang w:val="en-US"/>
              </w:rPr>
              <w:t>o</w:t>
            </w:r>
            <w:r w:rsidR="005D1D68" w:rsidRPr="009125A2">
              <w:rPr>
                <w:rFonts w:ascii="Book Antiqua" w:hAnsi="Book Antiqua" w:cs="Arial"/>
                <w:sz w:val="24"/>
                <w:szCs w:val="24"/>
              </w:rPr>
              <w:t>f</w:t>
            </w:r>
            <w:r w:rsidRPr="009125A2">
              <w:rPr>
                <w:rFonts w:ascii="Book Antiqua" w:hAnsi="Book Antiqua" w:cs="Arial"/>
                <w:sz w:val="24"/>
                <w:szCs w:val="24"/>
                <w:lang w:val="en-US" w:eastAsia="zh-CN"/>
              </w:rPr>
              <w:t xml:space="preserve"> </w:t>
            </w:r>
            <w:r w:rsidRPr="009125A2">
              <w:rPr>
                <w:rFonts w:ascii="Book Antiqua" w:hAnsi="Book Antiqua" w:cs="Arial"/>
                <w:sz w:val="24"/>
                <w:szCs w:val="24"/>
              </w:rPr>
              <w:t>hestains</w:t>
            </w:r>
          </w:p>
        </w:tc>
        <w:tc>
          <w:tcPr>
            <w:tcW w:w="2077" w:type="dxa"/>
            <w:vMerge w:val="restart"/>
            <w:tcBorders>
              <w:top w:val="nil"/>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p>
        </w:tc>
        <w:tc>
          <w:tcPr>
            <w:tcW w:w="7560" w:type="dxa"/>
            <w:gridSpan w:val="3"/>
            <w:tcBorders>
              <w:top w:val="nil"/>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rPr>
            </w:pPr>
          </w:p>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Positive</w:t>
            </w:r>
            <w:r w:rsidR="002C3F56" w:rsidRPr="002C3F56">
              <w:rPr>
                <w:rFonts w:ascii="Book Antiqua" w:hAnsi="Book Antiqua" w:hint="eastAsia"/>
                <w:sz w:val="24"/>
                <w:szCs w:val="24"/>
                <w:vertAlign w:val="superscript"/>
                <w:lang w:val="en-US" w:eastAsia="zh-CN"/>
              </w:rPr>
              <w:t>1</w:t>
            </w:r>
          </w:p>
        </w:tc>
        <w:tc>
          <w:tcPr>
            <w:tcW w:w="2880" w:type="dxa"/>
            <w:tcBorders>
              <w:top w:val="nil"/>
              <w:left w:val="nil"/>
              <w:bottom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rPr>
            </w:pPr>
            <w:r w:rsidRPr="002C3F56">
              <w:rPr>
                <w:rFonts w:ascii="Book Antiqua" w:hAnsi="Book Antiqua" w:cs="Arial"/>
                <w:sz w:val="24"/>
                <w:szCs w:val="24"/>
              </w:rPr>
              <w:t>Negative</w:t>
            </w:r>
          </w:p>
        </w:tc>
      </w:tr>
      <w:tr w:rsidR="00706939" w:rsidRPr="00706939" w:rsidTr="002C3F56">
        <w:tc>
          <w:tcPr>
            <w:tcW w:w="1526" w:type="dxa"/>
            <w:vMerge/>
            <w:tcBorders>
              <w:top w:val="nil"/>
              <w:bottom w:val="single" w:sz="4" w:space="0" w:color="000000"/>
              <w:right w:val="nil"/>
            </w:tcBorders>
            <w:shd w:val="clear" w:color="auto" w:fill="auto"/>
          </w:tcPr>
          <w:p w:rsidR="005D1D68" w:rsidRPr="002C3F56" w:rsidRDefault="005D1D68" w:rsidP="002C3F56">
            <w:pPr>
              <w:spacing w:after="0" w:line="360" w:lineRule="auto"/>
              <w:jc w:val="both"/>
              <w:rPr>
                <w:rFonts w:ascii="Book Antiqua" w:hAnsi="Book Antiqua" w:cs="Arial"/>
                <w:sz w:val="24"/>
                <w:szCs w:val="24"/>
              </w:rPr>
            </w:pPr>
          </w:p>
        </w:tc>
        <w:tc>
          <w:tcPr>
            <w:tcW w:w="2077" w:type="dxa"/>
            <w:vMerge/>
            <w:tcBorders>
              <w:top w:val="nil"/>
              <w:left w:val="nil"/>
              <w:bottom w:val="single" w:sz="4" w:space="0" w:color="000000"/>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rPr>
            </w:pPr>
          </w:p>
        </w:tc>
        <w:tc>
          <w:tcPr>
            <w:tcW w:w="2430" w:type="dxa"/>
            <w:tcBorders>
              <w:top w:val="nil"/>
              <w:left w:val="nil"/>
              <w:bottom w:val="single" w:sz="4" w:space="0" w:color="000000"/>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Marsh III</w:t>
            </w:r>
          </w:p>
          <w:p w:rsidR="005D1D68" w:rsidRPr="002C3F56" w:rsidRDefault="005D1D68" w:rsidP="002C3F56">
            <w:pPr>
              <w:spacing w:after="0" w:line="360" w:lineRule="auto"/>
              <w:jc w:val="both"/>
              <w:rPr>
                <w:rFonts w:ascii="Book Antiqua" w:hAnsi="Book Antiqua" w:cs="Arial"/>
                <w:sz w:val="24"/>
                <w:szCs w:val="24"/>
              </w:rPr>
            </w:pPr>
            <w:r w:rsidRPr="002C3F56">
              <w:rPr>
                <w:rFonts w:ascii="Book Antiqua" w:hAnsi="Book Antiqua" w:cs="Arial"/>
                <w:sz w:val="24"/>
                <w:szCs w:val="24"/>
              </w:rPr>
              <w:t>(</w:t>
            </w:r>
            <w:r w:rsidR="002C3F56" w:rsidRPr="002C3F56">
              <w:rPr>
                <w:rFonts w:ascii="Book Antiqua" w:hAnsi="Book Antiqua" w:cs="Arial"/>
                <w:i/>
                <w:sz w:val="24"/>
                <w:szCs w:val="24"/>
              </w:rPr>
              <w:t>n</w:t>
            </w:r>
            <w:r w:rsidR="002C3F56" w:rsidRPr="002C3F56">
              <w:rPr>
                <w:rFonts w:ascii="Book Antiqua" w:hAnsi="Book Antiqua" w:cs="Arial"/>
                <w:sz w:val="24"/>
                <w:szCs w:val="24"/>
              </w:rPr>
              <w:t xml:space="preserve"> </w:t>
            </w:r>
            <w:r w:rsidRPr="002C3F56">
              <w:rPr>
                <w:rFonts w:ascii="Book Antiqua" w:hAnsi="Book Antiqua" w:cs="Arial"/>
                <w:sz w:val="24"/>
                <w:szCs w:val="24"/>
              </w:rPr>
              <w:t>=</w:t>
            </w:r>
            <w:r w:rsidR="002C3F56">
              <w:rPr>
                <w:rFonts w:ascii="Book Antiqua" w:hAnsi="Book Antiqua" w:cs="Arial" w:hint="eastAsia"/>
                <w:sz w:val="24"/>
                <w:szCs w:val="24"/>
                <w:lang w:eastAsia="zh-CN"/>
              </w:rPr>
              <w:t xml:space="preserve"> </w:t>
            </w:r>
            <w:r w:rsidRPr="002C3F56">
              <w:rPr>
                <w:rFonts w:ascii="Book Antiqua" w:hAnsi="Book Antiqua" w:cs="Arial"/>
                <w:sz w:val="24"/>
                <w:szCs w:val="24"/>
              </w:rPr>
              <w:t>93)</w:t>
            </w:r>
          </w:p>
        </w:tc>
        <w:tc>
          <w:tcPr>
            <w:tcW w:w="2430" w:type="dxa"/>
            <w:tcBorders>
              <w:top w:val="nil"/>
              <w:left w:val="nil"/>
              <w:bottom w:val="single" w:sz="4" w:space="0" w:color="000000"/>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rPr>
            </w:pPr>
          </w:p>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Marsh II</w:t>
            </w:r>
          </w:p>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w:t>
            </w:r>
            <w:r w:rsidR="002C3F56" w:rsidRPr="002C3F56">
              <w:rPr>
                <w:rFonts w:ascii="Book Antiqua" w:hAnsi="Book Antiqua" w:cs="Arial"/>
                <w:i/>
                <w:sz w:val="24"/>
                <w:szCs w:val="24"/>
              </w:rPr>
              <w:t>n</w:t>
            </w:r>
            <w:r w:rsidR="002C3F56" w:rsidRPr="002C3F56">
              <w:rPr>
                <w:rFonts w:ascii="Book Antiqua" w:hAnsi="Book Antiqua" w:cs="Arial"/>
                <w:sz w:val="24"/>
                <w:szCs w:val="24"/>
              </w:rPr>
              <w:t xml:space="preserve"> </w:t>
            </w:r>
            <w:r w:rsidRPr="002C3F56">
              <w:rPr>
                <w:rFonts w:ascii="Book Antiqua" w:hAnsi="Book Antiqua" w:cs="Arial"/>
                <w:sz w:val="24"/>
                <w:szCs w:val="24"/>
              </w:rPr>
              <w:t>=</w:t>
            </w:r>
            <w:r w:rsidR="002C3F56">
              <w:rPr>
                <w:rFonts w:ascii="Book Antiqua" w:hAnsi="Book Antiqua" w:cs="Arial" w:hint="eastAsia"/>
                <w:sz w:val="24"/>
                <w:szCs w:val="24"/>
                <w:lang w:eastAsia="zh-CN"/>
              </w:rPr>
              <w:t xml:space="preserve"> </w:t>
            </w:r>
            <w:r w:rsidRPr="002C3F56">
              <w:rPr>
                <w:rFonts w:ascii="Book Antiqua" w:hAnsi="Book Antiqua" w:cs="Arial"/>
                <w:sz w:val="24"/>
                <w:szCs w:val="24"/>
              </w:rPr>
              <w:t>3)</w:t>
            </w:r>
          </w:p>
        </w:tc>
        <w:tc>
          <w:tcPr>
            <w:tcW w:w="2700" w:type="dxa"/>
            <w:tcBorders>
              <w:top w:val="nil"/>
              <w:left w:val="nil"/>
              <w:bottom w:val="single" w:sz="4" w:space="0" w:color="000000"/>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Marsh I</w:t>
            </w:r>
          </w:p>
          <w:p w:rsidR="005D1D68" w:rsidRPr="002C3F56" w:rsidRDefault="005D1D68" w:rsidP="002C3F56">
            <w:pPr>
              <w:spacing w:after="0" w:line="360" w:lineRule="auto"/>
              <w:jc w:val="both"/>
              <w:rPr>
                <w:rFonts w:ascii="Book Antiqua" w:hAnsi="Book Antiqua" w:cs="Arial"/>
                <w:sz w:val="24"/>
                <w:szCs w:val="24"/>
              </w:rPr>
            </w:pPr>
            <w:r w:rsidRPr="002C3F56">
              <w:rPr>
                <w:rFonts w:ascii="Book Antiqua" w:hAnsi="Book Antiqua" w:cs="Arial"/>
                <w:sz w:val="24"/>
                <w:szCs w:val="24"/>
              </w:rPr>
              <w:t>(</w:t>
            </w:r>
            <w:r w:rsidR="002C3F56" w:rsidRPr="002C3F56">
              <w:rPr>
                <w:rFonts w:ascii="Book Antiqua" w:hAnsi="Book Antiqua" w:cs="Arial"/>
                <w:i/>
                <w:sz w:val="24"/>
                <w:szCs w:val="24"/>
              </w:rPr>
              <w:t>n</w:t>
            </w:r>
            <w:r w:rsidR="002C3F56" w:rsidRPr="002C3F56">
              <w:rPr>
                <w:rFonts w:ascii="Book Antiqua" w:hAnsi="Book Antiqua" w:cs="Arial"/>
                <w:sz w:val="24"/>
                <w:szCs w:val="24"/>
              </w:rPr>
              <w:t xml:space="preserve"> </w:t>
            </w:r>
            <w:r w:rsidRPr="002C3F56">
              <w:rPr>
                <w:rFonts w:ascii="Book Antiqua" w:hAnsi="Book Antiqua" w:cs="Arial"/>
                <w:sz w:val="24"/>
                <w:szCs w:val="24"/>
              </w:rPr>
              <w:t>=</w:t>
            </w:r>
            <w:r w:rsidR="002C3F56">
              <w:rPr>
                <w:rFonts w:ascii="Book Antiqua" w:hAnsi="Book Antiqua" w:cs="Arial" w:hint="eastAsia"/>
                <w:sz w:val="24"/>
                <w:szCs w:val="24"/>
                <w:lang w:eastAsia="zh-CN"/>
              </w:rPr>
              <w:t xml:space="preserve"> </w:t>
            </w:r>
            <w:r w:rsidRPr="002C3F56">
              <w:rPr>
                <w:rFonts w:ascii="Book Antiqua" w:hAnsi="Book Antiqua" w:cs="Arial"/>
                <w:sz w:val="24"/>
                <w:szCs w:val="24"/>
              </w:rPr>
              <w:t>13)</w:t>
            </w:r>
          </w:p>
        </w:tc>
        <w:tc>
          <w:tcPr>
            <w:tcW w:w="2880" w:type="dxa"/>
            <w:tcBorders>
              <w:top w:val="nil"/>
              <w:left w:val="nil"/>
              <w:bottom w:val="single" w:sz="4" w:space="0" w:color="000000"/>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No CD</w:t>
            </w:r>
          </w:p>
          <w:p w:rsidR="005D1D68" w:rsidRPr="002C3F56" w:rsidRDefault="005D1D68" w:rsidP="002C3F56">
            <w:pPr>
              <w:spacing w:after="0" w:line="360" w:lineRule="auto"/>
              <w:jc w:val="both"/>
              <w:rPr>
                <w:rFonts w:ascii="Book Antiqua" w:hAnsi="Book Antiqua" w:cs="Arial"/>
                <w:sz w:val="24"/>
                <w:szCs w:val="24"/>
              </w:rPr>
            </w:pPr>
            <w:r w:rsidRPr="002C3F56">
              <w:rPr>
                <w:rFonts w:ascii="Book Antiqua" w:hAnsi="Book Antiqua" w:cs="Arial"/>
                <w:sz w:val="24"/>
                <w:szCs w:val="24"/>
              </w:rPr>
              <w:t>(</w:t>
            </w:r>
            <w:r w:rsidR="002C3F56" w:rsidRPr="002C3F56">
              <w:rPr>
                <w:rFonts w:ascii="Book Antiqua" w:hAnsi="Book Antiqua" w:cs="Arial"/>
                <w:i/>
                <w:sz w:val="24"/>
                <w:szCs w:val="24"/>
              </w:rPr>
              <w:t>n</w:t>
            </w:r>
            <w:r w:rsidR="002C3F56" w:rsidRPr="002C3F56">
              <w:rPr>
                <w:rFonts w:ascii="Book Antiqua" w:hAnsi="Book Antiqua" w:cs="Arial"/>
                <w:sz w:val="24"/>
                <w:szCs w:val="24"/>
              </w:rPr>
              <w:t xml:space="preserve"> </w:t>
            </w:r>
            <w:r w:rsidRPr="002C3F56">
              <w:rPr>
                <w:rFonts w:ascii="Book Antiqua" w:hAnsi="Book Antiqua" w:cs="Arial"/>
                <w:sz w:val="24"/>
                <w:szCs w:val="24"/>
              </w:rPr>
              <w:t>=</w:t>
            </w:r>
            <w:r w:rsidR="002C3F56">
              <w:rPr>
                <w:rFonts w:ascii="Book Antiqua" w:hAnsi="Book Antiqua" w:cs="Arial" w:hint="eastAsia"/>
                <w:sz w:val="24"/>
                <w:szCs w:val="24"/>
                <w:lang w:eastAsia="zh-CN"/>
              </w:rPr>
              <w:t xml:space="preserve"> </w:t>
            </w:r>
            <w:r w:rsidRPr="002C3F56">
              <w:rPr>
                <w:rFonts w:ascii="Book Antiqua" w:hAnsi="Book Antiqua" w:cs="Arial"/>
                <w:sz w:val="24"/>
                <w:szCs w:val="24"/>
              </w:rPr>
              <w:t>50)</w:t>
            </w:r>
          </w:p>
        </w:tc>
      </w:tr>
      <w:tr w:rsidR="00706939" w:rsidRPr="00706939" w:rsidTr="002C3F56">
        <w:trPr>
          <w:trHeight w:val="1307"/>
        </w:trPr>
        <w:tc>
          <w:tcPr>
            <w:tcW w:w="1526" w:type="dxa"/>
            <w:vMerge/>
            <w:tcBorders>
              <w:top w:val="single" w:sz="4" w:space="0" w:color="000000"/>
              <w:bottom w:val="nil"/>
              <w:right w:val="nil"/>
            </w:tcBorders>
            <w:shd w:val="clear" w:color="auto" w:fill="auto"/>
          </w:tcPr>
          <w:p w:rsidR="005D1D68" w:rsidRPr="002C3F56" w:rsidRDefault="005D1D68" w:rsidP="002C3F56">
            <w:pPr>
              <w:spacing w:after="0" w:line="360" w:lineRule="auto"/>
              <w:jc w:val="both"/>
              <w:rPr>
                <w:rFonts w:ascii="Book Antiqua" w:hAnsi="Book Antiqua" w:cs="Arial"/>
                <w:sz w:val="24"/>
                <w:szCs w:val="24"/>
              </w:rPr>
            </w:pPr>
          </w:p>
        </w:tc>
        <w:tc>
          <w:tcPr>
            <w:tcW w:w="2077" w:type="dxa"/>
            <w:tcBorders>
              <w:top w:val="single" w:sz="4" w:space="0" w:color="000000"/>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Marsh III</w:t>
            </w:r>
          </w:p>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w:t>
            </w:r>
            <w:r w:rsidRPr="002C3F56">
              <w:rPr>
                <w:rFonts w:ascii="Book Antiqua" w:hAnsi="Book Antiqua" w:cs="Arial"/>
                <w:i/>
                <w:sz w:val="24"/>
                <w:szCs w:val="24"/>
              </w:rPr>
              <w:t>n</w:t>
            </w:r>
            <w:r w:rsidR="002C3F56">
              <w:rPr>
                <w:rFonts w:ascii="Book Antiqua" w:hAnsi="Book Antiqua" w:cs="Arial" w:hint="eastAsia"/>
                <w:sz w:val="24"/>
                <w:szCs w:val="24"/>
                <w:lang w:eastAsia="zh-CN"/>
              </w:rPr>
              <w:t xml:space="preserve"> </w:t>
            </w:r>
            <w:r w:rsidRPr="002C3F56">
              <w:rPr>
                <w:rFonts w:ascii="Book Antiqua" w:hAnsi="Book Antiqua" w:cs="Arial"/>
                <w:sz w:val="24"/>
                <w:szCs w:val="24"/>
              </w:rPr>
              <w:t>=</w:t>
            </w:r>
            <w:r w:rsidR="002C3F56">
              <w:rPr>
                <w:rFonts w:ascii="Book Antiqua" w:hAnsi="Book Antiqua" w:cs="Arial" w:hint="eastAsia"/>
                <w:sz w:val="24"/>
                <w:szCs w:val="24"/>
                <w:lang w:eastAsia="zh-CN"/>
              </w:rPr>
              <w:t xml:space="preserve"> </w:t>
            </w:r>
            <w:r w:rsidRPr="002C3F56">
              <w:rPr>
                <w:rFonts w:ascii="Book Antiqua" w:hAnsi="Book Antiqua" w:cs="Arial"/>
                <w:sz w:val="24"/>
                <w:szCs w:val="24"/>
              </w:rPr>
              <w:t>87)</w:t>
            </w:r>
          </w:p>
        </w:tc>
        <w:tc>
          <w:tcPr>
            <w:tcW w:w="2430" w:type="dxa"/>
            <w:tcBorders>
              <w:top w:val="single" w:sz="4" w:space="0" w:color="000000"/>
              <w:left w:val="nil"/>
              <w:bottom w:val="nil"/>
              <w:right w:val="nil"/>
            </w:tcBorders>
            <w:shd w:val="clear" w:color="auto" w:fill="auto"/>
            <w:vAlign w:val="center"/>
          </w:tcPr>
          <w:p w:rsidR="005D1D68" w:rsidRPr="002C3F56" w:rsidRDefault="003874AE" w:rsidP="002C3F56">
            <w:pPr>
              <w:spacing w:after="0" w:line="360" w:lineRule="auto"/>
              <w:jc w:val="both"/>
              <w:rPr>
                <w:rFonts w:ascii="Book Antiqua" w:hAnsi="Book Antiqua" w:cs="Arial"/>
                <w:sz w:val="24"/>
                <w:szCs w:val="24"/>
              </w:rPr>
            </w:pPr>
            <w:r>
              <w:rPr>
                <w:rFonts w:ascii="Book Antiqua" w:hAnsi="Book Antiqua" w:cs="Arial"/>
                <w:sz w:val="24"/>
                <w:szCs w:val="24"/>
              </w:rPr>
              <w:t>86 (98.9</w:t>
            </w:r>
            <w:r w:rsidR="005D1D68" w:rsidRPr="002C3F56">
              <w:rPr>
                <w:rFonts w:ascii="Book Antiqua" w:hAnsi="Book Antiqua" w:cs="Arial"/>
                <w:sz w:val="24"/>
                <w:szCs w:val="24"/>
              </w:rPr>
              <w:t>)</w:t>
            </w:r>
          </w:p>
        </w:tc>
        <w:tc>
          <w:tcPr>
            <w:tcW w:w="2430" w:type="dxa"/>
            <w:tcBorders>
              <w:top w:val="single" w:sz="4" w:space="0" w:color="000000"/>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w:t>
            </w:r>
          </w:p>
        </w:tc>
        <w:tc>
          <w:tcPr>
            <w:tcW w:w="2700" w:type="dxa"/>
            <w:tcBorders>
              <w:top w:val="single" w:sz="4" w:space="0" w:color="000000"/>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w:t>
            </w:r>
          </w:p>
        </w:tc>
        <w:tc>
          <w:tcPr>
            <w:tcW w:w="2880" w:type="dxa"/>
            <w:tcBorders>
              <w:top w:val="single" w:sz="4" w:space="0" w:color="000000"/>
              <w:left w:val="nil"/>
              <w:bottom w:val="nil"/>
            </w:tcBorders>
            <w:shd w:val="clear" w:color="auto" w:fill="auto"/>
            <w:vAlign w:val="center"/>
          </w:tcPr>
          <w:p w:rsidR="005D1D68" w:rsidRPr="002C3F56" w:rsidRDefault="003874AE" w:rsidP="002C3F56">
            <w:pPr>
              <w:spacing w:after="0" w:line="360" w:lineRule="auto"/>
              <w:jc w:val="both"/>
              <w:rPr>
                <w:rFonts w:ascii="Book Antiqua" w:hAnsi="Book Antiqua" w:cs="Arial"/>
                <w:sz w:val="24"/>
                <w:szCs w:val="24"/>
              </w:rPr>
            </w:pPr>
            <w:r>
              <w:rPr>
                <w:rFonts w:ascii="Book Antiqua" w:hAnsi="Book Antiqua" w:cs="Arial"/>
                <w:sz w:val="24"/>
                <w:szCs w:val="24"/>
              </w:rPr>
              <w:t>1 (1.1</w:t>
            </w:r>
            <w:r w:rsidR="005D1D68" w:rsidRPr="002C3F56">
              <w:rPr>
                <w:rFonts w:ascii="Book Antiqua" w:hAnsi="Book Antiqua" w:cs="Arial"/>
                <w:sz w:val="24"/>
                <w:szCs w:val="24"/>
              </w:rPr>
              <w:t>)</w:t>
            </w:r>
          </w:p>
        </w:tc>
      </w:tr>
      <w:tr w:rsidR="00706939" w:rsidRPr="00706939" w:rsidTr="002C3F56">
        <w:trPr>
          <w:trHeight w:val="1256"/>
        </w:trPr>
        <w:tc>
          <w:tcPr>
            <w:tcW w:w="1526" w:type="dxa"/>
            <w:vMerge/>
            <w:tcBorders>
              <w:top w:val="nil"/>
              <w:bottom w:val="nil"/>
              <w:right w:val="nil"/>
            </w:tcBorders>
            <w:shd w:val="clear" w:color="auto" w:fill="auto"/>
          </w:tcPr>
          <w:p w:rsidR="005D1D68" w:rsidRPr="002C3F56" w:rsidRDefault="005D1D68" w:rsidP="002C3F56">
            <w:pPr>
              <w:spacing w:after="0" w:line="360" w:lineRule="auto"/>
              <w:jc w:val="both"/>
              <w:rPr>
                <w:rFonts w:ascii="Book Antiqua" w:hAnsi="Book Antiqua" w:cs="Arial"/>
                <w:sz w:val="24"/>
                <w:szCs w:val="24"/>
              </w:rPr>
            </w:pPr>
          </w:p>
        </w:tc>
        <w:tc>
          <w:tcPr>
            <w:tcW w:w="2077" w:type="dxa"/>
            <w:tcBorders>
              <w:top w:val="nil"/>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Marsh II</w:t>
            </w:r>
          </w:p>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w:t>
            </w:r>
            <w:r w:rsidR="002C3F56" w:rsidRPr="002C3F56">
              <w:rPr>
                <w:rFonts w:ascii="Book Antiqua" w:hAnsi="Book Antiqua" w:cs="Arial"/>
                <w:i/>
                <w:sz w:val="24"/>
                <w:szCs w:val="24"/>
              </w:rPr>
              <w:t>n</w:t>
            </w:r>
            <w:r w:rsidR="002C3F56" w:rsidRPr="002C3F56">
              <w:rPr>
                <w:rFonts w:ascii="Book Antiqua" w:hAnsi="Book Antiqua" w:cs="Arial"/>
                <w:sz w:val="24"/>
                <w:szCs w:val="24"/>
              </w:rPr>
              <w:t xml:space="preserve"> </w:t>
            </w:r>
            <w:r w:rsidRPr="002C3F56">
              <w:rPr>
                <w:rFonts w:ascii="Book Antiqua" w:hAnsi="Book Antiqua" w:cs="Arial"/>
                <w:sz w:val="24"/>
                <w:szCs w:val="24"/>
              </w:rPr>
              <w:t>=</w:t>
            </w:r>
            <w:r w:rsidR="002C3F56">
              <w:rPr>
                <w:rFonts w:ascii="Book Antiqua" w:hAnsi="Book Antiqua" w:cs="Arial" w:hint="eastAsia"/>
                <w:sz w:val="24"/>
                <w:szCs w:val="24"/>
                <w:lang w:eastAsia="zh-CN"/>
              </w:rPr>
              <w:t xml:space="preserve"> </w:t>
            </w:r>
            <w:r w:rsidRPr="002C3F56">
              <w:rPr>
                <w:rFonts w:ascii="Book Antiqua" w:hAnsi="Book Antiqua" w:cs="Arial"/>
                <w:sz w:val="24"/>
                <w:szCs w:val="24"/>
              </w:rPr>
              <w:t>1)</w:t>
            </w:r>
          </w:p>
        </w:tc>
        <w:tc>
          <w:tcPr>
            <w:tcW w:w="2430" w:type="dxa"/>
            <w:tcBorders>
              <w:top w:val="nil"/>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rPr>
            </w:pPr>
          </w:p>
          <w:p w:rsidR="005D1D68" w:rsidRPr="002C3F56" w:rsidRDefault="005D1D68" w:rsidP="002C3F56">
            <w:pPr>
              <w:spacing w:after="0" w:line="360" w:lineRule="auto"/>
              <w:jc w:val="both"/>
              <w:rPr>
                <w:rFonts w:ascii="Book Antiqua" w:hAnsi="Book Antiqua" w:cs="Arial"/>
                <w:sz w:val="24"/>
                <w:szCs w:val="24"/>
              </w:rPr>
            </w:pPr>
            <w:r w:rsidRPr="002C3F56">
              <w:rPr>
                <w:rFonts w:ascii="Book Antiqua" w:hAnsi="Book Antiqua" w:cs="Arial"/>
                <w:sz w:val="24"/>
                <w:szCs w:val="24"/>
              </w:rPr>
              <w:t>-</w:t>
            </w:r>
          </w:p>
        </w:tc>
        <w:tc>
          <w:tcPr>
            <w:tcW w:w="2430" w:type="dxa"/>
            <w:tcBorders>
              <w:top w:val="nil"/>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rPr>
            </w:pPr>
          </w:p>
          <w:p w:rsidR="005D1D68" w:rsidRPr="002C3F56" w:rsidRDefault="003874AE" w:rsidP="002C3F56">
            <w:pPr>
              <w:spacing w:after="0" w:line="360" w:lineRule="auto"/>
              <w:jc w:val="both"/>
              <w:rPr>
                <w:rFonts w:ascii="Book Antiqua" w:hAnsi="Book Antiqua" w:cs="Arial"/>
                <w:sz w:val="24"/>
                <w:szCs w:val="24"/>
              </w:rPr>
            </w:pPr>
            <w:r>
              <w:rPr>
                <w:rFonts w:ascii="Book Antiqua" w:hAnsi="Book Antiqua" w:cs="Arial"/>
                <w:sz w:val="24"/>
                <w:szCs w:val="24"/>
              </w:rPr>
              <w:t>1 (100</w:t>
            </w:r>
            <w:r w:rsidR="005D1D68" w:rsidRPr="002C3F56">
              <w:rPr>
                <w:rFonts w:ascii="Book Antiqua" w:hAnsi="Book Antiqua" w:cs="Arial"/>
                <w:sz w:val="24"/>
                <w:szCs w:val="24"/>
              </w:rPr>
              <w:t>)</w:t>
            </w:r>
          </w:p>
          <w:p w:rsidR="005D1D68" w:rsidRPr="002C3F56" w:rsidRDefault="005D1D68" w:rsidP="002C3F56">
            <w:pPr>
              <w:spacing w:after="0" w:line="360" w:lineRule="auto"/>
              <w:jc w:val="both"/>
              <w:rPr>
                <w:rFonts w:ascii="Book Antiqua" w:hAnsi="Book Antiqua" w:cs="Arial"/>
                <w:sz w:val="24"/>
                <w:szCs w:val="24"/>
              </w:rPr>
            </w:pPr>
          </w:p>
        </w:tc>
        <w:tc>
          <w:tcPr>
            <w:tcW w:w="2700" w:type="dxa"/>
            <w:tcBorders>
              <w:top w:val="nil"/>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rPr>
            </w:pPr>
            <w:r w:rsidRPr="002C3F56">
              <w:rPr>
                <w:rFonts w:ascii="Book Antiqua" w:hAnsi="Book Antiqua" w:cs="Arial"/>
                <w:sz w:val="24"/>
                <w:szCs w:val="24"/>
              </w:rPr>
              <w:t>-</w:t>
            </w:r>
          </w:p>
        </w:tc>
        <w:tc>
          <w:tcPr>
            <w:tcW w:w="2880" w:type="dxa"/>
            <w:tcBorders>
              <w:top w:val="nil"/>
              <w:left w:val="nil"/>
              <w:bottom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rPr>
            </w:pPr>
            <w:r w:rsidRPr="002C3F56">
              <w:rPr>
                <w:rFonts w:ascii="Book Antiqua" w:hAnsi="Book Antiqua" w:cs="Arial"/>
                <w:sz w:val="24"/>
                <w:szCs w:val="24"/>
              </w:rPr>
              <w:t>-</w:t>
            </w:r>
          </w:p>
        </w:tc>
      </w:tr>
      <w:tr w:rsidR="00706939" w:rsidRPr="00706939" w:rsidTr="002C3F56">
        <w:trPr>
          <w:trHeight w:val="1263"/>
        </w:trPr>
        <w:tc>
          <w:tcPr>
            <w:tcW w:w="1526" w:type="dxa"/>
            <w:vMerge/>
            <w:tcBorders>
              <w:top w:val="nil"/>
              <w:bottom w:val="nil"/>
              <w:right w:val="nil"/>
            </w:tcBorders>
            <w:shd w:val="clear" w:color="auto" w:fill="auto"/>
          </w:tcPr>
          <w:p w:rsidR="005D1D68" w:rsidRPr="002C3F56" w:rsidRDefault="005D1D68" w:rsidP="002C3F56">
            <w:pPr>
              <w:spacing w:after="0" w:line="360" w:lineRule="auto"/>
              <w:jc w:val="both"/>
              <w:rPr>
                <w:rFonts w:ascii="Book Antiqua" w:hAnsi="Book Antiqua" w:cs="Arial"/>
                <w:sz w:val="24"/>
                <w:szCs w:val="24"/>
              </w:rPr>
            </w:pPr>
          </w:p>
        </w:tc>
        <w:tc>
          <w:tcPr>
            <w:tcW w:w="2077" w:type="dxa"/>
            <w:tcBorders>
              <w:top w:val="nil"/>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Marsh I</w:t>
            </w:r>
          </w:p>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w:t>
            </w:r>
            <w:r w:rsidR="002C3F56" w:rsidRPr="002C3F56">
              <w:rPr>
                <w:rFonts w:ascii="Book Antiqua" w:hAnsi="Book Antiqua" w:cs="Arial"/>
                <w:i/>
                <w:sz w:val="24"/>
                <w:szCs w:val="24"/>
              </w:rPr>
              <w:t>n</w:t>
            </w:r>
            <w:r w:rsidR="002C3F56" w:rsidRPr="002C3F56">
              <w:rPr>
                <w:rFonts w:ascii="Book Antiqua" w:hAnsi="Book Antiqua" w:cs="Arial"/>
                <w:sz w:val="24"/>
                <w:szCs w:val="24"/>
              </w:rPr>
              <w:t xml:space="preserve"> </w:t>
            </w:r>
            <w:r w:rsidRPr="002C3F56">
              <w:rPr>
                <w:rFonts w:ascii="Book Antiqua" w:hAnsi="Book Antiqua" w:cs="Arial"/>
                <w:sz w:val="24"/>
                <w:szCs w:val="24"/>
              </w:rPr>
              <w:t>=</w:t>
            </w:r>
            <w:r w:rsidR="002C3F56">
              <w:rPr>
                <w:rFonts w:ascii="Book Antiqua" w:hAnsi="Book Antiqua" w:cs="Arial" w:hint="eastAsia"/>
                <w:sz w:val="24"/>
                <w:szCs w:val="24"/>
                <w:lang w:eastAsia="zh-CN"/>
              </w:rPr>
              <w:t xml:space="preserve"> </w:t>
            </w:r>
            <w:r w:rsidRPr="002C3F56">
              <w:rPr>
                <w:rFonts w:ascii="Book Antiqua" w:hAnsi="Book Antiqua" w:cs="Arial"/>
                <w:sz w:val="24"/>
                <w:szCs w:val="24"/>
              </w:rPr>
              <w:t>6)</w:t>
            </w:r>
          </w:p>
        </w:tc>
        <w:tc>
          <w:tcPr>
            <w:tcW w:w="2430" w:type="dxa"/>
            <w:tcBorders>
              <w:top w:val="nil"/>
              <w:left w:val="nil"/>
              <w:bottom w:val="nil"/>
              <w:right w:val="nil"/>
            </w:tcBorders>
            <w:shd w:val="clear" w:color="auto" w:fill="auto"/>
            <w:vAlign w:val="center"/>
          </w:tcPr>
          <w:p w:rsidR="005D1D68" w:rsidRPr="002C3F56" w:rsidRDefault="003874AE" w:rsidP="002C3F56">
            <w:pPr>
              <w:spacing w:after="0" w:line="360" w:lineRule="auto"/>
              <w:jc w:val="both"/>
              <w:rPr>
                <w:rFonts w:ascii="Book Antiqua" w:hAnsi="Book Antiqua" w:cs="Arial"/>
                <w:sz w:val="24"/>
                <w:szCs w:val="24"/>
                <w:lang w:eastAsia="zh-CN"/>
              </w:rPr>
            </w:pPr>
            <w:r>
              <w:rPr>
                <w:rFonts w:ascii="Book Antiqua" w:hAnsi="Book Antiqua" w:cs="Arial"/>
                <w:sz w:val="24"/>
                <w:szCs w:val="24"/>
              </w:rPr>
              <w:t>1 (16.7</w:t>
            </w:r>
            <w:r w:rsidR="005D1D68" w:rsidRPr="002C3F56">
              <w:rPr>
                <w:rFonts w:ascii="Book Antiqua" w:hAnsi="Book Antiqua" w:cs="Arial"/>
                <w:sz w:val="24"/>
                <w:szCs w:val="24"/>
              </w:rPr>
              <w:t>)</w:t>
            </w:r>
          </w:p>
        </w:tc>
        <w:tc>
          <w:tcPr>
            <w:tcW w:w="2430" w:type="dxa"/>
            <w:tcBorders>
              <w:top w:val="nil"/>
              <w:left w:val="nil"/>
              <w:bottom w:val="nil"/>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w:t>
            </w:r>
          </w:p>
        </w:tc>
        <w:tc>
          <w:tcPr>
            <w:tcW w:w="2700" w:type="dxa"/>
            <w:tcBorders>
              <w:top w:val="nil"/>
              <w:left w:val="nil"/>
              <w:bottom w:val="nil"/>
              <w:right w:val="nil"/>
            </w:tcBorders>
            <w:shd w:val="clear" w:color="auto" w:fill="auto"/>
            <w:vAlign w:val="center"/>
          </w:tcPr>
          <w:p w:rsidR="005D1D68" w:rsidRPr="002C3F56" w:rsidRDefault="003874AE" w:rsidP="002C3F56">
            <w:pPr>
              <w:spacing w:after="0" w:line="360" w:lineRule="auto"/>
              <w:jc w:val="both"/>
              <w:rPr>
                <w:rFonts w:ascii="Book Antiqua" w:hAnsi="Book Antiqua" w:cs="Arial"/>
                <w:sz w:val="24"/>
                <w:szCs w:val="24"/>
              </w:rPr>
            </w:pPr>
            <w:r>
              <w:rPr>
                <w:rFonts w:ascii="Book Antiqua" w:hAnsi="Book Antiqua" w:cs="Arial"/>
                <w:sz w:val="24"/>
                <w:szCs w:val="24"/>
              </w:rPr>
              <w:t>4 (66.7</w:t>
            </w:r>
            <w:r w:rsidR="005D1D68" w:rsidRPr="002C3F56">
              <w:rPr>
                <w:rFonts w:ascii="Book Antiqua" w:hAnsi="Book Antiqua" w:cs="Arial"/>
                <w:sz w:val="24"/>
                <w:szCs w:val="24"/>
              </w:rPr>
              <w:t>)</w:t>
            </w:r>
          </w:p>
        </w:tc>
        <w:tc>
          <w:tcPr>
            <w:tcW w:w="2880" w:type="dxa"/>
            <w:tcBorders>
              <w:top w:val="nil"/>
              <w:left w:val="nil"/>
              <w:bottom w:val="nil"/>
            </w:tcBorders>
            <w:shd w:val="clear" w:color="auto" w:fill="auto"/>
            <w:vAlign w:val="center"/>
          </w:tcPr>
          <w:p w:rsidR="005D1D68" w:rsidRPr="002C3F56" w:rsidRDefault="003874AE" w:rsidP="002C3F56">
            <w:pPr>
              <w:spacing w:after="0" w:line="360" w:lineRule="auto"/>
              <w:jc w:val="both"/>
              <w:rPr>
                <w:rFonts w:ascii="Book Antiqua" w:hAnsi="Book Antiqua" w:cs="Arial"/>
                <w:sz w:val="24"/>
                <w:szCs w:val="24"/>
              </w:rPr>
            </w:pPr>
            <w:r>
              <w:rPr>
                <w:rFonts w:ascii="Book Antiqua" w:hAnsi="Book Antiqua" w:cs="Arial"/>
                <w:sz w:val="24"/>
                <w:szCs w:val="24"/>
              </w:rPr>
              <w:t>1 (16.7</w:t>
            </w:r>
            <w:r w:rsidR="005D1D68" w:rsidRPr="002C3F56">
              <w:rPr>
                <w:rFonts w:ascii="Book Antiqua" w:hAnsi="Book Antiqua" w:cs="Arial"/>
                <w:sz w:val="24"/>
                <w:szCs w:val="24"/>
              </w:rPr>
              <w:t>)</w:t>
            </w:r>
          </w:p>
        </w:tc>
      </w:tr>
      <w:tr w:rsidR="00706939" w:rsidRPr="00706939" w:rsidTr="002C3F56">
        <w:tc>
          <w:tcPr>
            <w:tcW w:w="1526" w:type="dxa"/>
            <w:vMerge/>
            <w:tcBorders>
              <w:top w:val="nil"/>
              <w:bottom w:val="single" w:sz="4" w:space="0" w:color="000000"/>
              <w:right w:val="nil"/>
            </w:tcBorders>
            <w:shd w:val="clear" w:color="auto" w:fill="auto"/>
          </w:tcPr>
          <w:p w:rsidR="005D1D68" w:rsidRPr="002C3F56" w:rsidRDefault="005D1D68" w:rsidP="002C3F56">
            <w:pPr>
              <w:spacing w:after="0" w:line="360" w:lineRule="auto"/>
              <w:jc w:val="both"/>
              <w:rPr>
                <w:rFonts w:ascii="Book Antiqua" w:hAnsi="Book Antiqua" w:cs="Arial"/>
                <w:sz w:val="24"/>
                <w:szCs w:val="24"/>
              </w:rPr>
            </w:pPr>
          </w:p>
        </w:tc>
        <w:tc>
          <w:tcPr>
            <w:tcW w:w="2077" w:type="dxa"/>
            <w:tcBorders>
              <w:top w:val="nil"/>
              <w:left w:val="nil"/>
              <w:bottom w:val="single" w:sz="4" w:space="0" w:color="000000"/>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No CD</w:t>
            </w:r>
          </w:p>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w:t>
            </w:r>
            <w:r w:rsidR="002C3F56" w:rsidRPr="002C3F56">
              <w:rPr>
                <w:rFonts w:ascii="Book Antiqua" w:hAnsi="Book Antiqua" w:cs="Arial"/>
                <w:i/>
                <w:sz w:val="24"/>
                <w:szCs w:val="24"/>
              </w:rPr>
              <w:t>n</w:t>
            </w:r>
            <w:r w:rsidR="002C3F56" w:rsidRPr="002C3F56">
              <w:rPr>
                <w:rFonts w:ascii="Book Antiqua" w:hAnsi="Book Antiqua" w:cs="Arial"/>
                <w:sz w:val="24"/>
                <w:szCs w:val="24"/>
              </w:rPr>
              <w:t xml:space="preserve"> </w:t>
            </w:r>
            <w:r w:rsidRPr="002C3F56">
              <w:rPr>
                <w:rFonts w:ascii="Book Antiqua" w:hAnsi="Book Antiqua" w:cs="Arial"/>
                <w:sz w:val="24"/>
                <w:szCs w:val="24"/>
              </w:rPr>
              <w:t>=</w:t>
            </w:r>
            <w:r w:rsidR="002C3F56">
              <w:rPr>
                <w:rFonts w:ascii="Book Antiqua" w:hAnsi="Book Antiqua" w:cs="Arial" w:hint="eastAsia"/>
                <w:sz w:val="24"/>
                <w:szCs w:val="24"/>
                <w:lang w:eastAsia="zh-CN"/>
              </w:rPr>
              <w:t xml:space="preserve"> </w:t>
            </w:r>
            <w:r w:rsidRPr="002C3F56">
              <w:rPr>
                <w:rFonts w:ascii="Book Antiqua" w:hAnsi="Book Antiqua" w:cs="Arial"/>
                <w:sz w:val="24"/>
                <w:szCs w:val="24"/>
              </w:rPr>
              <w:t>65)</w:t>
            </w:r>
          </w:p>
        </w:tc>
        <w:tc>
          <w:tcPr>
            <w:tcW w:w="2430" w:type="dxa"/>
            <w:tcBorders>
              <w:top w:val="nil"/>
              <w:left w:val="nil"/>
              <w:bottom w:val="single" w:sz="4" w:space="0" w:color="000000"/>
              <w:right w:val="nil"/>
            </w:tcBorders>
            <w:shd w:val="clear" w:color="auto" w:fill="auto"/>
            <w:vAlign w:val="center"/>
          </w:tcPr>
          <w:p w:rsidR="005D1D68" w:rsidRPr="002C3F56" w:rsidRDefault="003874AE" w:rsidP="002C3F56">
            <w:pPr>
              <w:spacing w:after="0" w:line="360" w:lineRule="auto"/>
              <w:jc w:val="both"/>
              <w:rPr>
                <w:rFonts w:ascii="Book Antiqua" w:hAnsi="Book Antiqua" w:cs="Arial"/>
                <w:sz w:val="24"/>
                <w:szCs w:val="24"/>
              </w:rPr>
            </w:pPr>
            <w:r>
              <w:rPr>
                <w:rFonts w:ascii="Book Antiqua" w:hAnsi="Book Antiqua" w:cs="Arial"/>
                <w:sz w:val="24"/>
                <w:szCs w:val="24"/>
              </w:rPr>
              <w:t>6 (9.2</w:t>
            </w:r>
            <w:r w:rsidR="005D1D68" w:rsidRPr="002C3F56">
              <w:rPr>
                <w:rFonts w:ascii="Book Antiqua" w:hAnsi="Book Antiqua" w:cs="Arial"/>
                <w:sz w:val="24"/>
                <w:szCs w:val="24"/>
              </w:rPr>
              <w:t>)</w:t>
            </w:r>
          </w:p>
        </w:tc>
        <w:tc>
          <w:tcPr>
            <w:tcW w:w="2430" w:type="dxa"/>
            <w:tcBorders>
              <w:top w:val="nil"/>
              <w:left w:val="nil"/>
              <w:bottom w:val="single" w:sz="4" w:space="0" w:color="000000"/>
              <w:right w:val="nil"/>
            </w:tcBorders>
            <w:shd w:val="clear" w:color="auto" w:fill="auto"/>
            <w:vAlign w:val="center"/>
          </w:tcPr>
          <w:p w:rsidR="005D1D68" w:rsidRPr="002C3F56" w:rsidRDefault="005D1D68" w:rsidP="002C3F56">
            <w:pPr>
              <w:spacing w:after="0" w:line="360" w:lineRule="auto"/>
              <w:jc w:val="both"/>
              <w:rPr>
                <w:rFonts w:ascii="Book Antiqua" w:hAnsi="Book Antiqua" w:cs="Arial"/>
                <w:sz w:val="24"/>
                <w:szCs w:val="24"/>
                <w:lang w:eastAsia="zh-CN"/>
              </w:rPr>
            </w:pPr>
            <w:r w:rsidRPr="002C3F56">
              <w:rPr>
                <w:rFonts w:ascii="Book Antiqua" w:hAnsi="Book Antiqua" w:cs="Arial"/>
                <w:sz w:val="24"/>
                <w:szCs w:val="24"/>
              </w:rPr>
              <w:t xml:space="preserve">2 </w:t>
            </w:r>
            <w:r w:rsidR="003874AE">
              <w:rPr>
                <w:rFonts w:ascii="Book Antiqua" w:hAnsi="Book Antiqua" w:cs="Arial"/>
                <w:sz w:val="24"/>
                <w:szCs w:val="24"/>
              </w:rPr>
              <w:t>(3.1</w:t>
            </w:r>
            <w:r w:rsidRPr="002C3F56">
              <w:rPr>
                <w:rFonts w:ascii="Book Antiqua" w:hAnsi="Book Antiqua" w:cs="Arial"/>
                <w:sz w:val="24"/>
                <w:szCs w:val="24"/>
              </w:rPr>
              <w:t>)</w:t>
            </w:r>
          </w:p>
        </w:tc>
        <w:tc>
          <w:tcPr>
            <w:tcW w:w="2700" w:type="dxa"/>
            <w:tcBorders>
              <w:top w:val="nil"/>
              <w:left w:val="nil"/>
              <w:bottom w:val="single" w:sz="4" w:space="0" w:color="000000"/>
              <w:right w:val="nil"/>
            </w:tcBorders>
            <w:shd w:val="clear" w:color="auto" w:fill="auto"/>
            <w:vAlign w:val="center"/>
          </w:tcPr>
          <w:p w:rsidR="005D1D68" w:rsidRPr="002C3F56" w:rsidRDefault="003874AE" w:rsidP="002C3F56">
            <w:pPr>
              <w:spacing w:after="0" w:line="360" w:lineRule="auto"/>
              <w:jc w:val="both"/>
              <w:rPr>
                <w:rFonts w:ascii="Book Antiqua" w:hAnsi="Book Antiqua" w:cs="Arial"/>
                <w:sz w:val="24"/>
                <w:szCs w:val="24"/>
              </w:rPr>
            </w:pPr>
            <w:r>
              <w:rPr>
                <w:rFonts w:ascii="Book Antiqua" w:hAnsi="Book Antiqua" w:cs="Arial"/>
                <w:sz w:val="24"/>
                <w:szCs w:val="24"/>
              </w:rPr>
              <w:t>9 (13.8</w:t>
            </w:r>
            <w:r w:rsidR="005D1D68" w:rsidRPr="002C3F56">
              <w:rPr>
                <w:rFonts w:ascii="Book Antiqua" w:hAnsi="Book Antiqua" w:cs="Arial"/>
                <w:sz w:val="24"/>
                <w:szCs w:val="24"/>
              </w:rPr>
              <w:t>)</w:t>
            </w:r>
          </w:p>
        </w:tc>
        <w:tc>
          <w:tcPr>
            <w:tcW w:w="2880" w:type="dxa"/>
            <w:tcBorders>
              <w:top w:val="nil"/>
              <w:left w:val="nil"/>
              <w:bottom w:val="single" w:sz="4" w:space="0" w:color="000000"/>
            </w:tcBorders>
            <w:shd w:val="clear" w:color="auto" w:fill="auto"/>
            <w:vAlign w:val="center"/>
          </w:tcPr>
          <w:p w:rsidR="005D1D68" w:rsidRPr="002C3F56" w:rsidRDefault="003874AE" w:rsidP="002C3F56">
            <w:pPr>
              <w:spacing w:after="0" w:line="360" w:lineRule="auto"/>
              <w:jc w:val="both"/>
              <w:rPr>
                <w:rFonts w:ascii="Book Antiqua" w:hAnsi="Book Antiqua" w:cs="Arial"/>
                <w:sz w:val="24"/>
                <w:szCs w:val="24"/>
              </w:rPr>
            </w:pPr>
            <w:r>
              <w:rPr>
                <w:rFonts w:ascii="Book Antiqua" w:hAnsi="Book Antiqua" w:cs="Arial"/>
                <w:sz w:val="24"/>
                <w:szCs w:val="24"/>
              </w:rPr>
              <w:t>48 (73.8</w:t>
            </w:r>
            <w:r w:rsidR="005D1D68" w:rsidRPr="002C3F56">
              <w:rPr>
                <w:rFonts w:ascii="Book Antiqua" w:hAnsi="Book Antiqua" w:cs="Arial"/>
                <w:sz w:val="24"/>
                <w:szCs w:val="24"/>
              </w:rPr>
              <w:t>)</w:t>
            </w:r>
          </w:p>
        </w:tc>
      </w:tr>
    </w:tbl>
    <w:p w:rsidR="005D1D68" w:rsidRPr="00706939" w:rsidRDefault="005D1D68" w:rsidP="00045356">
      <w:pPr>
        <w:spacing w:after="0" w:line="360" w:lineRule="auto"/>
        <w:jc w:val="both"/>
        <w:rPr>
          <w:rFonts w:ascii="Book Antiqua" w:hAnsi="Book Antiqua" w:cs="Arial"/>
          <w:sz w:val="24"/>
          <w:szCs w:val="24"/>
        </w:rPr>
      </w:pPr>
      <w:r w:rsidRPr="00706939">
        <w:rPr>
          <w:rFonts w:ascii="Book Antiqua" w:hAnsi="Book Antiqua"/>
          <w:b/>
          <w:sz w:val="24"/>
          <w:szCs w:val="24"/>
        </w:rPr>
        <w:t xml:space="preserve">          </w:t>
      </w:r>
    </w:p>
    <w:p w:rsidR="005F5F97" w:rsidRPr="00706939" w:rsidRDefault="005D1D68" w:rsidP="00045356">
      <w:pPr>
        <w:spacing w:after="0" w:line="360" w:lineRule="auto"/>
        <w:jc w:val="both"/>
        <w:rPr>
          <w:rFonts w:ascii="Book Antiqua" w:hAnsi="Book Antiqua"/>
          <w:b/>
          <w:sz w:val="24"/>
          <w:szCs w:val="24"/>
          <w:lang w:val="en-US"/>
        </w:rPr>
      </w:pPr>
      <w:r w:rsidRPr="00706939">
        <w:rPr>
          <w:rFonts w:ascii="Book Antiqua" w:hAnsi="Book Antiqua"/>
          <w:b/>
          <w:sz w:val="24"/>
          <w:szCs w:val="24"/>
          <w:lang w:val="en-US"/>
        </w:rPr>
        <w:t xml:space="preserve">          </w:t>
      </w: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p>
    <w:p w:rsidR="005F5F97" w:rsidRPr="00706939" w:rsidRDefault="005F5F97" w:rsidP="00045356">
      <w:pPr>
        <w:spacing w:after="0" w:line="360" w:lineRule="auto"/>
        <w:jc w:val="both"/>
        <w:rPr>
          <w:rFonts w:ascii="Book Antiqua" w:hAnsi="Book Antiqua"/>
          <w:b/>
          <w:sz w:val="24"/>
          <w:szCs w:val="24"/>
          <w:lang w:val="en-US"/>
        </w:rPr>
      </w:pPr>
      <w:r w:rsidRPr="00706939">
        <w:rPr>
          <w:rFonts w:ascii="Book Antiqua" w:hAnsi="Book Antiqua"/>
          <w:b/>
          <w:sz w:val="24"/>
          <w:szCs w:val="24"/>
          <w:lang w:val="en-US"/>
        </w:rPr>
        <w:t xml:space="preserve">        </w:t>
      </w:r>
    </w:p>
    <w:p w:rsidR="002C3F56" w:rsidRDefault="002C3F56" w:rsidP="00045356">
      <w:pPr>
        <w:spacing w:after="0" w:line="360" w:lineRule="auto"/>
        <w:jc w:val="both"/>
        <w:rPr>
          <w:rFonts w:ascii="Book Antiqua" w:hAnsi="Book Antiqua"/>
          <w:sz w:val="24"/>
          <w:szCs w:val="24"/>
          <w:vertAlign w:val="superscript"/>
          <w:lang w:val="en-US" w:eastAsia="zh-CN"/>
        </w:rPr>
      </w:pPr>
    </w:p>
    <w:p w:rsidR="002C3F56" w:rsidRDefault="002C3F56" w:rsidP="00045356">
      <w:pPr>
        <w:spacing w:after="0" w:line="360" w:lineRule="auto"/>
        <w:jc w:val="both"/>
        <w:rPr>
          <w:rFonts w:ascii="Book Antiqua" w:hAnsi="Book Antiqua"/>
          <w:sz w:val="24"/>
          <w:szCs w:val="24"/>
          <w:vertAlign w:val="superscript"/>
          <w:lang w:val="en-US" w:eastAsia="zh-CN"/>
        </w:rPr>
      </w:pPr>
    </w:p>
    <w:p w:rsidR="002C3F56" w:rsidRDefault="002C3F56" w:rsidP="00045356">
      <w:pPr>
        <w:spacing w:after="0" w:line="360" w:lineRule="auto"/>
        <w:jc w:val="both"/>
        <w:rPr>
          <w:rFonts w:ascii="Book Antiqua" w:hAnsi="Book Antiqua"/>
          <w:sz w:val="24"/>
          <w:szCs w:val="24"/>
          <w:vertAlign w:val="superscript"/>
          <w:lang w:val="en-US" w:eastAsia="zh-CN"/>
        </w:rPr>
      </w:pPr>
    </w:p>
    <w:p w:rsidR="002C3F56" w:rsidRDefault="002C3F56" w:rsidP="00045356">
      <w:pPr>
        <w:spacing w:after="0" w:line="360" w:lineRule="auto"/>
        <w:jc w:val="both"/>
        <w:rPr>
          <w:rFonts w:ascii="Book Antiqua" w:hAnsi="Book Antiqua"/>
          <w:sz w:val="24"/>
          <w:szCs w:val="24"/>
          <w:vertAlign w:val="superscript"/>
          <w:lang w:val="en-US" w:eastAsia="zh-CN"/>
        </w:rPr>
      </w:pPr>
    </w:p>
    <w:p w:rsidR="002C3F56" w:rsidRDefault="002C3F56" w:rsidP="00045356">
      <w:pPr>
        <w:spacing w:after="0" w:line="360" w:lineRule="auto"/>
        <w:jc w:val="both"/>
        <w:rPr>
          <w:rFonts w:ascii="Book Antiqua" w:hAnsi="Book Antiqua"/>
          <w:sz w:val="24"/>
          <w:szCs w:val="24"/>
          <w:vertAlign w:val="superscript"/>
          <w:lang w:val="en-US" w:eastAsia="zh-CN"/>
        </w:rPr>
      </w:pPr>
    </w:p>
    <w:p w:rsidR="002C3F56" w:rsidRDefault="002C3F56" w:rsidP="00045356">
      <w:pPr>
        <w:spacing w:after="0" w:line="360" w:lineRule="auto"/>
        <w:jc w:val="both"/>
        <w:rPr>
          <w:rFonts w:ascii="Book Antiqua" w:hAnsi="Book Antiqua"/>
          <w:sz w:val="24"/>
          <w:szCs w:val="24"/>
          <w:vertAlign w:val="superscript"/>
          <w:lang w:val="en-US" w:eastAsia="zh-CN"/>
        </w:rPr>
      </w:pPr>
    </w:p>
    <w:p w:rsidR="005D1D68" w:rsidRPr="002C3F56" w:rsidRDefault="002C3F56" w:rsidP="00045356">
      <w:pPr>
        <w:spacing w:after="0" w:line="360" w:lineRule="auto"/>
        <w:jc w:val="both"/>
        <w:rPr>
          <w:rFonts w:ascii="Book Antiqua" w:hAnsi="Book Antiqua"/>
          <w:sz w:val="24"/>
          <w:szCs w:val="24"/>
          <w:lang w:val="en-US" w:eastAsia="zh-CN"/>
        </w:rPr>
      </w:pPr>
      <w:proofErr w:type="gramStart"/>
      <w:r w:rsidRPr="002C3F56">
        <w:rPr>
          <w:rFonts w:ascii="Book Antiqua" w:hAnsi="Book Antiqua" w:hint="eastAsia"/>
          <w:sz w:val="24"/>
          <w:szCs w:val="24"/>
          <w:vertAlign w:val="superscript"/>
          <w:lang w:val="en-US" w:eastAsia="zh-CN"/>
        </w:rPr>
        <w:lastRenderedPageBreak/>
        <w:t>1</w:t>
      </w:r>
      <w:r w:rsidR="005D1D68" w:rsidRPr="002C3F56">
        <w:rPr>
          <w:rFonts w:ascii="Book Antiqua" w:hAnsi="Book Antiqua"/>
          <w:sz w:val="24"/>
          <w:szCs w:val="24"/>
          <w:lang w:val="en-US"/>
        </w:rPr>
        <w:t>≥</w:t>
      </w:r>
      <w:r>
        <w:rPr>
          <w:rFonts w:ascii="Book Antiqua" w:hAnsi="Book Antiqua" w:hint="eastAsia"/>
          <w:sz w:val="24"/>
          <w:szCs w:val="24"/>
          <w:lang w:val="en-US" w:eastAsia="zh-CN"/>
        </w:rPr>
        <w:t xml:space="preserve"> </w:t>
      </w:r>
      <w:r w:rsidR="005D1D68" w:rsidRPr="002C3F56">
        <w:rPr>
          <w:rFonts w:ascii="Book Antiqua" w:hAnsi="Book Antiqua"/>
          <w:sz w:val="24"/>
          <w:szCs w:val="24"/>
          <w:lang w:val="en-US"/>
        </w:rPr>
        <w:t>30 intraepithelial lymphocytes per 100 epithelial cells</w:t>
      </w:r>
      <w:r>
        <w:rPr>
          <w:rFonts w:ascii="Book Antiqua" w:hAnsi="Book Antiqua" w:hint="eastAsia"/>
          <w:sz w:val="24"/>
          <w:szCs w:val="24"/>
          <w:lang w:val="en-US" w:eastAsia="zh-CN"/>
        </w:rPr>
        <w:t>.</w:t>
      </w:r>
      <w:proofErr w:type="gramEnd"/>
      <w:r>
        <w:rPr>
          <w:rFonts w:ascii="Book Antiqua" w:hAnsi="Book Antiqua" w:hint="eastAsia"/>
          <w:sz w:val="24"/>
          <w:szCs w:val="24"/>
          <w:lang w:val="en-US" w:eastAsia="zh-CN"/>
        </w:rPr>
        <w:t xml:space="preserve"> </w:t>
      </w:r>
      <w:r w:rsidRPr="002C3F56">
        <w:rPr>
          <w:rFonts w:ascii="Book Antiqua" w:hAnsi="Book Antiqua"/>
          <w:sz w:val="24"/>
          <w:szCs w:val="24"/>
          <w:lang w:val="en-US"/>
        </w:rPr>
        <w:t>HE</w:t>
      </w:r>
      <w:r w:rsidRPr="002C3F56">
        <w:rPr>
          <w:rFonts w:ascii="Book Antiqua" w:hAnsi="Book Antiqua" w:hint="eastAsia"/>
          <w:sz w:val="24"/>
          <w:szCs w:val="24"/>
          <w:lang w:val="en-US" w:eastAsia="zh-CN"/>
        </w:rPr>
        <w:t xml:space="preserve">: </w:t>
      </w:r>
      <w:proofErr w:type="spellStart"/>
      <w:r w:rsidRPr="002C3F56">
        <w:rPr>
          <w:rFonts w:ascii="Book Antiqua" w:hAnsi="Book Antiqua"/>
          <w:sz w:val="24"/>
          <w:szCs w:val="24"/>
          <w:lang w:val="en-US"/>
        </w:rPr>
        <w:t>Hematoxylin</w:t>
      </w:r>
      <w:proofErr w:type="spellEnd"/>
      <w:r w:rsidRPr="002C3F56">
        <w:rPr>
          <w:rFonts w:ascii="Book Antiqua" w:hAnsi="Book Antiqua"/>
          <w:sz w:val="24"/>
          <w:szCs w:val="24"/>
          <w:lang w:val="en-US"/>
        </w:rPr>
        <w:t xml:space="preserve"> and eosin; CD</w:t>
      </w:r>
      <w:r w:rsidRPr="002C3F56">
        <w:rPr>
          <w:rFonts w:ascii="Book Antiqua" w:hAnsi="Book Antiqua" w:hint="eastAsia"/>
          <w:sz w:val="24"/>
          <w:szCs w:val="24"/>
          <w:lang w:val="en-US" w:eastAsia="zh-CN"/>
        </w:rPr>
        <w:t>:</w:t>
      </w:r>
      <w:r w:rsidRPr="002C3F56">
        <w:rPr>
          <w:rFonts w:ascii="Book Antiqua" w:hAnsi="Book Antiqua"/>
          <w:sz w:val="24"/>
          <w:szCs w:val="24"/>
          <w:lang w:val="en-US"/>
        </w:rPr>
        <w:t xml:space="preserve"> </w:t>
      </w:r>
      <w:r w:rsidR="006F38BB">
        <w:rPr>
          <w:rFonts w:ascii="Book Antiqua" w:hAnsi="Book Antiqua"/>
          <w:sz w:val="24"/>
          <w:szCs w:val="24"/>
          <w:lang w:val="en-US"/>
        </w:rPr>
        <w:t xml:space="preserve">Celiac </w:t>
      </w:r>
      <w:r w:rsidR="007E47C2">
        <w:rPr>
          <w:rFonts w:ascii="Book Antiqua" w:hAnsi="Book Antiqua"/>
          <w:sz w:val="24"/>
          <w:szCs w:val="24"/>
          <w:lang w:val="en-US"/>
        </w:rPr>
        <w:t>disease</w:t>
      </w:r>
      <w:r w:rsidRPr="002C3F56">
        <w:rPr>
          <w:rFonts w:ascii="Book Antiqua" w:hAnsi="Book Antiqua"/>
          <w:sz w:val="24"/>
          <w:szCs w:val="24"/>
          <w:lang w:val="en-US"/>
        </w:rPr>
        <w:t>.</w:t>
      </w:r>
    </w:p>
    <w:p w:rsidR="002C3F56" w:rsidRDefault="002C3F56">
      <w:pPr>
        <w:spacing w:after="0" w:line="240" w:lineRule="auto"/>
        <w:rPr>
          <w:rFonts w:ascii="Book Antiqua" w:hAnsi="Book Antiqua"/>
          <w:sz w:val="24"/>
          <w:szCs w:val="24"/>
          <w:lang w:val="en-US"/>
        </w:rPr>
      </w:pPr>
      <w:r>
        <w:rPr>
          <w:rFonts w:ascii="Book Antiqua" w:hAnsi="Book Antiqua"/>
          <w:sz w:val="24"/>
          <w:szCs w:val="24"/>
          <w:lang w:val="en-US"/>
        </w:rPr>
        <w:br w:type="page"/>
      </w:r>
    </w:p>
    <w:p w:rsidR="009125A2" w:rsidRPr="00706939" w:rsidRDefault="002C3F56" w:rsidP="009125A2">
      <w:pPr>
        <w:pStyle w:val="ac"/>
        <w:suppressAutoHyphens w:val="0"/>
        <w:spacing w:line="360" w:lineRule="auto"/>
        <w:ind w:firstLineChars="0" w:firstLine="0"/>
        <w:contextualSpacing/>
        <w:jc w:val="both"/>
        <w:rPr>
          <w:rFonts w:ascii="Book Antiqua" w:hAnsi="Book Antiqua"/>
          <w:szCs w:val="24"/>
          <w:lang w:val="en-US"/>
        </w:rPr>
      </w:pPr>
      <w:r w:rsidRPr="009125A2">
        <w:rPr>
          <w:rFonts w:ascii="Book Antiqua" w:hAnsi="Book Antiqua"/>
          <w:b/>
          <w:szCs w:val="24"/>
          <w:lang w:val="en-US"/>
        </w:rPr>
        <w:lastRenderedPageBreak/>
        <w:t>Figure 1</w:t>
      </w:r>
      <w:r w:rsidRPr="009125A2">
        <w:rPr>
          <w:rFonts w:ascii="Book Antiqua" w:hAnsi="Book Antiqua" w:hint="eastAsia"/>
          <w:b/>
          <w:szCs w:val="24"/>
          <w:lang w:val="en-US" w:eastAsia="zh-CN"/>
        </w:rPr>
        <w:t xml:space="preserve"> </w:t>
      </w:r>
      <w:r w:rsidR="005F5F97" w:rsidRPr="009125A2">
        <w:rPr>
          <w:rFonts w:ascii="Book Antiqua" w:hAnsi="Book Antiqua"/>
          <w:b/>
          <w:szCs w:val="24"/>
          <w:lang w:val="en-US"/>
        </w:rPr>
        <w:t xml:space="preserve">Examples of histological </w:t>
      </w:r>
      <w:proofErr w:type="spellStart"/>
      <w:r w:rsidR="005F5F97" w:rsidRPr="009125A2">
        <w:rPr>
          <w:rFonts w:ascii="Book Antiqua" w:hAnsi="Book Antiqua"/>
          <w:b/>
          <w:szCs w:val="24"/>
          <w:lang w:val="en-US"/>
        </w:rPr>
        <w:t>hematoxylin</w:t>
      </w:r>
      <w:proofErr w:type="spellEnd"/>
      <w:r w:rsidR="005F5F97" w:rsidRPr="009125A2">
        <w:rPr>
          <w:rFonts w:ascii="Book Antiqua" w:hAnsi="Book Antiqua"/>
          <w:b/>
          <w:szCs w:val="24"/>
          <w:lang w:val="en-US"/>
        </w:rPr>
        <w:t xml:space="preserve"> and eosin and CD3 sections</w:t>
      </w:r>
      <w:r w:rsidRPr="009125A2">
        <w:rPr>
          <w:rFonts w:ascii="Book Antiqua" w:hAnsi="Book Antiqua" w:hint="eastAsia"/>
          <w:b/>
          <w:szCs w:val="24"/>
          <w:lang w:val="en-US" w:eastAsia="zh-CN"/>
        </w:rPr>
        <w:t>.</w:t>
      </w:r>
      <w:r w:rsidR="009125A2" w:rsidRPr="009125A2">
        <w:rPr>
          <w:rFonts w:ascii="Book Antiqua" w:eastAsiaTheme="minorEastAsia" w:hAnsi="Book Antiqua" w:hint="eastAsia"/>
          <w:szCs w:val="24"/>
          <w:lang w:val="nl-NL" w:eastAsia="zh-CN"/>
        </w:rPr>
        <w:t xml:space="preserve"> </w:t>
      </w:r>
      <w:r w:rsidR="009125A2">
        <w:rPr>
          <w:rFonts w:ascii="Book Antiqua" w:eastAsiaTheme="minorEastAsia" w:hAnsi="Book Antiqua" w:hint="eastAsia"/>
          <w:szCs w:val="24"/>
          <w:lang w:val="nl-NL" w:eastAsia="zh-CN"/>
        </w:rPr>
        <w:t xml:space="preserve">A: </w:t>
      </w:r>
      <w:r w:rsidR="009125A2" w:rsidRPr="00706939">
        <w:rPr>
          <w:rFonts w:ascii="Book Antiqua" w:hAnsi="Book Antiqua"/>
          <w:szCs w:val="24"/>
          <w:lang w:val="en-US"/>
        </w:rPr>
        <w:t xml:space="preserve">The HE sections (left) show partial villous atrophy and crypt hyperplasia but no intra-epithelial lymphocytosis, so the HE sections do not reveal </w:t>
      </w:r>
      <w:r w:rsidR="007E47C2">
        <w:rPr>
          <w:rFonts w:ascii="Book Antiqua" w:hAnsi="Book Antiqua"/>
          <w:szCs w:val="24"/>
          <w:lang w:val="en-US"/>
        </w:rPr>
        <w:t>celiac disease</w:t>
      </w:r>
      <w:r w:rsidR="009125A2" w:rsidRPr="00706939">
        <w:rPr>
          <w:rFonts w:ascii="Book Antiqua" w:hAnsi="Book Antiqua"/>
          <w:szCs w:val="24"/>
          <w:lang w:val="en-US"/>
        </w:rPr>
        <w:t xml:space="preserve">. However, on the CD3 sections (right) the intra-epithelial lymphocytosis becomes clear and the diagnosis of </w:t>
      </w:r>
      <w:r w:rsidR="007E47C2">
        <w:rPr>
          <w:rFonts w:ascii="Book Antiqua" w:hAnsi="Book Antiqua"/>
          <w:szCs w:val="24"/>
          <w:lang w:val="en-US"/>
        </w:rPr>
        <w:t>celiac disease</w:t>
      </w:r>
      <w:r w:rsidR="009125A2" w:rsidRPr="00706939">
        <w:rPr>
          <w:rFonts w:ascii="Book Antiqua" w:hAnsi="Book Antiqua"/>
          <w:szCs w:val="24"/>
          <w:lang w:val="en-US"/>
        </w:rPr>
        <w:t xml:space="preserve"> can be made (Marsh </w:t>
      </w:r>
      <w:proofErr w:type="spellStart"/>
      <w:r w:rsidR="009125A2" w:rsidRPr="00706939">
        <w:rPr>
          <w:rFonts w:ascii="Book Antiqua" w:hAnsi="Book Antiqua"/>
          <w:szCs w:val="24"/>
          <w:lang w:val="en-US"/>
        </w:rPr>
        <w:t>IIIa</w:t>
      </w:r>
      <w:proofErr w:type="spellEnd"/>
      <w:r w:rsidR="009125A2" w:rsidRPr="00706939">
        <w:rPr>
          <w:rFonts w:ascii="Book Antiqua" w:hAnsi="Book Antiqua"/>
          <w:szCs w:val="24"/>
          <w:lang w:val="en-US"/>
        </w:rPr>
        <w:t xml:space="preserve">). The patient had clinical symptoms associated with </w:t>
      </w:r>
      <w:r w:rsidR="007E47C2">
        <w:rPr>
          <w:rFonts w:ascii="Book Antiqua" w:hAnsi="Book Antiqua"/>
          <w:szCs w:val="24"/>
          <w:lang w:val="en-US"/>
        </w:rPr>
        <w:t>Celiac disease</w:t>
      </w:r>
      <w:r w:rsidR="009125A2" w:rsidRPr="00706939">
        <w:rPr>
          <w:rFonts w:ascii="Book Antiqua" w:hAnsi="Book Antiqua"/>
          <w:szCs w:val="24"/>
          <w:lang w:val="en-US"/>
        </w:rPr>
        <w:t xml:space="preserve">, positive serology and also responded well to the diet. The final diagnosis is </w:t>
      </w:r>
      <w:r w:rsidR="007E47C2">
        <w:rPr>
          <w:rFonts w:ascii="Book Antiqua" w:hAnsi="Book Antiqua"/>
          <w:szCs w:val="24"/>
          <w:lang w:val="en-US"/>
        </w:rPr>
        <w:t>Celiac disease</w:t>
      </w:r>
      <w:r w:rsidR="009125A2" w:rsidRPr="00706939">
        <w:rPr>
          <w:rFonts w:ascii="Book Antiqua" w:hAnsi="Book Antiqua"/>
          <w:szCs w:val="24"/>
          <w:lang w:val="en-US"/>
        </w:rPr>
        <w:t xml:space="preserve">. </w:t>
      </w:r>
      <w:r w:rsidR="009125A2">
        <w:rPr>
          <w:rFonts w:ascii="Book Antiqua" w:eastAsiaTheme="minorEastAsia" w:hAnsi="Book Antiqua" w:hint="eastAsia"/>
          <w:szCs w:val="24"/>
          <w:lang w:val="en-US" w:eastAsia="zh-CN"/>
        </w:rPr>
        <w:t xml:space="preserve">B: </w:t>
      </w:r>
      <w:r w:rsidR="009125A2" w:rsidRPr="00706939">
        <w:rPr>
          <w:rFonts w:ascii="Book Antiqua" w:hAnsi="Book Antiqua"/>
          <w:szCs w:val="24"/>
          <w:lang w:val="en-US"/>
        </w:rPr>
        <w:t xml:space="preserve">The HE sections (left) show a Marsh 0, while the CD3 sections (right) show a Marsh I lesion. The patient had clinical symptoms associated with </w:t>
      </w:r>
      <w:r w:rsidR="007E47C2">
        <w:rPr>
          <w:rFonts w:ascii="Book Antiqua" w:hAnsi="Book Antiqua"/>
          <w:szCs w:val="24"/>
          <w:lang w:val="en-US"/>
        </w:rPr>
        <w:t>celiac disease</w:t>
      </w:r>
      <w:r w:rsidR="009125A2" w:rsidRPr="00706939">
        <w:rPr>
          <w:rFonts w:ascii="Book Antiqua" w:hAnsi="Book Antiqua"/>
          <w:szCs w:val="24"/>
          <w:lang w:val="en-US"/>
        </w:rPr>
        <w:t xml:space="preserve">, positive serology and also responded well to the diet. The final diagnosis is Marsh I. </w:t>
      </w:r>
    </w:p>
    <w:p w:rsidR="009125A2" w:rsidRPr="00706939" w:rsidRDefault="009125A2" w:rsidP="009125A2">
      <w:pPr>
        <w:pStyle w:val="ac"/>
        <w:suppressAutoHyphens w:val="0"/>
        <w:spacing w:line="360" w:lineRule="auto"/>
        <w:ind w:firstLineChars="0" w:firstLine="0"/>
        <w:contextualSpacing/>
        <w:jc w:val="both"/>
        <w:rPr>
          <w:rFonts w:ascii="Book Antiqua" w:hAnsi="Book Antiqua"/>
          <w:szCs w:val="24"/>
          <w:lang w:val="en-US"/>
        </w:rPr>
      </w:pPr>
    </w:p>
    <w:p w:rsidR="005F5F97" w:rsidRPr="002C3F56" w:rsidRDefault="005F5F97" w:rsidP="00045356">
      <w:pPr>
        <w:spacing w:after="0" w:line="360" w:lineRule="auto"/>
        <w:jc w:val="both"/>
        <w:rPr>
          <w:rFonts w:ascii="Book Antiqua" w:eastAsia="Times New Roman" w:hAnsi="Book Antiqua"/>
          <w:snapToGrid w:val="0"/>
          <w:w w:val="0"/>
          <w:sz w:val="24"/>
          <w:szCs w:val="24"/>
          <w:u w:color="000000"/>
          <w:bdr w:val="none" w:sz="0" w:space="0" w:color="000000"/>
          <w:shd w:val="clear" w:color="000000" w:fill="000000"/>
          <w:lang w:val="en-US" w:eastAsia="zh-CN"/>
        </w:rPr>
      </w:pPr>
    </w:p>
    <w:p w:rsidR="005F5F97" w:rsidRDefault="005F5F97" w:rsidP="00045356">
      <w:pPr>
        <w:spacing w:after="0" w:line="360" w:lineRule="auto"/>
        <w:jc w:val="both"/>
        <w:rPr>
          <w:rFonts w:ascii="Book Antiqua" w:eastAsiaTheme="minorEastAsia" w:hAnsi="Book Antiqua"/>
          <w:snapToGrid w:val="0"/>
          <w:w w:val="0"/>
          <w:sz w:val="24"/>
          <w:szCs w:val="24"/>
          <w:u w:color="000000"/>
          <w:bdr w:val="none" w:sz="0" w:space="0" w:color="000000"/>
          <w:shd w:val="clear" w:color="000000" w:fill="000000"/>
          <w:lang w:eastAsia="zh-CN"/>
        </w:rPr>
      </w:pPr>
      <w:r w:rsidRPr="00706939">
        <w:rPr>
          <w:rFonts w:ascii="Book Antiqua" w:hAnsi="Book Antiqua"/>
          <w:noProof/>
          <w:sz w:val="24"/>
          <w:szCs w:val="24"/>
          <w:lang w:val="en-US" w:eastAsia="zh-CN"/>
        </w:rPr>
        <w:drawing>
          <wp:inline distT="0" distB="0" distL="0" distR="0" wp14:anchorId="02C325A6" wp14:editId="1387F499">
            <wp:extent cx="3011424" cy="2124647"/>
            <wp:effectExtent l="19050" t="0" r="0" b="0"/>
            <wp:docPr id="1" name="Afbeelding 1" descr="C:\Users\User\AppData\Local\Temp\_PA462\coeliakie T11-1092 H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_PA462\coeliakie T11-1092 HE.tif"/>
                    <pic:cNvPicPr>
                      <a:picLocks noChangeAspect="1" noChangeArrowheads="1"/>
                    </pic:cNvPicPr>
                  </pic:nvPicPr>
                  <pic:blipFill>
                    <a:blip r:embed="rId11"/>
                    <a:srcRect/>
                    <a:stretch>
                      <a:fillRect/>
                    </a:stretch>
                  </pic:blipFill>
                  <pic:spPr bwMode="auto">
                    <a:xfrm>
                      <a:off x="0" y="0"/>
                      <a:ext cx="3011424" cy="2124647"/>
                    </a:xfrm>
                    <a:prstGeom prst="rect">
                      <a:avLst/>
                    </a:prstGeom>
                    <a:noFill/>
                    <a:ln w="9525">
                      <a:noFill/>
                      <a:miter lim="800000"/>
                      <a:headEnd/>
                      <a:tailEnd/>
                    </a:ln>
                  </pic:spPr>
                </pic:pic>
              </a:graphicData>
            </a:graphic>
          </wp:inline>
        </w:drawing>
      </w:r>
      <w:r w:rsidRPr="00706939">
        <w:rPr>
          <w:rFonts w:ascii="Book Antiqua" w:eastAsia="Times New Roman" w:hAnsi="Book Antiqua"/>
          <w:snapToGrid w:val="0"/>
          <w:w w:val="0"/>
          <w:sz w:val="24"/>
          <w:szCs w:val="24"/>
          <w:u w:color="000000"/>
          <w:bdr w:val="none" w:sz="0" w:space="0" w:color="000000"/>
          <w:shd w:val="clear" w:color="000000" w:fill="000000"/>
        </w:rPr>
        <w:t xml:space="preserve"> </w:t>
      </w:r>
      <w:r w:rsidRPr="00706939">
        <w:rPr>
          <w:rFonts w:ascii="Book Antiqua" w:hAnsi="Book Antiqua"/>
          <w:noProof/>
          <w:sz w:val="24"/>
          <w:szCs w:val="24"/>
          <w:lang w:val="en-US" w:eastAsia="zh-CN"/>
        </w:rPr>
        <w:drawing>
          <wp:inline distT="0" distB="0" distL="0" distR="0" wp14:anchorId="61BF5A43" wp14:editId="04F6B487">
            <wp:extent cx="3011424" cy="2124647"/>
            <wp:effectExtent l="19050" t="0" r="0" b="0"/>
            <wp:docPr id="2" name="Afbeelding 2" descr="C:\Users\User\AppData\Local\Temp\_PA256\coeliakie T11-1092 C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_PA256\coeliakie T11-1092 CD3.tif"/>
                    <pic:cNvPicPr>
                      <a:picLocks noChangeAspect="1" noChangeArrowheads="1"/>
                    </pic:cNvPicPr>
                  </pic:nvPicPr>
                  <pic:blipFill>
                    <a:blip r:embed="rId12"/>
                    <a:srcRect/>
                    <a:stretch>
                      <a:fillRect/>
                    </a:stretch>
                  </pic:blipFill>
                  <pic:spPr bwMode="auto">
                    <a:xfrm>
                      <a:off x="0" y="0"/>
                      <a:ext cx="3011424" cy="2124647"/>
                    </a:xfrm>
                    <a:prstGeom prst="rect">
                      <a:avLst/>
                    </a:prstGeom>
                    <a:noFill/>
                    <a:ln w="9525">
                      <a:noFill/>
                      <a:miter lim="800000"/>
                      <a:headEnd/>
                      <a:tailEnd/>
                    </a:ln>
                  </pic:spPr>
                </pic:pic>
              </a:graphicData>
            </a:graphic>
          </wp:inline>
        </w:drawing>
      </w:r>
    </w:p>
    <w:p w:rsidR="009125A2" w:rsidRPr="009125A2" w:rsidRDefault="009125A2" w:rsidP="00045356">
      <w:pPr>
        <w:spacing w:after="0" w:line="360" w:lineRule="auto"/>
        <w:jc w:val="both"/>
        <w:rPr>
          <w:rFonts w:ascii="Book Antiqua" w:eastAsiaTheme="minorEastAsia" w:hAnsi="Book Antiqua"/>
          <w:sz w:val="24"/>
          <w:szCs w:val="24"/>
          <w:lang w:eastAsia="zh-CN"/>
        </w:rPr>
      </w:pPr>
      <w:r>
        <w:rPr>
          <w:rFonts w:ascii="Book Antiqua" w:eastAsiaTheme="minorEastAsia" w:hAnsi="Book Antiqua" w:hint="eastAsia"/>
          <w:snapToGrid w:val="0"/>
          <w:w w:val="0"/>
          <w:sz w:val="24"/>
          <w:szCs w:val="24"/>
          <w:u w:color="000000"/>
          <w:bdr w:val="none" w:sz="0" w:space="0" w:color="000000"/>
          <w:shd w:val="clear" w:color="000000" w:fill="000000"/>
          <w:lang w:eastAsia="zh-CN"/>
        </w:rPr>
        <w:t>A</w:t>
      </w:r>
    </w:p>
    <w:p w:rsidR="005F5F97" w:rsidRPr="00706939" w:rsidRDefault="005F5F97" w:rsidP="00045356">
      <w:pPr>
        <w:spacing w:after="0" w:line="360" w:lineRule="auto"/>
        <w:jc w:val="both"/>
        <w:rPr>
          <w:rFonts w:ascii="Book Antiqua" w:hAnsi="Book Antiqua"/>
          <w:sz w:val="24"/>
          <w:szCs w:val="24"/>
          <w:lang w:val="en-US"/>
        </w:rPr>
      </w:pPr>
      <w:r w:rsidRPr="00706939">
        <w:rPr>
          <w:rFonts w:ascii="Book Antiqua" w:hAnsi="Book Antiqua"/>
          <w:noProof/>
          <w:sz w:val="24"/>
          <w:szCs w:val="24"/>
          <w:lang w:val="en-US" w:eastAsia="zh-CN"/>
        </w:rPr>
        <w:lastRenderedPageBreak/>
        <w:drawing>
          <wp:inline distT="0" distB="0" distL="0" distR="0" wp14:anchorId="3AB3BA09" wp14:editId="1BF4BF31">
            <wp:extent cx="3011424" cy="2124647"/>
            <wp:effectExtent l="19050" t="0" r="0" b="0"/>
            <wp:docPr id="3" name="Afbeelding 3" descr="C:\Users\User\AppData\Local\Temp\_PA215\coeliakie T11-6565 H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_PA215\coeliakie T11-6565 He.tif"/>
                    <pic:cNvPicPr>
                      <a:picLocks noChangeAspect="1" noChangeArrowheads="1"/>
                    </pic:cNvPicPr>
                  </pic:nvPicPr>
                  <pic:blipFill>
                    <a:blip r:embed="rId13"/>
                    <a:srcRect/>
                    <a:stretch>
                      <a:fillRect/>
                    </a:stretch>
                  </pic:blipFill>
                  <pic:spPr bwMode="auto">
                    <a:xfrm>
                      <a:off x="0" y="0"/>
                      <a:ext cx="3011424" cy="2124647"/>
                    </a:xfrm>
                    <a:prstGeom prst="rect">
                      <a:avLst/>
                    </a:prstGeom>
                    <a:noFill/>
                    <a:ln w="9525">
                      <a:noFill/>
                      <a:miter lim="800000"/>
                      <a:headEnd/>
                      <a:tailEnd/>
                    </a:ln>
                  </pic:spPr>
                </pic:pic>
              </a:graphicData>
            </a:graphic>
          </wp:inline>
        </w:drawing>
      </w:r>
      <w:r w:rsidRPr="00706939">
        <w:rPr>
          <w:rFonts w:ascii="Book Antiqua" w:eastAsia="Times New Roman" w:hAnsi="Book Antiqua"/>
          <w:snapToGrid w:val="0"/>
          <w:w w:val="0"/>
          <w:sz w:val="24"/>
          <w:szCs w:val="24"/>
          <w:u w:color="000000"/>
          <w:bdr w:val="none" w:sz="0" w:space="0" w:color="000000"/>
          <w:shd w:val="clear" w:color="000000" w:fill="000000"/>
        </w:rPr>
        <w:t xml:space="preserve"> </w:t>
      </w:r>
      <w:r w:rsidRPr="00706939">
        <w:rPr>
          <w:rFonts w:ascii="Book Antiqua" w:hAnsi="Book Antiqua"/>
          <w:noProof/>
          <w:sz w:val="24"/>
          <w:szCs w:val="24"/>
          <w:lang w:val="en-US" w:eastAsia="zh-CN"/>
        </w:rPr>
        <w:drawing>
          <wp:inline distT="0" distB="0" distL="0" distR="0" wp14:anchorId="17577F10" wp14:editId="12B24E80">
            <wp:extent cx="3011424" cy="2124647"/>
            <wp:effectExtent l="19050" t="0" r="0" b="0"/>
            <wp:docPr id="4" name="Afbeelding 4" descr="C:\Users\User\AppData\Local\Temp\_PA687\coeliakie T11-6565 C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_PA687\coeliakie T11-6565 CD3.tif"/>
                    <pic:cNvPicPr>
                      <a:picLocks noChangeAspect="1" noChangeArrowheads="1"/>
                    </pic:cNvPicPr>
                  </pic:nvPicPr>
                  <pic:blipFill>
                    <a:blip r:embed="rId14"/>
                    <a:srcRect/>
                    <a:stretch>
                      <a:fillRect/>
                    </a:stretch>
                  </pic:blipFill>
                  <pic:spPr bwMode="auto">
                    <a:xfrm>
                      <a:off x="0" y="0"/>
                      <a:ext cx="3011424" cy="2124647"/>
                    </a:xfrm>
                    <a:prstGeom prst="rect">
                      <a:avLst/>
                    </a:prstGeom>
                    <a:noFill/>
                    <a:ln w="9525">
                      <a:noFill/>
                      <a:miter lim="800000"/>
                      <a:headEnd/>
                      <a:tailEnd/>
                    </a:ln>
                  </pic:spPr>
                </pic:pic>
              </a:graphicData>
            </a:graphic>
          </wp:inline>
        </w:drawing>
      </w:r>
    </w:p>
    <w:p w:rsidR="009125A2" w:rsidRPr="009125A2" w:rsidRDefault="009125A2" w:rsidP="009125A2">
      <w:pPr>
        <w:pStyle w:val="ac"/>
        <w:suppressAutoHyphens w:val="0"/>
        <w:spacing w:line="360" w:lineRule="auto"/>
        <w:ind w:firstLineChars="0" w:firstLine="0"/>
        <w:contextualSpacing/>
        <w:jc w:val="both"/>
        <w:rPr>
          <w:rFonts w:ascii="Book Antiqua" w:eastAsiaTheme="minorEastAsia" w:hAnsi="Book Antiqua"/>
          <w:szCs w:val="24"/>
          <w:lang w:val="en-US" w:eastAsia="zh-CN"/>
        </w:rPr>
      </w:pPr>
      <w:r>
        <w:rPr>
          <w:rFonts w:ascii="Book Antiqua" w:eastAsiaTheme="minorEastAsia" w:hAnsi="Book Antiqua" w:hint="eastAsia"/>
          <w:szCs w:val="24"/>
          <w:lang w:val="en-US" w:eastAsia="zh-CN"/>
        </w:rPr>
        <w:t>B</w:t>
      </w:r>
    </w:p>
    <w:sectPr w:rsidR="009125A2" w:rsidRPr="009125A2" w:rsidSect="005D1D6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8D3" w:rsidRDefault="00DF48D3" w:rsidP="00A840A2">
      <w:pPr>
        <w:spacing w:after="0" w:line="240" w:lineRule="auto"/>
      </w:pPr>
      <w:r>
        <w:separator/>
      </w:r>
    </w:p>
  </w:endnote>
  <w:endnote w:type="continuationSeparator" w:id="0">
    <w:p w:rsidR="00DF48D3" w:rsidRDefault="00DF48D3" w:rsidP="00A84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TE446DEB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56" w:rsidRDefault="002C3F56" w:rsidP="00D475B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C3F56" w:rsidRDefault="002C3F56" w:rsidP="00936B4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F56" w:rsidRDefault="002C3F56" w:rsidP="00D475B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517D3">
      <w:rPr>
        <w:rStyle w:val="a6"/>
        <w:noProof/>
      </w:rPr>
      <w:t>18</w:t>
    </w:r>
    <w:r>
      <w:rPr>
        <w:rStyle w:val="a6"/>
      </w:rPr>
      <w:fldChar w:fldCharType="end"/>
    </w:r>
  </w:p>
  <w:p w:rsidR="002C3F56" w:rsidRDefault="002C3F56" w:rsidP="00936B4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8D3" w:rsidRDefault="00DF48D3" w:rsidP="00A840A2">
      <w:pPr>
        <w:spacing w:after="0" w:line="240" w:lineRule="auto"/>
      </w:pPr>
      <w:r>
        <w:separator/>
      </w:r>
    </w:p>
  </w:footnote>
  <w:footnote w:type="continuationSeparator" w:id="0">
    <w:p w:rsidR="00DF48D3" w:rsidRDefault="00DF48D3" w:rsidP="00A840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D6AE3"/>
    <w:multiLevelType w:val="multilevel"/>
    <w:tmpl w:val="A68CF1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63290E"/>
    <w:multiLevelType w:val="hybridMultilevel"/>
    <w:tmpl w:val="00669D02"/>
    <w:lvl w:ilvl="0" w:tplc="0413000F">
      <w:start w:val="1"/>
      <w:numFmt w:val="decimal"/>
      <w:lvlText w:val="%1."/>
      <w:lvlJc w:val="left"/>
      <w:pPr>
        <w:ind w:left="0" w:hanging="360"/>
      </w:pPr>
      <w:rPr>
        <w:rFonts w:cs="Times New Roman" w:hint="default"/>
      </w:rPr>
    </w:lvl>
    <w:lvl w:ilvl="1" w:tplc="04130019" w:tentative="1">
      <w:start w:val="1"/>
      <w:numFmt w:val="lowerLetter"/>
      <w:lvlText w:val="%2."/>
      <w:lvlJc w:val="left"/>
      <w:pPr>
        <w:ind w:left="720" w:hanging="360"/>
      </w:pPr>
      <w:rPr>
        <w:rFonts w:cs="Times New Roman"/>
      </w:rPr>
    </w:lvl>
    <w:lvl w:ilvl="2" w:tplc="0413001B" w:tentative="1">
      <w:start w:val="1"/>
      <w:numFmt w:val="lowerRoman"/>
      <w:lvlText w:val="%3."/>
      <w:lvlJc w:val="right"/>
      <w:pPr>
        <w:ind w:left="1440" w:hanging="180"/>
      </w:pPr>
      <w:rPr>
        <w:rFonts w:cs="Times New Roman"/>
      </w:rPr>
    </w:lvl>
    <w:lvl w:ilvl="3" w:tplc="0413000F" w:tentative="1">
      <w:start w:val="1"/>
      <w:numFmt w:val="decimal"/>
      <w:lvlText w:val="%4."/>
      <w:lvlJc w:val="left"/>
      <w:pPr>
        <w:ind w:left="2160" w:hanging="360"/>
      </w:pPr>
      <w:rPr>
        <w:rFonts w:cs="Times New Roman"/>
      </w:rPr>
    </w:lvl>
    <w:lvl w:ilvl="4" w:tplc="04130019" w:tentative="1">
      <w:start w:val="1"/>
      <w:numFmt w:val="lowerLetter"/>
      <w:lvlText w:val="%5."/>
      <w:lvlJc w:val="left"/>
      <w:pPr>
        <w:ind w:left="2880" w:hanging="360"/>
      </w:pPr>
      <w:rPr>
        <w:rFonts w:cs="Times New Roman"/>
      </w:rPr>
    </w:lvl>
    <w:lvl w:ilvl="5" w:tplc="0413001B" w:tentative="1">
      <w:start w:val="1"/>
      <w:numFmt w:val="lowerRoman"/>
      <w:lvlText w:val="%6."/>
      <w:lvlJc w:val="right"/>
      <w:pPr>
        <w:ind w:left="3600" w:hanging="180"/>
      </w:pPr>
      <w:rPr>
        <w:rFonts w:cs="Times New Roman"/>
      </w:rPr>
    </w:lvl>
    <w:lvl w:ilvl="6" w:tplc="0413000F" w:tentative="1">
      <w:start w:val="1"/>
      <w:numFmt w:val="decimal"/>
      <w:lvlText w:val="%7."/>
      <w:lvlJc w:val="left"/>
      <w:pPr>
        <w:ind w:left="4320" w:hanging="360"/>
      </w:pPr>
      <w:rPr>
        <w:rFonts w:cs="Times New Roman"/>
      </w:rPr>
    </w:lvl>
    <w:lvl w:ilvl="7" w:tplc="04130019" w:tentative="1">
      <w:start w:val="1"/>
      <w:numFmt w:val="lowerLetter"/>
      <w:lvlText w:val="%8."/>
      <w:lvlJc w:val="left"/>
      <w:pPr>
        <w:ind w:left="5040" w:hanging="360"/>
      </w:pPr>
      <w:rPr>
        <w:rFonts w:cs="Times New Roman"/>
      </w:rPr>
    </w:lvl>
    <w:lvl w:ilvl="8" w:tplc="0413001B" w:tentative="1">
      <w:start w:val="1"/>
      <w:numFmt w:val="lowerRoman"/>
      <w:lvlText w:val="%9."/>
      <w:lvlJc w:val="right"/>
      <w:pPr>
        <w:ind w:left="5760" w:hanging="180"/>
      </w:pPr>
      <w:rPr>
        <w:rFonts w:cs="Times New Roman"/>
      </w:rPr>
    </w:lvl>
  </w:abstractNum>
  <w:abstractNum w:abstractNumId="2">
    <w:nsid w:val="1FBC1E8F"/>
    <w:multiLevelType w:val="multilevel"/>
    <w:tmpl w:val="330CD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28264DA"/>
    <w:multiLevelType w:val="hybridMultilevel"/>
    <w:tmpl w:val="4DA06B70"/>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753B18E3"/>
    <w:multiLevelType w:val="hybridMultilevel"/>
    <w:tmpl w:val="2BA487BC"/>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32E"/>
    <w:rsid w:val="000012B0"/>
    <w:rsid w:val="00003241"/>
    <w:rsid w:val="00003C32"/>
    <w:rsid w:val="00004325"/>
    <w:rsid w:val="000046E8"/>
    <w:rsid w:val="0000501E"/>
    <w:rsid w:val="000139AD"/>
    <w:rsid w:val="00014CBF"/>
    <w:rsid w:val="0001621F"/>
    <w:rsid w:val="00016D10"/>
    <w:rsid w:val="0001718D"/>
    <w:rsid w:val="00022766"/>
    <w:rsid w:val="00022BC0"/>
    <w:rsid w:val="0002361F"/>
    <w:rsid w:val="00027444"/>
    <w:rsid w:val="00041D77"/>
    <w:rsid w:val="00043D25"/>
    <w:rsid w:val="00044A5F"/>
    <w:rsid w:val="00045356"/>
    <w:rsid w:val="00047B5F"/>
    <w:rsid w:val="0005289B"/>
    <w:rsid w:val="00054DCE"/>
    <w:rsid w:val="00056E8F"/>
    <w:rsid w:val="000570B9"/>
    <w:rsid w:val="000615CA"/>
    <w:rsid w:val="0006429B"/>
    <w:rsid w:val="0006636D"/>
    <w:rsid w:val="000712CC"/>
    <w:rsid w:val="000726BA"/>
    <w:rsid w:val="0007283E"/>
    <w:rsid w:val="000729BB"/>
    <w:rsid w:val="00074EB8"/>
    <w:rsid w:val="00075F60"/>
    <w:rsid w:val="00077A7B"/>
    <w:rsid w:val="00077CBD"/>
    <w:rsid w:val="00080587"/>
    <w:rsid w:val="00082B3A"/>
    <w:rsid w:val="00082C95"/>
    <w:rsid w:val="00095470"/>
    <w:rsid w:val="00097149"/>
    <w:rsid w:val="000A6297"/>
    <w:rsid w:val="000B15D2"/>
    <w:rsid w:val="000B2933"/>
    <w:rsid w:val="000B59F0"/>
    <w:rsid w:val="000C1D73"/>
    <w:rsid w:val="000C4D3B"/>
    <w:rsid w:val="000D0FA3"/>
    <w:rsid w:val="000D2397"/>
    <w:rsid w:val="000D2877"/>
    <w:rsid w:val="000D2A11"/>
    <w:rsid w:val="000D581A"/>
    <w:rsid w:val="000E0128"/>
    <w:rsid w:val="000E1188"/>
    <w:rsid w:val="000E2F51"/>
    <w:rsid w:val="000E55D6"/>
    <w:rsid w:val="000F0C2E"/>
    <w:rsid w:val="000F4DDB"/>
    <w:rsid w:val="001036FD"/>
    <w:rsid w:val="00106B12"/>
    <w:rsid w:val="00107340"/>
    <w:rsid w:val="00107D04"/>
    <w:rsid w:val="0011391E"/>
    <w:rsid w:val="00115F2C"/>
    <w:rsid w:val="0013024C"/>
    <w:rsid w:val="00134A73"/>
    <w:rsid w:val="00134F95"/>
    <w:rsid w:val="00135F06"/>
    <w:rsid w:val="001377D2"/>
    <w:rsid w:val="001437AA"/>
    <w:rsid w:val="00160B72"/>
    <w:rsid w:val="0016118D"/>
    <w:rsid w:val="00162400"/>
    <w:rsid w:val="00164873"/>
    <w:rsid w:val="00164AFC"/>
    <w:rsid w:val="001667F6"/>
    <w:rsid w:val="0017011A"/>
    <w:rsid w:val="00171573"/>
    <w:rsid w:val="00172E34"/>
    <w:rsid w:val="001732A5"/>
    <w:rsid w:val="00174DDA"/>
    <w:rsid w:val="00177193"/>
    <w:rsid w:val="00180BF1"/>
    <w:rsid w:val="00182B1B"/>
    <w:rsid w:val="00183409"/>
    <w:rsid w:val="001837F8"/>
    <w:rsid w:val="00183F52"/>
    <w:rsid w:val="00184AD4"/>
    <w:rsid w:val="00186ED4"/>
    <w:rsid w:val="001873AE"/>
    <w:rsid w:val="00187491"/>
    <w:rsid w:val="0019269C"/>
    <w:rsid w:val="0019681D"/>
    <w:rsid w:val="001A0D6A"/>
    <w:rsid w:val="001A1BB1"/>
    <w:rsid w:val="001A772D"/>
    <w:rsid w:val="001C0296"/>
    <w:rsid w:val="001C26FB"/>
    <w:rsid w:val="001C4B45"/>
    <w:rsid w:val="001C542B"/>
    <w:rsid w:val="001C5A13"/>
    <w:rsid w:val="001D3100"/>
    <w:rsid w:val="001D428A"/>
    <w:rsid w:val="001D5058"/>
    <w:rsid w:val="001D5ACD"/>
    <w:rsid w:val="001F0D40"/>
    <w:rsid w:val="001F673B"/>
    <w:rsid w:val="001F6DF6"/>
    <w:rsid w:val="001F710C"/>
    <w:rsid w:val="0020166F"/>
    <w:rsid w:val="00205838"/>
    <w:rsid w:val="0020778C"/>
    <w:rsid w:val="002104CF"/>
    <w:rsid w:val="0021074D"/>
    <w:rsid w:val="00213516"/>
    <w:rsid w:val="002159D2"/>
    <w:rsid w:val="00216659"/>
    <w:rsid w:val="002231E7"/>
    <w:rsid w:val="00225BF7"/>
    <w:rsid w:val="0022751F"/>
    <w:rsid w:val="00227F13"/>
    <w:rsid w:val="00230B8A"/>
    <w:rsid w:val="002313B1"/>
    <w:rsid w:val="00232A6E"/>
    <w:rsid w:val="00234E7C"/>
    <w:rsid w:val="00236BDB"/>
    <w:rsid w:val="00236FBE"/>
    <w:rsid w:val="002370E6"/>
    <w:rsid w:val="0023799D"/>
    <w:rsid w:val="00240507"/>
    <w:rsid w:val="00242891"/>
    <w:rsid w:val="002461F6"/>
    <w:rsid w:val="002464F8"/>
    <w:rsid w:val="00251212"/>
    <w:rsid w:val="002516EB"/>
    <w:rsid w:val="0025207F"/>
    <w:rsid w:val="00257806"/>
    <w:rsid w:val="002666B4"/>
    <w:rsid w:val="002720CD"/>
    <w:rsid w:val="0027311A"/>
    <w:rsid w:val="00275BA7"/>
    <w:rsid w:val="00276EAC"/>
    <w:rsid w:val="0028032F"/>
    <w:rsid w:val="0028777B"/>
    <w:rsid w:val="00287E1E"/>
    <w:rsid w:val="002924ED"/>
    <w:rsid w:val="00292FFB"/>
    <w:rsid w:val="002940B5"/>
    <w:rsid w:val="002A3BF1"/>
    <w:rsid w:val="002A4509"/>
    <w:rsid w:val="002A58DC"/>
    <w:rsid w:val="002A59FC"/>
    <w:rsid w:val="002A5DA4"/>
    <w:rsid w:val="002A62EB"/>
    <w:rsid w:val="002A7853"/>
    <w:rsid w:val="002B1B59"/>
    <w:rsid w:val="002B3B88"/>
    <w:rsid w:val="002B4EDC"/>
    <w:rsid w:val="002B608A"/>
    <w:rsid w:val="002B6156"/>
    <w:rsid w:val="002B700A"/>
    <w:rsid w:val="002B79C3"/>
    <w:rsid w:val="002C036B"/>
    <w:rsid w:val="002C109A"/>
    <w:rsid w:val="002C3F56"/>
    <w:rsid w:val="002D11EA"/>
    <w:rsid w:val="002D199A"/>
    <w:rsid w:val="002D1E65"/>
    <w:rsid w:val="002D2380"/>
    <w:rsid w:val="002D5B96"/>
    <w:rsid w:val="002D5DA9"/>
    <w:rsid w:val="002D674A"/>
    <w:rsid w:val="002E09E8"/>
    <w:rsid w:val="002E33D1"/>
    <w:rsid w:val="002F2E35"/>
    <w:rsid w:val="002F5D62"/>
    <w:rsid w:val="00312115"/>
    <w:rsid w:val="0031217C"/>
    <w:rsid w:val="003122C4"/>
    <w:rsid w:val="00316AB8"/>
    <w:rsid w:val="003221BB"/>
    <w:rsid w:val="00322449"/>
    <w:rsid w:val="00331A28"/>
    <w:rsid w:val="00333BF0"/>
    <w:rsid w:val="00336D5D"/>
    <w:rsid w:val="00337616"/>
    <w:rsid w:val="00340652"/>
    <w:rsid w:val="00340B26"/>
    <w:rsid w:val="003476DA"/>
    <w:rsid w:val="00347F50"/>
    <w:rsid w:val="00350D53"/>
    <w:rsid w:val="00353269"/>
    <w:rsid w:val="0035536C"/>
    <w:rsid w:val="00357FB2"/>
    <w:rsid w:val="003636FA"/>
    <w:rsid w:val="003661FF"/>
    <w:rsid w:val="003721DB"/>
    <w:rsid w:val="0037331A"/>
    <w:rsid w:val="003737A4"/>
    <w:rsid w:val="00375CD9"/>
    <w:rsid w:val="003874AE"/>
    <w:rsid w:val="00387AE4"/>
    <w:rsid w:val="003A05A3"/>
    <w:rsid w:val="003B4B70"/>
    <w:rsid w:val="003B6C2B"/>
    <w:rsid w:val="003C7E5D"/>
    <w:rsid w:val="003E34EB"/>
    <w:rsid w:val="003E5724"/>
    <w:rsid w:val="003E6653"/>
    <w:rsid w:val="003E6975"/>
    <w:rsid w:val="003F0992"/>
    <w:rsid w:val="003F0BBB"/>
    <w:rsid w:val="003F207D"/>
    <w:rsid w:val="003F28AB"/>
    <w:rsid w:val="003F63C8"/>
    <w:rsid w:val="003F6DEC"/>
    <w:rsid w:val="00401689"/>
    <w:rsid w:val="00402DE5"/>
    <w:rsid w:val="00402E58"/>
    <w:rsid w:val="00407FDD"/>
    <w:rsid w:val="00410AA0"/>
    <w:rsid w:val="004112CF"/>
    <w:rsid w:val="004145F8"/>
    <w:rsid w:val="00414B21"/>
    <w:rsid w:val="00416810"/>
    <w:rsid w:val="00416B4D"/>
    <w:rsid w:val="00422BA8"/>
    <w:rsid w:val="00422F9F"/>
    <w:rsid w:val="004254DF"/>
    <w:rsid w:val="0043192C"/>
    <w:rsid w:val="00431C64"/>
    <w:rsid w:val="00433700"/>
    <w:rsid w:val="00435F3E"/>
    <w:rsid w:val="0043604A"/>
    <w:rsid w:val="004363FA"/>
    <w:rsid w:val="0044174C"/>
    <w:rsid w:val="0045214A"/>
    <w:rsid w:val="00454825"/>
    <w:rsid w:val="00472A14"/>
    <w:rsid w:val="0047323B"/>
    <w:rsid w:val="00476046"/>
    <w:rsid w:val="004818A8"/>
    <w:rsid w:val="004821EE"/>
    <w:rsid w:val="00491502"/>
    <w:rsid w:val="0049175D"/>
    <w:rsid w:val="00497436"/>
    <w:rsid w:val="004A0C82"/>
    <w:rsid w:val="004A0DEB"/>
    <w:rsid w:val="004A21D2"/>
    <w:rsid w:val="004A439E"/>
    <w:rsid w:val="004A768C"/>
    <w:rsid w:val="004A7EF3"/>
    <w:rsid w:val="004B2E10"/>
    <w:rsid w:val="004C0BF3"/>
    <w:rsid w:val="004C1B39"/>
    <w:rsid w:val="004C251B"/>
    <w:rsid w:val="004C4AB3"/>
    <w:rsid w:val="004D074C"/>
    <w:rsid w:val="004D65B4"/>
    <w:rsid w:val="004D70FC"/>
    <w:rsid w:val="004D7F46"/>
    <w:rsid w:val="004E02A3"/>
    <w:rsid w:val="004E180A"/>
    <w:rsid w:val="004E5BE1"/>
    <w:rsid w:val="004F4888"/>
    <w:rsid w:val="0050696B"/>
    <w:rsid w:val="00507DAC"/>
    <w:rsid w:val="00510BA2"/>
    <w:rsid w:val="0051237F"/>
    <w:rsid w:val="005144CC"/>
    <w:rsid w:val="00516118"/>
    <w:rsid w:val="00521200"/>
    <w:rsid w:val="00523855"/>
    <w:rsid w:val="005260F6"/>
    <w:rsid w:val="00530004"/>
    <w:rsid w:val="00530C7A"/>
    <w:rsid w:val="005410E1"/>
    <w:rsid w:val="005454BD"/>
    <w:rsid w:val="0055433E"/>
    <w:rsid w:val="005546B3"/>
    <w:rsid w:val="00555512"/>
    <w:rsid w:val="00556740"/>
    <w:rsid w:val="005623AA"/>
    <w:rsid w:val="005646F0"/>
    <w:rsid w:val="00567F96"/>
    <w:rsid w:val="00570E67"/>
    <w:rsid w:val="005713F1"/>
    <w:rsid w:val="00580706"/>
    <w:rsid w:val="005867BA"/>
    <w:rsid w:val="00595E29"/>
    <w:rsid w:val="00597636"/>
    <w:rsid w:val="005A32BB"/>
    <w:rsid w:val="005B43A3"/>
    <w:rsid w:val="005C1808"/>
    <w:rsid w:val="005C2680"/>
    <w:rsid w:val="005D0474"/>
    <w:rsid w:val="005D1D68"/>
    <w:rsid w:val="005D5BC9"/>
    <w:rsid w:val="005E4F58"/>
    <w:rsid w:val="005E56E0"/>
    <w:rsid w:val="005E696B"/>
    <w:rsid w:val="005F0BF5"/>
    <w:rsid w:val="005F0FC9"/>
    <w:rsid w:val="005F1388"/>
    <w:rsid w:val="005F1F53"/>
    <w:rsid w:val="005F31C7"/>
    <w:rsid w:val="005F3B90"/>
    <w:rsid w:val="005F5DA8"/>
    <w:rsid w:val="005F5E56"/>
    <w:rsid w:val="005F5F97"/>
    <w:rsid w:val="0060032E"/>
    <w:rsid w:val="00600AE8"/>
    <w:rsid w:val="00601945"/>
    <w:rsid w:val="006021D6"/>
    <w:rsid w:val="006111B5"/>
    <w:rsid w:val="006117CE"/>
    <w:rsid w:val="00614ED7"/>
    <w:rsid w:val="00620169"/>
    <w:rsid w:val="00622AFD"/>
    <w:rsid w:val="00624284"/>
    <w:rsid w:val="00626961"/>
    <w:rsid w:val="00626B54"/>
    <w:rsid w:val="006305F6"/>
    <w:rsid w:val="00632228"/>
    <w:rsid w:val="00635E04"/>
    <w:rsid w:val="006374D9"/>
    <w:rsid w:val="00641D80"/>
    <w:rsid w:val="00642B7D"/>
    <w:rsid w:val="00643065"/>
    <w:rsid w:val="00651492"/>
    <w:rsid w:val="00652F40"/>
    <w:rsid w:val="00656A17"/>
    <w:rsid w:val="00662F96"/>
    <w:rsid w:val="00663402"/>
    <w:rsid w:val="00665084"/>
    <w:rsid w:val="00666F24"/>
    <w:rsid w:val="0067321D"/>
    <w:rsid w:val="00674687"/>
    <w:rsid w:val="0067614E"/>
    <w:rsid w:val="0068061D"/>
    <w:rsid w:val="0068357B"/>
    <w:rsid w:val="00690C58"/>
    <w:rsid w:val="006956C1"/>
    <w:rsid w:val="00696117"/>
    <w:rsid w:val="00696180"/>
    <w:rsid w:val="00696BED"/>
    <w:rsid w:val="006A1A28"/>
    <w:rsid w:val="006A2162"/>
    <w:rsid w:val="006A3D68"/>
    <w:rsid w:val="006A4892"/>
    <w:rsid w:val="006B5607"/>
    <w:rsid w:val="006B5B7A"/>
    <w:rsid w:val="006B7029"/>
    <w:rsid w:val="006B772E"/>
    <w:rsid w:val="006C0326"/>
    <w:rsid w:val="006C1A8B"/>
    <w:rsid w:val="006C1DF7"/>
    <w:rsid w:val="006C2216"/>
    <w:rsid w:val="006C3139"/>
    <w:rsid w:val="006C5CB9"/>
    <w:rsid w:val="006C6C9C"/>
    <w:rsid w:val="006D1FA7"/>
    <w:rsid w:val="006D5025"/>
    <w:rsid w:val="006D531C"/>
    <w:rsid w:val="006E06AA"/>
    <w:rsid w:val="006E0E6F"/>
    <w:rsid w:val="006E17F6"/>
    <w:rsid w:val="006E2661"/>
    <w:rsid w:val="006E384A"/>
    <w:rsid w:val="006E4C7D"/>
    <w:rsid w:val="006F1737"/>
    <w:rsid w:val="006F38BB"/>
    <w:rsid w:val="006F74F7"/>
    <w:rsid w:val="00700501"/>
    <w:rsid w:val="0070277A"/>
    <w:rsid w:val="00706939"/>
    <w:rsid w:val="00711FFA"/>
    <w:rsid w:val="00712802"/>
    <w:rsid w:val="00714DB5"/>
    <w:rsid w:val="00716799"/>
    <w:rsid w:val="007171E7"/>
    <w:rsid w:val="00717DE3"/>
    <w:rsid w:val="00721ABD"/>
    <w:rsid w:val="00724EE0"/>
    <w:rsid w:val="00732F48"/>
    <w:rsid w:val="00745D63"/>
    <w:rsid w:val="00752E4F"/>
    <w:rsid w:val="00754FAD"/>
    <w:rsid w:val="00757D60"/>
    <w:rsid w:val="007655A0"/>
    <w:rsid w:val="0076561D"/>
    <w:rsid w:val="00766C7A"/>
    <w:rsid w:val="00767B51"/>
    <w:rsid w:val="007738AE"/>
    <w:rsid w:val="00776DAD"/>
    <w:rsid w:val="00784C61"/>
    <w:rsid w:val="00791E1D"/>
    <w:rsid w:val="007A3F54"/>
    <w:rsid w:val="007B0496"/>
    <w:rsid w:val="007B1C51"/>
    <w:rsid w:val="007B3316"/>
    <w:rsid w:val="007B6056"/>
    <w:rsid w:val="007D0B23"/>
    <w:rsid w:val="007D7256"/>
    <w:rsid w:val="007E26F9"/>
    <w:rsid w:val="007E43C5"/>
    <w:rsid w:val="007E47C2"/>
    <w:rsid w:val="007E4E38"/>
    <w:rsid w:val="007E59DC"/>
    <w:rsid w:val="007F1413"/>
    <w:rsid w:val="007F3723"/>
    <w:rsid w:val="007F3D87"/>
    <w:rsid w:val="007F5BB0"/>
    <w:rsid w:val="00800607"/>
    <w:rsid w:val="0080338C"/>
    <w:rsid w:val="008035C6"/>
    <w:rsid w:val="008066BD"/>
    <w:rsid w:val="008069C1"/>
    <w:rsid w:val="00810D30"/>
    <w:rsid w:val="00813ABF"/>
    <w:rsid w:val="0081526A"/>
    <w:rsid w:val="008161CC"/>
    <w:rsid w:val="0082682E"/>
    <w:rsid w:val="00830568"/>
    <w:rsid w:val="0083630D"/>
    <w:rsid w:val="00840075"/>
    <w:rsid w:val="00845FA5"/>
    <w:rsid w:val="008502DF"/>
    <w:rsid w:val="008517D3"/>
    <w:rsid w:val="0085180A"/>
    <w:rsid w:val="008532AD"/>
    <w:rsid w:val="008533C6"/>
    <w:rsid w:val="00853CD9"/>
    <w:rsid w:val="008540C1"/>
    <w:rsid w:val="00855BC7"/>
    <w:rsid w:val="00857BDA"/>
    <w:rsid w:val="00860FBF"/>
    <w:rsid w:val="008646EE"/>
    <w:rsid w:val="00867A26"/>
    <w:rsid w:val="0087264A"/>
    <w:rsid w:val="00873617"/>
    <w:rsid w:val="00877EB5"/>
    <w:rsid w:val="00880300"/>
    <w:rsid w:val="00881BAE"/>
    <w:rsid w:val="0088258B"/>
    <w:rsid w:val="008835FB"/>
    <w:rsid w:val="0088692E"/>
    <w:rsid w:val="00886F1F"/>
    <w:rsid w:val="00886FCB"/>
    <w:rsid w:val="008876B1"/>
    <w:rsid w:val="00896FE8"/>
    <w:rsid w:val="0089788D"/>
    <w:rsid w:val="008A1150"/>
    <w:rsid w:val="008A43CA"/>
    <w:rsid w:val="008A65AA"/>
    <w:rsid w:val="008B0AD2"/>
    <w:rsid w:val="008B588A"/>
    <w:rsid w:val="008B6AFE"/>
    <w:rsid w:val="008B74C4"/>
    <w:rsid w:val="008C04A8"/>
    <w:rsid w:val="008C3143"/>
    <w:rsid w:val="008C591B"/>
    <w:rsid w:val="008D092F"/>
    <w:rsid w:val="008D2E4E"/>
    <w:rsid w:val="008D4D9A"/>
    <w:rsid w:val="008D79EB"/>
    <w:rsid w:val="008D7AB0"/>
    <w:rsid w:val="008E7331"/>
    <w:rsid w:val="008F0CD8"/>
    <w:rsid w:val="008F1409"/>
    <w:rsid w:val="008F1939"/>
    <w:rsid w:val="008F223E"/>
    <w:rsid w:val="008F4656"/>
    <w:rsid w:val="008F6B37"/>
    <w:rsid w:val="008F73AD"/>
    <w:rsid w:val="0090198F"/>
    <w:rsid w:val="009023B0"/>
    <w:rsid w:val="0090346F"/>
    <w:rsid w:val="0090683F"/>
    <w:rsid w:val="0090774D"/>
    <w:rsid w:val="009125A2"/>
    <w:rsid w:val="00912CFF"/>
    <w:rsid w:val="00913145"/>
    <w:rsid w:val="00920C13"/>
    <w:rsid w:val="00921216"/>
    <w:rsid w:val="009332E0"/>
    <w:rsid w:val="00936B4B"/>
    <w:rsid w:val="009376A0"/>
    <w:rsid w:val="00940D17"/>
    <w:rsid w:val="00940D32"/>
    <w:rsid w:val="00940EDB"/>
    <w:rsid w:val="00942A47"/>
    <w:rsid w:val="00956984"/>
    <w:rsid w:val="0096238B"/>
    <w:rsid w:val="009653A1"/>
    <w:rsid w:val="00966272"/>
    <w:rsid w:val="009665F4"/>
    <w:rsid w:val="00972DE8"/>
    <w:rsid w:val="009821A7"/>
    <w:rsid w:val="00982DCF"/>
    <w:rsid w:val="00983054"/>
    <w:rsid w:val="00985BFF"/>
    <w:rsid w:val="009864AD"/>
    <w:rsid w:val="0098673C"/>
    <w:rsid w:val="00992BC4"/>
    <w:rsid w:val="00992F30"/>
    <w:rsid w:val="00996DDB"/>
    <w:rsid w:val="009A065C"/>
    <w:rsid w:val="009A59B7"/>
    <w:rsid w:val="009A6CD5"/>
    <w:rsid w:val="009A70B8"/>
    <w:rsid w:val="009B1FCE"/>
    <w:rsid w:val="009B57AD"/>
    <w:rsid w:val="009B5C3D"/>
    <w:rsid w:val="009C1580"/>
    <w:rsid w:val="009D2C00"/>
    <w:rsid w:val="009D40D3"/>
    <w:rsid w:val="009D54AA"/>
    <w:rsid w:val="009E0D08"/>
    <w:rsid w:val="009E1264"/>
    <w:rsid w:val="009E294C"/>
    <w:rsid w:val="009E439F"/>
    <w:rsid w:val="009E4D7F"/>
    <w:rsid w:val="009E50D9"/>
    <w:rsid w:val="009F5899"/>
    <w:rsid w:val="009F7DE3"/>
    <w:rsid w:val="00A04532"/>
    <w:rsid w:val="00A121EE"/>
    <w:rsid w:val="00A14365"/>
    <w:rsid w:val="00A22617"/>
    <w:rsid w:val="00A23C67"/>
    <w:rsid w:val="00A257EB"/>
    <w:rsid w:val="00A30CA5"/>
    <w:rsid w:val="00A30E7E"/>
    <w:rsid w:val="00A315DA"/>
    <w:rsid w:val="00A352B3"/>
    <w:rsid w:val="00A36F01"/>
    <w:rsid w:val="00A43690"/>
    <w:rsid w:val="00A478C9"/>
    <w:rsid w:val="00A524C4"/>
    <w:rsid w:val="00A70683"/>
    <w:rsid w:val="00A70BE8"/>
    <w:rsid w:val="00A71C76"/>
    <w:rsid w:val="00A71F32"/>
    <w:rsid w:val="00A73619"/>
    <w:rsid w:val="00A73AC0"/>
    <w:rsid w:val="00A756FE"/>
    <w:rsid w:val="00A76E38"/>
    <w:rsid w:val="00A80BF0"/>
    <w:rsid w:val="00A82A86"/>
    <w:rsid w:val="00A83125"/>
    <w:rsid w:val="00A840A2"/>
    <w:rsid w:val="00A847F9"/>
    <w:rsid w:val="00A84D8B"/>
    <w:rsid w:val="00A90A40"/>
    <w:rsid w:val="00A93960"/>
    <w:rsid w:val="00AA1A6D"/>
    <w:rsid w:val="00AA6BB5"/>
    <w:rsid w:val="00AB5B3C"/>
    <w:rsid w:val="00AC2478"/>
    <w:rsid w:val="00AC5FF0"/>
    <w:rsid w:val="00AC6BE5"/>
    <w:rsid w:val="00AD28F8"/>
    <w:rsid w:val="00AD4FED"/>
    <w:rsid w:val="00AD585D"/>
    <w:rsid w:val="00AE44BA"/>
    <w:rsid w:val="00AF3AD2"/>
    <w:rsid w:val="00B02286"/>
    <w:rsid w:val="00B0327B"/>
    <w:rsid w:val="00B10058"/>
    <w:rsid w:val="00B1137F"/>
    <w:rsid w:val="00B12125"/>
    <w:rsid w:val="00B12550"/>
    <w:rsid w:val="00B130C9"/>
    <w:rsid w:val="00B160CC"/>
    <w:rsid w:val="00B21784"/>
    <w:rsid w:val="00B21957"/>
    <w:rsid w:val="00B24379"/>
    <w:rsid w:val="00B26436"/>
    <w:rsid w:val="00B30FEA"/>
    <w:rsid w:val="00B314A9"/>
    <w:rsid w:val="00B3207F"/>
    <w:rsid w:val="00B322E8"/>
    <w:rsid w:val="00B33E53"/>
    <w:rsid w:val="00B3550D"/>
    <w:rsid w:val="00B3743D"/>
    <w:rsid w:val="00B42B4E"/>
    <w:rsid w:val="00B51179"/>
    <w:rsid w:val="00B5209B"/>
    <w:rsid w:val="00B5308C"/>
    <w:rsid w:val="00B53AA9"/>
    <w:rsid w:val="00B55628"/>
    <w:rsid w:val="00B6509E"/>
    <w:rsid w:val="00B6564B"/>
    <w:rsid w:val="00B66178"/>
    <w:rsid w:val="00B705E2"/>
    <w:rsid w:val="00B70C81"/>
    <w:rsid w:val="00B76855"/>
    <w:rsid w:val="00B77D95"/>
    <w:rsid w:val="00B852CD"/>
    <w:rsid w:val="00B8654E"/>
    <w:rsid w:val="00B948C0"/>
    <w:rsid w:val="00B9530B"/>
    <w:rsid w:val="00B95584"/>
    <w:rsid w:val="00B96F2C"/>
    <w:rsid w:val="00BA2FDB"/>
    <w:rsid w:val="00BA5450"/>
    <w:rsid w:val="00BA5865"/>
    <w:rsid w:val="00BA7CB5"/>
    <w:rsid w:val="00BA7D30"/>
    <w:rsid w:val="00BB4EDC"/>
    <w:rsid w:val="00BD4802"/>
    <w:rsid w:val="00BD7FD4"/>
    <w:rsid w:val="00BE68BC"/>
    <w:rsid w:val="00BF5B55"/>
    <w:rsid w:val="00BF6D61"/>
    <w:rsid w:val="00C02244"/>
    <w:rsid w:val="00C039EF"/>
    <w:rsid w:val="00C21ACB"/>
    <w:rsid w:val="00C307A3"/>
    <w:rsid w:val="00C34121"/>
    <w:rsid w:val="00C42CB5"/>
    <w:rsid w:val="00C464A6"/>
    <w:rsid w:val="00C50DDA"/>
    <w:rsid w:val="00C55DBE"/>
    <w:rsid w:val="00C56A45"/>
    <w:rsid w:val="00C56E8C"/>
    <w:rsid w:val="00C623B6"/>
    <w:rsid w:val="00C63CDE"/>
    <w:rsid w:val="00C71E8D"/>
    <w:rsid w:val="00C72486"/>
    <w:rsid w:val="00C77F0C"/>
    <w:rsid w:val="00C81A39"/>
    <w:rsid w:val="00C83AC5"/>
    <w:rsid w:val="00C845AA"/>
    <w:rsid w:val="00C870C0"/>
    <w:rsid w:val="00C876CE"/>
    <w:rsid w:val="00C87F32"/>
    <w:rsid w:val="00C902EF"/>
    <w:rsid w:val="00C916E4"/>
    <w:rsid w:val="00C92F9C"/>
    <w:rsid w:val="00C930E1"/>
    <w:rsid w:val="00C93DB1"/>
    <w:rsid w:val="00C97870"/>
    <w:rsid w:val="00CA2F7D"/>
    <w:rsid w:val="00CA6DD3"/>
    <w:rsid w:val="00CB0138"/>
    <w:rsid w:val="00CB0291"/>
    <w:rsid w:val="00CB47DE"/>
    <w:rsid w:val="00CC28B1"/>
    <w:rsid w:val="00CC2B2F"/>
    <w:rsid w:val="00CC3E08"/>
    <w:rsid w:val="00CC440B"/>
    <w:rsid w:val="00CC5746"/>
    <w:rsid w:val="00CD3BAE"/>
    <w:rsid w:val="00CD4027"/>
    <w:rsid w:val="00CD4F30"/>
    <w:rsid w:val="00CD5C42"/>
    <w:rsid w:val="00CE0B3D"/>
    <w:rsid w:val="00CE2662"/>
    <w:rsid w:val="00CE28E8"/>
    <w:rsid w:val="00CE3F86"/>
    <w:rsid w:val="00CE73A9"/>
    <w:rsid w:val="00CE7D7C"/>
    <w:rsid w:val="00CF08D5"/>
    <w:rsid w:val="00CF32FA"/>
    <w:rsid w:val="00CF423B"/>
    <w:rsid w:val="00CF54B6"/>
    <w:rsid w:val="00CF5CE3"/>
    <w:rsid w:val="00CF6A08"/>
    <w:rsid w:val="00CF70B0"/>
    <w:rsid w:val="00CF717C"/>
    <w:rsid w:val="00CF7DF7"/>
    <w:rsid w:val="00D005DB"/>
    <w:rsid w:val="00D0245D"/>
    <w:rsid w:val="00D05FA0"/>
    <w:rsid w:val="00D060DF"/>
    <w:rsid w:val="00D113C2"/>
    <w:rsid w:val="00D15F18"/>
    <w:rsid w:val="00D23C55"/>
    <w:rsid w:val="00D2460C"/>
    <w:rsid w:val="00D24ED6"/>
    <w:rsid w:val="00D305D1"/>
    <w:rsid w:val="00D3121A"/>
    <w:rsid w:val="00D31AD9"/>
    <w:rsid w:val="00D32D31"/>
    <w:rsid w:val="00D33E26"/>
    <w:rsid w:val="00D41E61"/>
    <w:rsid w:val="00D42577"/>
    <w:rsid w:val="00D4443D"/>
    <w:rsid w:val="00D47217"/>
    <w:rsid w:val="00D475BE"/>
    <w:rsid w:val="00D50D6E"/>
    <w:rsid w:val="00D55257"/>
    <w:rsid w:val="00D5529F"/>
    <w:rsid w:val="00D60A14"/>
    <w:rsid w:val="00D63CEA"/>
    <w:rsid w:val="00D77B15"/>
    <w:rsid w:val="00D801FF"/>
    <w:rsid w:val="00D81330"/>
    <w:rsid w:val="00D85056"/>
    <w:rsid w:val="00D9043B"/>
    <w:rsid w:val="00D921EE"/>
    <w:rsid w:val="00D94628"/>
    <w:rsid w:val="00D94833"/>
    <w:rsid w:val="00D94EE3"/>
    <w:rsid w:val="00D97028"/>
    <w:rsid w:val="00D977C2"/>
    <w:rsid w:val="00DA0CB5"/>
    <w:rsid w:val="00DA27B8"/>
    <w:rsid w:val="00DA4D5E"/>
    <w:rsid w:val="00DA4EEC"/>
    <w:rsid w:val="00DA78A8"/>
    <w:rsid w:val="00DB1B45"/>
    <w:rsid w:val="00DB6DF8"/>
    <w:rsid w:val="00DC1B33"/>
    <w:rsid w:val="00DD0076"/>
    <w:rsid w:val="00DD08F8"/>
    <w:rsid w:val="00DD2E37"/>
    <w:rsid w:val="00DD707B"/>
    <w:rsid w:val="00DD7665"/>
    <w:rsid w:val="00DE0F8B"/>
    <w:rsid w:val="00DE1C2C"/>
    <w:rsid w:val="00DE2C57"/>
    <w:rsid w:val="00DE4435"/>
    <w:rsid w:val="00DF37F8"/>
    <w:rsid w:val="00DF48D3"/>
    <w:rsid w:val="00DF6CED"/>
    <w:rsid w:val="00E0050D"/>
    <w:rsid w:val="00E022BC"/>
    <w:rsid w:val="00E0261D"/>
    <w:rsid w:val="00E02A42"/>
    <w:rsid w:val="00E02C1B"/>
    <w:rsid w:val="00E1176C"/>
    <w:rsid w:val="00E12D9B"/>
    <w:rsid w:val="00E14FD3"/>
    <w:rsid w:val="00E24C56"/>
    <w:rsid w:val="00E24DC7"/>
    <w:rsid w:val="00E34E80"/>
    <w:rsid w:val="00E37E76"/>
    <w:rsid w:val="00E438D0"/>
    <w:rsid w:val="00E447A2"/>
    <w:rsid w:val="00E452E4"/>
    <w:rsid w:val="00E551A7"/>
    <w:rsid w:val="00E56FCB"/>
    <w:rsid w:val="00E5704B"/>
    <w:rsid w:val="00E66144"/>
    <w:rsid w:val="00E6741D"/>
    <w:rsid w:val="00E706A8"/>
    <w:rsid w:val="00E71468"/>
    <w:rsid w:val="00E72BEC"/>
    <w:rsid w:val="00E76219"/>
    <w:rsid w:val="00E80152"/>
    <w:rsid w:val="00E829CD"/>
    <w:rsid w:val="00E82D8E"/>
    <w:rsid w:val="00E847E4"/>
    <w:rsid w:val="00E86A57"/>
    <w:rsid w:val="00E86BC6"/>
    <w:rsid w:val="00E870F9"/>
    <w:rsid w:val="00E94F45"/>
    <w:rsid w:val="00E95FF2"/>
    <w:rsid w:val="00EA02AA"/>
    <w:rsid w:val="00EA0A8C"/>
    <w:rsid w:val="00EA0D00"/>
    <w:rsid w:val="00EA1E89"/>
    <w:rsid w:val="00EA470C"/>
    <w:rsid w:val="00EA7718"/>
    <w:rsid w:val="00EB014C"/>
    <w:rsid w:val="00EC23E2"/>
    <w:rsid w:val="00EC3234"/>
    <w:rsid w:val="00EC5C4F"/>
    <w:rsid w:val="00ED2844"/>
    <w:rsid w:val="00ED4629"/>
    <w:rsid w:val="00EE055A"/>
    <w:rsid w:val="00EE2788"/>
    <w:rsid w:val="00EE3130"/>
    <w:rsid w:val="00EE33D3"/>
    <w:rsid w:val="00EF1426"/>
    <w:rsid w:val="00EF2138"/>
    <w:rsid w:val="00EF3BE7"/>
    <w:rsid w:val="00EF4237"/>
    <w:rsid w:val="00EF7E7F"/>
    <w:rsid w:val="00F02CE9"/>
    <w:rsid w:val="00F06DEF"/>
    <w:rsid w:val="00F1224D"/>
    <w:rsid w:val="00F174B4"/>
    <w:rsid w:val="00F2717F"/>
    <w:rsid w:val="00F27984"/>
    <w:rsid w:val="00F30D9E"/>
    <w:rsid w:val="00F31B1B"/>
    <w:rsid w:val="00F33A4D"/>
    <w:rsid w:val="00F369D9"/>
    <w:rsid w:val="00F4519C"/>
    <w:rsid w:val="00F45DC8"/>
    <w:rsid w:val="00F474A7"/>
    <w:rsid w:val="00F5078B"/>
    <w:rsid w:val="00F5421B"/>
    <w:rsid w:val="00F54CC6"/>
    <w:rsid w:val="00F561F7"/>
    <w:rsid w:val="00F61D34"/>
    <w:rsid w:val="00F62ECF"/>
    <w:rsid w:val="00F63879"/>
    <w:rsid w:val="00F65D19"/>
    <w:rsid w:val="00F704EE"/>
    <w:rsid w:val="00F82092"/>
    <w:rsid w:val="00F9091F"/>
    <w:rsid w:val="00F911E8"/>
    <w:rsid w:val="00F92C96"/>
    <w:rsid w:val="00F945DA"/>
    <w:rsid w:val="00F94920"/>
    <w:rsid w:val="00F95524"/>
    <w:rsid w:val="00F97B85"/>
    <w:rsid w:val="00FA3DC5"/>
    <w:rsid w:val="00FA53EA"/>
    <w:rsid w:val="00FA68D7"/>
    <w:rsid w:val="00FB1AA5"/>
    <w:rsid w:val="00FB5848"/>
    <w:rsid w:val="00FC4CD3"/>
    <w:rsid w:val="00FC64FE"/>
    <w:rsid w:val="00FE1581"/>
    <w:rsid w:val="00FE1E1E"/>
    <w:rsid w:val="00FE2192"/>
    <w:rsid w:val="00FE4A57"/>
    <w:rsid w:val="00FF3FF8"/>
    <w:rsid w:val="00FF4D65"/>
    <w:rsid w:val="00FF5FA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29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A840A2"/>
    <w:pPr>
      <w:tabs>
        <w:tab w:val="center" w:pos="4680"/>
        <w:tab w:val="right" w:pos="9360"/>
      </w:tabs>
      <w:spacing w:after="0" w:line="240" w:lineRule="auto"/>
    </w:pPr>
    <w:rPr>
      <w:sz w:val="20"/>
      <w:szCs w:val="20"/>
    </w:rPr>
  </w:style>
  <w:style w:type="character" w:customStyle="1" w:styleId="Char">
    <w:name w:val="页眉 Char"/>
    <w:link w:val="a3"/>
    <w:uiPriority w:val="99"/>
    <w:semiHidden/>
    <w:locked/>
    <w:rsid w:val="00A840A2"/>
    <w:rPr>
      <w:rFonts w:cs="Times New Roman"/>
    </w:rPr>
  </w:style>
  <w:style w:type="paragraph" w:styleId="a4">
    <w:name w:val="footer"/>
    <w:basedOn w:val="a"/>
    <w:link w:val="Char0"/>
    <w:uiPriority w:val="99"/>
    <w:semiHidden/>
    <w:rsid w:val="00A840A2"/>
    <w:pPr>
      <w:tabs>
        <w:tab w:val="center" w:pos="4680"/>
        <w:tab w:val="right" w:pos="9360"/>
      </w:tabs>
      <w:spacing w:after="0" w:line="240" w:lineRule="auto"/>
    </w:pPr>
    <w:rPr>
      <w:sz w:val="20"/>
      <w:szCs w:val="20"/>
    </w:rPr>
  </w:style>
  <w:style w:type="character" w:customStyle="1" w:styleId="Char0">
    <w:name w:val="页脚 Char"/>
    <w:link w:val="a4"/>
    <w:uiPriority w:val="99"/>
    <w:semiHidden/>
    <w:locked/>
    <w:rsid w:val="00A840A2"/>
    <w:rPr>
      <w:rFonts w:cs="Times New Roman"/>
    </w:rPr>
  </w:style>
  <w:style w:type="character" w:styleId="a5">
    <w:name w:val="Hyperlink"/>
    <w:uiPriority w:val="99"/>
    <w:rsid w:val="00A43690"/>
    <w:rPr>
      <w:rFonts w:cs="Times New Roman"/>
      <w:color w:val="0000FF"/>
      <w:u w:val="single"/>
    </w:rPr>
  </w:style>
  <w:style w:type="character" w:customStyle="1" w:styleId="volume">
    <w:name w:val="volume"/>
    <w:uiPriority w:val="99"/>
    <w:rsid w:val="004C251B"/>
    <w:rPr>
      <w:rFonts w:cs="Times New Roman"/>
    </w:rPr>
  </w:style>
  <w:style w:type="character" w:customStyle="1" w:styleId="pages">
    <w:name w:val="pages"/>
    <w:uiPriority w:val="99"/>
    <w:rsid w:val="004C251B"/>
    <w:rPr>
      <w:rFonts w:cs="Times New Roman"/>
    </w:rPr>
  </w:style>
  <w:style w:type="character" w:customStyle="1" w:styleId="jrnl">
    <w:name w:val="jrnl"/>
    <w:uiPriority w:val="99"/>
    <w:rsid w:val="002924ED"/>
    <w:rPr>
      <w:rFonts w:cs="Times New Roman"/>
    </w:rPr>
  </w:style>
  <w:style w:type="character" w:styleId="a6">
    <w:name w:val="page number"/>
    <w:uiPriority w:val="99"/>
    <w:rsid w:val="00936B4B"/>
    <w:rPr>
      <w:rFonts w:cs="Times New Roman"/>
    </w:rPr>
  </w:style>
  <w:style w:type="paragraph" w:styleId="a7">
    <w:name w:val="Balloon Text"/>
    <w:basedOn w:val="a"/>
    <w:link w:val="Char1"/>
    <w:uiPriority w:val="99"/>
    <w:semiHidden/>
    <w:rsid w:val="00FE1E1E"/>
    <w:rPr>
      <w:rFonts w:ascii="Times New Roman" w:hAnsi="Times New Roman"/>
      <w:sz w:val="2"/>
      <w:szCs w:val="20"/>
    </w:rPr>
  </w:style>
  <w:style w:type="character" w:customStyle="1" w:styleId="Char1">
    <w:name w:val="批注框文本 Char"/>
    <w:link w:val="a7"/>
    <w:uiPriority w:val="99"/>
    <w:semiHidden/>
    <w:locked/>
    <w:rsid w:val="009A59B7"/>
    <w:rPr>
      <w:rFonts w:ascii="Times New Roman" w:hAnsi="Times New Roman" w:cs="Times New Roman"/>
      <w:sz w:val="2"/>
      <w:lang w:eastAsia="en-US"/>
    </w:rPr>
  </w:style>
  <w:style w:type="character" w:styleId="a8">
    <w:name w:val="annotation reference"/>
    <w:rsid w:val="00FE1E1E"/>
    <w:rPr>
      <w:rFonts w:cs="Times New Roman"/>
      <w:sz w:val="16"/>
      <w:szCs w:val="16"/>
    </w:rPr>
  </w:style>
  <w:style w:type="paragraph" w:styleId="a9">
    <w:name w:val="annotation text"/>
    <w:basedOn w:val="a"/>
    <w:link w:val="Char2"/>
    <w:rsid w:val="00FE1E1E"/>
    <w:rPr>
      <w:sz w:val="20"/>
      <w:szCs w:val="20"/>
    </w:rPr>
  </w:style>
  <w:style w:type="character" w:customStyle="1" w:styleId="Char2">
    <w:name w:val="批注文字 Char"/>
    <w:link w:val="a9"/>
    <w:locked/>
    <w:rsid w:val="009A59B7"/>
    <w:rPr>
      <w:rFonts w:cs="Times New Roman"/>
      <w:sz w:val="20"/>
      <w:szCs w:val="20"/>
      <w:lang w:eastAsia="en-US"/>
    </w:rPr>
  </w:style>
  <w:style w:type="paragraph" w:styleId="aa">
    <w:name w:val="annotation subject"/>
    <w:basedOn w:val="a9"/>
    <w:next w:val="a9"/>
    <w:link w:val="Char3"/>
    <w:uiPriority w:val="99"/>
    <w:semiHidden/>
    <w:rsid w:val="00FE1E1E"/>
    <w:rPr>
      <w:b/>
      <w:bCs/>
    </w:rPr>
  </w:style>
  <w:style w:type="character" w:customStyle="1" w:styleId="Char3">
    <w:name w:val="批注主题 Char"/>
    <w:link w:val="aa"/>
    <w:uiPriority w:val="99"/>
    <w:semiHidden/>
    <w:locked/>
    <w:rsid w:val="009A59B7"/>
    <w:rPr>
      <w:rFonts w:cs="Times New Roman"/>
      <w:b/>
      <w:bCs/>
      <w:sz w:val="20"/>
      <w:szCs w:val="20"/>
      <w:lang w:eastAsia="en-US"/>
    </w:rPr>
  </w:style>
  <w:style w:type="character" w:customStyle="1" w:styleId="highlight">
    <w:name w:val="highlight"/>
    <w:basedOn w:val="a0"/>
    <w:rsid w:val="008D4D9A"/>
  </w:style>
  <w:style w:type="paragraph" w:customStyle="1" w:styleId="p0">
    <w:name w:val="p0"/>
    <w:basedOn w:val="a"/>
    <w:rsid w:val="002D2380"/>
    <w:pPr>
      <w:spacing w:after="0" w:line="240" w:lineRule="atLeast"/>
    </w:pPr>
    <w:rPr>
      <w:rFonts w:ascii="Century" w:hAnsi="Century" w:cs="宋体"/>
      <w:sz w:val="21"/>
      <w:szCs w:val="21"/>
      <w:lang w:val="en-US" w:eastAsia="zh-CN"/>
    </w:rPr>
  </w:style>
  <w:style w:type="character" w:styleId="ab">
    <w:name w:val="Strong"/>
    <w:qFormat/>
    <w:locked/>
    <w:rsid w:val="002D2380"/>
    <w:rPr>
      <w:b/>
      <w:bCs/>
    </w:rPr>
  </w:style>
  <w:style w:type="paragraph" w:styleId="ac">
    <w:name w:val="List Paragraph"/>
    <w:basedOn w:val="a"/>
    <w:uiPriority w:val="34"/>
    <w:qFormat/>
    <w:rsid w:val="002D2380"/>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 w:type="character" w:customStyle="1" w:styleId="highlight2">
    <w:name w:val="highlight2"/>
    <w:basedOn w:val="a0"/>
    <w:rsid w:val="0002361F"/>
  </w:style>
  <w:style w:type="paragraph" w:customStyle="1" w:styleId="paragraphscx98479858">
    <w:name w:val="paragraph scx98479858"/>
    <w:basedOn w:val="a"/>
    <w:rsid w:val="0043192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scx98479858">
    <w:name w:val="normaltextrun scx98479858"/>
    <w:basedOn w:val="a0"/>
    <w:rsid w:val="0043192C"/>
  </w:style>
  <w:style w:type="character" w:customStyle="1" w:styleId="eopscx98479858">
    <w:name w:val="eop scx98479858"/>
    <w:basedOn w:val="a0"/>
    <w:rsid w:val="0043192C"/>
  </w:style>
  <w:style w:type="character" w:customStyle="1" w:styleId="spellingerrorscx98479858">
    <w:name w:val="spellingerror scx98479858"/>
    <w:basedOn w:val="a0"/>
    <w:rsid w:val="0043192C"/>
  </w:style>
  <w:style w:type="character" w:customStyle="1" w:styleId="pagebreaktextspanscx98479858">
    <w:name w:val="pagebreaktextspan scx98479858"/>
    <w:basedOn w:val="a0"/>
    <w:rsid w:val="0043192C"/>
  </w:style>
  <w:style w:type="character" w:customStyle="1" w:styleId="scx98479858">
    <w:name w:val="scx98479858"/>
    <w:basedOn w:val="a0"/>
    <w:rsid w:val="004319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29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A840A2"/>
    <w:pPr>
      <w:tabs>
        <w:tab w:val="center" w:pos="4680"/>
        <w:tab w:val="right" w:pos="9360"/>
      </w:tabs>
      <w:spacing w:after="0" w:line="240" w:lineRule="auto"/>
    </w:pPr>
    <w:rPr>
      <w:sz w:val="20"/>
      <w:szCs w:val="20"/>
    </w:rPr>
  </w:style>
  <w:style w:type="character" w:customStyle="1" w:styleId="Char">
    <w:name w:val="页眉 Char"/>
    <w:link w:val="a3"/>
    <w:uiPriority w:val="99"/>
    <w:semiHidden/>
    <w:locked/>
    <w:rsid w:val="00A840A2"/>
    <w:rPr>
      <w:rFonts w:cs="Times New Roman"/>
    </w:rPr>
  </w:style>
  <w:style w:type="paragraph" w:styleId="a4">
    <w:name w:val="footer"/>
    <w:basedOn w:val="a"/>
    <w:link w:val="Char0"/>
    <w:uiPriority w:val="99"/>
    <w:semiHidden/>
    <w:rsid w:val="00A840A2"/>
    <w:pPr>
      <w:tabs>
        <w:tab w:val="center" w:pos="4680"/>
        <w:tab w:val="right" w:pos="9360"/>
      </w:tabs>
      <w:spacing w:after="0" w:line="240" w:lineRule="auto"/>
    </w:pPr>
    <w:rPr>
      <w:sz w:val="20"/>
      <w:szCs w:val="20"/>
    </w:rPr>
  </w:style>
  <w:style w:type="character" w:customStyle="1" w:styleId="Char0">
    <w:name w:val="页脚 Char"/>
    <w:link w:val="a4"/>
    <w:uiPriority w:val="99"/>
    <w:semiHidden/>
    <w:locked/>
    <w:rsid w:val="00A840A2"/>
    <w:rPr>
      <w:rFonts w:cs="Times New Roman"/>
    </w:rPr>
  </w:style>
  <w:style w:type="character" w:styleId="a5">
    <w:name w:val="Hyperlink"/>
    <w:uiPriority w:val="99"/>
    <w:rsid w:val="00A43690"/>
    <w:rPr>
      <w:rFonts w:cs="Times New Roman"/>
      <w:color w:val="0000FF"/>
      <w:u w:val="single"/>
    </w:rPr>
  </w:style>
  <w:style w:type="character" w:customStyle="1" w:styleId="volume">
    <w:name w:val="volume"/>
    <w:uiPriority w:val="99"/>
    <w:rsid w:val="004C251B"/>
    <w:rPr>
      <w:rFonts w:cs="Times New Roman"/>
    </w:rPr>
  </w:style>
  <w:style w:type="character" w:customStyle="1" w:styleId="pages">
    <w:name w:val="pages"/>
    <w:uiPriority w:val="99"/>
    <w:rsid w:val="004C251B"/>
    <w:rPr>
      <w:rFonts w:cs="Times New Roman"/>
    </w:rPr>
  </w:style>
  <w:style w:type="character" w:customStyle="1" w:styleId="jrnl">
    <w:name w:val="jrnl"/>
    <w:uiPriority w:val="99"/>
    <w:rsid w:val="002924ED"/>
    <w:rPr>
      <w:rFonts w:cs="Times New Roman"/>
    </w:rPr>
  </w:style>
  <w:style w:type="character" w:styleId="a6">
    <w:name w:val="page number"/>
    <w:uiPriority w:val="99"/>
    <w:rsid w:val="00936B4B"/>
    <w:rPr>
      <w:rFonts w:cs="Times New Roman"/>
    </w:rPr>
  </w:style>
  <w:style w:type="paragraph" w:styleId="a7">
    <w:name w:val="Balloon Text"/>
    <w:basedOn w:val="a"/>
    <w:link w:val="Char1"/>
    <w:uiPriority w:val="99"/>
    <w:semiHidden/>
    <w:rsid w:val="00FE1E1E"/>
    <w:rPr>
      <w:rFonts w:ascii="Times New Roman" w:hAnsi="Times New Roman"/>
      <w:sz w:val="2"/>
      <w:szCs w:val="20"/>
    </w:rPr>
  </w:style>
  <w:style w:type="character" w:customStyle="1" w:styleId="Char1">
    <w:name w:val="批注框文本 Char"/>
    <w:link w:val="a7"/>
    <w:uiPriority w:val="99"/>
    <w:semiHidden/>
    <w:locked/>
    <w:rsid w:val="009A59B7"/>
    <w:rPr>
      <w:rFonts w:ascii="Times New Roman" w:hAnsi="Times New Roman" w:cs="Times New Roman"/>
      <w:sz w:val="2"/>
      <w:lang w:eastAsia="en-US"/>
    </w:rPr>
  </w:style>
  <w:style w:type="character" w:styleId="a8">
    <w:name w:val="annotation reference"/>
    <w:rsid w:val="00FE1E1E"/>
    <w:rPr>
      <w:rFonts w:cs="Times New Roman"/>
      <w:sz w:val="16"/>
      <w:szCs w:val="16"/>
    </w:rPr>
  </w:style>
  <w:style w:type="paragraph" w:styleId="a9">
    <w:name w:val="annotation text"/>
    <w:basedOn w:val="a"/>
    <w:link w:val="Char2"/>
    <w:rsid w:val="00FE1E1E"/>
    <w:rPr>
      <w:sz w:val="20"/>
      <w:szCs w:val="20"/>
    </w:rPr>
  </w:style>
  <w:style w:type="character" w:customStyle="1" w:styleId="Char2">
    <w:name w:val="批注文字 Char"/>
    <w:link w:val="a9"/>
    <w:locked/>
    <w:rsid w:val="009A59B7"/>
    <w:rPr>
      <w:rFonts w:cs="Times New Roman"/>
      <w:sz w:val="20"/>
      <w:szCs w:val="20"/>
      <w:lang w:eastAsia="en-US"/>
    </w:rPr>
  </w:style>
  <w:style w:type="paragraph" w:styleId="aa">
    <w:name w:val="annotation subject"/>
    <w:basedOn w:val="a9"/>
    <w:next w:val="a9"/>
    <w:link w:val="Char3"/>
    <w:uiPriority w:val="99"/>
    <w:semiHidden/>
    <w:rsid w:val="00FE1E1E"/>
    <w:rPr>
      <w:b/>
      <w:bCs/>
    </w:rPr>
  </w:style>
  <w:style w:type="character" w:customStyle="1" w:styleId="Char3">
    <w:name w:val="批注主题 Char"/>
    <w:link w:val="aa"/>
    <w:uiPriority w:val="99"/>
    <w:semiHidden/>
    <w:locked/>
    <w:rsid w:val="009A59B7"/>
    <w:rPr>
      <w:rFonts w:cs="Times New Roman"/>
      <w:b/>
      <w:bCs/>
      <w:sz w:val="20"/>
      <w:szCs w:val="20"/>
      <w:lang w:eastAsia="en-US"/>
    </w:rPr>
  </w:style>
  <w:style w:type="character" w:customStyle="1" w:styleId="highlight">
    <w:name w:val="highlight"/>
    <w:basedOn w:val="a0"/>
    <w:rsid w:val="008D4D9A"/>
  </w:style>
  <w:style w:type="paragraph" w:customStyle="1" w:styleId="p0">
    <w:name w:val="p0"/>
    <w:basedOn w:val="a"/>
    <w:rsid w:val="002D2380"/>
    <w:pPr>
      <w:spacing w:after="0" w:line="240" w:lineRule="atLeast"/>
    </w:pPr>
    <w:rPr>
      <w:rFonts w:ascii="Century" w:hAnsi="Century" w:cs="宋体"/>
      <w:sz w:val="21"/>
      <w:szCs w:val="21"/>
      <w:lang w:val="en-US" w:eastAsia="zh-CN"/>
    </w:rPr>
  </w:style>
  <w:style w:type="character" w:styleId="ab">
    <w:name w:val="Strong"/>
    <w:qFormat/>
    <w:locked/>
    <w:rsid w:val="002D2380"/>
    <w:rPr>
      <w:b/>
      <w:bCs/>
    </w:rPr>
  </w:style>
  <w:style w:type="paragraph" w:styleId="ac">
    <w:name w:val="List Paragraph"/>
    <w:basedOn w:val="a"/>
    <w:uiPriority w:val="34"/>
    <w:qFormat/>
    <w:rsid w:val="002D2380"/>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 w:type="character" w:customStyle="1" w:styleId="highlight2">
    <w:name w:val="highlight2"/>
    <w:basedOn w:val="a0"/>
    <w:rsid w:val="0002361F"/>
  </w:style>
  <w:style w:type="paragraph" w:customStyle="1" w:styleId="paragraphscx98479858">
    <w:name w:val="paragraph scx98479858"/>
    <w:basedOn w:val="a"/>
    <w:rsid w:val="0043192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scx98479858">
    <w:name w:val="normaltextrun scx98479858"/>
    <w:basedOn w:val="a0"/>
    <w:rsid w:val="0043192C"/>
  </w:style>
  <w:style w:type="character" w:customStyle="1" w:styleId="eopscx98479858">
    <w:name w:val="eop scx98479858"/>
    <w:basedOn w:val="a0"/>
    <w:rsid w:val="0043192C"/>
  </w:style>
  <w:style w:type="character" w:customStyle="1" w:styleId="spellingerrorscx98479858">
    <w:name w:val="spellingerror scx98479858"/>
    <w:basedOn w:val="a0"/>
    <w:rsid w:val="0043192C"/>
  </w:style>
  <w:style w:type="character" w:customStyle="1" w:styleId="pagebreaktextspanscx98479858">
    <w:name w:val="pagebreaktextspan scx98479858"/>
    <w:basedOn w:val="a0"/>
    <w:rsid w:val="0043192C"/>
  </w:style>
  <w:style w:type="character" w:customStyle="1" w:styleId="scx98479858">
    <w:name w:val="scx98479858"/>
    <w:basedOn w:val="a0"/>
    <w:rsid w:val="00431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16333">
      <w:bodyDiv w:val="1"/>
      <w:marLeft w:val="0"/>
      <w:marRight w:val="0"/>
      <w:marTop w:val="0"/>
      <w:marBottom w:val="0"/>
      <w:divBdr>
        <w:top w:val="none" w:sz="0" w:space="0" w:color="auto"/>
        <w:left w:val="none" w:sz="0" w:space="0" w:color="auto"/>
        <w:bottom w:val="none" w:sz="0" w:space="0" w:color="auto"/>
        <w:right w:val="none" w:sz="0" w:space="0" w:color="auto"/>
      </w:divBdr>
      <w:divsChild>
        <w:div w:id="1652170024">
          <w:marLeft w:val="0"/>
          <w:marRight w:val="1"/>
          <w:marTop w:val="0"/>
          <w:marBottom w:val="0"/>
          <w:divBdr>
            <w:top w:val="none" w:sz="0" w:space="0" w:color="auto"/>
            <w:left w:val="none" w:sz="0" w:space="0" w:color="auto"/>
            <w:bottom w:val="none" w:sz="0" w:space="0" w:color="auto"/>
            <w:right w:val="none" w:sz="0" w:space="0" w:color="auto"/>
          </w:divBdr>
          <w:divsChild>
            <w:div w:id="745424233">
              <w:marLeft w:val="0"/>
              <w:marRight w:val="0"/>
              <w:marTop w:val="0"/>
              <w:marBottom w:val="0"/>
              <w:divBdr>
                <w:top w:val="none" w:sz="0" w:space="0" w:color="auto"/>
                <w:left w:val="none" w:sz="0" w:space="0" w:color="auto"/>
                <w:bottom w:val="none" w:sz="0" w:space="0" w:color="auto"/>
                <w:right w:val="none" w:sz="0" w:space="0" w:color="auto"/>
              </w:divBdr>
              <w:divsChild>
                <w:div w:id="485125642">
                  <w:marLeft w:val="0"/>
                  <w:marRight w:val="1"/>
                  <w:marTop w:val="0"/>
                  <w:marBottom w:val="0"/>
                  <w:divBdr>
                    <w:top w:val="none" w:sz="0" w:space="0" w:color="auto"/>
                    <w:left w:val="none" w:sz="0" w:space="0" w:color="auto"/>
                    <w:bottom w:val="none" w:sz="0" w:space="0" w:color="auto"/>
                    <w:right w:val="none" w:sz="0" w:space="0" w:color="auto"/>
                  </w:divBdr>
                  <w:divsChild>
                    <w:div w:id="1966422548">
                      <w:marLeft w:val="0"/>
                      <w:marRight w:val="0"/>
                      <w:marTop w:val="0"/>
                      <w:marBottom w:val="0"/>
                      <w:divBdr>
                        <w:top w:val="none" w:sz="0" w:space="0" w:color="auto"/>
                        <w:left w:val="none" w:sz="0" w:space="0" w:color="auto"/>
                        <w:bottom w:val="none" w:sz="0" w:space="0" w:color="auto"/>
                        <w:right w:val="none" w:sz="0" w:space="0" w:color="auto"/>
                      </w:divBdr>
                      <w:divsChild>
                        <w:div w:id="1087848342">
                          <w:marLeft w:val="0"/>
                          <w:marRight w:val="0"/>
                          <w:marTop w:val="0"/>
                          <w:marBottom w:val="0"/>
                          <w:divBdr>
                            <w:top w:val="none" w:sz="0" w:space="0" w:color="auto"/>
                            <w:left w:val="none" w:sz="0" w:space="0" w:color="auto"/>
                            <w:bottom w:val="none" w:sz="0" w:space="0" w:color="auto"/>
                            <w:right w:val="none" w:sz="0" w:space="0" w:color="auto"/>
                          </w:divBdr>
                          <w:divsChild>
                            <w:div w:id="305740716">
                              <w:marLeft w:val="0"/>
                              <w:marRight w:val="0"/>
                              <w:marTop w:val="120"/>
                              <w:marBottom w:val="360"/>
                              <w:divBdr>
                                <w:top w:val="none" w:sz="0" w:space="0" w:color="auto"/>
                                <w:left w:val="none" w:sz="0" w:space="0" w:color="auto"/>
                                <w:bottom w:val="none" w:sz="0" w:space="0" w:color="auto"/>
                                <w:right w:val="none" w:sz="0" w:space="0" w:color="auto"/>
                              </w:divBdr>
                              <w:divsChild>
                                <w:div w:id="75827895">
                                  <w:marLeft w:val="0"/>
                                  <w:marRight w:val="0"/>
                                  <w:marTop w:val="0"/>
                                  <w:marBottom w:val="0"/>
                                  <w:divBdr>
                                    <w:top w:val="none" w:sz="0" w:space="0" w:color="auto"/>
                                    <w:left w:val="none" w:sz="0" w:space="0" w:color="auto"/>
                                    <w:bottom w:val="none" w:sz="0" w:space="0" w:color="auto"/>
                                    <w:right w:val="none" w:sz="0" w:space="0" w:color="auto"/>
                                  </w:divBdr>
                                  <w:divsChild>
                                    <w:div w:id="204239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13369">
      <w:bodyDiv w:val="1"/>
      <w:marLeft w:val="0"/>
      <w:marRight w:val="0"/>
      <w:marTop w:val="0"/>
      <w:marBottom w:val="0"/>
      <w:divBdr>
        <w:top w:val="none" w:sz="0" w:space="0" w:color="auto"/>
        <w:left w:val="none" w:sz="0" w:space="0" w:color="auto"/>
        <w:bottom w:val="none" w:sz="0" w:space="0" w:color="auto"/>
        <w:right w:val="none" w:sz="0" w:space="0" w:color="auto"/>
      </w:divBdr>
      <w:divsChild>
        <w:div w:id="1211769238">
          <w:marLeft w:val="0"/>
          <w:marRight w:val="1"/>
          <w:marTop w:val="0"/>
          <w:marBottom w:val="0"/>
          <w:divBdr>
            <w:top w:val="none" w:sz="0" w:space="0" w:color="auto"/>
            <w:left w:val="none" w:sz="0" w:space="0" w:color="auto"/>
            <w:bottom w:val="none" w:sz="0" w:space="0" w:color="auto"/>
            <w:right w:val="none" w:sz="0" w:space="0" w:color="auto"/>
          </w:divBdr>
          <w:divsChild>
            <w:div w:id="169874165">
              <w:marLeft w:val="0"/>
              <w:marRight w:val="0"/>
              <w:marTop w:val="0"/>
              <w:marBottom w:val="0"/>
              <w:divBdr>
                <w:top w:val="none" w:sz="0" w:space="0" w:color="auto"/>
                <w:left w:val="none" w:sz="0" w:space="0" w:color="auto"/>
                <w:bottom w:val="none" w:sz="0" w:space="0" w:color="auto"/>
                <w:right w:val="none" w:sz="0" w:space="0" w:color="auto"/>
              </w:divBdr>
              <w:divsChild>
                <w:div w:id="583422148">
                  <w:marLeft w:val="0"/>
                  <w:marRight w:val="1"/>
                  <w:marTop w:val="0"/>
                  <w:marBottom w:val="0"/>
                  <w:divBdr>
                    <w:top w:val="none" w:sz="0" w:space="0" w:color="auto"/>
                    <w:left w:val="none" w:sz="0" w:space="0" w:color="auto"/>
                    <w:bottom w:val="none" w:sz="0" w:space="0" w:color="auto"/>
                    <w:right w:val="none" w:sz="0" w:space="0" w:color="auto"/>
                  </w:divBdr>
                  <w:divsChild>
                    <w:div w:id="728304602">
                      <w:marLeft w:val="0"/>
                      <w:marRight w:val="0"/>
                      <w:marTop w:val="0"/>
                      <w:marBottom w:val="0"/>
                      <w:divBdr>
                        <w:top w:val="none" w:sz="0" w:space="0" w:color="auto"/>
                        <w:left w:val="none" w:sz="0" w:space="0" w:color="auto"/>
                        <w:bottom w:val="none" w:sz="0" w:space="0" w:color="auto"/>
                        <w:right w:val="none" w:sz="0" w:space="0" w:color="auto"/>
                      </w:divBdr>
                      <w:divsChild>
                        <w:div w:id="297810048">
                          <w:marLeft w:val="0"/>
                          <w:marRight w:val="0"/>
                          <w:marTop w:val="0"/>
                          <w:marBottom w:val="0"/>
                          <w:divBdr>
                            <w:top w:val="none" w:sz="0" w:space="0" w:color="auto"/>
                            <w:left w:val="none" w:sz="0" w:space="0" w:color="auto"/>
                            <w:bottom w:val="none" w:sz="0" w:space="0" w:color="auto"/>
                            <w:right w:val="none" w:sz="0" w:space="0" w:color="auto"/>
                          </w:divBdr>
                          <w:divsChild>
                            <w:div w:id="847404459">
                              <w:marLeft w:val="0"/>
                              <w:marRight w:val="0"/>
                              <w:marTop w:val="120"/>
                              <w:marBottom w:val="360"/>
                              <w:divBdr>
                                <w:top w:val="none" w:sz="0" w:space="0" w:color="auto"/>
                                <w:left w:val="none" w:sz="0" w:space="0" w:color="auto"/>
                                <w:bottom w:val="none" w:sz="0" w:space="0" w:color="auto"/>
                                <w:right w:val="none" w:sz="0" w:space="0" w:color="auto"/>
                              </w:divBdr>
                              <w:divsChild>
                                <w:div w:id="806778983">
                                  <w:marLeft w:val="0"/>
                                  <w:marRight w:val="0"/>
                                  <w:marTop w:val="0"/>
                                  <w:marBottom w:val="0"/>
                                  <w:divBdr>
                                    <w:top w:val="none" w:sz="0" w:space="0" w:color="auto"/>
                                    <w:left w:val="none" w:sz="0" w:space="0" w:color="auto"/>
                                    <w:bottom w:val="none" w:sz="0" w:space="0" w:color="auto"/>
                                    <w:right w:val="none" w:sz="0" w:space="0" w:color="auto"/>
                                  </w:divBdr>
                                  <w:divsChild>
                                    <w:div w:id="6895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827797">
      <w:bodyDiv w:val="1"/>
      <w:marLeft w:val="0"/>
      <w:marRight w:val="0"/>
      <w:marTop w:val="0"/>
      <w:marBottom w:val="0"/>
      <w:divBdr>
        <w:top w:val="none" w:sz="0" w:space="0" w:color="auto"/>
        <w:left w:val="none" w:sz="0" w:space="0" w:color="auto"/>
        <w:bottom w:val="none" w:sz="0" w:space="0" w:color="auto"/>
        <w:right w:val="none" w:sz="0" w:space="0" w:color="auto"/>
      </w:divBdr>
      <w:divsChild>
        <w:div w:id="2040814556">
          <w:marLeft w:val="0"/>
          <w:marRight w:val="0"/>
          <w:marTop w:val="0"/>
          <w:marBottom w:val="0"/>
          <w:divBdr>
            <w:top w:val="none" w:sz="0" w:space="0" w:color="auto"/>
            <w:left w:val="none" w:sz="0" w:space="0" w:color="auto"/>
            <w:bottom w:val="none" w:sz="0" w:space="0" w:color="auto"/>
            <w:right w:val="none" w:sz="0" w:space="0" w:color="auto"/>
          </w:divBdr>
          <w:divsChild>
            <w:div w:id="1696882354">
              <w:marLeft w:val="0"/>
              <w:marRight w:val="0"/>
              <w:marTop w:val="0"/>
              <w:marBottom w:val="0"/>
              <w:divBdr>
                <w:top w:val="none" w:sz="0" w:space="0" w:color="auto"/>
                <w:left w:val="none" w:sz="0" w:space="0" w:color="auto"/>
                <w:bottom w:val="none" w:sz="0" w:space="0" w:color="auto"/>
                <w:right w:val="none" w:sz="0" w:space="0" w:color="auto"/>
              </w:divBdr>
              <w:divsChild>
                <w:div w:id="552888950">
                  <w:marLeft w:val="0"/>
                  <w:marRight w:val="0"/>
                  <w:marTop w:val="0"/>
                  <w:marBottom w:val="0"/>
                  <w:divBdr>
                    <w:top w:val="none" w:sz="0" w:space="0" w:color="auto"/>
                    <w:left w:val="none" w:sz="0" w:space="0" w:color="auto"/>
                    <w:bottom w:val="none" w:sz="0" w:space="0" w:color="auto"/>
                    <w:right w:val="none" w:sz="0" w:space="0" w:color="auto"/>
                  </w:divBdr>
                  <w:divsChild>
                    <w:div w:id="284624260">
                      <w:marLeft w:val="0"/>
                      <w:marRight w:val="0"/>
                      <w:marTop w:val="0"/>
                      <w:marBottom w:val="0"/>
                      <w:divBdr>
                        <w:top w:val="none" w:sz="0" w:space="0" w:color="auto"/>
                        <w:left w:val="none" w:sz="0" w:space="0" w:color="auto"/>
                        <w:bottom w:val="none" w:sz="0" w:space="0" w:color="auto"/>
                        <w:right w:val="none" w:sz="0" w:space="0" w:color="auto"/>
                      </w:divBdr>
                      <w:divsChild>
                        <w:div w:id="1209296009">
                          <w:marLeft w:val="0"/>
                          <w:marRight w:val="0"/>
                          <w:marTop w:val="0"/>
                          <w:marBottom w:val="0"/>
                          <w:divBdr>
                            <w:top w:val="none" w:sz="0" w:space="0" w:color="auto"/>
                            <w:left w:val="none" w:sz="0" w:space="0" w:color="auto"/>
                            <w:bottom w:val="none" w:sz="0" w:space="0" w:color="auto"/>
                            <w:right w:val="none" w:sz="0" w:space="0" w:color="auto"/>
                          </w:divBdr>
                          <w:divsChild>
                            <w:div w:id="310910022">
                              <w:marLeft w:val="0"/>
                              <w:marRight w:val="0"/>
                              <w:marTop w:val="0"/>
                              <w:marBottom w:val="0"/>
                              <w:divBdr>
                                <w:top w:val="none" w:sz="0" w:space="0" w:color="auto"/>
                                <w:left w:val="none" w:sz="0" w:space="0" w:color="auto"/>
                                <w:bottom w:val="none" w:sz="0" w:space="0" w:color="auto"/>
                                <w:right w:val="none" w:sz="0" w:space="0" w:color="auto"/>
                              </w:divBdr>
                              <w:divsChild>
                                <w:div w:id="1006905958">
                                  <w:marLeft w:val="0"/>
                                  <w:marRight w:val="0"/>
                                  <w:marTop w:val="0"/>
                                  <w:marBottom w:val="0"/>
                                  <w:divBdr>
                                    <w:top w:val="none" w:sz="0" w:space="0" w:color="auto"/>
                                    <w:left w:val="none" w:sz="0" w:space="0" w:color="auto"/>
                                    <w:bottom w:val="none" w:sz="0" w:space="0" w:color="auto"/>
                                    <w:right w:val="none" w:sz="0" w:space="0" w:color="auto"/>
                                  </w:divBdr>
                                  <w:divsChild>
                                    <w:div w:id="1566063406">
                                      <w:marLeft w:val="0"/>
                                      <w:marRight w:val="0"/>
                                      <w:marTop w:val="0"/>
                                      <w:marBottom w:val="0"/>
                                      <w:divBdr>
                                        <w:top w:val="none" w:sz="0" w:space="0" w:color="auto"/>
                                        <w:left w:val="none" w:sz="0" w:space="0" w:color="auto"/>
                                        <w:bottom w:val="none" w:sz="0" w:space="0" w:color="auto"/>
                                        <w:right w:val="none" w:sz="0" w:space="0" w:color="auto"/>
                                      </w:divBdr>
                                    </w:div>
                                    <w:div w:id="17076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416340">
      <w:bodyDiv w:val="1"/>
      <w:marLeft w:val="0"/>
      <w:marRight w:val="0"/>
      <w:marTop w:val="0"/>
      <w:marBottom w:val="0"/>
      <w:divBdr>
        <w:top w:val="none" w:sz="0" w:space="0" w:color="auto"/>
        <w:left w:val="none" w:sz="0" w:space="0" w:color="auto"/>
        <w:bottom w:val="none" w:sz="0" w:space="0" w:color="auto"/>
        <w:right w:val="none" w:sz="0" w:space="0" w:color="auto"/>
      </w:divBdr>
      <w:divsChild>
        <w:div w:id="338894761">
          <w:marLeft w:val="0"/>
          <w:marRight w:val="1"/>
          <w:marTop w:val="0"/>
          <w:marBottom w:val="0"/>
          <w:divBdr>
            <w:top w:val="none" w:sz="0" w:space="0" w:color="auto"/>
            <w:left w:val="none" w:sz="0" w:space="0" w:color="auto"/>
            <w:bottom w:val="none" w:sz="0" w:space="0" w:color="auto"/>
            <w:right w:val="none" w:sz="0" w:space="0" w:color="auto"/>
          </w:divBdr>
          <w:divsChild>
            <w:div w:id="422071712">
              <w:marLeft w:val="0"/>
              <w:marRight w:val="0"/>
              <w:marTop w:val="0"/>
              <w:marBottom w:val="0"/>
              <w:divBdr>
                <w:top w:val="none" w:sz="0" w:space="0" w:color="auto"/>
                <w:left w:val="none" w:sz="0" w:space="0" w:color="auto"/>
                <w:bottom w:val="none" w:sz="0" w:space="0" w:color="auto"/>
                <w:right w:val="none" w:sz="0" w:space="0" w:color="auto"/>
              </w:divBdr>
              <w:divsChild>
                <w:div w:id="624627113">
                  <w:marLeft w:val="0"/>
                  <w:marRight w:val="1"/>
                  <w:marTop w:val="0"/>
                  <w:marBottom w:val="0"/>
                  <w:divBdr>
                    <w:top w:val="none" w:sz="0" w:space="0" w:color="auto"/>
                    <w:left w:val="none" w:sz="0" w:space="0" w:color="auto"/>
                    <w:bottom w:val="none" w:sz="0" w:space="0" w:color="auto"/>
                    <w:right w:val="none" w:sz="0" w:space="0" w:color="auto"/>
                  </w:divBdr>
                  <w:divsChild>
                    <w:div w:id="1775246716">
                      <w:marLeft w:val="0"/>
                      <w:marRight w:val="0"/>
                      <w:marTop w:val="0"/>
                      <w:marBottom w:val="0"/>
                      <w:divBdr>
                        <w:top w:val="none" w:sz="0" w:space="0" w:color="auto"/>
                        <w:left w:val="none" w:sz="0" w:space="0" w:color="auto"/>
                        <w:bottom w:val="none" w:sz="0" w:space="0" w:color="auto"/>
                        <w:right w:val="none" w:sz="0" w:space="0" w:color="auto"/>
                      </w:divBdr>
                      <w:divsChild>
                        <w:div w:id="142433856">
                          <w:marLeft w:val="0"/>
                          <w:marRight w:val="0"/>
                          <w:marTop w:val="0"/>
                          <w:marBottom w:val="0"/>
                          <w:divBdr>
                            <w:top w:val="none" w:sz="0" w:space="0" w:color="auto"/>
                            <w:left w:val="none" w:sz="0" w:space="0" w:color="auto"/>
                            <w:bottom w:val="none" w:sz="0" w:space="0" w:color="auto"/>
                            <w:right w:val="none" w:sz="0" w:space="0" w:color="auto"/>
                          </w:divBdr>
                          <w:divsChild>
                            <w:div w:id="1749307651">
                              <w:marLeft w:val="0"/>
                              <w:marRight w:val="0"/>
                              <w:marTop w:val="120"/>
                              <w:marBottom w:val="360"/>
                              <w:divBdr>
                                <w:top w:val="none" w:sz="0" w:space="0" w:color="auto"/>
                                <w:left w:val="none" w:sz="0" w:space="0" w:color="auto"/>
                                <w:bottom w:val="none" w:sz="0" w:space="0" w:color="auto"/>
                                <w:right w:val="none" w:sz="0" w:space="0" w:color="auto"/>
                              </w:divBdr>
                              <w:divsChild>
                                <w:div w:id="808282285">
                                  <w:marLeft w:val="0"/>
                                  <w:marRight w:val="0"/>
                                  <w:marTop w:val="0"/>
                                  <w:marBottom w:val="0"/>
                                  <w:divBdr>
                                    <w:top w:val="none" w:sz="0" w:space="0" w:color="auto"/>
                                    <w:left w:val="none" w:sz="0" w:space="0" w:color="auto"/>
                                    <w:bottom w:val="none" w:sz="0" w:space="0" w:color="auto"/>
                                    <w:right w:val="none" w:sz="0" w:space="0" w:color="auto"/>
                                  </w:divBdr>
                                  <w:divsChild>
                                    <w:div w:id="18982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369656">
      <w:bodyDiv w:val="1"/>
      <w:marLeft w:val="0"/>
      <w:marRight w:val="0"/>
      <w:marTop w:val="0"/>
      <w:marBottom w:val="0"/>
      <w:divBdr>
        <w:top w:val="none" w:sz="0" w:space="0" w:color="auto"/>
        <w:left w:val="none" w:sz="0" w:space="0" w:color="auto"/>
        <w:bottom w:val="none" w:sz="0" w:space="0" w:color="auto"/>
        <w:right w:val="none" w:sz="0" w:space="0" w:color="auto"/>
      </w:divBdr>
      <w:divsChild>
        <w:div w:id="2022275005">
          <w:marLeft w:val="0"/>
          <w:marRight w:val="0"/>
          <w:marTop w:val="0"/>
          <w:marBottom w:val="0"/>
          <w:divBdr>
            <w:top w:val="none" w:sz="0" w:space="0" w:color="auto"/>
            <w:left w:val="none" w:sz="0" w:space="0" w:color="auto"/>
            <w:bottom w:val="none" w:sz="0" w:space="0" w:color="auto"/>
            <w:right w:val="none" w:sz="0" w:space="0" w:color="auto"/>
          </w:divBdr>
          <w:divsChild>
            <w:div w:id="850293958">
              <w:marLeft w:val="0"/>
              <w:marRight w:val="0"/>
              <w:marTop w:val="0"/>
              <w:marBottom w:val="0"/>
              <w:divBdr>
                <w:top w:val="none" w:sz="0" w:space="0" w:color="auto"/>
                <w:left w:val="none" w:sz="0" w:space="0" w:color="auto"/>
                <w:bottom w:val="none" w:sz="0" w:space="0" w:color="auto"/>
                <w:right w:val="none" w:sz="0" w:space="0" w:color="auto"/>
              </w:divBdr>
              <w:divsChild>
                <w:div w:id="1908344447">
                  <w:marLeft w:val="0"/>
                  <w:marRight w:val="0"/>
                  <w:marTop w:val="0"/>
                  <w:marBottom w:val="0"/>
                  <w:divBdr>
                    <w:top w:val="none" w:sz="0" w:space="0" w:color="auto"/>
                    <w:left w:val="none" w:sz="0" w:space="0" w:color="auto"/>
                    <w:bottom w:val="none" w:sz="0" w:space="0" w:color="auto"/>
                    <w:right w:val="none" w:sz="0" w:space="0" w:color="auto"/>
                  </w:divBdr>
                  <w:divsChild>
                    <w:div w:id="1051879551">
                      <w:marLeft w:val="0"/>
                      <w:marRight w:val="0"/>
                      <w:marTop w:val="0"/>
                      <w:marBottom w:val="0"/>
                      <w:divBdr>
                        <w:top w:val="none" w:sz="0" w:space="0" w:color="auto"/>
                        <w:left w:val="none" w:sz="0" w:space="0" w:color="auto"/>
                        <w:bottom w:val="none" w:sz="0" w:space="0" w:color="auto"/>
                        <w:right w:val="none" w:sz="0" w:space="0" w:color="auto"/>
                      </w:divBdr>
                      <w:divsChild>
                        <w:div w:id="1036193731">
                          <w:marLeft w:val="0"/>
                          <w:marRight w:val="0"/>
                          <w:marTop w:val="0"/>
                          <w:marBottom w:val="0"/>
                          <w:divBdr>
                            <w:top w:val="none" w:sz="0" w:space="0" w:color="auto"/>
                            <w:left w:val="none" w:sz="0" w:space="0" w:color="auto"/>
                            <w:bottom w:val="none" w:sz="0" w:space="0" w:color="auto"/>
                            <w:right w:val="none" w:sz="0" w:space="0" w:color="auto"/>
                          </w:divBdr>
                          <w:divsChild>
                            <w:div w:id="885946551">
                              <w:marLeft w:val="0"/>
                              <w:marRight w:val="0"/>
                              <w:marTop w:val="0"/>
                              <w:marBottom w:val="0"/>
                              <w:divBdr>
                                <w:top w:val="none" w:sz="0" w:space="0" w:color="auto"/>
                                <w:left w:val="none" w:sz="0" w:space="0" w:color="auto"/>
                                <w:bottom w:val="none" w:sz="0" w:space="0" w:color="auto"/>
                                <w:right w:val="none" w:sz="0" w:space="0" w:color="auto"/>
                              </w:divBdr>
                              <w:divsChild>
                                <w:div w:id="609510372">
                                  <w:marLeft w:val="0"/>
                                  <w:marRight w:val="0"/>
                                  <w:marTop w:val="0"/>
                                  <w:marBottom w:val="0"/>
                                  <w:divBdr>
                                    <w:top w:val="none" w:sz="0" w:space="0" w:color="auto"/>
                                    <w:left w:val="none" w:sz="0" w:space="0" w:color="auto"/>
                                    <w:bottom w:val="none" w:sz="0" w:space="0" w:color="auto"/>
                                    <w:right w:val="none" w:sz="0" w:space="0" w:color="auto"/>
                                  </w:divBdr>
                                  <w:divsChild>
                                    <w:div w:id="1907259043">
                                      <w:marLeft w:val="0"/>
                                      <w:marRight w:val="0"/>
                                      <w:marTop w:val="0"/>
                                      <w:marBottom w:val="0"/>
                                      <w:divBdr>
                                        <w:top w:val="none" w:sz="0" w:space="0" w:color="auto"/>
                                        <w:left w:val="none" w:sz="0" w:space="0" w:color="auto"/>
                                        <w:bottom w:val="none" w:sz="0" w:space="0" w:color="auto"/>
                                        <w:right w:val="none" w:sz="0" w:space="0" w:color="auto"/>
                                      </w:divBdr>
                                    </w:div>
                                    <w:div w:id="1814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552725">
      <w:bodyDiv w:val="1"/>
      <w:marLeft w:val="0"/>
      <w:marRight w:val="0"/>
      <w:marTop w:val="0"/>
      <w:marBottom w:val="0"/>
      <w:divBdr>
        <w:top w:val="none" w:sz="0" w:space="0" w:color="auto"/>
        <w:left w:val="none" w:sz="0" w:space="0" w:color="auto"/>
        <w:bottom w:val="none" w:sz="0" w:space="0" w:color="auto"/>
        <w:right w:val="none" w:sz="0" w:space="0" w:color="auto"/>
      </w:divBdr>
      <w:divsChild>
        <w:div w:id="1252545049">
          <w:marLeft w:val="0"/>
          <w:marRight w:val="0"/>
          <w:marTop w:val="0"/>
          <w:marBottom w:val="0"/>
          <w:divBdr>
            <w:top w:val="none" w:sz="0" w:space="0" w:color="auto"/>
            <w:left w:val="none" w:sz="0" w:space="0" w:color="auto"/>
            <w:bottom w:val="none" w:sz="0" w:space="0" w:color="auto"/>
            <w:right w:val="none" w:sz="0" w:space="0" w:color="auto"/>
          </w:divBdr>
          <w:divsChild>
            <w:div w:id="10227952">
              <w:marLeft w:val="0"/>
              <w:marRight w:val="0"/>
              <w:marTop w:val="0"/>
              <w:marBottom w:val="0"/>
              <w:divBdr>
                <w:top w:val="none" w:sz="0" w:space="0" w:color="auto"/>
                <w:left w:val="none" w:sz="0" w:space="0" w:color="auto"/>
                <w:bottom w:val="none" w:sz="0" w:space="0" w:color="auto"/>
                <w:right w:val="none" w:sz="0" w:space="0" w:color="auto"/>
              </w:divBdr>
              <w:divsChild>
                <w:div w:id="736173668">
                  <w:marLeft w:val="0"/>
                  <w:marRight w:val="0"/>
                  <w:marTop w:val="0"/>
                  <w:marBottom w:val="0"/>
                  <w:divBdr>
                    <w:top w:val="none" w:sz="0" w:space="0" w:color="auto"/>
                    <w:left w:val="none" w:sz="0" w:space="0" w:color="auto"/>
                    <w:bottom w:val="none" w:sz="0" w:space="0" w:color="auto"/>
                    <w:right w:val="none" w:sz="0" w:space="0" w:color="auto"/>
                  </w:divBdr>
                  <w:divsChild>
                    <w:div w:id="1767656458">
                      <w:marLeft w:val="0"/>
                      <w:marRight w:val="0"/>
                      <w:marTop w:val="0"/>
                      <w:marBottom w:val="0"/>
                      <w:divBdr>
                        <w:top w:val="none" w:sz="0" w:space="0" w:color="auto"/>
                        <w:left w:val="none" w:sz="0" w:space="0" w:color="auto"/>
                        <w:bottom w:val="none" w:sz="0" w:space="0" w:color="auto"/>
                        <w:right w:val="none" w:sz="0" w:space="0" w:color="auto"/>
                      </w:divBdr>
                      <w:divsChild>
                        <w:div w:id="1535196220">
                          <w:marLeft w:val="0"/>
                          <w:marRight w:val="0"/>
                          <w:marTop w:val="0"/>
                          <w:marBottom w:val="0"/>
                          <w:divBdr>
                            <w:top w:val="none" w:sz="0" w:space="0" w:color="auto"/>
                            <w:left w:val="none" w:sz="0" w:space="0" w:color="auto"/>
                            <w:bottom w:val="none" w:sz="0" w:space="0" w:color="auto"/>
                            <w:right w:val="none" w:sz="0" w:space="0" w:color="auto"/>
                          </w:divBdr>
                          <w:divsChild>
                            <w:div w:id="1683168050">
                              <w:marLeft w:val="0"/>
                              <w:marRight w:val="0"/>
                              <w:marTop w:val="0"/>
                              <w:marBottom w:val="0"/>
                              <w:divBdr>
                                <w:top w:val="none" w:sz="0" w:space="0" w:color="auto"/>
                                <w:left w:val="none" w:sz="0" w:space="0" w:color="auto"/>
                                <w:bottom w:val="none" w:sz="0" w:space="0" w:color="auto"/>
                                <w:right w:val="none" w:sz="0" w:space="0" w:color="auto"/>
                              </w:divBdr>
                              <w:divsChild>
                                <w:div w:id="1242837425">
                                  <w:marLeft w:val="0"/>
                                  <w:marRight w:val="0"/>
                                  <w:marTop w:val="0"/>
                                  <w:marBottom w:val="0"/>
                                  <w:divBdr>
                                    <w:top w:val="none" w:sz="0" w:space="0" w:color="auto"/>
                                    <w:left w:val="none" w:sz="0" w:space="0" w:color="auto"/>
                                    <w:bottom w:val="none" w:sz="0" w:space="0" w:color="auto"/>
                                    <w:right w:val="none" w:sz="0" w:space="0" w:color="auto"/>
                                  </w:divBdr>
                                  <w:divsChild>
                                    <w:div w:id="558711317">
                                      <w:marLeft w:val="0"/>
                                      <w:marRight w:val="0"/>
                                      <w:marTop w:val="0"/>
                                      <w:marBottom w:val="0"/>
                                      <w:divBdr>
                                        <w:top w:val="none" w:sz="0" w:space="0" w:color="auto"/>
                                        <w:left w:val="none" w:sz="0" w:space="0" w:color="auto"/>
                                        <w:bottom w:val="none" w:sz="0" w:space="0" w:color="auto"/>
                                        <w:right w:val="none" w:sz="0" w:space="0" w:color="auto"/>
                                      </w:divBdr>
                                    </w:div>
                                    <w:div w:id="12351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296209">
      <w:bodyDiv w:val="1"/>
      <w:marLeft w:val="0"/>
      <w:marRight w:val="0"/>
      <w:marTop w:val="0"/>
      <w:marBottom w:val="0"/>
      <w:divBdr>
        <w:top w:val="none" w:sz="0" w:space="0" w:color="auto"/>
        <w:left w:val="none" w:sz="0" w:space="0" w:color="auto"/>
        <w:bottom w:val="none" w:sz="0" w:space="0" w:color="auto"/>
        <w:right w:val="none" w:sz="0" w:space="0" w:color="auto"/>
      </w:divBdr>
      <w:divsChild>
        <w:div w:id="1927688854">
          <w:marLeft w:val="0"/>
          <w:marRight w:val="0"/>
          <w:marTop w:val="0"/>
          <w:marBottom w:val="0"/>
          <w:divBdr>
            <w:top w:val="none" w:sz="0" w:space="0" w:color="auto"/>
            <w:left w:val="none" w:sz="0" w:space="0" w:color="auto"/>
            <w:bottom w:val="none" w:sz="0" w:space="0" w:color="auto"/>
            <w:right w:val="none" w:sz="0" w:space="0" w:color="auto"/>
          </w:divBdr>
          <w:divsChild>
            <w:div w:id="1141580659">
              <w:marLeft w:val="0"/>
              <w:marRight w:val="0"/>
              <w:marTop w:val="0"/>
              <w:marBottom w:val="0"/>
              <w:divBdr>
                <w:top w:val="none" w:sz="0" w:space="0" w:color="auto"/>
                <w:left w:val="none" w:sz="0" w:space="0" w:color="auto"/>
                <w:bottom w:val="none" w:sz="0" w:space="0" w:color="auto"/>
                <w:right w:val="none" w:sz="0" w:space="0" w:color="auto"/>
              </w:divBdr>
              <w:divsChild>
                <w:div w:id="1996881975">
                  <w:marLeft w:val="0"/>
                  <w:marRight w:val="0"/>
                  <w:marTop w:val="0"/>
                  <w:marBottom w:val="0"/>
                  <w:divBdr>
                    <w:top w:val="none" w:sz="0" w:space="0" w:color="auto"/>
                    <w:left w:val="none" w:sz="0" w:space="0" w:color="auto"/>
                    <w:bottom w:val="none" w:sz="0" w:space="0" w:color="auto"/>
                    <w:right w:val="none" w:sz="0" w:space="0" w:color="auto"/>
                  </w:divBdr>
                  <w:divsChild>
                    <w:div w:id="1205753802">
                      <w:marLeft w:val="0"/>
                      <w:marRight w:val="0"/>
                      <w:marTop w:val="0"/>
                      <w:marBottom w:val="0"/>
                      <w:divBdr>
                        <w:top w:val="none" w:sz="0" w:space="0" w:color="auto"/>
                        <w:left w:val="none" w:sz="0" w:space="0" w:color="auto"/>
                        <w:bottom w:val="none" w:sz="0" w:space="0" w:color="auto"/>
                        <w:right w:val="none" w:sz="0" w:space="0" w:color="auto"/>
                      </w:divBdr>
                      <w:divsChild>
                        <w:div w:id="2082214034">
                          <w:marLeft w:val="0"/>
                          <w:marRight w:val="0"/>
                          <w:marTop w:val="0"/>
                          <w:marBottom w:val="0"/>
                          <w:divBdr>
                            <w:top w:val="none" w:sz="0" w:space="0" w:color="auto"/>
                            <w:left w:val="none" w:sz="0" w:space="0" w:color="auto"/>
                            <w:bottom w:val="none" w:sz="0" w:space="0" w:color="auto"/>
                            <w:right w:val="none" w:sz="0" w:space="0" w:color="auto"/>
                          </w:divBdr>
                          <w:divsChild>
                            <w:div w:id="307396140">
                              <w:marLeft w:val="0"/>
                              <w:marRight w:val="0"/>
                              <w:marTop w:val="0"/>
                              <w:marBottom w:val="0"/>
                              <w:divBdr>
                                <w:top w:val="none" w:sz="0" w:space="0" w:color="auto"/>
                                <w:left w:val="none" w:sz="0" w:space="0" w:color="auto"/>
                                <w:bottom w:val="none" w:sz="0" w:space="0" w:color="auto"/>
                                <w:right w:val="none" w:sz="0" w:space="0" w:color="auto"/>
                              </w:divBdr>
                              <w:divsChild>
                                <w:div w:id="484980283">
                                  <w:marLeft w:val="0"/>
                                  <w:marRight w:val="0"/>
                                  <w:marTop w:val="0"/>
                                  <w:marBottom w:val="0"/>
                                  <w:divBdr>
                                    <w:top w:val="none" w:sz="0" w:space="0" w:color="auto"/>
                                    <w:left w:val="none" w:sz="0" w:space="0" w:color="auto"/>
                                    <w:bottom w:val="none" w:sz="0" w:space="0" w:color="auto"/>
                                    <w:right w:val="none" w:sz="0" w:space="0" w:color="auto"/>
                                  </w:divBdr>
                                  <w:divsChild>
                                    <w:div w:id="678699061">
                                      <w:marLeft w:val="0"/>
                                      <w:marRight w:val="0"/>
                                      <w:marTop w:val="0"/>
                                      <w:marBottom w:val="0"/>
                                      <w:divBdr>
                                        <w:top w:val="none" w:sz="0" w:space="0" w:color="auto"/>
                                        <w:left w:val="none" w:sz="0" w:space="0" w:color="auto"/>
                                        <w:bottom w:val="none" w:sz="0" w:space="0" w:color="auto"/>
                                        <w:right w:val="none" w:sz="0" w:space="0" w:color="auto"/>
                                      </w:divBdr>
                                    </w:div>
                                    <w:div w:id="319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376934">
      <w:bodyDiv w:val="1"/>
      <w:marLeft w:val="0"/>
      <w:marRight w:val="0"/>
      <w:marTop w:val="0"/>
      <w:marBottom w:val="0"/>
      <w:divBdr>
        <w:top w:val="none" w:sz="0" w:space="0" w:color="auto"/>
        <w:left w:val="none" w:sz="0" w:space="0" w:color="auto"/>
        <w:bottom w:val="none" w:sz="0" w:space="0" w:color="auto"/>
        <w:right w:val="none" w:sz="0" w:space="0" w:color="auto"/>
      </w:divBdr>
      <w:divsChild>
        <w:div w:id="547299846">
          <w:marLeft w:val="0"/>
          <w:marRight w:val="1"/>
          <w:marTop w:val="0"/>
          <w:marBottom w:val="0"/>
          <w:divBdr>
            <w:top w:val="none" w:sz="0" w:space="0" w:color="auto"/>
            <w:left w:val="none" w:sz="0" w:space="0" w:color="auto"/>
            <w:bottom w:val="none" w:sz="0" w:space="0" w:color="auto"/>
            <w:right w:val="none" w:sz="0" w:space="0" w:color="auto"/>
          </w:divBdr>
          <w:divsChild>
            <w:div w:id="524951061">
              <w:marLeft w:val="0"/>
              <w:marRight w:val="0"/>
              <w:marTop w:val="0"/>
              <w:marBottom w:val="0"/>
              <w:divBdr>
                <w:top w:val="none" w:sz="0" w:space="0" w:color="auto"/>
                <w:left w:val="none" w:sz="0" w:space="0" w:color="auto"/>
                <w:bottom w:val="none" w:sz="0" w:space="0" w:color="auto"/>
                <w:right w:val="none" w:sz="0" w:space="0" w:color="auto"/>
              </w:divBdr>
              <w:divsChild>
                <w:div w:id="1007366021">
                  <w:marLeft w:val="0"/>
                  <w:marRight w:val="1"/>
                  <w:marTop w:val="0"/>
                  <w:marBottom w:val="0"/>
                  <w:divBdr>
                    <w:top w:val="none" w:sz="0" w:space="0" w:color="auto"/>
                    <w:left w:val="none" w:sz="0" w:space="0" w:color="auto"/>
                    <w:bottom w:val="none" w:sz="0" w:space="0" w:color="auto"/>
                    <w:right w:val="none" w:sz="0" w:space="0" w:color="auto"/>
                  </w:divBdr>
                  <w:divsChild>
                    <w:div w:id="583563854">
                      <w:marLeft w:val="0"/>
                      <w:marRight w:val="0"/>
                      <w:marTop w:val="0"/>
                      <w:marBottom w:val="0"/>
                      <w:divBdr>
                        <w:top w:val="none" w:sz="0" w:space="0" w:color="auto"/>
                        <w:left w:val="none" w:sz="0" w:space="0" w:color="auto"/>
                        <w:bottom w:val="none" w:sz="0" w:space="0" w:color="auto"/>
                        <w:right w:val="none" w:sz="0" w:space="0" w:color="auto"/>
                      </w:divBdr>
                      <w:divsChild>
                        <w:div w:id="1225871924">
                          <w:marLeft w:val="0"/>
                          <w:marRight w:val="0"/>
                          <w:marTop w:val="0"/>
                          <w:marBottom w:val="0"/>
                          <w:divBdr>
                            <w:top w:val="none" w:sz="0" w:space="0" w:color="auto"/>
                            <w:left w:val="none" w:sz="0" w:space="0" w:color="auto"/>
                            <w:bottom w:val="none" w:sz="0" w:space="0" w:color="auto"/>
                            <w:right w:val="none" w:sz="0" w:space="0" w:color="auto"/>
                          </w:divBdr>
                          <w:divsChild>
                            <w:div w:id="444036543">
                              <w:marLeft w:val="0"/>
                              <w:marRight w:val="0"/>
                              <w:marTop w:val="120"/>
                              <w:marBottom w:val="360"/>
                              <w:divBdr>
                                <w:top w:val="none" w:sz="0" w:space="0" w:color="auto"/>
                                <w:left w:val="none" w:sz="0" w:space="0" w:color="auto"/>
                                <w:bottom w:val="none" w:sz="0" w:space="0" w:color="auto"/>
                                <w:right w:val="none" w:sz="0" w:space="0" w:color="auto"/>
                              </w:divBdr>
                              <w:divsChild>
                                <w:div w:id="724257197">
                                  <w:marLeft w:val="0"/>
                                  <w:marRight w:val="0"/>
                                  <w:marTop w:val="0"/>
                                  <w:marBottom w:val="0"/>
                                  <w:divBdr>
                                    <w:top w:val="none" w:sz="0" w:space="0" w:color="auto"/>
                                    <w:left w:val="none" w:sz="0" w:space="0" w:color="auto"/>
                                    <w:bottom w:val="none" w:sz="0" w:space="0" w:color="auto"/>
                                    <w:right w:val="none" w:sz="0" w:space="0" w:color="auto"/>
                                  </w:divBdr>
                                  <w:divsChild>
                                    <w:div w:id="17461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183831">
      <w:marLeft w:val="0"/>
      <w:marRight w:val="0"/>
      <w:marTop w:val="0"/>
      <w:marBottom w:val="0"/>
      <w:divBdr>
        <w:top w:val="none" w:sz="0" w:space="0" w:color="auto"/>
        <w:left w:val="none" w:sz="0" w:space="0" w:color="auto"/>
        <w:bottom w:val="none" w:sz="0" w:space="0" w:color="auto"/>
        <w:right w:val="none" w:sz="0" w:space="0" w:color="auto"/>
      </w:divBdr>
    </w:div>
    <w:div w:id="1702392878">
      <w:bodyDiv w:val="1"/>
      <w:marLeft w:val="0"/>
      <w:marRight w:val="0"/>
      <w:marTop w:val="0"/>
      <w:marBottom w:val="0"/>
      <w:divBdr>
        <w:top w:val="none" w:sz="0" w:space="0" w:color="auto"/>
        <w:left w:val="none" w:sz="0" w:space="0" w:color="auto"/>
        <w:bottom w:val="none" w:sz="0" w:space="0" w:color="auto"/>
        <w:right w:val="none" w:sz="0" w:space="0" w:color="auto"/>
      </w:divBdr>
    </w:div>
    <w:div w:id="1737896584">
      <w:bodyDiv w:val="1"/>
      <w:marLeft w:val="0"/>
      <w:marRight w:val="0"/>
      <w:marTop w:val="0"/>
      <w:marBottom w:val="0"/>
      <w:divBdr>
        <w:top w:val="none" w:sz="0" w:space="0" w:color="auto"/>
        <w:left w:val="none" w:sz="0" w:space="0" w:color="auto"/>
        <w:bottom w:val="none" w:sz="0" w:space="0" w:color="auto"/>
        <w:right w:val="none" w:sz="0" w:space="0" w:color="auto"/>
      </w:divBdr>
      <w:divsChild>
        <w:div w:id="1519659440">
          <w:marLeft w:val="0"/>
          <w:marRight w:val="1"/>
          <w:marTop w:val="0"/>
          <w:marBottom w:val="0"/>
          <w:divBdr>
            <w:top w:val="none" w:sz="0" w:space="0" w:color="auto"/>
            <w:left w:val="none" w:sz="0" w:space="0" w:color="auto"/>
            <w:bottom w:val="none" w:sz="0" w:space="0" w:color="auto"/>
            <w:right w:val="none" w:sz="0" w:space="0" w:color="auto"/>
          </w:divBdr>
          <w:divsChild>
            <w:div w:id="1780953387">
              <w:marLeft w:val="0"/>
              <w:marRight w:val="0"/>
              <w:marTop w:val="0"/>
              <w:marBottom w:val="0"/>
              <w:divBdr>
                <w:top w:val="none" w:sz="0" w:space="0" w:color="auto"/>
                <w:left w:val="none" w:sz="0" w:space="0" w:color="auto"/>
                <w:bottom w:val="none" w:sz="0" w:space="0" w:color="auto"/>
                <w:right w:val="none" w:sz="0" w:space="0" w:color="auto"/>
              </w:divBdr>
              <w:divsChild>
                <w:div w:id="198249726">
                  <w:marLeft w:val="0"/>
                  <w:marRight w:val="1"/>
                  <w:marTop w:val="0"/>
                  <w:marBottom w:val="0"/>
                  <w:divBdr>
                    <w:top w:val="none" w:sz="0" w:space="0" w:color="auto"/>
                    <w:left w:val="none" w:sz="0" w:space="0" w:color="auto"/>
                    <w:bottom w:val="none" w:sz="0" w:space="0" w:color="auto"/>
                    <w:right w:val="none" w:sz="0" w:space="0" w:color="auto"/>
                  </w:divBdr>
                  <w:divsChild>
                    <w:div w:id="715201008">
                      <w:marLeft w:val="0"/>
                      <w:marRight w:val="0"/>
                      <w:marTop w:val="0"/>
                      <w:marBottom w:val="0"/>
                      <w:divBdr>
                        <w:top w:val="none" w:sz="0" w:space="0" w:color="auto"/>
                        <w:left w:val="none" w:sz="0" w:space="0" w:color="auto"/>
                        <w:bottom w:val="none" w:sz="0" w:space="0" w:color="auto"/>
                        <w:right w:val="none" w:sz="0" w:space="0" w:color="auto"/>
                      </w:divBdr>
                      <w:divsChild>
                        <w:div w:id="2037806643">
                          <w:marLeft w:val="0"/>
                          <w:marRight w:val="0"/>
                          <w:marTop w:val="0"/>
                          <w:marBottom w:val="0"/>
                          <w:divBdr>
                            <w:top w:val="none" w:sz="0" w:space="0" w:color="auto"/>
                            <w:left w:val="none" w:sz="0" w:space="0" w:color="auto"/>
                            <w:bottom w:val="none" w:sz="0" w:space="0" w:color="auto"/>
                            <w:right w:val="none" w:sz="0" w:space="0" w:color="auto"/>
                          </w:divBdr>
                          <w:divsChild>
                            <w:div w:id="2106686135">
                              <w:marLeft w:val="0"/>
                              <w:marRight w:val="0"/>
                              <w:marTop w:val="120"/>
                              <w:marBottom w:val="360"/>
                              <w:divBdr>
                                <w:top w:val="none" w:sz="0" w:space="0" w:color="auto"/>
                                <w:left w:val="none" w:sz="0" w:space="0" w:color="auto"/>
                                <w:bottom w:val="none" w:sz="0" w:space="0" w:color="auto"/>
                                <w:right w:val="none" w:sz="0" w:space="0" w:color="auto"/>
                              </w:divBdr>
                              <w:divsChild>
                                <w:div w:id="566569116">
                                  <w:marLeft w:val="0"/>
                                  <w:marRight w:val="0"/>
                                  <w:marTop w:val="0"/>
                                  <w:marBottom w:val="0"/>
                                  <w:divBdr>
                                    <w:top w:val="none" w:sz="0" w:space="0" w:color="auto"/>
                                    <w:left w:val="none" w:sz="0" w:space="0" w:color="auto"/>
                                    <w:bottom w:val="none" w:sz="0" w:space="0" w:color="auto"/>
                                    <w:right w:val="none" w:sz="0" w:space="0" w:color="auto"/>
                                  </w:divBdr>
                                  <w:divsChild>
                                    <w:div w:id="351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583976">
      <w:bodyDiv w:val="1"/>
      <w:marLeft w:val="0"/>
      <w:marRight w:val="0"/>
      <w:marTop w:val="0"/>
      <w:marBottom w:val="0"/>
      <w:divBdr>
        <w:top w:val="none" w:sz="0" w:space="0" w:color="auto"/>
        <w:left w:val="none" w:sz="0" w:space="0" w:color="auto"/>
        <w:bottom w:val="none" w:sz="0" w:space="0" w:color="auto"/>
        <w:right w:val="none" w:sz="0" w:space="0" w:color="auto"/>
      </w:divBdr>
      <w:divsChild>
        <w:div w:id="1016157293">
          <w:marLeft w:val="0"/>
          <w:marRight w:val="1"/>
          <w:marTop w:val="0"/>
          <w:marBottom w:val="0"/>
          <w:divBdr>
            <w:top w:val="none" w:sz="0" w:space="0" w:color="auto"/>
            <w:left w:val="none" w:sz="0" w:space="0" w:color="auto"/>
            <w:bottom w:val="none" w:sz="0" w:space="0" w:color="auto"/>
            <w:right w:val="none" w:sz="0" w:space="0" w:color="auto"/>
          </w:divBdr>
          <w:divsChild>
            <w:div w:id="692848318">
              <w:marLeft w:val="0"/>
              <w:marRight w:val="0"/>
              <w:marTop w:val="0"/>
              <w:marBottom w:val="0"/>
              <w:divBdr>
                <w:top w:val="none" w:sz="0" w:space="0" w:color="auto"/>
                <w:left w:val="none" w:sz="0" w:space="0" w:color="auto"/>
                <w:bottom w:val="none" w:sz="0" w:space="0" w:color="auto"/>
                <w:right w:val="none" w:sz="0" w:space="0" w:color="auto"/>
              </w:divBdr>
              <w:divsChild>
                <w:div w:id="1257248754">
                  <w:marLeft w:val="0"/>
                  <w:marRight w:val="1"/>
                  <w:marTop w:val="0"/>
                  <w:marBottom w:val="0"/>
                  <w:divBdr>
                    <w:top w:val="none" w:sz="0" w:space="0" w:color="auto"/>
                    <w:left w:val="none" w:sz="0" w:space="0" w:color="auto"/>
                    <w:bottom w:val="none" w:sz="0" w:space="0" w:color="auto"/>
                    <w:right w:val="none" w:sz="0" w:space="0" w:color="auto"/>
                  </w:divBdr>
                  <w:divsChild>
                    <w:div w:id="352537887">
                      <w:marLeft w:val="0"/>
                      <w:marRight w:val="0"/>
                      <w:marTop w:val="0"/>
                      <w:marBottom w:val="0"/>
                      <w:divBdr>
                        <w:top w:val="none" w:sz="0" w:space="0" w:color="auto"/>
                        <w:left w:val="none" w:sz="0" w:space="0" w:color="auto"/>
                        <w:bottom w:val="none" w:sz="0" w:space="0" w:color="auto"/>
                        <w:right w:val="none" w:sz="0" w:space="0" w:color="auto"/>
                      </w:divBdr>
                      <w:divsChild>
                        <w:div w:id="133497957">
                          <w:marLeft w:val="0"/>
                          <w:marRight w:val="0"/>
                          <w:marTop w:val="0"/>
                          <w:marBottom w:val="0"/>
                          <w:divBdr>
                            <w:top w:val="none" w:sz="0" w:space="0" w:color="auto"/>
                            <w:left w:val="none" w:sz="0" w:space="0" w:color="auto"/>
                            <w:bottom w:val="none" w:sz="0" w:space="0" w:color="auto"/>
                            <w:right w:val="none" w:sz="0" w:space="0" w:color="auto"/>
                          </w:divBdr>
                          <w:divsChild>
                            <w:div w:id="942690276">
                              <w:marLeft w:val="0"/>
                              <w:marRight w:val="0"/>
                              <w:marTop w:val="120"/>
                              <w:marBottom w:val="360"/>
                              <w:divBdr>
                                <w:top w:val="none" w:sz="0" w:space="0" w:color="auto"/>
                                <w:left w:val="none" w:sz="0" w:space="0" w:color="auto"/>
                                <w:bottom w:val="none" w:sz="0" w:space="0" w:color="auto"/>
                                <w:right w:val="none" w:sz="0" w:space="0" w:color="auto"/>
                              </w:divBdr>
                              <w:divsChild>
                                <w:div w:id="1993288992">
                                  <w:marLeft w:val="0"/>
                                  <w:marRight w:val="0"/>
                                  <w:marTop w:val="0"/>
                                  <w:marBottom w:val="0"/>
                                  <w:divBdr>
                                    <w:top w:val="none" w:sz="0" w:space="0" w:color="auto"/>
                                    <w:left w:val="none" w:sz="0" w:space="0" w:color="auto"/>
                                    <w:bottom w:val="none" w:sz="0" w:space="0" w:color="auto"/>
                                    <w:right w:val="none" w:sz="0" w:space="0" w:color="auto"/>
                                  </w:divBdr>
                                  <w:divsChild>
                                    <w:div w:id="6070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576620">
      <w:bodyDiv w:val="1"/>
      <w:marLeft w:val="0"/>
      <w:marRight w:val="0"/>
      <w:marTop w:val="0"/>
      <w:marBottom w:val="0"/>
      <w:divBdr>
        <w:top w:val="none" w:sz="0" w:space="0" w:color="auto"/>
        <w:left w:val="none" w:sz="0" w:space="0" w:color="auto"/>
        <w:bottom w:val="none" w:sz="0" w:space="0" w:color="auto"/>
        <w:right w:val="none" w:sz="0" w:space="0" w:color="auto"/>
      </w:divBdr>
      <w:divsChild>
        <w:div w:id="419916009">
          <w:marLeft w:val="0"/>
          <w:marRight w:val="1"/>
          <w:marTop w:val="0"/>
          <w:marBottom w:val="0"/>
          <w:divBdr>
            <w:top w:val="none" w:sz="0" w:space="0" w:color="auto"/>
            <w:left w:val="none" w:sz="0" w:space="0" w:color="auto"/>
            <w:bottom w:val="none" w:sz="0" w:space="0" w:color="auto"/>
            <w:right w:val="none" w:sz="0" w:space="0" w:color="auto"/>
          </w:divBdr>
          <w:divsChild>
            <w:div w:id="1768498669">
              <w:marLeft w:val="0"/>
              <w:marRight w:val="0"/>
              <w:marTop w:val="0"/>
              <w:marBottom w:val="0"/>
              <w:divBdr>
                <w:top w:val="none" w:sz="0" w:space="0" w:color="auto"/>
                <w:left w:val="none" w:sz="0" w:space="0" w:color="auto"/>
                <w:bottom w:val="none" w:sz="0" w:space="0" w:color="auto"/>
                <w:right w:val="none" w:sz="0" w:space="0" w:color="auto"/>
              </w:divBdr>
              <w:divsChild>
                <w:div w:id="221795073">
                  <w:marLeft w:val="0"/>
                  <w:marRight w:val="1"/>
                  <w:marTop w:val="0"/>
                  <w:marBottom w:val="0"/>
                  <w:divBdr>
                    <w:top w:val="none" w:sz="0" w:space="0" w:color="auto"/>
                    <w:left w:val="none" w:sz="0" w:space="0" w:color="auto"/>
                    <w:bottom w:val="none" w:sz="0" w:space="0" w:color="auto"/>
                    <w:right w:val="none" w:sz="0" w:space="0" w:color="auto"/>
                  </w:divBdr>
                  <w:divsChild>
                    <w:div w:id="2006088863">
                      <w:marLeft w:val="0"/>
                      <w:marRight w:val="0"/>
                      <w:marTop w:val="0"/>
                      <w:marBottom w:val="0"/>
                      <w:divBdr>
                        <w:top w:val="none" w:sz="0" w:space="0" w:color="auto"/>
                        <w:left w:val="none" w:sz="0" w:space="0" w:color="auto"/>
                        <w:bottom w:val="none" w:sz="0" w:space="0" w:color="auto"/>
                        <w:right w:val="none" w:sz="0" w:space="0" w:color="auto"/>
                      </w:divBdr>
                      <w:divsChild>
                        <w:div w:id="1528060864">
                          <w:marLeft w:val="0"/>
                          <w:marRight w:val="0"/>
                          <w:marTop w:val="0"/>
                          <w:marBottom w:val="0"/>
                          <w:divBdr>
                            <w:top w:val="none" w:sz="0" w:space="0" w:color="auto"/>
                            <w:left w:val="none" w:sz="0" w:space="0" w:color="auto"/>
                            <w:bottom w:val="none" w:sz="0" w:space="0" w:color="auto"/>
                            <w:right w:val="none" w:sz="0" w:space="0" w:color="auto"/>
                          </w:divBdr>
                          <w:divsChild>
                            <w:div w:id="986203056">
                              <w:marLeft w:val="0"/>
                              <w:marRight w:val="0"/>
                              <w:marTop w:val="120"/>
                              <w:marBottom w:val="360"/>
                              <w:divBdr>
                                <w:top w:val="none" w:sz="0" w:space="0" w:color="auto"/>
                                <w:left w:val="none" w:sz="0" w:space="0" w:color="auto"/>
                                <w:bottom w:val="none" w:sz="0" w:space="0" w:color="auto"/>
                                <w:right w:val="none" w:sz="0" w:space="0" w:color="auto"/>
                              </w:divBdr>
                              <w:divsChild>
                                <w:div w:id="377902698">
                                  <w:marLeft w:val="0"/>
                                  <w:marRight w:val="0"/>
                                  <w:marTop w:val="0"/>
                                  <w:marBottom w:val="0"/>
                                  <w:divBdr>
                                    <w:top w:val="none" w:sz="0" w:space="0" w:color="auto"/>
                                    <w:left w:val="none" w:sz="0" w:space="0" w:color="auto"/>
                                    <w:bottom w:val="none" w:sz="0" w:space="0" w:color="auto"/>
                                    <w:right w:val="none" w:sz="0" w:space="0" w:color="auto"/>
                                  </w:divBdr>
                                  <w:divsChild>
                                    <w:div w:id="7111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8843">
      <w:bodyDiv w:val="1"/>
      <w:marLeft w:val="0"/>
      <w:marRight w:val="0"/>
      <w:marTop w:val="0"/>
      <w:marBottom w:val="0"/>
      <w:divBdr>
        <w:top w:val="none" w:sz="0" w:space="0" w:color="auto"/>
        <w:left w:val="none" w:sz="0" w:space="0" w:color="auto"/>
        <w:bottom w:val="none" w:sz="0" w:space="0" w:color="auto"/>
        <w:right w:val="none" w:sz="0" w:space="0" w:color="auto"/>
      </w:divBdr>
      <w:divsChild>
        <w:div w:id="2126578351">
          <w:marLeft w:val="0"/>
          <w:marRight w:val="1"/>
          <w:marTop w:val="0"/>
          <w:marBottom w:val="0"/>
          <w:divBdr>
            <w:top w:val="none" w:sz="0" w:space="0" w:color="auto"/>
            <w:left w:val="none" w:sz="0" w:space="0" w:color="auto"/>
            <w:bottom w:val="none" w:sz="0" w:space="0" w:color="auto"/>
            <w:right w:val="none" w:sz="0" w:space="0" w:color="auto"/>
          </w:divBdr>
          <w:divsChild>
            <w:div w:id="31686618">
              <w:marLeft w:val="0"/>
              <w:marRight w:val="0"/>
              <w:marTop w:val="0"/>
              <w:marBottom w:val="0"/>
              <w:divBdr>
                <w:top w:val="none" w:sz="0" w:space="0" w:color="auto"/>
                <w:left w:val="none" w:sz="0" w:space="0" w:color="auto"/>
                <w:bottom w:val="none" w:sz="0" w:space="0" w:color="auto"/>
                <w:right w:val="none" w:sz="0" w:space="0" w:color="auto"/>
              </w:divBdr>
              <w:divsChild>
                <w:div w:id="49381278">
                  <w:marLeft w:val="0"/>
                  <w:marRight w:val="1"/>
                  <w:marTop w:val="0"/>
                  <w:marBottom w:val="0"/>
                  <w:divBdr>
                    <w:top w:val="none" w:sz="0" w:space="0" w:color="auto"/>
                    <w:left w:val="none" w:sz="0" w:space="0" w:color="auto"/>
                    <w:bottom w:val="none" w:sz="0" w:space="0" w:color="auto"/>
                    <w:right w:val="none" w:sz="0" w:space="0" w:color="auto"/>
                  </w:divBdr>
                  <w:divsChild>
                    <w:div w:id="1610432456">
                      <w:marLeft w:val="0"/>
                      <w:marRight w:val="0"/>
                      <w:marTop w:val="0"/>
                      <w:marBottom w:val="0"/>
                      <w:divBdr>
                        <w:top w:val="none" w:sz="0" w:space="0" w:color="auto"/>
                        <w:left w:val="none" w:sz="0" w:space="0" w:color="auto"/>
                        <w:bottom w:val="none" w:sz="0" w:space="0" w:color="auto"/>
                        <w:right w:val="none" w:sz="0" w:space="0" w:color="auto"/>
                      </w:divBdr>
                      <w:divsChild>
                        <w:div w:id="193275832">
                          <w:marLeft w:val="0"/>
                          <w:marRight w:val="0"/>
                          <w:marTop w:val="0"/>
                          <w:marBottom w:val="0"/>
                          <w:divBdr>
                            <w:top w:val="none" w:sz="0" w:space="0" w:color="auto"/>
                            <w:left w:val="none" w:sz="0" w:space="0" w:color="auto"/>
                            <w:bottom w:val="none" w:sz="0" w:space="0" w:color="auto"/>
                            <w:right w:val="none" w:sz="0" w:space="0" w:color="auto"/>
                          </w:divBdr>
                          <w:divsChild>
                            <w:div w:id="1053235869">
                              <w:marLeft w:val="0"/>
                              <w:marRight w:val="0"/>
                              <w:marTop w:val="120"/>
                              <w:marBottom w:val="360"/>
                              <w:divBdr>
                                <w:top w:val="none" w:sz="0" w:space="0" w:color="auto"/>
                                <w:left w:val="none" w:sz="0" w:space="0" w:color="auto"/>
                                <w:bottom w:val="none" w:sz="0" w:space="0" w:color="auto"/>
                                <w:right w:val="none" w:sz="0" w:space="0" w:color="auto"/>
                              </w:divBdr>
                              <w:divsChild>
                                <w:div w:id="1615746706">
                                  <w:marLeft w:val="0"/>
                                  <w:marRight w:val="0"/>
                                  <w:marTop w:val="0"/>
                                  <w:marBottom w:val="0"/>
                                  <w:divBdr>
                                    <w:top w:val="none" w:sz="0" w:space="0" w:color="auto"/>
                                    <w:left w:val="none" w:sz="0" w:space="0" w:color="auto"/>
                                    <w:bottom w:val="none" w:sz="0" w:space="0" w:color="auto"/>
                                    <w:right w:val="none" w:sz="0" w:space="0" w:color="auto"/>
                                  </w:divBdr>
                                  <w:divsChild>
                                    <w:div w:id="17399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099128">
      <w:bodyDiv w:val="1"/>
      <w:marLeft w:val="0"/>
      <w:marRight w:val="0"/>
      <w:marTop w:val="0"/>
      <w:marBottom w:val="0"/>
      <w:divBdr>
        <w:top w:val="none" w:sz="0" w:space="0" w:color="auto"/>
        <w:left w:val="none" w:sz="0" w:space="0" w:color="auto"/>
        <w:bottom w:val="none" w:sz="0" w:space="0" w:color="auto"/>
        <w:right w:val="none" w:sz="0" w:space="0" w:color="auto"/>
      </w:divBdr>
      <w:divsChild>
        <w:div w:id="1395662930">
          <w:marLeft w:val="0"/>
          <w:marRight w:val="1"/>
          <w:marTop w:val="0"/>
          <w:marBottom w:val="0"/>
          <w:divBdr>
            <w:top w:val="none" w:sz="0" w:space="0" w:color="auto"/>
            <w:left w:val="none" w:sz="0" w:space="0" w:color="auto"/>
            <w:bottom w:val="none" w:sz="0" w:space="0" w:color="auto"/>
            <w:right w:val="none" w:sz="0" w:space="0" w:color="auto"/>
          </w:divBdr>
          <w:divsChild>
            <w:div w:id="1202207994">
              <w:marLeft w:val="0"/>
              <w:marRight w:val="0"/>
              <w:marTop w:val="0"/>
              <w:marBottom w:val="0"/>
              <w:divBdr>
                <w:top w:val="none" w:sz="0" w:space="0" w:color="auto"/>
                <w:left w:val="none" w:sz="0" w:space="0" w:color="auto"/>
                <w:bottom w:val="none" w:sz="0" w:space="0" w:color="auto"/>
                <w:right w:val="none" w:sz="0" w:space="0" w:color="auto"/>
              </w:divBdr>
              <w:divsChild>
                <w:div w:id="172765539">
                  <w:marLeft w:val="0"/>
                  <w:marRight w:val="1"/>
                  <w:marTop w:val="0"/>
                  <w:marBottom w:val="0"/>
                  <w:divBdr>
                    <w:top w:val="none" w:sz="0" w:space="0" w:color="auto"/>
                    <w:left w:val="none" w:sz="0" w:space="0" w:color="auto"/>
                    <w:bottom w:val="none" w:sz="0" w:space="0" w:color="auto"/>
                    <w:right w:val="none" w:sz="0" w:space="0" w:color="auto"/>
                  </w:divBdr>
                  <w:divsChild>
                    <w:div w:id="692926008">
                      <w:marLeft w:val="0"/>
                      <w:marRight w:val="0"/>
                      <w:marTop w:val="0"/>
                      <w:marBottom w:val="0"/>
                      <w:divBdr>
                        <w:top w:val="none" w:sz="0" w:space="0" w:color="auto"/>
                        <w:left w:val="none" w:sz="0" w:space="0" w:color="auto"/>
                        <w:bottom w:val="none" w:sz="0" w:space="0" w:color="auto"/>
                        <w:right w:val="none" w:sz="0" w:space="0" w:color="auto"/>
                      </w:divBdr>
                      <w:divsChild>
                        <w:div w:id="834222989">
                          <w:marLeft w:val="0"/>
                          <w:marRight w:val="0"/>
                          <w:marTop w:val="0"/>
                          <w:marBottom w:val="0"/>
                          <w:divBdr>
                            <w:top w:val="none" w:sz="0" w:space="0" w:color="auto"/>
                            <w:left w:val="none" w:sz="0" w:space="0" w:color="auto"/>
                            <w:bottom w:val="none" w:sz="0" w:space="0" w:color="auto"/>
                            <w:right w:val="none" w:sz="0" w:space="0" w:color="auto"/>
                          </w:divBdr>
                          <w:divsChild>
                            <w:div w:id="2107068963">
                              <w:marLeft w:val="0"/>
                              <w:marRight w:val="0"/>
                              <w:marTop w:val="120"/>
                              <w:marBottom w:val="360"/>
                              <w:divBdr>
                                <w:top w:val="none" w:sz="0" w:space="0" w:color="auto"/>
                                <w:left w:val="none" w:sz="0" w:space="0" w:color="auto"/>
                                <w:bottom w:val="none" w:sz="0" w:space="0" w:color="auto"/>
                                <w:right w:val="none" w:sz="0" w:space="0" w:color="auto"/>
                              </w:divBdr>
                              <w:divsChild>
                                <w:div w:id="2132507239">
                                  <w:marLeft w:val="0"/>
                                  <w:marRight w:val="0"/>
                                  <w:marTop w:val="0"/>
                                  <w:marBottom w:val="0"/>
                                  <w:divBdr>
                                    <w:top w:val="none" w:sz="0" w:space="0" w:color="auto"/>
                                    <w:left w:val="none" w:sz="0" w:space="0" w:color="auto"/>
                                    <w:bottom w:val="none" w:sz="0" w:space="0" w:color="auto"/>
                                    <w:right w:val="none" w:sz="0" w:space="0" w:color="auto"/>
                                  </w:divBdr>
                                  <w:divsChild>
                                    <w:div w:id="17164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494767">
      <w:bodyDiv w:val="1"/>
      <w:marLeft w:val="0"/>
      <w:marRight w:val="0"/>
      <w:marTop w:val="0"/>
      <w:marBottom w:val="0"/>
      <w:divBdr>
        <w:top w:val="none" w:sz="0" w:space="0" w:color="auto"/>
        <w:left w:val="none" w:sz="0" w:space="0" w:color="auto"/>
        <w:bottom w:val="none" w:sz="0" w:space="0" w:color="auto"/>
        <w:right w:val="none" w:sz="0" w:space="0" w:color="auto"/>
      </w:divBdr>
      <w:divsChild>
        <w:div w:id="1162231509">
          <w:marLeft w:val="0"/>
          <w:marRight w:val="1"/>
          <w:marTop w:val="0"/>
          <w:marBottom w:val="0"/>
          <w:divBdr>
            <w:top w:val="none" w:sz="0" w:space="0" w:color="auto"/>
            <w:left w:val="none" w:sz="0" w:space="0" w:color="auto"/>
            <w:bottom w:val="none" w:sz="0" w:space="0" w:color="auto"/>
            <w:right w:val="none" w:sz="0" w:space="0" w:color="auto"/>
          </w:divBdr>
          <w:divsChild>
            <w:div w:id="1834488715">
              <w:marLeft w:val="0"/>
              <w:marRight w:val="0"/>
              <w:marTop w:val="0"/>
              <w:marBottom w:val="0"/>
              <w:divBdr>
                <w:top w:val="none" w:sz="0" w:space="0" w:color="auto"/>
                <w:left w:val="none" w:sz="0" w:space="0" w:color="auto"/>
                <w:bottom w:val="none" w:sz="0" w:space="0" w:color="auto"/>
                <w:right w:val="none" w:sz="0" w:space="0" w:color="auto"/>
              </w:divBdr>
              <w:divsChild>
                <w:div w:id="1307321639">
                  <w:marLeft w:val="0"/>
                  <w:marRight w:val="1"/>
                  <w:marTop w:val="0"/>
                  <w:marBottom w:val="0"/>
                  <w:divBdr>
                    <w:top w:val="none" w:sz="0" w:space="0" w:color="auto"/>
                    <w:left w:val="none" w:sz="0" w:space="0" w:color="auto"/>
                    <w:bottom w:val="none" w:sz="0" w:space="0" w:color="auto"/>
                    <w:right w:val="none" w:sz="0" w:space="0" w:color="auto"/>
                  </w:divBdr>
                  <w:divsChild>
                    <w:div w:id="977951879">
                      <w:marLeft w:val="0"/>
                      <w:marRight w:val="0"/>
                      <w:marTop w:val="0"/>
                      <w:marBottom w:val="0"/>
                      <w:divBdr>
                        <w:top w:val="none" w:sz="0" w:space="0" w:color="auto"/>
                        <w:left w:val="none" w:sz="0" w:space="0" w:color="auto"/>
                        <w:bottom w:val="none" w:sz="0" w:space="0" w:color="auto"/>
                        <w:right w:val="none" w:sz="0" w:space="0" w:color="auto"/>
                      </w:divBdr>
                      <w:divsChild>
                        <w:div w:id="295835598">
                          <w:marLeft w:val="0"/>
                          <w:marRight w:val="0"/>
                          <w:marTop w:val="0"/>
                          <w:marBottom w:val="0"/>
                          <w:divBdr>
                            <w:top w:val="none" w:sz="0" w:space="0" w:color="auto"/>
                            <w:left w:val="none" w:sz="0" w:space="0" w:color="auto"/>
                            <w:bottom w:val="none" w:sz="0" w:space="0" w:color="auto"/>
                            <w:right w:val="none" w:sz="0" w:space="0" w:color="auto"/>
                          </w:divBdr>
                          <w:divsChild>
                            <w:div w:id="1667435121">
                              <w:marLeft w:val="0"/>
                              <w:marRight w:val="0"/>
                              <w:marTop w:val="120"/>
                              <w:marBottom w:val="360"/>
                              <w:divBdr>
                                <w:top w:val="none" w:sz="0" w:space="0" w:color="auto"/>
                                <w:left w:val="none" w:sz="0" w:space="0" w:color="auto"/>
                                <w:bottom w:val="none" w:sz="0" w:space="0" w:color="auto"/>
                                <w:right w:val="none" w:sz="0" w:space="0" w:color="auto"/>
                              </w:divBdr>
                              <w:divsChild>
                                <w:div w:id="1814639352">
                                  <w:marLeft w:val="0"/>
                                  <w:marRight w:val="0"/>
                                  <w:marTop w:val="0"/>
                                  <w:marBottom w:val="0"/>
                                  <w:divBdr>
                                    <w:top w:val="none" w:sz="0" w:space="0" w:color="auto"/>
                                    <w:left w:val="none" w:sz="0" w:space="0" w:color="auto"/>
                                    <w:bottom w:val="none" w:sz="0" w:space="0" w:color="auto"/>
                                    <w:right w:val="none" w:sz="0" w:space="0" w:color="auto"/>
                                  </w:divBdr>
                                  <w:divsChild>
                                    <w:div w:id="3231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452998">
      <w:bodyDiv w:val="1"/>
      <w:marLeft w:val="0"/>
      <w:marRight w:val="0"/>
      <w:marTop w:val="0"/>
      <w:marBottom w:val="0"/>
      <w:divBdr>
        <w:top w:val="none" w:sz="0" w:space="0" w:color="auto"/>
        <w:left w:val="none" w:sz="0" w:space="0" w:color="auto"/>
        <w:bottom w:val="none" w:sz="0" w:space="0" w:color="auto"/>
        <w:right w:val="none" w:sz="0" w:space="0" w:color="auto"/>
      </w:divBdr>
      <w:divsChild>
        <w:div w:id="1430732043">
          <w:marLeft w:val="0"/>
          <w:marRight w:val="1"/>
          <w:marTop w:val="0"/>
          <w:marBottom w:val="0"/>
          <w:divBdr>
            <w:top w:val="none" w:sz="0" w:space="0" w:color="auto"/>
            <w:left w:val="none" w:sz="0" w:space="0" w:color="auto"/>
            <w:bottom w:val="none" w:sz="0" w:space="0" w:color="auto"/>
            <w:right w:val="none" w:sz="0" w:space="0" w:color="auto"/>
          </w:divBdr>
          <w:divsChild>
            <w:div w:id="457185230">
              <w:marLeft w:val="0"/>
              <w:marRight w:val="0"/>
              <w:marTop w:val="0"/>
              <w:marBottom w:val="0"/>
              <w:divBdr>
                <w:top w:val="none" w:sz="0" w:space="0" w:color="auto"/>
                <w:left w:val="none" w:sz="0" w:space="0" w:color="auto"/>
                <w:bottom w:val="none" w:sz="0" w:space="0" w:color="auto"/>
                <w:right w:val="none" w:sz="0" w:space="0" w:color="auto"/>
              </w:divBdr>
              <w:divsChild>
                <w:div w:id="2031182792">
                  <w:marLeft w:val="0"/>
                  <w:marRight w:val="1"/>
                  <w:marTop w:val="0"/>
                  <w:marBottom w:val="0"/>
                  <w:divBdr>
                    <w:top w:val="none" w:sz="0" w:space="0" w:color="auto"/>
                    <w:left w:val="none" w:sz="0" w:space="0" w:color="auto"/>
                    <w:bottom w:val="none" w:sz="0" w:space="0" w:color="auto"/>
                    <w:right w:val="none" w:sz="0" w:space="0" w:color="auto"/>
                  </w:divBdr>
                  <w:divsChild>
                    <w:div w:id="1714385888">
                      <w:marLeft w:val="0"/>
                      <w:marRight w:val="0"/>
                      <w:marTop w:val="0"/>
                      <w:marBottom w:val="0"/>
                      <w:divBdr>
                        <w:top w:val="none" w:sz="0" w:space="0" w:color="auto"/>
                        <w:left w:val="none" w:sz="0" w:space="0" w:color="auto"/>
                        <w:bottom w:val="none" w:sz="0" w:space="0" w:color="auto"/>
                        <w:right w:val="none" w:sz="0" w:space="0" w:color="auto"/>
                      </w:divBdr>
                      <w:divsChild>
                        <w:div w:id="481385735">
                          <w:marLeft w:val="0"/>
                          <w:marRight w:val="0"/>
                          <w:marTop w:val="0"/>
                          <w:marBottom w:val="0"/>
                          <w:divBdr>
                            <w:top w:val="none" w:sz="0" w:space="0" w:color="auto"/>
                            <w:left w:val="none" w:sz="0" w:space="0" w:color="auto"/>
                            <w:bottom w:val="none" w:sz="0" w:space="0" w:color="auto"/>
                            <w:right w:val="none" w:sz="0" w:space="0" w:color="auto"/>
                          </w:divBdr>
                          <w:divsChild>
                            <w:div w:id="2118677579">
                              <w:marLeft w:val="0"/>
                              <w:marRight w:val="0"/>
                              <w:marTop w:val="120"/>
                              <w:marBottom w:val="360"/>
                              <w:divBdr>
                                <w:top w:val="none" w:sz="0" w:space="0" w:color="auto"/>
                                <w:left w:val="none" w:sz="0" w:space="0" w:color="auto"/>
                                <w:bottom w:val="none" w:sz="0" w:space="0" w:color="auto"/>
                                <w:right w:val="none" w:sz="0" w:space="0" w:color="auto"/>
                              </w:divBdr>
                              <w:divsChild>
                                <w:div w:id="1966038783">
                                  <w:marLeft w:val="0"/>
                                  <w:marRight w:val="0"/>
                                  <w:marTop w:val="0"/>
                                  <w:marBottom w:val="0"/>
                                  <w:divBdr>
                                    <w:top w:val="none" w:sz="0" w:space="0" w:color="auto"/>
                                    <w:left w:val="none" w:sz="0" w:space="0" w:color="auto"/>
                                    <w:bottom w:val="none" w:sz="0" w:space="0" w:color="auto"/>
                                    <w:right w:val="none" w:sz="0" w:space="0" w:color="auto"/>
                                  </w:divBdr>
                                  <w:divsChild>
                                    <w:div w:id="18554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amani.mubarak@gmail.com" TargetMode="External"/><Relationship Id="rId13"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3846</Words>
  <Characters>21924</Characters>
  <Application>Microsoft Office Word</Application>
  <DocSecurity>0</DocSecurity>
  <Lines>182</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CD3 staining in the histological diagnosis of CD</vt:lpstr>
      <vt:lpstr>CD3 staining in the histological diagnosis of CD</vt:lpstr>
    </vt:vector>
  </TitlesOfParts>
  <Company>Hewlett-Packard Company</Company>
  <LinksUpToDate>false</LinksUpToDate>
  <CharactersWithSpaces>25719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CD3 staining in the histological diagnosis of CD</dc:title>
  <dc:creator>User</dc:creator>
  <cp:lastModifiedBy>LS Ma</cp:lastModifiedBy>
  <cp:revision>2</cp:revision>
  <cp:lastPrinted>2014-09-09T07:55:00Z</cp:lastPrinted>
  <dcterms:created xsi:type="dcterms:W3CDTF">2015-01-07T22:22:00Z</dcterms:created>
  <dcterms:modified xsi:type="dcterms:W3CDTF">2015-01-07T22:22:00Z</dcterms:modified>
</cp:coreProperties>
</file>