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BC48" w14:textId="3248E59F" w:rsidR="00015755" w:rsidRPr="002F657A" w:rsidRDefault="00015755" w:rsidP="00B514F1">
      <w:pPr>
        <w:spacing w:line="360" w:lineRule="auto"/>
        <w:rPr>
          <w:rFonts w:ascii="Book Antiqua" w:hAnsi="Book Antiqua"/>
          <w:b/>
          <w:sz w:val="24"/>
          <w:szCs w:val="24"/>
        </w:rPr>
      </w:pPr>
      <w:r w:rsidRPr="002F657A">
        <w:rPr>
          <w:rFonts w:ascii="Book Antiqua" w:hAnsi="Book Antiqua"/>
          <w:b/>
          <w:sz w:val="24"/>
          <w:szCs w:val="24"/>
        </w:rPr>
        <w:t xml:space="preserve">Name of journal: </w:t>
      </w:r>
      <w:r w:rsidRPr="002F657A">
        <w:rPr>
          <w:rFonts w:ascii="Book Antiqua" w:hAnsi="Book Antiqua"/>
          <w:b/>
          <w:i/>
          <w:sz w:val="24"/>
          <w:szCs w:val="24"/>
        </w:rPr>
        <w:t>World Journal of Critical Care Medicine</w:t>
      </w:r>
    </w:p>
    <w:p w14:paraId="0DFC3128" w14:textId="72C95201" w:rsidR="00015755" w:rsidRPr="002F657A" w:rsidRDefault="00015755" w:rsidP="00B514F1">
      <w:pPr>
        <w:spacing w:line="360" w:lineRule="auto"/>
        <w:rPr>
          <w:rFonts w:ascii="Book Antiqua" w:eastAsia="宋体" w:hAnsi="Book Antiqua"/>
          <w:b/>
          <w:sz w:val="24"/>
          <w:szCs w:val="24"/>
          <w:lang w:eastAsia="zh-CN"/>
        </w:rPr>
      </w:pPr>
      <w:r w:rsidRPr="002F657A">
        <w:rPr>
          <w:rFonts w:ascii="Book Antiqua" w:hAnsi="Book Antiqua"/>
          <w:b/>
          <w:sz w:val="24"/>
          <w:szCs w:val="24"/>
        </w:rPr>
        <w:t xml:space="preserve">ESPS Manuscript NO: </w:t>
      </w:r>
      <w:r w:rsidRPr="002F657A">
        <w:rPr>
          <w:rFonts w:ascii="Book Antiqua" w:eastAsia="宋体" w:hAnsi="Book Antiqua"/>
          <w:b/>
          <w:sz w:val="24"/>
          <w:szCs w:val="24"/>
          <w:lang w:eastAsia="zh-CN"/>
        </w:rPr>
        <w:t>14262</w:t>
      </w:r>
    </w:p>
    <w:p w14:paraId="2EC13BA4" w14:textId="06FCD872" w:rsidR="00136921" w:rsidRPr="002F657A" w:rsidRDefault="00015755" w:rsidP="00B514F1">
      <w:pPr>
        <w:spacing w:line="360" w:lineRule="auto"/>
        <w:rPr>
          <w:rFonts w:ascii="Book Antiqua" w:eastAsia="宋体" w:hAnsi="Book Antiqua"/>
          <w:b/>
          <w:sz w:val="24"/>
          <w:szCs w:val="24"/>
          <w:lang w:eastAsia="zh-CN"/>
        </w:rPr>
      </w:pPr>
      <w:r w:rsidRPr="002F657A">
        <w:rPr>
          <w:rFonts w:ascii="Book Antiqua" w:hAnsi="Book Antiqua"/>
          <w:b/>
          <w:sz w:val="24"/>
          <w:szCs w:val="24"/>
        </w:rPr>
        <w:t xml:space="preserve">Columns: </w:t>
      </w:r>
      <w:r w:rsidRPr="002F657A">
        <w:rPr>
          <w:rFonts w:ascii="Book Antiqua" w:eastAsia="宋体" w:hAnsi="Book Antiqua"/>
          <w:b/>
          <w:sz w:val="24"/>
          <w:szCs w:val="24"/>
          <w:lang w:eastAsia="zh-CN"/>
        </w:rPr>
        <w:t>R</w:t>
      </w:r>
      <w:r w:rsidR="00136921" w:rsidRPr="002F657A">
        <w:rPr>
          <w:rFonts w:ascii="Book Antiqua" w:eastAsia="宋体" w:hAnsi="Book Antiqua"/>
          <w:b/>
          <w:sz w:val="24"/>
          <w:szCs w:val="24"/>
          <w:lang w:eastAsia="zh-CN"/>
        </w:rPr>
        <w:t>EVIEW</w:t>
      </w:r>
      <w:r w:rsidRPr="002F657A">
        <w:rPr>
          <w:rFonts w:ascii="Book Antiqua" w:eastAsia="HG丸ｺﾞｼｯｸM-PRO" w:hAnsi="Book Antiqua"/>
          <w:b/>
          <w:sz w:val="24"/>
          <w:szCs w:val="24"/>
        </w:rPr>
        <w:t xml:space="preserve"> </w:t>
      </w:r>
    </w:p>
    <w:p w14:paraId="16C7DFD4" w14:textId="4619CE55" w:rsidR="00052184" w:rsidRPr="00E341D3" w:rsidRDefault="00D22359" w:rsidP="00B514F1">
      <w:pPr>
        <w:spacing w:line="360" w:lineRule="auto"/>
        <w:rPr>
          <w:rFonts w:ascii="Book Antiqua" w:hAnsi="Book Antiqua"/>
          <w:sz w:val="24"/>
          <w:szCs w:val="24"/>
        </w:rPr>
      </w:pPr>
      <w:r w:rsidRPr="00E341D3">
        <w:rPr>
          <w:rFonts w:ascii="Book Antiqua" w:eastAsia="HG丸ｺﾞｼｯｸM-PRO" w:hAnsi="Book Antiqua"/>
          <w:b/>
          <w:sz w:val="24"/>
          <w:szCs w:val="24"/>
        </w:rPr>
        <w:t xml:space="preserve">　</w:t>
      </w:r>
    </w:p>
    <w:p w14:paraId="49F92625" w14:textId="2FE225AF" w:rsidR="00342BFA" w:rsidRPr="00E341D3" w:rsidRDefault="00342BFA" w:rsidP="00B514F1">
      <w:pPr>
        <w:widowControl/>
        <w:autoSpaceDE w:val="0"/>
        <w:autoSpaceDN w:val="0"/>
        <w:adjustRightInd w:val="0"/>
        <w:spacing w:line="360" w:lineRule="auto"/>
        <w:rPr>
          <w:rFonts w:ascii="Book Antiqua" w:eastAsiaTheme="minorEastAsia" w:hAnsi="Book Antiqua" w:cs="Helvetica"/>
          <w:b/>
          <w:kern w:val="0"/>
          <w:sz w:val="24"/>
          <w:szCs w:val="24"/>
        </w:rPr>
      </w:pPr>
      <w:r w:rsidRPr="00E341D3">
        <w:rPr>
          <w:rFonts w:ascii="Book Antiqua" w:eastAsiaTheme="minorEastAsia" w:hAnsi="Book Antiqua" w:cs="Helvetica"/>
          <w:b/>
          <w:kern w:val="0"/>
          <w:sz w:val="24"/>
          <w:szCs w:val="24"/>
        </w:rPr>
        <w:t>Treatment and prevention of gastrointestinal bleeding in patients</w:t>
      </w:r>
      <w:r w:rsidR="00136921" w:rsidRPr="00E341D3">
        <w:rPr>
          <w:rFonts w:ascii="Book Antiqua" w:eastAsia="宋体" w:hAnsi="Book Antiqua" w:cs="Helvetica"/>
          <w:b/>
          <w:kern w:val="0"/>
          <w:sz w:val="24"/>
          <w:szCs w:val="24"/>
          <w:lang w:eastAsia="zh-CN"/>
        </w:rPr>
        <w:t xml:space="preserve"> </w:t>
      </w:r>
      <w:r w:rsidR="00B70D0E" w:rsidRPr="00E341D3">
        <w:rPr>
          <w:rFonts w:ascii="Book Antiqua" w:eastAsiaTheme="minorEastAsia" w:hAnsi="Book Antiqua" w:cs="Helvetica"/>
          <w:b/>
          <w:kern w:val="0"/>
          <w:sz w:val="24"/>
          <w:szCs w:val="24"/>
        </w:rPr>
        <w:t>rec</w:t>
      </w:r>
      <w:r w:rsidRPr="00E341D3">
        <w:rPr>
          <w:rFonts w:ascii="Book Antiqua" w:eastAsiaTheme="minorEastAsia" w:hAnsi="Book Antiqua" w:cs="Helvetica"/>
          <w:b/>
          <w:kern w:val="0"/>
          <w:sz w:val="24"/>
          <w:szCs w:val="24"/>
        </w:rPr>
        <w:t>eiving antiplatelet therapy</w:t>
      </w:r>
    </w:p>
    <w:p w14:paraId="76393E11" w14:textId="77777777" w:rsidR="00342BFA" w:rsidRPr="00E341D3" w:rsidRDefault="00342BFA" w:rsidP="00B514F1">
      <w:pPr>
        <w:spacing w:line="360" w:lineRule="auto"/>
        <w:rPr>
          <w:rFonts w:ascii="Book Antiqua" w:eastAsia="宋体" w:hAnsi="Book Antiqua" w:cs="Arial"/>
          <w:b/>
          <w:sz w:val="24"/>
          <w:szCs w:val="24"/>
          <w:lang w:eastAsia="zh-CN"/>
        </w:rPr>
      </w:pPr>
    </w:p>
    <w:p w14:paraId="5C0BCC5A" w14:textId="6B604590" w:rsidR="00015755" w:rsidRPr="00E341D3" w:rsidRDefault="00DC34F6" w:rsidP="00B514F1">
      <w:pPr>
        <w:spacing w:line="360" w:lineRule="auto"/>
        <w:rPr>
          <w:rFonts w:ascii="Book Antiqua" w:eastAsia="Arial Unicode MS" w:hAnsi="Book Antiqua" w:cs="Arial Unicode MS"/>
          <w:sz w:val="24"/>
          <w:szCs w:val="24"/>
          <w:lang w:val="en"/>
        </w:rPr>
      </w:pPr>
      <w:r w:rsidRPr="00E341D3">
        <w:rPr>
          <w:rFonts w:ascii="Book Antiqua" w:eastAsia="HG丸ｺﾞｼｯｸM-PRO" w:hAnsi="Book Antiqua" w:cs="Arial"/>
          <w:sz w:val="24"/>
          <w:szCs w:val="24"/>
        </w:rPr>
        <w:t>Yasuda</w:t>
      </w:r>
      <w:r w:rsidRPr="00E341D3">
        <w:rPr>
          <w:rFonts w:ascii="Book Antiqua" w:eastAsia="宋体" w:hAnsi="Book Antiqua" w:cs="Arial"/>
          <w:sz w:val="24"/>
          <w:szCs w:val="24"/>
          <w:lang w:eastAsia="zh-CN"/>
        </w:rPr>
        <w:t xml:space="preserve"> H </w:t>
      </w:r>
      <w:r w:rsidRPr="00E341D3">
        <w:rPr>
          <w:rFonts w:ascii="Book Antiqua" w:eastAsia="宋体" w:hAnsi="Book Antiqua" w:cs="Arial"/>
          <w:i/>
          <w:sz w:val="24"/>
          <w:szCs w:val="24"/>
          <w:lang w:eastAsia="zh-CN"/>
        </w:rPr>
        <w:t>et al.</w:t>
      </w:r>
      <w:r w:rsidR="005E17A7" w:rsidRPr="00E341D3">
        <w:rPr>
          <w:rFonts w:ascii="Book Antiqua" w:hAnsi="Book Antiqua"/>
          <w:sz w:val="24"/>
          <w:szCs w:val="24"/>
        </w:rPr>
        <w:t xml:space="preserve"> </w:t>
      </w:r>
      <w:r w:rsidRPr="00E341D3">
        <w:rPr>
          <w:rFonts w:ascii="Book Antiqua" w:hAnsi="Book Antiqua"/>
          <w:sz w:val="24"/>
          <w:szCs w:val="24"/>
        </w:rPr>
        <w:t>G</w:t>
      </w:r>
      <w:r w:rsidR="005E17A7" w:rsidRPr="00E341D3">
        <w:rPr>
          <w:rFonts w:ascii="Book Antiqua" w:hAnsi="Book Antiqua"/>
          <w:sz w:val="24"/>
          <w:szCs w:val="24"/>
        </w:rPr>
        <w:t>astrointestinal bleeding during antiplatelet therapy</w:t>
      </w:r>
      <w:r w:rsidR="00015755" w:rsidRPr="00E341D3">
        <w:rPr>
          <w:rFonts w:ascii="Book Antiqua" w:hAnsi="Book Antiqua"/>
          <w:sz w:val="24"/>
          <w:szCs w:val="24"/>
        </w:rPr>
        <w:t xml:space="preserve"> </w:t>
      </w:r>
    </w:p>
    <w:p w14:paraId="4F840049" w14:textId="77777777" w:rsidR="00015755" w:rsidRPr="00E341D3" w:rsidRDefault="00015755" w:rsidP="00B514F1">
      <w:pPr>
        <w:spacing w:line="360" w:lineRule="auto"/>
        <w:rPr>
          <w:rFonts w:ascii="Book Antiqua" w:eastAsia="宋体" w:hAnsi="Book Antiqua" w:cs="Arial"/>
          <w:b/>
          <w:sz w:val="24"/>
          <w:szCs w:val="24"/>
          <w:lang w:val="en" w:eastAsia="zh-CN"/>
        </w:rPr>
      </w:pPr>
    </w:p>
    <w:p w14:paraId="0D0F1BAC" w14:textId="5D325E0B" w:rsidR="00342BFA" w:rsidRPr="00E341D3" w:rsidRDefault="00342BFA" w:rsidP="00B514F1">
      <w:pPr>
        <w:spacing w:line="360" w:lineRule="auto"/>
        <w:rPr>
          <w:rFonts w:ascii="Book Antiqua" w:eastAsia="HG丸ｺﾞｼｯｸM-PRO" w:hAnsi="Book Antiqua" w:cs="Arial"/>
          <w:sz w:val="24"/>
          <w:szCs w:val="24"/>
        </w:rPr>
      </w:pPr>
      <w:r w:rsidRPr="00E341D3">
        <w:rPr>
          <w:rFonts w:ascii="Book Antiqua" w:eastAsia="HG丸ｺﾞｼｯｸM-PRO" w:hAnsi="Book Antiqua" w:cs="Arial"/>
          <w:sz w:val="24"/>
          <w:szCs w:val="24"/>
        </w:rPr>
        <w:t xml:space="preserve">Hiroshi Yasuda, </w:t>
      </w:r>
      <w:r w:rsidR="002110E4" w:rsidRPr="00E341D3">
        <w:rPr>
          <w:rFonts w:ascii="Book Antiqua" w:eastAsia="HG丸ｺﾞｼｯｸM-PRO" w:hAnsi="Book Antiqua" w:cs="Arial"/>
          <w:sz w:val="24"/>
          <w:szCs w:val="24"/>
        </w:rPr>
        <w:t xml:space="preserve">Yasumasa Matsuo, Yoshinori Sato, Sun-ichiro Ozawa, </w:t>
      </w:r>
      <w:r w:rsidR="005E17A7" w:rsidRPr="00E341D3">
        <w:rPr>
          <w:rFonts w:ascii="Book Antiqua" w:eastAsia="HG丸ｺﾞｼｯｸM-PRO" w:hAnsi="Book Antiqua" w:cs="Arial"/>
          <w:sz w:val="24"/>
          <w:szCs w:val="24"/>
        </w:rPr>
        <w:t>Shinya Ishigooka</w:t>
      </w:r>
      <w:r w:rsidR="002110E4" w:rsidRPr="00E341D3">
        <w:rPr>
          <w:rFonts w:ascii="Book Antiqua" w:eastAsia="HG丸ｺﾞｼｯｸM-PRO" w:hAnsi="Book Antiqua" w:cs="Arial"/>
          <w:sz w:val="24"/>
          <w:szCs w:val="24"/>
        </w:rPr>
        <w:t xml:space="preserve">, Masaki Yamashita, </w:t>
      </w:r>
      <w:r w:rsidRPr="00E341D3">
        <w:rPr>
          <w:rFonts w:ascii="Book Antiqua" w:eastAsia="HG丸ｺﾞｼｯｸM-PRO" w:hAnsi="Book Antiqua" w:cs="Arial"/>
          <w:sz w:val="24"/>
          <w:szCs w:val="24"/>
        </w:rPr>
        <w:t>Hiroyuki Yamamoto, Fumio Itoh</w:t>
      </w:r>
    </w:p>
    <w:p w14:paraId="3CB8C259" w14:textId="77777777" w:rsidR="00342BFA" w:rsidRPr="00E341D3" w:rsidRDefault="00342BFA" w:rsidP="00B514F1">
      <w:pPr>
        <w:pStyle w:val="Footer"/>
        <w:tabs>
          <w:tab w:val="clear" w:pos="4252"/>
          <w:tab w:val="clear" w:pos="8504"/>
        </w:tabs>
        <w:snapToGrid/>
        <w:spacing w:line="360" w:lineRule="auto"/>
        <w:rPr>
          <w:rFonts w:ascii="Book Antiqua" w:eastAsia="宋体" w:hAnsi="Book Antiqua"/>
          <w:lang w:eastAsia="zh-CN"/>
        </w:rPr>
      </w:pPr>
    </w:p>
    <w:p w14:paraId="1704A288" w14:textId="31E6B2FD" w:rsidR="00342BFA" w:rsidRPr="00E341D3" w:rsidRDefault="00DC34F6" w:rsidP="00B514F1">
      <w:pPr>
        <w:spacing w:line="360" w:lineRule="auto"/>
        <w:rPr>
          <w:rFonts w:ascii="Book Antiqua" w:eastAsia="宋体" w:hAnsi="Book Antiqua" w:cs="Arial"/>
          <w:b/>
          <w:sz w:val="24"/>
          <w:szCs w:val="24"/>
          <w:lang w:eastAsia="zh-CN"/>
        </w:rPr>
      </w:pPr>
      <w:r w:rsidRPr="00E341D3">
        <w:rPr>
          <w:rFonts w:ascii="Book Antiqua" w:eastAsia="HG丸ｺﾞｼｯｸM-PRO" w:hAnsi="Book Antiqua" w:cs="Arial"/>
          <w:b/>
          <w:sz w:val="24"/>
          <w:szCs w:val="24"/>
        </w:rPr>
        <w:t>Hiroshi Yasuda, Yasumasa Matsuo, Yoshinori Sato, Sun-ichiro Ozawa, Shinya Ishigooka, Masaki Yamashita, Hiroyuki Yamamoto, Fumio Itoh</w:t>
      </w:r>
      <w:r w:rsidRPr="00E341D3">
        <w:rPr>
          <w:rFonts w:ascii="Book Antiqua" w:eastAsia="宋体" w:hAnsi="Book Antiqua" w:cs="Arial"/>
          <w:b/>
          <w:sz w:val="24"/>
          <w:szCs w:val="24"/>
          <w:lang w:eastAsia="zh-CN"/>
        </w:rPr>
        <w:t xml:space="preserve">, </w:t>
      </w:r>
      <w:r w:rsidR="00342BFA" w:rsidRPr="00E341D3">
        <w:rPr>
          <w:rFonts w:ascii="Book Antiqua" w:hAnsi="Book Antiqua"/>
          <w:sz w:val="24"/>
          <w:szCs w:val="24"/>
        </w:rPr>
        <w:t>Division of Gastroenterology and Hepatology, St. Marianna University School of Medicine, Kawasaki 216-8511, Japan</w:t>
      </w:r>
    </w:p>
    <w:p w14:paraId="1CD3AF36" w14:textId="77777777" w:rsidR="00DC34F6" w:rsidRPr="00E341D3" w:rsidRDefault="00DC34F6" w:rsidP="00B514F1">
      <w:pPr>
        <w:pStyle w:val="Footer"/>
        <w:tabs>
          <w:tab w:val="clear" w:pos="4252"/>
          <w:tab w:val="clear" w:pos="8504"/>
        </w:tabs>
        <w:snapToGrid/>
        <w:spacing w:line="360" w:lineRule="auto"/>
        <w:rPr>
          <w:rFonts w:ascii="Book Antiqua" w:eastAsia="宋体" w:hAnsi="Book Antiqua"/>
          <w:b/>
          <w:lang w:eastAsia="zh-CN"/>
        </w:rPr>
      </w:pPr>
    </w:p>
    <w:p w14:paraId="7012F9C6" w14:textId="2A7B2458" w:rsidR="00342BFA" w:rsidRPr="00E341D3" w:rsidRDefault="00DC34F6" w:rsidP="00B514F1">
      <w:pPr>
        <w:pStyle w:val="Footer"/>
        <w:tabs>
          <w:tab w:val="clear" w:pos="4252"/>
          <w:tab w:val="clear" w:pos="8504"/>
        </w:tabs>
        <w:snapToGrid/>
        <w:spacing w:line="360" w:lineRule="auto"/>
        <w:rPr>
          <w:rFonts w:ascii="Book Antiqua" w:eastAsia="宋体" w:hAnsi="Book Antiqua"/>
          <w:lang w:eastAsia="zh-CN"/>
        </w:rPr>
      </w:pPr>
      <w:r w:rsidRPr="00E341D3">
        <w:rPr>
          <w:rFonts w:ascii="Book Antiqua" w:hAnsi="Book Antiqua"/>
          <w:b/>
        </w:rPr>
        <w:t>Author contributions:</w:t>
      </w:r>
      <w:r w:rsidRPr="00E341D3">
        <w:rPr>
          <w:rFonts w:ascii="Book Antiqua" w:hAnsi="Book Antiqua"/>
        </w:rPr>
        <w:t xml:space="preserve"> All</w:t>
      </w:r>
      <w:r w:rsidRPr="00E341D3">
        <w:rPr>
          <w:rFonts w:ascii="Book Antiqua" w:eastAsia="宋体" w:hAnsi="Book Antiqua"/>
          <w:lang w:eastAsia="zh-CN"/>
        </w:rPr>
        <w:t xml:space="preserve"> authors contributed to this work.</w:t>
      </w:r>
    </w:p>
    <w:p w14:paraId="751B5E7F" w14:textId="77777777" w:rsidR="00DC34F6" w:rsidRPr="00E341D3" w:rsidRDefault="00DC34F6" w:rsidP="00B514F1">
      <w:pPr>
        <w:pStyle w:val="Footer"/>
        <w:tabs>
          <w:tab w:val="clear" w:pos="4252"/>
          <w:tab w:val="clear" w:pos="8504"/>
        </w:tabs>
        <w:snapToGrid/>
        <w:spacing w:line="360" w:lineRule="auto"/>
        <w:rPr>
          <w:rFonts w:ascii="Book Antiqua" w:eastAsia="宋体" w:hAnsi="Book Antiqua"/>
          <w:lang w:eastAsia="zh-CN"/>
        </w:rPr>
      </w:pPr>
    </w:p>
    <w:p w14:paraId="11EABB2D" w14:textId="77777777" w:rsidR="00DC34F6" w:rsidRPr="00E341D3" w:rsidRDefault="00DC34F6" w:rsidP="00B514F1">
      <w:pPr>
        <w:spacing w:line="360" w:lineRule="auto"/>
        <w:rPr>
          <w:rFonts w:ascii="Book Antiqua" w:eastAsia="宋体" w:hAnsi="Book Antiqua" w:cs="LegacySerifStd-Book"/>
          <w:kern w:val="0"/>
          <w:sz w:val="24"/>
          <w:szCs w:val="24"/>
          <w:lang w:eastAsia="zh-CN"/>
        </w:rPr>
      </w:pPr>
      <w:r w:rsidRPr="00E341D3">
        <w:rPr>
          <w:rFonts w:ascii="Book Antiqua" w:hAnsi="Book Antiqua" w:cs="TimesNewRomanPS-BoldItalicMT"/>
          <w:b/>
          <w:bCs/>
          <w:iCs/>
          <w:sz w:val="24"/>
          <w:szCs w:val="24"/>
        </w:rPr>
        <w:t>Conflict-of-interest:</w:t>
      </w:r>
      <w:r w:rsidRPr="00E341D3">
        <w:rPr>
          <w:rFonts w:ascii="Book Antiqua" w:hAnsi="Book Antiqua" w:cs="LegacySerifStd-Book"/>
          <w:kern w:val="0"/>
          <w:sz w:val="24"/>
          <w:szCs w:val="24"/>
        </w:rPr>
        <w:t xml:space="preserve"> There are no conflicts of interest to disclose.</w:t>
      </w:r>
    </w:p>
    <w:p w14:paraId="1AE05074" w14:textId="77777777" w:rsidR="00DC34F6" w:rsidRPr="00E341D3" w:rsidRDefault="00DC34F6" w:rsidP="00B514F1">
      <w:pPr>
        <w:pStyle w:val="Footer"/>
        <w:tabs>
          <w:tab w:val="clear" w:pos="4252"/>
          <w:tab w:val="clear" w:pos="8504"/>
        </w:tabs>
        <w:snapToGrid/>
        <w:spacing w:line="360" w:lineRule="auto"/>
        <w:rPr>
          <w:rFonts w:ascii="Book Antiqua" w:eastAsia="宋体" w:hAnsi="Book Antiqua"/>
          <w:lang w:eastAsia="zh-CN"/>
        </w:rPr>
      </w:pPr>
    </w:p>
    <w:p w14:paraId="4F09214E" w14:textId="77777777" w:rsidR="00DC34F6" w:rsidRPr="00E341D3" w:rsidRDefault="00DC34F6" w:rsidP="00B514F1">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E341D3">
        <w:rPr>
          <w:rFonts w:ascii="Book Antiqua" w:hAnsi="Book Antiqua"/>
          <w:b/>
          <w:sz w:val="24"/>
          <w:szCs w:val="24"/>
        </w:rPr>
        <w:t xml:space="preserve">Open-Access: </w:t>
      </w:r>
      <w:r w:rsidRPr="00E341D3">
        <w:rPr>
          <w:rFonts w:ascii="Book Antiqua" w:hAnsi="Book Antiqua"/>
          <w:sz w:val="24"/>
          <w:szCs w:val="24"/>
        </w:rPr>
        <w:t xml:space="preserve">This article is an open-access article which was selected by an </w:t>
      </w:r>
      <w:r w:rsidRPr="00E341D3">
        <w:rPr>
          <w:rFonts w:ascii="Book Antiqua" w:hAnsi="Book Antiqua"/>
          <w:sz w:val="24"/>
          <w:szCs w:val="24"/>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341D3">
          <w:rPr>
            <w:rStyle w:val="Hyperlink"/>
            <w:rFonts w:ascii="Book Antiqua" w:hAnsi="Book Antiqua"/>
            <w:color w:val="auto"/>
            <w:sz w:val="24"/>
            <w:szCs w:val="24"/>
          </w:rPr>
          <w:t>http://creativecommons.org/licenses/by-nc/4.0/</w:t>
        </w:r>
      </w:hyperlink>
      <w:bookmarkEnd w:id="0"/>
      <w:bookmarkEnd w:id="1"/>
      <w:bookmarkEnd w:id="2"/>
      <w:bookmarkEnd w:id="3"/>
    </w:p>
    <w:p w14:paraId="36053456" w14:textId="77777777" w:rsidR="00DC34F6" w:rsidRPr="00E341D3" w:rsidRDefault="00DC34F6" w:rsidP="00B514F1">
      <w:pPr>
        <w:pStyle w:val="Footer"/>
        <w:tabs>
          <w:tab w:val="clear" w:pos="4252"/>
          <w:tab w:val="clear" w:pos="8504"/>
        </w:tabs>
        <w:snapToGrid/>
        <w:spacing w:line="360" w:lineRule="auto"/>
        <w:rPr>
          <w:rFonts w:ascii="Book Antiqua" w:eastAsia="宋体" w:hAnsi="Book Antiqua"/>
          <w:lang w:eastAsia="zh-CN"/>
        </w:rPr>
      </w:pPr>
    </w:p>
    <w:p w14:paraId="2A60EB0A" w14:textId="22FFD5E0" w:rsidR="00342BFA" w:rsidRPr="00E341D3" w:rsidRDefault="00DC34F6" w:rsidP="00B514F1">
      <w:pPr>
        <w:spacing w:line="360" w:lineRule="auto"/>
        <w:rPr>
          <w:rFonts w:ascii="Book Antiqua" w:eastAsia="宋体" w:hAnsi="Book Antiqua"/>
          <w:b/>
          <w:sz w:val="24"/>
          <w:szCs w:val="24"/>
          <w:lang w:eastAsia="zh-CN"/>
        </w:rPr>
      </w:pPr>
      <w:r w:rsidRPr="00E341D3">
        <w:rPr>
          <w:rFonts w:ascii="Book Antiqua" w:hAnsi="Book Antiqua"/>
          <w:b/>
          <w:sz w:val="24"/>
          <w:szCs w:val="24"/>
        </w:rPr>
        <w:t>Correspondence to:</w:t>
      </w:r>
      <w:r w:rsidRPr="00E341D3">
        <w:rPr>
          <w:rFonts w:ascii="Book Antiqua" w:eastAsia="宋体" w:hAnsi="Book Antiqua"/>
          <w:b/>
          <w:sz w:val="24"/>
          <w:szCs w:val="24"/>
          <w:lang w:eastAsia="zh-CN"/>
        </w:rPr>
        <w:t xml:space="preserve"> </w:t>
      </w:r>
      <w:r w:rsidRPr="00E341D3">
        <w:rPr>
          <w:rFonts w:ascii="Book Antiqua" w:hAnsi="Book Antiqua"/>
          <w:b/>
          <w:sz w:val="24"/>
          <w:szCs w:val="24"/>
        </w:rPr>
        <w:t>Hiroshi Yasuda, MD, PhD</w:t>
      </w:r>
      <w:r w:rsidRPr="00E341D3">
        <w:rPr>
          <w:rFonts w:ascii="Book Antiqua" w:eastAsia="宋体" w:hAnsi="Book Antiqua"/>
          <w:b/>
          <w:sz w:val="24"/>
          <w:szCs w:val="24"/>
          <w:lang w:eastAsia="zh-CN"/>
        </w:rPr>
        <w:t xml:space="preserve">, </w:t>
      </w:r>
      <w:r w:rsidR="00342BFA" w:rsidRPr="00E341D3">
        <w:rPr>
          <w:rFonts w:ascii="Book Antiqua" w:hAnsi="Book Antiqua"/>
          <w:sz w:val="24"/>
          <w:szCs w:val="24"/>
        </w:rPr>
        <w:t>Division of Gastroenterology and Hepatology</w:t>
      </w:r>
      <w:r w:rsidRPr="00E341D3">
        <w:rPr>
          <w:rFonts w:ascii="Book Antiqua" w:eastAsia="宋体" w:hAnsi="Book Antiqua"/>
          <w:sz w:val="24"/>
          <w:szCs w:val="24"/>
          <w:lang w:eastAsia="zh-CN"/>
        </w:rPr>
        <w:t>,</w:t>
      </w:r>
      <w:r w:rsidRPr="00E341D3">
        <w:rPr>
          <w:rFonts w:ascii="Book Antiqua" w:eastAsia="宋体" w:hAnsi="Book Antiqua"/>
          <w:b/>
          <w:sz w:val="24"/>
          <w:szCs w:val="24"/>
          <w:lang w:eastAsia="zh-CN"/>
        </w:rPr>
        <w:t xml:space="preserve"> </w:t>
      </w:r>
      <w:r w:rsidR="00342BFA" w:rsidRPr="00E341D3">
        <w:rPr>
          <w:rFonts w:ascii="Book Antiqua" w:hAnsi="Book Antiqua"/>
          <w:sz w:val="24"/>
          <w:szCs w:val="24"/>
        </w:rPr>
        <w:t>St. Marianna University School of Medicine</w:t>
      </w:r>
      <w:r w:rsidRPr="00E341D3">
        <w:rPr>
          <w:rFonts w:ascii="Book Antiqua" w:eastAsia="宋体" w:hAnsi="Book Antiqua"/>
          <w:b/>
          <w:sz w:val="24"/>
          <w:szCs w:val="24"/>
          <w:lang w:eastAsia="zh-CN"/>
        </w:rPr>
        <w:t xml:space="preserve">, </w:t>
      </w:r>
      <w:r w:rsidR="00342BFA" w:rsidRPr="00E341D3">
        <w:rPr>
          <w:rFonts w:ascii="Book Antiqua" w:hAnsi="Book Antiqua"/>
          <w:sz w:val="24"/>
          <w:szCs w:val="24"/>
        </w:rPr>
        <w:t>2-16-1 Sugao</w:t>
      </w:r>
      <w:r w:rsidRPr="00E341D3">
        <w:rPr>
          <w:rFonts w:ascii="Book Antiqua" w:eastAsia="宋体" w:hAnsi="Book Antiqua"/>
          <w:sz w:val="24"/>
          <w:szCs w:val="24"/>
          <w:lang w:eastAsia="zh-CN"/>
        </w:rPr>
        <w:t>,</w:t>
      </w:r>
      <w:r w:rsidRPr="00E341D3">
        <w:rPr>
          <w:rFonts w:ascii="Book Antiqua" w:eastAsia="宋体" w:hAnsi="Book Antiqua"/>
          <w:b/>
          <w:sz w:val="24"/>
          <w:szCs w:val="24"/>
          <w:lang w:eastAsia="zh-CN"/>
        </w:rPr>
        <w:t xml:space="preserve"> </w:t>
      </w:r>
      <w:r w:rsidR="00342BFA" w:rsidRPr="00E341D3">
        <w:rPr>
          <w:rFonts w:ascii="Book Antiqua" w:hAnsi="Book Antiqua"/>
          <w:sz w:val="24"/>
          <w:szCs w:val="24"/>
        </w:rPr>
        <w:t>Kawasaki 216-8511, Japan</w:t>
      </w:r>
      <w:r w:rsidRPr="00E341D3">
        <w:rPr>
          <w:rFonts w:ascii="Book Antiqua" w:eastAsia="宋体" w:hAnsi="Book Antiqua"/>
          <w:sz w:val="24"/>
          <w:szCs w:val="24"/>
          <w:lang w:eastAsia="zh-CN"/>
        </w:rPr>
        <w:t>.</w:t>
      </w:r>
      <w:r w:rsidRPr="00E341D3">
        <w:rPr>
          <w:rFonts w:ascii="Book Antiqua" w:hAnsi="Book Antiqua"/>
          <w:sz w:val="24"/>
          <w:szCs w:val="24"/>
        </w:rPr>
        <w:t xml:space="preserve"> </w:t>
      </w:r>
      <w:hyperlink r:id="rId9" w:history="1">
        <w:r w:rsidRPr="00E341D3">
          <w:rPr>
            <w:rStyle w:val="Hyperlink"/>
            <w:rFonts w:ascii="Book Antiqua" w:hAnsi="Book Antiqua"/>
            <w:color w:val="auto"/>
            <w:sz w:val="24"/>
            <w:szCs w:val="24"/>
            <w:u w:val="none"/>
          </w:rPr>
          <w:t>hyasuda@marianna-u.ac.jp</w:t>
        </w:r>
      </w:hyperlink>
    </w:p>
    <w:p w14:paraId="20220323" w14:textId="77777777" w:rsidR="00DC34F6" w:rsidRPr="00E341D3" w:rsidRDefault="00DC34F6" w:rsidP="00B514F1">
      <w:pPr>
        <w:spacing w:line="360" w:lineRule="auto"/>
        <w:rPr>
          <w:rFonts w:ascii="Book Antiqua" w:eastAsia="宋体" w:hAnsi="Book Antiqua"/>
          <w:b/>
          <w:sz w:val="24"/>
          <w:szCs w:val="24"/>
          <w:lang w:eastAsia="zh-CN"/>
        </w:rPr>
      </w:pPr>
    </w:p>
    <w:p w14:paraId="6325A729" w14:textId="2EDAC9B0" w:rsidR="00342BFA" w:rsidRPr="00E341D3" w:rsidRDefault="00342BFA" w:rsidP="00B514F1">
      <w:pPr>
        <w:spacing w:line="360" w:lineRule="auto"/>
        <w:rPr>
          <w:rFonts w:ascii="Book Antiqua" w:hAnsi="Book Antiqua"/>
          <w:sz w:val="24"/>
          <w:szCs w:val="24"/>
        </w:rPr>
      </w:pPr>
      <w:r w:rsidRPr="00E341D3">
        <w:rPr>
          <w:rFonts w:ascii="Book Antiqua" w:hAnsi="Book Antiqua"/>
          <w:b/>
          <w:sz w:val="24"/>
          <w:szCs w:val="24"/>
        </w:rPr>
        <w:t>Tel</w:t>
      </w:r>
      <w:r w:rsidR="00DC34F6" w:rsidRPr="00E341D3">
        <w:rPr>
          <w:rFonts w:ascii="Book Antiqua" w:eastAsia="宋体" w:hAnsi="Book Antiqua"/>
          <w:b/>
          <w:sz w:val="24"/>
          <w:szCs w:val="24"/>
          <w:lang w:eastAsia="zh-CN"/>
        </w:rPr>
        <w:t>ephone</w:t>
      </w:r>
      <w:r w:rsidRPr="00E341D3">
        <w:rPr>
          <w:rFonts w:ascii="Book Antiqua" w:hAnsi="Book Antiqua"/>
          <w:b/>
          <w:sz w:val="24"/>
          <w:szCs w:val="24"/>
        </w:rPr>
        <w:t xml:space="preserve">: </w:t>
      </w:r>
      <w:r w:rsidR="00DC34F6" w:rsidRPr="00E341D3">
        <w:rPr>
          <w:rFonts w:ascii="Book Antiqua" w:hAnsi="Book Antiqua"/>
          <w:sz w:val="24"/>
          <w:szCs w:val="24"/>
        </w:rPr>
        <w:t>+81-44-977</w:t>
      </w:r>
      <w:r w:rsidRPr="00E341D3">
        <w:rPr>
          <w:rFonts w:ascii="Book Antiqua" w:hAnsi="Book Antiqua"/>
          <w:sz w:val="24"/>
          <w:szCs w:val="24"/>
        </w:rPr>
        <w:t>8111</w:t>
      </w:r>
    </w:p>
    <w:p w14:paraId="368AC981" w14:textId="12214910" w:rsidR="00342BFA" w:rsidRPr="00E341D3" w:rsidRDefault="00DC34F6" w:rsidP="00B514F1">
      <w:pPr>
        <w:spacing w:line="360" w:lineRule="auto"/>
        <w:rPr>
          <w:rFonts w:ascii="Book Antiqua" w:hAnsi="Book Antiqua"/>
          <w:sz w:val="24"/>
          <w:szCs w:val="24"/>
        </w:rPr>
      </w:pPr>
      <w:r w:rsidRPr="00E341D3">
        <w:rPr>
          <w:rFonts w:ascii="Book Antiqua" w:hAnsi="Book Antiqua"/>
          <w:b/>
          <w:sz w:val="24"/>
          <w:szCs w:val="24"/>
        </w:rPr>
        <w:t>Fax:</w:t>
      </w:r>
      <w:r w:rsidRPr="00E341D3">
        <w:rPr>
          <w:rFonts w:ascii="Book Antiqua" w:hAnsi="Book Antiqua"/>
          <w:sz w:val="24"/>
          <w:szCs w:val="24"/>
        </w:rPr>
        <w:t xml:space="preserve"> +81-44-976</w:t>
      </w:r>
      <w:r w:rsidR="00342BFA" w:rsidRPr="00E341D3">
        <w:rPr>
          <w:rFonts w:ascii="Book Antiqua" w:hAnsi="Book Antiqua"/>
          <w:sz w:val="24"/>
          <w:szCs w:val="24"/>
        </w:rPr>
        <w:t>5805</w:t>
      </w:r>
    </w:p>
    <w:p w14:paraId="21FCA75B" w14:textId="77777777" w:rsidR="00DC34F6" w:rsidRPr="00E341D3" w:rsidRDefault="00DC34F6" w:rsidP="00B514F1">
      <w:pPr>
        <w:spacing w:line="360" w:lineRule="auto"/>
        <w:rPr>
          <w:rFonts w:ascii="Book Antiqua" w:eastAsia="宋体" w:hAnsi="Book Antiqua"/>
          <w:sz w:val="24"/>
          <w:szCs w:val="24"/>
          <w:lang w:eastAsia="zh-CN"/>
        </w:rPr>
      </w:pPr>
    </w:p>
    <w:p w14:paraId="1B02A653" w14:textId="2B2A36B9" w:rsidR="00DC34F6" w:rsidRPr="00E341D3" w:rsidRDefault="00DC34F6" w:rsidP="00B514F1">
      <w:pPr>
        <w:spacing w:line="360" w:lineRule="auto"/>
        <w:rPr>
          <w:rFonts w:ascii="Book Antiqua" w:hAnsi="Book Antiqua"/>
          <w:b/>
          <w:sz w:val="24"/>
          <w:szCs w:val="24"/>
        </w:rPr>
      </w:pPr>
      <w:r w:rsidRPr="00E341D3">
        <w:rPr>
          <w:rFonts w:ascii="Book Antiqua" w:hAnsi="Book Antiqua"/>
          <w:b/>
          <w:sz w:val="24"/>
          <w:szCs w:val="24"/>
        </w:rPr>
        <w:t>Received:</w:t>
      </w:r>
      <w:r w:rsidRPr="00E341D3">
        <w:rPr>
          <w:rFonts w:ascii="Book Antiqua" w:eastAsia="宋体" w:hAnsi="Book Antiqua"/>
          <w:b/>
          <w:sz w:val="24"/>
          <w:szCs w:val="24"/>
          <w:lang w:eastAsia="zh-CN"/>
        </w:rPr>
        <w:t xml:space="preserve"> </w:t>
      </w:r>
      <w:r w:rsidRPr="00E341D3">
        <w:rPr>
          <w:rFonts w:ascii="Book Antiqua" w:eastAsia="宋体" w:hAnsi="Book Antiqua"/>
          <w:sz w:val="24"/>
          <w:szCs w:val="24"/>
          <w:lang w:eastAsia="zh-CN"/>
        </w:rPr>
        <w:t>September 26, 2014</w:t>
      </w:r>
      <w:r w:rsidRPr="00E341D3">
        <w:rPr>
          <w:rFonts w:ascii="Book Antiqua" w:hAnsi="Book Antiqua"/>
          <w:sz w:val="24"/>
          <w:szCs w:val="24"/>
        </w:rPr>
        <w:t xml:space="preserve"> </w:t>
      </w:r>
    </w:p>
    <w:p w14:paraId="4FB37DEA" w14:textId="0D822D9A" w:rsidR="00DC34F6" w:rsidRPr="00E341D3" w:rsidRDefault="00DC34F6" w:rsidP="00B514F1">
      <w:pPr>
        <w:spacing w:line="360" w:lineRule="auto"/>
        <w:rPr>
          <w:rFonts w:ascii="Book Antiqua" w:hAnsi="Book Antiqua"/>
          <w:b/>
          <w:sz w:val="24"/>
          <w:szCs w:val="24"/>
        </w:rPr>
      </w:pPr>
      <w:r w:rsidRPr="00E341D3">
        <w:rPr>
          <w:rFonts w:ascii="Book Antiqua" w:hAnsi="Book Antiqua"/>
          <w:b/>
          <w:sz w:val="24"/>
          <w:szCs w:val="24"/>
        </w:rPr>
        <w:t>Peer-review started:</w:t>
      </w:r>
      <w:r w:rsidRPr="00E341D3">
        <w:rPr>
          <w:rFonts w:ascii="Book Antiqua" w:eastAsia="宋体" w:hAnsi="Book Antiqua"/>
          <w:sz w:val="24"/>
          <w:szCs w:val="24"/>
          <w:lang w:eastAsia="zh-CN"/>
        </w:rPr>
        <w:t xml:space="preserve"> September 28, 2014</w:t>
      </w:r>
      <w:r w:rsidRPr="00E341D3">
        <w:rPr>
          <w:rFonts w:ascii="Book Antiqua" w:hAnsi="Book Antiqua"/>
          <w:sz w:val="24"/>
          <w:szCs w:val="24"/>
        </w:rPr>
        <w:t xml:space="preserve"> </w:t>
      </w:r>
    </w:p>
    <w:p w14:paraId="33F269F4" w14:textId="4578597E" w:rsidR="00DC34F6" w:rsidRPr="00E341D3" w:rsidRDefault="00DC34F6" w:rsidP="00B514F1">
      <w:pPr>
        <w:spacing w:line="360" w:lineRule="auto"/>
        <w:rPr>
          <w:rFonts w:ascii="Book Antiqua" w:eastAsia="宋体" w:hAnsi="Book Antiqua"/>
          <w:b/>
          <w:sz w:val="24"/>
          <w:szCs w:val="24"/>
          <w:lang w:eastAsia="zh-CN"/>
        </w:rPr>
      </w:pPr>
      <w:r w:rsidRPr="00E341D3">
        <w:rPr>
          <w:rFonts w:ascii="Book Antiqua" w:hAnsi="Book Antiqua"/>
          <w:b/>
          <w:sz w:val="24"/>
          <w:szCs w:val="24"/>
        </w:rPr>
        <w:t>First decision:</w:t>
      </w:r>
      <w:r w:rsidRPr="00E341D3">
        <w:rPr>
          <w:rFonts w:ascii="Book Antiqua" w:eastAsia="宋体" w:hAnsi="Book Antiqua"/>
          <w:b/>
          <w:sz w:val="24"/>
          <w:szCs w:val="24"/>
          <w:lang w:eastAsia="zh-CN"/>
        </w:rPr>
        <w:t xml:space="preserve"> </w:t>
      </w:r>
      <w:r w:rsidRPr="00E341D3">
        <w:rPr>
          <w:rFonts w:ascii="Book Antiqua" w:eastAsia="宋体" w:hAnsi="Book Antiqua"/>
          <w:sz w:val="24"/>
          <w:szCs w:val="24"/>
          <w:lang w:eastAsia="zh-CN"/>
        </w:rPr>
        <w:t>December 17, 2014</w:t>
      </w:r>
    </w:p>
    <w:p w14:paraId="75D7775A" w14:textId="06E72552" w:rsidR="00DC34F6" w:rsidRPr="00E341D3" w:rsidRDefault="00DC34F6" w:rsidP="00B514F1">
      <w:pPr>
        <w:spacing w:line="360" w:lineRule="auto"/>
        <w:rPr>
          <w:rFonts w:ascii="Book Antiqua" w:hAnsi="Book Antiqua"/>
          <w:b/>
          <w:sz w:val="24"/>
          <w:szCs w:val="24"/>
        </w:rPr>
      </w:pPr>
      <w:r w:rsidRPr="00E341D3">
        <w:rPr>
          <w:rFonts w:ascii="Book Antiqua" w:hAnsi="Book Antiqua"/>
          <w:b/>
          <w:sz w:val="24"/>
          <w:szCs w:val="24"/>
        </w:rPr>
        <w:t xml:space="preserve">Revised: </w:t>
      </w:r>
      <w:r w:rsidRPr="00E341D3">
        <w:rPr>
          <w:rFonts w:ascii="Book Antiqua" w:eastAsia="宋体" w:hAnsi="Book Antiqua"/>
          <w:sz w:val="24"/>
          <w:szCs w:val="24"/>
          <w:lang w:eastAsia="zh-CN"/>
        </w:rPr>
        <w:t>December 26, 2014</w:t>
      </w:r>
      <w:r w:rsidRPr="00E341D3">
        <w:rPr>
          <w:rFonts w:ascii="Book Antiqua" w:hAnsi="Book Antiqua"/>
          <w:b/>
          <w:sz w:val="24"/>
          <w:szCs w:val="24"/>
        </w:rPr>
        <w:t xml:space="preserve"> </w:t>
      </w:r>
    </w:p>
    <w:p w14:paraId="660A9CFF" w14:textId="712BBE66" w:rsidR="00DC34F6" w:rsidRPr="00E341D3" w:rsidRDefault="00DC34F6" w:rsidP="00B514F1">
      <w:pPr>
        <w:spacing w:line="360" w:lineRule="auto"/>
        <w:rPr>
          <w:rFonts w:ascii="Book Antiqua" w:hAnsi="Book Antiqua"/>
          <w:b/>
          <w:sz w:val="24"/>
          <w:szCs w:val="24"/>
        </w:rPr>
      </w:pPr>
      <w:r w:rsidRPr="00E341D3">
        <w:rPr>
          <w:rFonts w:ascii="Book Antiqua" w:hAnsi="Book Antiqua"/>
          <w:b/>
          <w:sz w:val="24"/>
          <w:szCs w:val="24"/>
        </w:rPr>
        <w:t>Accepted:</w:t>
      </w:r>
      <w:r w:rsidR="006754FE" w:rsidRPr="006754FE">
        <w:t xml:space="preserve"> </w:t>
      </w:r>
      <w:bookmarkStart w:id="4" w:name="_GoBack"/>
      <w:r w:rsidR="006754FE" w:rsidRPr="006754FE">
        <w:rPr>
          <w:rFonts w:ascii="Book Antiqua" w:hAnsi="Book Antiqua"/>
          <w:sz w:val="24"/>
          <w:szCs w:val="24"/>
        </w:rPr>
        <w:t>Janurary 15, 2015</w:t>
      </w:r>
      <w:r w:rsidRPr="00E341D3">
        <w:rPr>
          <w:rFonts w:ascii="Book Antiqua" w:hAnsi="Book Antiqua"/>
          <w:b/>
          <w:sz w:val="24"/>
          <w:szCs w:val="24"/>
        </w:rPr>
        <w:t xml:space="preserve"> </w:t>
      </w:r>
      <w:bookmarkEnd w:id="4"/>
    </w:p>
    <w:p w14:paraId="4035D2A8" w14:textId="77777777" w:rsidR="00DC34F6" w:rsidRPr="00E341D3" w:rsidRDefault="00DC34F6" w:rsidP="00B514F1">
      <w:pPr>
        <w:spacing w:line="360" w:lineRule="auto"/>
        <w:rPr>
          <w:rFonts w:ascii="Book Antiqua" w:hAnsi="Book Antiqua"/>
          <w:b/>
          <w:sz w:val="24"/>
          <w:szCs w:val="24"/>
        </w:rPr>
      </w:pPr>
      <w:r w:rsidRPr="00E341D3">
        <w:rPr>
          <w:rFonts w:ascii="Book Antiqua" w:hAnsi="Book Antiqua"/>
          <w:b/>
          <w:sz w:val="24"/>
          <w:szCs w:val="24"/>
        </w:rPr>
        <w:t>Article in press:</w:t>
      </w:r>
    </w:p>
    <w:p w14:paraId="6BDF3FB6" w14:textId="77777777" w:rsidR="00DC34F6" w:rsidRPr="00E341D3" w:rsidRDefault="00DC34F6" w:rsidP="00B514F1">
      <w:pPr>
        <w:spacing w:line="360" w:lineRule="auto"/>
        <w:rPr>
          <w:rFonts w:ascii="Book Antiqua" w:hAnsi="Book Antiqua"/>
          <w:b/>
          <w:sz w:val="24"/>
          <w:szCs w:val="24"/>
        </w:rPr>
      </w:pPr>
      <w:r w:rsidRPr="00E341D3">
        <w:rPr>
          <w:rFonts w:ascii="Book Antiqua" w:hAnsi="Book Antiqua"/>
          <w:b/>
          <w:sz w:val="24"/>
          <w:szCs w:val="24"/>
        </w:rPr>
        <w:t xml:space="preserve">Published online: </w:t>
      </w:r>
    </w:p>
    <w:p w14:paraId="7BE6FF1F" w14:textId="77777777" w:rsidR="00342BFA" w:rsidRPr="00E341D3" w:rsidRDefault="00342BFA" w:rsidP="00B514F1">
      <w:pPr>
        <w:widowControl/>
        <w:spacing w:line="360" w:lineRule="auto"/>
        <w:rPr>
          <w:rFonts w:ascii="Book Antiqua" w:hAnsi="Book Antiqua"/>
          <w:sz w:val="24"/>
          <w:szCs w:val="24"/>
        </w:rPr>
      </w:pPr>
      <w:r w:rsidRPr="00E341D3">
        <w:rPr>
          <w:rFonts w:ascii="Book Antiqua" w:hAnsi="Book Antiqua"/>
          <w:sz w:val="24"/>
          <w:szCs w:val="24"/>
        </w:rPr>
        <w:br w:type="page"/>
      </w:r>
    </w:p>
    <w:p w14:paraId="67D6423E" w14:textId="77777777" w:rsidR="00342BFA" w:rsidRPr="00E341D3" w:rsidRDefault="00342BFA" w:rsidP="00B514F1">
      <w:pPr>
        <w:pStyle w:val="Footer"/>
        <w:tabs>
          <w:tab w:val="clear" w:pos="4252"/>
          <w:tab w:val="clear" w:pos="8504"/>
        </w:tabs>
        <w:snapToGrid/>
        <w:spacing w:line="360" w:lineRule="auto"/>
        <w:rPr>
          <w:rFonts w:ascii="Book Antiqua" w:eastAsia="MS Mincho" w:hAnsi="Book Antiqua"/>
          <w:b/>
        </w:rPr>
      </w:pPr>
      <w:r w:rsidRPr="00E341D3">
        <w:rPr>
          <w:rFonts w:ascii="Book Antiqua" w:eastAsia="MS Mincho" w:hAnsi="Book Antiqua"/>
          <w:b/>
        </w:rPr>
        <w:t>Abstract</w:t>
      </w:r>
    </w:p>
    <w:p w14:paraId="21B839A3" w14:textId="77777777" w:rsidR="00342BFA" w:rsidRPr="00E341D3" w:rsidRDefault="00342BFA" w:rsidP="00B514F1">
      <w:pPr>
        <w:widowControl/>
        <w:autoSpaceDE w:val="0"/>
        <w:autoSpaceDN w:val="0"/>
        <w:adjustRightInd w:val="0"/>
        <w:spacing w:line="360" w:lineRule="auto"/>
        <w:rPr>
          <w:rFonts w:ascii="Book Antiqua" w:eastAsiaTheme="minorEastAsia" w:hAnsi="Book Antiqua"/>
          <w:kern w:val="0"/>
          <w:sz w:val="24"/>
          <w:szCs w:val="24"/>
        </w:rPr>
      </w:pPr>
      <w:r w:rsidRPr="00E341D3">
        <w:rPr>
          <w:rFonts w:ascii="Book Antiqua" w:hAnsi="Book Antiqua"/>
          <w:sz w:val="24"/>
          <w:szCs w:val="24"/>
        </w:rPr>
        <w:t xml:space="preserve">Antiplatelet therapy is </w:t>
      </w:r>
      <w:r w:rsidRPr="00E341D3">
        <w:rPr>
          <w:rFonts w:ascii="Book Antiqua" w:eastAsiaTheme="minorEastAsia" w:hAnsi="Book Antiqua" w:cs="Times"/>
          <w:kern w:val="0"/>
          <w:sz w:val="24"/>
          <w:szCs w:val="24"/>
        </w:rPr>
        <w:t>the standard of care for the secondary prevention of acute coronary syndrome and ischemic stroke, especially after coronary intervention.</w:t>
      </w:r>
      <w:r w:rsidRPr="00E341D3">
        <w:rPr>
          <w:rFonts w:ascii="Book Antiqua" w:hAnsi="Book Antiqua"/>
          <w:sz w:val="24"/>
          <w:szCs w:val="24"/>
        </w:rPr>
        <w:t xml:space="preserve"> However, this therapy is associated with bleeding complications such as gastrointestinal bleeding, which is one of the most common life-threatening complications.</w:t>
      </w:r>
      <w:r w:rsidRPr="00E341D3">
        <w:rPr>
          <w:rFonts w:ascii="Book Antiqua" w:eastAsiaTheme="minorEastAsia" w:hAnsi="Book Antiqua"/>
          <w:kern w:val="0"/>
          <w:sz w:val="24"/>
          <w:szCs w:val="24"/>
        </w:rPr>
        <w:t xml:space="preserve"> Early endoscopy is recommended for most patients with acute upper gastrointestinal bleeding.</w:t>
      </w:r>
      <w:r w:rsidRPr="00E341D3">
        <w:rPr>
          <w:rFonts w:ascii="Book Antiqua" w:eastAsia="MS Gothic" w:hAnsi="Book Antiqua"/>
          <w:sz w:val="24"/>
          <w:szCs w:val="24"/>
        </w:rPr>
        <w:t xml:space="preserve"> </w:t>
      </w:r>
      <w:r w:rsidRPr="00E341D3">
        <w:rPr>
          <w:rFonts w:ascii="Book Antiqua" w:eastAsiaTheme="minorEastAsia" w:hAnsi="Book Antiqua" w:cs="Times"/>
          <w:kern w:val="0"/>
          <w:sz w:val="24"/>
          <w:szCs w:val="24"/>
        </w:rPr>
        <w:t xml:space="preserve">After successful endoscopic hemostasis, immediate resumption of antiplatelet therapy with proton-pump inhibitors (PPIs) is recommended to prevent further ischemic events. PPI </w:t>
      </w:r>
      <w:r w:rsidRPr="00E341D3">
        <w:rPr>
          <w:rFonts w:ascii="Book Antiqua" w:hAnsi="Book Antiqua"/>
          <w:sz w:val="24"/>
          <w:szCs w:val="24"/>
        </w:rPr>
        <w:t xml:space="preserve">prophylaxis during antiplatelet therapy reduces the risk of </w:t>
      </w:r>
      <w:r w:rsidRPr="00E341D3">
        <w:rPr>
          <w:rFonts w:ascii="Book Antiqua" w:eastAsiaTheme="minorEastAsia" w:hAnsi="Book Antiqua"/>
          <w:kern w:val="0"/>
          <w:sz w:val="24"/>
          <w:szCs w:val="24"/>
        </w:rPr>
        <w:t>upper gastrointestinal</w:t>
      </w:r>
      <w:r w:rsidRPr="00E341D3">
        <w:rPr>
          <w:rFonts w:ascii="Book Antiqua" w:hAnsi="Book Antiqua"/>
          <w:sz w:val="24"/>
          <w:szCs w:val="24"/>
        </w:rPr>
        <w:t xml:space="preserve"> bleeding. </w:t>
      </w:r>
      <w:r w:rsidRPr="00E341D3">
        <w:rPr>
          <w:rFonts w:ascii="Book Antiqua" w:eastAsiaTheme="minorEastAsia" w:hAnsi="Book Antiqua"/>
          <w:kern w:val="0"/>
          <w:sz w:val="24"/>
          <w:szCs w:val="24"/>
        </w:rPr>
        <w:t>The potential negative metabolic interaction between PPIs and clopidogrel is still unclear.</w:t>
      </w:r>
    </w:p>
    <w:p w14:paraId="3387F862" w14:textId="77777777" w:rsidR="00342BFA" w:rsidRPr="00E341D3" w:rsidRDefault="00342BFA" w:rsidP="00B514F1">
      <w:pPr>
        <w:widowControl/>
        <w:autoSpaceDE w:val="0"/>
        <w:autoSpaceDN w:val="0"/>
        <w:adjustRightInd w:val="0"/>
        <w:spacing w:line="360" w:lineRule="auto"/>
        <w:rPr>
          <w:rFonts w:ascii="Book Antiqua" w:eastAsiaTheme="minorEastAsia" w:hAnsi="Book Antiqua"/>
          <w:kern w:val="0"/>
          <w:sz w:val="24"/>
          <w:szCs w:val="24"/>
        </w:rPr>
      </w:pPr>
    </w:p>
    <w:p w14:paraId="126D1990" w14:textId="57E90B91" w:rsidR="00015755" w:rsidRPr="00E341D3" w:rsidRDefault="00015755" w:rsidP="00B514F1">
      <w:pPr>
        <w:spacing w:line="360" w:lineRule="auto"/>
        <w:rPr>
          <w:rFonts w:ascii="Book Antiqua" w:eastAsia="宋体" w:hAnsi="Book Antiqua"/>
          <w:sz w:val="24"/>
          <w:szCs w:val="24"/>
          <w:lang w:eastAsia="zh-CN"/>
        </w:rPr>
      </w:pPr>
      <w:r w:rsidRPr="00E341D3">
        <w:rPr>
          <w:rFonts w:ascii="Book Antiqua" w:hAnsi="Book Antiqua"/>
          <w:b/>
          <w:sz w:val="24"/>
          <w:szCs w:val="24"/>
        </w:rPr>
        <w:t>Key words:</w:t>
      </w:r>
      <w:r w:rsidRPr="00E341D3">
        <w:rPr>
          <w:rFonts w:ascii="Book Antiqua" w:hAnsi="Book Antiqua"/>
          <w:sz w:val="24"/>
          <w:szCs w:val="24"/>
        </w:rPr>
        <w:t xml:space="preserve"> </w:t>
      </w:r>
      <w:r w:rsidR="00DC34F6" w:rsidRPr="00E341D3">
        <w:rPr>
          <w:rFonts w:ascii="Book Antiqua" w:hAnsi="Book Antiqua"/>
          <w:sz w:val="24"/>
          <w:szCs w:val="24"/>
        </w:rPr>
        <w:t>A</w:t>
      </w:r>
      <w:r w:rsidR="00F936C5" w:rsidRPr="00E341D3">
        <w:rPr>
          <w:rFonts w:ascii="Book Antiqua" w:hAnsi="Book Antiqua"/>
          <w:sz w:val="24"/>
          <w:szCs w:val="24"/>
        </w:rPr>
        <w:t>ntiplatelet therapy</w:t>
      </w:r>
      <w:r w:rsidR="00DC34F6" w:rsidRPr="00E341D3">
        <w:rPr>
          <w:rFonts w:ascii="Book Antiqua" w:eastAsia="宋体" w:hAnsi="Book Antiqua"/>
          <w:sz w:val="24"/>
          <w:szCs w:val="24"/>
          <w:lang w:eastAsia="zh-CN"/>
        </w:rPr>
        <w:t>;</w:t>
      </w:r>
      <w:r w:rsidR="00DC34F6" w:rsidRPr="00E341D3">
        <w:rPr>
          <w:rFonts w:ascii="Book Antiqua" w:hAnsi="Book Antiqua"/>
          <w:sz w:val="24"/>
          <w:szCs w:val="24"/>
        </w:rPr>
        <w:t xml:space="preserve"> A</w:t>
      </w:r>
      <w:r w:rsidR="00E23783" w:rsidRPr="00E341D3">
        <w:rPr>
          <w:rFonts w:ascii="Book Antiqua" w:hAnsi="Book Antiqua"/>
          <w:sz w:val="24"/>
          <w:szCs w:val="24"/>
        </w:rPr>
        <w:t>spirin</w:t>
      </w:r>
      <w:r w:rsidR="00DC34F6" w:rsidRPr="00E341D3">
        <w:rPr>
          <w:rFonts w:ascii="Book Antiqua" w:eastAsia="宋体" w:hAnsi="Book Antiqua"/>
          <w:sz w:val="24"/>
          <w:szCs w:val="24"/>
          <w:lang w:eastAsia="zh-CN"/>
        </w:rPr>
        <w:t>;</w:t>
      </w:r>
      <w:r w:rsidR="00E23783" w:rsidRPr="00E341D3">
        <w:rPr>
          <w:rFonts w:ascii="Book Antiqua" w:hAnsi="Book Antiqua"/>
          <w:sz w:val="24"/>
          <w:szCs w:val="24"/>
        </w:rPr>
        <w:t xml:space="preserve"> </w:t>
      </w:r>
      <w:r w:rsidR="00DC34F6" w:rsidRPr="00E341D3">
        <w:rPr>
          <w:rFonts w:ascii="Book Antiqua" w:hAnsi="Book Antiqua"/>
          <w:sz w:val="24"/>
          <w:szCs w:val="24"/>
        </w:rPr>
        <w:t>C</w:t>
      </w:r>
      <w:r w:rsidR="00E23783" w:rsidRPr="00E341D3">
        <w:rPr>
          <w:rFonts w:ascii="Book Antiqua" w:hAnsi="Book Antiqua"/>
          <w:sz w:val="24"/>
          <w:szCs w:val="24"/>
        </w:rPr>
        <w:t>lopidogrel</w:t>
      </w:r>
      <w:r w:rsidR="00DC34F6" w:rsidRPr="00E341D3">
        <w:rPr>
          <w:rFonts w:ascii="Book Antiqua" w:eastAsia="宋体" w:hAnsi="Book Antiqua"/>
          <w:sz w:val="24"/>
          <w:szCs w:val="24"/>
          <w:lang w:eastAsia="zh-CN"/>
        </w:rPr>
        <w:t>;</w:t>
      </w:r>
      <w:r w:rsidR="00E23783" w:rsidRPr="00E341D3">
        <w:rPr>
          <w:rFonts w:ascii="Book Antiqua" w:hAnsi="Book Antiqua"/>
          <w:sz w:val="24"/>
          <w:szCs w:val="24"/>
        </w:rPr>
        <w:t xml:space="preserve"> </w:t>
      </w:r>
      <w:r w:rsidR="00DC34F6" w:rsidRPr="00E341D3">
        <w:rPr>
          <w:rFonts w:ascii="Book Antiqua" w:hAnsi="Book Antiqua"/>
          <w:sz w:val="24"/>
          <w:szCs w:val="24"/>
        </w:rPr>
        <w:t>G</w:t>
      </w:r>
      <w:r w:rsidR="00F936C5" w:rsidRPr="00E341D3">
        <w:rPr>
          <w:rFonts w:ascii="Book Antiqua" w:hAnsi="Book Antiqua"/>
          <w:sz w:val="24"/>
          <w:szCs w:val="24"/>
        </w:rPr>
        <w:t>astrointestinal bleeding</w:t>
      </w:r>
      <w:r w:rsidR="002D05C1" w:rsidRPr="00E341D3">
        <w:rPr>
          <w:rFonts w:ascii="Book Antiqua" w:eastAsia="宋体" w:hAnsi="Book Antiqua"/>
          <w:sz w:val="24"/>
          <w:szCs w:val="24"/>
          <w:lang w:eastAsia="zh-CN"/>
        </w:rPr>
        <w:t>;</w:t>
      </w:r>
      <w:r w:rsidR="00F936C5" w:rsidRPr="00E341D3">
        <w:rPr>
          <w:rFonts w:ascii="Book Antiqua" w:hAnsi="Book Antiqua"/>
          <w:sz w:val="24"/>
          <w:szCs w:val="24"/>
        </w:rPr>
        <w:t xml:space="preserve"> </w:t>
      </w:r>
      <w:r w:rsidR="002D05C1" w:rsidRPr="00E341D3">
        <w:rPr>
          <w:rFonts w:ascii="Book Antiqua" w:hAnsi="Book Antiqua"/>
          <w:sz w:val="24"/>
          <w:szCs w:val="24"/>
        </w:rPr>
        <w:t>E</w:t>
      </w:r>
      <w:r w:rsidR="00F936C5" w:rsidRPr="00E341D3">
        <w:rPr>
          <w:rFonts w:ascii="Book Antiqua" w:hAnsi="Book Antiqua"/>
          <w:sz w:val="24"/>
          <w:szCs w:val="24"/>
        </w:rPr>
        <w:t>ndoscopy</w:t>
      </w:r>
      <w:r w:rsidR="00DC34F6" w:rsidRPr="00E341D3">
        <w:rPr>
          <w:rFonts w:ascii="Book Antiqua" w:eastAsia="宋体" w:hAnsi="Book Antiqua"/>
          <w:sz w:val="24"/>
          <w:szCs w:val="24"/>
          <w:lang w:eastAsia="zh-CN"/>
        </w:rPr>
        <w:t>;</w:t>
      </w:r>
      <w:r w:rsidR="00F936C5" w:rsidRPr="00E341D3">
        <w:rPr>
          <w:rFonts w:ascii="Book Antiqua" w:hAnsi="Book Antiqua"/>
          <w:sz w:val="24"/>
          <w:szCs w:val="24"/>
        </w:rPr>
        <w:t xml:space="preserve"> </w:t>
      </w:r>
      <w:r w:rsidR="00DC34F6" w:rsidRPr="00E341D3">
        <w:rPr>
          <w:rFonts w:ascii="Book Antiqua" w:hAnsi="Book Antiqua"/>
          <w:sz w:val="24"/>
          <w:szCs w:val="24"/>
        </w:rPr>
        <w:t>P</w:t>
      </w:r>
      <w:r w:rsidR="00F936C5" w:rsidRPr="00E341D3">
        <w:rPr>
          <w:rFonts w:ascii="Book Antiqua" w:hAnsi="Book Antiqua"/>
          <w:sz w:val="24"/>
          <w:szCs w:val="24"/>
        </w:rPr>
        <w:t>roton-pump inhibitor</w:t>
      </w:r>
    </w:p>
    <w:p w14:paraId="5F69ACA3" w14:textId="77777777" w:rsidR="00DC34F6" w:rsidRPr="00E341D3" w:rsidRDefault="00DC34F6" w:rsidP="00B514F1">
      <w:pPr>
        <w:spacing w:line="360" w:lineRule="auto"/>
        <w:rPr>
          <w:rFonts w:ascii="Book Antiqua" w:eastAsia="宋体" w:hAnsi="Book Antiqua"/>
          <w:sz w:val="24"/>
          <w:szCs w:val="24"/>
          <w:lang w:eastAsia="zh-CN"/>
        </w:rPr>
      </w:pPr>
    </w:p>
    <w:p w14:paraId="1ED0A2D7" w14:textId="77777777" w:rsidR="00DC34F6" w:rsidRPr="00E341D3" w:rsidRDefault="00DC34F6" w:rsidP="00B514F1">
      <w:pPr>
        <w:spacing w:line="360" w:lineRule="auto"/>
        <w:rPr>
          <w:rFonts w:ascii="Book Antiqua" w:hAnsi="Book Antiqua" w:cs="Arial"/>
          <w:sz w:val="24"/>
          <w:szCs w:val="24"/>
        </w:rPr>
      </w:pPr>
      <w:r w:rsidRPr="00E341D3">
        <w:rPr>
          <w:rFonts w:ascii="Book Antiqua" w:hAnsi="Book Antiqua"/>
          <w:sz w:val="24"/>
          <w:szCs w:val="24"/>
        </w:rPr>
        <w:t xml:space="preserve">© </w:t>
      </w:r>
      <w:r w:rsidRPr="00E341D3">
        <w:rPr>
          <w:rFonts w:ascii="Book Antiqua" w:hAnsi="Book Antiqua" w:cs="Arial"/>
          <w:sz w:val="24"/>
          <w:szCs w:val="24"/>
        </w:rPr>
        <w:t>The Author(s) 2015. Published by Baishideng Publishing Group Inc. All rights reserved.</w:t>
      </w:r>
    </w:p>
    <w:p w14:paraId="7410C021" w14:textId="77777777" w:rsidR="00DC34F6" w:rsidRPr="00E341D3" w:rsidRDefault="00DC34F6" w:rsidP="00B514F1">
      <w:pPr>
        <w:spacing w:line="360" w:lineRule="auto"/>
        <w:rPr>
          <w:rFonts w:ascii="Book Antiqua" w:eastAsia="宋体" w:hAnsi="Book Antiqua"/>
          <w:sz w:val="24"/>
          <w:szCs w:val="24"/>
          <w:lang w:eastAsia="zh-CN"/>
        </w:rPr>
      </w:pPr>
    </w:p>
    <w:p w14:paraId="02509D19" w14:textId="34053117" w:rsidR="00342BFA" w:rsidRPr="00E341D3" w:rsidRDefault="00015755" w:rsidP="00B514F1">
      <w:pPr>
        <w:spacing w:line="360" w:lineRule="auto"/>
        <w:rPr>
          <w:rFonts w:ascii="Book Antiqua" w:eastAsia="宋体" w:hAnsi="Book Antiqua"/>
          <w:kern w:val="0"/>
          <w:sz w:val="24"/>
          <w:szCs w:val="24"/>
          <w:lang w:eastAsia="zh-CN"/>
        </w:rPr>
      </w:pPr>
      <w:r w:rsidRPr="00E341D3">
        <w:rPr>
          <w:rFonts w:ascii="Book Antiqua" w:hAnsi="Book Antiqua"/>
          <w:b/>
          <w:sz w:val="24"/>
          <w:szCs w:val="24"/>
        </w:rPr>
        <w:t>Core tip:</w:t>
      </w:r>
      <w:r w:rsidRPr="00E341D3">
        <w:rPr>
          <w:rFonts w:ascii="Book Antiqua" w:hAnsi="Book Antiqua"/>
          <w:sz w:val="24"/>
          <w:szCs w:val="24"/>
        </w:rPr>
        <w:t xml:space="preserve"> </w:t>
      </w:r>
      <w:r w:rsidR="00F936C5" w:rsidRPr="00E341D3">
        <w:rPr>
          <w:rFonts w:ascii="Book Antiqua" w:eastAsiaTheme="minorEastAsia" w:hAnsi="Book Antiqua" w:cs="Arial"/>
          <w:kern w:val="0"/>
          <w:sz w:val="24"/>
          <w:szCs w:val="24"/>
        </w:rPr>
        <w:t>Gastrointestinal bleeding (GIB) is a relatively common complication in patients receiving antiplatelet therapy and is associated with an increased risk of recurrent ischemic events and mortality. Early endoscopy is useful for both the diagnosis and the therapeutic management of GIB. Antiplatelet therapy should be resumed immediately after endoscopic hemostasis of GIB, unless the bleeding is life threatening. Prophylaxis with antisecretory drugs such as proton-pump inhibitors reduces the risk of GIB.</w:t>
      </w:r>
      <w:r w:rsidR="00F936C5" w:rsidRPr="00E341D3">
        <w:rPr>
          <w:rFonts w:ascii="Book Antiqua" w:eastAsiaTheme="minorEastAsia" w:hAnsi="Book Antiqua"/>
          <w:kern w:val="0"/>
          <w:sz w:val="24"/>
          <w:szCs w:val="24"/>
        </w:rPr>
        <w:t xml:space="preserve"> </w:t>
      </w:r>
    </w:p>
    <w:p w14:paraId="7710D1FD" w14:textId="77777777" w:rsidR="00DC34F6" w:rsidRPr="00E341D3" w:rsidRDefault="00DC34F6" w:rsidP="00B514F1">
      <w:pPr>
        <w:spacing w:line="360" w:lineRule="auto"/>
        <w:rPr>
          <w:rFonts w:ascii="Book Antiqua" w:eastAsia="宋体" w:hAnsi="Book Antiqua" w:cs="Arial"/>
          <w:b/>
          <w:sz w:val="24"/>
          <w:szCs w:val="24"/>
          <w:lang w:val="en" w:eastAsia="zh-CN"/>
        </w:rPr>
      </w:pPr>
    </w:p>
    <w:p w14:paraId="2DDFAC0A" w14:textId="17465E0B" w:rsidR="00DC34F6" w:rsidRPr="00E341D3" w:rsidRDefault="00DC34F6" w:rsidP="00B514F1">
      <w:pPr>
        <w:widowControl/>
        <w:autoSpaceDE w:val="0"/>
        <w:autoSpaceDN w:val="0"/>
        <w:adjustRightInd w:val="0"/>
        <w:spacing w:line="360" w:lineRule="auto"/>
        <w:rPr>
          <w:rFonts w:ascii="Book Antiqua" w:eastAsia="宋体" w:hAnsi="Book Antiqua" w:cs="Helvetica"/>
          <w:kern w:val="0"/>
          <w:sz w:val="24"/>
          <w:szCs w:val="24"/>
          <w:lang w:eastAsia="zh-CN"/>
        </w:rPr>
      </w:pPr>
      <w:r w:rsidRPr="00E341D3">
        <w:rPr>
          <w:rFonts w:ascii="Book Antiqua" w:eastAsia="HG丸ｺﾞｼｯｸM-PRO" w:hAnsi="Book Antiqua" w:cs="Arial"/>
          <w:sz w:val="24"/>
          <w:szCs w:val="24"/>
        </w:rPr>
        <w:t>Yasuda</w:t>
      </w:r>
      <w:r w:rsidRPr="00E341D3">
        <w:rPr>
          <w:rFonts w:ascii="Book Antiqua" w:eastAsia="宋体" w:hAnsi="Book Antiqua" w:cs="Arial"/>
          <w:sz w:val="24"/>
          <w:szCs w:val="24"/>
          <w:lang w:eastAsia="zh-CN"/>
        </w:rPr>
        <w:t xml:space="preserve"> H</w:t>
      </w:r>
      <w:r w:rsidRPr="00E341D3">
        <w:rPr>
          <w:rFonts w:ascii="Book Antiqua" w:eastAsia="HG丸ｺﾞｼｯｸM-PRO" w:hAnsi="Book Antiqua" w:cs="Arial"/>
          <w:sz w:val="24"/>
          <w:szCs w:val="24"/>
        </w:rPr>
        <w:t>, Matsuo</w:t>
      </w:r>
      <w:r w:rsidRPr="00E341D3">
        <w:rPr>
          <w:rFonts w:ascii="Book Antiqua" w:eastAsia="宋体" w:hAnsi="Book Antiqua" w:cs="Arial"/>
          <w:sz w:val="24"/>
          <w:szCs w:val="24"/>
          <w:lang w:eastAsia="zh-CN"/>
        </w:rPr>
        <w:t xml:space="preserve"> Y</w:t>
      </w:r>
      <w:r w:rsidRPr="00E341D3">
        <w:rPr>
          <w:rFonts w:ascii="Book Antiqua" w:eastAsia="HG丸ｺﾞｼｯｸM-PRO" w:hAnsi="Book Antiqua" w:cs="Arial"/>
          <w:sz w:val="24"/>
          <w:szCs w:val="24"/>
        </w:rPr>
        <w:t>, Sato</w:t>
      </w:r>
      <w:r w:rsidRPr="00E341D3">
        <w:rPr>
          <w:rFonts w:ascii="Book Antiqua" w:eastAsia="宋体" w:hAnsi="Book Antiqua" w:cs="Arial"/>
          <w:sz w:val="24"/>
          <w:szCs w:val="24"/>
          <w:lang w:eastAsia="zh-CN"/>
        </w:rPr>
        <w:t xml:space="preserve"> Y</w:t>
      </w:r>
      <w:r w:rsidRPr="00E341D3">
        <w:rPr>
          <w:rFonts w:ascii="Book Antiqua" w:eastAsia="HG丸ｺﾞｼｯｸM-PRO" w:hAnsi="Book Antiqua" w:cs="Arial"/>
          <w:sz w:val="24"/>
          <w:szCs w:val="24"/>
        </w:rPr>
        <w:t>, Ozawa</w:t>
      </w:r>
      <w:r w:rsidRPr="00E341D3">
        <w:rPr>
          <w:rFonts w:ascii="Book Antiqua" w:eastAsia="宋体" w:hAnsi="Book Antiqua" w:cs="Arial"/>
          <w:sz w:val="24"/>
          <w:szCs w:val="24"/>
          <w:lang w:eastAsia="zh-CN"/>
        </w:rPr>
        <w:t xml:space="preserve"> S</w:t>
      </w:r>
      <w:r w:rsidRPr="00E341D3">
        <w:rPr>
          <w:rFonts w:ascii="Book Antiqua" w:eastAsia="HG丸ｺﾞｼｯｸM-PRO" w:hAnsi="Book Antiqua" w:cs="Arial"/>
          <w:sz w:val="24"/>
          <w:szCs w:val="24"/>
        </w:rPr>
        <w:t>, Ishigooka</w:t>
      </w:r>
      <w:r w:rsidRPr="00E341D3">
        <w:rPr>
          <w:rFonts w:ascii="Book Antiqua" w:eastAsia="宋体" w:hAnsi="Book Antiqua" w:cs="Arial"/>
          <w:sz w:val="24"/>
          <w:szCs w:val="24"/>
          <w:lang w:eastAsia="zh-CN"/>
        </w:rPr>
        <w:t xml:space="preserve"> S</w:t>
      </w:r>
      <w:r w:rsidRPr="00E341D3">
        <w:rPr>
          <w:rFonts w:ascii="Book Antiqua" w:eastAsia="HG丸ｺﾞｼｯｸM-PRO" w:hAnsi="Book Antiqua" w:cs="Arial"/>
          <w:sz w:val="24"/>
          <w:szCs w:val="24"/>
        </w:rPr>
        <w:t>, Yamashita</w:t>
      </w:r>
      <w:r w:rsidRPr="00E341D3">
        <w:rPr>
          <w:rFonts w:ascii="Book Antiqua" w:eastAsia="宋体" w:hAnsi="Book Antiqua" w:cs="Arial"/>
          <w:sz w:val="24"/>
          <w:szCs w:val="24"/>
          <w:lang w:eastAsia="zh-CN"/>
        </w:rPr>
        <w:t xml:space="preserve"> M</w:t>
      </w:r>
      <w:r w:rsidRPr="00E341D3">
        <w:rPr>
          <w:rFonts w:ascii="Book Antiqua" w:eastAsia="HG丸ｺﾞｼｯｸM-PRO" w:hAnsi="Book Antiqua" w:cs="Arial"/>
          <w:sz w:val="24"/>
          <w:szCs w:val="24"/>
        </w:rPr>
        <w:t>, Yamamoto</w:t>
      </w:r>
      <w:r w:rsidRPr="00E341D3">
        <w:rPr>
          <w:rFonts w:ascii="Book Antiqua" w:eastAsia="宋体" w:hAnsi="Book Antiqua" w:cs="Arial"/>
          <w:sz w:val="24"/>
          <w:szCs w:val="24"/>
          <w:lang w:eastAsia="zh-CN"/>
        </w:rPr>
        <w:t xml:space="preserve"> H</w:t>
      </w:r>
      <w:r w:rsidRPr="00E341D3">
        <w:rPr>
          <w:rFonts w:ascii="Book Antiqua" w:eastAsia="HG丸ｺﾞｼｯｸM-PRO" w:hAnsi="Book Antiqua" w:cs="Arial"/>
          <w:sz w:val="24"/>
          <w:szCs w:val="24"/>
        </w:rPr>
        <w:t>, Itoh</w:t>
      </w:r>
      <w:r w:rsidRPr="00E341D3">
        <w:rPr>
          <w:rFonts w:ascii="Book Antiqua" w:eastAsia="宋体" w:hAnsi="Book Antiqua" w:cs="Arial"/>
          <w:sz w:val="24"/>
          <w:szCs w:val="24"/>
          <w:lang w:eastAsia="zh-CN"/>
        </w:rPr>
        <w:t xml:space="preserve"> F.</w:t>
      </w:r>
      <w:r w:rsidRPr="00E341D3">
        <w:rPr>
          <w:rFonts w:ascii="Book Antiqua" w:eastAsiaTheme="minorEastAsia" w:hAnsi="Book Antiqua" w:cs="Helvetica"/>
          <w:kern w:val="0"/>
          <w:sz w:val="24"/>
          <w:szCs w:val="24"/>
        </w:rPr>
        <w:t xml:space="preserve"> Treatment and prevention of gastrointestinal bleeding in patients</w:t>
      </w:r>
      <w:r w:rsidRPr="00E341D3">
        <w:rPr>
          <w:rFonts w:ascii="Book Antiqua" w:eastAsia="宋体" w:hAnsi="Book Antiqua" w:cs="Helvetica"/>
          <w:kern w:val="0"/>
          <w:sz w:val="24"/>
          <w:szCs w:val="24"/>
          <w:lang w:eastAsia="zh-CN"/>
        </w:rPr>
        <w:t xml:space="preserve"> </w:t>
      </w:r>
      <w:r w:rsidRPr="00E341D3">
        <w:rPr>
          <w:rFonts w:ascii="Book Antiqua" w:eastAsiaTheme="minorEastAsia" w:hAnsi="Book Antiqua" w:cs="Helvetica"/>
          <w:kern w:val="0"/>
          <w:sz w:val="24"/>
          <w:szCs w:val="24"/>
        </w:rPr>
        <w:t>receiving antiplatelet therapy</w:t>
      </w:r>
      <w:r w:rsidRPr="00E341D3">
        <w:rPr>
          <w:rFonts w:ascii="Book Antiqua" w:eastAsia="宋体" w:hAnsi="Book Antiqua" w:cs="Helvetica"/>
          <w:kern w:val="0"/>
          <w:sz w:val="24"/>
          <w:szCs w:val="24"/>
          <w:lang w:eastAsia="zh-CN"/>
        </w:rPr>
        <w:t>.</w:t>
      </w:r>
      <w:r w:rsidR="00B514F1" w:rsidRPr="00E341D3">
        <w:rPr>
          <w:rFonts w:ascii="Book Antiqua" w:eastAsia="宋体" w:hAnsi="Book Antiqua" w:cs="Helvetica"/>
          <w:kern w:val="0"/>
          <w:sz w:val="24"/>
          <w:szCs w:val="24"/>
          <w:lang w:eastAsia="zh-CN"/>
        </w:rPr>
        <w:t xml:space="preserve"> </w:t>
      </w:r>
      <w:r w:rsidR="00B514F1" w:rsidRPr="00E341D3">
        <w:rPr>
          <w:rFonts w:ascii="Book Antiqua" w:hAnsi="Book Antiqua"/>
          <w:i/>
          <w:iCs/>
          <w:sz w:val="24"/>
          <w:szCs w:val="24"/>
        </w:rPr>
        <w:t>World J Crit Care Med</w:t>
      </w:r>
      <w:r w:rsidR="00B514F1" w:rsidRPr="00E341D3">
        <w:rPr>
          <w:rFonts w:ascii="Book Antiqua" w:eastAsia="宋体" w:hAnsi="Book Antiqua"/>
          <w:i/>
          <w:iCs/>
          <w:sz w:val="24"/>
          <w:szCs w:val="24"/>
          <w:lang w:eastAsia="zh-CN"/>
        </w:rPr>
        <w:t xml:space="preserve"> </w:t>
      </w:r>
      <w:r w:rsidR="00B514F1" w:rsidRPr="00E341D3">
        <w:rPr>
          <w:rFonts w:ascii="Book Antiqua" w:eastAsia="宋体" w:hAnsi="Book Antiqua"/>
          <w:iCs/>
          <w:sz w:val="24"/>
          <w:szCs w:val="24"/>
          <w:lang w:eastAsia="zh-CN"/>
        </w:rPr>
        <w:t>2015; In press</w:t>
      </w:r>
    </w:p>
    <w:p w14:paraId="4503C9A1" w14:textId="77777777" w:rsidR="00DC34F6" w:rsidRPr="00E341D3" w:rsidRDefault="00DC34F6" w:rsidP="00B514F1">
      <w:pPr>
        <w:spacing w:line="360" w:lineRule="auto"/>
        <w:rPr>
          <w:rFonts w:ascii="Book Antiqua" w:eastAsia="宋体" w:hAnsi="Book Antiqua"/>
          <w:kern w:val="0"/>
          <w:sz w:val="24"/>
          <w:szCs w:val="24"/>
          <w:lang w:eastAsia="zh-CN"/>
        </w:rPr>
      </w:pPr>
    </w:p>
    <w:p w14:paraId="69A78539" w14:textId="26B1EDBD" w:rsidR="00342BFA" w:rsidRPr="00E341D3" w:rsidRDefault="00B514F1" w:rsidP="00B514F1">
      <w:pPr>
        <w:pStyle w:val="Footer"/>
        <w:tabs>
          <w:tab w:val="clear" w:pos="4252"/>
          <w:tab w:val="clear" w:pos="8504"/>
        </w:tabs>
        <w:snapToGrid/>
        <w:spacing w:line="360" w:lineRule="auto"/>
        <w:rPr>
          <w:rFonts w:ascii="Book Antiqua" w:eastAsia="MS Mincho" w:hAnsi="Book Antiqua"/>
          <w:b/>
        </w:rPr>
      </w:pPr>
      <w:r w:rsidRPr="00E341D3">
        <w:rPr>
          <w:rFonts w:ascii="Book Antiqua" w:eastAsia="MS Mincho" w:hAnsi="Book Antiqua"/>
          <w:b/>
        </w:rPr>
        <w:t>INTRODUCTION</w:t>
      </w:r>
    </w:p>
    <w:p w14:paraId="5AAEBDF0" w14:textId="53C0A7E4" w:rsidR="00342BFA" w:rsidRPr="00E341D3" w:rsidRDefault="00342BFA" w:rsidP="00B514F1">
      <w:pPr>
        <w:widowControl/>
        <w:autoSpaceDE w:val="0"/>
        <w:autoSpaceDN w:val="0"/>
        <w:adjustRightInd w:val="0"/>
        <w:spacing w:line="360" w:lineRule="auto"/>
        <w:rPr>
          <w:rFonts w:ascii="Book Antiqua" w:hAnsi="Book Antiqua"/>
          <w:sz w:val="24"/>
          <w:szCs w:val="24"/>
        </w:rPr>
      </w:pPr>
      <w:r w:rsidRPr="00E341D3">
        <w:rPr>
          <w:rFonts w:ascii="Book Antiqua" w:hAnsi="Book Antiqua"/>
          <w:sz w:val="24"/>
          <w:szCs w:val="24"/>
        </w:rPr>
        <w:t xml:space="preserve">Antiplatelet therapy is </w:t>
      </w:r>
      <w:r w:rsidRPr="00E341D3">
        <w:rPr>
          <w:rFonts w:ascii="Book Antiqua" w:eastAsiaTheme="minorEastAsia" w:hAnsi="Book Antiqua" w:cs="Times"/>
          <w:kern w:val="0"/>
          <w:sz w:val="24"/>
          <w:szCs w:val="24"/>
        </w:rPr>
        <w:t>widely used in the secondary prevention of acute coronary syndrome (ACS) and ischemic stroke, especially after interventional therapy.</w:t>
      </w:r>
      <w:r w:rsidRPr="00E341D3">
        <w:rPr>
          <w:rFonts w:ascii="Book Antiqua" w:hAnsi="Book Antiqua"/>
          <w:sz w:val="24"/>
          <w:szCs w:val="24"/>
        </w:rPr>
        <w:t xml:space="preserve"> Dual antiplatelet therapy (DAPT) with aspirin plus a thienopyridine derivative that inhibits the platelet P2Y</w:t>
      </w:r>
      <w:r w:rsidRPr="00E341D3">
        <w:rPr>
          <w:rFonts w:ascii="Book Antiqua" w:hAnsi="Book Antiqua"/>
          <w:sz w:val="24"/>
          <w:szCs w:val="24"/>
          <w:vertAlign w:val="subscript"/>
        </w:rPr>
        <w:t>12</w:t>
      </w:r>
      <w:r w:rsidRPr="00E341D3">
        <w:rPr>
          <w:rFonts w:ascii="Book Antiqua" w:hAnsi="Book Antiqua"/>
          <w:sz w:val="24"/>
          <w:szCs w:val="24"/>
        </w:rPr>
        <w:t xml:space="preserve"> adenosine diphosphate (ADP) receptor is the standard treatment to prevent stent thrombosis after implantation of drug-eluting stents (DESs) in patients with symp</w:t>
      </w:r>
      <w:r w:rsidR="00B514F1" w:rsidRPr="00E341D3">
        <w:rPr>
          <w:rFonts w:ascii="Book Antiqua" w:hAnsi="Book Antiqua"/>
          <w:sz w:val="24"/>
          <w:szCs w:val="24"/>
        </w:rPr>
        <w:t>tomatic coronary artery disease</w:t>
      </w:r>
      <w:r w:rsidR="00AD357F" w:rsidRPr="00E341D3">
        <w:rPr>
          <w:rFonts w:ascii="Book Antiqua" w:hAnsi="Book Antiqua"/>
          <w:sz w:val="24"/>
          <w:szCs w:val="24"/>
          <w:vertAlign w:val="superscript"/>
        </w:rPr>
        <w:t>[</w:t>
      </w:r>
      <w:r w:rsidR="00B514F1" w:rsidRPr="00E341D3">
        <w:rPr>
          <w:rFonts w:ascii="Book Antiqua" w:hAnsi="Book Antiqua"/>
          <w:sz w:val="24"/>
          <w:szCs w:val="24"/>
          <w:vertAlign w:val="superscript"/>
        </w:rPr>
        <w:t>1,</w:t>
      </w:r>
      <w:r w:rsidR="00473FDD" w:rsidRPr="00E341D3">
        <w:rPr>
          <w:rFonts w:ascii="Book Antiqua" w:hAnsi="Book Antiqua"/>
          <w:sz w:val="24"/>
          <w:szCs w:val="24"/>
          <w:vertAlign w:val="superscript"/>
        </w:rPr>
        <w:t>2</w:t>
      </w:r>
      <w:r w:rsidR="00AD357F" w:rsidRPr="00E341D3">
        <w:rPr>
          <w:rFonts w:ascii="Book Antiqua" w:hAnsi="Book Antiqua"/>
          <w:sz w:val="24"/>
          <w:szCs w:val="24"/>
          <w:vertAlign w:val="superscript"/>
        </w:rPr>
        <w:t>]</w:t>
      </w:r>
      <w:r w:rsidRPr="00E341D3">
        <w:rPr>
          <w:rFonts w:ascii="Book Antiqua" w:hAnsi="Book Antiqua"/>
          <w:sz w:val="24"/>
          <w:szCs w:val="24"/>
        </w:rPr>
        <w:t xml:space="preserve">. The joint guidelines of the American College of Cardiology, the American Heart Association, and the Society for Cardiovascular Angiography and Interventions recommend </w:t>
      </w:r>
      <w:r w:rsidRPr="00E341D3">
        <w:rPr>
          <w:rFonts w:ascii="Book Antiqua" w:eastAsia="MS Gothic" w:hAnsi="Book Antiqua"/>
          <w:sz w:val="24"/>
          <w:szCs w:val="24"/>
        </w:rPr>
        <w:t>that</w:t>
      </w:r>
      <w:r w:rsidRPr="00E341D3">
        <w:rPr>
          <w:rFonts w:ascii="Book Antiqua" w:hAnsi="Book Antiqua" w:cs="AdvTTc9c3bd71"/>
          <w:kern w:val="0"/>
          <w:sz w:val="24"/>
          <w:szCs w:val="24"/>
        </w:rPr>
        <w:t xml:space="preserve"> aspirin therapy should be continued lifelong in all patients with ST-elevation myocardial infarction (MI)-ACS, and </w:t>
      </w:r>
      <w:r w:rsidRPr="00E341D3">
        <w:rPr>
          <w:rFonts w:ascii="Book Antiqua" w:hAnsi="Book Antiqua" w:cs="HelveticaNeue-Condensed"/>
          <w:kern w:val="0"/>
          <w:sz w:val="24"/>
          <w:szCs w:val="24"/>
        </w:rPr>
        <w:t>clopidogrel or prasugrel should be administered for at least 12 mo</w:t>
      </w:r>
      <w:r w:rsidRPr="00E341D3">
        <w:rPr>
          <w:rFonts w:ascii="Book Antiqua" w:hAnsi="Book Antiqua"/>
          <w:sz w:val="24"/>
          <w:szCs w:val="24"/>
        </w:rPr>
        <w:t xml:space="preserve"> in patients </w:t>
      </w:r>
      <w:r w:rsidRPr="00E341D3">
        <w:rPr>
          <w:rFonts w:ascii="Book Antiqua" w:hAnsi="Book Antiqua" w:cs="HelveticaNeue-Condensed"/>
          <w:kern w:val="0"/>
          <w:sz w:val="24"/>
          <w:szCs w:val="24"/>
        </w:rPr>
        <w:t xml:space="preserve">receiving stents </w:t>
      </w:r>
      <w:r w:rsidRPr="00E341D3">
        <w:rPr>
          <w:rFonts w:ascii="Book Antiqua" w:hAnsi="Book Antiqua"/>
          <w:sz w:val="24"/>
          <w:szCs w:val="24"/>
        </w:rPr>
        <w:t>(</w:t>
      </w:r>
      <w:r w:rsidRPr="00E341D3">
        <w:rPr>
          <w:rFonts w:ascii="Book Antiqua" w:hAnsi="Book Antiqua" w:cs="HelveticaNeue-Condensed"/>
          <w:kern w:val="0"/>
          <w:sz w:val="24"/>
          <w:szCs w:val="24"/>
        </w:rPr>
        <w:t>bare metal stents or DESs) during percutaneous coronary intervention (PCI) for ACS</w:t>
      </w:r>
      <w:r w:rsidR="00AD357F" w:rsidRPr="00E341D3">
        <w:rPr>
          <w:rFonts w:ascii="Book Antiqua" w:hAnsi="Book Antiqua" w:cs="HelveticaNeue-Condensed"/>
          <w:kern w:val="0"/>
          <w:sz w:val="24"/>
          <w:szCs w:val="24"/>
          <w:vertAlign w:val="superscript"/>
        </w:rPr>
        <w:t>[</w:t>
      </w:r>
      <w:r w:rsidR="00B514F1" w:rsidRPr="00E341D3">
        <w:rPr>
          <w:rFonts w:ascii="Book Antiqua" w:hAnsi="Book Antiqua"/>
          <w:sz w:val="24"/>
          <w:szCs w:val="24"/>
          <w:vertAlign w:val="superscript"/>
        </w:rPr>
        <w:t>3,</w:t>
      </w:r>
      <w:r w:rsidR="00473FDD" w:rsidRPr="00E341D3">
        <w:rPr>
          <w:rFonts w:ascii="Book Antiqua" w:hAnsi="Book Antiqua"/>
          <w:sz w:val="24"/>
          <w:szCs w:val="24"/>
          <w:vertAlign w:val="superscript"/>
        </w:rPr>
        <w:t>4</w:t>
      </w:r>
      <w:r w:rsidR="00AD357F" w:rsidRPr="00E341D3">
        <w:rPr>
          <w:rFonts w:ascii="Book Antiqua" w:hAnsi="Book Antiqua" w:cs="HelveticaNeue-Condensed"/>
          <w:kern w:val="0"/>
          <w:sz w:val="24"/>
          <w:szCs w:val="24"/>
          <w:vertAlign w:val="superscript"/>
        </w:rPr>
        <w:t>]</w:t>
      </w:r>
      <w:r w:rsidRPr="00E341D3">
        <w:rPr>
          <w:rFonts w:ascii="Book Antiqua" w:hAnsi="Book Antiqua" w:cs="HelveticaNeue-Condensed"/>
          <w:kern w:val="0"/>
          <w:sz w:val="24"/>
          <w:szCs w:val="24"/>
        </w:rPr>
        <w:t>.</w:t>
      </w:r>
      <w:r w:rsidRPr="00E341D3">
        <w:rPr>
          <w:rFonts w:ascii="Book Antiqua" w:hAnsi="Book Antiqua" w:cs="Verdana"/>
          <w:kern w:val="0"/>
          <w:sz w:val="24"/>
          <w:szCs w:val="24"/>
        </w:rPr>
        <w:t xml:space="preserve"> Antiplatelet therapy is also used for both the management and the prevention of acute ischemic stroke. Aspirin is the most commonly used agent in this therapy.</w:t>
      </w:r>
      <w:r w:rsidRPr="00E341D3">
        <w:rPr>
          <w:rFonts w:ascii="Book Antiqua" w:eastAsia="MS Gothic" w:hAnsi="Book Antiqua"/>
          <w:sz w:val="24"/>
          <w:szCs w:val="24"/>
        </w:rPr>
        <w:t xml:space="preserve"> </w:t>
      </w:r>
      <w:r w:rsidRPr="00E341D3">
        <w:rPr>
          <w:rFonts w:ascii="Book Antiqua" w:eastAsia="MS Gothic" w:hAnsi="Book Antiqua" w:cs="Verdana"/>
          <w:kern w:val="0"/>
          <w:sz w:val="24"/>
          <w:szCs w:val="24"/>
        </w:rPr>
        <w:t>L</w:t>
      </w:r>
      <w:r w:rsidRPr="00E341D3">
        <w:rPr>
          <w:rFonts w:ascii="Book Antiqua" w:hAnsi="Book Antiqua" w:cs="Verdana"/>
          <w:kern w:val="0"/>
          <w:sz w:val="24"/>
          <w:szCs w:val="24"/>
        </w:rPr>
        <w:t xml:space="preserve">ong-term administration of clopidogrel in patients with ischemic stroke is also beneficial and induces a slightly lower frequency of </w:t>
      </w:r>
      <w:r w:rsidRPr="00E341D3">
        <w:rPr>
          <w:rFonts w:ascii="Book Antiqua" w:hAnsi="Book Antiqua"/>
          <w:sz w:val="24"/>
          <w:szCs w:val="24"/>
        </w:rPr>
        <w:t>gastrointestinal bleeding (GIB)</w:t>
      </w:r>
      <w:r w:rsidRPr="00E341D3">
        <w:rPr>
          <w:rFonts w:ascii="Book Antiqua" w:hAnsi="Book Antiqua" w:cs="Verdana"/>
          <w:kern w:val="0"/>
          <w:sz w:val="24"/>
          <w:szCs w:val="24"/>
        </w:rPr>
        <w:t xml:space="preserve"> t</w:t>
      </w:r>
      <w:r w:rsidR="00B514F1" w:rsidRPr="00E341D3">
        <w:rPr>
          <w:rFonts w:ascii="Book Antiqua" w:hAnsi="Book Antiqua" w:cs="Verdana"/>
          <w:kern w:val="0"/>
          <w:sz w:val="24"/>
          <w:szCs w:val="24"/>
        </w:rPr>
        <w:t>han does aspirin administration</w:t>
      </w:r>
      <w:r w:rsidR="00AD357F" w:rsidRPr="00E341D3">
        <w:rPr>
          <w:rFonts w:ascii="Book Antiqua" w:hAnsi="Book Antiqua" w:cs="Verdana"/>
          <w:kern w:val="0"/>
          <w:sz w:val="24"/>
          <w:szCs w:val="24"/>
          <w:vertAlign w:val="superscript"/>
        </w:rPr>
        <w:t>[</w:t>
      </w:r>
      <w:r w:rsidR="00473FDD" w:rsidRPr="00E341D3">
        <w:rPr>
          <w:rFonts w:ascii="Book Antiqua" w:hAnsi="Book Antiqua" w:cs="Verdana"/>
          <w:kern w:val="0"/>
          <w:sz w:val="24"/>
          <w:szCs w:val="24"/>
          <w:vertAlign w:val="superscript"/>
        </w:rPr>
        <w:t>5</w:t>
      </w:r>
      <w:r w:rsidR="00AD357F" w:rsidRPr="00E341D3">
        <w:rPr>
          <w:rFonts w:ascii="Book Antiqua" w:hAnsi="Book Antiqua" w:cs="Verdana"/>
          <w:kern w:val="0"/>
          <w:sz w:val="24"/>
          <w:szCs w:val="24"/>
          <w:vertAlign w:val="superscript"/>
        </w:rPr>
        <w:t>]</w:t>
      </w:r>
      <w:r w:rsidRPr="00E341D3">
        <w:rPr>
          <w:rFonts w:ascii="Book Antiqua" w:hAnsi="Book Antiqua" w:cs="Verdana"/>
          <w:kern w:val="0"/>
          <w:sz w:val="24"/>
          <w:szCs w:val="24"/>
        </w:rPr>
        <w:t>.</w:t>
      </w:r>
    </w:p>
    <w:p w14:paraId="7CB9960C" w14:textId="7AE5A261" w:rsidR="00342BFA" w:rsidRPr="00E341D3" w:rsidRDefault="00342BFA" w:rsidP="00B514F1">
      <w:pPr>
        <w:spacing w:line="360" w:lineRule="auto"/>
        <w:ind w:firstLineChars="100" w:firstLine="240"/>
        <w:rPr>
          <w:rFonts w:ascii="Book Antiqua" w:eastAsia="MS Gothic" w:hAnsi="Book Antiqua"/>
          <w:sz w:val="24"/>
          <w:szCs w:val="24"/>
        </w:rPr>
      </w:pPr>
      <w:r w:rsidRPr="00E341D3">
        <w:rPr>
          <w:rFonts w:ascii="Book Antiqua" w:hAnsi="Book Antiqua"/>
          <w:sz w:val="24"/>
          <w:szCs w:val="24"/>
        </w:rPr>
        <w:t>Antiplatelet therapy is associated with bleeding complications such as GIB, which is one of the most common life-threatenin</w:t>
      </w:r>
      <w:r w:rsidR="00B514F1" w:rsidRPr="00E341D3">
        <w:rPr>
          <w:rFonts w:ascii="Book Antiqua" w:hAnsi="Book Antiqua"/>
          <w:sz w:val="24"/>
          <w:szCs w:val="24"/>
        </w:rPr>
        <w:t>g complications of this therapy</w:t>
      </w:r>
      <w:r w:rsidR="00AD357F" w:rsidRPr="00E341D3">
        <w:rPr>
          <w:rFonts w:ascii="Book Antiqua" w:hAnsi="Book Antiqua"/>
          <w:sz w:val="24"/>
          <w:szCs w:val="24"/>
          <w:vertAlign w:val="superscript"/>
        </w:rPr>
        <w:t>[</w:t>
      </w:r>
      <w:r w:rsidR="00473FDD" w:rsidRPr="00E341D3">
        <w:rPr>
          <w:rFonts w:ascii="Book Antiqua" w:hAnsi="Book Antiqua"/>
          <w:sz w:val="24"/>
          <w:szCs w:val="24"/>
          <w:vertAlign w:val="superscript"/>
        </w:rPr>
        <w:t>6-9</w:t>
      </w:r>
      <w:r w:rsidR="00AD357F" w:rsidRPr="00E341D3">
        <w:rPr>
          <w:rFonts w:ascii="Book Antiqua" w:hAnsi="Book Antiqua"/>
          <w:sz w:val="24"/>
          <w:szCs w:val="24"/>
          <w:vertAlign w:val="superscript"/>
        </w:rPr>
        <w:t>]</w:t>
      </w:r>
      <w:r w:rsidRPr="00E341D3">
        <w:rPr>
          <w:rFonts w:ascii="Book Antiqua" w:hAnsi="Book Antiqua"/>
          <w:sz w:val="24"/>
          <w:szCs w:val="24"/>
        </w:rPr>
        <w:t>.</w:t>
      </w:r>
      <w:r w:rsidRPr="00E341D3">
        <w:rPr>
          <w:rFonts w:ascii="Book Antiqua" w:eastAsia="MS Gothic" w:hAnsi="Book Antiqua"/>
          <w:sz w:val="24"/>
          <w:szCs w:val="24"/>
        </w:rPr>
        <w:t xml:space="preserve"> This review focuses on the management and prevention of upper GIB in patients receiving antiplatelet therapy.</w:t>
      </w:r>
    </w:p>
    <w:p w14:paraId="76BE3FD8" w14:textId="77777777" w:rsidR="00342BFA" w:rsidRPr="00E341D3" w:rsidRDefault="00342BFA" w:rsidP="00B514F1">
      <w:pPr>
        <w:spacing w:line="360" w:lineRule="auto"/>
        <w:rPr>
          <w:rFonts w:ascii="Book Antiqua" w:hAnsi="Book Antiqua" w:cs="AdvP3DD951"/>
          <w:kern w:val="0"/>
          <w:sz w:val="24"/>
          <w:szCs w:val="24"/>
        </w:rPr>
      </w:pPr>
    </w:p>
    <w:p w14:paraId="7BA43A7A" w14:textId="6F8BA10F" w:rsidR="00342BFA" w:rsidRPr="00E341D3" w:rsidRDefault="00B514F1" w:rsidP="00B514F1">
      <w:pPr>
        <w:pStyle w:val="Footer"/>
        <w:tabs>
          <w:tab w:val="clear" w:pos="4252"/>
          <w:tab w:val="clear" w:pos="8504"/>
        </w:tabs>
        <w:snapToGrid/>
        <w:spacing w:line="360" w:lineRule="auto"/>
        <w:rPr>
          <w:rFonts w:ascii="Book Antiqua" w:eastAsia="MS Gothic" w:hAnsi="Book Antiqua"/>
          <w:b/>
        </w:rPr>
      </w:pPr>
      <w:r w:rsidRPr="00E341D3">
        <w:rPr>
          <w:rFonts w:ascii="Book Antiqua" w:eastAsia="MS Gothic" w:hAnsi="Book Antiqua"/>
          <w:b/>
        </w:rPr>
        <w:t>ANTIPLATELET THERAPY AND GIB</w:t>
      </w:r>
    </w:p>
    <w:p w14:paraId="666441A5" w14:textId="7F85D6CE" w:rsidR="00342BFA" w:rsidRPr="00E341D3" w:rsidRDefault="00342BFA" w:rsidP="00B514F1">
      <w:pPr>
        <w:widowControl/>
        <w:autoSpaceDE w:val="0"/>
        <w:autoSpaceDN w:val="0"/>
        <w:adjustRightInd w:val="0"/>
        <w:spacing w:line="360" w:lineRule="auto"/>
        <w:rPr>
          <w:rFonts w:ascii="Book Antiqua" w:hAnsi="Book Antiqua" w:cs="Times"/>
          <w:kern w:val="0"/>
          <w:sz w:val="24"/>
          <w:szCs w:val="24"/>
        </w:rPr>
      </w:pPr>
      <w:r w:rsidRPr="00E341D3">
        <w:rPr>
          <w:rFonts w:ascii="Book Antiqua" w:eastAsia="MS Gothic" w:hAnsi="Book Antiqua"/>
          <w:sz w:val="24"/>
          <w:szCs w:val="24"/>
        </w:rPr>
        <w:t>Antiplatelet therapy cause</w:t>
      </w:r>
      <w:r w:rsidRPr="00E341D3">
        <w:rPr>
          <w:rFonts w:ascii="Book Antiqua" w:hAnsi="Book Antiqua" w:cs="Times"/>
          <w:kern w:val="0"/>
          <w:sz w:val="24"/>
          <w:szCs w:val="24"/>
        </w:rPr>
        <w:t xml:space="preserve">s GIB, </w:t>
      </w:r>
      <w:r w:rsidRPr="00E341D3">
        <w:rPr>
          <w:rFonts w:ascii="Book Antiqua" w:eastAsia="HG丸ｺﾞｼｯｸM-PRO" w:hAnsi="Book Antiqua"/>
          <w:sz w:val="24"/>
          <w:szCs w:val="24"/>
        </w:rPr>
        <w:t>especially in elderly</w:t>
      </w:r>
      <w:r w:rsidRPr="00E341D3">
        <w:rPr>
          <w:rFonts w:ascii="Book Antiqua" w:hAnsi="Book Antiqua" w:cs="Times"/>
          <w:kern w:val="0"/>
          <w:sz w:val="24"/>
          <w:szCs w:val="24"/>
        </w:rPr>
        <w:t xml:space="preserve"> patients. </w:t>
      </w:r>
      <w:r w:rsidRPr="00E341D3">
        <w:rPr>
          <w:rFonts w:ascii="Book Antiqua" w:eastAsia="MS Gothic" w:hAnsi="Book Antiqua"/>
          <w:sz w:val="24"/>
          <w:szCs w:val="24"/>
        </w:rPr>
        <w:t xml:space="preserve">Usually, </w:t>
      </w:r>
      <w:r w:rsidRPr="00E341D3">
        <w:rPr>
          <w:rFonts w:ascii="Book Antiqua" w:hAnsi="Book Antiqua"/>
          <w:sz w:val="24"/>
          <w:szCs w:val="24"/>
        </w:rPr>
        <w:t>clinically important upper GIB is identified by hematemesis and/or melena and</w:t>
      </w:r>
      <w:r w:rsidRPr="00E341D3">
        <w:rPr>
          <w:rFonts w:ascii="Book Antiqua" w:hAnsi="Book Antiqua"/>
          <w:b/>
          <w:sz w:val="24"/>
          <w:szCs w:val="24"/>
        </w:rPr>
        <w:t xml:space="preserve"> </w:t>
      </w:r>
      <w:r w:rsidRPr="00E341D3">
        <w:rPr>
          <w:rFonts w:ascii="Book Antiqua" w:hAnsi="Book Antiqua"/>
          <w:sz w:val="24"/>
          <w:szCs w:val="24"/>
        </w:rPr>
        <w:t>a decrease in hemoglobin level of</w:t>
      </w:r>
      <w:r w:rsidRPr="00E341D3">
        <w:rPr>
          <w:rFonts w:ascii="Book Antiqua" w:hAnsi="Book Antiqua"/>
          <w:b/>
          <w:sz w:val="24"/>
          <w:szCs w:val="24"/>
        </w:rPr>
        <w:t xml:space="preserve"> </w:t>
      </w:r>
      <w:r w:rsidRPr="00E341D3">
        <w:rPr>
          <w:rFonts w:ascii="Book Antiqua" w:hAnsi="Book Antiqua"/>
          <w:sz w:val="24"/>
          <w:szCs w:val="24"/>
        </w:rPr>
        <w:t>at least 2 g/dL, and is confirmed by</w:t>
      </w:r>
      <w:r w:rsidRPr="00E341D3">
        <w:rPr>
          <w:rFonts w:ascii="Book Antiqua" w:hAnsi="Book Antiqua"/>
          <w:b/>
          <w:sz w:val="24"/>
          <w:szCs w:val="24"/>
        </w:rPr>
        <w:t xml:space="preserve"> </w:t>
      </w:r>
      <w:r w:rsidRPr="00E341D3">
        <w:rPr>
          <w:rFonts w:ascii="Book Antiqua" w:hAnsi="Book Antiqua"/>
          <w:sz w:val="24"/>
          <w:szCs w:val="24"/>
        </w:rPr>
        <w:t xml:space="preserve">an endoscopic diagnosis of peptic ulcer lesions as the cause of bleeding. </w:t>
      </w:r>
      <w:r w:rsidRPr="00E341D3">
        <w:rPr>
          <w:rFonts w:ascii="Book Antiqua" w:hAnsi="Book Antiqua" w:cs="Times"/>
          <w:kern w:val="0"/>
          <w:sz w:val="24"/>
          <w:szCs w:val="24"/>
        </w:rPr>
        <w:t>Antiplatelet therapy-related ulcers often occur without symptoms of dyspepsia.</w:t>
      </w:r>
      <w:r w:rsidRPr="00E341D3">
        <w:rPr>
          <w:rFonts w:ascii="Book Antiqua" w:eastAsia="MS Gothic" w:hAnsi="Book Antiqua"/>
          <w:sz w:val="24"/>
          <w:szCs w:val="24"/>
        </w:rPr>
        <w:t xml:space="preserve"> Aspirin and P2Y</w:t>
      </w:r>
      <w:r w:rsidRPr="00E341D3">
        <w:rPr>
          <w:rFonts w:ascii="Book Antiqua" w:eastAsia="MS Gothic" w:hAnsi="Book Antiqua"/>
          <w:sz w:val="24"/>
          <w:szCs w:val="24"/>
          <w:vertAlign w:val="subscript"/>
        </w:rPr>
        <w:t>12</w:t>
      </w:r>
      <w:r w:rsidRPr="00E341D3">
        <w:rPr>
          <w:rFonts w:ascii="Book Antiqua" w:eastAsia="MS Gothic" w:hAnsi="Book Antiqua"/>
          <w:sz w:val="24"/>
          <w:szCs w:val="24"/>
        </w:rPr>
        <w:t xml:space="preserve"> inhibitors are the most common antiplatelet agents. Aspirin irreversibly inhibits cyclooxygenase-1 by acetylating a serine residue at position 530, thereby preventing the conversion of arachidonate to the prostaglandin PGH</w:t>
      </w:r>
      <w:r w:rsidRPr="00E341D3">
        <w:rPr>
          <w:rFonts w:ascii="Book Antiqua" w:eastAsia="MS Gothic" w:hAnsi="Book Antiqua"/>
          <w:sz w:val="24"/>
          <w:szCs w:val="24"/>
          <w:vertAlign w:val="subscript"/>
        </w:rPr>
        <w:t>2</w:t>
      </w:r>
      <w:r w:rsidRPr="00E341D3">
        <w:rPr>
          <w:rFonts w:ascii="Book Antiqua" w:eastAsia="MS Gothic" w:hAnsi="Book Antiqua"/>
          <w:sz w:val="24"/>
          <w:szCs w:val="24"/>
        </w:rPr>
        <w:t>, which is converted to the platelet agonist thromboxane</w:t>
      </w:r>
      <w:r w:rsidR="00AD357F" w:rsidRPr="00E341D3">
        <w:rPr>
          <w:rFonts w:ascii="Book Antiqua" w:eastAsia="MS Gothic" w:hAnsi="Book Antiqua"/>
          <w:sz w:val="24"/>
          <w:szCs w:val="24"/>
          <w:vertAlign w:val="superscript"/>
        </w:rPr>
        <w:t>[</w:t>
      </w:r>
      <w:r w:rsidR="00CA6246" w:rsidRPr="00E341D3">
        <w:rPr>
          <w:rFonts w:ascii="Book Antiqua" w:eastAsia="MS Gothic" w:hAnsi="Book Antiqua"/>
          <w:sz w:val="24"/>
          <w:szCs w:val="24"/>
          <w:vertAlign w:val="superscript"/>
        </w:rPr>
        <w:t>10</w:t>
      </w:r>
      <w:r w:rsidR="00AD357F" w:rsidRPr="00E341D3">
        <w:rPr>
          <w:rFonts w:ascii="Book Antiqua" w:eastAsia="MS Gothic" w:hAnsi="Book Antiqua"/>
          <w:sz w:val="24"/>
          <w:szCs w:val="24"/>
          <w:vertAlign w:val="superscript"/>
        </w:rPr>
        <w:t>]</w:t>
      </w:r>
      <w:r w:rsidRPr="00E341D3">
        <w:rPr>
          <w:rFonts w:ascii="Book Antiqua" w:eastAsia="MS Gothic" w:hAnsi="Book Antiqua"/>
          <w:sz w:val="24"/>
          <w:szCs w:val="24"/>
        </w:rPr>
        <w:t>.</w:t>
      </w:r>
      <w:r w:rsidRPr="00E341D3">
        <w:rPr>
          <w:rFonts w:ascii="Book Antiqua" w:hAnsi="Book Antiqua"/>
          <w:kern w:val="0"/>
          <w:sz w:val="24"/>
          <w:szCs w:val="24"/>
        </w:rPr>
        <w:t xml:space="preserve"> Several </w:t>
      </w:r>
      <w:r w:rsidRPr="00E341D3">
        <w:rPr>
          <w:rFonts w:ascii="Book Antiqua" w:hAnsi="Book Antiqua" w:cs="Times"/>
          <w:kern w:val="0"/>
          <w:sz w:val="24"/>
          <w:szCs w:val="24"/>
        </w:rPr>
        <w:t xml:space="preserve">randomized trials (RCTs) have documented that patients with prior cardiovascular disease experience fewer cardiovascular events and deaths with the use of </w:t>
      </w:r>
      <w:r w:rsidRPr="00E341D3">
        <w:rPr>
          <w:rFonts w:ascii="Book Antiqua" w:hAnsi="Book Antiqua"/>
          <w:kern w:val="0"/>
          <w:sz w:val="24"/>
          <w:szCs w:val="24"/>
        </w:rPr>
        <w:t>low-dose aspirin</w:t>
      </w:r>
      <w:r w:rsidRPr="00E341D3">
        <w:rPr>
          <w:rFonts w:ascii="Book Antiqua" w:hAnsi="Book Antiqua" w:cs="Times"/>
          <w:kern w:val="0"/>
          <w:sz w:val="24"/>
          <w:szCs w:val="24"/>
        </w:rPr>
        <w:t xml:space="preserve"> (LD</w:t>
      </w:r>
      <w:r w:rsidR="00B514F1" w:rsidRPr="00E341D3">
        <w:rPr>
          <w:rFonts w:ascii="Book Antiqua" w:hAnsi="Book Antiqua" w:cs="Times"/>
          <w:kern w:val="0"/>
          <w:sz w:val="24"/>
          <w:szCs w:val="24"/>
        </w:rPr>
        <w:t>A) therapy than without its use</w:t>
      </w:r>
      <w:r w:rsidR="00AD357F" w:rsidRPr="00E341D3">
        <w:rPr>
          <w:rFonts w:ascii="Book Antiqua" w:hAnsi="Book Antiqua" w:cs="Times"/>
          <w:kern w:val="0"/>
          <w:sz w:val="24"/>
          <w:szCs w:val="24"/>
          <w:vertAlign w:val="superscript"/>
        </w:rPr>
        <w:t>[</w:t>
      </w:r>
      <w:r w:rsidR="00B514F1" w:rsidRPr="00E341D3">
        <w:rPr>
          <w:rFonts w:ascii="Book Antiqua" w:hAnsi="Book Antiqua" w:cs="Times"/>
          <w:kern w:val="0"/>
          <w:sz w:val="24"/>
          <w:szCs w:val="24"/>
          <w:vertAlign w:val="superscript"/>
        </w:rPr>
        <w:t>11,</w:t>
      </w:r>
      <w:r w:rsidR="00CA6246" w:rsidRPr="00E341D3">
        <w:rPr>
          <w:rFonts w:ascii="Book Antiqua" w:hAnsi="Book Antiqua" w:cs="Times"/>
          <w:kern w:val="0"/>
          <w:sz w:val="24"/>
          <w:szCs w:val="24"/>
          <w:vertAlign w:val="superscript"/>
        </w:rPr>
        <w:t>12</w:t>
      </w:r>
      <w:r w:rsidR="00AD357F" w:rsidRPr="00E341D3">
        <w:rPr>
          <w:rFonts w:ascii="Book Antiqua" w:hAnsi="Book Antiqua" w:cs="Times"/>
          <w:kern w:val="0"/>
          <w:sz w:val="24"/>
          <w:szCs w:val="24"/>
          <w:vertAlign w:val="superscript"/>
        </w:rPr>
        <w:t>]</w:t>
      </w:r>
      <w:r w:rsidRPr="00E341D3">
        <w:rPr>
          <w:rFonts w:ascii="Book Antiqua" w:hAnsi="Book Antiqua" w:cs="Times"/>
          <w:kern w:val="0"/>
          <w:sz w:val="24"/>
          <w:szCs w:val="24"/>
        </w:rPr>
        <w:t>.</w:t>
      </w:r>
      <w:r w:rsidRPr="00E341D3">
        <w:rPr>
          <w:rFonts w:ascii="Book Antiqua" w:hAnsi="Book Antiqua"/>
          <w:kern w:val="0"/>
          <w:sz w:val="24"/>
          <w:szCs w:val="24"/>
        </w:rPr>
        <w:t xml:space="preserve"> LDA is </w:t>
      </w:r>
      <w:r w:rsidRPr="00E341D3">
        <w:rPr>
          <w:rFonts w:ascii="Book Antiqua" w:hAnsi="Book Antiqua" w:cs="Times"/>
          <w:kern w:val="0"/>
          <w:sz w:val="24"/>
          <w:szCs w:val="24"/>
        </w:rPr>
        <w:t>commonly defined as aspirin between 75 and 325 mg/d.</w:t>
      </w:r>
      <w:r w:rsidRPr="00E341D3">
        <w:rPr>
          <w:rFonts w:ascii="Book Antiqua" w:hAnsi="Book Antiqua"/>
          <w:kern w:val="0"/>
          <w:sz w:val="24"/>
          <w:szCs w:val="24"/>
        </w:rPr>
        <w:t xml:space="preserve"> A meta-analysis indicated that no additional benefit was observed with the use of a higher dose of aspirin (300 </w:t>
      </w:r>
      <w:r w:rsidR="00B514F1" w:rsidRPr="00E341D3">
        <w:rPr>
          <w:rFonts w:ascii="Book Antiqua" w:hAnsi="Book Antiqua"/>
          <w:kern w:val="0"/>
          <w:sz w:val="24"/>
          <w:szCs w:val="24"/>
        </w:rPr>
        <w:t xml:space="preserve">mg/d </w:t>
      </w:r>
      <w:r w:rsidR="00B514F1" w:rsidRPr="00E341D3">
        <w:rPr>
          <w:rFonts w:ascii="Book Antiqua" w:hAnsi="Book Antiqua"/>
          <w:i/>
          <w:kern w:val="0"/>
          <w:sz w:val="24"/>
          <w:szCs w:val="24"/>
        </w:rPr>
        <w:t>vs</w:t>
      </w:r>
      <w:r w:rsidRPr="00E341D3">
        <w:rPr>
          <w:rFonts w:ascii="Book Antiqua" w:hAnsi="Book Antiqua"/>
          <w:kern w:val="0"/>
          <w:sz w:val="24"/>
          <w:szCs w:val="24"/>
        </w:rPr>
        <w:t xml:space="preserve"> 50–100 mg/d</w:t>
      </w:r>
      <w:r w:rsidR="00AD357F" w:rsidRPr="00E341D3">
        <w:rPr>
          <w:rFonts w:ascii="Book Antiqua" w:hAnsi="Book Antiqua"/>
          <w:kern w:val="0"/>
          <w:sz w:val="24"/>
          <w:szCs w:val="24"/>
          <w:vertAlign w:val="superscript"/>
        </w:rPr>
        <w:t>[</w:t>
      </w:r>
      <w:r w:rsidR="00CA6246" w:rsidRPr="00E341D3">
        <w:rPr>
          <w:rFonts w:ascii="Book Antiqua" w:hAnsi="Book Antiqua"/>
          <w:kern w:val="0"/>
          <w:sz w:val="24"/>
          <w:szCs w:val="24"/>
          <w:vertAlign w:val="superscript"/>
        </w:rPr>
        <w:t>12</w:t>
      </w:r>
      <w:r w:rsidR="00AD357F" w:rsidRPr="00E341D3">
        <w:rPr>
          <w:rFonts w:ascii="Book Antiqua" w:hAnsi="Book Antiqua"/>
          <w:kern w:val="0"/>
          <w:sz w:val="24"/>
          <w:szCs w:val="24"/>
          <w:vertAlign w:val="superscript"/>
        </w:rPr>
        <w:t>]</w:t>
      </w:r>
      <w:r w:rsidR="00CA6246" w:rsidRPr="00E341D3">
        <w:rPr>
          <w:rFonts w:ascii="Book Antiqua" w:hAnsi="Book Antiqua"/>
          <w:kern w:val="0"/>
          <w:sz w:val="24"/>
          <w:szCs w:val="24"/>
        </w:rPr>
        <w:t>)</w:t>
      </w:r>
      <w:r w:rsidRPr="00E341D3">
        <w:rPr>
          <w:rFonts w:ascii="Book Antiqua" w:hAnsi="Book Antiqua"/>
          <w:kern w:val="0"/>
          <w:sz w:val="24"/>
          <w:szCs w:val="24"/>
        </w:rPr>
        <w:t>. LDA is an effective therapy for the secondary prevention of cardiovascular events and ischemic stroke.</w:t>
      </w:r>
    </w:p>
    <w:p w14:paraId="2F37435D" w14:textId="26815DFF" w:rsidR="00342BFA" w:rsidRPr="00E341D3" w:rsidRDefault="00342BFA" w:rsidP="00B514F1">
      <w:pPr>
        <w:widowControl/>
        <w:autoSpaceDE w:val="0"/>
        <w:autoSpaceDN w:val="0"/>
        <w:adjustRightInd w:val="0"/>
        <w:spacing w:line="360" w:lineRule="auto"/>
        <w:ind w:firstLineChars="100" w:firstLine="240"/>
        <w:rPr>
          <w:rFonts w:ascii="Book Antiqua" w:eastAsia="宋体" w:hAnsi="Book Antiqua" w:cs="Verdana"/>
          <w:kern w:val="0"/>
          <w:sz w:val="24"/>
          <w:szCs w:val="24"/>
          <w:lang w:eastAsia="zh-CN"/>
        </w:rPr>
      </w:pPr>
      <w:r w:rsidRPr="00E341D3">
        <w:rPr>
          <w:rFonts w:ascii="Book Antiqua" w:hAnsi="Book Antiqua"/>
          <w:sz w:val="24"/>
          <w:szCs w:val="24"/>
        </w:rPr>
        <w:t>Thienopyridines affect the ADP pathway by irreversibly blocking the ADP receptor P2Y</w:t>
      </w:r>
      <w:r w:rsidRPr="00E341D3">
        <w:rPr>
          <w:rFonts w:ascii="Book Antiqua" w:hAnsi="Book Antiqua"/>
          <w:sz w:val="24"/>
          <w:szCs w:val="24"/>
          <w:vertAlign w:val="subscript"/>
        </w:rPr>
        <w:t>12</w:t>
      </w:r>
      <w:r w:rsidRPr="00E341D3">
        <w:rPr>
          <w:rFonts w:ascii="Book Antiqua" w:hAnsi="Book Antiqua"/>
          <w:sz w:val="24"/>
          <w:szCs w:val="24"/>
        </w:rPr>
        <w:t>, thereby inhibiting the activation of the glycoprotein IIb/IIIa c</w:t>
      </w:r>
      <w:r w:rsidR="00B514F1" w:rsidRPr="00E341D3">
        <w:rPr>
          <w:rFonts w:ascii="Book Antiqua" w:hAnsi="Book Antiqua"/>
          <w:sz w:val="24"/>
          <w:szCs w:val="24"/>
        </w:rPr>
        <w:t>omplex and platelet aggregation</w:t>
      </w:r>
      <w:r w:rsidR="00AD357F" w:rsidRPr="00E341D3">
        <w:rPr>
          <w:rFonts w:ascii="Book Antiqua" w:hAnsi="Book Antiqua"/>
          <w:sz w:val="24"/>
          <w:szCs w:val="24"/>
          <w:vertAlign w:val="superscript"/>
        </w:rPr>
        <w:t>[</w:t>
      </w:r>
      <w:r w:rsidR="00B514F1" w:rsidRPr="00E341D3">
        <w:rPr>
          <w:rFonts w:ascii="Book Antiqua" w:eastAsia="Osaka−等幅" w:hAnsi="Book Antiqua"/>
          <w:sz w:val="24"/>
          <w:szCs w:val="24"/>
          <w:vertAlign w:val="superscript"/>
        </w:rPr>
        <w:t>10,</w:t>
      </w:r>
      <w:r w:rsidR="00CA6246" w:rsidRPr="00E341D3">
        <w:rPr>
          <w:rFonts w:ascii="Book Antiqua" w:eastAsia="Osaka−等幅" w:hAnsi="Book Antiqua"/>
          <w:sz w:val="24"/>
          <w:szCs w:val="24"/>
          <w:vertAlign w:val="superscript"/>
        </w:rPr>
        <w:t>13</w:t>
      </w:r>
      <w:r w:rsidR="00AD357F" w:rsidRPr="00E341D3">
        <w:rPr>
          <w:rFonts w:ascii="Book Antiqua" w:hAnsi="Book Antiqua"/>
          <w:sz w:val="24"/>
          <w:szCs w:val="24"/>
          <w:vertAlign w:val="superscript"/>
        </w:rPr>
        <w:t>]</w:t>
      </w:r>
      <w:r w:rsidRPr="00E341D3">
        <w:rPr>
          <w:rFonts w:ascii="Book Antiqua" w:hAnsi="Book Antiqua"/>
          <w:sz w:val="24"/>
          <w:szCs w:val="24"/>
        </w:rPr>
        <w:t>.</w:t>
      </w:r>
      <w:r w:rsidRPr="00E341D3">
        <w:rPr>
          <w:rFonts w:ascii="Book Antiqua" w:hAnsi="Book Antiqua" w:cs="Verdana"/>
          <w:kern w:val="0"/>
          <w:sz w:val="24"/>
          <w:szCs w:val="24"/>
        </w:rPr>
        <w:t xml:space="preserve"> </w:t>
      </w:r>
      <w:r w:rsidRPr="00E341D3">
        <w:rPr>
          <w:rFonts w:ascii="Book Antiqua" w:eastAsiaTheme="minorEastAsia" w:hAnsi="Book Antiqua"/>
          <w:kern w:val="0"/>
          <w:sz w:val="24"/>
          <w:szCs w:val="24"/>
        </w:rPr>
        <w:t>Ticlopidine, clopidogrel, and prasugrel are thienopyridine prodrugs that require conversion to an active metabolite. Ticagrelor belongs to a new family of antiplatelet agents, which directly and reversibly bind to the P2Y</w:t>
      </w:r>
      <w:r w:rsidRPr="00E341D3">
        <w:rPr>
          <w:rFonts w:ascii="Book Antiqua" w:eastAsiaTheme="minorEastAsia" w:hAnsi="Book Antiqua"/>
          <w:kern w:val="0"/>
          <w:sz w:val="24"/>
          <w:szCs w:val="24"/>
          <w:vertAlign w:val="subscript"/>
        </w:rPr>
        <w:t>12</w:t>
      </w:r>
      <w:r w:rsidRPr="00E341D3">
        <w:rPr>
          <w:rFonts w:ascii="Book Antiqua" w:eastAsiaTheme="minorEastAsia" w:hAnsi="Book Antiqua"/>
          <w:kern w:val="0"/>
          <w:sz w:val="24"/>
          <w:szCs w:val="24"/>
        </w:rPr>
        <w:t xml:space="preserve"> receptor. </w:t>
      </w:r>
      <w:r w:rsidRPr="00E341D3">
        <w:rPr>
          <w:rFonts w:ascii="Book Antiqua" w:hAnsi="Book Antiqua" w:cs="Verdana"/>
          <w:kern w:val="0"/>
          <w:sz w:val="24"/>
          <w:szCs w:val="24"/>
        </w:rPr>
        <w:t xml:space="preserve">The antiplatelet effects of the </w:t>
      </w:r>
      <w:r w:rsidRPr="00E341D3">
        <w:rPr>
          <w:rFonts w:ascii="Book Antiqua" w:eastAsia="MS Gothic" w:hAnsi="Book Antiqua"/>
          <w:sz w:val="24"/>
          <w:szCs w:val="24"/>
        </w:rPr>
        <w:t>P2Y</w:t>
      </w:r>
      <w:r w:rsidRPr="00E341D3">
        <w:rPr>
          <w:rFonts w:ascii="Book Antiqua" w:eastAsia="MS Gothic" w:hAnsi="Book Antiqua"/>
          <w:sz w:val="24"/>
          <w:szCs w:val="24"/>
          <w:vertAlign w:val="subscript"/>
        </w:rPr>
        <w:t>12</w:t>
      </w:r>
      <w:r w:rsidRPr="00E341D3">
        <w:rPr>
          <w:rFonts w:ascii="Book Antiqua" w:eastAsia="MS Gothic" w:hAnsi="Book Antiqua"/>
          <w:sz w:val="24"/>
          <w:szCs w:val="24"/>
        </w:rPr>
        <w:t xml:space="preserve"> inhibitor</w:t>
      </w:r>
      <w:r w:rsidRPr="00E341D3">
        <w:rPr>
          <w:rFonts w:ascii="Book Antiqua" w:hAnsi="Book Antiqua" w:cs="Verdana"/>
          <w:kern w:val="0"/>
          <w:sz w:val="24"/>
          <w:szCs w:val="24"/>
        </w:rPr>
        <w:t xml:space="preserve"> are additive to those of aspirin. The benefits of DAPT over aspirin alone in patients with ACS without ST-segment elevation were established in the </w:t>
      </w:r>
      <w:r w:rsidRPr="00E341D3">
        <w:rPr>
          <w:rFonts w:ascii="Book Antiqua" w:eastAsiaTheme="minorEastAsia" w:hAnsi="Book Antiqua" w:cs="Arial"/>
          <w:kern w:val="0"/>
          <w:sz w:val="24"/>
          <w:szCs w:val="24"/>
        </w:rPr>
        <w:t>Clopidogrel in Unstable Angina to Prevent Recurrent Events</w:t>
      </w:r>
      <w:r w:rsidR="00D9751A" w:rsidRPr="00E341D3">
        <w:rPr>
          <w:rFonts w:ascii="Book Antiqua" w:hAnsi="Book Antiqua" w:cs="Verdana"/>
          <w:kern w:val="0"/>
          <w:sz w:val="24"/>
          <w:szCs w:val="24"/>
        </w:rPr>
        <w:t xml:space="preserve"> CURE </w:t>
      </w:r>
      <w:r w:rsidR="00B514F1" w:rsidRPr="00E341D3">
        <w:rPr>
          <w:rFonts w:ascii="Book Antiqua" w:hAnsi="Book Antiqua" w:cs="Verdana"/>
          <w:kern w:val="0"/>
          <w:sz w:val="24"/>
          <w:szCs w:val="24"/>
        </w:rPr>
        <w:t>trial</w:t>
      </w:r>
      <w:r w:rsidR="00141E24" w:rsidRPr="00E341D3">
        <w:rPr>
          <w:rFonts w:ascii="Book Antiqua" w:hAnsi="Book Antiqua" w:cs="Verdana"/>
          <w:kern w:val="0"/>
          <w:sz w:val="24"/>
          <w:szCs w:val="24"/>
          <w:vertAlign w:val="superscript"/>
        </w:rPr>
        <w:t>[</w:t>
      </w:r>
      <w:r w:rsidR="00277D56" w:rsidRPr="00E341D3">
        <w:rPr>
          <w:rFonts w:ascii="Book Antiqua" w:hAnsi="Book Antiqua" w:cs="Verdana"/>
          <w:kern w:val="0"/>
          <w:sz w:val="24"/>
          <w:szCs w:val="24"/>
          <w:vertAlign w:val="superscript"/>
        </w:rPr>
        <w:t>14</w:t>
      </w:r>
      <w:r w:rsidR="00141E24" w:rsidRPr="00E341D3">
        <w:rPr>
          <w:rFonts w:ascii="Book Antiqua" w:hAnsi="Book Antiqua" w:cs="Verdana"/>
          <w:kern w:val="0"/>
          <w:sz w:val="24"/>
          <w:szCs w:val="24"/>
          <w:vertAlign w:val="superscript"/>
        </w:rPr>
        <w:t>]</w:t>
      </w:r>
      <w:r w:rsidRPr="00E341D3">
        <w:rPr>
          <w:rFonts w:ascii="Book Antiqua" w:hAnsi="Book Antiqua" w:cs="Verdana"/>
          <w:kern w:val="0"/>
          <w:sz w:val="24"/>
          <w:szCs w:val="24"/>
        </w:rPr>
        <w:t>. Analysis of a subset of patients in the CURE trial also sho</w:t>
      </w:r>
      <w:r w:rsidR="00B514F1" w:rsidRPr="00E341D3">
        <w:rPr>
          <w:rFonts w:ascii="Book Antiqua" w:hAnsi="Book Antiqua" w:cs="Verdana"/>
          <w:kern w:val="0"/>
          <w:sz w:val="24"/>
          <w:szCs w:val="24"/>
        </w:rPr>
        <w:t>wed the efficacy of DAPT in PCI</w:t>
      </w:r>
      <w:r w:rsidR="00141E24" w:rsidRPr="00E341D3">
        <w:rPr>
          <w:rFonts w:ascii="Book Antiqua" w:hAnsi="Book Antiqua" w:cs="Verdana"/>
          <w:kern w:val="0"/>
          <w:sz w:val="24"/>
          <w:szCs w:val="24"/>
          <w:vertAlign w:val="superscript"/>
        </w:rPr>
        <w:t>[</w:t>
      </w:r>
      <w:r w:rsidR="00277D56" w:rsidRPr="00E341D3">
        <w:rPr>
          <w:rFonts w:ascii="Book Antiqua" w:hAnsi="Book Antiqua" w:cs="Verdana"/>
          <w:kern w:val="0"/>
          <w:sz w:val="24"/>
          <w:szCs w:val="24"/>
          <w:vertAlign w:val="superscript"/>
        </w:rPr>
        <w:t>15</w:t>
      </w:r>
      <w:r w:rsidR="00141E24" w:rsidRPr="00E341D3">
        <w:rPr>
          <w:rFonts w:ascii="Book Antiqua" w:hAnsi="Book Antiqua" w:cs="Verdana"/>
          <w:kern w:val="0"/>
          <w:sz w:val="24"/>
          <w:szCs w:val="24"/>
          <w:vertAlign w:val="superscript"/>
        </w:rPr>
        <w:t>]</w:t>
      </w:r>
      <w:r w:rsidRPr="00E341D3">
        <w:rPr>
          <w:rFonts w:ascii="Book Antiqua" w:hAnsi="Book Antiqua" w:cs="Verdana"/>
          <w:kern w:val="0"/>
          <w:sz w:val="24"/>
          <w:szCs w:val="24"/>
        </w:rPr>
        <w:t>.</w:t>
      </w:r>
    </w:p>
    <w:p w14:paraId="4BFFC8C5" w14:textId="77777777" w:rsidR="00B514F1" w:rsidRPr="00E341D3" w:rsidRDefault="00B514F1" w:rsidP="00B514F1">
      <w:pPr>
        <w:widowControl/>
        <w:autoSpaceDE w:val="0"/>
        <w:autoSpaceDN w:val="0"/>
        <w:adjustRightInd w:val="0"/>
        <w:spacing w:line="360" w:lineRule="auto"/>
        <w:ind w:firstLineChars="100" w:firstLine="240"/>
        <w:rPr>
          <w:rFonts w:ascii="Book Antiqua" w:eastAsia="宋体" w:hAnsi="Book Antiqua"/>
          <w:sz w:val="24"/>
          <w:szCs w:val="24"/>
          <w:lang w:eastAsia="zh-CN"/>
        </w:rPr>
      </w:pPr>
    </w:p>
    <w:p w14:paraId="275D8444" w14:textId="77777777" w:rsidR="00B514F1" w:rsidRPr="00E341D3" w:rsidRDefault="00342BFA" w:rsidP="00B514F1">
      <w:pPr>
        <w:widowControl/>
        <w:autoSpaceDE w:val="0"/>
        <w:autoSpaceDN w:val="0"/>
        <w:adjustRightInd w:val="0"/>
        <w:spacing w:line="360" w:lineRule="auto"/>
        <w:rPr>
          <w:rFonts w:ascii="Book Antiqua" w:eastAsia="宋体" w:hAnsi="Book Antiqua"/>
          <w:i/>
          <w:sz w:val="24"/>
          <w:szCs w:val="24"/>
          <w:lang w:eastAsia="zh-CN"/>
        </w:rPr>
      </w:pPr>
      <w:r w:rsidRPr="00E341D3">
        <w:rPr>
          <w:rFonts w:ascii="Book Antiqua" w:eastAsia="MS Gothic" w:hAnsi="Book Antiqua"/>
          <w:b/>
          <w:i/>
          <w:sz w:val="24"/>
          <w:szCs w:val="24"/>
        </w:rPr>
        <w:t>Incidence and risk factors of GIB</w:t>
      </w:r>
    </w:p>
    <w:p w14:paraId="76201A41" w14:textId="1F7E8EE9" w:rsidR="00342BFA" w:rsidRPr="00E341D3" w:rsidRDefault="00342BFA" w:rsidP="00B514F1">
      <w:pPr>
        <w:widowControl/>
        <w:autoSpaceDE w:val="0"/>
        <w:autoSpaceDN w:val="0"/>
        <w:adjustRightInd w:val="0"/>
        <w:spacing w:line="360" w:lineRule="auto"/>
        <w:rPr>
          <w:rFonts w:ascii="Book Antiqua" w:eastAsia="MS Gothic" w:hAnsi="Book Antiqua"/>
          <w:sz w:val="24"/>
          <w:szCs w:val="24"/>
        </w:rPr>
      </w:pPr>
      <w:r w:rsidRPr="00E341D3">
        <w:rPr>
          <w:rFonts w:ascii="Book Antiqua" w:eastAsia="MS Gothic" w:hAnsi="Book Antiqua"/>
          <w:sz w:val="24"/>
          <w:szCs w:val="24"/>
        </w:rPr>
        <w:t xml:space="preserve">The reported risk factors for upper GIB include increasing age, female sex, major organ dysfunction (cardiac, respiratory, or hepatic), diabetes, hypertension, </w:t>
      </w:r>
      <w:r w:rsidRPr="00E341D3">
        <w:rPr>
          <w:rFonts w:ascii="Book Antiqua" w:hAnsi="Book Antiqua" w:cs="Times"/>
          <w:kern w:val="0"/>
          <w:sz w:val="24"/>
          <w:szCs w:val="24"/>
        </w:rPr>
        <w:t xml:space="preserve">positive results for </w:t>
      </w:r>
      <w:r w:rsidRPr="00E341D3">
        <w:rPr>
          <w:rFonts w:ascii="Book Antiqua" w:hAnsi="Book Antiqua" w:cs="Times"/>
          <w:i/>
          <w:iCs/>
          <w:kern w:val="0"/>
          <w:sz w:val="24"/>
          <w:szCs w:val="24"/>
        </w:rPr>
        <w:t xml:space="preserve">Helicobacter pylori </w:t>
      </w:r>
      <w:r w:rsidRPr="00E341D3">
        <w:rPr>
          <w:rFonts w:ascii="Book Antiqua" w:hAnsi="Book Antiqua" w:cs="Times"/>
          <w:kern w:val="0"/>
          <w:sz w:val="24"/>
          <w:szCs w:val="24"/>
        </w:rPr>
        <w:t xml:space="preserve">infection, </w:t>
      </w:r>
      <w:r w:rsidRPr="00E341D3">
        <w:rPr>
          <w:rFonts w:ascii="Book Antiqua" w:eastAsia="MS Gothic" w:hAnsi="Book Antiqua"/>
          <w:sz w:val="24"/>
          <w:szCs w:val="24"/>
        </w:rPr>
        <w:t xml:space="preserve">and hemostatic </w:t>
      </w:r>
      <w:r w:rsidR="00B514F1" w:rsidRPr="00E341D3">
        <w:rPr>
          <w:rFonts w:ascii="Book Antiqua" w:eastAsia="MS Gothic" w:hAnsi="Book Antiqua"/>
          <w:sz w:val="24"/>
          <w:szCs w:val="24"/>
        </w:rPr>
        <w:t>disorders</w:t>
      </w:r>
      <w:r w:rsidR="00141E24" w:rsidRPr="00E341D3">
        <w:rPr>
          <w:rFonts w:ascii="Book Antiqua" w:hAnsi="Book Antiqua"/>
          <w:sz w:val="24"/>
          <w:szCs w:val="24"/>
          <w:vertAlign w:val="superscript"/>
        </w:rPr>
        <w:t>[</w:t>
      </w:r>
      <w:r w:rsidR="00B514F1" w:rsidRPr="00E341D3">
        <w:rPr>
          <w:rFonts w:ascii="Book Antiqua" w:hAnsi="Book Antiqua"/>
          <w:sz w:val="24"/>
          <w:szCs w:val="24"/>
          <w:vertAlign w:val="superscript"/>
        </w:rPr>
        <w:t>7,16,</w:t>
      </w:r>
      <w:r w:rsidR="00277D56" w:rsidRPr="00E341D3">
        <w:rPr>
          <w:rFonts w:ascii="Book Antiqua" w:hAnsi="Book Antiqua"/>
          <w:sz w:val="24"/>
          <w:szCs w:val="24"/>
          <w:vertAlign w:val="superscript"/>
        </w:rPr>
        <w:t>17</w:t>
      </w:r>
      <w:r w:rsidR="00141E24" w:rsidRPr="00E341D3">
        <w:rPr>
          <w:rFonts w:ascii="Book Antiqua" w:hAnsi="Book Antiqua" w:cs="Times"/>
          <w:kern w:val="0"/>
          <w:sz w:val="24"/>
          <w:szCs w:val="24"/>
          <w:vertAlign w:val="superscript"/>
        </w:rPr>
        <w:t>]</w:t>
      </w:r>
      <w:r w:rsidRPr="00E341D3">
        <w:rPr>
          <w:rFonts w:ascii="Book Antiqua" w:hAnsi="Book Antiqua" w:cs="Times"/>
          <w:kern w:val="0"/>
          <w:sz w:val="24"/>
          <w:szCs w:val="24"/>
        </w:rPr>
        <w:t>.</w:t>
      </w:r>
      <w:r w:rsidRPr="00E341D3">
        <w:rPr>
          <w:rFonts w:ascii="Book Antiqua" w:hAnsi="Book Antiqua"/>
          <w:sz w:val="24"/>
          <w:szCs w:val="24"/>
        </w:rPr>
        <w:t xml:space="preserve"> A case-control study showed that the odds ratios (ORs) for upper GIB in patients receiving LDA were similar to those in</w:t>
      </w:r>
      <w:r w:rsidRPr="00E341D3">
        <w:rPr>
          <w:rFonts w:ascii="Book Antiqua" w:hAnsi="Book Antiqua"/>
          <w:b/>
          <w:sz w:val="24"/>
          <w:szCs w:val="24"/>
        </w:rPr>
        <w:t xml:space="preserve"> </w:t>
      </w:r>
      <w:r w:rsidRPr="00E341D3">
        <w:rPr>
          <w:rFonts w:ascii="Book Antiqua" w:hAnsi="Book Antiqua"/>
          <w:sz w:val="24"/>
          <w:szCs w:val="24"/>
        </w:rPr>
        <w:t>patients regularly receiving nonst</w:t>
      </w:r>
      <w:r w:rsidR="00B514F1" w:rsidRPr="00E341D3">
        <w:rPr>
          <w:rFonts w:ascii="Book Antiqua" w:hAnsi="Book Antiqua"/>
          <w:sz w:val="24"/>
          <w:szCs w:val="24"/>
        </w:rPr>
        <w:t>eroidal anti-inflammatory drugs</w:t>
      </w:r>
      <w:r w:rsidR="00141E24" w:rsidRPr="00E341D3">
        <w:rPr>
          <w:rFonts w:ascii="Book Antiqua" w:hAnsi="Book Antiqua"/>
          <w:sz w:val="24"/>
          <w:szCs w:val="24"/>
          <w:vertAlign w:val="superscript"/>
        </w:rPr>
        <w:t>[</w:t>
      </w:r>
      <w:r w:rsidR="00277D56" w:rsidRPr="00E341D3">
        <w:rPr>
          <w:rFonts w:ascii="Book Antiqua" w:hAnsi="Book Antiqua"/>
          <w:sz w:val="24"/>
          <w:szCs w:val="24"/>
          <w:vertAlign w:val="superscript"/>
        </w:rPr>
        <w:t>18</w:t>
      </w:r>
      <w:r w:rsidR="00141E24" w:rsidRPr="00E341D3">
        <w:rPr>
          <w:rFonts w:ascii="Book Antiqua" w:hAnsi="Book Antiqua"/>
          <w:sz w:val="24"/>
          <w:szCs w:val="24"/>
          <w:vertAlign w:val="superscript"/>
        </w:rPr>
        <w:t>]</w:t>
      </w:r>
      <w:r w:rsidRPr="00E341D3">
        <w:rPr>
          <w:rFonts w:ascii="Book Antiqua" w:hAnsi="Book Antiqua"/>
          <w:sz w:val="24"/>
          <w:szCs w:val="24"/>
        </w:rPr>
        <w:t xml:space="preserve">. </w:t>
      </w:r>
      <w:r w:rsidRPr="00E341D3">
        <w:rPr>
          <w:rFonts w:ascii="Book Antiqua" w:eastAsiaTheme="minorEastAsia" w:hAnsi="Book Antiqua" w:cs="Times"/>
          <w:kern w:val="0"/>
          <w:sz w:val="24"/>
          <w:szCs w:val="24"/>
        </w:rPr>
        <w:t xml:space="preserve">A meta-analysis showed that there was an increased risk of major GIB with LDA use </w:t>
      </w:r>
      <w:r w:rsidR="00B514F1" w:rsidRPr="00E341D3">
        <w:rPr>
          <w:rFonts w:ascii="Book Antiqua" w:eastAsia="宋体" w:hAnsi="Book Antiqua" w:cs="Times" w:hint="eastAsia"/>
          <w:kern w:val="0"/>
          <w:sz w:val="24"/>
          <w:szCs w:val="24"/>
          <w:lang w:eastAsia="zh-CN"/>
        </w:rPr>
        <w:t>[</w:t>
      </w:r>
      <w:r w:rsidRPr="00E341D3">
        <w:rPr>
          <w:rFonts w:ascii="Book Antiqua" w:eastAsiaTheme="minorEastAsia" w:hAnsi="Book Antiqua" w:cs="Times"/>
          <w:kern w:val="0"/>
          <w:sz w:val="24"/>
          <w:szCs w:val="24"/>
        </w:rPr>
        <w:t>OR, 1.55; 95% conf</w:t>
      </w:r>
      <w:r w:rsidR="00B70D0E" w:rsidRPr="00E341D3">
        <w:rPr>
          <w:rFonts w:ascii="Book Antiqua" w:eastAsiaTheme="minorEastAsia" w:hAnsi="Book Antiqua" w:cs="Times"/>
          <w:kern w:val="0"/>
          <w:sz w:val="24"/>
          <w:szCs w:val="24"/>
        </w:rPr>
        <w:t xml:space="preserve">idence interval </w:t>
      </w:r>
      <w:r w:rsidR="00B514F1" w:rsidRPr="00E341D3">
        <w:rPr>
          <w:rFonts w:ascii="Book Antiqua" w:eastAsia="宋体" w:hAnsi="Book Antiqua" w:cs="Times" w:hint="eastAsia"/>
          <w:kern w:val="0"/>
          <w:sz w:val="24"/>
          <w:szCs w:val="24"/>
          <w:lang w:eastAsia="zh-CN"/>
        </w:rPr>
        <w:t>(</w:t>
      </w:r>
      <w:r w:rsidR="00B70D0E" w:rsidRPr="00E341D3">
        <w:rPr>
          <w:rFonts w:ascii="Book Antiqua" w:eastAsiaTheme="minorEastAsia" w:hAnsi="Book Antiqua" w:cs="Times"/>
          <w:kern w:val="0"/>
          <w:sz w:val="24"/>
          <w:szCs w:val="24"/>
        </w:rPr>
        <w:t>CI</w:t>
      </w:r>
      <w:r w:rsidR="00B514F1" w:rsidRPr="00E341D3">
        <w:rPr>
          <w:rFonts w:ascii="Book Antiqua" w:eastAsia="宋体" w:hAnsi="Book Antiqua" w:cs="Times" w:hint="eastAsia"/>
          <w:kern w:val="0"/>
          <w:sz w:val="24"/>
          <w:szCs w:val="24"/>
          <w:lang w:eastAsia="zh-CN"/>
        </w:rPr>
        <w:t>)</w:t>
      </w:r>
      <w:r w:rsidR="002B3C9C" w:rsidRPr="00E341D3">
        <w:rPr>
          <w:rFonts w:ascii="Book Antiqua" w:eastAsiaTheme="minorEastAsia" w:hAnsi="Book Antiqua" w:cs="Times"/>
          <w:kern w:val="0"/>
          <w:sz w:val="24"/>
          <w:szCs w:val="24"/>
        </w:rPr>
        <w:t>, 1.27–1.90</w:t>
      </w:r>
      <w:r w:rsidR="002B3C9C" w:rsidRPr="00E341D3">
        <w:rPr>
          <w:rFonts w:ascii="Book Antiqua" w:eastAsia="宋体" w:hAnsi="Book Antiqua" w:cs="Times" w:hint="eastAsia"/>
          <w:kern w:val="0"/>
          <w:sz w:val="24"/>
          <w:szCs w:val="24"/>
          <w:vertAlign w:val="superscript"/>
          <w:lang w:eastAsia="zh-CN"/>
        </w:rPr>
        <w:t>[</w:t>
      </w:r>
      <w:r w:rsidR="006240DA" w:rsidRPr="00E341D3">
        <w:rPr>
          <w:rFonts w:ascii="Book Antiqua" w:eastAsiaTheme="minorEastAsia" w:hAnsi="Book Antiqua" w:cs="Times"/>
          <w:kern w:val="0"/>
          <w:sz w:val="24"/>
          <w:szCs w:val="24"/>
          <w:vertAlign w:val="superscript"/>
        </w:rPr>
        <w:t>19</w:t>
      </w:r>
      <w:r w:rsidR="00B514F1" w:rsidRPr="00E341D3">
        <w:rPr>
          <w:rFonts w:ascii="Book Antiqua" w:eastAsia="宋体" w:hAnsi="Book Antiqua" w:cs="Times" w:hint="eastAsia"/>
          <w:kern w:val="0"/>
          <w:sz w:val="24"/>
          <w:szCs w:val="24"/>
          <w:vertAlign w:val="superscript"/>
          <w:lang w:eastAsia="zh-CN"/>
        </w:rPr>
        <w:t>]</w:t>
      </w:r>
      <w:r w:rsidR="002B3C9C" w:rsidRPr="00E341D3">
        <w:rPr>
          <w:rFonts w:ascii="Book Antiqua" w:eastAsia="宋体" w:hAnsi="Book Antiqua" w:cs="Times" w:hint="eastAsia"/>
          <w:kern w:val="0"/>
          <w:sz w:val="24"/>
          <w:szCs w:val="24"/>
          <w:lang w:eastAsia="zh-CN"/>
        </w:rPr>
        <w:t>]</w:t>
      </w:r>
      <w:r w:rsidRPr="00E341D3">
        <w:rPr>
          <w:rFonts w:ascii="Book Antiqua" w:eastAsiaTheme="minorEastAsia" w:hAnsi="Book Antiqua" w:cs="Times"/>
          <w:kern w:val="0"/>
          <w:sz w:val="24"/>
          <w:szCs w:val="24"/>
        </w:rPr>
        <w:t>.</w:t>
      </w:r>
      <w:r w:rsidRPr="00E341D3">
        <w:rPr>
          <w:rFonts w:ascii="Book Antiqua" w:hAnsi="Book Antiqua"/>
          <w:sz w:val="24"/>
          <w:szCs w:val="24"/>
        </w:rPr>
        <w:t xml:space="preserve"> The risk of upper GIB associated with</w:t>
      </w:r>
      <w:r w:rsidRPr="00E341D3">
        <w:rPr>
          <w:rFonts w:ascii="Book Antiqua" w:hAnsi="Book Antiqua" w:cs="Times"/>
          <w:kern w:val="0"/>
          <w:sz w:val="24"/>
          <w:szCs w:val="24"/>
        </w:rPr>
        <w:t xml:space="preserve"> the use of thienopyridine monotherapy</w:t>
      </w:r>
      <w:r w:rsidR="00B514F1" w:rsidRPr="00E341D3">
        <w:rPr>
          <w:rFonts w:ascii="Book Antiqua" w:hAnsi="Book Antiqua"/>
          <w:sz w:val="24"/>
          <w:szCs w:val="24"/>
        </w:rPr>
        <w:t xml:space="preserve"> is reported to be similar to</w:t>
      </w:r>
      <w:r w:rsidR="00141E24" w:rsidRPr="00E341D3">
        <w:rPr>
          <w:rFonts w:ascii="Book Antiqua" w:hAnsi="Book Antiqua"/>
          <w:sz w:val="24"/>
          <w:szCs w:val="24"/>
          <w:vertAlign w:val="superscript"/>
        </w:rPr>
        <w:t>[</w:t>
      </w:r>
      <w:r w:rsidR="006240DA" w:rsidRPr="00E341D3">
        <w:rPr>
          <w:rFonts w:ascii="Book Antiqua" w:eastAsia="Osaka−等幅" w:hAnsi="Book Antiqua"/>
          <w:sz w:val="24"/>
          <w:szCs w:val="24"/>
          <w:vertAlign w:val="superscript"/>
        </w:rPr>
        <w:t>17</w:t>
      </w:r>
      <w:r w:rsidR="00141E24" w:rsidRPr="00E341D3">
        <w:rPr>
          <w:rFonts w:ascii="Book Antiqua" w:hAnsi="Book Antiqua"/>
          <w:sz w:val="24"/>
          <w:szCs w:val="24"/>
          <w:vertAlign w:val="superscript"/>
        </w:rPr>
        <w:t>]</w:t>
      </w:r>
      <w:r w:rsidRPr="00E341D3">
        <w:rPr>
          <w:rFonts w:ascii="Book Antiqua" w:hAnsi="Book Antiqua"/>
          <w:sz w:val="24"/>
          <w:szCs w:val="24"/>
        </w:rPr>
        <w:t xml:space="preserve"> or greater than that associated wit</w:t>
      </w:r>
      <w:r w:rsidR="00B514F1" w:rsidRPr="00E341D3">
        <w:rPr>
          <w:rFonts w:ascii="Book Antiqua" w:hAnsi="Book Antiqua"/>
          <w:sz w:val="24"/>
          <w:szCs w:val="24"/>
        </w:rPr>
        <w:t>h the use of aspirin alone</w:t>
      </w:r>
      <w:r w:rsidR="00141E24" w:rsidRPr="00E341D3">
        <w:rPr>
          <w:rFonts w:ascii="Book Antiqua" w:hAnsi="Book Antiqua"/>
          <w:sz w:val="24"/>
          <w:szCs w:val="24"/>
          <w:vertAlign w:val="superscript"/>
        </w:rPr>
        <w:t>[</w:t>
      </w:r>
      <w:r w:rsidR="006240DA" w:rsidRPr="00E341D3">
        <w:rPr>
          <w:rFonts w:ascii="Book Antiqua" w:hAnsi="Book Antiqua"/>
          <w:sz w:val="24"/>
          <w:szCs w:val="24"/>
          <w:vertAlign w:val="superscript"/>
        </w:rPr>
        <w:t>14</w:t>
      </w:r>
      <w:r w:rsidR="00141E24" w:rsidRPr="00E341D3">
        <w:rPr>
          <w:rFonts w:ascii="Book Antiqua" w:hAnsi="Book Antiqua"/>
          <w:sz w:val="24"/>
          <w:szCs w:val="24"/>
          <w:vertAlign w:val="superscript"/>
        </w:rPr>
        <w:t>]</w:t>
      </w:r>
      <w:r w:rsidRPr="00E341D3">
        <w:rPr>
          <w:rFonts w:ascii="Book Antiqua" w:hAnsi="Book Antiqua"/>
          <w:sz w:val="24"/>
          <w:szCs w:val="24"/>
        </w:rPr>
        <w:t>.</w:t>
      </w:r>
      <w:r w:rsidRPr="00E341D3">
        <w:rPr>
          <w:rFonts w:ascii="Book Antiqua" w:hAnsi="Book Antiqua" w:cs="Times"/>
          <w:kern w:val="0"/>
          <w:sz w:val="24"/>
          <w:szCs w:val="24"/>
        </w:rPr>
        <w:t xml:space="preserve"> The risk of major bleeding is reportedly increased in patients receiving DAPT compared with those receiving aspirin monotherapy</w:t>
      </w:r>
      <w:r w:rsidR="00141E24" w:rsidRPr="00E341D3">
        <w:rPr>
          <w:rFonts w:ascii="Book Antiqua" w:hAnsi="Book Antiqua" w:cs="Arial"/>
          <w:kern w:val="0"/>
          <w:sz w:val="24"/>
          <w:szCs w:val="24"/>
          <w:vertAlign w:val="superscript"/>
        </w:rPr>
        <w:t>[</w:t>
      </w:r>
      <w:r w:rsidR="006240DA" w:rsidRPr="00E341D3">
        <w:rPr>
          <w:rFonts w:ascii="Book Antiqua" w:hAnsi="Book Antiqua" w:cs="Arial"/>
          <w:kern w:val="0"/>
          <w:sz w:val="24"/>
          <w:szCs w:val="24"/>
          <w:vertAlign w:val="superscript"/>
        </w:rPr>
        <w:t>20</w:t>
      </w:r>
      <w:r w:rsidR="00141E24" w:rsidRPr="00E341D3">
        <w:rPr>
          <w:rFonts w:ascii="Book Antiqua" w:hAnsi="Book Antiqua" w:cs="Arial"/>
          <w:kern w:val="0"/>
          <w:sz w:val="24"/>
          <w:szCs w:val="24"/>
          <w:vertAlign w:val="superscript"/>
        </w:rPr>
        <w:t>]</w:t>
      </w:r>
      <w:r w:rsidRPr="00E341D3">
        <w:rPr>
          <w:rFonts w:ascii="Book Antiqua" w:hAnsi="Book Antiqua" w:cs="Times"/>
          <w:kern w:val="0"/>
          <w:sz w:val="24"/>
          <w:szCs w:val="24"/>
        </w:rPr>
        <w:t>.</w:t>
      </w:r>
      <w:r w:rsidRPr="00E341D3">
        <w:rPr>
          <w:rFonts w:ascii="Book Antiqua" w:hAnsi="Book Antiqua"/>
          <w:sz w:val="24"/>
          <w:szCs w:val="24"/>
        </w:rPr>
        <w:t xml:space="preserve"> In a population-based observational cohort study of elderly patients who survived MI, the rate of GIB was 1.5% per year with aspirin alone and 4.6% per year with aspirin </w:t>
      </w:r>
      <w:r w:rsidR="00B514F1" w:rsidRPr="00E341D3">
        <w:rPr>
          <w:rFonts w:ascii="Book Antiqua" w:hAnsi="Book Antiqua"/>
          <w:sz w:val="24"/>
          <w:szCs w:val="24"/>
        </w:rPr>
        <w:t>plus clopidogrel or ticlopidine</w:t>
      </w:r>
      <w:r w:rsidR="00141E24" w:rsidRPr="00E341D3">
        <w:rPr>
          <w:rFonts w:ascii="Book Antiqua" w:hAnsi="Book Antiqua"/>
          <w:sz w:val="24"/>
          <w:szCs w:val="24"/>
          <w:vertAlign w:val="superscript"/>
        </w:rPr>
        <w:t>[</w:t>
      </w:r>
      <w:r w:rsidR="006240DA" w:rsidRPr="00E341D3">
        <w:rPr>
          <w:rFonts w:ascii="Book Antiqua" w:hAnsi="Book Antiqua"/>
          <w:sz w:val="24"/>
          <w:szCs w:val="24"/>
          <w:vertAlign w:val="superscript"/>
        </w:rPr>
        <w:t>21</w:t>
      </w:r>
      <w:r w:rsidR="00141E24" w:rsidRPr="00E341D3">
        <w:rPr>
          <w:rFonts w:ascii="Book Antiqua" w:hAnsi="Book Antiqua"/>
          <w:sz w:val="24"/>
          <w:szCs w:val="24"/>
          <w:vertAlign w:val="superscript"/>
        </w:rPr>
        <w:t>]</w:t>
      </w:r>
      <w:r w:rsidRPr="00E341D3">
        <w:rPr>
          <w:rFonts w:ascii="Book Antiqua" w:hAnsi="Book Antiqua"/>
          <w:sz w:val="24"/>
          <w:szCs w:val="24"/>
        </w:rPr>
        <w:t>.</w:t>
      </w:r>
      <w:r w:rsidRPr="00E341D3">
        <w:rPr>
          <w:rFonts w:ascii="Book Antiqua" w:hAnsi="Book Antiqua" w:cs="Times"/>
          <w:kern w:val="0"/>
          <w:sz w:val="24"/>
          <w:szCs w:val="24"/>
        </w:rPr>
        <w:t xml:space="preserve"> </w:t>
      </w:r>
      <w:r w:rsidR="00B514F1" w:rsidRPr="00E341D3">
        <w:rPr>
          <w:rFonts w:ascii="Book Antiqua" w:hAnsi="Book Antiqua"/>
          <w:sz w:val="24"/>
          <w:szCs w:val="24"/>
        </w:rPr>
        <w:t>Several large RCTs</w:t>
      </w:r>
      <w:r w:rsidR="00141E24" w:rsidRPr="00E341D3">
        <w:rPr>
          <w:rFonts w:ascii="Book Antiqua" w:hAnsi="Book Antiqua"/>
          <w:sz w:val="24"/>
          <w:szCs w:val="24"/>
          <w:vertAlign w:val="superscript"/>
        </w:rPr>
        <w:t>[</w:t>
      </w:r>
      <w:r w:rsidR="00B514F1" w:rsidRPr="00E341D3">
        <w:rPr>
          <w:rFonts w:ascii="Book Antiqua" w:hAnsi="Book Antiqua"/>
          <w:sz w:val="24"/>
          <w:szCs w:val="24"/>
          <w:vertAlign w:val="superscript"/>
        </w:rPr>
        <w:t>14,</w:t>
      </w:r>
      <w:r w:rsidR="00814018" w:rsidRPr="00E341D3">
        <w:rPr>
          <w:rFonts w:ascii="Book Antiqua" w:hAnsi="Book Antiqua"/>
          <w:sz w:val="24"/>
          <w:szCs w:val="24"/>
          <w:vertAlign w:val="superscript"/>
        </w:rPr>
        <w:t>22-25</w:t>
      </w:r>
      <w:r w:rsidR="00141E24" w:rsidRPr="00E341D3">
        <w:rPr>
          <w:rFonts w:ascii="Book Antiqua" w:hAnsi="Book Antiqua"/>
          <w:sz w:val="24"/>
          <w:szCs w:val="24"/>
          <w:vertAlign w:val="superscript"/>
        </w:rPr>
        <w:t>]</w:t>
      </w:r>
      <w:r w:rsidR="000D0267" w:rsidRPr="00E341D3">
        <w:rPr>
          <w:rFonts w:ascii="Book Antiqua" w:hAnsi="Book Antiqua"/>
          <w:sz w:val="24"/>
          <w:szCs w:val="24"/>
        </w:rPr>
        <w:t xml:space="preserve"> </w:t>
      </w:r>
      <w:r w:rsidRPr="00E341D3">
        <w:rPr>
          <w:rFonts w:ascii="Book Antiqua" w:hAnsi="Book Antiqua"/>
          <w:sz w:val="24"/>
          <w:szCs w:val="24"/>
        </w:rPr>
        <w:t xml:space="preserve">reported that 0.6% (28-d follow-up) to 4.8% (12-mo follow-up) of patients treated with DAPT experienced major bleeding, as compared with 0.6% (28-d follow-up) to 3.8% (12-mo follow-up) of patients treated with aspirin alone. An observational study reported that </w:t>
      </w:r>
      <w:r w:rsidRPr="00E341D3">
        <w:rPr>
          <w:rFonts w:ascii="Book Antiqua" w:eastAsia="Osaka−等幅" w:hAnsi="Book Antiqua"/>
          <w:sz w:val="24"/>
          <w:szCs w:val="24"/>
        </w:rPr>
        <w:t>t</w:t>
      </w:r>
      <w:r w:rsidRPr="00E341D3">
        <w:rPr>
          <w:rFonts w:ascii="Book Antiqua" w:hAnsi="Book Antiqua"/>
          <w:sz w:val="24"/>
          <w:szCs w:val="24"/>
        </w:rPr>
        <w:t xml:space="preserve">he 1- and 2-year cumulative incidences of upper GIB in patients who received DAPT without the use of an antisecretory drug </w:t>
      </w:r>
      <w:r w:rsidR="00B514F1" w:rsidRPr="00E341D3">
        <w:rPr>
          <w:rFonts w:ascii="Book Antiqua" w:eastAsia="宋体" w:hAnsi="Book Antiqua" w:hint="eastAsia"/>
          <w:sz w:val="24"/>
          <w:szCs w:val="24"/>
          <w:lang w:eastAsia="zh-CN"/>
        </w:rPr>
        <w:t>[</w:t>
      </w:r>
      <w:r w:rsidRPr="00E341D3">
        <w:rPr>
          <w:rFonts w:ascii="Book Antiqua" w:hAnsi="Book Antiqua"/>
          <w:sz w:val="24"/>
          <w:szCs w:val="24"/>
        </w:rPr>
        <w:t xml:space="preserve">proton-pump inhibitor </w:t>
      </w:r>
      <w:r w:rsidR="00B514F1" w:rsidRPr="00E341D3">
        <w:rPr>
          <w:rFonts w:ascii="Book Antiqua" w:eastAsia="宋体" w:hAnsi="Book Antiqua" w:hint="eastAsia"/>
          <w:sz w:val="24"/>
          <w:szCs w:val="24"/>
          <w:lang w:eastAsia="zh-CN"/>
        </w:rPr>
        <w:t>(</w:t>
      </w:r>
      <w:r w:rsidRPr="00E341D3">
        <w:rPr>
          <w:rFonts w:ascii="Book Antiqua" w:hAnsi="Book Antiqua"/>
          <w:sz w:val="24"/>
          <w:szCs w:val="24"/>
        </w:rPr>
        <w:t>PPI</w:t>
      </w:r>
      <w:r w:rsidR="00B514F1" w:rsidRPr="00E341D3">
        <w:rPr>
          <w:rFonts w:ascii="Book Antiqua" w:eastAsia="宋体" w:hAnsi="Book Antiqua" w:hint="eastAsia"/>
          <w:sz w:val="24"/>
          <w:szCs w:val="24"/>
          <w:lang w:eastAsia="zh-CN"/>
        </w:rPr>
        <w:t>)</w:t>
      </w:r>
      <w:r w:rsidRPr="00E341D3">
        <w:rPr>
          <w:rFonts w:ascii="Book Antiqua" w:hAnsi="Book Antiqua"/>
          <w:sz w:val="24"/>
          <w:szCs w:val="24"/>
        </w:rPr>
        <w:t xml:space="preserve"> or </w:t>
      </w:r>
      <w:r w:rsidRPr="00E341D3">
        <w:rPr>
          <w:rFonts w:ascii="Book Antiqua" w:hAnsi="Book Antiqua" w:cs="Times"/>
          <w:kern w:val="0"/>
          <w:sz w:val="24"/>
          <w:szCs w:val="24"/>
        </w:rPr>
        <w:t>histamine-2 receptor antagonist</w:t>
      </w:r>
      <w:r w:rsidRPr="00E341D3">
        <w:rPr>
          <w:rFonts w:ascii="Book Antiqua" w:hAnsi="Book Antiqua"/>
          <w:sz w:val="24"/>
          <w:szCs w:val="24"/>
        </w:rPr>
        <w:t xml:space="preserve"> </w:t>
      </w:r>
      <w:r w:rsidR="00B514F1" w:rsidRPr="00E341D3">
        <w:rPr>
          <w:rFonts w:ascii="Book Antiqua" w:eastAsia="宋体" w:hAnsi="Book Antiqua" w:hint="eastAsia"/>
          <w:sz w:val="24"/>
          <w:szCs w:val="24"/>
          <w:lang w:eastAsia="zh-CN"/>
        </w:rPr>
        <w:t>(</w:t>
      </w:r>
      <w:r w:rsidR="00B514F1" w:rsidRPr="00E341D3">
        <w:rPr>
          <w:rFonts w:ascii="Book Antiqua" w:hAnsi="Book Antiqua"/>
          <w:sz w:val="24"/>
          <w:szCs w:val="24"/>
        </w:rPr>
        <w:t>H2RA</w:t>
      </w:r>
      <w:r w:rsidRPr="00E341D3">
        <w:rPr>
          <w:rFonts w:ascii="Book Antiqua" w:hAnsi="Book Antiqua"/>
          <w:sz w:val="24"/>
          <w:szCs w:val="24"/>
        </w:rPr>
        <w:t>)</w:t>
      </w:r>
      <w:r w:rsidR="00B514F1" w:rsidRPr="00E341D3">
        <w:rPr>
          <w:rFonts w:ascii="Book Antiqua" w:eastAsia="宋体" w:hAnsi="Book Antiqua" w:hint="eastAsia"/>
          <w:sz w:val="24"/>
          <w:szCs w:val="24"/>
          <w:lang w:eastAsia="zh-CN"/>
        </w:rPr>
        <w:t>]</w:t>
      </w:r>
      <w:r w:rsidRPr="00E341D3">
        <w:rPr>
          <w:rFonts w:ascii="Book Antiqua" w:hAnsi="Book Antiqua"/>
          <w:sz w:val="24"/>
          <w:szCs w:val="24"/>
        </w:rPr>
        <w:t xml:space="preserve"> w</w:t>
      </w:r>
      <w:r w:rsidR="00B514F1" w:rsidRPr="00E341D3">
        <w:rPr>
          <w:rFonts w:ascii="Book Antiqua" w:hAnsi="Book Antiqua"/>
          <w:sz w:val="24"/>
          <w:szCs w:val="24"/>
        </w:rPr>
        <w:t>ere 4.5% and 9.2%, respectively</w:t>
      </w:r>
      <w:r w:rsidR="00141E24" w:rsidRPr="00E341D3">
        <w:rPr>
          <w:rFonts w:ascii="Book Antiqua" w:hAnsi="Book Antiqua"/>
          <w:sz w:val="24"/>
          <w:szCs w:val="24"/>
          <w:vertAlign w:val="superscript"/>
        </w:rPr>
        <w:t>[</w:t>
      </w:r>
      <w:r w:rsidR="00814018" w:rsidRPr="00E341D3">
        <w:rPr>
          <w:rFonts w:ascii="Book Antiqua" w:hAnsi="Book Antiqua"/>
          <w:sz w:val="24"/>
          <w:szCs w:val="24"/>
          <w:vertAlign w:val="superscript"/>
        </w:rPr>
        <w:t>9</w:t>
      </w:r>
      <w:r w:rsidR="00141E24" w:rsidRPr="00E341D3">
        <w:rPr>
          <w:rFonts w:ascii="Book Antiqua" w:hAnsi="Book Antiqua"/>
          <w:sz w:val="24"/>
          <w:szCs w:val="24"/>
          <w:vertAlign w:val="superscript"/>
        </w:rPr>
        <w:t>]</w:t>
      </w:r>
      <w:r w:rsidRPr="00E341D3">
        <w:rPr>
          <w:rFonts w:ascii="Book Antiqua" w:hAnsi="Book Antiqua"/>
          <w:sz w:val="24"/>
          <w:szCs w:val="24"/>
        </w:rPr>
        <w:t>. Of note, the first month after PCI is a</w:t>
      </w:r>
      <w:r w:rsidR="00B514F1" w:rsidRPr="00E341D3">
        <w:rPr>
          <w:rFonts w:ascii="Book Antiqua" w:hAnsi="Book Antiqua"/>
          <w:sz w:val="24"/>
          <w:szCs w:val="24"/>
        </w:rPr>
        <w:t xml:space="preserve"> high-risk period for upper GIB</w:t>
      </w:r>
      <w:r w:rsidR="00141E24" w:rsidRPr="00E341D3">
        <w:rPr>
          <w:rFonts w:ascii="Book Antiqua" w:hAnsi="Book Antiqua"/>
          <w:sz w:val="24"/>
          <w:szCs w:val="24"/>
          <w:vertAlign w:val="superscript"/>
        </w:rPr>
        <w:t>[</w:t>
      </w:r>
      <w:r w:rsidR="00B514F1" w:rsidRPr="00E341D3">
        <w:rPr>
          <w:rFonts w:ascii="Book Antiqua" w:hAnsi="Book Antiqua"/>
          <w:sz w:val="24"/>
          <w:szCs w:val="24"/>
          <w:vertAlign w:val="superscript"/>
        </w:rPr>
        <w:t>9,</w:t>
      </w:r>
      <w:r w:rsidR="00814018" w:rsidRPr="00E341D3">
        <w:rPr>
          <w:rFonts w:ascii="Book Antiqua" w:hAnsi="Book Antiqua"/>
          <w:sz w:val="24"/>
          <w:szCs w:val="24"/>
          <w:vertAlign w:val="superscript"/>
        </w:rPr>
        <w:t>17</w:t>
      </w:r>
      <w:r w:rsidR="00B514F1" w:rsidRPr="00E341D3">
        <w:rPr>
          <w:rFonts w:ascii="Book Antiqua" w:hAnsi="Book Antiqua"/>
          <w:sz w:val="24"/>
          <w:szCs w:val="24"/>
          <w:vertAlign w:val="superscript"/>
        </w:rPr>
        <w:t>,</w:t>
      </w:r>
      <w:r w:rsidR="000C1041" w:rsidRPr="00E341D3">
        <w:rPr>
          <w:rFonts w:ascii="Book Antiqua" w:hAnsi="Book Antiqua"/>
          <w:sz w:val="24"/>
          <w:szCs w:val="24"/>
          <w:vertAlign w:val="superscript"/>
        </w:rPr>
        <w:t>26</w:t>
      </w:r>
      <w:r w:rsidR="00141E24" w:rsidRPr="00E341D3">
        <w:rPr>
          <w:rFonts w:ascii="Book Antiqua" w:hAnsi="Book Antiqua"/>
          <w:sz w:val="24"/>
          <w:szCs w:val="24"/>
          <w:vertAlign w:val="superscript"/>
        </w:rPr>
        <w:t>]</w:t>
      </w:r>
      <w:r w:rsidRPr="00E341D3">
        <w:rPr>
          <w:rFonts w:ascii="Book Antiqua" w:hAnsi="Book Antiqua"/>
          <w:sz w:val="24"/>
          <w:szCs w:val="24"/>
        </w:rPr>
        <w:t>. Further, the r</w:t>
      </w:r>
      <w:r w:rsidRPr="00E341D3">
        <w:rPr>
          <w:rFonts w:ascii="Book Antiqua" w:eastAsia="MS Gothic" w:hAnsi="Book Antiqua"/>
          <w:sz w:val="24"/>
          <w:szCs w:val="24"/>
        </w:rPr>
        <w:t>isk of GIB with triple therapy with warfarin,</w:t>
      </w:r>
      <w:r w:rsidRPr="00E341D3">
        <w:rPr>
          <w:rFonts w:ascii="Book Antiqua" w:hAnsi="Book Antiqua"/>
          <w:kern w:val="0"/>
          <w:sz w:val="24"/>
          <w:szCs w:val="24"/>
        </w:rPr>
        <w:t xml:space="preserve"> aspirin, and clopidogrel was</w:t>
      </w:r>
      <w:r w:rsidR="00B514F1" w:rsidRPr="00E341D3">
        <w:rPr>
          <w:rFonts w:ascii="Book Antiqua" w:hAnsi="Book Antiqua"/>
          <w:kern w:val="0"/>
          <w:sz w:val="24"/>
          <w:szCs w:val="24"/>
        </w:rPr>
        <w:t xml:space="preserve"> reported to be as high as 5.1%</w:t>
      </w:r>
      <w:r w:rsidR="00141E24" w:rsidRPr="00E341D3">
        <w:rPr>
          <w:rFonts w:ascii="Book Antiqua" w:hAnsi="Book Antiqua"/>
          <w:kern w:val="0"/>
          <w:sz w:val="24"/>
          <w:szCs w:val="24"/>
          <w:vertAlign w:val="superscript"/>
        </w:rPr>
        <w:t>[</w:t>
      </w:r>
      <w:r w:rsidR="000C1041" w:rsidRPr="00E341D3">
        <w:rPr>
          <w:rFonts w:ascii="Book Antiqua" w:hAnsi="Book Antiqua"/>
          <w:kern w:val="0"/>
          <w:sz w:val="24"/>
          <w:szCs w:val="24"/>
          <w:vertAlign w:val="superscript"/>
        </w:rPr>
        <w:t>27</w:t>
      </w:r>
      <w:r w:rsidR="00141E24" w:rsidRPr="00E341D3">
        <w:rPr>
          <w:rFonts w:ascii="Book Antiqua" w:hAnsi="Book Antiqua"/>
          <w:kern w:val="0"/>
          <w:sz w:val="24"/>
          <w:szCs w:val="24"/>
          <w:vertAlign w:val="superscript"/>
        </w:rPr>
        <w:t>]</w:t>
      </w:r>
      <w:r w:rsidRPr="00E341D3">
        <w:rPr>
          <w:rFonts w:ascii="Book Antiqua" w:hAnsi="Book Antiqua"/>
          <w:kern w:val="0"/>
          <w:sz w:val="24"/>
          <w:szCs w:val="24"/>
        </w:rPr>
        <w:t>.</w:t>
      </w:r>
    </w:p>
    <w:p w14:paraId="73D9B8A2" w14:textId="77777777" w:rsidR="00B514F1" w:rsidRPr="00E341D3" w:rsidRDefault="00B514F1" w:rsidP="00B514F1">
      <w:pPr>
        <w:widowControl/>
        <w:autoSpaceDE w:val="0"/>
        <w:autoSpaceDN w:val="0"/>
        <w:adjustRightInd w:val="0"/>
        <w:spacing w:line="360" w:lineRule="auto"/>
        <w:rPr>
          <w:rFonts w:ascii="Book Antiqua" w:eastAsia="宋体" w:hAnsi="Book Antiqua"/>
          <w:b/>
          <w:sz w:val="24"/>
          <w:szCs w:val="24"/>
          <w:lang w:eastAsia="zh-CN"/>
        </w:rPr>
      </w:pPr>
    </w:p>
    <w:p w14:paraId="4696C13E" w14:textId="77777777" w:rsidR="00B514F1" w:rsidRPr="00E341D3" w:rsidRDefault="00B514F1" w:rsidP="00B514F1">
      <w:pPr>
        <w:widowControl/>
        <w:autoSpaceDE w:val="0"/>
        <w:autoSpaceDN w:val="0"/>
        <w:adjustRightInd w:val="0"/>
        <w:spacing w:line="360" w:lineRule="auto"/>
        <w:rPr>
          <w:rFonts w:ascii="Book Antiqua" w:eastAsia="宋体" w:hAnsi="Book Antiqua"/>
          <w:b/>
          <w:i/>
          <w:sz w:val="24"/>
          <w:szCs w:val="24"/>
          <w:lang w:eastAsia="zh-CN"/>
        </w:rPr>
      </w:pPr>
      <w:r w:rsidRPr="00E341D3">
        <w:rPr>
          <w:rFonts w:ascii="Book Antiqua" w:eastAsia="MS Gothic" w:hAnsi="Book Antiqua"/>
          <w:b/>
          <w:i/>
          <w:sz w:val="24"/>
          <w:szCs w:val="24"/>
        </w:rPr>
        <w:t>Outcomes of GIB</w:t>
      </w:r>
    </w:p>
    <w:p w14:paraId="489C16CA" w14:textId="28ACE29A" w:rsidR="00342BFA" w:rsidRPr="00E341D3" w:rsidRDefault="00342BFA" w:rsidP="00B514F1">
      <w:pPr>
        <w:widowControl/>
        <w:autoSpaceDE w:val="0"/>
        <w:autoSpaceDN w:val="0"/>
        <w:adjustRightInd w:val="0"/>
        <w:spacing w:line="360" w:lineRule="auto"/>
        <w:rPr>
          <w:rFonts w:ascii="Book Antiqua" w:eastAsiaTheme="minorEastAsia" w:hAnsi="Book Antiqua"/>
          <w:kern w:val="0"/>
          <w:sz w:val="24"/>
          <w:szCs w:val="24"/>
        </w:rPr>
      </w:pPr>
      <w:r w:rsidRPr="00E341D3">
        <w:rPr>
          <w:rFonts w:ascii="Book Antiqua" w:hAnsi="Book Antiqua"/>
          <w:sz w:val="24"/>
          <w:szCs w:val="24"/>
        </w:rPr>
        <w:t>Bleeding complications are associated with an increased risk of recu</w:t>
      </w:r>
      <w:r w:rsidR="00B514F1" w:rsidRPr="00E341D3">
        <w:rPr>
          <w:rFonts w:ascii="Book Antiqua" w:hAnsi="Book Antiqua"/>
          <w:sz w:val="24"/>
          <w:szCs w:val="24"/>
        </w:rPr>
        <w:t>rrent ischemic events and death</w:t>
      </w:r>
      <w:r w:rsidR="00141E24" w:rsidRPr="00E341D3">
        <w:rPr>
          <w:rFonts w:ascii="Book Antiqua" w:hAnsi="Book Antiqua"/>
          <w:sz w:val="24"/>
          <w:szCs w:val="24"/>
          <w:vertAlign w:val="superscript"/>
        </w:rPr>
        <w:t>[</w:t>
      </w:r>
      <w:r w:rsidR="000C1041" w:rsidRPr="00E341D3">
        <w:rPr>
          <w:rFonts w:ascii="Book Antiqua" w:eastAsia="Osaka−等幅" w:hAnsi="Book Antiqua"/>
          <w:sz w:val="24"/>
          <w:szCs w:val="24"/>
          <w:vertAlign w:val="superscript"/>
        </w:rPr>
        <w:t>26</w:t>
      </w:r>
      <w:r w:rsidR="00B514F1" w:rsidRPr="00E341D3">
        <w:rPr>
          <w:rFonts w:ascii="Book Antiqua" w:hAnsi="Book Antiqua"/>
          <w:sz w:val="24"/>
          <w:szCs w:val="24"/>
          <w:vertAlign w:val="superscript"/>
        </w:rPr>
        <w:t>,</w:t>
      </w:r>
      <w:r w:rsidR="000C1041" w:rsidRPr="00E341D3">
        <w:rPr>
          <w:rFonts w:ascii="Book Antiqua" w:hAnsi="Book Antiqua"/>
          <w:sz w:val="24"/>
          <w:szCs w:val="24"/>
          <w:vertAlign w:val="superscript"/>
        </w:rPr>
        <w:t>28</w:t>
      </w:r>
      <w:r w:rsidR="00141E24" w:rsidRPr="00E341D3">
        <w:rPr>
          <w:rFonts w:ascii="Book Antiqua" w:hAnsi="Book Antiqua"/>
          <w:sz w:val="24"/>
          <w:szCs w:val="24"/>
          <w:vertAlign w:val="superscript"/>
        </w:rPr>
        <w:t>]</w:t>
      </w:r>
      <w:r w:rsidRPr="00E341D3">
        <w:rPr>
          <w:rFonts w:ascii="Book Antiqua" w:hAnsi="Book Antiqua"/>
          <w:sz w:val="24"/>
          <w:szCs w:val="24"/>
        </w:rPr>
        <w:t xml:space="preserve">. In particular, </w:t>
      </w:r>
      <w:r w:rsidRPr="00E341D3">
        <w:rPr>
          <w:rFonts w:ascii="Book Antiqua" w:eastAsiaTheme="minorEastAsia" w:hAnsi="Book Antiqua"/>
          <w:kern w:val="0"/>
          <w:sz w:val="24"/>
          <w:szCs w:val="24"/>
        </w:rPr>
        <w:t>GIB complicating PCI is associated with early mortality</w:t>
      </w:r>
      <w:r w:rsidRPr="00E341D3">
        <w:rPr>
          <w:rFonts w:ascii="Book Antiqua" w:hAnsi="Book Antiqua"/>
          <w:kern w:val="0"/>
          <w:sz w:val="24"/>
          <w:szCs w:val="24"/>
        </w:rPr>
        <w:t xml:space="preserve">. </w:t>
      </w:r>
      <w:r w:rsidRPr="00E341D3">
        <w:rPr>
          <w:rFonts w:ascii="Book Antiqua" w:hAnsi="Book Antiqua"/>
          <w:sz w:val="24"/>
          <w:szCs w:val="24"/>
        </w:rPr>
        <w:t>In the ACUITY (</w:t>
      </w:r>
      <w:r w:rsidRPr="00E341D3">
        <w:rPr>
          <w:rFonts w:ascii="Book Antiqua" w:eastAsiaTheme="minorEastAsia" w:hAnsi="Book Antiqua"/>
          <w:kern w:val="0"/>
          <w:sz w:val="24"/>
          <w:szCs w:val="24"/>
        </w:rPr>
        <w:t>Acute Catheterization and Urgent Intervention Triage Strategy)</w:t>
      </w:r>
      <w:r w:rsidRPr="00E341D3">
        <w:rPr>
          <w:rFonts w:ascii="Book Antiqua" w:hAnsi="Book Antiqua"/>
          <w:sz w:val="24"/>
          <w:szCs w:val="24"/>
        </w:rPr>
        <w:t xml:space="preserve"> trial, a large multicenter trial in patients </w:t>
      </w:r>
      <w:r w:rsidRPr="00E341D3">
        <w:rPr>
          <w:rFonts w:ascii="Book Antiqua" w:eastAsiaTheme="minorEastAsia" w:hAnsi="Book Antiqua" w:cs="Times"/>
          <w:kern w:val="0"/>
          <w:sz w:val="24"/>
          <w:szCs w:val="24"/>
        </w:rPr>
        <w:t xml:space="preserve">with moderate- and high-risk ACS, </w:t>
      </w:r>
      <w:r w:rsidRPr="00E341D3">
        <w:rPr>
          <w:rFonts w:ascii="Book Antiqua" w:hAnsi="Book Antiqua"/>
          <w:sz w:val="24"/>
          <w:szCs w:val="24"/>
        </w:rPr>
        <w:t>GIB occurred in 1.3% of the patients and was found to be associated with longer hospital stays and higher 30-d all-cause mortality rates</w:t>
      </w:r>
      <w:r w:rsidR="00B514F1" w:rsidRPr="00E341D3">
        <w:rPr>
          <w:rFonts w:ascii="Book Antiqua" w:hAnsi="Book Antiqua"/>
          <w:kern w:val="0"/>
          <w:sz w:val="24"/>
          <w:szCs w:val="24"/>
        </w:rPr>
        <w:t xml:space="preserve"> (9.6% </w:t>
      </w:r>
      <w:r w:rsidR="00B514F1" w:rsidRPr="00E341D3">
        <w:rPr>
          <w:rFonts w:ascii="Book Antiqua" w:hAnsi="Book Antiqua"/>
          <w:i/>
          <w:kern w:val="0"/>
          <w:sz w:val="24"/>
          <w:szCs w:val="24"/>
        </w:rPr>
        <w:t>vs</w:t>
      </w:r>
      <w:r w:rsidRPr="00E341D3">
        <w:rPr>
          <w:rFonts w:ascii="Book Antiqua" w:hAnsi="Book Antiqua"/>
          <w:kern w:val="0"/>
          <w:sz w:val="24"/>
          <w:szCs w:val="24"/>
        </w:rPr>
        <w:t xml:space="preserve"> 1.4% in patients with </w:t>
      </w:r>
      <w:r w:rsidR="00B514F1" w:rsidRPr="00E341D3">
        <w:rPr>
          <w:rFonts w:ascii="Book Antiqua" w:hAnsi="Book Antiqua"/>
          <w:kern w:val="0"/>
          <w:sz w:val="24"/>
          <w:szCs w:val="24"/>
        </w:rPr>
        <w:t>no bleeding</w:t>
      </w:r>
      <w:r w:rsidR="00141E24" w:rsidRPr="00E341D3">
        <w:rPr>
          <w:rFonts w:ascii="Book Antiqua" w:hAnsi="Book Antiqua"/>
          <w:kern w:val="0"/>
          <w:sz w:val="24"/>
          <w:szCs w:val="24"/>
          <w:vertAlign w:val="superscript"/>
        </w:rPr>
        <w:t>[</w:t>
      </w:r>
      <w:r w:rsidR="000C1041" w:rsidRPr="00E341D3">
        <w:rPr>
          <w:rFonts w:ascii="Book Antiqua" w:hAnsi="Book Antiqua"/>
          <w:kern w:val="0"/>
          <w:sz w:val="24"/>
          <w:szCs w:val="24"/>
          <w:vertAlign w:val="superscript"/>
        </w:rPr>
        <w:t>29</w:t>
      </w:r>
      <w:r w:rsidR="00141E24" w:rsidRPr="00E341D3">
        <w:rPr>
          <w:rFonts w:ascii="Book Antiqua" w:hAnsi="Book Antiqua"/>
          <w:kern w:val="0"/>
          <w:sz w:val="24"/>
          <w:szCs w:val="24"/>
          <w:vertAlign w:val="superscript"/>
        </w:rPr>
        <w:t>]</w:t>
      </w:r>
      <w:r w:rsidRPr="00E341D3">
        <w:rPr>
          <w:rFonts w:ascii="Book Antiqua" w:hAnsi="Book Antiqua"/>
          <w:kern w:val="0"/>
          <w:sz w:val="24"/>
          <w:szCs w:val="24"/>
        </w:rPr>
        <w:t xml:space="preserve">). A retrospective study reported that the </w:t>
      </w:r>
      <w:r w:rsidRPr="00E341D3">
        <w:rPr>
          <w:rFonts w:ascii="Book Antiqua" w:eastAsiaTheme="minorEastAsia" w:hAnsi="Book Antiqua"/>
          <w:kern w:val="0"/>
          <w:sz w:val="24"/>
          <w:szCs w:val="24"/>
        </w:rPr>
        <w:t xml:space="preserve">30-d mortality rates were as high as 20.5% in patients with GIB, compared </w:t>
      </w:r>
      <w:r w:rsidR="00B514F1" w:rsidRPr="00E341D3">
        <w:rPr>
          <w:rFonts w:ascii="Book Antiqua" w:hAnsi="Book Antiqua"/>
          <w:kern w:val="0"/>
          <w:sz w:val="24"/>
          <w:szCs w:val="24"/>
        </w:rPr>
        <w:t>to 2.4% in those without GIB</w:t>
      </w:r>
      <w:r w:rsidR="00BF5D4D" w:rsidRPr="00E341D3">
        <w:rPr>
          <w:rFonts w:ascii="Book Antiqua" w:hAnsi="Book Antiqua"/>
          <w:kern w:val="0"/>
          <w:sz w:val="24"/>
          <w:szCs w:val="24"/>
          <w:vertAlign w:val="superscript"/>
        </w:rPr>
        <w:t>[</w:t>
      </w:r>
      <w:r w:rsidR="00A64E5B" w:rsidRPr="00E341D3">
        <w:rPr>
          <w:rFonts w:ascii="Book Antiqua" w:hAnsi="Book Antiqua"/>
          <w:kern w:val="0"/>
          <w:sz w:val="24"/>
          <w:szCs w:val="24"/>
          <w:vertAlign w:val="superscript"/>
        </w:rPr>
        <w:t>30</w:t>
      </w:r>
      <w:r w:rsidR="00BF5D4D" w:rsidRPr="00E341D3">
        <w:rPr>
          <w:rFonts w:ascii="Book Antiqua" w:hAnsi="Book Antiqua"/>
          <w:kern w:val="0"/>
          <w:sz w:val="24"/>
          <w:szCs w:val="24"/>
          <w:vertAlign w:val="superscript"/>
        </w:rPr>
        <w:t>]</w:t>
      </w:r>
      <w:r w:rsidRPr="00E341D3">
        <w:rPr>
          <w:rFonts w:ascii="Book Antiqua" w:hAnsi="Book Antiqua"/>
          <w:kern w:val="0"/>
          <w:sz w:val="24"/>
          <w:szCs w:val="24"/>
        </w:rPr>
        <w:t>.</w:t>
      </w:r>
      <w:r w:rsidRPr="00E341D3">
        <w:rPr>
          <w:rFonts w:ascii="Book Antiqua" w:hAnsi="Book Antiqua" w:cs="AdvPS6F00"/>
          <w:kern w:val="0"/>
          <w:sz w:val="24"/>
          <w:szCs w:val="24"/>
        </w:rPr>
        <w:t xml:space="preserve"> </w:t>
      </w:r>
      <w:r w:rsidRPr="00E341D3">
        <w:rPr>
          <w:rFonts w:ascii="Book Antiqua" w:eastAsiaTheme="minorEastAsia" w:hAnsi="Book Antiqua" w:cs="Times"/>
          <w:kern w:val="0"/>
          <w:sz w:val="24"/>
          <w:szCs w:val="24"/>
        </w:rPr>
        <w:t>The mechanism underlying the high rates of early mortality in ACS patients with GIB may be multifactorial.</w:t>
      </w:r>
      <w:r w:rsidRPr="00E341D3">
        <w:rPr>
          <w:rFonts w:ascii="Book Antiqua" w:hAnsi="Book Antiqua" w:cs="AdvPS6F00"/>
          <w:kern w:val="0"/>
          <w:sz w:val="24"/>
          <w:szCs w:val="24"/>
        </w:rPr>
        <w:t xml:space="preserve"> The risk of ischemic events is further aggravated by the augmented release of endogenous catecholamines and increased platelet adhesiveness in ACS patients with bleeding complications. Importantly,</w:t>
      </w:r>
      <w:r w:rsidRPr="00E341D3">
        <w:rPr>
          <w:rFonts w:ascii="Book Antiqua" w:eastAsiaTheme="minorEastAsia" w:hAnsi="Book Antiqua"/>
          <w:kern w:val="0"/>
          <w:sz w:val="24"/>
          <w:szCs w:val="24"/>
        </w:rPr>
        <w:t xml:space="preserve"> GIB is a well-known cause of premature cessation of antiplatelet therapy, which poses a serious risk of ischemic events during hospital stay and after hospital discharge.</w:t>
      </w:r>
    </w:p>
    <w:p w14:paraId="433C8F13" w14:textId="77777777" w:rsidR="00AA4748" w:rsidRPr="00E341D3" w:rsidRDefault="00AA4748" w:rsidP="00B514F1">
      <w:pPr>
        <w:widowControl/>
        <w:autoSpaceDE w:val="0"/>
        <w:autoSpaceDN w:val="0"/>
        <w:adjustRightInd w:val="0"/>
        <w:spacing w:line="360" w:lineRule="auto"/>
        <w:rPr>
          <w:rFonts w:ascii="Book Antiqua" w:eastAsiaTheme="minorEastAsia" w:hAnsi="Book Antiqua" w:cs="Times"/>
          <w:kern w:val="0"/>
          <w:sz w:val="24"/>
          <w:szCs w:val="24"/>
        </w:rPr>
      </w:pPr>
    </w:p>
    <w:p w14:paraId="272321DF" w14:textId="7BB2EA8F" w:rsidR="00342BFA" w:rsidRPr="00E341D3" w:rsidRDefault="00B514F1" w:rsidP="00B514F1">
      <w:pPr>
        <w:pStyle w:val="Footer"/>
        <w:tabs>
          <w:tab w:val="clear" w:pos="4252"/>
          <w:tab w:val="clear" w:pos="8504"/>
        </w:tabs>
        <w:snapToGrid/>
        <w:spacing w:line="360" w:lineRule="auto"/>
        <w:rPr>
          <w:rFonts w:ascii="Book Antiqua" w:eastAsia="MS Gothic" w:hAnsi="Book Antiqua"/>
          <w:b/>
        </w:rPr>
      </w:pPr>
      <w:r w:rsidRPr="00E341D3">
        <w:rPr>
          <w:rFonts w:ascii="Book Antiqua" w:eastAsia="MS Gothic" w:hAnsi="Book Antiqua"/>
          <w:b/>
        </w:rPr>
        <w:t>MANAGEMENT OF GIB IN PATIENTS RECEIVING ANTIPLATELET THERAPY</w:t>
      </w:r>
    </w:p>
    <w:p w14:paraId="1E8FC930" w14:textId="77777777" w:rsidR="00B514F1" w:rsidRPr="00E341D3" w:rsidRDefault="00342BFA" w:rsidP="00B514F1">
      <w:pPr>
        <w:widowControl/>
        <w:autoSpaceDE w:val="0"/>
        <w:autoSpaceDN w:val="0"/>
        <w:adjustRightInd w:val="0"/>
        <w:spacing w:line="360" w:lineRule="auto"/>
        <w:rPr>
          <w:rFonts w:ascii="Book Antiqua" w:eastAsia="宋体" w:hAnsi="Book Antiqua"/>
          <w:b/>
          <w:i/>
          <w:sz w:val="24"/>
          <w:szCs w:val="24"/>
          <w:lang w:eastAsia="zh-CN"/>
        </w:rPr>
      </w:pPr>
      <w:r w:rsidRPr="00E341D3">
        <w:rPr>
          <w:rFonts w:ascii="Book Antiqua" w:eastAsia="MS Gothic" w:hAnsi="Book Antiqua"/>
          <w:b/>
          <w:i/>
          <w:sz w:val="24"/>
          <w:szCs w:val="24"/>
        </w:rPr>
        <w:t>Impact of blood tran</w:t>
      </w:r>
      <w:r w:rsidR="00B514F1" w:rsidRPr="00E341D3">
        <w:rPr>
          <w:rFonts w:ascii="Book Antiqua" w:eastAsia="MS Gothic" w:hAnsi="Book Antiqua"/>
          <w:b/>
          <w:i/>
          <w:sz w:val="24"/>
          <w:szCs w:val="24"/>
        </w:rPr>
        <w:t>sfusion on mortality after PCI</w:t>
      </w:r>
    </w:p>
    <w:p w14:paraId="09D71D5D" w14:textId="753B096E" w:rsidR="00342BFA" w:rsidRPr="00E341D3" w:rsidRDefault="00342BFA" w:rsidP="00B514F1">
      <w:pPr>
        <w:widowControl/>
        <w:autoSpaceDE w:val="0"/>
        <w:autoSpaceDN w:val="0"/>
        <w:adjustRightInd w:val="0"/>
        <w:spacing w:line="360" w:lineRule="auto"/>
        <w:rPr>
          <w:rFonts w:ascii="Book Antiqua" w:eastAsia="宋体" w:hAnsi="Book Antiqua" w:cs="Times"/>
          <w:kern w:val="0"/>
          <w:sz w:val="24"/>
          <w:szCs w:val="24"/>
          <w:lang w:eastAsia="zh-CN"/>
        </w:rPr>
      </w:pPr>
      <w:r w:rsidRPr="00E341D3">
        <w:rPr>
          <w:rFonts w:ascii="Book Antiqua" w:eastAsia="MS Gothic" w:hAnsi="Book Antiqua"/>
          <w:sz w:val="24"/>
          <w:szCs w:val="24"/>
        </w:rPr>
        <w:t xml:space="preserve">Major GIB often requires </w:t>
      </w:r>
      <w:r w:rsidRPr="00E341D3">
        <w:rPr>
          <w:rFonts w:ascii="Book Antiqua" w:hAnsi="Book Antiqua" w:cs="Times"/>
          <w:kern w:val="0"/>
          <w:sz w:val="24"/>
          <w:szCs w:val="24"/>
        </w:rPr>
        <w:t>red blood cell (RBC) transfusions. Although RBC transfusions are performed to augment oxygen delivery to avoid the deleterious effects of oxygen debt, these transfusions may have potential harmful effects</w:t>
      </w:r>
      <w:r w:rsidR="00BF5D4D" w:rsidRPr="00E341D3">
        <w:rPr>
          <w:rFonts w:ascii="Book Antiqua" w:hAnsi="Book Antiqua" w:cs="Times"/>
          <w:kern w:val="0"/>
          <w:sz w:val="24"/>
          <w:szCs w:val="24"/>
          <w:vertAlign w:val="superscript"/>
        </w:rPr>
        <w:t>[</w:t>
      </w:r>
      <w:r w:rsidR="00A64E5B" w:rsidRPr="00E341D3">
        <w:rPr>
          <w:rFonts w:ascii="Book Antiqua" w:hAnsi="Book Antiqua" w:cs="Times"/>
          <w:kern w:val="0"/>
          <w:sz w:val="24"/>
          <w:szCs w:val="24"/>
          <w:vertAlign w:val="superscript"/>
        </w:rPr>
        <w:t>31</w:t>
      </w:r>
      <w:r w:rsidR="00BF5D4D" w:rsidRPr="00E341D3">
        <w:rPr>
          <w:rFonts w:ascii="Book Antiqua" w:hAnsi="Book Antiqua" w:cs="Times"/>
          <w:kern w:val="0"/>
          <w:sz w:val="24"/>
          <w:szCs w:val="24"/>
          <w:vertAlign w:val="superscript"/>
        </w:rPr>
        <w:t>]</w:t>
      </w:r>
      <w:r w:rsidRPr="00E341D3">
        <w:rPr>
          <w:rFonts w:ascii="Book Antiqua" w:hAnsi="Book Antiqua" w:cs="Times"/>
          <w:kern w:val="0"/>
          <w:sz w:val="24"/>
          <w:szCs w:val="24"/>
        </w:rPr>
        <w:t>.</w:t>
      </w:r>
      <w:r w:rsidRPr="00E341D3">
        <w:rPr>
          <w:rFonts w:ascii="Book Antiqua" w:hAnsi="Book Antiqua"/>
          <w:kern w:val="0"/>
          <w:sz w:val="24"/>
          <w:szCs w:val="24"/>
        </w:rPr>
        <w:t xml:space="preserve"> Indeed, despite </w:t>
      </w:r>
      <w:r w:rsidRPr="00E341D3">
        <w:rPr>
          <w:rFonts w:ascii="Book Antiqua" w:hAnsi="Book Antiqua" w:cs="Times"/>
          <w:kern w:val="0"/>
          <w:sz w:val="24"/>
          <w:szCs w:val="24"/>
        </w:rPr>
        <w:t>i</w:t>
      </w:r>
      <w:r w:rsidRPr="00E341D3">
        <w:rPr>
          <w:rFonts w:ascii="Book Antiqua" w:hAnsi="Book Antiqua"/>
          <w:kern w:val="0"/>
          <w:sz w:val="24"/>
          <w:szCs w:val="24"/>
        </w:rPr>
        <w:t>ncreased hemoglobin levels, RBC transfusion does not always increase tissue oxygenation. One possible explanation is that stored RBCs are low in 2,3-diphosphoglyceric acid; therefore, the hemoglobin</w:t>
      </w:r>
      <w:r w:rsidRPr="00E341D3">
        <w:rPr>
          <w:rFonts w:ascii="Book Antiqua" w:eastAsiaTheme="minorEastAsia" w:hAnsi="Book Antiqua" w:cs="Times"/>
          <w:kern w:val="0"/>
          <w:sz w:val="24"/>
          <w:szCs w:val="24"/>
        </w:rPr>
        <w:t xml:space="preserve"> will tend not to release oxygen to the tissues</w:t>
      </w:r>
      <w:r w:rsidRPr="00E341D3">
        <w:rPr>
          <w:rFonts w:ascii="Book Antiqua" w:hAnsi="Book Antiqua"/>
          <w:kern w:val="0"/>
          <w:sz w:val="24"/>
          <w:szCs w:val="24"/>
        </w:rPr>
        <w:t>. In addition, RBCs mediate a nitric oxide-based hypoxic vasodilatory activity, which is impaired in banked blood, predisposing to vasoc</w:t>
      </w:r>
      <w:r w:rsidR="002B3C9C" w:rsidRPr="00E341D3">
        <w:rPr>
          <w:rFonts w:ascii="Book Antiqua" w:hAnsi="Book Antiqua"/>
          <w:kern w:val="0"/>
          <w:sz w:val="24"/>
          <w:szCs w:val="24"/>
        </w:rPr>
        <w:t>onstriction and ischemic insult</w:t>
      </w:r>
      <w:r w:rsidR="00BF5D4D" w:rsidRPr="00E341D3">
        <w:rPr>
          <w:rFonts w:ascii="Book Antiqua" w:hAnsi="Book Antiqua"/>
          <w:kern w:val="0"/>
          <w:sz w:val="24"/>
          <w:szCs w:val="24"/>
          <w:vertAlign w:val="superscript"/>
        </w:rPr>
        <w:t>[</w:t>
      </w:r>
      <w:r w:rsidR="00D41826" w:rsidRPr="00E341D3">
        <w:rPr>
          <w:rFonts w:ascii="Book Antiqua" w:hAnsi="Book Antiqua"/>
          <w:kern w:val="0"/>
          <w:sz w:val="24"/>
          <w:szCs w:val="24"/>
          <w:vertAlign w:val="superscript"/>
        </w:rPr>
        <w:t>32</w:t>
      </w:r>
      <w:r w:rsidR="00BF5D4D" w:rsidRPr="00E341D3">
        <w:rPr>
          <w:rFonts w:ascii="Book Antiqua" w:hAnsi="Book Antiqua"/>
          <w:kern w:val="0"/>
          <w:sz w:val="24"/>
          <w:szCs w:val="24"/>
          <w:vertAlign w:val="superscript"/>
        </w:rPr>
        <w:t>]</w:t>
      </w:r>
      <w:r w:rsidRPr="00E341D3">
        <w:rPr>
          <w:rFonts w:ascii="Book Antiqua" w:hAnsi="Book Antiqua"/>
          <w:kern w:val="0"/>
          <w:sz w:val="24"/>
          <w:szCs w:val="24"/>
        </w:rPr>
        <w:t>.</w:t>
      </w:r>
      <w:r w:rsidRPr="00E341D3">
        <w:rPr>
          <w:rFonts w:ascii="Book Antiqua" w:hAnsi="Book Antiqua" w:cs="Times"/>
          <w:kern w:val="0"/>
          <w:sz w:val="24"/>
          <w:szCs w:val="24"/>
        </w:rPr>
        <w:t xml:space="preserve"> Therefore, blood transfusion does not always provide ben</w:t>
      </w:r>
      <w:r w:rsidR="00B514F1" w:rsidRPr="00E341D3">
        <w:rPr>
          <w:rFonts w:ascii="Book Antiqua" w:hAnsi="Book Antiqua" w:cs="Times"/>
          <w:kern w:val="0"/>
          <w:sz w:val="24"/>
          <w:szCs w:val="24"/>
        </w:rPr>
        <w:t>eficial effects in ACS patients</w:t>
      </w:r>
      <w:r w:rsidR="00BF5D4D" w:rsidRPr="00E341D3">
        <w:rPr>
          <w:rFonts w:ascii="Book Antiqua" w:eastAsia="MS Gothic" w:hAnsi="Book Antiqua"/>
          <w:sz w:val="24"/>
          <w:szCs w:val="24"/>
          <w:vertAlign w:val="superscript"/>
        </w:rPr>
        <w:t>[</w:t>
      </w:r>
      <w:r w:rsidR="00D41826" w:rsidRPr="00E341D3">
        <w:rPr>
          <w:rFonts w:ascii="Book Antiqua" w:eastAsia="MS Gothic" w:hAnsi="Book Antiqua"/>
          <w:sz w:val="24"/>
          <w:szCs w:val="24"/>
          <w:vertAlign w:val="superscript"/>
        </w:rPr>
        <w:t>33</w:t>
      </w:r>
      <w:r w:rsidR="00BF5D4D" w:rsidRPr="00E341D3">
        <w:rPr>
          <w:rFonts w:ascii="Book Antiqua" w:eastAsia="MS Gothic" w:hAnsi="Book Antiqua"/>
          <w:sz w:val="24"/>
          <w:szCs w:val="24"/>
          <w:vertAlign w:val="superscript"/>
        </w:rPr>
        <w:t>]</w:t>
      </w:r>
      <w:r w:rsidRPr="00E341D3">
        <w:rPr>
          <w:rFonts w:ascii="Book Antiqua" w:hAnsi="Book Antiqua" w:cs="Times"/>
          <w:kern w:val="0"/>
          <w:sz w:val="24"/>
          <w:szCs w:val="24"/>
        </w:rPr>
        <w:t xml:space="preserve">. A recent RCT </w:t>
      </w:r>
      <w:r w:rsidRPr="00E341D3">
        <w:rPr>
          <w:rFonts w:ascii="Book Antiqua" w:hAnsi="Book Antiqua"/>
          <w:kern w:val="0"/>
          <w:sz w:val="24"/>
          <w:szCs w:val="24"/>
        </w:rPr>
        <w:t xml:space="preserve">in patients with acute upper GIB </w:t>
      </w:r>
      <w:r w:rsidRPr="00E341D3">
        <w:rPr>
          <w:rFonts w:ascii="Book Antiqua" w:hAnsi="Book Antiqua" w:cs="Times"/>
          <w:kern w:val="0"/>
          <w:sz w:val="24"/>
          <w:szCs w:val="24"/>
        </w:rPr>
        <w:t xml:space="preserve">showed that </w:t>
      </w:r>
      <w:r w:rsidRPr="00E341D3">
        <w:rPr>
          <w:rFonts w:ascii="Book Antiqua" w:hAnsi="Book Antiqua"/>
          <w:kern w:val="0"/>
          <w:sz w:val="24"/>
          <w:szCs w:val="24"/>
        </w:rPr>
        <w:t xml:space="preserve">a restrictive transfusion strategy </w:t>
      </w:r>
      <w:r w:rsidRPr="00E341D3">
        <w:rPr>
          <w:rFonts w:ascii="Book Antiqua" w:hAnsi="Book Antiqua"/>
          <w:bCs/>
          <w:kern w:val="0"/>
          <w:sz w:val="24"/>
          <w:szCs w:val="24"/>
        </w:rPr>
        <w:t>(</w:t>
      </w:r>
      <w:r w:rsidRPr="00E341D3">
        <w:rPr>
          <w:rFonts w:ascii="Book Antiqua" w:hAnsi="Book Antiqua"/>
          <w:bCs/>
          <w:i/>
          <w:kern w:val="0"/>
          <w:sz w:val="24"/>
          <w:szCs w:val="24"/>
        </w:rPr>
        <w:t>i.e.,</w:t>
      </w:r>
      <w:r w:rsidRPr="00E341D3">
        <w:rPr>
          <w:rFonts w:ascii="Book Antiqua" w:hAnsi="Book Antiqua"/>
          <w:bCs/>
          <w:kern w:val="0"/>
          <w:sz w:val="24"/>
          <w:szCs w:val="24"/>
        </w:rPr>
        <w:t xml:space="preserve"> transfusion when the hemoglobin level was &lt;</w:t>
      </w:r>
      <w:r w:rsidR="00B514F1" w:rsidRPr="00E341D3">
        <w:rPr>
          <w:rFonts w:ascii="Book Antiqua" w:eastAsia="宋体" w:hAnsi="Book Antiqua" w:hint="eastAsia"/>
          <w:bCs/>
          <w:kern w:val="0"/>
          <w:sz w:val="24"/>
          <w:szCs w:val="24"/>
          <w:lang w:eastAsia="zh-CN"/>
        </w:rPr>
        <w:t xml:space="preserve"> </w:t>
      </w:r>
      <w:r w:rsidRPr="00E341D3">
        <w:rPr>
          <w:rFonts w:ascii="Book Antiqua" w:hAnsi="Book Antiqua"/>
          <w:bCs/>
          <w:kern w:val="0"/>
          <w:sz w:val="24"/>
          <w:szCs w:val="24"/>
        </w:rPr>
        <w:t xml:space="preserve">7 g/dL) </w:t>
      </w:r>
      <w:r w:rsidRPr="00E341D3">
        <w:rPr>
          <w:rFonts w:ascii="Book Antiqua" w:hAnsi="Book Antiqua"/>
          <w:kern w:val="0"/>
          <w:sz w:val="24"/>
          <w:szCs w:val="24"/>
        </w:rPr>
        <w:t xml:space="preserve">had significantly better outcomes than a liberal transfusion strategy </w:t>
      </w:r>
      <w:r w:rsidRPr="00E341D3">
        <w:rPr>
          <w:rFonts w:ascii="Book Antiqua" w:hAnsi="Book Antiqua"/>
          <w:bCs/>
          <w:kern w:val="0"/>
          <w:sz w:val="24"/>
          <w:szCs w:val="24"/>
        </w:rPr>
        <w:t>(</w:t>
      </w:r>
      <w:r w:rsidRPr="00E341D3">
        <w:rPr>
          <w:rFonts w:ascii="Book Antiqua" w:hAnsi="Book Antiqua"/>
          <w:bCs/>
          <w:i/>
          <w:kern w:val="0"/>
          <w:sz w:val="24"/>
          <w:szCs w:val="24"/>
        </w:rPr>
        <w:t>i.e.</w:t>
      </w:r>
      <w:r w:rsidRPr="00E341D3">
        <w:rPr>
          <w:rFonts w:ascii="Book Antiqua" w:hAnsi="Book Antiqua"/>
          <w:bCs/>
          <w:kern w:val="0"/>
          <w:sz w:val="24"/>
          <w:szCs w:val="24"/>
        </w:rPr>
        <w:t>, transfusion when the hemoglobin level was &lt;</w:t>
      </w:r>
      <w:r w:rsidR="000F37A0">
        <w:rPr>
          <w:rFonts w:ascii="Book Antiqua" w:eastAsia="宋体" w:hAnsi="Book Antiqua" w:hint="eastAsia"/>
          <w:bCs/>
          <w:kern w:val="0"/>
          <w:sz w:val="24"/>
          <w:szCs w:val="24"/>
          <w:lang w:eastAsia="zh-CN"/>
        </w:rPr>
        <w:t xml:space="preserve"> </w:t>
      </w:r>
      <w:r w:rsidRPr="00E341D3">
        <w:rPr>
          <w:rFonts w:ascii="Book Antiqua" w:hAnsi="Book Antiqua"/>
          <w:bCs/>
          <w:kern w:val="0"/>
          <w:sz w:val="24"/>
          <w:szCs w:val="24"/>
        </w:rPr>
        <w:t>9 g/dL</w:t>
      </w:r>
      <w:r w:rsidR="00BF5D4D" w:rsidRPr="00E341D3">
        <w:rPr>
          <w:rFonts w:ascii="Book Antiqua" w:hAnsi="Book Antiqua"/>
          <w:bCs/>
          <w:kern w:val="0"/>
          <w:sz w:val="24"/>
          <w:szCs w:val="24"/>
          <w:vertAlign w:val="superscript"/>
        </w:rPr>
        <w:t>[</w:t>
      </w:r>
      <w:r w:rsidR="006A69F5" w:rsidRPr="00E341D3">
        <w:rPr>
          <w:rFonts w:ascii="Book Antiqua" w:hAnsi="Book Antiqua"/>
          <w:kern w:val="0"/>
          <w:sz w:val="24"/>
          <w:szCs w:val="24"/>
          <w:vertAlign w:val="superscript"/>
        </w:rPr>
        <w:t>34</w:t>
      </w:r>
      <w:r w:rsidR="00BF5D4D" w:rsidRPr="00E341D3">
        <w:rPr>
          <w:rFonts w:ascii="Book Antiqua" w:hAnsi="Book Antiqua"/>
          <w:kern w:val="0"/>
          <w:sz w:val="24"/>
          <w:szCs w:val="24"/>
          <w:vertAlign w:val="superscript"/>
        </w:rPr>
        <w:t>]</w:t>
      </w:r>
      <w:r w:rsidRPr="00E341D3">
        <w:rPr>
          <w:rFonts w:ascii="Book Antiqua" w:hAnsi="Book Antiqua"/>
          <w:kern w:val="0"/>
          <w:sz w:val="24"/>
          <w:szCs w:val="24"/>
        </w:rPr>
        <w:t>).</w:t>
      </w:r>
      <w:r w:rsidRPr="00E341D3">
        <w:rPr>
          <w:rFonts w:ascii="Book Antiqua" w:hAnsi="Book Antiqua" w:cs="Times"/>
          <w:kern w:val="0"/>
          <w:sz w:val="24"/>
          <w:szCs w:val="24"/>
        </w:rPr>
        <w:t xml:space="preserve"> Therefore, </w:t>
      </w:r>
      <w:r w:rsidRPr="00E341D3">
        <w:rPr>
          <w:rFonts w:ascii="Book Antiqua" w:hAnsi="Book Antiqua"/>
          <w:kern w:val="0"/>
          <w:sz w:val="24"/>
          <w:szCs w:val="24"/>
        </w:rPr>
        <w:t xml:space="preserve">in patients with stable hemodynamic status, </w:t>
      </w:r>
      <w:r w:rsidRPr="00E341D3">
        <w:rPr>
          <w:rFonts w:ascii="Book Antiqua" w:hAnsi="Book Antiqua" w:cs="Times"/>
          <w:kern w:val="0"/>
          <w:sz w:val="24"/>
          <w:szCs w:val="24"/>
        </w:rPr>
        <w:t>RBC transfusion is considered when the hemoglobin concentration falls below 7.0 g/dL in patients with stable angina and</w:t>
      </w:r>
      <w:r w:rsidR="00B514F1" w:rsidRPr="00E341D3">
        <w:rPr>
          <w:rFonts w:ascii="Book Antiqua" w:hAnsi="Book Antiqua" w:cs="Times"/>
          <w:kern w:val="0"/>
          <w:sz w:val="24"/>
          <w:szCs w:val="24"/>
        </w:rPr>
        <w:t xml:space="preserve"> is 8</w:t>
      </w:r>
      <w:r w:rsidR="000F37A0">
        <w:rPr>
          <w:rFonts w:ascii="Book Antiqua" w:eastAsia="宋体" w:hAnsi="Book Antiqua" w:cs="Times" w:hint="eastAsia"/>
          <w:kern w:val="0"/>
          <w:sz w:val="24"/>
          <w:szCs w:val="24"/>
          <w:lang w:eastAsia="zh-CN"/>
        </w:rPr>
        <w:t>-</w:t>
      </w:r>
      <w:r w:rsidR="00B514F1" w:rsidRPr="00E341D3">
        <w:rPr>
          <w:rFonts w:ascii="Book Antiqua" w:hAnsi="Book Antiqua" w:cs="Times"/>
          <w:kern w:val="0"/>
          <w:sz w:val="24"/>
          <w:szCs w:val="24"/>
        </w:rPr>
        <w:t>10 g/dL in those with ACS</w:t>
      </w:r>
      <w:r w:rsidR="00BF5D4D" w:rsidRPr="00E341D3">
        <w:rPr>
          <w:rFonts w:ascii="Book Antiqua" w:hAnsi="Book Antiqua" w:cs="Times"/>
          <w:kern w:val="0"/>
          <w:sz w:val="24"/>
          <w:szCs w:val="24"/>
          <w:vertAlign w:val="superscript"/>
        </w:rPr>
        <w:t>[</w:t>
      </w:r>
      <w:r w:rsidR="006A69F5" w:rsidRPr="00E341D3">
        <w:rPr>
          <w:rFonts w:ascii="Book Antiqua" w:hAnsi="Book Antiqua" w:cs="Times"/>
          <w:kern w:val="0"/>
          <w:sz w:val="24"/>
          <w:szCs w:val="24"/>
          <w:vertAlign w:val="superscript"/>
        </w:rPr>
        <w:t>35</w:t>
      </w:r>
      <w:r w:rsidR="00BF5D4D" w:rsidRPr="00E341D3">
        <w:rPr>
          <w:rFonts w:ascii="Book Antiqua" w:hAnsi="Book Antiqua" w:cs="Times"/>
          <w:kern w:val="0"/>
          <w:sz w:val="24"/>
          <w:szCs w:val="24"/>
          <w:vertAlign w:val="superscript"/>
        </w:rPr>
        <w:t>]</w:t>
      </w:r>
      <w:r w:rsidRPr="00E341D3">
        <w:rPr>
          <w:rFonts w:ascii="Book Antiqua" w:hAnsi="Book Antiqua" w:cs="Times"/>
          <w:kern w:val="0"/>
          <w:sz w:val="24"/>
          <w:szCs w:val="24"/>
        </w:rPr>
        <w:t>.</w:t>
      </w:r>
    </w:p>
    <w:p w14:paraId="38EB29AE" w14:textId="77777777" w:rsidR="00B514F1" w:rsidRPr="00E341D3" w:rsidRDefault="00B514F1" w:rsidP="00B514F1">
      <w:pPr>
        <w:widowControl/>
        <w:autoSpaceDE w:val="0"/>
        <w:autoSpaceDN w:val="0"/>
        <w:adjustRightInd w:val="0"/>
        <w:spacing w:line="360" w:lineRule="auto"/>
        <w:rPr>
          <w:rFonts w:ascii="Book Antiqua" w:eastAsia="宋体" w:hAnsi="Book Antiqua"/>
          <w:kern w:val="0"/>
          <w:sz w:val="24"/>
          <w:szCs w:val="24"/>
          <w:lang w:eastAsia="zh-CN"/>
        </w:rPr>
      </w:pPr>
    </w:p>
    <w:p w14:paraId="7C8DEA79" w14:textId="77777777" w:rsidR="00B514F1" w:rsidRPr="00E341D3" w:rsidRDefault="00342BFA" w:rsidP="00B514F1">
      <w:pPr>
        <w:widowControl/>
        <w:autoSpaceDE w:val="0"/>
        <w:autoSpaceDN w:val="0"/>
        <w:adjustRightInd w:val="0"/>
        <w:spacing w:line="360" w:lineRule="auto"/>
        <w:rPr>
          <w:rFonts w:ascii="Book Antiqua" w:eastAsia="宋体" w:hAnsi="Book Antiqua"/>
          <w:b/>
          <w:i/>
          <w:sz w:val="24"/>
          <w:szCs w:val="24"/>
          <w:lang w:eastAsia="zh-CN"/>
        </w:rPr>
      </w:pPr>
      <w:r w:rsidRPr="00E341D3">
        <w:rPr>
          <w:rFonts w:ascii="Book Antiqua" w:eastAsia="MS Gothic" w:hAnsi="Book Antiqua"/>
          <w:b/>
          <w:i/>
          <w:sz w:val="24"/>
          <w:szCs w:val="24"/>
        </w:rPr>
        <w:t xml:space="preserve">Endoscopic hemostasis of GIB in patients </w:t>
      </w:r>
      <w:r w:rsidR="00B514F1" w:rsidRPr="00E341D3">
        <w:rPr>
          <w:rFonts w:ascii="Book Antiqua" w:eastAsia="MS Gothic" w:hAnsi="Book Antiqua"/>
          <w:b/>
          <w:i/>
          <w:sz w:val="24"/>
          <w:szCs w:val="24"/>
        </w:rPr>
        <w:t>receiving antiplatelet therapy</w:t>
      </w:r>
    </w:p>
    <w:p w14:paraId="1C8E38DA" w14:textId="193DE95C" w:rsidR="00342BFA" w:rsidRPr="00E341D3" w:rsidRDefault="00342BFA" w:rsidP="00B514F1">
      <w:pPr>
        <w:widowControl/>
        <w:autoSpaceDE w:val="0"/>
        <w:autoSpaceDN w:val="0"/>
        <w:adjustRightInd w:val="0"/>
        <w:spacing w:line="360" w:lineRule="auto"/>
        <w:rPr>
          <w:rFonts w:ascii="Book Antiqua" w:eastAsia="宋体" w:hAnsi="Book Antiqua"/>
          <w:kern w:val="0"/>
          <w:sz w:val="24"/>
          <w:szCs w:val="24"/>
          <w:lang w:eastAsia="zh-CN"/>
        </w:rPr>
      </w:pPr>
      <w:r w:rsidRPr="00E341D3">
        <w:rPr>
          <w:rFonts w:ascii="Book Antiqua" w:eastAsiaTheme="minorEastAsia" w:hAnsi="Book Antiqua" w:cs="Times"/>
          <w:kern w:val="0"/>
          <w:sz w:val="24"/>
          <w:szCs w:val="24"/>
        </w:rPr>
        <w:t>In patients with GIB, early endoscopy is beneficial for decreasing the length of hospital stay and</w:t>
      </w:r>
      <w:r w:rsidR="00B514F1" w:rsidRPr="00E341D3">
        <w:rPr>
          <w:rFonts w:ascii="Book Antiqua" w:eastAsiaTheme="minorEastAsia" w:hAnsi="Book Antiqua" w:cs="Times"/>
          <w:kern w:val="0"/>
          <w:sz w:val="24"/>
          <w:szCs w:val="24"/>
        </w:rPr>
        <w:t xml:space="preserve"> avoiding surgical intervention</w:t>
      </w:r>
      <w:r w:rsidR="00BF5D4D" w:rsidRPr="00E341D3">
        <w:rPr>
          <w:rFonts w:ascii="Book Antiqua" w:eastAsiaTheme="minorEastAsia" w:hAnsi="Book Antiqua" w:cs="Times"/>
          <w:kern w:val="0"/>
          <w:sz w:val="24"/>
          <w:szCs w:val="24"/>
          <w:vertAlign w:val="superscript"/>
        </w:rPr>
        <w:t>[</w:t>
      </w:r>
      <w:r w:rsidR="00B514F1" w:rsidRPr="00E341D3">
        <w:rPr>
          <w:rFonts w:ascii="Book Antiqua" w:eastAsiaTheme="minorEastAsia" w:hAnsi="Book Antiqua" w:cs="Times"/>
          <w:kern w:val="0"/>
          <w:sz w:val="24"/>
          <w:szCs w:val="24"/>
          <w:vertAlign w:val="superscript"/>
        </w:rPr>
        <w:t>36,</w:t>
      </w:r>
      <w:r w:rsidR="006A69F5" w:rsidRPr="00E341D3">
        <w:rPr>
          <w:rFonts w:ascii="Book Antiqua" w:eastAsiaTheme="minorEastAsia" w:hAnsi="Book Antiqua" w:cs="Times"/>
          <w:kern w:val="0"/>
          <w:sz w:val="24"/>
          <w:szCs w:val="24"/>
          <w:vertAlign w:val="superscript"/>
        </w:rPr>
        <w:t>37</w:t>
      </w:r>
      <w:r w:rsidR="00BF5D4D" w:rsidRPr="00E341D3">
        <w:rPr>
          <w:rFonts w:ascii="Book Antiqua" w:eastAsiaTheme="minorEastAsia" w:hAnsi="Book Antiqua" w:cs="Times"/>
          <w:kern w:val="0"/>
          <w:sz w:val="24"/>
          <w:szCs w:val="24"/>
          <w:vertAlign w:val="superscript"/>
        </w:rPr>
        <w:t>]</w:t>
      </w:r>
      <w:r w:rsidRPr="00E341D3">
        <w:rPr>
          <w:rFonts w:ascii="Book Antiqua" w:eastAsiaTheme="minorEastAsia" w:hAnsi="Book Antiqua" w:cs="Times"/>
          <w:kern w:val="0"/>
          <w:sz w:val="24"/>
          <w:szCs w:val="24"/>
        </w:rPr>
        <w:t xml:space="preserve">. A case-control study reported that </w:t>
      </w:r>
      <w:r w:rsidRPr="00E341D3">
        <w:rPr>
          <w:rFonts w:ascii="Book Antiqua" w:eastAsiaTheme="minorEastAsia" w:hAnsi="Book Antiqua"/>
          <w:kern w:val="0"/>
          <w:sz w:val="24"/>
          <w:szCs w:val="24"/>
        </w:rPr>
        <w:t>there were no serious complications of</w:t>
      </w:r>
      <w:r w:rsidR="006A69F5" w:rsidRPr="00E341D3">
        <w:rPr>
          <w:rFonts w:ascii="Book Antiqua" w:eastAsiaTheme="minorEastAsia" w:hAnsi="Book Antiqua"/>
          <w:kern w:val="0"/>
          <w:sz w:val="24"/>
          <w:szCs w:val="24"/>
        </w:rPr>
        <w:t xml:space="preserve"> emergency endoscopy </w:t>
      </w:r>
      <w:r w:rsidR="00B514F1" w:rsidRPr="00E341D3">
        <w:rPr>
          <w:rFonts w:ascii="Book Antiqua" w:eastAsiaTheme="minorEastAsia" w:hAnsi="Book Antiqua"/>
          <w:kern w:val="0"/>
          <w:sz w:val="24"/>
          <w:szCs w:val="24"/>
        </w:rPr>
        <w:t>after MI</w:t>
      </w:r>
      <w:r w:rsidR="00BF5D4D" w:rsidRPr="00E341D3">
        <w:rPr>
          <w:rFonts w:ascii="Book Antiqua" w:eastAsiaTheme="minorEastAsia" w:hAnsi="Book Antiqua"/>
          <w:kern w:val="0"/>
          <w:sz w:val="24"/>
          <w:szCs w:val="24"/>
          <w:vertAlign w:val="superscript"/>
        </w:rPr>
        <w:t>[</w:t>
      </w:r>
      <w:r w:rsidR="006A69F5" w:rsidRPr="00E341D3">
        <w:rPr>
          <w:rFonts w:ascii="Book Antiqua" w:eastAsiaTheme="minorEastAsia" w:hAnsi="Book Antiqua"/>
          <w:kern w:val="0"/>
          <w:sz w:val="24"/>
          <w:szCs w:val="24"/>
          <w:vertAlign w:val="superscript"/>
        </w:rPr>
        <w:t>17</w:t>
      </w:r>
      <w:r w:rsidR="00BF5D4D" w:rsidRPr="00E341D3">
        <w:rPr>
          <w:rFonts w:ascii="Book Antiqua" w:eastAsiaTheme="minorEastAsia" w:hAnsi="Book Antiqua"/>
          <w:kern w:val="0"/>
          <w:sz w:val="24"/>
          <w:szCs w:val="24"/>
          <w:vertAlign w:val="superscript"/>
        </w:rPr>
        <w:t>]</w:t>
      </w:r>
      <w:r w:rsidRPr="00E341D3">
        <w:rPr>
          <w:rFonts w:ascii="Book Antiqua" w:eastAsiaTheme="minorEastAsia" w:hAnsi="Book Antiqua"/>
          <w:kern w:val="0"/>
          <w:sz w:val="24"/>
          <w:szCs w:val="24"/>
        </w:rPr>
        <w:t xml:space="preserve">. </w:t>
      </w:r>
      <w:r w:rsidRPr="00E341D3">
        <w:rPr>
          <w:rFonts w:ascii="Book Antiqua" w:eastAsiaTheme="minorEastAsia" w:hAnsi="Book Antiqua" w:cs="Times"/>
          <w:kern w:val="0"/>
          <w:sz w:val="24"/>
          <w:szCs w:val="24"/>
        </w:rPr>
        <w:t xml:space="preserve">During endoscopy, careful removal of clots in an ulcer bed is important to detect the exposed vessel. When </w:t>
      </w:r>
      <w:r w:rsidRPr="00E341D3">
        <w:rPr>
          <w:rFonts w:ascii="Book Antiqua" w:eastAsiaTheme="minorEastAsia" w:hAnsi="Book Antiqua" w:cs="Times"/>
          <w:iCs/>
          <w:kern w:val="0"/>
          <w:sz w:val="24"/>
          <w:szCs w:val="24"/>
        </w:rPr>
        <w:t>active spurting or oozing bleeding or a nonbleeding visible vessel is observed, endoscopic therapy</w:t>
      </w:r>
      <w:r w:rsidR="00B514F1" w:rsidRPr="00E341D3">
        <w:rPr>
          <w:rFonts w:ascii="Book Antiqua" w:eastAsiaTheme="minorEastAsia" w:hAnsi="Book Antiqua" w:cs="Times"/>
          <w:iCs/>
          <w:kern w:val="0"/>
          <w:sz w:val="24"/>
          <w:szCs w:val="24"/>
        </w:rPr>
        <w:t xml:space="preserve"> should be provided to patients</w:t>
      </w:r>
      <w:r w:rsidR="00BF5D4D" w:rsidRPr="00E341D3">
        <w:rPr>
          <w:rFonts w:ascii="Book Antiqua" w:eastAsiaTheme="minorEastAsia" w:hAnsi="Book Antiqua" w:cs="Times"/>
          <w:iCs/>
          <w:kern w:val="0"/>
          <w:sz w:val="24"/>
          <w:szCs w:val="24"/>
          <w:vertAlign w:val="superscript"/>
        </w:rPr>
        <w:t>[</w:t>
      </w:r>
      <w:r w:rsidR="006A69F5" w:rsidRPr="00E341D3">
        <w:rPr>
          <w:rFonts w:ascii="Book Antiqua" w:eastAsiaTheme="minorEastAsia" w:hAnsi="Book Antiqua" w:cs="Times"/>
          <w:iCs/>
          <w:kern w:val="0"/>
          <w:sz w:val="24"/>
          <w:szCs w:val="24"/>
          <w:vertAlign w:val="superscript"/>
        </w:rPr>
        <w:t>38</w:t>
      </w:r>
      <w:r w:rsidR="00BF5D4D" w:rsidRPr="00E341D3">
        <w:rPr>
          <w:rFonts w:ascii="Book Antiqua" w:eastAsiaTheme="minorEastAsia" w:hAnsi="Book Antiqua" w:cs="Times"/>
          <w:iCs/>
          <w:kern w:val="0"/>
          <w:sz w:val="24"/>
          <w:szCs w:val="24"/>
          <w:vertAlign w:val="superscript"/>
        </w:rPr>
        <w:t>]</w:t>
      </w:r>
      <w:r w:rsidRPr="00E341D3">
        <w:rPr>
          <w:rFonts w:ascii="Book Antiqua" w:eastAsiaTheme="minorEastAsia" w:hAnsi="Book Antiqua" w:cs="Times"/>
          <w:iCs/>
          <w:kern w:val="0"/>
          <w:sz w:val="24"/>
          <w:szCs w:val="24"/>
        </w:rPr>
        <w:t xml:space="preserve">. </w:t>
      </w:r>
      <w:r w:rsidRPr="00E341D3">
        <w:rPr>
          <w:rFonts w:ascii="Book Antiqua" w:eastAsiaTheme="minorEastAsia" w:hAnsi="Book Antiqua"/>
          <w:kern w:val="0"/>
          <w:sz w:val="24"/>
          <w:szCs w:val="24"/>
        </w:rPr>
        <w:t>Endoscopic hemostatic options include injection techniques using epinephrine or ethanol, ablative therapies such as use of a heater probe, coagulation with hemostatic forceps or argon plasma coagulation, and mechanical methods such as use of endoclips (Figure</w:t>
      </w:r>
      <w:r w:rsidR="00B514F1" w:rsidRPr="00E341D3">
        <w:rPr>
          <w:rFonts w:ascii="Book Antiqua" w:eastAsia="宋体" w:hAnsi="Book Antiqua" w:hint="eastAsia"/>
          <w:kern w:val="0"/>
          <w:sz w:val="24"/>
          <w:szCs w:val="24"/>
          <w:lang w:eastAsia="zh-CN"/>
        </w:rPr>
        <w:t>s</w:t>
      </w:r>
      <w:r w:rsidRPr="00E341D3">
        <w:rPr>
          <w:rFonts w:ascii="Book Antiqua" w:eastAsiaTheme="minorEastAsia" w:hAnsi="Book Antiqua"/>
          <w:kern w:val="0"/>
          <w:sz w:val="24"/>
          <w:szCs w:val="24"/>
        </w:rPr>
        <w:t xml:space="preserve"> 1</w:t>
      </w:r>
      <w:r w:rsidR="00B514F1" w:rsidRPr="00E341D3">
        <w:rPr>
          <w:rFonts w:ascii="Book Antiqua" w:eastAsia="宋体" w:hAnsi="Book Antiqua" w:hint="eastAsia"/>
          <w:kern w:val="0"/>
          <w:sz w:val="24"/>
          <w:szCs w:val="24"/>
          <w:lang w:eastAsia="zh-CN"/>
        </w:rPr>
        <w:t xml:space="preserve"> and</w:t>
      </w:r>
      <w:r w:rsidR="00B514F1" w:rsidRPr="00E341D3">
        <w:rPr>
          <w:rFonts w:ascii="Book Antiqua" w:eastAsiaTheme="minorEastAsia" w:hAnsi="Book Antiqua"/>
          <w:kern w:val="0"/>
          <w:sz w:val="24"/>
          <w:szCs w:val="24"/>
        </w:rPr>
        <w:t xml:space="preserve"> </w:t>
      </w:r>
      <w:r w:rsidR="00B514F1" w:rsidRPr="00E341D3">
        <w:rPr>
          <w:rFonts w:ascii="Book Antiqua" w:eastAsia="宋体" w:hAnsi="Book Antiqua" w:hint="eastAsia"/>
          <w:kern w:val="0"/>
          <w:sz w:val="24"/>
          <w:szCs w:val="24"/>
          <w:lang w:eastAsia="zh-CN"/>
        </w:rPr>
        <w:t>2</w:t>
      </w:r>
      <w:r w:rsidRPr="00E341D3">
        <w:rPr>
          <w:rFonts w:ascii="Book Antiqua" w:eastAsiaTheme="minorEastAsia" w:hAnsi="Book Antiqua"/>
          <w:kern w:val="0"/>
          <w:sz w:val="24"/>
          <w:szCs w:val="24"/>
        </w:rPr>
        <w:t xml:space="preserve">). Endoscopic treatment with a combination of epinephrine injection therapy and electrical coagulation or use of endoclips is also effective to achieve better outcomes. </w:t>
      </w:r>
      <w:r w:rsidRPr="00E341D3">
        <w:rPr>
          <w:rFonts w:ascii="Book Antiqua" w:eastAsiaTheme="minorEastAsia" w:hAnsi="Book Antiqua" w:cs="Times"/>
          <w:iCs/>
          <w:kern w:val="0"/>
          <w:sz w:val="24"/>
          <w:szCs w:val="24"/>
        </w:rPr>
        <w:t xml:space="preserve">Routine second-look endoscopy is not recommended after successful endoscopic hemostasis with intravenous PPI therapy. </w:t>
      </w:r>
      <w:r w:rsidRPr="00E341D3">
        <w:rPr>
          <w:rFonts w:ascii="Book Antiqua" w:eastAsiaTheme="minorEastAsia" w:hAnsi="Book Antiqua"/>
          <w:kern w:val="0"/>
          <w:sz w:val="24"/>
          <w:szCs w:val="24"/>
        </w:rPr>
        <w:t>Transcatheter arterial embolization can be considered for patients in whom endoscopic therapy has failed.</w:t>
      </w:r>
    </w:p>
    <w:p w14:paraId="6C4F3EBB" w14:textId="77777777" w:rsidR="00B514F1" w:rsidRPr="00E341D3" w:rsidRDefault="00B514F1" w:rsidP="00B514F1">
      <w:pPr>
        <w:widowControl/>
        <w:autoSpaceDE w:val="0"/>
        <w:autoSpaceDN w:val="0"/>
        <w:adjustRightInd w:val="0"/>
        <w:spacing w:line="360" w:lineRule="auto"/>
        <w:rPr>
          <w:rFonts w:ascii="Book Antiqua" w:eastAsia="宋体" w:hAnsi="Book Antiqua"/>
          <w:b/>
          <w:sz w:val="24"/>
          <w:szCs w:val="24"/>
          <w:lang w:eastAsia="zh-CN"/>
        </w:rPr>
      </w:pPr>
    </w:p>
    <w:p w14:paraId="42068C84" w14:textId="77777777" w:rsidR="00B514F1" w:rsidRPr="00E341D3" w:rsidRDefault="00342BFA" w:rsidP="00B514F1">
      <w:pPr>
        <w:widowControl/>
        <w:autoSpaceDE w:val="0"/>
        <w:autoSpaceDN w:val="0"/>
        <w:adjustRightInd w:val="0"/>
        <w:spacing w:line="360" w:lineRule="auto"/>
        <w:rPr>
          <w:rFonts w:ascii="Book Antiqua" w:eastAsia="宋体" w:hAnsi="Book Antiqua"/>
          <w:b/>
          <w:i/>
          <w:sz w:val="24"/>
          <w:szCs w:val="24"/>
          <w:lang w:eastAsia="zh-CN"/>
        </w:rPr>
      </w:pPr>
      <w:r w:rsidRPr="00E341D3">
        <w:rPr>
          <w:rFonts w:ascii="Book Antiqua" w:eastAsia="MS Gothic" w:hAnsi="Book Antiqua"/>
          <w:b/>
          <w:i/>
          <w:sz w:val="24"/>
          <w:szCs w:val="24"/>
        </w:rPr>
        <w:t>Continuation of antiplat</w:t>
      </w:r>
      <w:r w:rsidR="00B514F1" w:rsidRPr="00E341D3">
        <w:rPr>
          <w:rFonts w:ascii="Book Antiqua" w:eastAsia="MS Gothic" w:hAnsi="Book Antiqua"/>
          <w:b/>
          <w:i/>
          <w:sz w:val="24"/>
          <w:szCs w:val="24"/>
        </w:rPr>
        <w:t>elet therapy</w:t>
      </w:r>
    </w:p>
    <w:p w14:paraId="1727C24A" w14:textId="37BB743C" w:rsidR="00342BFA" w:rsidRPr="00E341D3" w:rsidRDefault="00342BFA" w:rsidP="00B514F1">
      <w:pPr>
        <w:widowControl/>
        <w:autoSpaceDE w:val="0"/>
        <w:autoSpaceDN w:val="0"/>
        <w:adjustRightInd w:val="0"/>
        <w:spacing w:line="360" w:lineRule="auto"/>
        <w:rPr>
          <w:rFonts w:ascii="Book Antiqua" w:eastAsiaTheme="minorEastAsia" w:hAnsi="Book Antiqua" w:cs="Times"/>
          <w:kern w:val="0"/>
          <w:sz w:val="24"/>
          <w:szCs w:val="24"/>
        </w:rPr>
      </w:pPr>
      <w:r w:rsidRPr="00E341D3">
        <w:rPr>
          <w:rFonts w:ascii="Book Antiqua" w:eastAsia="MS Gothic" w:hAnsi="Book Antiqua"/>
          <w:sz w:val="24"/>
          <w:szCs w:val="24"/>
        </w:rPr>
        <w:t>GIB often causes premature cessation of antiplatelet therapy, which increases the thrombotic risk</w:t>
      </w:r>
      <w:r w:rsidRPr="00E341D3">
        <w:rPr>
          <w:rFonts w:ascii="Book Antiqua" w:eastAsiaTheme="minorEastAsia" w:hAnsi="Book Antiqua" w:cs="Times"/>
          <w:kern w:val="0"/>
          <w:sz w:val="24"/>
          <w:szCs w:val="24"/>
        </w:rPr>
        <w:t xml:space="preserve"> for cardiovascular and cerebrovascular events. A RCT in GIB patients receiving LDA therapy for the secondary prevention of cardiovascular disease showed that interruption of antiplatelet therapy is one of the most important determinants of fatal outcome. Although resumption of LDA therapy after endoscopic hemostasis was associated with a 50% increased risk of recurrent bleeding, the 8-week mortality rate was significantly lower in the LDA group patients than in the placebo group patients </w:t>
      </w:r>
      <w:r w:rsidR="00B514F1" w:rsidRPr="00E341D3">
        <w:rPr>
          <w:rFonts w:ascii="Book Antiqua" w:eastAsiaTheme="minorEastAsia" w:hAnsi="Book Antiqua" w:cs="Times"/>
          <w:kern w:val="0"/>
          <w:sz w:val="24"/>
          <w:szCs w:val="24"/>
        </w:rPr>
        <w:t xml:space="preserve">(1.3% </w:t>
      </w:r>
      <w:r w:rsidR="00B514F1" w:rsidRPr="00E341D3">
        <w:rPr>
          <w:rFonts w:ascii="Book Antiqua" w:eastAsiaTheme="minorEastAsia" w:hAnsi="Book Antiqua" w:cs="Times"/>
          <w:i/>
          <w:kern w:val="0"/>
          <w:sz w:val="24"/>
          <w:szCs w:val="24"/>
        </w:rPr>
        <w:t>vs</w:t>
      </w:r>
      <w:r w:rsidRPr="00E341D3">
        <w:rPr>
          <w:rFonts w:ascii="Book Antiqua" w:eastAsiaTheme="minorEastAsia" w:hAnsi="Book Antiqua" w:cs="Times"/>
          <w:i/>
          <w:kern w:val="0"/>
          <w:sz w:val="24"/>
          <w:szCs w:val="24"/>
        </w:rPr>
        <w:t xml:space="preserve"> </w:t>
      </w:r>
      <w:r w:rsidRPr="00E341D3">
        <w:rPr>
          <w:rFonts w:ascii="Book Antiqua" w:eastAsiaTheme="minorEastAsia" w:hAnsi="Book Antiqua" w:cs="Times"/>
          <w:kern w:val="0"/>
          <w:sz w:val="24"/>
          <w:szCs w:val="24"/>
        </w:rPr>
        <w:t>12.9%</w:t>
      </w:r>
      <w:r w:rsidR="00BF5D4D" w:rsidRPr="00E341D3">
        <w:rPr>
          <w:rFonts w:ascii="Book Antiqua" w:eastAsiaTheme="minorEastAsia" w:hAnsi="Book Antiqua" w:cs="Times"/>
          <w:kern w:val="0"/>
          <w:sz w:val="24"/>
          <w:szCs w:val="24"/>
          <w:vertAlign w:val="superscript"/>
        </w:rPr>
        <w:t>[</w:t>
      </w:r>
      <w:r w:rsidR="002F58F5" w:rsidRPr="00E341D3">
        <w:rPr>
          <w:rFonts w:ascii="Book Antiqua" w:eastAsiaTheme="minorEastAsia" w:hAnsi="Book Antiqua" w:cs="Times"/>
          <w:kern w:val="0"/>
          <w:sz w:val="24"/>
          <w:szCs w:val="24"/>
          <w:vertAlign w:val="superscript"/>
        </w:rPr>
        <w:t>39</w:t>
      </w:r>
      <w:r w:rsidR="00BF5D4D" w:rsidRPr="00E341D3">
        <w:rPr>
          <w:rFonts w:ascii="Book Antiqua" w:eastAsiaTheme="minorEastAsia" w:hAnsi="Book Antiqua" w:cs="Times"/>
          <w:kern w:val="0"/>
          <w:sz w:val="24"/>
          <w:szCs w:val="24"/>
          <w:vertAlign w:val="superscript"/>
        </w:rPr>
        <w:t>]</w:t>
      </w:r>
      <w:r w:rsidRPr="00E341D3">
        <w:rPr>
          <w:rFonts w:ascii="Book Antiqua" w:eastAsiaTheme="minorEastAsia" w:hAnsi="Book Antiqua" w:cs="Times"/>
          <w:kern w:val="0"/>
          <w:sz w:val="24"/>
          <w:szCs w:val="24"/>
        </w:rPr>
        <w:t>). Thus, antiplatelet therapy and PPI cotherapy should be resumed immediately after the successful endoscopic control of ulcer bleeding to avoid further ischemic events.</w:t>
      </w:r>
    </w:p>
    <w:p w14:paraId="72084B45" w14:textId="77777777" w:rsidR="00AA4748" w:rsidRPr="00E341D3" w:rsidRDefault="00AA4748" w:rsidP="00B514F1">
      <w:pPr>
        <w:widowControl/>
        <w:autoSpaceDE w:val="0"/>
        <w:autoSpaceDN w:val="0"/>
        <w:adjustRightInd w:val="0"/>
        <w:spacing w:line="360" w:lineRule="auto"/>
        <w:rPr>
          <w:rFonts w:ascii="Book Antiqua" w:eastAsiaTheme="minorEastAsia" w:hAnsi="Book Antiqua" w:cs="Times"/>
          <w:kern w:val="0"/>
          <w:sz w:val="24"/>
          <w:szCs w:val="24"/>
        </w:rPr>
      </w:pPr>
    </w:p>
    <w:p w14:paraId="6B55421C" w14:textId="6326AA01" w:rsidR="00342BFA" w:rsidRPr="00E341D3" w:rsidRDefault="00B514F1" w:rsidP="00B514F1">
      <w:pPr>
        <w:pStyle w:val="Footer"/>
        <w:tabs>
          <w:tab w:val="clear" w:pos="4252"/>
          <w:tab w:val="clear" w:pos="8504"/>
        </w:tabs>
        <w:snapToGrid/>
        <w:spacing w:line="360" w:lineRule="auto"/>
        <w:rPr>
          <w:rFonts w:ascii="Book Antiqua" w:eastAsia="MS Gothic" w:hAnsi="Book Antiqua"/>
          <w:b/>
        </w:rPr>
      </w:pPr>
      <w:r w:rsidRPr="00E341D3">
        <w:rPr>
          <w:rFonts w:ascii="Book Antiqua" w:eastAsia="MS Gothic" w:hAnsi="Book Antiqua"/>
          <w:b/>
        </w:rPr>
        <w:t>PREVENTION OF GIB IN PATIENTS RECEIVING ANTIPLATELET THERAPY</w:t>
      </w:r>
    </w:p>
    <w:p w14:paraId="53738FCC" w14:textId="77777777" w:rsidR="00B514F1" w:rsidRPr="00E341D3" w:rsidRDefault="00342BFA" w:rsidP="00B514F1">
      <w:pPr>
        <w:widowControl/>
        <w:autoSpaceDE w:val="0"/>
        <w:autoSpaceDN w:val="0"/>
        <w:adjustRightInd w:val="0"/>
        <w:spacing w:line="360" w:lineRule="auto"/>
        <w:rPr>
          <w:rFonts w:ascii="Book Antiqua" w:eastAsia="宋体" w:hAnsi="Book Antiqua"/>
          <w:b/>
          <w:i/>
          <w:sz w:val="24"/>
          <w:szCs w:val="24"/>
          <w:lang w:eastAsia="zh-CN"/>
        </w:rPr>
      </w:pPr>
      <w:r w:rsidRPr="00E341D3">
        <w:rPr>
          <w:rFonts w:ascii="Book Antiqua" w:eastAsia="MS Gothic" w:hAnsi="Book Antiqua"/>
          <w:b/>
          <w:i/>
          <w:sz w:val="24"/>
          <w:szCs w:val="24"/>
        </w:rPr>
        <w:t xml:space="preserve">Optimal duration and </w:t>
      </w:r>
      <w:r w:rsidR="00B514F1" w:rsidRPr="00E341D3">
        <w:rPr>
          <w:rFonts w:ascii="Book Antiqua" w:eastAsia="MS Gothic" w:hAnsi="Book Antiqua"/>
          <w:b/>
          <w:i/>
          <w:sz w:val="24"/>
          <w:szCs w:val="24"/>
        </w:rPr>
        <w:t>dosage of antiplatelet therapy</w:t>
      </w:r>
    </w:p>
    <w:p w14:paraId="40D612F9" w14:textId="3DB0B3D2" w:rsidR="00342BFA" w:rsidRPr="00E341D3" w:rsidRDefault="00342BFA" w:rsidP="00B514F1">
      <w:pPr>
        <w:widowControl/>
        <w:autoSpaceDE w:val="0"/>
        <w:autoSpaceDN w:val="0"/>
        <w:adjustRightInd w:val="0"/>
        <w:spacing w:line="360" w:lineRule="auto"/>
        <w:rPr>
          <w:rFonts w:ascii="Book Antiqua" w:eastAsiaTheme="minorEastAsia" w:hAnsi="Book Antiqua"/>
          <w:kern w:val="0"/>
          <w:sz w:val="24"/>
          <w:szCs w:val="24"/>
        </w:rPr>
      </w:pPr>
      <w:r w:rsidRPr="00E341D3">
        <w:rPr>
          <w:rFonts w:ascii="Book Antiqua" w:eastAsia="ＤＦＰ教科書体W3" w:hAnsi="Book Antiqua"/>
          <w:sz w:val="24"/>
          <w:szCs w:val="24"/>
        </w:rPr>
        <w:t>Risks of GIB increase with the use of multiple antiplatelet or anticoagulant agents and an increase in the duration of medication use.</w:t>
      </w:r>
      <w:r w:rsidRPr="00E341D3">
        <w:rPr>
          <w:rFonts w:ascii="Book Antiqua" w:hAnsi="Book Antiqua"/>
          <w:kern w:val="0"/>
          <w:sz w:val="24"/>
          <w:szCs w:val="24"/>
        </w:rPr>
        <w:t xml:space="preserve"> </w:t>
      </w:r>
      <w:r w:rsidRPr="00E341D3">
        <w:rPr>
          <w:rFonts w:ascii="Book Antiqua" w:eastAsiaTheme="minorEastAsia" w:hAnsi="Book Antiqua"/>
          <w:kern w:val="0"/>
          <w:sz w:val="24"/>
          <w:szCs w:val="24"/>
        </w:rPr>
        <w:t xml:space="preserve">The optimal duration of antiplatelet therapy after PCI is unclear when thrombotic and bleeding risks are both taken into consideration. Although the current guidelines recommend that </w:t>
      </w:r>
      <w:r w:rsidRPr="00E341D3">
        <w:rPr>
          <w:rFonts w:ascii="Book Antiqua" w:hAnsi="Book Antiqua" w:cs="AdvTTc9c3bd71"/>
          <w:kern w:val="0"/>
          <w:sz w:val="24"/>
          <w:szCs w:val="24"/>
        </w:rPr>
        <w:t>DAPT</w:t>
      </w:r>
      <w:r w:rsidRPr="00E341D3">
        <w:rPr>
          <w:rFonts w:ascii="Book Antiqua" w:hAnsi="Book Antiqua" w:cs="HelveticaNeue-Condensed"/>
          <w:kern w:val="0"/>
          <w:sz w:val="24"/>
          <w:szCs w:val="24"/>
        </w:rPr>
        <w:t xml:space="preserve"> should be continued for at least 12 mo</w:t>
      </w:r>
      <w:r w:rsidRPr="00E341D3">
        <w:rPr>
          <w:rFonts w:ascii="Book Antiqua" w:hAnsi="Book Antiqua"/>
          <w:sz w:val="24"/>
          <w:szCs w:val="24"/>
        </w:rPr>
        <w:t xml:space="preserve"> in patients </w:t>
      </w:r>
      <w:r w:rsidRPr="00E341D3">
        <w:rPr>
          <w:rFonts w:ascii="Book Antiqua" w:hAnsi="Book Antiqua" w:cs="HelveticaNeue-Condensed"/>
          <w:kern w:val="0"/>
          <w:sz w:val="24"/>
          <w:szCs w:val="24"/>
        </w:rPr>
        <w:t>receiving DESs during PCI for ACS</w:t>
      </w:r>
      <w:r w:rsidRPr="00E341D3">
        <w:rPr>
          <w:rFonts w:ascii="Book Antiqua" w:eastAsiaTheme="minorEastAsia" w:hAnsi="Book Antiqua"/>
          <w:kern w:val="0"/>
          <w:sz w:val="24"/>
          <w:szCs w:val="24"/>
        </w:rPr>
        <w:t>, the long-term use of DAPT is associated with a higher rate of bleeding events</w:t>
      </w:r>
      <w:r w:rsidR="00BF5D4D" w:rsidRPr="00E341D3">
        <w:rPr>
          <w:rFonts w:ascii="Book Antiqua" w:eastAsiaTheme="minorEastAsia" w:hAnsi="Book Antiqua"/>
          <w:kern w:val="0"/>
          <w:sz w:val="24"/>
          <w:szCs w:val="24"/>
          <w:vertAlign w:val="superscript"/>
        </w:rPr>
        <w:t>[</w:t>
      </w:r>
      <w:r w:rsidR="002F58F5" w:rsidRPr="00E341D3">
        <w:rPr>
          <w:rFonts w:ascii="Book Antiqua" w:eastAsiaTheme="minorEastAsia" w:hAnsi="Book Antiqua"/>
          <w:kern w:val="0"/>
          <w:sz w:val="24"/>
          <w:szCs w:val="24"/>
          <w:vertAlign w:val="superscript"/>
        </w:rPr>
        <w:t>40</w:t>
      </w:r>
      <w:r w:rsidR="00BF5D4D" w:rsidRPr="00E341D3">
        <w:rPr>
          <w:rFonts w:ascii="Book Antiqua" w:eastAsiaTheme="minorEastAsia" w:hAnsi="Book Antiqua"/>
          <w:kern w:val="0"/>
          <w:sz w:val="24"/>
          <w:szCs w:val="24"/>
          <w:vertAlign w:val="superscript"/>
        </w:rPr>
        <w:t>]</w:t>
      </w:r>
      <w:r w:rsidRPr="00E341D3">
        <w:rPr>
          <w:rFonts w:ascii="Book Antiqua" w:eastAsiaTheme="minorEastAsia" w:hAnsi="Book Antiqua"/>
          <w:kern w:val="0"/>
          <w:sz w:val="24"/>
          <w:szCs w:val="24"/>
        </w:rPr>
        <w:t xml:space="preserve">. </w:t>
      </w:r>
      <w:r w:rsidRPr="00E341D3">
        <w:rPr>
          <w:rFonts w:ascii="Book Antiqua" w:eastAsiaTheme="minorEastAsia" w:hAnsi="Book Antiqua" w:cs="Times"/>
          <w:kern w:val="0"/>
          <w:sz w:val="24"/>
          <w:szCs w:val="24"/>
        </w:rPr>
        <w:t xml:space="preserve">These </w:t>
      </w:r>
      <w:r w:rsidRPr="00E341D3">
        <w:rPr>
          <w:rFonts w:ascii="Book Antiqua" w:eastAsiaTheme="minorEastAsia" w:hAnsi="Book Antiqua"/>
          <w:kern w:val="0"/>
          <w:sz w:val="24"/>
          <w:szCs w:val="24"/>
        </w:rPr>
        <w:t>guidelines are</w:t>
      </w:r>
      <w:r w:rsidRPr="00E341D3">
        <w:rPr>
          <w:rFonts w:ascii="Book Antiqua" w:eastAsiaTheme="minorEastAsia" w:hAnsi="Book Antiqua" w:cs="Times"/>
          <w:kern w:val="0"/>
          <w:sz w:val="24"/>
          <w:szCs w:val="24"/>
        </w:rPr>
        <w:t xml:space="preserve"> based on outcomes using first-generation DESs.</w:t>
      </w:r>
      <w:r w:rsidRPr="00E341D3">
        <w:rPr>
          <w:rFonts w:ascii="Book Antiqua" w:hAnsi="Book Antiqua" w:cs="ACaslon-Regular"/>
          <w:kern w:val="0"/>
          <w:sz w:val="24"/>
          <w:szCs w:val="24"/>
        </w:rPr>
        <w:t xml:space="preserve"> Second-generation DESs, such as everolimus-eluting stents </w:t>
      </w:r>
      <w:r w:rsidRPr="00E341D3">
        <w:rPr>
          <w:rFonts w:ascii="Book Antiqua" w:eastAsiaTheme="minorEastAsia" w:hAnsi="Book Antiqua"/>
          <w:kern w:val="0"/>
          <w:sz w:val="24"/>
          <w:szCs w:val="24"/>
        </w:rPr>
        <w:t xml:space="preserve">and zotarolimus-eluting stents, </w:t>
      </w:r>
      <w:r w:rsidRPr="00E341D3">
        <w:rPr>
          <w:rFonts w:ascii="Book Antiqua" w:eastAsia="MS Gothic" w:hAnsi="Book Antiqua"/>
          <w:sz w:val="24"/>
          <w:szCs w:val="24"/>
        </w:rPr>
        <w:t>are now increasingly being used.</w:t>
      </w:r>
      <w:r w:rsidRPr="00E341D3">
        <w:rPr>
          <w:rFonts w:ascii="Book Antiqua" w:eastAsiaTheme="minorEastAsia" w:hAnsi="Book Antiqua"/>
          <w:kern w:val="0"/>
          <w:sz w:val="24"/>
          <w:szCs w:val="24"/>
        </w:rPr>
        <w:t xml:space="preserve"> Compared with first-generation DESs, second-generation DESs have equal or superior antirestenotic effects and lower stent thrombosis rates. Several studies have assessed the safety of a shorter duration of P2Y</w:t>
      </w:r>
      <w:r w:rsidRPr="00E341D3">
        <w:rPr>
          <w:rFonts w:ascii="Book Antiqua" w:eastAsiaTheme="minorEastAsia" w:hAnsi="Book Antiqua"/>
          <w:kern w:val="0"/>
          <w:sz w:val="24"/>
          <w:szCs w:val="24"/>
          <w:vertAlign w:val="subscript"/>
        </w:rPr>
        <w:t>12</w:t>
      </w:r>
      <w:r w:rsidRPr="00E341D3">
        <w:rPr>
          <w:rFonts w:ascii="Book Antiqua" w:eastAsiaTheme="minorEastAsia" w:hAnsi="Book Antiqua"/>
          <w:kern w:val="0"/>
          <w:sz w:val="24"/>
          <w:szCs w:val="24"/>
        </w:rPr>
        <w:t xml:space="preserve"> inhibitor administration with second-generation DES use. A retrospective study reported that clopidogrel discontinuation before 1 year of therapy was associated with higher rates of stent thrombosis events for first-generation DESs but no</w:t>
      </w:r>
      <w:r w:rsidR="00B514F1" w:rsidRPr="00E341D3">
        <w:rPr>
          <w:rFonts w:ascii="Book Antiqua" w:eastAsiaTheme="minorEastAsia" w:hAnsi="Book Antiqua"/>
          <w:kern w:val="0"/>
          <w:sz w:val="24"/>
          <w:szCs w:val="24"/>
        </w:rPr>
        <w:t>t for everolimus-eluting stents</w:t>
      </w:r>
      <w:r w:rsidR="00BF5D4D" w:rsidRPr="00E341D3">
        <w:rPr>
          <w:rFonts w:ascii="Book Antiqua" w:eastAsiaTheme="minorEastAsia" w:hAnsi="Book Antiqua"/>
          <w:kern w:val="0"/>
          <w:sz w:val="24"/>
          <w:szCs w:val="24"/>
          <w:vertAlign w:val="superscript"/>
        </w:rPr>
        <w:t>[</w:t>
      </w:r>
      <w:r w:rsidR="002F58F5" w:rsidRPr="00E341D3">
        <w:rPr>
          <w:rFonts w:ascii="Book Antiqua" w:eastAsiaTheme="minorEastAsia" w:hAnsi="Book Antiqua"/>
          <w:kern w:val="0"/>
          <w:sz w:val="24"/>
          <w:szCs w:val="24"/>
          <w:vertAlign w:val="superscript"/>
        </w:rPr>
        <w:t>41</w:t>
      </w:r>
      <w:r w:rsidR="00BF5D4D" w:rsidRPr="00E341D3">
        <w:rPr>
          <w:rFonts w:ascii="Book Antiqua" w:eastAsiaTheme="minorEastAsia" w:hAnsi="Book Antiqua"/>
          <w:kern w:val="0"/>
          <w:sz w:val="24"/>
          <w:szCs w:val="24"/>
          <w:vertAlign w:val="superscript"/>
        </w:rPr>
        <w:t>]</w:t>
      </w:r>
      <w:r w:rsidRPr="00E341D3">
        <w:rPr>
          <w:rFonts w:ascii="Book Antiqua" w:eastAsiaTheme="minorEastAsia" w:hAnsi="Book Antiqua"/>
          <w:kern w:val="0"/>
          <w:sz w:val="24"/>
          <w:szCs w:val="24"/>
        </w:rPr>
        <w:t>. The Optimized Duration of Clopidogrel Therapy Following Treatment With the Zotarolimus-Eluting Stent in Real-World Clinical Practice (OPTIMIZE) trial showed that in patients undergoing PCI with zotarolimus-eluting stent implantation, short-term (3 mo) DAPT was noninferior to long-term (12 mo) DAPT for the occurrence of death, MI, and stroke, without significantly increasi</w:t>
      </w:r>
      <w:r w:rsidR="00B514F1" w:rsidRPr="00E341D3">
        <w:rPr>
          <w:rFonts w:ascii="Book Antiqua" w:eastAsiaTheme="minorEastAsia" w:hAnsi="Book Antiqua"/>
          <w:kern w:val="0"/>
          <w:sz w:val="24"/>
          <w:szCs w:val="24"/>
        </w:rPr>
        <w:t>ng the risk of stent thrombosis</w:t>
      </w:r>
      <w:r w:rsidR="00BF5D4D" w:rsidRPr="00E341D3">
        <w:rPr>
          <w:rFonts w:ascii="Book Antiqua" w:eastAsiaTheme="minorEastAsia" w:hAnsi="Book Antiqua"/>
          <w:kern w:val="0"/>
          <w:sz w:val="24"/>
          <w:szCs w:val="24"/>
          <w:vertAlign w:val="superscript"/>
        </w:rPr>
        <w:t>[</w:t>
      </w:r>
      <w:r w:rsidR="002F58F5" w:rsidRPr="00E341D3">
        <w:rPr>
          <w:rFonts w:ascii="Book Antiqua" w:eastAsiaTheme="minorEastAsia" w:hAnsi="Book Antiqua"/>
          <w:kern w:val="0"/>
          <w:sz w:val="24"/>
          <w:szCs w:val="24"/>
          <w:vertAlign w:val="superscript"/>
        </w:rPr>
        <w:t>42</w:t>
      </w:r>
      <w:r w:rsidR="00BF5D4D" w:rsidRPr="00E341D3">
        <w:rPr>
          <w:rFonts w:ascii="Book Antiqua" w:eastAsiaTheme="minorEastAsia" w:hAnsi="Book Antiqua"/>
          <w:kern w:val="0"/>
          <w:sz w:val="24"/>
          <w:szCs w:val="24"/>
          <w:vertAlign w:val="superscript"/>
        </w:rPr>
        <w:t>]</w:t>
      </w:r>
      <w:r w:rsidRPr="00E341D3">
        <w:rPr>
          <w:rFonts w:ascii="Book Antiqua" w:eastAsiaTheme="minorEastAsia" w:hAnsi="Book Antiqua"/>
          <w:kern w:val="0"/>
          <w:sz w:val="24"/>
          <w:szCs w:val="24"/>
        </w:rPr>
        <w:t>. Accordingly, DAPT duration could be potentially tailored to the type of stent used.</w:t>
      </w:r>
    </w:p>
    <w:p w14:paraId="6FA2BC63" w14:textId="04450EF3" w:rsidR="00342BFA" w:rsidRPr="00E341D3" w:rsidRDefault="00342BFA" w:rsidP="00B514F1">
      <w:pPr>
        <w:widowControl/>
        <w:autoSpaceDE w:val="0"/>
        <w:autoSpaceDN w:val="0"/>
        <w:adjustRightInd w:val="0"/>
        <w:spacing w:line="360" w:lineRule="auto"/>
        <w:ind w:firstLineChars="100" w:firstLine="240"/>
        <w:rPr>
          <w:rFonts w:ascii="Book Antiqua" w:hAnsi="Book Antiqua" w:cs="ACaslon-Regular"/>
          <w:sz w:val="24"/>
          <w:szCs w:val="24"/>
        </w:rPr>
      </w:pPr>
      <w:r w:rsidRPr="00E341D3">
        <w:rPr>
          <w:rFonts w:ascii="Book Antiqua" w:hAnsi="Book Antiqua"/>
          <w:sz w:val="24"/>
          <w:szCs w:val="24"/>
        </w:rPr>
        <w:t xml:space="preserve">Prasugrel is a third-generation thienopyridine that provides more prompt, potent, and consistent platelet inhibition than does clopidogrel. </w:t>
      </w:r>
      <w:r w:rsidRPr="00E341D3">
        <w:rPr>
          <w:rFonts w:ascii="Book Antiqua" w:hAnsi="Book Antiqua"/>
          <w:bCs/>
          <w:sz w:val="24"/>
          <w:szCs w:val="24"/>
        </w:rPr>
        <w:t xml:space="preserve">The </w:t>
      </w:r>
      <w:r w:rsidRPr="00E341D3">
        <w:rPr>
          <w:rFonts w:ascii="Book Antiqua" w:eastAsiaTheme="minorEastAsia" w:hAnsi="Book Antiqua" w:cs="Arial"/>
          <w:bCs/>
          <w:kern w:val="0"/>
          <w:sz w:val="24"/>
          <w:szCs w:val="24"/>
        </w:rPr>
        <w:t>Trial to Assess Improvement in Therapeutic Outcomes by Optimizing Platelet Inhibit</w:t>
      </w:r>
      <w:r w:rsidR="00B514F1" w:rsidRPr="00E341D3">
        <w:rPr>
          <w:rFonts w:ascii="Book Antiqua" w:eastAsiaTheme="minorEastAsia" w:hAnsi="Book Antiqua" w:cs="Arial"/>
          <w:bCs/>
          <w:kern w:val="0"/>
          <w:sz w:val="24"/>
          <w:szCs w:val="24"/>
        </w:rPr>
        <w:t>ion With Prasugrel-Thrombolysis</w:t>
      </w:r>
      <w:r w:rsidR="00B514F1" w:rsidRPr="00E341D3">
        <w:rPr>
          <w:rFonts w:ascii="Book Antiqua" w:eastAsia="宋体" w:hAnsi="Book Antiqua" w:cs="Arial" w:hint="eastAsia"/>
          <w:bCs/>
          <w:kern w:val="0"/>
          <w:sz w:val="24"/>
          <w:szCs w:val="24"/>
          <w:lang w:eastAsia="zh-CN"/>
        </w:rPr>
        <w:t xml:space="preserve"> </w:t>
      </w:r>
      <w:r w:rsidRPr="00E341D3">
        <w:rPr>
          <w:rFonts w:ascii="Book Antiqua" w:eastAsiaTheme="minorEastAsia" w:hAnsi="Book Antiqua" w:cs="Arial"/>
          <w:bCs/>
          <w:kern w:val="0"/>
          <w:sz w:val="24"/>
          <w:szCs w:val="24"/>
        </w:rPr>
        <w:t>In Myocardial Infarction 38 (</w:t>
      </w:r>
      <w:r w:rsidRPr="00E341D3">
        <w:rPr>
          <w:rFonts w:ascii="Book Antiqua" w:hAnsi="Book Antiqua"/>
          <w:bCs/>
          <w:sz w:val="24"/>
          <w:szCs w:val="24"/>
        </w:rPr>
        <w:t>TRITON-TIMI 38) trial</w:t>
      </w:r>
      <w:r w:rsidRPr="00E341D3">
        <w:rPr>
          <w:rFonts w:ascii="Book Antiqua" w:hAnsi="Book Antiqua"/>
          <w:sz w:val="24"/>
          <w:szCs w:val="24"/>
        </w:rPr>
        <w:t xml:space="preserve"> demonstrated that prasugrel use (10 mg/d) resulted in significantly fewer ischemic events</w:t>
      </w:r>
      <w:r w:rsidR="00BF5D4D" w:rsidRPr="00E341D3">
        <w:rPr>
          <w:rFonts w:ascii="Book Antiqua" w:hAnsi="Book Antiqua"/>
          <w:sz w:val="24"/>
          <w:szCs w:val="24"/>
          <w:vertAlign w:val="superscript"/>
        </w:rPr>
        <w:t>[</w:t>
      </w:r>
      <w:r w:rsidR="002F58F5" w:rsidRPr="00E341D3">
        <w:rPr>
          <w:rFonts w:ascii="Book Antiqua" w:hAnsi="Book Antiqua"/>
          <w:sz w:val="24"/>
          <w:szCs w:val="24"/>
          <w:vertAlign w:val="superscript"/>
        </w:rPr>
        <w:t>43</w:t>
      </w:r>
      <w:r w:rsidR="00BF5D4D" w:rsidRPr="00E341D3">
        <w:rPr>
          <w:rFonts w:ascii="Book Antiqua" w:hAnsi="Book Antiqua"/>
          <w:sz w:val="24"/>
          <w:szCs w:val="24"/>
          <w:vertAlign w:val="superscript"/>
        </w:rPr>
        <w:t>]</w:t>
      </w:r>
      <w:r w:rsidRPr="00E341D3">
        <w:rPr>
          <w:rFonts w:ascii="Book Antiqua" w:hAnsi="Book Antiqua"/>
          <w:sz w:val="24"/>
          <w:szCs w:val="24"/>
        </w:rPr>
        <w:t>; however, a higher incidence of bleeding was observed with prasugrel use than with clopidogrel use</w:t>
      </w:r>
      <w:r w:rsidRPr="00E341D3">
        <w:rPr>
          <w:rFonts w:ascii="Book Antiqua" w:hAnsi="Book Antiqua"/>
          <w:bCs/>
          <w:sz w:val="24"/>
          <w:szCs w:val="24"/>
        </w:rPr>
        <w:t xml:space="preserve"> </w:t>
      </w:r>
      <w:r w:rsidRPr="00E341D3">
        <w:rPr>
          <w:rFonts w:ascii="Book Antiqua" w:hAnsi="Book Antiqua"/>
          <w:sz w:val="24"/>
          <w:szCs w:val="24"/>
        </w:rPr>
        <w:t xml:space="preserve">in ACS patients undergoing PCI. Recently, the </w:t>
      </w:r>
      <w:r w:rsidRPr="00E341D3">
        <w:rPr>
          <w:rFonts w:ascii="Book Antiqua" w:eastAsiaTheme="minorEastAsia" w:hAnsi="Book Antiqua"/>
          <w:bCs/>
          <w:kern w:val="0"/>
          <w:sz w:val="24"/>
          <w:szCs w:val="24"/>
        </w:rPr>
        <w:t>PRASugrel compared with clopidogrel For Japanese patIenTs with ACS undergoing PCI</w:t>
      </w:r>
      <w:r w:rsidRPr="00E341D3">
        <w:rPr>
          <w:rFonts w:ascii="Book Antiqua" w:hAnsi="Book Antiqua"/>
          <w:sz w:val="24"/>
          <w:szCs w:val="24"/>
        </w:rPr>
        <w:t xml:space="preserve"> (PRASFIT-ACS) study in Japanese ACS patients undergoing PCI showed that a lower dose of prasugrel (3.75 mg/d) was associated with a low incidence of ischemic events, which is similar to the results of the TRITON-TIMI 38 trial, and with a low risk of clinically </w:t>
      </w:r>
      <w:r w:rsidR="00B514F1" w:rsidRPr="00E341D3">
        <w:rPr>
          <w:rFonts w:ascii="Book Antiqua" w:hAnsi="Book Antiqua"/>
          <w:sz w:val="24"/>
          <w:szCs w:val="24"/>
        </w:rPr>
        <w:t>serious bleeding</w:t>
      </w:r>
      <w:r w:rsidR="00BF5D4D" w:rsidRPr="00E341D3">
        <w:rPr>
          <w:rFonts w:ascii="Book Antiqua" w:hAnsi="Book Antiqua"/>
          <w:sz w:val="24"/>
          <w:szCs w:val="24"/>
          <w:vertAlign w:val="superscript"/>
        </w:rPr>
        <w:t>[</w:t>
      </w:r>
      <w:r w:rsidR="002F58F5" w:rsidRPr="00E341D3">
        <w:rPr>
          <w:rFonts w:ascii="Book Antiqua" w:hAnsi="Book Antiqua"/>
          <w:sz w:val="24"/>
          <w:szCs w:val="24"/>
          <w:vertAlign w:val="superscript"/>
        </w:rPr>
        <w:t>44</w:t>
      </w:r>
      <w:r w:rsidR="00BF5D4D" w:rsidRPr="00E341D3">
        <w:rPr>
          <w:rFonts w:ascii="Book Antiqua" w:hAnsi="Book Antiqua"/>
          <w:sz w:val="24"/>
          <w:szCs w:val="24"/>
          <w:vertAlign w:val="superscript"/>
        </w:rPr>
        <w:t>]</w:t>
      </w:r>
      <w:r w:rsidRPr="00E341D3">
        <w:rPr>
          <w:rFonts w:ascii="Book Antiqua" w:hAnsi="Book Antiqua"/>
          <w:sz w:val="24"/>
          <w:szCs w:val="24"/>
        </w:rPr>
        <w:t>. In particular, interethnic differences should be taken into consideration in the management of patients receiving DAPT.</w:t>
      </w:r>
    </w:p>
    <w:p w14:paraId="51220B50" w14:textId="4828B4F6" w:rsidR="00342BFA" w:rsidRPr="00E341D3" w:rsidRDefault="00342BFA" w:rsidP="00B514F1">
      <w:pPr>
        <w:widowControl/>
        <w:autoSpaceDE w:val="0"/>
        <w:autoSpaceDN w:val="0"/>
        <w:adjustRightInd w:val="0"/>
        <w:spacing w:line="360" w:lineRule="auto"/>
        <w:ind w:firstLineChars="100" w:firstLine="240"/>
        <w:rPr>
          <w:rFonts w:ascii="Book Antiqua" w:eastAsia="宋体" w:hAnsi="Book Antiqua"/>
          <w:kern w:val="0"/>
          <w:sz w:val="24"/>
          <w:szCs w:val="24"/>
          <w:lang w:eastAsia="zh-CN"/>
        </w:rPr>
      </w:pPr>
      <w:r w:rsidRPr="00E341D3">
        <w:rPr>
          <w:rFonts w:ascii="Book Antiqua" w:eastAsiaTheme="minorEastAsia" w:hAnsi="Book Antiqua"/>
          <w:kern w:val="0"/>
          <w:sz w:val="24"/>
          <w:szCs w:val="24"/>
        </w:rPr>
        <w:t>If PCI is required in patients taking oral anticoagulants, DAPT with aspirin and clopidogrel is indicated, but such triple therapy increas</w:t>
      </w:r>
      <w:r w:rsidR="00B514F1" w:rsidRPr="00E341D3">
        <w:rPr>
          <w:rFonts w:ascii="Book Antiqua" w:eastAsiaTheme="minorEastAsia" w:hAnsi="Book Antiqua"/>
          <w:kern w:val="0"/>
          <w:sz w:val="24"/>
          <w:szCs w:val="24"/>
        </w:rPr>
        <w:t>es the risk of serious bleeding</w:t>
      </w:r>
      <w:r w:rsidR="00BF5D4D" w:rsidRPr="00E341D3">
        <w:rPr>
          <w:rFonts w:ascii="Book Antiqua" w:eastAsiaTheme="minorEastAsia" w:hAnsi="Book Antiqua"/>
          <w:kern w:val="0"/>
          <w:sz w:val="24"/>
          <w:szCs w:val="24"/>
          <w:vertAlign w:val="superscript"/>
        </w:rPr>
        <w:t>[</w:t>
      </w:r>
      <w:r w:rsidR="002F58F5" w:rsidRPr="00E341D3">
        <w:rPr>
          <w:rFonts w:ascii="Book Antiqua" w:eastAsiaTheme="minorEastAsia" w:hAnsi="Book Antiqua"/>
          <w:kern w:val="0"/>
          <w:sz w:val="24"/>
          <w:szCs w:val="24"/>
          <w:vertAlign w:val="superscript"/>
        </w:rPr>
        <w:t>27</w:t>
      </w:r>
      <w:r w:rsidR="00BF5D4D" w:rsidRPr="00E341D3">
        <w:rPr>
          <w:rFonts w:ascii="Book Antiqua" w:eastAsiaTheme="minorEastAsia" w:hAnsi="Book Antiqua"/>
          <w:kern w:val="0"/>
          <w:sz w:val="24"/>
          <w:szCs w:val="24"/>
          <w:vertAlign w:val="superscript"/>
        </w:rPr>
        <w:t>]</w:t>
      </w:r>
      <w:r w:rsidRPr="00E341D3">
        <w:rPr>
          <w:rFonts w:ascii="Book Antiqua" w:eastAsiaTheme="minorEastAsia" w:hAnsi="Book Antiqua"/>
          <w:kern w:val="0"/>
          <w:sz w:val="24"/>
          <w:szCs w:val="24"/>
        </w:rPr>
        <w:t>. Omission of aspirin may be advantageous in such patients. Recently, the What is the Optimal antiplatElet and anticoagulant therapy in patients with oral anticoagulation and coronary StenTing</w:t>
      </w:r>
      <w:r w:rsidRPr="00E341D3">
        <w:rPr>
          <w:rFonts w:ascii="Book Antiqua" w:eastAsia="MS Gothic" w:hAnsi="Book Antiqua"/>
          <w:sz w:val="24"/>
          <w:szCs w:val="24"/>
        </w:rPr>
        <w:t xml:space="preserve"> (WOEST)</w:t>
      </w:r>
      <w:r w:rsidRPr="00E341D3">
        <w:rPr>
          <w:rFonts w:ascii="Book Antiqua" w:eastAsiaTheme="minorEastAsia" w:hAnsi="Book Antiqua"/>
          <w:kern w:val="0"/>
          <w:sz w:val="24"/>
          <w:szCs w:val="24"/>
        </w:rPr>
        <w:t xml:space="preserve"> trial reported that the use of clopidogrel without aspirin was associated with a significant decrease in bleedi</w:t>
      </w:r>
      <w:r w:rsidR="00B514F1" w:rsidRPr="00E341D3">
        <w:rPr>
          <w:rFonts w:ascii="Book Antiqua" w:eastAsiaTheme="minorEastAsia" w:hAnsi="Book Antiqua"/>
          <w:kern w:val="0"/>
          <w:sz w:val="24"/>
          <w:szCs w:val="24"/>
        </w:rPr>
        <w:t xml:space="preserve">ng complications (2.9% </w:t>
      </w:r>
      <w:r w:rsidR="00B514F1" w:rsidRPr="00E341D3">
        <w:rPr>
          <w:rFonts w:ascii="Book Antiqua" w:eastAsiaTheme="minorEastAsia" w:hAnsi="Book Antiqua"/>
          <w:i/>
          <w:kern w:val="0"/>
          <w:sz w:val="24"/>
          <w:szCs w:val="24"/>
        </w:rPr>
        <w:t>vs</w:t>
      </w:r>
      <w:r w:rsidR="002F58F5" w:rsidRPr="00E341D3">
        <w:rPr>
          <w:rFonts w:ascii="Book Antiqua" w:eastAsiaTheme="minorEastAsia" w:hAnsi="Book Antiqua"/>
          <w:kern w:val="0"/>
          <w:sz w:val="24"/>
          <w:szCs w:val="24"/>
        </w:rPr>
        <w:t xml:space="preserve"> 8.8%</w:t>
      </w:r>
      <w:r w:rsidRPr="00E341D3">
        <w:rPr>
          <w:rFonts w:ascii="Book Antiqua" w:eastAsiaTheme="minorEastAsia" w:hAnsi="Book Antiqua"/>
          <w:kern w:val="0"/>
          <w:sz w:val="24"/>
          <w:szCs w:val="24"/>
        </w:rPr>
        <w:t>) without an increase in the rate of thrombotic events</w:t>
      </w:r>
      <w:r w:rsidR="00BF5D4D" w:rsidRPr="00E341D3">
        <w:rPr>
          <w:rFonts w:ascii="Book Antiqua" w:eastAsia="MS Gothic" w:hAnsi="Book Antiqua"/>
          <w:sz w:val="24"/>
          <w:szCs w:val="24"/>
          <w:vertAlign w:val="superscript"/>
        </w:rPr>
        <w:t>[</w:t>
      </w:r>
      <w:r w:rsidR="002F58F5" w:rsidRPr="00E341D3">
        <w:rPr>
          <w:rFonts w:ascii="Book Antiqua" w:eastAsia="MS Gothic" w:hAnsi="Book Antiqua"/>
          <w:sz w:val="24"/>
          <w:szCs w:val="24"/>
          <w:vertAlign w:val="superscript"/>
        </w:rPr>
        <w:t>45</w:t>
      </w:r>
      <w:r w:rsidR="00BF5D4D" w:rsidRPr="00E341D3">
        <w:rPr>
          <w:rFonts w:ascii="Book Antiqua" w:eastAsia="MS Gothic" w:hAnsi="Book Antiqua"/>
          <w:sz w:val="24"/>
          <w:szCs w:val="24"/>
          <w:vertAlign w:val="superscript"/>
        </w:rPr>
        <w:t>]</w:t>
      </w:r>
      <w:r w:rsidRPr="00E341D3">
        <w:rPr>
          <w:rFonts w:ascii="Book Antiqua" w:eastAsiaTheme="minorEastAsia" w:hAnsi="Book Antiqua"/>
          <w:kern w:val="0"/>
          <w:sz w:val="24"/>
          <w:szCs w:val="24"/>
        </w:rPr>
        <w:t>. Therefore, triple therapy may be discouraged in such patients with an indication for oral anticoagulants after PCI.</w:t>
      </w:r>
    </w:p>
    <w:p w14:paraId="5CB32000" w14:textId="77777777" w:rsidR="00B514F1" w:rsidRPr="00E341D3" w:rsidRDefault="00B514F1" w:rsidP="00B514F1">
      <w:pPr>
        <w:widowControl/>
        <w:autoSpaceDE w:val="0"/>
        <w:autoSpaceDN w:val="0"/>
        <w:adjustRightInd w:val="0"/>
        <w:spacing w:line="360" w:lineRule="auto"/>
        <w:ind w:firstLineChars="100" w:firstLine="240"/>
        <w:rPr>
          <w:rFonts w:ascii="Book Antiqua" w:eastAsia="宋体" w:hAnsi="Book Antiqua"/>
          <w:sz w:val="24"/>
          <w:szCs w:val="24"/>
          <w:lang w:eastAsia="zh-CN"/>
        </w:rPr>
      </w:pPr>
    </w:p>
    <w:p w14:paraId="43BDCB15" w14:textId="77777777" w:rsidR="00B514F1" w:rsidRPr="00E341D3" w:rsidRDefault="00B514F1" w:rsidP="00B514F1">
      <w:pPr>
        <w:pStyle w:val="Footer"/>
        <w:tabs>
          <w:tab w:val="clear" w:pos="4252"/>
          <w:tab w:val="clear" w:pos="8504"/>
        </w:tabs>
        <w:snapToGrid/>
        <w:spacing w:line="360" w:lineRule="auto"/>
        <w:rPr>
          <w:rFonts w:ascii="Book Antiqua" w:eastAsia="宋体" w:hAnsi="Book Antiqua"/>
          <w:b/>
          <w:i/>
          <w:lang w:eastAsia="zh-CN"/>
        </w:rPr>
      </w:pPr>
      <w:r w:rsidRPr="00E341D3">
        <w:rPr>
          <w:rFonts w:ascii="Book Antiqua" w:eastAsia="MS Gothic" w:hAnsi="Book Antiqua"/>
          <w:b/>
          <w:i/>
        </w:rPr>
        <w:t>PPI prophylaxis</w:t>
      </w:r>
    </w:p>
    <w:p w14:paraId="2218E4E4" w14:textId="04B85336" w:rsidR="00342BFA" w:rsidRPr="00E341D3" w:rsidRDefault="00342BFA" w:rsidP="00B514F1">
      <w:pPr>
        <w:pStyle w:val="Footer"/>
        <w:tabs>
          <w:tab w:val="clear" w:pos="4252"/>
          <w:tab w:val="clear" w:pos="8504"/>
        </w:tabs>
        <w:snapToGrid/>
        <w:spacing w:line="360" w:lineRule="auto"/>
        <w:rPr>
          <w:rFonts w:ascii="Book Antiqua" w:eastAsia="宋体" w:hAnsi="Book Antiqua" w:cs="Times"/>
          <w:kern w:val="0"/>
          <w:lang w:eastAsia="zh-CN"/>
        </w:rPr>
      </w:pPr>
      <w:r w:rsidRPr="00E341D3">
        <w:rPr>
          <w:rFonts w:ascii="Book Antiqua" w:hAnsi="Book Antiqua" w:cs="Verdana"/>
          <w:kern w:val="0"/>
        </w:rPr>
        <w:t xml:space="preserve">In patients receiving antiplatelet therapy, the concomitant use of an antisecretory agent is associated with a reduced risk of upper GIB. </w:t>
      </w:r>
      <w:r w:rsidRPr="00E341D3">
        <w:rPr>
          <w:rFonts w:ascii="Book Antiqua" w:hAnsi="Book Antiqua"/>
        </w:rPr>
        <w:t>In particular, PPI use is associated with a substantial decrease in the risk of upper GIB in</w:t>
      </w:r>
      <w:r w:rsidR="00B514F1" w:rsidRPr="00E341D3">
        <w:rPr>
          <w:rFonts w:ascii="Book Antiqua" w:hAnsi="Book Antiqua"/>
        </w:rPr>
        <w:t xml:space="preserve"> both LDA and clopidogrel users</w:t>
      </w:r>
      <w:r w:rsidR="00BF5D4D" w:rsidRPr="00E341D3">
        <w:rPr>
          <w:rFonts w:ascii="Book Antiqua" w:hAnsi="Book Antiqua"/>
          <w:vertAlign w:val="superscript"/>
        </w:rPr>
        <w:t>[</w:t>
      </w:r>
      <w:r w:rsidR="002F58F5" w:rsidRPr="00E341D3">
        <w:rPr>
          <w:rFonts w:ascii="Book Antiqua" w:hAnsi="Book Antiqua"/>
          <w:vertAlign w:val="superscript"/>
        </w:rPr>
        <w:t>46</w:t>
      </w:r>
      <w:r w:rsidR="00BF5D4D" w:rsidRPr="00E341D3">
        <w:rPr>
          <w:rFonts w:ascii="Book Antiqua" w:hAnsi="Book Antiqua"/>
          <w:vertAlign w:val="superscript"/>
        </w:rPr>
        <w:t>]</w:t>
      </w:r>
      <w:r w:rsidRPr="00E341D3">
        <w:rPr>
          <w:rFonts w:ascii="Book Antiqua" w:hAnsi="Book Antiqua"/>
        </w:rPr>
        <w:t>. Moreover, PPIs have been shown to be effective in preventing rebleeding after stabilization of upper GIB, which prevents the pr</w:t>
      </w:r>
      <w:r w:rsidR="00B514F1" w:rsidRPr="00E341D3">
        <w:rPr>
          <w:rFonts w:ascii="Book Antiqua" w:hAnsi="Book Antiqua"/>
        </w:rPr>
        <w:t>emature discontinuation of DAPT</w:t>
      </w:r>
      <w:r w:rsidR="00BF5D4D" w:rsidRPr="00E341D3">
        <w:rPr>
          <w:rFonts w:ascii="Book Antiqua" w:hAnsi="Book Antiqua"/>
          <w:vertAlign w:val="superscript"/>
        </w:rPr>
        <w:t>[</w:t>
      </w:r>
      <w:r w:rsidR="002F58F5" w:rsidRPr="00E341D3">
        <w:rPr>
          <w:rFonts w:ascii="Book Antiqua" w:hAnsi="Book Antiqua"/>
          <w:vertAlign w:val="superscript"/>
        </w:rPr>
        <w:t>47</w:t>
      </w:r>
      <w:r w:rsidR="00BF5D4D" w:rsidRPr="00E341D3">
        <w:rPr>
          <w:rFonts w:ascii="Book Antiqua" w:hAnsi="Book Antiqua"/>
          <w:vertAlign w:val="superscript"/>
        </w:rPr>
        <w:t>]</w:t>
      </w:r>
      <w:r w:rsidRPr="00E341D3">
        <w:rPr>
          <w:rFonts w:ascii="Book Antiqua" w:hAnsi="Book Antiqua"/>
        </w:rPr>
        <w:t xml:space="preserve">. </w:t>
      </w:r>
      <w:r w:rsidRPr="00E341D3">
        <w:rPr>
          <w:rFonts w:ascii="Book Antiqua" w:hAnsi="Book Antiqua" w:cs="Times"/>
          <w:kern w:val="0"/>
        </w:rPr>
        <w:t xml:space="preserve">In patients receiving LDA therapy for the secondary prevention of cardiovascular disease, use of H2RAs was associated with a risk of mucosal erosion </w:t>
      </w:r>
      <w:r w:rsidR="002B3C9C" w:rsidRPr="00E341D3">
        <w:rPr>
          <w:rFonts w:ascii="Book Antiqua" w:hAnsi="Book Antiqua" w:cs="Times"/>
          <w:kern w:val="0"/>
        </w:rPr>
        <w:t>but not of ulcer development</w:t>
      </w:r>
      <w:r w:rsidR="00BF5D4D" w:rsidRPr="00E341D3">
        <w:rPr>
          <w:rFonts w:ascii="Book Antiqua" w:hAnsi="Book Antiqua" w:cs="Times"/>
          <w:kern w:val="0"/>
          <w:vertAlign w:val="superscript"/>
        </w:rPr>
        <w:t>[</w:t>
      </w:r>
      <w:r w:rsidR="002F58F5" w:rsidRPr="00E341D3">
        <w:rPr>
          <w:rFonts w:ascii="Book Antiqua" w:hAnsi="Book Antiqua" w:cs="Times"/>
          <w:kern w:val="0"/>
          <w:vertAlign w:val="superscript"/>
        </w:rPr>
        <w:t>48</w:t>
      </w:r>
      <w:r w:rsidR="00BF5D4D" w:rsidRPr="00E341D3">
        <w:rPr>
          <w:rFonts w:ascii="Book Antiqua" w:hAnsi="Book Antiqua" w:cs="Times"/>
          <w:kern w:val="0"/>
          <w:vertAlign w:val="superscript"/>
        </w:rPr>
        <w:t>]</w:t>
      </w:r>
      <w:r w:rsidRPr="00E341D3">
        <w:rPr>
          <w:rFonts w:ascii="Book Antiqua" w:hAnsi="Book Antiqua" w:cs="Times"/>
          <w:kern w:val="0"/>
        </w:rPr>
        <w:t>.</w:t>
      </w:r>
      <w:r w:rsidRPr="00E341D3">
        <w:rPr>
          <w:rFonts w:ascii="Book Antiqua" w:hAnsi="Book Antiqua"/>
        </w:rPr>
        <w:t xml:space="preserve"> TAK-438, </w:t>
      </w:r>
      <w:r w:rsidRPr="00E341D3">
        <w:rPr>
          <w:rFonts w:ascii="Book Antiqua" w:hAnsi="Book Antiqua"/>
          <w:bCs/>
        </w:rPr>
        <w:t>a novel</w:t>
      </w:r>
      <w:r w:rsidRPr="00E341D3">
        <w:rPr>
          <w:rFonts w:ascii="Book Antiqua" w:hAnsi="Book Antiqua"/>
        </w:rPr>
        <w:t xml:space="preserve"> </w:t>
      </w:r>
      <w:r w:rsidRPr="00E341D3">
        <w:rPr>
          <w:rFonts w:ascii="Book Antiqua" w:hAnsi="Book Antiqua"/>
          <w:bCs/>
        </w:rPr>
        <w:t>potassium-competitive acid blocker,</w:t>
      </w:r>
      <w:r w:rsidRPr="00E341D3">
        <w:rPr>
          <w:rFonts w:ascii="Book Antiqua" w:hAnsi="Book Antiqua"/>
        </w:rPr>
        <w:t xml:space="preserve"> has also been shown to be as effective as PPIs in the prevention of a</w:t>
      </w:r>
      <w:r w:rsidR="00B514F1" w:rsidRPr="00E341D3">
        <w:rPr>
          <w:rFonts w:ascii="Book Antiqua" w:hAnsi="Book Antiqua"/>
        </w:rPr>
        <w:t>spirin-induced ulcer recurrence</w:t>
      </w:r>
      <w:r w:rsidR="00BF5D4D" w:rsidRPr="00E341D3">
        <w:rPr>
          <w:rFonts w:ascii="Book Antiqua" w:hAnsi="Book Antiqua"/>
          <w:vertAlign w:val="superscript"/>
        </w:rPr>
        <w:t>[</w:t>
      </w:r>
      <w:r w:rsidR="002F58F5" w:rsidRPr="00E341D3">
        <w:rPr>
          <w:rFonts w:ascii="Book Antiqua" w:hAnsi="Book Antiqua"/>
          <w:vertAlign w:val="superscript"/>
        </w:rPr>
        <w:t>49</w:t>
      </w:r>
      <w:r w:rsidR="00BF5D4D" w:rsidRPr="00E341D3">
        <w:rPr>
          <w:rFonts w:ascii="Book Antiqua" w:hAnsi="Book Antiqua"/>
          <w:vertAlign w:val="superscript"/>
        </w:rPr>
        <w:t>]</w:t>
      </w:r>
      <w:r w:rsidRPr="00E341D3">
        <w:rPr>
          <w:rFonts w:ascii="Book Antiqua" w:hAnsi="Book Antiqua"/>
        </w:rPr>
        <w:t>. A population-based study from Sweden reported that the risk of gastrointestinal ulcers depended on PPI adherence in</w:t>
      </w:r>
      <w:r w:rsidR="00B514F1" w:rsidRPr="00E341D3">
        <w:rPr>
          <w:rFonts w:ascii="Book Antiqua" w:hAnsi="Book Antiqua"/>
        </w:rPr>
        <w:t xml:space="preserve"> patients receiving LDA therapy</w:t>
      </w:r>
      <w:r w:rsidR="00BF5D4D" w:rsidRPr="00E341D3">
        <w:rPr>
          <w:rFonts w:ascii="Book Antiqua" w:hAnsi="Book Antiqua"/>
          <w:vertAlign w:val="superscript"/>
        </w:rPr>
        <w:t>[</w:t>
      </w:r>
      <w:r w:rsidR="002F58F5" w:rsidRPr="00E341D3">
        <w:rPr>
          <w:rFonts w:ascii="Book Antiqua" w:hAnsi="Book Antiqua"/>
          <w:vertAlign w:val="superscript"/>
        </w:rPr>
        <w:t>50</w:t>
      </w:r>
      <w:r w:rsidR="00BF5D4D" w:rsidRPr="00E341D3">
        <w:rPr>
          <w:rFonts w:ascii="Book Antiqua" w:hAnsi="Book Antiqua"/>
          <w:vertAlign w:val="superscript"/>
        </w:rPr>
        <w:t>]</w:t>
      </w:r>
      <w:r w:rsidRPr="00E341D3">
        <w:rPr>
          <w:rFonts w:ascii="Book Antiqua" w:hAnsi="Book Antiqua"/>
        </w:rPr>
        <w:t xml:space="preserve">. </w:t>
      </w:r>
      <w:r w:rsidRPr="00E341D3">
        <w:rPr>
          <w:rFonts w:ascii="Book Antiqua" w:hAnsi="Book Antiqua"/>
          <w:kern w:val="0"/>
        </w:rPr>
        <w:t xml:space="preserve">After experiencing </w:t>
      </w:r>
      <w:r w:rsidRPr="00E341D3">
        <w:rPr>
          <w:rFonts w:ascii="Book Antiqua" w:hAnsi="Book Antiqua" w:cs="Times"/>
          <w:kern w:val="0"/>
        </w:rPr>
        <w:t>GIB, many patients stop receiving LDA therapy, which increases the risk of ischemic events. Therefore, physicians should encourage these patients to continue LDA therapy with PPI prophylaxis.</w:t>
      </w:r>
    </w:p>
    <w:p w14:paraId="4AF6C862" w14:textId="77777777" w:rsidR="00B514F1" w:rsidRPr="00E341D3" w:rsidRDefault="00B514F1" w:rsidP="00B514F1">
      <w:pPr>
        <w:pStyle w:val="Footer"/>
        <w:tabs>
          <w:tab w:val="clear" w:pos="4252"/>
          <w:tab w:val="clear" w:pos="8504"/>
        </w:tabs>
        <w:snapToGrid/>
        <w:spacing w:line="360" w:lineRule="auto"/>
        <w:rPr>
          <w:rFonts w:ascii="Book Antiqua" w:eastAsia="宋体" w:hAnsi="Book Antiqua"/>
          <w:b/>
          <w:lang w:eastAsia="zh-CN"/>
        </w:rPr>
      </w:pPr>
    </w:p>
    <w:p w14:paraId="48C21FB4" w14:textId="77777777" w:rsidR="00B514F1" w:rsidRPr="00E341D3" w:rsidRDefault="00342BFA" w:rsidP="00B514F1">
      <w:pPr>
        <w:widowControl/>
        <w:autoSpaceDE w:val="0"/>
        <w:autoSpaceDN w:val="0"/>
        <w:adjustRightInd w:val="0"/>
        <w:spacing w:line="360" w:lineRule="auto"/>
        <w:rPr>
          <w:rFonts w:ascii="Book Antiqua" w:eastAsia="宋体" w:hAnsi="Book Antiqua"/>
          <w:b/>
          <w:i/>
          <w:sz w:val="24"/>
          <w:szCs w:val="24"/>
          <w:lang w:eastAsia="zh-CN"/>
        </w:rPr>
      </w:pPr>
      <w:r w:rsidRPr="00E341D3">
        <w:rPr>
          <w:rFonts w:ascii="Book Antiqua" w:eastAsia="MS Gothic" w:hAnsi="Book Antiqua"/>
          <w:b/>
          <w:i/>
          <w:sz w:val="24"/>
          <w:szCs w:val="24"/>
        </w:rPr>
        <w:t>Potential metabolic interactio</w:t>
      </w:r>
      <w:r w:rsidR="00B514F1" w:rsidRPr="00E341D3">
        <w:rPr>
          <w:rFonts w:ascii="Book Antiqua" w:eastAsia="MS Gothic" w:hAnsi="Book Antiqua"/>
          <w:b/>
          <w:i/>
          <w:sz w:val="24"/>
          <w:szCs w:val="24"/>
        </w:rPr>
        <w:t>n between PPIs and clopidogrel</w:t>
      </w:r>
    </w:p>
    <w:p w14:paraId="3011B6BA" w14:textId="2A44DBA2" w:rsidR="00342BFA" w:rsidRPr="00E341D3" w:rsidRDefault="00342BFA" w:rsidP="00B514F1">
      <w:pPr>
        <w:widowControl/>
        <w:autoSpaceDE w:val="0"/>
        <w:autoSpaceDN w:val="0"/>
        <w:adjustRightInd w:val="0"/>
        <w:spacing w:line="360" w:lineRule="auto"/>
        <w:rPr>
          <w:rFonts w:ascii="Book Antiqua" w:eastAsia="MS Gothic" w:hAnsi="Book Antiqua"/>
          <w:sz w:val="24"/>
          <w:szCs w:val="24"/>
        </w:rPr>
      </w:pPr>
      <w:r w:rsidRPr="00E341D3">
        <w:rPr>
          <w:rFonts w:ascii="Book Antiqua" w:eastAsia="MS Gothic" w:hAnsi="Book Antiqua"/>
          <w:sz w:val="24"/>
          <w:szCs w:val="24"/>
        </w:rPr>
        <w:t>Thienopyridine derivatives are</w:t>
      </w:r>
      <w:r w:rsidRPr="00E341D3">
        <w:rPr>
          <w:rFonts w:ascii="Book Antiqua" w:hAnsi="Book Antiqua"/>
          <w:sz w:val="24"/>
          <w:szCs w:val="24"/>
        </w:rPr>
        <w:t xml:space="preserve"> prodrugs, which are metabolized into active forms through complex biochemical reactions involving several cytochrome P450 (CYP) isoforms including CYP2C19, which is also involved in the metabolism of PPIs.</w:t>
      </w:r>
      <w:r w:rsidRPr="00E341D3">
        <w:rPr>
          <w:rFonts w:ascii="Book Antiqua" w:eastAsia="MS Gothic" w:hAnsi="Book Antiqua"/>
          <w:b/>
          <w:sz w:val="24"/>
          <w:szCs w:val="24"/>
        </w:rPr>
        <w:t xml:space="preserve"> </w:t>
      </w:r>
      <w:r w:rsidRPr="00E341D3">
        <w:rPr>
          <w:rFonts w:ascii="Book Antiqua" w:hAnsi="Book Antiqua"/>
          <w:kern w:val="0"/>
          <w:sz w:val="24"/>
          <w:szCs w:val="24"/>
        </w:rPr>
        <w:t>Several observational studies in clopidogrel recipients have shown a significant association between PPI use and cardiovascular events</w:t>
      </w:r>
      <w:r w:rsidR="00BF5D4D" w:rsidRPr="00E341D3">
        <w:rPr>
          <w:rFonts w:ascii="Book Antiqua" w:hAnsi="Book Antiqua"/>
          <w:kern w:val="0"/>
          <w:sz w:val="24"/>
          <w:szCs w:val="24"/>
          <w:vertAlign w:val="superscript"/>
        </w:rPr>
        <w:t>[</w:t>
      </w:r>
      <w:r w:rsidR="002F58F5" w:rsidRPr="00E341D3">
        <w:rPr>
          <w:rFonts w:ascii="Book Antiqua" w:hAnsi="Book Antiqua"/>
          <w:kern w:val="0"/>
          <w:sz w:val="24"/>
          <w:szCs w:val="24"/>
          <w:vertAlign w:val="superscript"/>
        </w:rPr>
        <w:t>51</w:t>
      </w:r>
      <w:r w:rsidR="00B514F1" w:rsidRPr="00E341D3">
        <w:rPr>
          <w:rFonts w:ascii="Book Antiqua" w:hAnsi="Book Antiqua"/>
          <w:kern w:val="0"/>
          <w:sz w:val="24"/>
          <w:szCs w:val="24"/>
          <w:vertAlign w:val="superscript"/>
        </w:rPr>
        <w:t>,</w:t>
      </w:r>
      <w:r w:rsidR="002F58F5" w:rsidRPr="00E341D3">
        <w:rPr>
          <w:rFonts w:ascii="Book Antiqua" w:hAnsi="Book Antiqua"/>
          <w:kern w:val="0"/>
          <w:sz w:val="24"/>
          <w:szCs w:val="24"/>
          <w:vertAlign w:val="superscript"/>
        </w:rPr>
        <w:t>52</w:t>
      </w:r>
      <w:r w:rsidR="00BF5D4D" w:rsidRPr="00E341D3">
        <w:rPr>
          <w:rFonts w:ascii="Book Antiqua" w:hAnsi="Book Antiqua"/>
          <w:kern w:val="0"/>
          <w:sz w:val="24"/>
          <w:szCs w:val="24"/>
          <w:vertAlign w:val="superscript"/>
        </w:rPr>
        <w:t>]</w:t>
      </w:r>
      <w:r w:rsidRPr="00E341D3">
        <w:rPr>
          <w:rFonts w:ascii="Book Antiqua" w:hAnsi="Book Antiqua"/>
          <w:kern w:val="0"/>
          <w:sz w:val="24"/>
          <w:szCs w:val="24"/>
        </w:rPr>
        <w:t>.</w:t>
      </w:r>
      <w:r w:rsidRPr="00E341D3">
        <w:rPr>
          <w:rFonts w:ascii="Book Antiqua" w:hAnsi="Book Antiqua" w:cs="Times-Roman"/>
          <w:kern w:val="0"/>
          <w:sz w:val="24"/>
          <w:szCs w:val="24"/>
        </w:rPr>
        <w:t xml:space="preserve"> A meta-analysis showed that there was a</w:t>
      </w:r>
      <w:r w:rsidR="00B514F1" w:rsidRPr="00E341D3">
        <w:rPr>
          <w:rFonts w:ascii="Book Antiqua" w:hAnsi="Book Antiqua" w:cs="Times-Roman"/>
          <w:kern w:val="0"/>
          <w:sz w:val="24"/>
          <w:szCs w:val="24"/>
        </w:rPr>
        <w:t>n increased risk (OR, 1.43; 95%</w:t>
      </w:r>
      <w:r w:rsidRPr="00E341D3">
        <w:rPr>
          <w:rFonts w:ascii="Book Antiqua" w:hAnsi="Book Antiqua" w:cs="Times-Roman"/>
          <w:kern w:val="0"/>
          <w:sz w:val="24"/>
          <w:szCs w:val="24"/>
        </w:rPr>
        <w:t>CI</w:t>
      </w:r>
      <w:r w:rsidR="00B514F1" w:rsidRPr="00E341D3">
        <w:rPr>
          <w:rFonts w:ascii="Book Antiqua" w:eastAsia="宋体" w:hAnsi="Book Antiqua" w:cs="Times-Roman" w:hint="eastAsia"/>
          <w:kern w:val="0"/>
          <w:sz w:val="24"/>
          <w:szCs w:val="24"/>
          <w:lang w:eastAsia="zh-CN"/>
        </w:rPr>
        <w:t>:</w:t>
      </w:r>
      <w:r w:rsidRPr="00E341D3">
        <w:rPr>
          <w:rFonts w:ascii="Book Antiqua" w:hAnsi="Book Antiqua" w:cs="Times-Roman"/>
          <w:kern w:val="0"/>
          <w:sz w:val="24"/>
          <w:szCs w:val="24"/>
        </w:rPr>
        <w:t xml:space="preserve"> 1.15</w:t>
      </w:r>
      <w:r w:rsidR="000F37A0">
        <w:rPr>
          <w:rFonts w:ascii="Book Antiqua" w:eastAsia="宋体" w:hAnsi="Book Antiqua" w:cs="Times-Roman" w:hint="eastAsia"/>
          <w:kern w:val="0"/>
          <w:sz w:val="24"/>
          <w:szCs w:val="24"/>
          <w:lang w:eastAsia="zh-CN"/>
        </w:rPr>
        <w:t>-</w:t>
      </w:r>
      <w:r w:rsidRPr="00E341D3">
        <w:rPr>
          <w:rFonts w:ascii="Book Antiqua" w:hAnsi="Book Antiqua" w:cs="Times-Roman"/>
          <w:kern w:val="0"/>
          <w:sz w:val="24"/>
          <w:szCs w:val="24"/>
        </w:rPr>
        <w:t>1.77) of adverse outcomes in patients cop</w:t>
      </w:r>
      <w:r w:rsidR="00B514F1" w:rsidRPr="00E341D3">
        <w:rPr>
          <w:rFonts w:ascii="Book Antiqua" w:hAnsi="Book Antiqua" w:cs="Times-Roman"/>
          <w:kern w:val="0"/>
          <w:sz w:val="24"/>
          <w:szCs w:val="24"/>
        </w:rPr>
        <w:t>rescribed clopidogrel and a PPI</w:t>
      </w:r>
      <w:r w:rsidR="00BF5D4D" w:rsidRPr="00E341D3">
        <w:rPr>
          <w:rFonts w:ascii="Book Antiqua" w:hAnsi="Book Antiqua" w:cs="Times-Roman"/>
          <w:kern w:val="0"/>
          <w:sz w:val="24"/>
          <w:szCs w:val="24"/>
          <w:vertAlign w:val="superscript"/>
        </w:rPr>
        <w:t>[</w:t>
      </w:r>
      <w:r w:rsidR="002F58F5" w:rsidRPr="00E341D3">
        <w:rPr>
          <w:rFonts w:ascii="Book Antiqua" w:hAnsi="Book Antiqua" w:cs="Times-Roman"/>
          <w:kern w:val="0"/>
          <w:sz w:val="24"/>
          <w:szCs w:val="24"/>
          <w:vertAlign w:val="superscript"/>
        </w:rPr>
        <w:t>53</w:t>
      </w:r>
      <w:r w:rsidR="00BF5D4D" w:rsidRPr="00E341D3">
        <w:rPr>
          <w:rFonts w:ascii="Book Antiqua" w:hAnsi="Book Antiqua" w:cs="Times-Roman"/>
          <w:kern w:val="0"/>
          <w:sz w:val="24"/>
          <w:szCs w:val="24"/>
          <w:vertAlign w:val="superscript"/>
        </w:rPr>
        <w:t>]</w:t>
      </w:r>
      <w:r w:rsidRPr="00E341D3">
        <w:rPr>
          <w:rFonts w:ascii="Book Antiqua" w:hAnsi="Book Antiqua" w:cs="Times-Roman"/>
          <w:kern w:val="0"/>
          <w:sz w:val="24"/>
          <w:szCs w:val="24"/>
        </w:rPr>
        <w:t xml:space="preserve">. </w:t>
      </w:r>
      <w:r w:rsidRPr="00E341D3">
        <w:rPr>
          <w:rFonts w:ascii="Book Antiqua" w:hAnsi="Book Antiqua"/>
          <w:kern w:val="0"/>
          <w:sz w:val="24"/>
          <w:szCs w:val="24"/>
        </w:rPr>
        <w:t>Platelet studies have supported the use of PPIs with weaker inhibition of CYP2C19 (</w:t>
      </w:r>
      <w:r w:rsidRPr="00E341D3">
        <w:rPr>
          <w:rFonts w:ascii="Book Antiqua" w:hAnsi="Book Antiqua"/>
          <w:i/>
          <w:kern w:val="0"/>
          <w:sz w:val="24"/>
          <w:szCs w:val="24"/>
        </w:rPr>
        <w:t>e.g.</w:t>
      </w:r>
      <w:r w:rsidRPr="00E341D3">
        <w:rPr>
          <w:rFonts w:ascii="Book Antiqua" w:hAnsi="Book Antiqua"/>
          <w:kern w:val="0"/>
          <w:sz w:val="24"/>
          <w:szCs w:val="24"/>
        </w:rPr>
        <w:t>, rabeprazole or pantoprazole</w:t>
      </w:r>
      <w:r w:rsidR="005E17A7" w:rsidRPr="00E341D3">
        <w:rPr>
          <w:rFonts w:ascii="Book Antiqua" w:hAnsi="Book Antiqua"/>
          <w:kern w:val="0"/>
          <w:sz w:val="24"/>
          <w:szCs w:val="24"/>
          <w:vertAlign w:val="superscript"/>
        </w:rPr>
        <w:t>[</w:t>
      </w:r>
      <w:r w:rsidR="002F58F5" w:rsidRPr="00E341D3">
        <w:rPr>
          <w:rFonts w:ascii="Book Antiqua" w:hAnsi="Book Antiqua"/>
          <w:kern w:val="0"/>
          <w:sz w:val="24"/>
          <w:szCs w:val="24"/>
          <w:vertAlign w:val="superscript"/>
        </w:rPr>
        <w:t>54</w:t>
      </w:r>
      <w:r w:rsidR="005E17A7" w:rsidRPr="00E341D3">
        <w:rPr>
          <w:rFonts w:ascii="Book Antiqua" w:hAnsi="Book Antiqua"/>
          <w:kern w:val="0"/>
          <w:sz w:val="24"/>
          <w:szCs w:val="24"/>
          <w:vertAlign w:val="superscript"/>
        </w:rPr>
        <w:t>]</w:t>
      </w:r>
      <w:r w:rsidRPr="00E341D3">
        <w:rPr>
          <w:rFonts w:ascii="Book Antiqua" w:hAnsi="Book Antiqua"/>
          <w:kern w:val="0"/>
          <w:sz w:val="24"/>
          <w:szCs w:val="24"/>
        </w:rPr>
        <w:t xml:space="preserve">. </w:t>
      </w:r>
      <w:r w:rsidRPr="00E341D3">
        <w:rPr>
          <w:rFonts w:ascii="Book Antiqua" w:hAnsi="Book Antiqua" w:cs="Times-Roman"/>
          <w:kern w:val="0"/>
          <w:sz w:val="24"/>
          <w:szCs w:val="24"/>
        </w:rPr>
        <w:t xml:space="preserve">In contrast, in the </w:t>
      </w:r>
      <w:r w:rsidRPr="00E341D3">
        <w:rPr>
          <w:rFonts w:ascii="Book Antiqua" w:eastAsiaTheme="minorEastAsia" w:hAnsi="Book Antiqua"/>
          <w:kern w:val="0"/>
          <w:sz w:val="24"/>
          <w:szCs w:val="24"/>
        </w:rPr>
        <w:t xml:space="preserve">Clopidogrel and the Optimization of Gastrointestinal Events </w:t>
      </w:r>
      <w:r w:rsidRPr="00E341D3">
        <w:rPr>
          <w:rFonts w:ascii="Book Antiqua" w:hAnsi="Book Antiqua" w:cs="Times"/>
          <w:kern w:val="0"/>
          <w:sz w:val="24"/>
          <w:szCs w:val="24"/>
        </w:rPr>
        <w:t>(COGENT) trial of omeprazole versus placebo in coronary artery disease patients receiving aspirin and clopidogrel, no apparent cardiovascular interaction was observed between clopidogrel and omeprazole</w:t>
      </w:r>
      <w:r w:rsidR="005E17A7" w:rsidRPr="00E341D3">
        <w:rPr>
          <w:rFonts w:ascii="Book Antiqua" w:eastAsia="MS Gothic" w:hAnsi="Book Antiqua"/>
          <w:sz w:val="24"/>
          <w:szCs w:val="24"/>
          <w:vertAlign w:val="superscript"/>
        </w:rPr>
        <w:t>[</w:t>
      </w:r>
      <w:r w:rsidR="002F58F5" w:rsidRPr="00E341D3">
        <w:rPr>
          <w:rFonts w:ascii="Book Antiqua" w:eastAsia="MS Gothic" w:hAnsi="Book Antiqua"/>
          <w:sz w:val="24"/>
          <w:szCs w:val="24"/>
          <w:vertAlign w:val="superscript"/>
        </w:rPr>
        <w:t>55</w:t>
      </w:r>
      <w:r w:rsidR="005E17A7" w:rsidRPr="00E341D3">
        <w:rPr>
          <w:rFonts w:ascii="Book Antiqua" w:eastAsia="MS Gothic" w:hAnsi="Book Antiqua"/>
          <w:sz w:val="24"/>
          <w:szCs w:val="24"/>
          <w:vertAlign w:val="superscript"/>
        </w:rPr>
        <w:t>]</w:t>
      </w:r>
      <w:r w:rsidRPr="00E341D3">
        <w:rPr>
          <w:rFonts w:ascii="Book Antiqua" w:eastAsia="MS Gothic" w:hAnsi="Book Antiqua"/>
          <w:sz w:val="24"/>
          <w:szCs w:val="24"/>
        </w:rPr>
        <w:t>. Taken together, the p</w:t>
      </w:r>
      <w:r w:rsidRPr="00E341D3">
        <w:rPr>
          <w:rFonts w:ascii="Book Antiqua" w:hAnsi="Book Antiqua" w:cs="LegacySerif-Book"/>
          <w:kern w:val="0"/>
          <w:sz w:val="24"/>
          <w:szCs w:val="24"/>
        </w:rPr>
        <w:t>otential negative interaction between PPI therapy and clopidogrel use is still controversial.</w:t>
      </w:r>
      <w:r w:rsidRPr="00E341D3">
        <w:rPr>
          <w:rFonts w:ascii="Book Antiqua" w:hAnsi="Book Antiqua"/>
          <w:kern w:val="0"/>
          <w:sz w:val="24"/>
          <w:szCs w:val="24"/>
        </w:rPr>
        <w:t xml:space="preserve"> </w:t>
      </w:r>
      <w:r w:rsidRPr="00E341D3">
        <w:rPr>
          <w:rFonts w:ascii="Book Antiqua" w:eastAsia="MS Gothic" w:hAnsi="Book Antiqua"/>
          <w:sz w:val="24"/>
          <w:szCs w:val="24"/>
        </w:rPr>
        <w:t xml:space="preserve">Prasugrel is as effective as clopidogrel in the </w:t>
      </w:r>
      <w:r w:rsidR="00B514F1" w:rsidRPr="00E341D3">
        <w:rPr>
          <w:rFonts w:ascii="Book Antiqua" w:eastAsia="MS Gothic" w:hAnsi="Book Antiqua"/>
          <w:sz w:val="24"/>
          <w:szCs w:val="24"/>
        </w:rPr>
        <w:t>prevention of ischemic events</w:t>
      </w:r>
      <w:r w:rsidR="005E17A7" w:rsidRPr="00E341D3">
        <w:rPr>
          <w:rFonts w:ascii="Book Antiqua" w:eastAsia="MS Gothic" w:hAnsi="Book Antiqua"/>
          <w:sz w:val="24"/>
          <w:szCs w:val="24"/>
          <w:vertAlign w:val="superscript"/>
        </w:rPr>
        <w:t>[</w:t>
      </w:r>
      <w:r w:rsidR="00B514F1" w:rsidRPr="00E341D3">
        <w:rPr>
          <w:rFonts w:ascii="Book Antiqua" w:eastAsia="MS Gothic" w:hAnsi="Book Antiqua"/>
          <w:sz w:val="24"/>
          <w:szCs w:val="24"/>
          <w:vertAlign w:val="superscript"/>
        </w:rPr>
        <w:t>43,44,</w:t>
      </w:r>
      <w:r w:rsidR="002F58F5" w:rsidRPr="00E341D3">
        <w:rPr>
          <w:rFonts w:ascii="Book Antiqua" w:eastAsia="MS Gothic" w:hAnsi="Book Antiqua"/>
          <w:sz w:val="24"/>
          <w:szCs w:val="24"/>
          <w:vertAlign w:val="superscript"/>
        </w:rPr>
        <w:t>56</w:t>
      </w:r>
      <w:r w:rsidR="005E17A7" w:rsidRPr="00E341D3">
        <w:rPr>
          <w:rFonts w:ascii="Book Antiqua" w:eastAsia="MS Gothic" w:hAnsi="Book Antiqua"/>
          <w:sz w:val="24"/>
          <w:szCs w:val="24"/>
          <w:vertAlign w:val="superscript"/>
        </w:rPr>
        <w:t>]</w:t>
      </w:r>
      <w:r w:rsidRPr="00E341D3">
        <w:rPr>
          <w:rFonts w:ascii="Book Antiqua" w:eastAsia="MS Gothic" w:hAnsi="Book Antiqua"/>
          <w:sz w:val="24"/>
          <w:szCs w:val="24"/>
        </w:rPr>
        <w:t xml:space="preserve">. </w:t>
      </w:r>
      <w:r w:rsidRPr="00E341D3">
        <w:rPr>
          <w:rFonts w:ascii="Book Antiqua" w:hAnsi="Book Antiqua"/>
          <w:kern w:val="0"/>
          <w:sz w:val="24"/>
          <w:szCs w:val="24"/>
        </w:rPr>
        <w:t xml:space="preserve">Of note, the </w:t>
      </w:r>
      <w:r w:rsidRPr="00E341D3">
        <w:rPr>
          <w:rFonts w:ascii="Book Antiqua" w:eastAsia="MS Gothic" w:hAnsi="Book Antiqua"/>
          <w:sz w:val="24"/>
          <w:szCs w:val="24"/>
        </w:rPr>
        <w:t xml:space="preserve">platelet inhibitory activity of prasugrel is not affected by CYP2C19. Recently, the </w:t>
      </w:r>
      <w:r w:rsidR="002F58F5" w:rsidRPr="00E341D3">
        <w:rPr>
          <w:rFonts w:ascii="Book Antiqua" w:eastAsiaTheme="minorEastAsia" w:hAnsi="Book Antiqua"/>
          <w:kern w:val="0"/>
          <w:sz w:val="24"/>
          <w:szCs w:val="24"/>
        </w:rPr>
        <w:t>DOuble</w:t>
      </w:r>
      <w:r w:rsidR="00CC46F5" w:rsidRPr="00E341D3">
        <w:rPr>
          <w:rFonts w:ascii="Book Antiqua" w:eastAsiaTheme="minorEastAsia" w:hAnsi="Book Antiqua"/>
          <w:kern w:val="0"/>
          <w:sz w:val="24"/>
          <w:szCs w:val="24"/>
        </w:rPr>
        <w:t xml:space="preserve"> </w:t>
      </w:r>
      <w:r w:rsidRPr="00E341D3">
        <w:rPr>
          <w:rFonts w:ascii="Book Antiqua" w:eastAsiaTheme="minorEastAsia" w:hAnsi="Book Antiqua"/>
          <w:kern w:val="0"/>
          <w:sz w:val="24"/>
          <w:szCs w:val="24"/>
        </w:rPr>
        <w:t>the dose of Clopidogrel or Switch to Prasugrel to Antagonize Proton pump inhibitor Interaction</w:t>
      </w:r>
      <w:r w:rsidRPr="00E341D3">
        <w:rPr>
          <w:rFonts w:ascii="Book Antiqua" w:eastAsia="MS Gothic" w:hAnsi="Book Antiqua"/>
          <w:sz w:val="24"/>
          <w:szCs w:val="24"/>
        </w:rPr>
        <w:t xml:space="preserve"> study reported that while </w:t>
      </w:r>
      <w:r w:rsidRPr="00E341D3">
        <w:rPr>
          <w:rFonts w:ascii="Book Antiqua" w:hAnsi="Book Antiqua"/>
          <w:kern w:val="0"/>
          <w:sz w:val="24"/>
          <w:szCs w:val="24"/>
        </w:rPr>
        <w:t>the higher platelet inhibitory effect obtained by doubling the clopidogrel dose was completely neutralized by the coadministration of lansoprazole, this drug interaction w</w:t>
      </w:r>
      <w:r w:rsidR="00B514F1" w:rsidRPr="00E341D3">
        <w:rPr>
          <w:rFonts w:ascii="Book Antiqua" w:hAnsi="Book Antiqua"/>
          <w:kern w:val="0"/>
          <w:sz w:val="24"/>
          <w:szCs w:val="24"/>
        </w:rPr>
        <w:t>as not observed with prasugrel</w:t>
      </w:r>
      <w:r w:rsidR="005E17A7" w:rsidRPr="00E341D3">
        <w:rPr>
          <w:rFonts w:ascii="Book Antiqua" w:hAnsi="Book Antiqua"/>
          <w:kern w:val="0"/>
          <w:sz w:val="24"/>
          <w:szCs w:val="24"/>
          <w:vertAlign w:val="superscript"/>
        </w:rPr>
        <w:t>[</w:t>
      </w:r>
      <w:r w:rsidR="00B94246" w:rsidRPr="00E341D3">
        <w:rPr>
          <w:rFonts w:ascii="Book Antiqua" w:hAnsi="Book Antiqua"/>
          <w:kern w:val="0"/>
          <w:sz w:val="24"/>
          <w:szCs w:val="24"/>
          <w:vertAlign w:val="superscript"/>
        </w:rPr>
        <w:t>57</w:t>
      </w:r>
      <w:r w:rsidR="005E17A7" w:rsidRPr="00E341D3">
        <w:rPr>
          <w:rFonts w:ascii="Book Antiqua" w:hAnsi="Book Antiqua"/>
          <w:kern w:val="0"/>
          <w:sz w:val="24"/>
          <w:szCs w:val="24"/>
          <w:vertAlign w:val="superscript"/>
        </w:rPr>
        <w:t>]</w:t>
      </w:r>
      <w:r w:rsidRPr="00E341D3">
        <w:rPr>
          <w:rFonts w:ascii="Book Antiqua" w:hAnsi="Book Antiqua"/>
          <w:kern w:val="0"/>
          <w:sz w:val="24"/>
          <w:szCs w:val="24"/>
        </w:rPr>
        <w:t xml:space="preserve">. Furthermore, the </w:t>
      </w:r>
      <w:r w:rsidR="00D9751A" w:rsidRPr="00E341D3">
        <w:rPr>
          <w:rFonts w:ascii="Book Antiqua" w:eastAsiaTheme="minorEastAsia" w:hAnsi="Book Antiqua"/>
          <w:kern w:val="0"/>
          <w:sz w:val="24"/>
          <w:szCs w:val="24"/>
        </w:rPr>
        <w:t>Targeted Platelet Inhibition to Clarify the Optimal Strategy to Medically Manage Acute Coronary Syndromes</w:t>
      </w:r>
      <w:r w:rsidR="00D9751A" w:rsidRPr="00E341D3">
        <w:rPr>
          <w:rFonts w:ascii="Book Antiqua" w:hAnsi="Book Antiqua"/>
          <w:kern w:val="0"/>
          <w:sz w:val="24"/>
          <w:szCs w:val="24"/>
        </w:rPr>
        <w:t xml:space="preserve"> (</w:t>
      </w:r>
      <w:r w:rsidRPr="00E341D3">
        <w:rPr>
          <w:rFonts w:ascii="Book Antiqua" w:hAnsi="Book Antiqua"/>
          <w:kern w:val="0"/>
          <w:sz w:val="24"/>
          <w:szCs w:val="24"/>
        </w:rPr>
        <w:t>TRILOGY</w:t>
      </w:r>
      <w:r w:rsidR="00D9751A" w:rsidRPr="00E341D3">
        <w:rPr>
          <w:rFonts w:ascii="Book Antiqua" w:hAnsi="Book Antiqua"/>
          <w:kern w:val="0"/>
          <w:sz w:val="24"/>
          <w:szCs w:val="24"/>
        </w:rPr>
        <w:t>)</w:t>
      </w:r>
      <w:r w:rsidRPr="00E341D3">
        <w:rPr>
          <w:rFonts w:ascii="Book Antiqua" w:hAnsi="Book Antiqua"/>
          <w:kern w:val="0"/>
          <w:sz w:val="24"/>
          <w:szCs w:val="24"/>
        </w:rPr>
        <w:t xml:space="preserve"> </w:t>
      </w:r>
      <w:r w:rsidR="00D9751A" w:rsidRPr="00E341D3">
        <w:rPr>
          <w:rFonts w:ascii="Book Antiqua" w:hAnsi="Book Antiqua"/>
          <w:kern w:val="0"/>
          <w:sz w:val="24"/>
          <w:szCs w:val="24"/>
        </w:rPr>
        <w:t>study</w:t>
      </w:r>
      <w:r w:rsidRPr="00E341D3">
        <w:rPr>
          <w:rFonts w:ascii="Book Antiqua" w:hAnsi="Book Antiqua"/>
          <w:kern w:val="0"/>
          <w:sz w:val="24"/>
          <w:szCs w:val="24"/>
        </w:rPr>
        <w:t>, which compared prasugrel with clopidogrel in patients with unstable angina or MI without ST-segment elevation</w:t>
      </w:r>
      <w:r w:rsidR="005E17A7" w:rsidRPr="00E341D3">
        <w:rPr>
          <w:rFonts w:ascii="Book Antiqua" w:hAnsi="Book Antiqua"/>
          <w:kern w:val="0"/>
          <w:sz w:val="24"/>
          <w:szCs w:val="24"/>
          <w:vertAlign w:val="superscript"/>
        </w:rPr>
        <w:t>[</w:t>
      </w:r>
      <w:r w:rsidR="00B94246" w:rsidRPr="00E341D3">
        <w:rPr>
          <w:rFonts w:ascii="Book Antiqua" w:hAnsi="Book Antiqua"/>
          <w:kern w:val="0"/>
          <w:sz w:val="24"/>
          <w:szCs w:val="24"/>
          <w:vertAlign w:val="superscript"/>
        </w:rPr>
        <w:t>58</w:t>
      </w:r>
      <w:r w:rsidR="005E17A7" w:rsidRPr="00E341D3">
        <w:rPr>
          <w:rFonts w:ascii="Book Antiqua" w:hAnsi="Book Antiqua"/>
          <w:kern w:val="0"/>
          <w:sz w:val="24"/>
          <w:szCs w:val="24"/>
          <w:vertAlign w:val="superscript"/>
        </w:rPr>
        <w:t>]</w:t>
      </w:r>
      <w:r w:rsidRPr="00E341D3">
        <w:rPr>
          <w:rFonts w:ascii="Book Antiqua" w:hAnsi="Book Antiqua"/>
          <w:kern w:val="0"/>
          <w:sz w:val="24"/>
          <w:szCs w:val="24"/>
        </w:rPr>
        <w:t>, demonstrated that prasugrel was superior to clopidogrel in the subgroup of PPI users. The c</w:t>
      </w:r>
      <w:r w:rsidRPr="00E341D3">
        <w:rPr>
          <w:rFonts w:ascii="Book Antiqua" w:eastAsia="MS Gothic" w:hAnsi="Book Antiqua"/>
          <w:sz w:val="24"/>
          <w:szCs w:val="24"/>
        </w:rPr>
        <w:t>oncomitant use of PPIs with prasugrel or ticagrelor may be beneficial for the prevention of upper GIB in patients receiving DAPT.</w:t>
      </w:r>
    </w:p>
    <w:p w14:paraId="48409E5E" w14:textId="77777777" w:rsidR="00AA4748" w:rsidRPr="00E341D3" w:rsidRDefault="00AA4748" w:rsidP="00B514F1">
      <w:pPr>
        <w:widowControl/>
        <w:autoSpaceDE w:val="0"/>
        <w:autoSpaceDN w:val="0"/>
        <w:adjustRightInd w:val="0"/>
        <w:spacing w:line="360" w:lineRule="auto"/>
        <w:rPr>
          <w:rFonts w:ascii="Book Antiqua" w:eastAsia="MS Gothic" w:hAnsi="Book Antiqua"/>
          <w:b/>
          <w:sz w:val="24"/>
          <w:szCs w:val="24"/>
        </w:rPr>
      </w:pPr>
    </w:p>
    <w:p w14:paraId="329BC461" w14:textId="36B9B9A7" w:rsidR="00342BFA" w:rsidRPr="00E341D3" w:rsidRDefault="00B514F1" w:rsidP="00B514F1">
      <w:pPr>
        <w:widowControl/>
        <w:autoSpaceDE w:val="0"/>
        <w:autoSpaceDN w:val="0"/>
        <w:adjustRightInd w:val="0"/>
        <w:spacing w:line="360" w:lineRule="auto"/>
        <w:rPr>
          <w:rFonts w:ascii="Book Antiqua" w:eastAsia="MS Gothic" w:hAnsi="Book Antiqua"/>
          <w:b/>
          <w:sz w:val="24"/>
          <w:szCs w:val="24"/>
        </w:rPr>
      </w:pPr>
      <w:r w:rsidRPr="00E341D3">
        <w:rPr>
          <w:rFonts w:ascii="Book Antiqua" w:eastAsia="MS Gothic" w:hAnsi="Book Antiqua"/>
          <w:b/>
          <w:sz w:val="24"/>
          <w:szCs w:val="24"/>
        </w:rPr>
        <w:t>CONCLUSION</w:t>
      </w:r>
    </w:p>
    <w:p w14:paraId="2FD55894" w14:textId="77777777" w:rsidR="00B514F1" w:rsidRPr="00E341D3" w:rsidRDefault="00342BFA" w:rsidP="00B514F1">
      <w:pPr>
        <w:widowControl/>
        <w:autoSpaceDE w:val="0"/>
        <w:autoSpaceDN w:val="0"/>
        <w:adjustRightInd w:val="0"/>
        <w:spacing w:line="360" w:lineRule="auto"/>
        <w:rPr>
          <w:rFonts w:ascii="Book Antiqua" w:eastAsia="宋体" w:hAnsi="Book Antiqua"/>
          <w:sz w:val="24"/>
          <w:szCs w:val="24"/>
          <w:lang w:eastAsia="zh-CN"/>
        </w:rPr>
      </w:pPr>
      <w:r w:rsidRPr="00E341D3">
        <w:rPr>
          <w:rFonts w:ascii="Book Antiqua" w:eastAsiaTheme="minorEastAsia" w:hAnsi="Book Antiqua"/>
          <w:kern w:val="0"/>
          <w:sz w:val="24"/>
          <w:szCs w:val="24"/>
        </w:rPr>
        <w:t>GIB is a relatively common complication in patients receiving antiplatelet therapy</w:t>
      </w:r>
      <w:r w:rsidRPr="00E341D3">
        <w:rPr>
          <w:rFonts w:ascii="Book Antiqua" w:hAnsi="Book Antiqua"/>
          <w:sz w:val="24"/>
          <w:szCs w:val="24"/>
        </w:rPr>
        <w:t xml:space="preserve"> and is associated with an increased risk of recurrent ischemic events and mortality</w:t>
      </w:r>
      <w:r w:rsidRPr="00E341D3">
        <w:rPr>
          <w:rFonts w:ascii="Book Antiqua" w:eastAsiaTheme="minorEastAsia" w:hAnsi="Book Antiqua"/>
          <w:kern w:val="0"/>
          <w:sz w:val="24"/>
          <w:szCs w:val="24"/>
        </w:rPr>
        <w:t xml:space="preserve">. </w:t>
      </w:r>
      <w:r w:rsidRPr="00E341D3">
        <w:rPr>
          <w:rFonts w:ascii="Book Antiqua" w:hAnsi="Book Antiqua"/>
          <w:sz w:val="24"/>
          <w:szCs w:val="24"/>
        </w:rPr>
        <w:t xml:space="preserve">Prophylaxis with antisecretory drugs such as PPIs reduces the risk of GIB. Early endoscopy </w:t>
      </w:r>
      <w:r w:rsidRPr="00E341D3">
        <w:rPr>
          <w:rFonts w:ascii="Book Antiqua" w:eastAsia="宋体" w:hAnsi="Book Antiqua"/>
          <w:kern w:val="0"/>
          <w:sz w:val="24"/>
          <w:szCs w:val="24"/>
        </w:rPr>
        <w:t>is useful for both the diagnosis and the therapeutic management of GIB.</w:t>
      </w:r>
      <w:r w:rsidRPr="00E341D3">
        <w:rPr>
          <w:rFonts w:ascii="Book Antiqua" w:hAnsi="Book Antiqua"/>
          <w:sz w:val="24"/>
          <w:szCs w:val="24"/>
        </w:rPr>
        <w:t xml:space="preserve"> </w:t>
      </w:r>
      <w:r w:rsidRPr="00E341D3">
        <w:rPr>
          <w:rFonts w:ascii="Book Antiqua" w:eastAsiaTheme="minorEastAsia" w:hAnsi="Book Antiqua" w:cs="Times"/>
          <w:kern w:val="0"/>
          <w:sz w:val="24"/>
          <w:szCs w:val="24"/>
        </w:rPr>
        <w:t>Antiplatelet therapy should be resumed immediately after endoscopic hemostasis of GIB, unless the bleeding is life threatening.</w:t>
      </w:r>
      <w:r w:rsidRPr="00E341D3">
        <w:rPr>
          <w:rFonts w:ascii="Book Antiqua" w:hAnsi="Book Antiqua"/>
          <w:sz w:val="24"/>
          <w:szCs w:val="24"/>
        </w:rPr>
        <w:t xml:space="preserve"> </w:t>
      </w:r>
    </w:p>
    <w:p w14:paraId="0B46A1D9" w14:textId="77777777" w:rsidR="00B514F1" w:rsidRPr="00E341D3" w:rsidRDefault="00B514F1" w:rsidP="00B514F1">
      <w:pPr>
        <w:widowControl/>
        <w:autoSpaceDE w:val="0"/>
        <w:autoSpaceDN w:val="0"/>
        <w:adjustRightInd w:val="0"/>
        <w:spacing w:line="360" w:lineRule="auto"/>
        <w:rPr>
          <w:rFonts w:ascii="Book Antiqua" w:eastAsia="宋体" w:hAnsi="Book Antiqua"/>
          <w:b/>
          <w:sz w:val="24"/>
          <w:szCs w:val="24"/>
          <w:lang w:eastAsia="zh-CN"/>
        </w:rPr>
      </w:pPr>
    </w:p>
    <w:p w14:paraId="34E23D0A" w14:textId="77777777" w:rsidR="00B514F1" w:rsidRPr="00E341D3" w:rsidRDefault="00B514F1" w:rsidP="009D2E93">
      <w:pPr>
        <w:widowControl/>
        <w:autoSpaceDE w:val="0"/>
        <w:autoSpaceDN w:val="0"/>
        <w:adjustRightInd w:val="0"/>
        <w:spacing w:line="360" w:lineRule="auto"/>
        <w:rPr>
          <w:rFonts w:ascii="Book Antiqua" w:eastAsia="宋体" w:hAnsi="Book Antiqua"/>
          <w:b/>
          <w:sz w:val="24"/>
          <w:szCs w:val="24"/>
          <w:lang w:eastAsia="zh-CN"/>
        </w:rPr>
      </w:pPr>
      <w:r w:rsidRPr="00E341D3">
        <w:rPr>
          <w:rFonts w:ascii="Book Antiqua" w:eastAsia="宋体" w:hAnsi="Book Antiqua"/>
          <w:b/>
          <w:sz w:val="24"/>
          <w:szCs w:val="24"/>
          <w:lang w:eastAsia="zh-CN"/>
        </w:rPr>
        <w:t>REFERENCES</w:t>
      </w:r>
    </w:p>
    <w:p w14:paraId="2CC57854"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1 </w:t>
      </w:r>
      <w:r w:rsidRPr="00E341D3">
        <w:rPr>
          <w:rFonts w:ascii="Book Antiqua" w:eastAsia="宋体" w:hAnsi="Book Antiqua" w:cs="宋体"/>
          <w:b/>
          <w:bCs/>
          <w:kern w:val="0"/>
          <w:sz w:val="24"/>
          <w:szCs w:val="24"/>
          <w:lang w:eastAsia="zh-CN"/>
        </w:rPr>
        <w:t>Gurbel PA</w:t>
      </w:r>
      <w:r w:rsidRPr="00E341D3">
        <w:rPr>
          <w:rFonts w:ascii="Book Antiqua" w:eastAsia="宋体" w:hAnsi="Book Antiqua" w:cs="宋体"/>
          <w:kern w:val="0"/>
          <w:sz w:val="24"/>
          <w:szCs w:val="24"/>
          <w:lang w:eastAsia="zh-CN"/>
        </w:rPr>
        <w:t>, DiChiara J, Tantry US. Antiplatelet therapy after implantation of drug-eluting stents: duration, resistance, alternatives, and management of surgical patients. </w:t>
      </w:r>
      <w:r w:rsidRPr="00E341D3">
        <w:rPr>
          <w:rFonts w:ascii="Book Antiqua" w:eastAsia="宋体" w:hAnsi="Book Antiqua" w:cs="宋体"/>
          <w:i/>
          <w:iCs/>
          <w:kern w:val="0"/>
          <w:sz w:val="24"/>
          <w:szCs w:val="24"/>
          <w:lang w:eastAsia="zh-CN"/>
        </w:rPr>
        <w:t>Am J Cardiol</w:t>
      </w:r>
      <w:r w:rsidRPr="00E341D3">
        <w:rPr>
          <w:rFonts w:ascii="Book Antiqua" w:eastAsia="宋体" w:hAnsi="Book Antiqua" w:cs="宋体"/>
          <w:kern w:val="0"/>
          <w:sz w:val="24"/>
          <w:szCs w:val="24"/>
          <w:lang w:eastAsia="zh-CN"/>
        </w:rPr>
        <w:t> 2007; </w:t>
      </w:r>
      <w:r w:rsidRPr="00E341D3">
        <w:rPr>
          <w:rFonts w:ascii="Book Antiqua" w:eastAsia="宋体" w:hAnsi="Book Antiqua" w:cs="宋体"/>
          <w:b/>
          <w:bCs/>
          <w:kern w:val="0"/>
          <w:sz w:val="24"/>
          <w:szCs w:val="24"/>
          <w:lang w:eastAsia="zh-CN"/>
        </w:rPr>
        <w:t>100</w:t>
      </w:r>
      <w:r w:rsidRPr="00E341D3">
        <w:rPr>
          <w:rFonts w:ascii="Book Antiqua" w:eastAsia="宋体" w:hAnsi="Book Antiqua" w:cs="宋体"/>
          <w:kern w:val="0"/>
          <w:sz w:val="24"/>
          <w:szCs w:val="24"/>
          <w:lang w:eastAsia="zh-CN"/>
        </w:rPr>
        <w:t>: 18M-25M [PMID: 17950828]</w:t>
      </w:r>
    </w:p>
    <w:p w14:paraId="2EA5F579"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2 </w:t>
      </w:r>
      <w:r w:rsidRPr="00E341D3">
        <w:rPr>
          <w:rFonts w:ascii="Book Antiqua" w:eastAsia="宋体" w:hAnsi="Book Antiqua" w:cs="宋体"/>
          <w:b/>
          <w:bCs/>
          <w:kern w:val="0"/>
          <w:sz w:val="24"/>
          <w:szCs w:val="24"/>
          <w:lang w:eastAsia="zh-CN"/>
        </w:rPr>
        <w:t>Brilakis ES</w:t>
      </w:r>
      <w:r w:rsidRPr="00E341D3">
        <w:rPr>
          <w:rFonts w:ascii="Book Antiqua" w:eastAsia="宋体" w:hAnsi="Book Antiqua" w:cs="宋体"/>
          <w:kern w:val="0"/>
          <w:sz w:val="24"/>
          <w:szCs w:val="24"/>
          <w:lang w:eastAsia="zh-CN"/>
        </w:rPr>
        <w:t>, Patel VG, Banerjee S. Medical management after coronary stent implantation: a review. </w:t>
      </w:r>
      <w:r w:rsidRPr="00E341D3">
        <w:rPr>
          <w:rFonts w:ascii="Book Antiqua" w:eastAsia="宋体" w:hAnsi="Book Antiqua" w:cs="宋体"/>
          <w:i/>
          <w:iCs/>
          <w:kern w:val="0"/>
          <w:sz w:val="24"/>
          <w:szCs w:val="24"/>
          <w:lang w:eastAsia="zh-CN"/>
        </w:rPr>
        <w:t>JAMA</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310</w:t>
      </w:r>
      <w:r w:rsidRPr="00E341D3">
        <w:rPr>
          <w:rFonts w:ascii="Book Antiqua" w:eastAsia="宋体" w:hAnsi="Book Antiqua" w:cs="宋体"/>
          <w:kern w:val="0"/>
          <w:sz w:val="24"/>
          <w:szCs w:val="24"/>
          <w:lang w:eastAsia="zh-CN"/>
        </w:rPr>
        <w:t>: 189-198 [PMID: 23839753 DOI: 10.1001/jama.2013.7086]</w:t>
      </w:r>
    </w:p>
    <w:p w14:paraId="2FC6FD52"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3 </w:t>
      </w:r>
      <w:r w:rsidRPr="00E341D3">
        <w:rPr>
          <w:rFonts w:ascii="Book Antiqua" w:eastAsia="宋体" w:hAnsi="Book Antiqua" w:cs="宋体"/>
          <w:b/>
          <w:bCs/>
          <w:kern w:val="0"/>
          <w:sz w:val="24"/>
          <w:szCs w:val="24"/>
          <w:lang w:eastAsia="zh-CN"/>
        </w:rPr>
        <w:t>Grines CL</w:t>
      </w:r>
      <w:r w:rsidRPr="00E341D3">
        <w:rPr>
          <w:rFonts w:ascii="Book Antiqua" w:eastAsia="宋体" w:hAnsi="Book Antiqua" w:cs="宋体"/>
          <w:kern w:val="0"/>
          <w:sz w:val="24"/>
          <w:szCs w:val="24"/>
          <w:lang w:eastAsia="zh-CN"/>
        </w:rPr>
        <w:t>, Bonow RO, Casey DE, Gardner TJ, Lockhart PB, Moliterno DJ, O'Gara P, Whitlow P. Prevention of premature discontinuation of dual antiplatelet therapy in patients with coronary artery stents: a science advisory from the American Heart Association, American College of Cardiology, Society for Cardiovascular Angiography and Interventions, American College of Surgeons, and American Dental Association, with representation from the American College of Physicians. </w:t>
      </w:r>
      <w:r w:rsidRPr="00E341D3">
        <w:rPr>
          <w:rFonts w:ascii="Book Antiqua" w:eastAsia="宋体" w:hAnsi="Book Antiqua" w:cs="宋体"/>
          <w:i/>
          <w:iCs/>
          <w:kern w:val="0"/>
          <w:sz w:val="24"/>
          <w:szCs w:val="24"/>
          <w:lang w:eastAsia="zh-CN"/>
        </w:rPr>
        <w:t>Catheter Cardiovasc Interv</w:t>
      </w:r>
      <w:r w:rsidRPr="00E341D3">
        <w:rPr>
          <w:rFonts w:ascii="Book Antiqua" w:eastAsia="宋体" w:hAnsi="Book Antiqua" w:cs="宋体"/>
          <w:kern w:val="0"/>
          <w:sz w:val="24"/>
          <w:szCs w:val="24"/>
          <w:lang w:eastAsia="zh-CN"/>
        </w:rPr>
        <w:t> 2007; </w:t>
      </w:r>
      <w:r w:rsidRPr="00E341D3">
        <w:rPr>
          <w:rFonts w:ascii="Book Antiqua" w:eastAsia="宋体" w:hAnsi="Book Antiqua" w:cs="宋体"/>
          <w:b/>
          <w:bCs/>
          <w:kern w:val="0"/>
          <w:sz w:val="24"/>
          <w:szCs w:val="24"/>
          <w:lang w:eastAsia="zh-CN"/>
        </w:rPr>
        <w:t>69</w:t>
      </w:r>
      <w:r w:rsidRPr="00E341D3">
        <w:rPr>
          <w:rFonts w:ascii="Book Antiqua" w:eastAsia="宋体" w:hAnsi="Book Antiqua" w:cs="宋体"/>
          <w:kern w:val="0"/>
          <w:sz w:val="24"/>
          <w:szCs w:val="24"/>
          <w:lang w:eastAsia="zh-CN"/>
        </w:rPr>
        <w:t>: 334-340 [PMID: 17295287]</w:t>
      </w:r>
    </w:p>
    <w:p w14:paraId="7FF10EDF"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4 </w:t>
      </w:r>
      <w:r w:rsidRPr="00E341D3">
        <w:rPr>
          <w:rFonts w:ascii="Book Antiqua" w:eastAsia="宋体" w:hAnsi="Book Antiqua" w:cs="宋体"/>
          <w:b/>
          <w:bCs/>
          <w:kern w:val="0"/>
          <w:sz w:val="24"/>
          <w:szCs w:val="24"/>
          <w:lang w:eastAsia="zh-CN"/>
        </w:rPr>
        <w:t>Kushner FG</w:t>
      </w:r>
      <w:r w:rsidRPr="00E341D3">
        <w:rPr>
          <w:rFonts w:ascii="Book Antiqua" w:eastAsia="宋体" w:hAnsi="Book Antiqua" w:cs="宋体"/>
          <w:kern w:val="0"/>
          <w:sz w:val="24"/>
          <w:szCs w:val="24"/>
          <w:lang w:eastAsia="zh-CN"/>
        </w:rPr>
        <w:t>, Hand M, Smith SC, King SB, Anderson JL, Antman EM, Bailey SR, Bates ER, Blankenship JC, Casey DE, Green LA, Hochman JS, Jacobs AK, Krumholz HM, Morrison DA, Ornato JP, Pearle DL, Peterson ED, Sloan MA, Whitlow PL, Williams DO.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w:t>
      </w:r>
      <w:r w:rsidRPr="00E341D3">
        <w:rPr>
          <w:rFonts w:ascii="Book Antiqua" w:eastAsia="宋体" w:hAnsi="Book Antiqua" w:cs="宋体"/>
          <w:i/>
          <w:iCs/>
          <w:kern w:val="0"/>
          <w:sz w:val="24"/>
          <w:szCs w:val="24"/>
          <w:lang w:eastAsia="zh-CN"/>
        </w:rPr>
        <w:t>J Am Coll Cardiol</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54</w:t>
      </w:r>
      <w:r w:rsidRPr="00E341D3">
        <w:rPr>
          <w:rFonts w:ascii="Book Antiqua" w:eastAsia="宋体" w:hAnsi="Book Antiqua" w:cs="宋体"/>
          <w:kern w:val="0"/>
          <w:sz w:val="24"/>
          <w:szCs w:val="24"/>
          <w:lang w:eastAsia="zh-CN"/>
        </w:rPr>
        <w:t>: 2205-2241 [PMID: 19942100 DOI: 10.1016/j.jacc.2009.10.015]</w:t>
      </w:r>
    </w:p>
    <w:p w14:paraId="5DD48A47" w14:textId="514265D3"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 A randomised, blinded, trial of clopidogrel versus aspirin in patients at risk of ischaemic events (CAPRIE). CAPRIE Steering Committee.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1996; </w:t>
      </w:r>
      <w:r w:rsidRPr="00E341D3">
        <w:rPr>
          <w:rFonts w:ascii="Book Antiqua" w:eastAsia="宋体" w:hAnsi="Book Antiqua" w:cs="宋体"/>
          <w:b/>
          <w:bCs/>
          <w:kern w:val="0"/>
          <w:sz w:val="24"/>
          <w:szCs w:val="24"/>
          <w:lang w:eastAsia="zh-CN"/>
        </w:rPr>
        <w:t>348</w:t>
      </w:r>
      <w:r w:rsidRPr="00E341D3">
        <w:rPr>
          <w:rFonts w:ascii="Book Antiqua" w:eastAsia="宋体" w:hAnsi="Book Antiqua" w:cs="宋体"/>
          <w:kern w:val="0"/>
          <w:sz w:val="24"/>
          <w:szCs w:val="24"/>
          <w:lang w:eastAsia="zh-CN"/>
        </w:rPr>
        <w:t>: 1329-1339 [PMID: 8918275]</w:t>
      </w:r>
    </w:p>
    <w:p w14:paraId="3DC9BD01"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6 </w:t>
      </w:r>
      <w:r w:rsidRPr="00E341D3">
        <w:rPr>
          <w:rFonts w:ascii="Book Antiqua" w:eastAsia="宋体" w:hAnsi="Book Antiqua" w:cs="宋体"/>
          <w:b/>
          <w:bCs/>
          <w:kern w:val="0"/>
          <w:sz w:val="24"/>
          <w:szCs w:val="24"/>
          <w:lang w:eastAsia="zh-CN"/>
        </w:rPr>
        <w:t>Liberopoulos EN</w:t>
      </w:r>
      <w:r w:rsidRPr="00E341D3">
        <w:rPr>
          <w:rFonts w:ascii="Book Antiqua" w:eastAsia="宋体" w:hAnsi="Book Antiqua" w:cs="宋体"/>
          <w:kern w:val="0"/>
          <w:sz w:val="24"/>
          <w:szCs w:val="24"/>
          <w:lang w:eastAsia="zh-CN"/>
        </w:rPr>
        <w:t>, Elisaf MS, Tselepis AD, Archimandritis A, Kiskinis D, Cokkinos D, Mikhailidis DP. Upper gastrointestinal haemorrhage complicating antiplatelet treatment with aspirin and/or clopidogrel: where we are now? </w:t>
      </w:r>
      <w:r w:rsidRPr="00E341D3">
        <w:rPr>
          <w:rFonts w:ascii="Book Antiqua" w:eastAsia="宋体" w:hAnsi="Book Antiqua" w:cs="宋体"/>
          <w:i/>
          <w:iCs/>
          <w:kern w:val="0"/>
          <w:sz w:val="24"/>
          <w:szCs w:val="24"/>
          <w:lang w:eastAsia="zh-CN"/>
        </w:rPr>
        <w:t>Platelets</w:t>
      </w:r>
      <w:r w:rsidRPr="00E341D3">
        <w:rPr>
          <w:rFonts w:ascii="Book Antiqua" w:eastAsia="宋体" w:hAnsi="Book Antiqua" w:cs="宋体"/>
          <w:kern w:val="0"/>
          <w:sz w:val="24"/>
          <w:szCs w:val="24"/>
          <w:lang w:eastAsia="zh-CN"/>
        </w:rPr>
        <w:t> 2006; </w:t>
      </w:r>
      <w:r w:rsidRPr="00E341D3">
        <w:rPr>
          <w:rFonts w:ascii="Book Antiqua" w:eastAsia="宋体" w:hAnsi="Book Antiqua" w:cs="宋体"/>
          <w:b/>
          <w:bCs/>
          <w:kern w:val="0"/>
          <w:sz w:val="24"/>
          <w:szCs w:val="24"/>
          <w:lang w:eastAsia="zh-CN"/>
        </w:rPr>
        <w:t>17</w:t>
      </w:r>
      <w:r w:rsidRPr="00E341D3">
        <w:rPr>
          <w:rFonts w:ascii="Book Antiqua" w:eastAsia="宋体" w:hAnsi="Book Antiqua" w:cs="宋体"/>
          <w:kern w:val="0"/>
          <w:sz w:val="24"/>
          <w:szCs w:val="24"/>
          <w:lang w:eastAsia="zh-CN"/>
        </w:rPr>
        <w:t>: 1-6 [PMID: 16308180]</w:t>
      </w:r>
    </w:p>
    <w:p w14:paraId="7F64A8D3" w14:textId="1D325BEF"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 xml:space="preserve">7 </w:t>
      </w:r>
      <w:r w:rsidRPr="00E341D3">
        <w:rPr>
          <w:rFonts w:ascii="Book Antiqua" w:eastAsia="宋体" w:hAnsi="Book Antiqua" w:cs="宋体"/>
          <w:b/>
          <w:kern w:val="0"/>
          <w:sz w:val="24"/>
          <w:szCs w:val="24"/>
          <w:lang w:eastAsia="zh-CN"/>
        </w:rPr>
        <w:t>Eikelbom JW</w:t>
      </w:r>
      <w:r w:rsidRPr="00E341D3">
        <w:rPr>
          <w:rFonts w:ascii="Book Antiqua" w:eastAsia="宋体" w:hAnsi="Book Antiqua" w:cs="宋体"/>
          <w:kern w:val="0"/>
          <w:sz w:val="24"/>
          <w:szCs w:val="24"/>
          <w:lang w:eastAsia="zh-CN"/>
        </w:rPr>
        <w:t xml:space="preserve">, Hirsh J. Bleeding and management of bleeding. </w:t>
      </w:r>
      <w:r w:rsidRPr="00E341D3">
        <w:rPr>
          <w:rFonts w:ascii="Book Antiqua" w:eastAsia="宋体" w:hAnsi="Book Antiqua" w:cs="宋体"/>
          <w:i/>
          <w:kern w:val="0"/>
          <w:sz w:val="24"/>
          <w:szCs w:val="24"/>
          <w:lang w:eastAsia="zh-CN"/>
        </w:rPr>
        <w:t>European Heart J</w:t>
      </w:r>
      <w:r w:rsidRPr="00E341D3">
        <w:rPr>
          <w:rFonts w:ascii="Book Antiqua" w:eastAsia="宋体" w:hAnsi="Book Antiqua" w:cs="宋体"/>
          <w:kern w:val="0"/>
          <w:sz w:val="24"/>
          <w:szCs w:val="24"/>
          <w:lang w:eastAsia="zh-CN"/>
        </w:rPr>
        <w:t xml:space="preserve"> </w:t>
      </w:r>
      <w:r w:rsidRPr="00E341D3">
        <w:rPr>
          <w:rFonts w:ascii="Book Antiqua" w:eastAsia="宋体" w:hAnsi="Book Antiqua" w:cs="宋体" w:hint="eastAsia"/>
          <w:kern w:val="0"/>
          <w:sz w:val="24"/>
          <w:szCs w:val="24"/>
          <w:lang w:eastAsia="zh-CN"/>
        </w:rPr>
        <w:t xml:space="preserve">2006; </w:t>
      </w:r>
      <w:r w:rsidRPr="00E341D3">
        <w:rPr>
          <w:rFonts w:ascii="Book Antiqua" w:eastAsia="宋体" w:hAnsi="Book Antiqua" w:cs="宋体"/>
          <w:b/>
          <w:kern w:val="0"/>
          <w:sz w:val="24"/>
          <w:szCs w:val="24"/>
          <w:lang w:eastAsia="zh-CN"/>
        </w:rPr>
        <w:t>Suppl 8</w:t>
      </w:r>
      <w:r w:rsidRPr="00E341D3">
        <w:rPr>
          <w:rFonts w:ascii="Book Antiqua" w:eastAsia="宋体" w:hAnsi="Book Antiqua" w:cs="宋体"/>
          <w:kern w:val="0"/>
          <w:sz w:val="24"/>
          <w:szCs w:val="24"/>
          <w:lang w:eastAsia="zh-CN"/>
        </w:rPr>
        <w:t>: G38-G45 [DOI: 10.1093/eurheartj/sul054]</w:t>
      </w:r>
    </w:p>
    <w:p w14:paraId="53ADA235"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8 </w:t>
      </w:r>
      <w:r w:rsidRPr="00E341D3">
        <w:rPr>
          <w:rFonts w:ascii="Book Antiqua" w:eastAsia="宋体" w:hAnsi="Book Antiqua" w:cs="宋体"/>
          <w:b/>
          <w:bCs/>
          <w:kern w:val="0"/>
          <w:sz w:val="24"/>
          <w:szCs w:val="24"/>
          <w:lang w:eastAsia="zh-CN"/>
        </w:rPr>
        <w:t>Shiotani A</w:t>
      </w:r>
      <w:r w:rsidRPr="00E341D3">
        <w:rPr>
          <w:rFonts w:ascii="Book Antiqua" w:eastAsia="宋体" w:hAnsi="Book Antiqua" w:cs="宋体"/>
          <w:kern w:val="0"/>
          <w:sz w:val="24"/>
          <w:szCs w:val="24"/>
          <w:lang w:eastAsia="zh-CN"/>
        </w:rPr>
        <w:t>, Kamada T, Haruma K. Low-dose aspirin-induced gastrointestinal diseases: past, present, and future. </w:t>
      </w:r>
      <w:r w:rsidRPr="00E341D3">
        <w:rPr>
          <w:rFonts w:ascii="Book Antiqua" w:eastAsia="宋体" w:hAnsi="Book Antiqua" w:cs="宋体"/>
          <w:i/>
          <w:iCs/>
          <w:kern w:val="0"/>
          <w:sz w:val="24"/>
          <w:szCs w:val="24"/>
          <w:lang w:eastAsia="zh-CN"/>
        </w:rPr>
        <w:t>J Gastroenterol</w:t>
      </w:r>
      <w:r w:rsidRPr="00E341D3">
        <w:rPr>
          <w:rFonts w:ascii="Book Antiqua" w:eastAsia="宋体" w:hAnsi="Book Antiqua" w:cs="宋体"/>
          <w:kern w:val="0"/>
          <w:sz w:val="24"/>
          <w:szCs w:val="24"/>
          <w:lang w:eastAsia="zh-CN"/>
        </w:rPr>
        <w:t> 2008; </w:t>
      </w:r>
      <w:r w:rsidRPr="00E341D3">
        <w:rPr>
          <w:rFonts w:ascii="Book Antiqua" w:eastAsia="宋体" w:hAnsi="Book Antiqua" w:cs="宋体"/>
          <w:b/>
          <w:bCs/>
          <w:kern w:val="0"/>
          <w:sz w:val="24"/>
          <w:szCs w:val="24"/>
          <w:lang w:eastAsia="zh-CN"/>
        </w:rPr>
        <w:t>43</w:t>
      </w:r>
      <w:r w:rsidRPr="00E341D3">
        <w:rPr>
          <w:rFonts w:ascii="Book Antiqua" w:eastAsia="宋体" w:hAnsi="Book Antiqua" w:cs="宋体"/>
          <w:kern w:val="0"/>
          <w:sz w:val="24"/>
          <w:szCs w:val="24"/>
          <w:lang w:eastAsia="zh-CN"/>
        </w:rPr>
        <w:t>: 581-588 [PMID: 18709479 DOI: 10.1007/s00535-008-2206-5]</w:t>
      </w:r>
    </w:p>
    <w:p w14:paraId="4734B953"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9 </w:t>
      </w:r>
      <w:r w:rsidRPr="00E341D3">
        <w:rPr>
          <w:rFonts w:ascii="Book Antiqua" w:eastAsia="宋体" w:hAnsi="Book Antiqua" w:cs="宋体"/>
          <w:b/>
          <w:bCs/>
          <w:kern w:val="0"/>
          <w:sz w:val="24"/>
          <w:szCs w:val="24"/>
          <w:lang w:eastAsia="zh-CN"/>
        </w:rPr>
        <w:t>Yasuda H</w:t>
      </w:r>
      <w:r w:rsidRPr="00E341D3">
        <w:rPr>
          <w:rFonts w:ascii="Book Antiqua" w:eastAsia="宋体" w:hAnsi="Book Antiqua" w:cs="宋体"/>
          <w:kern w:val="0"/>
          <w:sz w:val="24"/>
          <w:szCs w:val="24"/>
          <w:lang w:eastAsia="zh-CN"/>
        </w:rPr>
        <w:t>, Yamada M, Sawada S, Endo Y, Inoue K, Asano F, Takeyama Y, Yoshiba M. Upper gastrointestinal bleeding in patients receiving dual antiplatelet therapy after coronary stenting. </w:t>
      </w:r>
      <w:r w:rsidRPr="00E341D3">
        <w:rPr>
          <w:rFonts w:ascii="Book Antiqua" w:eastAsia="宋体" w:hAnsi="Book Antiqua" w:cs="宋体"/>
          <w:i/>
          <w:iCs/>
          <w:kern w:val="0"/>
          <w:sz w:val="24"/>
          <w:szCs w:val="24"/>
          <w:lang w:eastAsia="zh-CN"/>
        </w:rPr>
        <w:t>Intern Med</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48</w:t>
      </w:r>
      <w:r w:rsidRPr="00E341D3">
        <w:rPr>
          <w:rFonts w:ascii="Book Antiqua" w:eastAsia="宋体" w:hAnsi="Book Antiqua" w:cs="宋体"/>
          <w:kern w:val="0"/>
          <w:sz w:val="24"/>
          <w:szCs w:val="24"/>
          <w:lang w:eastAsia="zh-CN"/>
        </w:rPr>
        <w:t>: 1725-1730 [PMID: 19797827]</w:t>
      </w:r>
    </w:p>
    <w:p w14:paraId="4CB67879"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10 </w:t>
      </w:r>
      <w:r w:rsidRPr="00E341D3">
        <w:rPr>
          <w:rFonts w:ascii="Book Antiqua" w:eastAsia="宋体" w:hAnsi="Book Antiqua" w:cs="宋体"/>
          <w:b/>
          <w:bCs/>
          <w:kern w:val="0"/>
          <w:sz w:val="24"/>
          <w:szCs w:val="24"/>
          <w:lang w:eastAsia="zh-CN"/>
        </w:rPr>
        <w:t>Cattaneo M</w:t>
      </w:r>
      <w:r w:rsidRPr="00E341D3">
        <w:rPr>
          <w:rFonts w:ascii="Book Antiqua" w:eastAsia="宋体" w:hAnsi="Book Antiqua" w:cs="宋体"/>
          <w:kern w:val="0"/>
          <w:sz w:val="24"/>
          <w:szCs w:val="24"/>
          <w:lang w:eastAsia="zh-CN"/>
        </w:rPr>
        <w:t>. Aspirin and clopidogrel: efficacy, safety, and the issue of drug resistance. </w:t>
      </w:r>
      <w:r w:rsidRPr="00E341D3">
        <w:rPr>
          <w:rFonts w:ascii="Book Antiqua" w:eastAsia="宋体" w:hAnsi="Book Antiqua" w:cs="宋体"/>
          <w:i/>
          <w:iCs/>
          <w:kern w:val="0"/>
          <w:sz w:val="24"/>
          <w:szCs w:val="24"/>
          <w:lang w:eastAsia="zh-CN"/>
        </w:rPr>
        <w:t>Arterioscler Thromb Vasc Biol</w:t>
      </w:r>
      <w:r w:rsidRPr="00E341D3">
        <w:rPr>
          <w:rFonts w:ascii="Book Antiqua" w:eastAsia="宋体" w:hAnsi="Book Antiqua" w:cs="宋体"/>
          <w:kern w:val="0"/>
          <w:sz w:val="24"/>
          <w:szCs w:val="24"/>
          <w:lang w:eastAsia="zh-CN"/>
        </w:rPr>
        <w:t> 2004; </w:t>
      </w:r>
      <w:r w:rsidRPr="00E341D3">
        <w:rPr>
          <w:rFonts w:ascii="Book Antiqua" w:eastAsia="宋体" w:hAnsi="Book Antiqua" w:cs="宋体"/>
          <w:b/>
          <w:bCs/>
          <w:kern w:val="0"/>
          <w:sz w:val="24"/>
          <w:szCs w:val="24"/>
          <w:lang w:eastAsia="zh-CN"/>
        </w:rPr>
        <w:t>24</w:t>
      </w:r>
      <w:r w:rsidRPr="00E341D3">
        <w:rPr>
          <w:rFonts w:ascii="Book Antiqua" w:eastAsia="宋体" w:hAnsi="Book Antiqua" w:cs="宋体"/>
          <w:kern w:val="0"/>
          <w:sz w:val="24"/>
          <w:szCs w:val="24"/>
          <w:lang w:eastAsia="zh-CN"/>
        </w:rPr>
        <w:t>: 1980-1987 [PMID: 15388526]</w:t>
      </w:r>
    </w:p>
    <w:p w14:paraId="0F389333"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11 </w:t>
      </w:r>
      <w:r w:rsidRPr="00E341D3">
        <w:rPr>
          <w:rFonts w:ascii="Book Antiqua" w:eastAsia="宋体" w:hAnsi="Book Antiqua" w:cs="宋体"/>
          <w:b/>
          <w:bCs/>
          <w:kern w:val="0"/>
          <w:sz w:val="24"/>
          <w:szCs w:val="24"/>
          <w:lang w:eastAsia="zh-CN"/>
        </w:rPr>
        <w:t>Baigent C</w:t>
      </w:r>
      <w:r w:rsidRPr="00E341D3">
        <w:rPr>
          <w:rFonts w:ascii="Book Antiqua" w:eastAsia="宋体" w:hAnsi="Book Antiqua" w:cs="宋体"/>
          <w:kern w:val="0"/>
          <w:sz w:val="24"/>
          <w:szCs w:val="24"/>
          <w:lang w:eastAsia="zh-CN"/>
        </w:rPr>
        <w:t>, Blackwell L, Collins R, Emberson J, Godwin J, Peto R, Buring J, Hennekens C, Kearney P, Meade T, Patrono C, Roncaglioni MC, Zanchetti A. Aspirin in the primary and secondary prevention of vascular disease: collaborative meta-analysis of individual participant data from randomised trials.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373</w:t>
      </w:r>
      <w:r w:rsidRPr="00E341D3">
        <w:rPr>
          <w:rFonts w:ascii="Book Antiqua" w:eastAsia="宋体" w:hAnsi="Book Antiqua" w:cs="宋体"/>
          <w:kern w:val="0"/>
          <w:sz w:val="24"/>
          <w:szCs w:val="24"/>
          <w:lang w:eastAsia="zh-CN"/>
        </w:rPr>
        <w:t>: 1849-1860 [PMID: 19482214 DOI: 10.1016/S0140-6736(09)60503-1]</w:t>
      </w:r>
    </w:p>
    <w:p w14:paraId="0873CBD2"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12 </w:t>
      </w:r>
      <w:r w:rsidRPr="00E341D3">
        <w:rPr>
          <w:rFonts w:ascii="Book Antiqua" w:eastAsia="宋体" w:hAnsi="Book Antiqua" w:cs="宋体"/>
          <w:b/>
          <w:bCs/>
          <w:kern w:val="0"/>
          <w:sz w:val="24"/>
          <w:szCs w:val="24"/>
          <w:lang w:eastAsia="zh-CN"/>
        </w:rPr>
        <w:t>Berger JS</w:t>
      </w:r>
      <w:r w:rsidRPr="00E341D3">
        <w:rPr>
          <w:rFonts w:ascii="Book Antiqua" w:eastAsia="宋体" w:hAnsi="Book Antiqua" w:cs="宋体"/>
          <w:kern w:val="0"/>
          <w:sz w:val="24"/>
          <w:szCs w:val="24"/>
          <w:lang w:eastAsia="zh-CN"/>
        </w:rPr>
        <w:t>, Brown DL, Becker RC. Low-dose aspirin in patients with stable cardiovascular disease: a meta-analysis. </w:t>
      </w:r>
      <w:r w:rsidRPr="00E341D3">
        <w:rPr>
          <w:rFonts w:ascii="Book Antiqua" w:eastAsia="宋体" w:hAnsi="Book Antiqua" w:cs="宋体"/>
          <w:i/>
          <w:iCs/>
          <w:kern w:val="0"/>
          <w:sz w:val="24"/>
          <w:szCs w:val="24"/>
          <w:lang w:eastAsia="zh-CN"/>
        </w:rPr>
        <w:t>Am J Med</w:t>
      </w:r>
      <w:r w:rsidRPr="00E341D3">
        <w:rPr>
          <w:rFonts w:ascii="Book Antiqua" w:eastAsia="宋体" w:hAnsi="Book Antiqua" w:cs="宋体"/>
          <w:kern w:val="0"/>
          <w:sz w:val="24"/>
          <w:szCs w:val="24"/>
          <w:lang w:eastAsia="zh-CN"/>
        </w:rPr>
        <w:t> 2008; </w:t>
      </w:r>
      <w:r w:rsidRPr="00E341D3">
        <w:rPr>
          <w:rFonts w:ascii="Book Antiqua" w:eastAsia="宋体" w:hAnsi="Book Antiqua" w:cs="宋体"/>
          <w:b/>
          <w:bCs/>
          <w:kern w:val="0"/>
          <w:sz w:val="24"/>
          <w:szCs w:val="24"/>
          <w:lang w:eastAsia="zh-CN"/>
        </w:rPr>
        <w:t>121</w:t>
      </w:r>
      <w:r w:rsidRPr="00E341D3">
        <w:rPr>
          <w:rFonts w:ascii="Book Antiqua" w:eastAsia="宋体" w:hAnsi="Book Antiqua" w:cs="宋体"/>
          <w:kern w:val="0"/>
          <w:sz w:val="24"/>
          <w:szCs w:val="24"/>
          <w:lang w:eastAsia="zh-CN"/>
        </w:rPr>
        <w:t>: 43-49 [PMID: 18187072 DOI: 10.1016/j.amjmed.2007.10.002]</w:t>
      </w:r>
    </w:p>
    <w:p w14:paraId="5D5EE4EB" w14:textId="1930E704"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 xml:space="preserve">13 </w:t>
      </w:r>
      <w:r w:rsidRPr="00E341D3">
        <w:rPr>
          <w:rFonts w:ascii="Book Antiqua" w:eastAsia="宋体" w:hAnsi="Book Antiqua" w:cs="宋体"/>
          <w:b/>
          <w:kern w:val="0"/>
          <w:sz w:val="24"/>
          <w:szCs w:val="24"/>
          <w:lang w:eastAsia="zh-CN"/>
        </w:rPr>
        <w:t xml:space="preserve">Yasuda H. </w:t>
      </w:r>
      <w:r w:rsidRPr="00E341D3">
        <w:rPr>
          <w:rFonts w:ascii="Book Antiqua" w:eastAsia="宋体" w:hAnsi="Book Antiqua" w:cs="宋体"/>
          <w:kern w:val="0"/>
          <w:sz w:val="24"/>
          <w:szCs w:val="24"/>
          <w:lang w:eastAsia="zh-CN"/>
        </w:rPr>
        <w:t>Safety and efficacy of clopidogrel before surgery. Clinical Medicine Insights: Therapeutics 3</w:t>
      </w:r>
      <w:r w:rsidRPr="00E341D3">
        <w:rPr>
          <w:rFonts w:ascii="Book Antiqua" w:eastAsia="宋体" w:hAnsi="Book Antiqua" w:cs="宋体" w:hint="eastAsia"/>
          <w:kern w:val="0"/>
          <w:sz w:val="24"/>
          <w:szCs w:val="24"/>
          <w:lang w:eastAsia="zh-CN"/>
        </w:rPr>
        <w:t>,</w:t>
      </w:r>
      <w:r w:rsidRPr="00E341D3">
        <w:rPr>
          <w:rFonts w:ascii="Book Antiqua" w:eastAsia="宋体" w:hAnsi="Book Antiqua" w:cs="宋体"/>
          <w:kern w:val="0"/>
          <w:sz w:val="24"/>
          <w:szCs w:val="24"/>
          <w:lang w:eastAsia="zh-CN"/>
        </w:rPr>
        <w:t xml:space="preserve"> 2011: 103–111 [DOI: 10.4137/CMT.S2334]</w:t>
      </w:r>
    </w:p>
    <w:p w14:paraId="1C80FCF7"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14 </w:t>
      </w:r>
      <w:r w:rsidRPr="00E341D3">
        <w:rPr>
          <w:rFonts w:ascii="Book Antiqua" w:eastAsia="宋体" w:hAnsi="Book Antiqua" w:cs="宋体"/>
          <w:b/>
          <w:bCs/>
          <w:kern w:val="0"/>
          <w:sz w:val="24"/>
          <w:szCs w:val="24"/>
          <w:lang w:eastAsia="zh-CN"/>
        </w:rPr>
        <w:t>Yusuf S</w:t>
      </w:r>
      <w:r w:rsidRPr="00E341D3">
        <w:rPr>
          <w:rFonts w:ascii="Book Antiqua" w:eastAsia="宋体" w:hAnsi="Book Antiqua" w:cs="宋体"/>
          <w:kern w:val="0"/>
          <w:sz w:val="24"/>
          <w:szCs w:val="24"/>
          <w:lang w:eastAsia="zh-CN"/>
        </w:rPr>
        <w:t>, Zhao F, Mehta SR, Chrolavicius S, Tognoni G, Fox KK. Effects of clopidogrel in addition to aspirin in patients with acute coronary syndromes without ST-segment elevation.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2001; </w:t>
      </w:r>
      <w:r w:rsidRPr="00E341D3">
        <w:rPr>
          <w:rFonts w:ascii="Book Antiqua" w:eastAsia="宋体" w:hAnsi="Book Antiqua" w:cs="宋体"/>
          <w:b/>
          <w:bCs/>
          <w:kern w:val="0"/>
          <w:sz w:val="24"/>
          <w:szCs w:val="24"/>
          <w:lang w:eastAsia="zh-CN"/>
        </w:rPr>
        <w:t>345</w:t>
      </w:r>
      <w:r w:rsidRPr="00E341D3">
        <w:rPr>
          <w:rFonts w:ascii="Book Antiqua" w:eastAsia="宋体" w:hAnsi="Book Antiqua" w:cs="宋体"/>
          <w:kern w:val="0"/>
          <w:sz w:val="24"/>
          <w:szCs w:val="24"/>
          <w:lang w:eastAsia="zh-CN"/>
        </w:rPr>
        <w:t>: 494-502 [PMID: 11519503]</w:t>
      </w:r>
    </w:p>
    <w:p w14:paraId="1B75514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15 </w:t>
      </w:r>
      <w:r w:rsidRPr="00E341D3">
        <w:rPr>
          <w:rFonts w:ascii="Book Antiqua" w:eastAsia="宋体" w:hAnsi="Book Antiqua" w:cs="宋体"/>
          <w:b/>
          <w:bCs/>
          <w:kern w:val="0"/>
          <w:sz w:val="24"/>
          <w:szCs w:val="24"/>
          <w:lang w:eastAsia="zh-CN"/>
        </w:rPr>
        <w:t>Mehta SR</w:t>
      </w:r>
      <w:r w:rsidRPr="00E341D3">
        <w:rPr>
          <w:rFonts w:ascii="Book Antiqua" w:eastAsia="宋体" w:hAnsi="Book Antiqua" w:cs="宋体"/>
          <w:kern w:val="0"/>
          <w:sz w:val="24"/>
          <w:szCs w:val="24"/>
          <w:lang w:eastAsia="zh-CN"/>
        </w:rPr>
        <w:t>, Yusuf S, Peters RJ, Bertrand ME, Lewis BS, Natarajan MK, Malmberg K, Rupprecht H, Zhao F, Chrolavicius S, Copland I, Fox KA. Effects of pretreatment with clopidogrel and aspirin followed by long-term therapy in patients undergoing percutaneous coronary intervention: the PCI-CURE study.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2001; </w:t>
      </w:r>
      <w:r w:rsidRPr="00E341D3">
        <w:rPr>
          <w:rFonts w:ascii="Book Antiqua" w:eastAsia="宋体" w:hAnsi="Book Antiqua" w:cs="宋体"/>
          <w:b/>
          <w:bCs/>
          <w:kern w:val="0"/>
          <w:sz w:val="24"/>
          <w:szCs w:val="24"/>
          <w:lang w:eastAsia="zh-CN"/>
        </w:rPr>
        <w:t>358</w:t>
      </w:r>
      <w:r w:rsidRPr="00E341D3">
        <w:rPr>
          <w:rFonts w:ascii="Book Antiqua" w:eastAsia="宋体" w:hAnsi="Book Antiqua" w:cs="宋体"/>
          <w:kern w:val="0"/>
          <w:sz w:val="24"/>
          <w:szCs w:val="24"/>
          <w:lang w:eastAsia="zh-CN"/>
        </w:rPr>
        <w:t>: 527-533 [PMID: 11520521]</w:t>
      </w:r>
    </w:p>
    <w:p w14:paraId="7EBC819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16 </w:t>
      </w:r>
      <w:r w:rsidRPr="00E341D3">
        <w:rPr>
          <w:rFonts w:ascii="Book Antiqua" w:eastAsia="宋体" w:hAnsi="Book Antiqua" w:cs="宋体"/>
          <w:b/>
          <w:bCs/>
          <w:kern w:val="0"/>
          <w:sz w:val="24"/>
          <w:szCs w:val="24"/>
          <w:lang w:eastAsia="zh-CN"/>
        </w:rPr>
        <w:t>Chan FK</w:t>
      </w:r>
      <w:r w:rsidRPr="00E341D3">
        <w:rPr>
          <w:rFonts w:ascii="Book Antiqua" w:eastAsia="宋体" w:hAnsi="Book Antiqua" w:cs="宋体"/>
          <w:kern w:val="0"/>
          <w:sz w:val="24"/>
          <w:szCs w:val="24"/>
          <w:lang w:eastAsia="zh-CN"/>
        </w:rPr>
        <w:t>, Chung SC, Suen BY, Lee YT, Leung WK, Leung VK, Wu JC, Lau JY, Hui Y, Lai MS, Chan HL, Sung JJ. Preventing recurrent upper gastrointestinal bleeding in patients with Helicobacter pylori infection who are taking low-dose aspirin or naproxen.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2001; </w:t>
      </w:r>
      <w:r w:rsidRPr="00E341D3">
        <w:rPr>
          <w:rFonts w:ascii="Book Antiqua" w:eastAsia="宋体" w:hAnsi="Book Antiqua" w:cs="宋体"/>
          <w:b/>
          <w:bCs/>
          <w:kern w:val="0"/>
          <w:sz w:val="24"/>
          <w:szCs w:val="24"/>
          <w:lang w:eastAsia="zh-CN"/>
        </w:rPr>
        <w:t>344</w:t>
      </w:r>
      <w:r w:rsidRPr="00E341D3">
        <w:rPr>
          <w:rFonts w:ascii="Book Antiqua" w:eastAsia="宋体" w:hAnsi="Book Antiqua" w:cs="宋体"/>
          <w:kern w:val="0"/>
          <w:sz w:val="24"/>
          <w:szCs w:val="24"/>
          <w:lang w:eastAsia="zh-CN"/>
        </w:rPr>
        <w:t>: 967-973 [PMID: 11274623]</w:t>
      </w:r>
    </w:p>
    <w:p w14:paraId="20C535EF"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17 </w:t>
      </w:r>
      <w:r w:rsidRPr="00E341D3">
        <w:rPr>
          <w:rFonts w:ascii="Book Antiqua" w:eastAsia="宋体" w:hAnsi="Book Antiqua" w:cs="宋体"/>
          <w:b/>
          <w:bCs/>
          <w:kern w:val="0"/>
          <w:sz w:val="24"/>
          <w:szCs w:val="24"/>
          <w:lang w:eastAsia="zh-CN"/>
        </w:rPr>
        <w:t>Chin MW</w:t>
      </w:r>
      <w:r w:rsidRPr="00E341D3">
        <w:rPr>
          <w:rFonts w:ascii="Book Antiqua" w:eastAsia="宋体" w:hAnsi="Book Antiqua" w:cs="宋体"/>
          <w:kern w:val="0"/>
          <w:sz w:val="24"/>
          <w:szCs w:val="24"/>
          <w:lang w:eastAsia="zh-CN"/>
        </w:rPr>
        <w:t>, Yong G, Bulsara MK, Rankin J, Forbes GM. Predictive and protective factors associated with upper gastrointestinal bleeding after percutaneous coronary intervention: a case-control study. </w:t>
      </w:r>
      <w:r w:rsidRPr="00E341D3">
        <w:rPr>
          <w:rFonts w:ascii="Book Antiqua" w:eastAsia="宋体" w:hAnsi="Book Antiqua" w:cs="宋体"/>
          <w:i/>
          <w:iCs/>
          <w:kern w:val="0"/>
          <w:sz w:val="24"/>
          <w:szCs w:val="24"/>
          <w:lang w:eastAsia="zh-CN"/>
        </w:rPr>
        <w:t>Am J Gastroenterol</w:t>
      </w:r>
      <w:r w:rsidRPr="00E341D3">
        <w:rPr>
          <w:rFonts w:ascii="Book Antiqua" w:eastAsia="宋体" w:hAnsi="Book Antiqua" w:cs="宋体"/>
          <w:kern w:val="0"/>
          <w:sz w:val="24"/>
          <w:szCs w:val="24"/>
          <w:lang w:eastAsia="zh-CN"/>
        </w:rPr>
        <w:t> 2007; </w:t>
      </w:r>
      <w:r w:rsidRPr="00E341D3">
        <w:rPr>
          <w:rFonts w:ascii="Book Antiqua" w:eastAsia="宋体" w:hAnsi="Book Antiqua" w:cs="宋体"/>
          <w:b/>
          <w:bCs/>
          <w:kern w:val="0"/>
          <w:sz w:val="24"/>
          <w:szCs w:val="24"/>
          <w:lang w:eastAsia="zh-CN"/>
        </w:rPr>
        <w:t>102</w:t>
      </w:r>
      <w:r w:rsidRPr="00E341D3">
        <w:rPr>
          <w:rFonts w:ascii="Book Antiqua" w:eastAsia="宋体" w:hAnsi="Book Antiqua" w:cs="宋体"/>
          <w:kern w:val="0"/>
          <w:sz w:val="24"/>
          <w:szCs w:val="24"/>
          <w:lang w:eastAsia="zh-CN"/>
        </w:rPr>
        <w:t>: 2411-2416 [PMID: 17850413]</w:t>
      </w:r>
    </w:p>
    <w:p w14:paraId="48B2D9D5"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18 </w:t>
      </w:r>
      <w:r w:rsidRPr="00E341D3">
        <w:rPr>
          <w:rFonts w:ascii="Book Antiqua" w:eastAsia="宋体" w:hAnsi="Book Antiqua" w:cs="宋体"/>
          <w:b/>
          <w:bCs/>
          <w:kern w:val="0"/>
          <w:sz w:val="24"/>
          <w:szCs w:val="24"/>
          <w:lang w:eastAsia="zh-CN"/>
        </w:rPr>
        <w:t>Sakamoto C</w:t>
      </w:r>
      <w:r w:rsidRPr="00E341D3">
        <w:rPr>
          <w:rFonts w:ascii="Book Antiqua" w:eastAsia="宋体" w:hAnsi="Book Antiqua" w:cs="宋体"/>
          <w:kern w:val="0"/>
          <w:sz w:val="24"/>
          <w:szCs w:val="24"/>
          <w:lang w:eastAsia="zh-CN"/>
        </w:rPr>
        <w:t>, Sugano K, Ota S, Sakaki N, Takahashi S, Yoshida Y, Tsukui T, Osawa H, Sakurai Y, Yoshino J, Mizokami Y, Mine T, Arakawa T, Kuwayama H, Saigenji K, Yakabi K, Chiba T, Shimosegawa T, Sheehan JE, Perez-Gutthann S, Yamaguchi T, Kaufman DW, Sato T, Kubota K, Terano A. Case-control study on the association of upper gastrointestinal bleeding and nonsteroidal anti-inflammatory drugs in Japan. </w:t>
      </w:r>
      <w:r w:rsidRPr="00E341D3">
        <w:rPr>
          <w:rFonts w:ascii="Book Antiqua" w:eastAsia="宋体" w:hAnsi="Book Antiqua" w:cs="宋体"/>
          <w:i/>
          <w:iCs/>
          <w:kern w:val="0"/>
          <w:sz w:val="24"/>
          <w:szCs w:val="24"/>
          <w:lang w:eastAsia="zh-CN"/>
        </w:rPr>
        <w:t>Eur J Clin Pharmacol</w:t>
      </w:r>
      <w:r w:rsidRPr="00E341D3">
        <w:rPr>
          <w:rFonts w:ascii="Book Antiqua" w:eastAsia="宋体" w:hAnsi="Book Antiqua" w:cs="宋体"/>
          <w:kern w:val="0"/>
          <w:sz w:val="24"/>
          <w:szCs w:val="24"/>
          <w:lang w:eastAsia="zh-CN"/>
        </w:rPr>
        <w:t> 2006; </w:t>
      </w:r>
      <w:r w:rsidRPr="00E341D3">
        <w:rPr>
          <w:rFonts w:ascii="Book Antiqua" w:eastAsia="宋体" w:hAnsi="Book Antiqua" w:cs="宋体"/>
          <w:b/>
          <w:bCs/>
          <w:kern w:val="0"/>
          <w:sz w:val="24"/>
          <w:szCs w:val="24"/>
          <w:lang w:eastAsia="zh-CN"/>
        </w:rPr>
        <w:t>62</w:t>
      </w:r>
      <w:r w:rsidRPr="00E341D3">
        <w:rPr>
          <w:rFonts w:ascii="Book Antiqua" w:eastAsia="宋体" w:hAnsi="Book Antiqua" w:cs="宋体"/>
          <w:kern w:val="0"/>
          <w:sz w:val="24"/>
          <w:szCs w:val="24"/>
          <w:lang w:eastAsia="zh-CN"/>
        </w:rPr>
        <w:t>: 765-772 [PMID: 16821007]</w:t>
      </w:r>
    </w:p>
    <w:p w14:paraId="105B8936"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19 </w:t>
      </w:r>
      <w:r w:rsidRPr="00E341D3">
        <w:rPr>
          <w:rFonts w:ascii="Book Antiqua" w:eastAsia="宋体" w:hAnsi="Book Antiqua" w:cs="宋体"/>
          <w:b/>
          <w:bCs/>
          <w:kern w:val="0"/>
          <w:sz w:val="24"/>
          <w:szCs w:val="24"/>
          <w:lang w:eastAsia="zh-CN"/>
        </w:rPr>
        <w:t>Lanas A</w:t>
      </w:r>
      <w:r w:rsidRPr="00E341D3">
        <w:rPr>
          <w:rFonts w:ascii="Book Antiqua" w:eastAsia="宋体" w:hAnsi="Book Antiqua" w:cs="宋体"/>
          <w:kern w:val="0"/>
          <w:sz w:val="24"/>
          <w:szCs w:val="24"/>
          <w:lang w:eastAsia="zh-CN"/>
        </w:rPr>
        <w:t>, Wu P, Medin J, Mills EJ. Low doses of acetylsalicylic acid increase risk of gastrointestinal bleeding in a meta-analysis. </w:t>
      </w:r>
      <w:r w:rsidRPr="00E341D3">
        <w:rPr>
          <w:rFonts w:ascii="Book Antiqua" w:eastAsia="宋体" w:hAnsi="Book Antiqua" w:cs="宋体"/>
          <w:i/>
          <w:iCs/>
          <w:kern w:val="0"/>
          <w:sz w:val="24"/>
          <w:szCs w:val="24"/>
          <w:lang w:eastAsia="zh-CN"/>
        </w:rPr>
        <w:t>Clin Gastroenterol Hepatol</w:t>
      </w:r>
      <w:r w:rsidRPr="00E341D3">
        <w:rPr>
          <w:rFonts w:ascii="Book Antiqua" w:eastAsia="宋体" w:hAnsi="Book Antiqua" w:cs="宋体"/>
          <w:kern w:val="0"/>
          <w:sz w:val="24"/>
          <w:szCs w:val="24"/>
          <w:lang w:eastAsia="zh-CN"/>
        </w:rPr>
        <w:t> 2011; </w:t>
      </w:r>
      <w:r w:rsidRPr="00E341D3">
        <w:rPr>
          <w:rFonts w:ascii="Book Antiqua" w:eastAsia="宋体" w:hAnsi="Book Antiqua" w:cs="宋体"/>
          <w:b/>
          <w:bCs/>
          <w:kern w:val="0"/>
          <w:sz w:val="24"/>
          <w:szCs w:val="24"/>
          <w:lang w:eastAsia="zh-CN"/>
        </w:rPr>
        <w:t>9</w:t>
      </w:r>
      <w:r w:rsidRPr="00E341D3">
        <w:rPr>
          <w:rFonts w:ascii="Book Antiqua" w:eastAsia="宋体" w:hAnsi="Book Antiqua" w:cs="宋体"/>
          <w:kern w:val="0"/>
          <w:sz w:val="24"/>
          <w:szCs w:val="24"/>
          <w:lang w:eastAsia="zh-CN"/>
        </w:rPr>
        <w:t>: 762-768.e6 [PMID: 21699808 DOI: 10.1016/j.cgh.2011.05.020]</w:t>
      </w:r>
    </w:p>
    <w:p w14:paraId="22ABA560"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20 </w:t>
      </w:r>
      <w:r w:rsidRPr="00E341D3">
        <w:rPr>
          <w:rFonts w:ascii="Book Antiqua" w:eastAsia="宋体" w:hAnsi="Book Antiqua" w:cs="宋体"/>
          <w:b/>
          <w:bCs/>
          <w:kern w:val="0"/>
          <w:sz w:val="24"/>
          <w:szCs w:val="24"/>
          <w:lang w:eastAsia="zh-CN"/>
        </w:rPr>
        <w:t>Grove EL</w:t>
      </w:r>
      <w:r w:rsidRPr="00E341D3">
        <w:rPr>
          <w:rFonts w:ascii="Book Antiqua" w:eastAsia="宋体" w:hAnsi="Book Antiqua" w:cs="宋体"/>
          <w:kern w:val="0"/>
          <w:sz w:val="24"/>
          <w:szCs w:val="24"/>
          <w:lang w:eastAsia="zh-CN"/>
        </w:rPr>
        <w:t>, Würtz M, Schwarz P, Jørgensen NR, Vestergaard P. Gastrointestinal events with clopidogrel: a nationwide population-based cohort study. </w:t>
      </w:r>
      <w:r w:rsidRPr="00E341D3">
        <w:rPr>
          <w:rFonts w:ascii="Book Antiqua" w:eastAsia="宋体" w:hAnsi="Book Antiqua" w:cs="宋体"/>
          <w:i/>
          <w:iCs/>
          <w:kern w:val="0"/>
          <w:sz w:val="24"/>
          <w:szCs w:val="24"/>
          <w:lang w:eastAsia="zh-CN"/>
        </w:rPr>
        <w:t>J Gen Intern Med</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28</w:t>
      </w:r>
      <w:r w:rsidRPr="00E341D3">
        <w:rPr>
          <w:rFonts w:ascii="Book Antiqua" w:eastAsia="宋体" w:hAnsi="Book Antiqua" w:cs="宋体"/>
          <w:kern w:val="0"/>
          <w:sz w:val="24"/>
          <w:szCs w:val="24"/>
          <w:lang w:eastAsia="zh-CN"/>
        </w:rPr>
        <w:t>: 216-222 [PMID: 22948933 DOI: 10.1007/s11606-012-2208-0]</w:t>
      </w:r>
    </w:p>
    <w:p w14:paraId="2DF415AA"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21 </w:t>
      </w:r>
      <w:r w:rsidRPr="00E341D3">
        <w:rPr>
          <w:rFonts w:ascii="Book Antiqua" w:eastAsia="宋体" w:hAnsi="Book Antiqua" w:cs="宋体"/>
          <w:b/>
          <w:bCs/>
          <w:kern w:val="0"/>
          <w:sz w:val="24"/>
          <w:szCs w:val="24"/>
          <w:lang w:eastAsia="zh-CN"/>
        </w:rPr>
        <w:t>Buresly K</w:t>
      </w:r>
      <w:r w:rsidRPr="00E341D3">
        <w:rPr>
          <w:rFonts w:ascii="Book Antiqua" w:eastAsia="宋体" w:hAnsi="Book Antiqua" w:cs="宋体"/>
          <w:kern w:val="0"/>
          <w:sz w:val="24"/>
          <w:szCs w:val="24"/>
          <w:lang w:eastAsia="zh-CN"/>
        </w:rPr>
        <w:t>, Eisenberg MJ, Zhang X, Pilote L. Bleeding complications associated with combinations of aspirin, thienopyridine derivatives, and warfarin in elderly patients following acute myocardial infarction. </w:t>
      </w:r>
      <w:r w:rsidRPr="00E341D3">
        <w:rPr>
          <w:rFonts w:ascii="Book Antiqua" w:eastAsia="宋体" w:hAnsi="Book Antiqua" w:cs="宋体"/>
          <w:i/>
          <w:iCs/>
          <w:kern w:val="0"/>
          <w:sz w:val="24"/>
          <w:szCs w:val="24"/>
          <w:lang w:eastAsia="zh-CN"/>
        </w:rPr>
        <w:t>Arch Intern Med</w:t>
      </w:r>
      <w:r w:rsidRPr="00E341D3">
        <w:rPr>
          <w:rFonts w:ascii="Book Antiqua" w:eastAsia="宋体" w:hAnsi="Book Antiqua" w:cs="宋体"/>
          <w:kern w:val="0"/>
          <w:sz w:val="24"/>
          <w:szCs w:val="24"/>
          <w:lang w:eastAsia="zh-CN"/>
        </w:rPr>
        <w:t> 2005; </w:t>
      </w:r>
      <w:r w:rsidRPr="00E341D3">
        <w:rPr>
          <w:rFonts w:ascii="Book Antiqua" w:eastAsia="宋体" w:hAnsi="Book Antiqua" w:cs="宋体"/>
          <w:b/>
          <w:bCs/>
          <w:kern w:val="0"/>
          <w:sz w:val="24"/>
          <w:szCs w:val="24"/>
          <w:lang w:eastAsia="zh-CN"/>
        </w:rPr>
        <w:t>165</w:t>
      </w:r>
      <w:r w:rsidRPr="00E341D3">
        <w:rPr>
          <w:rFonts w:ascii="Book Antiqua" w:eastAsia="宋体" w:hAnsi="Book Antiqua" w:cs="宋体"/>
          <w:kern w:val="0"/>
          <w:sz w:val="24"/>
          <w:szCs w:val="24"/>
          <w:lang w:eastAsia="zh-CN"/>
        </w:rPr>
        <w:t>: 784-789 [PMID: 15824298]</w:t>
      </w:r>
    </w:p>
    <w:p w14:paraId="07EFE0AB"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22 </w:t>
      </w:r>
      <w:r w:rsidRPr="00E341D3">
        <w:rPr>
          <w:rFonts w:ascii="Book Antiqua" w:eastAsia="宋体" w:hAnsi="Book Antiqua" w:cs="宋体"/>
          <w:b/>
          <w:bCs/>
          <w:kern w:val="0"/>
          <w:sz w:val="24"/>
          <w:szCs w:val="24"/>
          <w:lang w:eastAsia="zh-CN"/>
        </w:rPr>
        <w:t>Steinhubl SR</w:t>
      </w:r>
      <w:r w:rsidRPr="00E341D3">
        <w:rPr>
          <w:rFonts w:ascii="Book Antiqua" w:eastAsia="宋体" w:hAnsi="Book Antiqua" w:cs="宋体"/>
          <w:kern w:val="0"/>
          <w:sz w:val="24"/>
          <w:szCs w:val="24"/>
          <w:lang w:eastAsia="zh-CN"/>
        </w:rPr>
        <w:t>, Berger PB, Mann JT, Fry ET, DeLago A, Wilmer C, Topol EJ. Early and sustained dual oral antiplatelet therapy following percutaneous coronary intervention: a randomized controlled trial. </w:t>
      </w:r>
      <w:r w:rsidRPr="00E341D3">
        <w:rPr>
          <w:rFonts w:ascii="Book Antiqua" w:eastAsia="宋体" w:hAnsi="Book Antiqua" w:cs="宋体"/>
          <w:i/>
          <w:iCs/>
          <w:kern w:val="0"/>
          <w:sz w:val="24"/>
          <w:szCs w:val="24"/>
          <w:lang w:eastAsia="zh-CN"/>
        </w:rPr>
        <w:t>JAMA</w:t>
      </w:r>
      <w:r w:rsidRPr="00E341D3">
        <w:rPr>
          <w:rFonts w:ascii="Book Antiqua" w:eastAsia="宋体" w:hAnsi="Book Antiqua" w:cs="宋体"/>
          <w:kern w:val="0"/>
          <w:sz w:val="24"/>
          <w:szCs w:val="24"/>
          <w:lang w:eastAsia="zh-CN"/>
        </w:rPr>
        <w:t> 2002; </w:t>
      </w:r>
      <w:r w:rsidRPr="00E341D3">
        <w:rPr>
          <w:rFonts w:ascii="Book Antiqua" w:eastAsia="宋体" w:hAnsi="Book Antiqua" w:cs="宋体"/>
          <w:b/>
          <w:bCs/>
          <w:kern w:val="0"/>
          <w:sz w:val="24"/>
          <w:szCs w:val="24"/>
          <w:lang w:eastAsia="zh-CN"/>
        </w:rPr>
        <w:t>288</w:t>
      </w:r>
      <w:r w:rsidRPr="00E341D3">
        <w:rPr>
          <w:rFonts w:ascii="Book Antiqua" w:eastAsia="宋体" w:hAnsi="Book Antiqua" w:cs="宋体"/>
          <w:kern w:val="0"/>
          <w:sz w:val="24"/>
          <w:szCs w:val="24"/>
          <w:lang w:eastAsia="zh-CN"/>
        </w:rPr>
        <w:t>: 2411-2420 [PMID: 12435254]</w:t>
      </w:r>
    </w:p>
    <w:p w14:paraId="188AC5A8" w14:textId="041B33BD"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23 </w:t>
      </w:r>
      <w:r w:rsidRPr="00E341D3">
        <w:rPr>
          <w:rFonts w:ascii="Book Antiqua" w:eastAsia="宋体" w:hAnsi="Book Antiqua" w:cs="宋体"/>
          <w:b/>
          <w:bCs/>
          <w:kern w:val="0"/>
          <w:sz w:val="24"/>
          <w:szCs w:val="24"/>
          <w:lang w:eastAsia="zh-CN"/>
        </w:rPr>
        <w:t>Diener HC</w:t>
      </w:r>
      <w:r w:rsidRPr="00E341D3">
        <w:rPr>
          <w:rFonts w:ascii="Book Antiqua" w:eastAsia="宋体" w:hAnsi="Book Antiqua" w:cs="宋体"/>
          <w:kern w:val="0"/>
          <w:sz w:val="24"/>
          <w:szCs w:val="24"/>
          <w:lang w:eastAsia="zh-CN"/>
        </w:rPr>
        <w:t>, Bogousslavsky J, Brass LM, Cimminiello C, Csiba L, Kaste M, Leys D, Matias-Guiu J, Rupprecht HJ. Aspirin and clopidogrel compared with clopidogrel alone after recent ischaemic stroke or transient ischaemic attack in high-risk patients (MATCH): randomised, double-blind, placebo-controlled trial.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w:t>
      </w:r>
      <w:r w:rsidRPr="00E341D3">
        <w:rPr>
          <w:rFonts w:ascii="Book Antiqua" w:eastAsia="宋体" w:hAnsi="Book Antiqua" w:cs="宋体" w:hint="eastAsia"/>
          <w:kern w:val="0"/>
          <w:sz w:val="24"/>
          <w:szCs w:val="24"/>
          <w:lang w:eastAsia="zh-CN"/>
        </w:rPr>
        <w:t>2004</w:t>
      </w:r>
      <w:r w:rsidRPr="00E341D3">
        <w:rPr>
          <w:rFonts w:ascii="Book Antiqua" w:eastAsia="宋体" w:hAnsi="Book Antiqua" w:cs="宋体"/>
          <w:kern w:val="0"/>
          <w:sz w:val="24"/>
          <w:szCs w:val="24"/>
          <w:lang w:eastAsia="zh-CN"/>
        </w:rPr>
        <w:t>; </w:t>
      </w:r>
      <w:r w:rsidRPr="00E341D3">
        <w:rPr>
          <w:rFonts w:ascii="Book Antiqua" w:eastAsia="宋体" w:hAnsi="Book Antiqua" w:cs="宋体"/>
          <w:b/>
          <w:bCs/>
          <w:kern w:val="0"/>
          <w:sz w:val="24"/>
          <w:szCs w:val="24"/>
          <w:lang w:eastAsia="zh-CN"/>
        </w:rPr>
        <w:t>364</w:t>
      </w:r>
      <w:r w:rsidRPr="00E341D3">
        <w:rPr>
          <w:rFonts w:ascii="Book Antiqua" w:eastAsia="宋体" w:hAnsi="Book Antiqua" w:cs="宋体"/>
          <w:kern w:val="0"/>
          <w:sz w:val="24"/>
          <w:szCs w:val="24"/>
          <w:lang w:eastAsia="zh-CN"/>
        </w:rPr>
        <w:t>: 331-337 [PMID: 15276392]</w:t>
      </w:r>
    </w:p>
    <w:p w14:paraId="1ECD8717"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24 </w:t>
      </w:r>
      <w:r w:rsidRPr="00E341D3">
        <w:rPr>
          <w:rFonts w:ascii="Book Antiqua" w:eastAsia="宋体" w:hAnsi="Book Antiqua" w:cs="宋体"/>
          <w:b/>
          <w:bCs/>
          <w:kern w:val="0"/>
          <w:sz w:val="24"/>
          <w:szCs w:val="24"/>
          <w:lang w:eastAsia="zh-CN"/>
        </w:rPr>
        <w:t>Chen ZM</w:t>
      </w:r>
      <w:r w:rsidRPr="00E341D3">
        <w:rPr>
          <w:rFonts w:ascii="Book Antiqua" w:eastAsia="宋体" w:hAnsi="Book Antiqua" w:cs="宋体"/>
          <w:kern w:val="0"/>
          <w:sz w:val="24"/>
          <w:szCs w:val="24"/>
          <w:lang w:eastAsia="zh-CN"/>
        </w:rPr>
        <w:t>, Jiang LX, Chen YP, Xie JX, Pan HC, Peto R, Collins R, Liu LS. Addition of clopidogrel to aspirin in 45,852 patients with acute myocardial infarction: randomised placebo-controlled trial.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2005; </w:t>
      </w:r>
      <w:r w:rsidRPr="00E341D3">
        <w:rPr>
          <w:rFonts w:ascii="Book Antiqua" w:eastAsia="宋体" w:hAnsi="Book Antiqua" w:cs="宋体"/>
          <w:b/>
          <w:bCs/>
          <w:kern w:val="0"/>
          <w:sz w:val="24"/>
          <w:szCs w:val="24"/>
          <w:lang w:eastAsia="zh-CN"/>
        </w:rPr>
        <w:t>366</w:t>
      </w:r>
      <w:r w:rsidRPr="00E341D3">
        <w:rPr>
          <w:rFonts w:ascii="Book Antiqua" w:eastAsia="宋体" w:hAnsi="Book Antiqua" w:cs="宋体"/>
          <w:kern w:val="0"/>
          <w:sz w:val="24"/>
          <w:szCs w:val="24"/>
          <w:lang w:eastAsia="zh-CN"/>
        </w:rPr>
        <w:t>: 1607-1621 [PMID: 16271642]</w:t>
      </w:r>
    </w:p>
    <w:p w14:paraId="4DC434A7"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25 </w:t>
      </w:r>
      <w:r w:rsidRPr="00E341D3">
        <w:rPr>
          <w:rFonts w:ascii="Book Antiqua" w:eastAsia="宋体" w:hAnsi="Book Antiqua" w:cs="宋体"/>
          <w:b/>
          <w:bCs/>
          <w:kern w:val="0"/>
          <w:sz w:val="24"/>
          <w:szCs w:val="24"/>
          <w:lang w:eastAsia="zh-CN"/>
        </w:rPr>
        <w:t>Bhatt DL</w:t>
      </w:r>
      <w:r w:rsidRPr="00E341D3">
        <w:rPr>
          <w:rFonts w:ascii="Book Antiqua" w:eastAsia="宋体" w:hAnsi="Book Antiqua" w:cs="宋体"/>
          <w:kern w:val="0"/>
          <w:sz w:val="24"/>
          <w:szCs w:val="24"/>
          <w:lang w:eastAsia="zh-CN"/>
        </w:rPr>
        <w:t>, Fox KA, Hacke W, Berger PB, Black HR, Boden WE, Cacoub P, Cohen EA, Creager MA, Easton JD, Flather MD, Haffner SM, Hamm CW, Hankey GJ, Johnston SC, Mak KH, Mas JL, Montalescot G, Pearson TA, Steg PG, Steinhubl SR, Weber MA, Brennan DM, Fabry-Ribaudo L, Booth J, Topol EJ. Clopidogrel and aspirin versus aspirin alone for the prevention of atherothrombotic events.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2006; </w:t>
      </w:r>
      <w:r w:rsidRPr="00E341D3">
        <w:rPr>
          <w:rFonts w:ascii="Book Antiqua" w:eastAsia="宋体" w:hAnsi="Book Antiqua" w:cs="宋体"/>
          <w:b/>
          <w:bCs/>
          <w:kern w:val="0"/>
          <w:sz w:val="24"/>
          <w:szCs w:val="24"/>
          <w:lang w:eastAsia="zh-CN"/>
        </w:rPr>
        <w:t>354</w:t>
      </w:r>
      <w:r w:rsidRPr="00E341D3">
        <w:rPr>
          <w:rFonts w:ascii="Book Antiqua" w:eastAsia="宋体" w:hAnsi="Book Antiqua" w:cs="宋体"/>
          <w:kern w:val="0"/>
          <w:sz w:val="24"/>
          <w:szCs w:val="24"/>
          <w:lang w:eastAsia="zh-CN"/>
        </w:rPr>
        <w:t>: 1706-1717 [PMID: 16531616]</w:t>
      </w:r>
    </w:p>
    <w:p w14:paraId="7B24C674"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26 </w:t>
      </w:r>
      <w:r w:rsidRPr="00E341D3">
        <w:rPr>
          <w:rFonts w:ascii="Book Antiqua" w:eastAsia="宋体" w:hAnsi="Book Antiqua" w:cs="宋体"/>
          <w:b/>
          <w:bCs/>
          <w:kern w:val="0"/>
          <w:sz w:val="24"/>
          <w:szCs w:val="24"/>
          <w:lang w:eastAsia="zh-CN"/>
        </w:rPr>
        <w:t>Abbas AE</w:t>
      </w:r>
      <w:r w:rsidRPr="00E341D3">
        <w:rPr>
          <w:rFonts w:ascii="Book Antiqua" w:eastAsia="宋体" w:hAnsi="Book Antiqua" w:cs="宋体"/>
          <w:kern w:val="0"/>
          <w:sz w:val="24"/>
          <w:szCs w:val="24"/>
          <w:lang w:eastAsia="zh-CN"/>
        </w:rPr>
        <w:t>, Brodie B, Dixon S, Marsalese D, Brewington S, O'Neill WW, Grines LL, Grines CL. Incidence and prognostic impact of gastrointestinal bleeding after percutaneous coronary intervention for acute myocardial infarction. </w:t>
      </w:r>
      <w:r w:rsidRPr="00E341D3">
        <w:rPr>
          <w:rFonts w:ascii="Book Antiqua" w:eastAsia="宋体" w:hAnsi="Book Antiqua" w:cs="宋体"/>
          <w:i/>
          <w:iCs/>
          <w:kern w:val="0"/>
          <w:sz w:val="24"/>
          <w:szCs w:val="24"/>
          <w:lang w:eastAsia="zh-CN"/>
        </w:rPr>
        <w:t>Am J Cardiol</w:t>
      </w:r>
      <w:r w:rsidRPr="00E341D3">
        <w:rPr>
          <w:rFonts w:ascii="Book Antiqua" w:eastAsia="宋体" w:hAnsi="Book Antiqua" w:cs="宋体"/>
          <w:kern w:val="0"/>
          <w:sz w:val="24"/>
          <w:szCs w:val="24"/>
          <w:lang w:eastAsia="zh-CN"/>
        </w:rPr>
        <w:t> 2005; </w:t>
      </w:r>
      <w:r w:rsidRPr="00E341D3">
        <w:rPr>
          <w:rFonts w:ascii="Book Antiqua" w:eastAsia="宋体" w:hAnsi="Book Antiqua" w:cs="宋体"/>
          <w:b/>
          <w:bCs/>
          <w:kern w:val="0"/>
          <w:sz w:val="24"/>
          <w:szCs w:val="24"/>
          <w:lang w:eastAsia="zh-CN"/>
        </w:rPr>
        <w:t>96</w:t>
      </w:r>
      <w:r w:rsidRPr="00E341D3">
        <w:rPr>
          <w:rFonts w:ascii="Book Antiqua" w:eastAsia="宋体" w:hAnsi="Book Antiqua" w:cs="宋体"/>
          <w:kern w:val="0"/>
          <w:sz w:val="24"/>
          <w:szCs w:val="24"/>
          <w:lang w:eastAsia="zh-CN"/>
        </w:rPr>
        <w:t>: 173-176 [PMID: 16018836]</w:t>
      </w:r>
    </w:p>
    <w:p w14:paraId="4CDE3D89"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27 </w:t>
      </w:r>
      <w:r w:rsidRPr="00E341D3">
        <w:rPr>
          <w:rFonts w:ascii="Book Antiqua" w:eastAsia="宋体" w:hAnsi="Book Antiqua" w:cs="宋体"/>
          <w:b/>
          <w:bCs/>
          <w:kern w:val="0"/>
          <w:sz w:val="24"/>
          <w:szCs w:val="24"/>
          <w:lang w:eastAsia="zh-CN"/>
        </w:rPr>
        <w:t>Hansen ML</w:t>
      </w:r>
      <w:r w:rsidRPr="00E341D3">
        <w:rPr>
          <w:rFonts w:ascii="Book Antiqua" w:eastAsia="宋体" w:hAnsi="Book Antiqua" w:cs="宋体"/>
          <w:kern w:val="0"/>
          <w:sz w:val="24"/>
          <w:szCs w:val="24"/>
          <w:lang w:eastAsia="zh-CN"/>
        </w:rPr>
        <w:t>, Sørensen R, Clausen MT, Fog-Petersen ML, Raunsø J, Gadsbøll N, Gislason GH, Folke F, Andersen SS, Schramm TK, Abildstrøm SZ, Poulsen HE, Køber L, Torp-Pedersen C. Risk of bleeding with single, dual, or triple therapy with warfarin, aspirin, and clopidogrel in patients with atrial fibrillation. </w:t>
      </w:r>
      <w:r w:rsidRPr="00E341D3">
        <w:rPr>
          <w:rFonts w:ascii="Book Antiqua" w:eastAsia="宋体" w:hAnsi="Book Antiqua" w:cs="宋体"/>
          <w:i/>
          <w:iCs/>
          <w:kern w:val="0"/>
          <w:sz w:val="24"/>
          <w:szCs w:val="24"/>
          <w:lang w:eastAsia="zh-CN"/>
        </w:rPr>
        <w:t>Arch Intern Med</w:t>
      </w:r>
      <w:r w:rsidRPr="00E341D3">
        <w:rPr>
          <w:rFonts w:ascii="Book Antiqua" w:eastAsia="宋体" w:hAnsi="Book Antiqua" w:cs="宋体"/>
          <w:kern w:val="0"/>
          <w:sz w:val="24"/>
          <w:szCs w:val="24"/>
          <w:lang w:eastAsia="zh-CN"/>
        </w:rPr>
        <w:t> 2010; </w:t>
      </w:r>
      <w:r w:rsidRPr="00E341D3">
        <w:rPr>
          <w:rFonts w:ascii="Book Antiqua" w:eastAsia="宋体" w:hAnsi="Book Antiqua" w:cs="宋体"/>
          <w:b/>
          <w:bCs/>
          <w:kern w:val="0"/>
          <w:sz w:val="24"/>
          <w:szCs w:val="24"/>
          <w:lang w:eastAsia="zh-CN"/>
        </w:rPr>
        <w:t>170</w:t>
      </w:r>
      <w:r w:rsidRPr="00E341D3">
        <w:rPr>
          <w:rFonts w:ascii="Book Antiqua" w:eastAsia="宋体" w:hAnsi="Book Antiqua" w:cs="宋体"/>
          <w:kern w:val="0"/>
          <w:sz w:val="24"/>
          <w:szCs w:val="24"/>
          <w:lang w:eastAsia="zh-CN"/>
        </w:rPr>
        <w:t>: 1433-1441 [PMID: 20837828 DOI: 10.1016/j.ijcard.2010.07.027]</w:t>
      </w:r>
    </w:p>
    <w:p w14:paraId="04EB921B"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28 </w:t>
      </w:r>
      <w:r w:rsidRPr="00E341D3">
        <w:rPr>
          <w:rFonts w:ascii="Book Antiqua" w:eastAsia="宋体" w:hAnsi="Book Antiqua" w:cs="宋体"/>
          <w:b/>
          <w:bCs/>
          <w:kern w:val="0"/>
          <w:sz w:val="24"/>
          <w:szCs w:val="24"/>
          <w:lang w:eastAsia="zh-CN"/>
        </w:rPr>
        <w:t>Eikelboom JW</w:t>
      </w:r>
      <w:r w:rsidRPr="00E341D3">
        <w:rPr>
          <w:rFonts w:ascii="Book Antiqua" w:eastAsia="宋体" w:hAnsi="Book Antiqua" w:cs="宋体"/>
          <w:kern w:val="0"/>
          <w:sz w:val="24"/>
          <w:szCs w:val="24"/>
          <w:lang w:eastAsia="zh-CN"/>
        </w:rPr>
        <w:t>, Mehta SR, Anand SS, Xie C, Fox KA, Yusuf S. Adverse impact of bleeding on prognosis in patients with acute coronary syndromes. </w:t>
      </w:r>
      <w:r w:rsidRPr="00E341D3">
        <w:rPr>
          <w:rFonts w:ascii="Book Antiqua" w:eastAsia="宋体" w:hAnsi="Book Antiqua" w:cs="宋体"/>
          <w:i/>
          <w:iCs/>
          <w:kern w:val="0"/>
          <w:sz w:val="24"/>
          <w:szCs w:val="24"/>
          <w:lang w:eastAsia="zh-CN"/>
        </w:rPr>
        <w:t>Circulation</w:t>
      </w:r>
      <w:r w:rsidRPr="00E341D3">
        <w:rPr>
          <w:rFonts w:ascii="Book Antiqua" w:eastAsia="宋体" w:hAnsi="Book Antiqua" w:cs="宋体"/>
          <w:kern w:val="0"/>
          <w:sz w:val="24"/>
          <w:szCs w:val="24"/>
          <w:lang w:eastAsia="zh-CN"/>
        </w:rPr>
        <w:t> 2006; </w:t>
      </w:r>
      <w:r w:rsidRPr="00E341D3">
        <w:rPr>
          <w:rFonts w:ascii="Book Antiqua" w:eastAsia="宋体" w:hAnsi="Book Antiqua" w:cs="宋体"/>
          <w:b/>
          <w:bCs/>
          <w:kern w:val="0"/>
          <w:sz w:val="24"/>
          <w:szCs w:val="24"/>
          <w:lang w:eastAsia="zh-CN"/>
        </w:rPr>
        <w:t>114</w:t>
      </w:r>
      <w:r w:rsidRPr="00E341D3">
        <w:rPr>
          <w:rFonts w:ascii="Book Antiqua" w:eastAsia="宋体" w:hAnsi="Book Antiqua" w:cs="宋体"/>
          <w:kern w:val="0"/>
          <w:sz w:val="24"/>
          <w:szCs w:val="24"/>
          <w:lang w:eastAsia="zh-CN"/>
        </w:rPr>
        <w:t>: 774-782 [PMID: 16908769]</w:t>
      </w:r>
    </w:p>
    <w:p w14:paraId="5C50C769"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29 </w:t>
      </w:r>
      <w:r w:rsidRPr="00E341D3">
        <w:rPr>
          <w:rFonts w:ascii="Book Antiqua" w:eastAsia="宋体" w:hAnsi="Book Antiqua" w:cs="宋体"/>
          <w:b/>
          <w:bCs/>
          <w:kern w:val="0"/>
          <w:sz w:val="24"/>
          <w:szCs w:val="24"/>
          <w:lang w:eastAsia="zh-CN"/>
        </w:rPr>
        <w:t>Nikolsky E</w:t>
      </w:r>
      <w:r w:rsidRPr="00E341D3">
        <w:rPr>
          <w:rFonts w:ascii="Book Antiqua" w:eastAsia="宋体" w:hAnsi="Book Antiqua" w:cs="宋体"/>
          <w:kern w:val="0"/>
          <w:sz w:val="24"/>
          <w:szCs w:val="24"/>
          <w:lang w:eastAsia="zh-CN"/>
        </w:rPr>
        <w:t>, Stone GW, Kirtane AJ, Dangas GD, Lansky AJ, McLaurin B, Lincoff AM, Feit F, Moses JW, Fahy M, Manoukian SV, White HD, Ohman EM, Bertrand ME, Cox DA, Mehran R. Gastrointestinal bleeding in patients with acute coronary syndromes: incidence, predictors, and clinical implications: analysis from the ACUITY (Acute Catheterization and Urgent Intervention Triage Strategy) trial. </w:t>
      </w:r>
      <w:r w:rsidRPr="00E341D3">
        <w:rPr>
          <w:rFonts w:ascii="Book Antiqua" w:eastAsia="宋体" w:hAnsi="Book Antiqua" w:cs="宋体"/>
          <w:i/>
          <w:iCs/>
          <w:kern w:val="0"/>
          <w:sz w:val="24"/>
          <w:szCs w:val="24"/>
          <w:lang w:eastAsia="zh-CN"/>
        </w:rPr>
        <w:t>J Am Coll Cardiol</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54</w:t>
      </w:r>
      <w:r w:rsidRPr="00E341D3">
        <w:rPr>
          <w:rFonts w:ascii="Book Antiqua" w:eastAsia="宋体" w:hAnsi="Book Antiqua" w:cs="宋体"/>
          <w:kern w:val="0"/>
          <w:sz w:val="24"/>
          <w:szCs w:val="24"/>
          <w:lang w:eastAsia="zh-CN"/>
        </w:rPr>
        <w:t>: 1293-1302 [PMID: 19778672 DOI: 10.1016/j.jacc.2009.07.019]</w:t>
      </w:r>
    </w:p>
    <w:p w14:paraId="21FEEA6D"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30 </w:t>
      </w:r>
      <w:r w:rsidRPr="00E341D3">
        <w:rPr>
          <w:rFonts w:ascii="Book Antiqua" w:eastAsia="宋体" w:hAnsi="Book Antiqua" w:cs="宋体"/>
          <w:b/>
          <w:bCs/>
          <w:kern w:val="0"/>
          <w:sz w:val="24"/>
          <w:szCs w:val="24"/>
          <w:lang w:eastAsia="zh-CN"/>
        </w:rPr>
        <w:t>Gaglia MA</w:t>
      </w:r>
      <w:r w:rsidRPr="00E341D3">
        <w:rPr>
          <w:rFonts w:ascii="Book Antiqua" w:eastAsia="宋体" w:hAnsi="Book Antiqua" w:cs="宋体"/>
          <w:kern w:val="0"/>
          <w:sz w:val="24"/>
          <w:szCs w:val="24"/>
          <w:lang w:eastAsia="zh-CN"/>
        </w:rPr>
        <w:t>, Torguson R, Gonzalez MA, Ben-Dor I, Maluenda G, Collins SD, Syed AI, Delhaye C, Wakabayashi K, Belle L, Mahmoudi M, Hanna N, Xue Z, Kaneshige K, Suddath WO, Kent KM, Satler LF, Pichard AD, Waksman R. Correlates and consequences of gastrointestinal bleeding complicating percutaneous coronary intervention. </w:t>
      </w:r>
      <w:r w:rsidRPr="00E341D3">
        <w:rPr>
          <w:rFonts w:ascii="Book Antiqua" w:eastAsia="宋体" w:hAnsi="Book Antiqua" w:cs="宋体"/>
          <w:i/>
          <w:iCs/>
          <w:kern w:val="0"/>
          <w:sz w:val="24"/>
          <w:szCs w:val="24"/>
          <w:lang w:eastAsia="zh-CN"/>
        </w:rPr>
        <w:t>Am J Cardiol</w:t>
      </w:r>
      <w:r w:rsidRPr="00E341D3">
        <w:rPr>
          <w:rFonts w:ascii="Book Antiqua" w:eastAsia="宋体" w:hAnsi="Book Antiqua" w:cs="宋体"/>
          <w:kern w:val="0"/>
          <w:sz w:val="24"/>
          <w:szCs w:val="24"/>
          <w:lang w:eastAsia="zh-CN"/>
        </w:rPr>
        <w:t> 2010; </w:t>
      </w:r>
      <w:r w:rsidRPr="00E341D3">
        <w:rPr>
          <w:rFonts w:ascii="Book Antiqua" w:eastAsia="宋体" w:hAnsi="Book Antiqua" w:cs="宋体"/>
          <w:b/>
          <w:bCs/>
          <w:kern w:val="0"/>
          <w:sz w:val="24"/>
          <w:szCs w:val="24"/>
          <w:lang w:eastAsia="zh-CN"/>
        </w:rPr>
        <w:t>106</w:t>
      </w:r>
      <w:r w:rsidRPr="00E341D3">
        <w:rPr>
          <w:rFonts w:ascii="Book Antiqua" w:eastAsia="宋体" w:hAnsi="Book Antiqua" w:cs="宋体"/>
          <w:kern w:val="0"/>
          <w:sz w:val="24"/>
          <w:szCs w:val="24"/>
          <w:lang w:eastAsia="zh-CN"/>
        </w:rPr>
        <w:t>: 1069-1074 [PMID: 20920640 DOI: 10.1016/j.amjcard.2010.06.011]</w:t>
      </w:r>
    </w:p>
    <w:p w14:paraId="4B7424E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31 </w:t>
      </w:r>
      <w:r w:rsidRPr="00E341D3">
        <w:rPr>
          <w:rFonts w:ascii="Book Antiqua" w:eastAsia="宋体" w:hAnsi="Book Antiqua" w:cs="宋体"/>
          <w:b/>
          <w:bCs/>
          <w:kern w:val="0"/>
          <w:sz w:val="24"/>
          <w:szCs w:val="24"/>
          <w:lang w:eastAsia="zh-CN"/>
        </w:rPr>
        <w:t>Doyle BJ</w:t>
      </w:r>
      <w:r w:rsidRPr="00E341D3">
        <w:rPr>
          <w:rFonts w:ascii="Book Antiqua" w:eastAsia="宋体" w:hAnsi="Book Antiqua" w:cs="宋体"/>
          <w:kern w:val="0"/>
          <w:sz w:val="24"/>
          <w:szCs w:val="24"/>
          <w:lang w:eastAsia="zh-CN"/>
        </w:rPr>
        <w:t>, Rihal CS, Gastineau DA, Holmes DR. Bleeding, blood transfusion, and increased mortality after percutaneous coronary intervention: implications for contemporary practice. </w:t>
      </w:r>
      <w:r w:rsidRPr="00E341D3">
        <w:rPr>
          <w:rFonts w:ascii="Book Antiqua" w:eastAsia="宋体" w:hAnsi="Book Antiqua" w:cs="宋体"/>
          <w:i/>
          <w:iCs/>
          <w:kern w:val="0"/>
          <w:sz w:val="24"/>
          <w:szCs w:val="24"/>
          <w:lang w:eastAsia="zh-CN"/>
        </w:rPr>
        <w:t>J Am Coll Cardiol</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53</w:t>
      </w:r>
      <w:r w:rsidRPr="00E341D3">
        <w:rPr>
          <w:rFonts w:ascii="Book Antiqua" w:eastAsia="宋体" w:hAnsi="Book Antiqua" w:cs="宋体"/>
          <w:kern w:val="0"/>
          <w:sz w:val="24"/>
          <w:szCs w:val="24"/>
          <w:lang w:eastAsia="zh-CN"/>
        </w:rPr>
        <w:t>: 2019-2027 [PMID: 19477350 DOI: 10.1016/j.jacc.2008.12.073]</w:t>
      </w:r>
    </w:p>
    <w:p w14:paraId="41B95CF5" w14:textId="3F9E9D5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32 </w:t>
      </w:r>
      <w:r w:rsidRPr="00E341D3">
        <w:rPr>
          <w:rFonts w:ascii="Book Antiqua" w:eastAsia="宋体" w:hAnsi="Book Antiqua" w:cs="宋体"/>
          <w:b/>
          <w:bCs/>
          <w:kern w:val="0"/>
          <w:sz w:val="24"/>
          <w:szCs w:val="24"/>
          <w:lang w:eastAsia="zh-CN"/>
        </w:rPr>
        <w:t>Reynolds JD</w:t>
      </w:r>
      <w:r w:rsidRPr="00E341D3">
        <w:rPr>
          <w:rFonts w:ascii="Book Antiqua" w:eastAsia="宋体" w:hAnsi="Book Antiqua" w:cs="宋体"/>
          <w:kern w:val="0"/>
          <w:sz w:val="24"/>
          <w:szCs w:val="24"/>
          <w:lang w:eastAsia="zh-CN"/>
        </w:rPr>
        <w:t>, Ahearn GS, Angelo M, Zhang J, Cobb F, Stamler JS. S-nitrosohemoglobin deficiency: a mechanism for loss of physiological activity in banked blood. </w:t>
      </w:r>
      <w:r w:rsidRPr="00E341D3">
        <w:rPr>
          <w:rFonts w:ascii="Book Antiqua" w:eastAsia="宋体" w:hAnsi="Book Antiqua" w:cs="宋体"/>
          <w:i/>
          <w:iCs/>
          <w:kern w:val="0"/>
          <w:sz w:val="24"/>
          <w:szCs w:val="24"/>
          <w:lang w:eastAsia="zh-CN"/>
        </w:rPr>
        <w:t>Proc Natl Acad Sci USA</w:t>
      </w:r>
      <w:r w:rsidRPr="00E341D3">
        <w:rPr>
          <w:rFonts w:ascii="Book Antiqua" w:eastAsia="宋体" w:hAnsi="Book Antiqua" w:cs="宋体"/>
          <w:kern w:val="0"/>
          <w:sz w:val="24"/>
          <w:szCs w:val="24"/>
          <w:lang w:eastAsia="zh-CN"/>
        </w:rPr>
        <w:t> 2007; </w:t>
      </w:r>
      <w:r w:rsidRPr="00E341D3">
        <w:rPr>
          <w:rFonts w:ascii="Book Antiqua" w:eastAsia="宋体" w:hAnsi="Book Antiqua" w:cs="宋体"/>
          <w:b/>
          <w:bCs/>
          <w:kern w:val="0"/>
          <w:sz w:val="24"/>
          <w:szCs w:val="24"/>
          <w:lang w:eastAsia="zh-CN"/>
        </w:rPr>
        <w:t>104</w:t>
      </w:r>
      <w:r w:rsidRPr="00E341D3">
        <w:rPr>
          <w:rFonts w:ascii="Book Antiqua" w:eastAsia="宋体" w:hAnsi="Book Antiqua" w:cs="宋体"/>
          <w:kern w:val="0"/>
          <w:sz w:val="24"/>
          <w:szCs w:val="24"/>
          <w:lang w:eastAsia="zh-CN"/>
        </w:rPr>
        <w:t>: 17058-17062 [PMID: 17940022]</w:t>
      </w:r>
    </w:p>
    <w:p w14:paraId="7F2FFA11"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33 </w:t>
      </w:r>
      <w:r w:rsidRPr="00E341D3">
        <w:rPr>
          <w:rFonts w:ascii="Book Antiqua" w:eastAsia="宋体" w:hAnsi="Book Antiqua" w:cs="宋体"/>
          <w:b/>
          <w:bCs/>
          <w:kern w:val="0"/>
          <w:sz w:val="24"/>
          <w:szCs w:val="24"/>
          <w:lang w:eastAsia="zh-CN"/>
        </w:rPr>
        <w:t>Wu WC</w:t>
      </w:r>
      <w:r w:rsidRPr="00E341D3">
        <w:rPr>
          <w:rFonts w:ascii="Book Antiqua" w:eastAsia="宋体" w:hAnsi="Book Antiqua" w:cs="宋体"/>
          <w:kern w:val="0"/>
          <w:sz w:val="24"/>
          <w:szCs w:val="24"/>
          <w:lang w:eastAsia="zh-CN"/>
        </w:rPr>
        <w:t>, Rathore SS, Wang Y, Radford MJ, Krumholz HM. Blood transfusion in elderly patients with acute myocardial infarction.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2001; </w:t>
      </w:r>
      <w:r w:rsidRPr="00E341D3">
        <w:rPr>
          <w:rFonts w:ascii="Book Antiqua" w:eastAsia="宋体" w:hAnsi="Book Antiqua" w:cs="宋体"/>
          <w:b/>
          <w:bCs/>
          <w:kern w:val="0"/>
          <w:sz w:val="24"/>
          <w:szCs w:val="24"/>
          <w:lang w:eastAsia="zh-CN"/>
        </w:rPr>
        <w:t>345</w:t>
      </w:r>
      <w:r w:rsidRPr="00E341D3">
        <w:rPr>
          <w:rFonts w:ascii="Book Antiqua" w:eastAsia="宋体" w:hAnsi="Book Antiqua" w:cs="宋体"/>
          <w:kern w:val="0"/>
          <w:sz w:val="24"/>
          <w:szCs w:val="24"/>
          <w:lang w:eastAsia="zh-CN"/>
        </w:rPr>
        <w:t>: 1230-1236 [PMID: 11680442]</w:t>
      </w:r>
    </w:p>
    <w:p w14:paraId="6E9960E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34 </w:t>
      </w:r>
      <w:r w:rsidRPr="00E341D3">
        <w:rPr>
          <w:rFonts w:ascii="Book Antiqua" w:eastAsia="宋体" w:hAnsi="Book Antiqua" w:cs="宋体"/>
          <w:b/>
          <w:bCs/>
          <w:kern w:val="0"/>
          <w:sz w:val="24"/>
          <w:szCs w:val="24"/>
          <w:lang w:eastAsia="zh-CN"/>
        </w:rPr>
        <w:t>Villanueva C</w:t>
      </w:r>
      <w:r w:rsidRPr="00E341D3">
        <w:rPr>
          <w:rFonts w:ascii="Book Antiqua" w:eastAsia="宋体" w:hAnsi="Book Antiqua" w:cs="宋体"/>
          <w:kern w:val="0"/>
          <w:sz w:val="24"/>
          <w:szCs w:val="24"/>
          <w:lang w:eastAsia="zh-CN"/>
        </w:rPr>
        <w:t>, Colomo A, Bosch A, Concepción M, Hernandez-Gea V, Aracil C, Graupera I, Poca M, Alvarez-Urturi C, Gordillo J, Guarner-Argente C, Santaló M, Muñiz E, Guarner C. Transfusion strategies for acute upper gastrointestinal bleeding.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368</w:t>
      </w:r>
      <w:r w:rsidRPr="00E341D3">
        <w:rPr>
          <w:rFonts w:ascii="Book Antiqua" w:eastAsia="宋体" w:hAnsi="Book Antiqua" w:cs="宋体"/>
          <w:kern w:val="0"/>
          <w:sz w:val="24"/>
          <w:szCs w:val="24"/>
          <w:lang w:eastAsia="zh-CN"/>
        </w:rPr>
        <w:t>: 11-21 [PMID: 23281973 DOI: 10.1056/NEJMoa1211801]</w:t>
      </w:r>
    </w:p>
    <w:p w14:paraId="0D283C97"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35 </w:t>
      </w:r>
      <w:r w:rsidRPr="00E341D3">
        <w:rPr>
          <w:rFonts w:ascii="Book Antiqua" w:eastAsia="宋体" w:hAnsi="Book Antiqua" w:cs="宋体"/>
          <w:b/>
          <w:bCs/>
          <w:kern w:val="0"/>
          <w:sz w:val="24"/>
          <w:szCs w:val="24"/>
          <w:lang w:eastAsia="zh-CN"/>
        </w:rPr>
        <w:t>Hébert PC</w:t>
      </w:r>
      <w:r w:rsidRPr="00E341D3">
        <w:rPr>
          <w:rFonts w:ascii="Book Antiqua" w:eastAsia="宋体" w:hAnsi="Book Antiqua" w:cs="宋体"/>
          <w:kern w:val="0"/>
          <w:sz w:val="24"/>
          <w:szCs w:val="24"/>
          <w:lang w:eastAsia="zh-CN"/>
        </w:rPr>
        <w:t>, Wells G, Blajchman MA, Marshall J, Martin C, Pagliarello G, Tweeddale M, Schweitzer I, Yetisir E. A multicenter, randomized, controlled clinical trial of transfusion requirements in critical care. Transfusion Requirements in Critical Care Investigators, Canadian Critical Care Trials Group.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1999; </w:t>
      </w:r>
      <w:r w:rsidRPr="00E341D3">
        <w:rPr>
          <w:rFonts w:ascii="Book Antiqua" w:eastAsia="宋体" w:hAnsi="Book Antiqua" w:cs="宋体"/>
          <w:b/>
          <w:bCs/>
          <w:kern w:val="0"/>
          <w:sz w:val="24"/>
          <w:szCs w:val="24"/>
          <w:lang w:eastAsia="zh-CN"/>
        </w:rPr>
        <w:t>340</w:t>
      </w:r>
      <w:r w:rsidRPr="00E341D3">
        <w:rPr>
          <w:rFonts w:ascii="Book Antiqua" w:eastAsia="宋体" w:hAnsi="Book Antiqua" w:cs="宋体"/>
          <w:kern w:val="0"/>
          <w:sz w:val="24"/>
          <w:szCs w:val="24"/>
          <w:lang w:eastAsia="zh-CN"/>
        </w:rPr>
        <w:t>: 409-417 [PMID: 9971864]</w:t>
      </w:r>
    </w:p>
    <w:p w14:paraId="5BA93443"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36 </w:t>
      </w:r>
      <w:r w:rsidRPr="00E341D3">
        <w:rPr>
          <w:rFonts w:ascii="Book Antiqua" w:eastAsia="宋体" w:hAnsi="Book Antiqua" w:cs="宋体"/>
          <w:b/>
          <w:bCs/>
          <w:kern w:val="0"/>
          <w:sz w:val="24"/>
          <w:szCs w:val="24"/>
          <w:lang w:eastAsia="zh-CN"/>
        </w:rPr>
        <w:t>Barkun AN</w:t>
      </w:r>
      <w:r w:rsidRPr="00E341D3">
        <w:rPr>
          <w:rFonts w:ascii="Book Antiqua" w:eastAsia="宋体" w:hAnsi="Book Antiqua" w:cs="宋体"/>
          <w:kern w:val="0"/>
          <w:sz w:val="24"/>
          <w:szCs w:val="24"/>
          <w:lang w:eastAsia="zh-CN"/>
        </w:rPr>
        <w:t>, Bardou M, Kuipers EJ, Sung J, Hunt RH, Martel M, Sinclair P. International consensus recommendations on the management of patients with nonvariceal upper gastrointestinal bleeding. </w:t>
      </w:r>
      <w:r w:rsidRPr="00E341D3">
        <w:rPr>
          <w:rFonts w:ascii="Book Antiqua" w:eastAsia="宋体" w:hAnsi="Book Antiqua" w:cs="宋体"/>
          <w:i/>
          <w:iCs/>
          <w:kern w:val="0"/>
          <w:sz w:val="24"/>
          <w:szCs w:val="24"/>
          <w:lang w:eastAsia="zh-CN"/>
        </w:rPr>
        <w:t>Ann Intern Med</w:t>
      </w:r>
      <w:r w:rsidRPr="00E341D3">
        <w:rPr>
          <w:rFonts w:ascii="Book Antiqua" w:eastAsia="宋体" w:hAnsi="Book Antiqua" w:cs="宋体"/>
          <w:kern w:val="0"/>
          <w:sz w:val="24"/>
          <w:szCs w:val="24"/>
          <w:lang w:eastAsia="zh-CN"/>
        </w:rPr>
        <w:t> 2010; </w:t>
      </w:r>
      <w:r w:rsidRPr="00E341D3">
        <w:rPr>
          <w:rFonts w:ascii="Book Antiqua" w:eastAsia="宋体" w:hAnsi="Book Antiqua" w:cs="宋体"/>
          <w:b/>
          <w:bCs/>
          <w:kern w:val="0"/>
          <w:sz w:val="24"/>
          <w:szCs w:val="24"/>
          <w:lang w:eastAsia="zh-CN"/>
        </w:rPr>
        <w:t>152</w:t>
      </w:r>
      <w:r w:rsidRPr="00E341D3">
        <w:rPr>
          <w:rFonts w:ascii="Book Antiqua" w:eastAsia="宋体" w:hAnsi="Book Antiqua" w:cs="宋体"/>
          <w:kern w:val="0"/>
          <w:sz w:val="24"/>
          <w:szCs w:val="24"/>
          <w:lang w:eastAsia="zh-CN"/>
        </w:rPr>
        <w:t>: 101-113 [PMID: 20083829 DOI: 10.7326/0003-4819-152-2-201001190-00009]</w:t>
      </w:r>
    </w:p>
    <w:p w14:paraId="0546CC27"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37 </w:t>
      </w:r>
      <w:r w:rsidRPr="00E341D3">
        <w:rPr>
          <w:rFonts w:ascii="Book Antiqua" w:eastAsia="宋体" w:hAnsi="Book Antiqua" w:cs="宋体"/>
          <w:b/>
          <w:bCs/>
          <w:kern w:val="0"/>
          <w:sz w:val="24"/>
          <w:szCs w:val="24"/>
          <w:lang w:eastAsia="zh-CN"/>
        </w:rPr>
        <w:t>Laine L</w:t>
      </w:r>
      <w:r w:rsidRPr="00E341D3">
        <w:rPr>
          <w:rFonts w:ascii="Book Antiqua" w:eastAsia="宋体" w:hAnsi="Book Antiqua" w:cs="宋体"/>
          <w:kern w:val="0"/>
          <w:sz w:val="24"/>
          <w:szCs w:val="24"/>
          <w:lang w:eastAsia="zh-CN"/>
        </w:rPr>
        <w:t>, Jensen DM. Management of patients with ulcer bleeding. </w:t>
      </w:r>
      <w:r w:rsidRPr="00E341D3">
        <w:rPr>
          <w:rFonts w:ascii="Book Antiqua" w:eastAsia="宋体" w:hAnsi="Book Antiqua" w:cs="宋体"/>
          <w:i/>
          <w:iCs/>
          <w:kern w:val="0"/>
          <w:sz w:val="24"/>
          <w:szCs w:val="24"/>
          <w:lang w:eastAsia="zh-CN"/>
        </w:rPr>
        <w:t>Am J Gastroenterol</w:t>
      </w:r>
      <w:r w:rsidRPr="00E341D3">
        <w:rPr>
          <w:rFonts w:ascii="Book Antiqua" w:eastAsia="宋体" w:hAnsi="Book Antiqua" w:cs="宋体"/>
          <w:kern w:val="0"/>
          <w:sz w:val="24"/>
          <w:szCs w:val="24"/>
          <w:lang w:eastAsia="zh-CN"/>
        </w:rPr>
        <w:t> 2012; </w:t>
      </w:r>
      <w:r w:rsidRPr="00E341D3">
        <w:rPr>
          <w:rFonts w:ascii="Book Antiqua" w:eastAsia="宋体" w:hAnsi="Book Antiqua" w:cs="宋体"/>
          <w:b/>
          <w:bCs/>
          <w:kern w:val="0"/>
          <w:sz w:val="24"/>
          <w:szCs w:val="24"/>
          <w:lang w:eastAsia="zh-CN"/>
        </w:rPr>
        <w:t>107</w:t>
      </w:r>
      <w:r w:rsidRPr="00E341D3">
        <w:rPr>
          <w:rFonts w:ascii="Book Antiqua" w:eastAsia="宋体" w:hAnsi="Book Antiqua" w:cs="宋体"/>
          <w:kern w:val="0"/>
          <w:sz w:val="24"/>
          <w:szCs w:val="24"/>
          <w:lang w:eastAsia="zh-CN"/>
        </w:rPr>
        <w:t>: 345-60; quiz 361 [PMID: 22310222 DOI: 10.1038/ajg.2011.480]</w:t>
      </w:r>
    </w:p>
    <w:p w14:paraId="0812B788"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38 </w:t>
      </w:r>
      <w:r w:rsidRPr="00E341D3">
        <w:rPr>
          <w:rFonts w:ascii="Book Antiqua" w:eastAsia="宋体" w:hAnsi="Book Antiqua" w:cs="宋体"/>
          <w:b/>
          <w:bCs/>
          <w:kern w:val="0"/>
          <w:sz w:val="24"/>
          <w:szCs w:val="24"/>
          <w:lang w:eastAsia="zh-CN"/>
        </w:rPr>
        <w:t>Laine L</w:t>
      </w:r>
      <w:r w:rsidRPr="00E341D3">
        <w:rPr>
          <w:rFonts w:ascii="Book Antiqua" w:eastAsia="宋体" w:hAnsi="Book Antiqua" w:cs="宋体"/>
          <w:kern w:val="0"/>
          <w:sz w:val="24"/>
          <w:szCs w:val="24"/>
          <w:lang w:eastAsia="zh-CN"/>
        </w:rPr>
        <w:t>, McQuaid KR. Endoscopic therapy for bleeding ulcers: an evidence-based approach based on meta-analyses of randomized controlled trials. </w:t>
      </w:r>
      <w:r w:rsidRPr="00E341D3">
        <w:rPr>
          <w:rFonts w:ascii="Book Antiqua" w:eastAsia="宋体" w:hAnsi="Book Antiqua" w:cs="宋体"/>
          <w:i/>
          <w:iCs/>
          <w:kern w:val="0"/>
          <w:sz w:val="24"/>
          <w:szCs w:val="24"/>
          <w:lang w:eastAsia="zh-CN"/>
        </w:rPr>
        <w:t>Clin Gastroenterol Hepatol</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7</w:t>
      </w:r>
      <w:r w:rsidRPr="00E341D3">
        <w:rPr>
          <w:rFonts w:ascii="Book Antiqua" w:eastAsia="宋体" w:hAnsi="Book Antiqua" w:cs="宋体"/>
          <w:kern w:val="0"/>
          <w:sz w:val="24"/>
          <w:szCs w:val="24"/>
          <w:lang w:eastAsia="zh-CN"/>
        </w:rPr>
        <w:t>: 33-47; quiz 1-2 [PMID: 18986845 DOI: 10.1016/j.cgh.2008.08.016]</w:t>
      </w:r>
    </w:p>
    <w:p w14:paraId="51179B32"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39 </w:t>
      </w:r>
      <w:r w:rsidRPr="00E341D3">
        <w:rPr>
          <w:rFonts w:ascii="Book Antiqua" w:eastAsia="宋体" w:hAnsi="Book Antiqua" w:cs="宋体"/>
          <w:b/>
          <w:bCs/>
          <w:kern w:val="0"/>
          <w:sz w:val="24"/>
          <w:szCs w:val="24"/>
          <w:lang w:eastAsia="zh-CN"/>
        </w:rPr>
        <w:t>Sung JJ</w:t>
      </w:r>
      <w:r w:rsidRPr="00E341D3">
        <w:rPr>
          <w:rFonts w:ascii="Book Antiqua" w:eastAsia="宋体" w:hAnsi="Book Antiqua" w:cs="宋体"/>
          <w:kern w:val="0"/>
          <w:sz w:val="24"/>
          <w:szCs w:val="24"/>
          <w:lang w:eastAsia="zh-CN"/>
        </w:rPr>
        <w:t>, Lau JY, Ching JY, Wu JC, Lee YT, Chiu PW, Leung VK, Wong VW, Chan FK. Continuation of low-dose aspirin therapy in peptic ulcer bleeding: a randomized trial. </w:t>
      </w:r>
      <w:r w:rsidRPr="00E341D3">
        <w:rPr>
          <w:rFonts w:ascii="Book Antiqua" w:eastAsia="宋体" w:hAnsi="Book Antiqua" w:cs="宋体"/>
          <w:i/>
          <w:iCs/>
          <w:kern w:val="0"/>
          <w:sz w:val="24"/>
          <w:szCs w:val="24"/>
          <w:lang w:eastAsia="zh-CN"/>
        </w:rPr>
        <w:t>Ann Intern Med</w:t>
      </w:r>
      <w:r w:rsidRPr="00E341D3">
        <w:rPr>
          <w:rFonts w:ascii="Book Antiqua" w:eastAsia="宋体" w:hAnsi="Book Antiqua" w:cs="宋体"/>
          <w:kern w:val="0"/>
          <w:sz w:val="24"/>
          <w:szCs w:val="24"/>
          <w:lang w:eastAsia="zh-CN"/>
        </w:rPr>
        <w:t> 2010; </w:t>
      </w:r>
      <w:r w:rsidRPr="00E341D3">
        <w:rPr>
          <w:rFonts w:ascii="Book Antiqua" w:eastAsia="宋体" w:hAnsi="Book Antiqua" w:cs="宋体"/>
          <w:b/>
          <w:bCs/>
          <w:kern w:val="0"/>
          <w:sz w:val="24"/>
          <w:szCs w:val="24"/>
          <w:lang w:eastAsia="zh-CN"/>
        </w:rPr>
        <w:t>152</w:t>
      </w:r>
      <w:r w:rsidRPr="00E341D3">
        <w:rPr>
          <w:rFonts w:ascii="Book Antiqua" w:eastAsia="宋体" w:hAnsi="Book Antiqua" w:cs="宋体"/>
          <w:kern w:val="0"/>
          <w:sz w:val="24"/>
          <w:szCs w:val="24"/>
          <w:lang w:eastAsia="zh-CN"/>
        </w:rPr>
        <w:t>: 1-9 [PMID: 19949136 DOI: 10.7326/0003-4819-152-1-201001050-00179]</w:t>
      </w:r>
    </w:p>
    <w:p w14:paraId="11A9AF40" w14:textId="4306E194"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40 </w:t>
      </w:r>
      <w:r w:rsidRPr="00E341D3">
        <w:rPr>
          <w:rFonts w:ascii="Book Antiqua" w:eastAsia="宋体" w:hAnsi="Book Antiqua" w:cs="宋体"/>
          <w:b/>
          <w:bCs/>
          <w:kern w:val="0"/>
          <w:sz w:val="24"/>
          <w:szCs w:val="24"/>
          <w:lang w:eastAsia="zh-CN"/>
        </w:rPr>
        <w:t>Valgimigli M</w:t>
      </w:r>
      <w:r w:rsidRPr="00E341D3">
        <w:rPr>
          <w:rFonts w:ascii="Book Antiqua" w:eastAsia="宋体" w:hAnsi="Book Antiqua" w:cs="宋体"/>
          <w:kern w:val="0"/>
          <w:sz w:val="24"/>
          <w:szCs w:val="24"/>
          <w:lang w:eastAsia="zh-CN"/>
        </w:rPr>
        <w:t>, Campo G, Monti M, Vranckx P, Percoco G, Tumscitz C, Castriota F, Colombo F, Tebaldi M, Fucà G, Kubbajeh M, Cangiano E, Minarelli M, Scalone A, Cavazza C, Frangione A, Borghesi M, Marchesini J, Parrinello G, Ferrari R. Short- versus long-term duration of dual-antiplatelet therapy after coronary stenting: a randomized multicenter trial. </w:t>
      </w:r>
      <w:r w:rsidRPr="00E341D3">
        <w:rPr>
          <w:rFonts w:ascii="Book Antiqua" w:eastAsia="宋体" w:hAnsi="Book Antiqua" w:cs="宋体"/>
          <w:i/>
          <w:iCs/>
          <w:kern w:val="0"/>
          <w:sz w:val="24"/>
          <w:szCs w:val="24"/>
          <w:lang w:eastAsia="zh-CN"/>
        </w:rPr>
        <w:t>Circulation</w:t>
      </w:r>
      <w:r w:rsidRPr="00E341D3">
        <w:rPr>
          <w:rFonts w:ascii="Book Antiqua" w:eastAsia="宋体" w:hAnsi="Book Antiqua" w:cs="宋体"/>
          <w:kern w:val="0"/>
          <w:sz w:val="24"/>
          <w:szCs w:val="24"/>
          <w:lang w:eastAsia="zh-CN"/>
        </w:rPr>
        <w:t> 2012; </w:t>
      </w:r>
      <w:r w:rsidRPr="00E341D3">
        <w:rPr>
          <w:rFonts w:ascii="Book Antiqua" w:eastAsia="宋体" w:hAnsi="Book Antiqua" w:cs="宋体"/>
          <w:b/>
          <w:bCs/>
          <w:kern w:val="0"/>
          <w:sz w:val="24"/>
          <w:szCs w:val="24"/>
          <w:lang w:eastAsia="zh-CN"/>
        </w:rPr>
        <w:t>125</w:t>
      </w:r>
      <w:r w:rsidRPr="00E341D3">
        <w:rPr>
          <w:rFonts w:ascii="Book Antiqua" w:eastAsia="宋体" w:hAnsi="Book Antiqua" w:cs="宋体"/>
          <w:kern w:val="0"/>
          <w:sz w:val="24"/>
          <w:szCs w:val="24"/>
          <w:lang w:eastAsia="zh-CN"/>
        </w:rPr>
        <w:t>: 2015-2026 [PMID: 22438530]</w:t>
      </w:r>
    </w:p>
    <w:p w14:paraId="35B4D4CF"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41 </w:t>
      </w:r>
      <w:r w:rsidRPr="00E341D3">
        <w:rPr>
          <w:rFonts w:ascii="Book Antiqua" w:eastAsia="宋体" w:hAnsi="Book Antiqua" w:cs="宋体"/>
          <w:b/>
          <w:bCs/>
          <w:kern w:val="0"/>
          <w:sz w:val="24"/>
          <w:szCs w:val="24"/>
          <w:lang w:eastAsia="zh-CN"/>
        </w:rPr>
        <w:t>Loh JP</w:t>
      </w:r>
      <w:r w:rsidRPr="00E341D3">
        <w:rPr>
          <w:rFonts w:ascii="Book Antiqua" w:eastAsia="宋体" w:hAnsi="Book Antiqua" w:cs="宋体"/>
          <w:kern w:val="0"/>
          <w:sz w:val="24"/>
          <w:szCs w:val="24"/>
          <w:lang w:eastAsia="zh-CN"/>
        </w:rPr>
        <w:t>, Torguson R, Pendyala LK, Omar A, Chen F, Satler LF, Pichard AD, Waksman R. Impact of early versus late clopidogrel discontinuation on stent thrombosis following percutaneous coronary intervention with first- and second-generation drug-eluting stents. </w:t>
      </w:r>
      <w:r w:rsidRPr="00E341D3">
        <w:rPr>
          <w:rFonts w:ascii="Book Antiqua" w:eastAsia="宋体" w:hAnsi="Book Antiqua" w:cs="宋体"/>
          <w:i/>
          <w:iCs/>
          <w:kern w:val="0"/>
          <w:sz w:val="24"/>
          <w:szCs w:val="24"/>
          <w:lang w:eastAsia="zh-CN"/>
        </w:rPr>
        <w:t>Am J Cardiol</w:t>
      </w:r>
      <w:r w:rsidRPr="00E341D3">
        <w:rPr>
          <w:rFonts w:ascii="Book Antiqua" w:eastAsia="宋体" w:hAnsi="Book Antiqua" w:cs="宋体"/>
          <w:kern w:val="0"/>
          <w:sz w:val="24"/>
          <w:szCs w:val="24"/>
          <w:lang w:eastAsia="zh-CN"/>
        </w:rPr>
        <w:t> 2014; </w:t>
      </w:r>
      <w:r w:rsidRPr="00E341D3">
        <w:rPr>
          <w:rFonts w:ascii="Book Antiqua" w:eastAsia="宋体" w:hAnsi="Book Antiqua" w:cs="宋体"/>
          <w:b/>
          <w:bCs/>
          <w:kern w:val="0"/>
          <w:sz w:val="24"/>
          <w:szCs w:val="24"/>
          <w:lang w:eastAsia="zh-CN"/>
        </w:rPr>
        <w:t>113</w:t>
      </w:r>
      <w:r w:rsidRPr="00E341D3">
        <w:rPr>
          <w:rFonts w:ascii="Book Antiqua" w:eastAsia="宋体" w:hAnsi="Book Antiqua" w:cs="宋体"/>
          <w:kern w:val="0"/>
          <w:sz w:val="24"/>
          <w:szCs w:val="24"/>
          <w:lang w:eastAsia="zh-CN"/>
        </w:rPr>
        <w:t>: 1968-1976 [PMID: 24767975 DOI: 10.1016/j.amjcard.2014.03.041]</w:t>
      </w:r>
    </w:p>
    <w:p w14:paraId="7554E9A1"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42 </w:t>
      </w:r>
      <w:r w:rsidRPr="00E341D3">
        <w:rPr>
          <w:rFonts w:ascii="Book Antiqua" w:eastAsia="宋体" w:hAnsi="Book Antiqua" w:cs="宋体"/>
          <w:b/>
          <w:bCs/>
          <w:kern w:val="0"/>
          <w:sz w:val="24"/>
          <w:szCs w:val="24"/>
          <w:lang w:eastAsia="zh-CN"/>
        </w:rPr>
        <w:t>Feres F</w:t>
      </w:r>
      <w:r w:rsidRPr="00E341D3">
        <w:rPr>
          <w:rFonts w:ascii="Book Antiqua" w:eastAsia="宋体" w:hAnsi="Book Antiqua" w:cs="宋体"/>
          <w:kern w:val="0"/>
          <w:sz w:val="24"/>
          <w:szCs w:val="24"/>
          <w:lang w:eastAsia="zh-CN"/>
        </w:rPr>
        <w:t>, Costa RA, Abizaid A, Leon MB, Marin-Neto JA, Botelho RV, King SB, Negoita M, Liu M, de Paula JE, Mangione JA, Meireles GX, Castello HJ, Nicolela EL, Perin MA, Devito FS, Labrunie A, Salvadori D, Gusmão M, Staico R, Costa JR, de Castro JP, Abizaid AS, Bhatt DL. Three vs twelve months of dual antiplatelet therapy after zotarolimus-eluting stents: the OPTIMIZE randomized trial. </w:t>
      </w:r>
      <w:r w:rsidRPr="00E341D3">
        <w:rPr>
          <w:rFonts w:ascii="Book Antiqua" w:eastAsia="宋体" w:hAnsi="Book Antiqua" w:cs="宋体"/>
          <w:i/>
          <w:iCs/>
          <w:kern w:val="0"/>
          <w:sz w:val="24"/>
          <w:szCs w:val="24"/>
          <w:lang w:eastAsia="zh-CN"/>
        </w:rPr>
        <w:t>JAMA</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310</w:t>
      </w:r>
      <w:r w:rsidRPr="00E341D3">
        <w:rPr>
          <w:rFonts w:ascii="Book Antiqua" w:eastAsia="宋体" w:hAnsi="Book Antiqua" w:cs="宋体"/>
          <w:kern w:val="0"/>
          <w:sz w:val="24"/>
          <w:szCs w:val="24"/>
          <w:lang w:eastAsia="zh-CN"/>
        </w:rPr>
        <w:t>: 2510-2522 [PMID: 24177257 DOI: 10.1001/jama.2013.282183]</w:t>
      </w:r>
    </w:p>
    <w:p w14:paraId="5593BCE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43 </w:t>
      </w:r>
      <w:r w:rsidRPr="00E341D3">
        <w:rPr>
          <w:rFonts w:ascii="Book Antiqua" w:eastAsia="宋体" w:hAnsi="Book Antiqua" w:cs="宋体"/>
          <w:b/>
          <w:bCs/>
          <w:kern w:val="0"/>
          <w:sz w:val="24"/>
          <w:szCs w:val="24"/>
          <w:lang w:eastAsia="zh-CN"/>
        </w:rPr>
        <w:t>Montalescot G</w:t>
      </w:r>
      <w:r w:rsidRPr="00E341D3">
        <w:rPr>
          <w:rFonts w:ascii="Book Antiqua" w:eastAsia="宋体" w:hAnsi="Book Antiqua" w:cs="宋体"/>
          <w:kern w:val="0"/>
          <w:sz w:val="24"/>
          <w:szCs w:val="24"/>
          <w:lang w:eastAsia="zh-CN"/>
        </w:rPr>
        <w:t>, Wiviott SD, Braunwald E, Murphy SA, Gibson CM, McCabe CH, Antman EM. Prasugrel compared with clopidogrel in patients undergoing percutaneous coronary intervention for ST-elevation myocardial infarction (TRITON-TIMI 38): double-blind, randomised controlled trial.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373</w:t>
      </w:r>
      <w:r w:rsidRPr="00E341D3">
        <w:rPr>
          <w:rFonts w:ascii="Book Antiqua" w:eastAsia="宋体" w:hAnsi="Book Antiqua" w:cs="宋体"/>
          <w:kern w:val="0"/>
          <w:sz w:val="24"/>
          <w:szCs w:val="24"/>
          <w:lang w:eastAsia="zh-CN"/>
        </w:rPr>
        <w:t>: 723-731 [PMID: 19249633 DOI: 10.1016/S0140-6736(09)60441-4]</w:t>
      </w:r>
    </w:p>
    <w:p w14:paraId="1FC3981B"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44 </w:t>
      </w:r>
      <w:r w:rsidRPr="00E341D3">
        <w:rPr>
          <w:rFonts w:ascii="Book Antiqua" w:eastAsia="宋体" w:hAnsi="Book Antiqua" w:cs="宋体"/>
          <w:b/>
          <w:bCs/>
          <w:kern w:val="0"/>
          <w:sz w:val="24"/>
          <w:szCs w:val="24"/>
          <w:lang w:eastAsia="zh-CN"/>
        </w:rPr>
        <w:t>Saito S</w:t>
      </w:r>
      <w:r w:rsidRPr="00E341D3">
        <w:rPr>
          <w:rFonts w:ascii="Book Antiqua" w:eastAsia="宋体" w:hAnsi="Book Antiqua" w:cs="宋体"/>
          <w:kern w:val="0"/>
          <w:sz w:val="24"/>
          <w:szCs w:val="24"/>
          <w:lang w:eastAsia="zh-CN"/>
        </w:rPr>
        <w:t>, Isshiki T, Kimura T, Ogawa H, Yokoi H, Nanto S, Takayama M, Kitagawa K, Nishikawa M, Miyazaki S, Nakamura M. Efficacy and safety of adjusted-dose prasugrel compared with clopidogrel in Japanese patients with acute coronary syndrome: the PRASFIT-ACS study. </w:t>
      </w:r>
      <w:r w:rsidRPr="00E341D3">
        <w:rPr>
          <w:rFonts w:ascii="Book Antiqua" w:eastAsia="宋体" w:hAnsi="Book Antiqua" w:cs="宋体"/>
          <w:i/>
          <w:iCs/>
          <w:kern w:val="0"/>
          <w:sz w:val="24"/>
          <w:szCs w:val="24"/>
          <w:lang w:eastAsia="zh-CN"/>
        </w:rPr>
        <w:t>Circ J</w:t>
      </w:r>
      <w:r w:rsidRPr="00E341D3">
        <w:rPr>
          <w:rFonts w:ascii="Book Antiqua" w:eastAsia="宋体" w:hAnsi="Book Antiqua" w:cs="宋体"/>
          <w:kern w:val="0"/>
          <w:sz w:val="24"/>
          <w:szCs w:val="24"/>
          <w:lang w:eastAsia="zh-CN"/>
        </w:rPr>
        <w:t> 2014; </w:t>
      </w:r>
      <w:r w:rsidRPr="00E341D3">
        <w:rPr>
          <w:rFonts w:ascii="Book Antiqua" w:eastAsia="宋体" w:hAnsi="Book Antiqua" w:cs="宋体"/>
          <w:b/>
          <w:bCs/>
          <w:kern w:val="0"/>
          <w:sz w:val="24"/>
          <w:szCs w:val="24"/>
          <w:lang w:eastAsia="zh-CN"/>
        </w:rPr>
        <w:t>78</w:t>
      </w:r>
      <w:r w:rsidRPr="00E341D3">
        <w:rPr>
          <w:rFonts w:ascii="Book Antiqua" w:eastAsia="宋体" w:hAnsi="Book Antiqua" w:cs="宋体"/>
          <w:kern w:val="0"/>
          <w:sz w:val="24"/>
          <w:szCs w:val="24"/>
          <w:lang w:eastAsia="zh-CN"/>
        </w:rPr>
        <w:t>: 1684-1692 [PMID: 24759796 DOI: 10.1253/circj.CJ-13-1482]</w:t>
      </w:r>
    </w:p>
    <w:p w14:paraId="2DAF0CA4"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45 </w:t>
      </w:r>
      <w:r w:rsidRPr="00E341D3">
        <w:rPr>
          <w:rFonts w:ascii="Book Antiqua" w:eastAsia="宋体" w:hAnsi="Book Antiqua" w:cs="宋体"/>
          <w:b/>
          <w:bCs/>
          <w:kern w:val="0"/>
          <w:sz w:val="24"/>
          <w:szCs w:val="24"/>
          <w:lang w:eastAsia="zh-CN"/>
        </w:rPr>
        <w:t>Dewilde WJ</w:t>
      </w:r>
      <w:r w:rsidRPr="00E341D3">
        <w:rPr>
          <w:rFonts w:ascii="Book Antiqua" w:eastAsia="宋体" w:hAnsi="Book Antiqua" w:cs="宋体"/>
          <w:kern w:val="0"/>
          <w:sz w:val="24"/>
          <w:szCs w:val="24"/>
          <w:lang w:eastAsia="zh-CN"/>
        </w:rPr>
        <w:t>, Oirbans T, Verheugt FW, Kelder JC, De Smet BJ, Herrman JP, Adriaenssens T, Vrolix M, Heestermans AA, Vis MM, Tijsen JG, van 't Hof AW, ten Berg JM. Use of clopidogrel with or without aspirin in patients taking oral anticoagulant therapy and undergoing percutaneous coronary intervention: an open-label, randomised, controlled trial.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381</w:t>
      </w:r>
      <w:r w:rsidRPr="00E341D3">
        <w:rPr>
          <w:rFonts w:ascii="Book Antiqua" w:eastAsia="宋体" w:hAnsi="Book Antiqua" w:cs="宋体"/>
          <w:kern w:val="0"/>
          <w:sz w:val="24"/>
          <w:szCs w:val="24"/>
          <w:lang w:eastAsia="zh-CN"/>
        </w:rPr>
        <w:t>: 1107-1115 [PMID: 23415013 DOI: 10.1016/S0140-6736(12)62177-1]</w:t>
      </w:r>
    </w:p>
    <w:p w14:paraId="2F84B856"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46 </w:t>
      </w:r>
      <w:r w:rsidRPr="00E341D3">
        <w:rPr>
          <w:rFonts w:ascii="Book Antiqua" w:eastAsia="宋体" w:hAnsi="Book Antiqua" w:cs="宋体"/>
          <w:b/>
          <w:bCs/>
          <w:kern w:val="0"/>
          <w:sz w:val="24"/>
          <w:szCs w:val="24"/>
          <w:lang w:eastAsia="zh-CN"/>
        </w:rPr>
        <w:t>Lanas A</w:t>
      </w:r>
      <w:r w:rsidRPr="00E341D3">
        <w:rPr>
          <w:rFonts w:ascii="Book Antiqua" w:eastAsia="宋体" w:hAnsi="Book Antiqua" w:cs="宋体"/>
          <w:kern w:val="0"/>
          <w:sz w:val="24"/>
          <w:szCs w:val="24"/>
          <w:lang w:eastAsia="zh-CN"/>
        </w:rPr>
        <w:t>, Bajador E, Serrano P, Fuentes J, Carreño S, Guardia J, Sanz M, Montoro M, Sáinz R. Nitrovasodilators, low-dose aspirin, other nonsteroidal antiinflammatory drugs, and the risk of upper gastrointestinal bleeding.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2000; </w:t>
      </w:r>
      <w:r w:rsidRPr="00E341D3">
        <w:rPr>
          <w:rFonts w:ascii="Book Antiqua" w:eastAsia="宋体" w:hAnsi="Book Antiqua" w:cs="宋体"/>
          <w:b/>
          <w:bCs/>
          <w:kern w:val="0"/>
          <w:sz w:val="24"/>
          <w:szCs w:val="24"/>
          <w:lang w:eastAsia="zh-CN"/>
        </w:rPr>
        <w:t>343</w:t>
      </w:r>
      <w:r w:rsidRPr="00E341D3">
        <w:rPr>
          <w:rFonts w:ascii="Book Antiqua" w:eastAsia="宋体" w:hAnsi="Book Antiqua" w:cs="宋体"/>
          <w:kern w:val="0"/>
          <w:sz w:val="24"/>
          <w:szCs w:val="24"/>
          <w:lang w:eastAsia="zh-CN"/>
        </w:rPr>
        <w:t>: 834-839 [PMID: 10995862]</w:t>
      </w:r>
    </w:p>
    <w:p w14:paraId="11A07D08"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47 </w:t>
      </w:r>
      <w:r w:rsidRPr="00E341D3">
        <w:rPr>
          <w:rFonts w:ascii="Book Antiqua" w:eastAsia="宋体" w:hAnsi="Book Antiqua" w:cs="宋体"/>
          <w:b/>
          <w:bCs/>
          <w:kern w:val="0"/>
          <w:sz w:val="24"/>
          <w:szCs w:val="24"/>
          <w:lang w:eastAsia="zh-CN"/>
        </w:rPr>
        <w:t>Ng FH</w:t>
      </w:r>
      <w:r w:rsidRPr="00E341D3">
        <w:rPr>
          <w:rFonts w:ascii="Book Antiqua" w:eastAsia="宋体" w:hAnsi="Book Antiqua" w:cs="宋体"/>
          <w:kern w:val="0"/>
          <w:sz w:val="24"/>
          <w:szCs w:val="24"/>
          <w:lang w:eastAsia="zh-CN"/>
        </w:rPr>
        <w:t>, Chan P, Kwanching CP, Loo CK, Cheung TK, Wong SY, Kng C, Ng KM, Lai ST, Wong BC. Management and outcome of peptic ulcers or erosions in patients receiving a combination of aspirin plus clopidogrel. </w:t>
      </w:r>
      <w:r w:rsidRPr="00E341D3">
        <w:rPr>
          <w:rFonts w:ascii="Book Antiqua" w:eastAsia="宋体" w:hAnsi="Book Antiqua" w:cs="宋体"/>
          <w:i/>
          <w:iCs/>
          <w:kern w:val="0"/>
          <w:sz w:val="24"/>
          <w:szCs w:val="24"/>
          <w:lang w:eastAsia="zh-CN"/>
        </w:rPr>
        <w:t>J Gastroenterol</w:t>
      </w:r>
      <w:r w:rsidRPr="00E341D3">
        <w:rPr>
          <w:rFonts w:ascii="Book Antiqua" w:eastAsia="宋体" w:hAnsi="Book Antiqua" w:cs="宋体"/>
          <w:kern w:val="0"/>
          <w:sz w:val="24"/>
          <w:szCs w:val="24"/>
          <w:lang w:eastAsia="zh-CN"/>
        </w:rPr>
        <w:t> 2008; </w:t>
      </w:r>
      <w:r w:rsidRPr="00E341D3">
        <w:rPr>
          <w:rFonts w:ascii="Book Antiqua" w:eastAsia="宋体" w:hAnsi="Book Antiqua" w:cs="宋体"/>
          <w:b/>
          <w:bCs/>
          <w:kern w:val="0"/>
          <w:sz w:val="24"/>
          <w:szCs w:val="24"/>
          <w:lang w:eastAsia="zh-CN"/>
        </w:rPr>
        <w:t>43</w:t>
      </w:r>
      <w:r w:rsidRPr="00E341D3">
        <w:rPr>
          <w:rFonts w:ascii="Book Antiqua" w:eastAsia="宋体" w:hAnsi="Book Antiqua" w:cs="宋体"/>
          <w:kern w:val="0"/>
          <w:sz w:val="24"/>
          <w:szCs w:val="24"/>
          <w:lang w:eastAsia="zh-CN"/>
        </w:rPr>
        <w:t>: 679-686 [PMID: 18807129 DOI: 10.1007/s00535-008-2215-4]</w:t>
      </w:r>
    </w:p>
    <w:p w14:paraId="54E961D0"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48 </w:t>
      </w:r>
      <w:r w:rsidRPr="00E341D3">
        <w:rPr>
          <w:rFonts w:ascii="Book Antiqua" w:eastAsia="宋体" w:hAnsi="Book Antiqua" w:cs="宋体"/>
          <w:b/>
          <w:bCs/>
          <w:kern w:val="0"/>
          <w:sz w:val="24"/>
          <w:szCs w:val="24"/>
          <w:lang w:eastAsia="zh-CN"/>
        </w:rPr>
        <w:t>Uemura N</w:t>
      </w:r>
      <w:r w:rsidRPr="00E341D3">
        <w:rPr>
          <w:rFonts w:ascii="Book Antiqua" w:eastAsia="宋体" w:hAnsi="Book Antiqua" w:cs="宋体"/>
          <w:kern w:val="0"/>
          <w:sz w:val="24"/>
          <w:szCs w:val="24"/>
          <w:lang w:eastAsia="zh-CN"/>
        </w:rPr>
        <w:t>, Sugano K, Hiraishi H, Shimada K, Goto S, Uchiyama S, Okada Y, Origasa H, Ikeda Y. Risk factor profiles, drug usage, and prevalence of aspirin-associated gastroduodenal injuries among high-risk cardiovascular Japanese patients: the results from the MAGIC study. </w:t>
      </w:r>
      <w:r w:rsidRPr="00E341D3">
        <w:rPr>
          <w:rFonts w:ascii="Book Antiqua" w:eastAsia="宋体" w:hAnsi="Book Antiqua" w:cs="宋体"/>
          <w:i/>
          <w:iCs/>
          <w:kern w:val="0"/>
          <w:sz w:val="24"/>
          <w:szCs w:val="24"/>
          <w:lang w:eastAsia="zh-CN"/>
        </w:rPr>
        <w:t>J Gastroenterol</w:t>
      </w:r>
      <w:r w:rsidRPr="00E341D3">
        <w:rPr>
          <w:rFonts w:ascii="Book Antiqua" w:eastAsia="宋体" w:hAnsi="Book Antiqua" w:cs="宋体"/>
          <w:kern w:val="0"/>
          <w:sz w:val="24"/>
          <w:szCs w:val="24"/>
          <w:lang w:eastAsia="zh-CN"/>
        </w:rPr>
        <w:t> 2014; </w:t>
      </w:r>
      <w:r w:rsidRPr="00E341D3">
        <w:rPr>
          <w:rFonts w:ascii="Book Antiqua" w:eastAsia="宋体" w:hAnsi="Book Antiqua" w:cs="宋体"/>
          <w:b/>
          <w:bCs/>
          <w:kern w:val="0"/>
          <w:sz w:val="24"/>
          <w:szCs w:val="24"/>
          <w:lang w:eastAsia="zh-CN"/>
        </w:rPr>
        <w:t>49</w:t>
      </w:r>
      <w:r w:rsidRPr="00E341D3">
        <w:rPr>
          <w:rFonts w:ascii="Book Antiqua" w:eastAsia="宋体" w:hAnsi="Book Antiqua" w:cs="宋体"/>
          <w:kern w:val="0"/>
          <w:sz w:val="24"/>
          <w:szCs w:val="24"/>
          <w:lang w:eastAsia="zh-CN"/>
        </w:rPr>
        <w:t>: 814-824 [PMID: 23754512]</w:t>
      </w:r>
    </w:p>
    <w:p w14:paraId="185A5476" w14:textId="21E97F70"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49</w:t>
      </w:r>
      <w:r w:rsidRPr="00E341D3">
        <w:rPr>
          <w:rFonts w:ascii="Book Antiqua" w:eastAsia="宋体" w:hAnsi="Book Antiqua" w:cs="宋体"/>
          <w:b/>
          <w:kern w:val="0"/>
          <w:sz w:val="24"/>
          <w:szCs w:val="24"/>
          <w:lang w:eastAsia="zh-CN"/>
        </w:rPr>
        <w:t xml:space="preserve"> Kawai T</w:t>
      </w:r>
      <w:r w:rsidRPr="00E341D3">
        <w:rPr>
          <w:rFonts w:ascii="Book Antiqua" w:eastAsia="宋体" w:hAnsi="Book Antiqua" w:cs="宋体"/>
          <w:kern w:val="0"/>
          <w:sz w:val="24"/>
          <w:szCs w:val="24"/>
          <w:lang w:eastAsia="zh-CN"/>
        </w:rPr>
        <w:t>, KAshida K, Mizokami Y, Matsumoto Y, Oda K, Saito K, Funao N, Nishimura A, Sugano K. TAK-438 Versus Lansoprazole 15 mg for secondary prevention of peptic ulcers associated with low-dose aspirin therapy: results of a phase 3 trial.</w:t>
      </w:r>
      <w:r w:rsidRPr="00E341D3">
        <w:rPr>
          <w:rFonts w:ascii="Book Antiqua" w:eastAsia="宋体" w:hAnsi="Book Antiqua" w:cs="宋体"/>
          <w:i/>
          <w:kern w:val="0"/>
          <w:sz w:val="24"/>
          <w:szCs w:val="24"/>
          <w:lang w:eastAsia="zh-CN"/>
        </w:rPr>
        <w:t xml:space="preserve"> Gastroenterol</w:t>
      </w:r>
      <w:r w:rsidRPr="00E341D3">
        <w:rPr>
          <w:rFonts w:ascii="Book Antiqua" w:eastAsia="宋体" w:hAnsi="Book Antiqua" w:cs="宋体"/>
          <w:kern w:val="0"/>
          <w:sz w:val="24"/>
          <w:szCs w:val="24"/>
          <w:lang w:eastAsia="zh-CN"/>
        </w:rPr>
        <w:t xml:space="preserve"> 2014; </w:t>
      </w:r>
      <w:r w:rsidRPr="00E341D3">
        <w:rPr>
          <w:rFonts w:ascii="Book Antiqua" w:eastAsia="宋体" w:hAnsi="Book Antiqua" w:cs="宋体"/>
          <w:b/>
          <w:kern w:val="0"/>
          <w:sz w:val="24"/>
          <w:szCs w:val="24"/>
          <w:lang w:eastAsia="zh-CN"/>
        </w:rPr>
        <w:t>146:</w:t>
      </w:r>
      <w:r w:rsidRPr="00E341D3">
        <w:rPr>
          <w:rFonts w:ascii="Book Antiqua" w:eastAsia="宋体" w:hAnsi="Book Antiqua" w:cs="宋体"/>
          <w:kern w:val="0"/>
          <w:sz w:val="24"/>
          <w:szCs w:val="24"/>
          <w:lang w:eastAsia="zh-CN"/>
        </w:rPr>
        <w:t xml:space="preserve"> S739 [DOI: 10.1016/S0016-5085(14)62678-0]</w:t>
      </w:r>
    </w:p>
    <w:p w14:paraId="5C66FBE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50 </w:t>
      </w:r>
      <w:r w:rsidRPr="00E341D3">
        <w:rPr>
          <w:rFonts w:ascii="Book Antiqua" w:eastAsia="宋体" w:hAnsi="Book Antiqua" w:cs="宋体"/>
          <w:b/>
          <w:bCs/>
          <w:kern w:val="0"/>
          <w:sz w:val="24"/>
          <w:szCs w:val="24"/>
          <w:lang w:eastAsia="zh-CN"/>
        </w:rPr>
        <w:t>Hedberg J</w:t>
      </w:r>
      <w:r w:rsidRPr="00E341D3">
        <w:rPr>
          <w:rFonts w:ascii="Book Antiqua" w:eastAsia="宋体" w:hAnsi="Book Antiqua" w:cs="宋体"/>
          <w:kern w:val="0"/>
          <w:sz w:val="24"/>
          <w:szCs w:val="24"/>
          <w:lang w:eastAsia="zh-CN"/>
        </w:rPr>
        <w:t>, Sundström J, Thuresson M, Aarskog P, Oldgren J, Bodegard J. Low-dose acetylsalicylic acid and gastrointestinal ulcers or bleeding--a cohort study of the effects of proton pump inhibitor use patterns. </w:t>
      </w:r>
      <w:r w:rsidRPr="00E341D3">
        <w:rPr>
          <w:rFonts w:ascii="Book Antiqua" w:eastAsia="宋体" w:hAnsi="Book Antiqua" w:cs="宋体"/>
          <w:i/>
          <w:iCs/>
          <w:kern w:val="0"/>
          <w:sz w:val="24"/>
          <w:szCs w:val="24"/>
          <w:lang w:eastAsia="zh-CN"/>
        </w:rPr>
        <w:t>J Intern Med</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274</w:t>
      </w:r>
      <w:r w:rsidRPr="00E341D3">
        <w:rPr>
          <w:rFonts w:ascii="Book Antiqua" w:eastAsia="宋体" w:hAnsi="Book Antiqua" w:cs="宋体"/>
          <w:kern w:val="0"/>
          <w:sz w:val="24"/>
          <w:szCs w:val="24"/>
          <w:lang w:eastAsia="zh-CN"/>
        </w:rPr>
        <w:t>: 371-380 [PMID: 23800296 DOI: 10.1111/joim.12103]</w:t>
      </w:r>
    </w:p>
    <w:p w14:paraId="75DB6A64" w14:textId="1A8511B5"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51 </w:t>
      </w:r>
      <w:r w:rsidRPr="00E341D3">
        <w:rPr>
          <w:rFonts w:ascii="Book Antiqua" w:eastAsia="宋体" w:hAnsi="Book Antiqua" w:cs="宋体"/>
          <w:b/>
          <w:bCs/>
          <w:kern w:val="0"/>
          <w:sz w:val="24"/>
          <w:szCs w:val="24"/>
          <w:lang w:eastAsia="zh-CN"/>
        </w:rPr>
        <w:t>Gilard M</w:t>
      </w:r>
      <w:r w:rsidRPr="00E341D3">
        <w:rPr>
          <w:rFonts w:ascii="Book Antiqua" w:eastAsia="宋体" w:hAnsi="Book Antiqua" w:cs="宋体"/>
          <w:kern w:val="0"/>
          <w:sz w:val="24"/>
          <w:szCs w:val="24"/>
          <w:lang w:eastAsia="zh-CN"/>
        </w:rPr>
        <w:t>, Arnaud B, Cornily JC, Le Gal G, Lacut K, Le Calvez G, Mansourati J, Mottier D, Abgrall JF, Boschat J. Influence of omeprazole on the antiplatelet action of clopidogrel associated with aspirin: the randomized, double-blind OCLA (Omeprazole CLopidogrel Aspirin) study. </w:t>
      </w:r>
      <w:r w:rsidRPr="00E341D3">
        <w:rPr>
          <w:rFonts w:ascii="Book Antiqua" w:eastAsia="宋体" w:hAnsi="Book Antiqua" w:cs="宋体"/>
          <w:i/>
          <w:iCs/>
          <w:kern w:val="0"/>
          <w:sz w:val="24"/>
          <w:szCs w:val="24"/>
          <w:lang w:eastAsia="zh-CN"/>
        </w:rPr>
        <w:t>J Am Coll Cardiol</w:t>
      </w:r>
      <w:r w:rsidRPr="00E341D3">
        <w:rPr>
          <w:rFonts w:ascii="Book Antiqua" w:eastAsia="宋体" w:hAnsi="Book Antiqua" w:cs="宋体"/>
          <w:kern w:val="0"/>
          <w:sz w:val="24"/>
          <w:szCs w:val="24"/>
          <w:lang w:eastAsia="zh-CN"/>
        </w:rPr>
        <w:t> 2008; </w:t>
      </w:r>
      <w:r w:rsidRPr="00E341D3">
        <w:rPr>
          <w:rFonts w:ascii="Book Antiqua" w:eastAsia="宋体" w:hAnsi="Book Antiqua" w:cs="宋体"/>
          <w:b/>
          <w:bCs/>
          <w:kern w:val="0"/>
          <w:sz w:val="24"/>
          <w:szCs w:val="24"/>
          <w:lang w:eastAsia="zh-CN"/>
        </w:rPr>
        <w:t>51</w:t>
      </w:r>
      <w:r w:rsidRPr="00E341D3">
        <w:rPr>
          <w:rFonts w:ascii="Book Antiqua" w:eastAsia="宋体" w:hAnsi="Book Antiqua" w:cs="宋体"/>
          <w:kern w:val="0"/>
          <w:sz w:val="24"/>
          <w:szCs w:val="24"/>
          <w:lang w:eastAsia="zh-CN"/>
        </w:rPr>
        <w:t>: 256-260 [PMID: 18206732 DOI: 10.1016/j.jacc.2007.06.064]</w:t>
      </w:r>
    </w:p>
    <w:p w14:paraId="7D8D807A"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52 </w:t>
      </w:r>
      <w:r w:rsidRPr="00E341D3">
        <w:rPr>
          <w:rFonts w:ascii="Book Antiqua" w:eastAsia="宋体" w:hAnsi="Book Antiqua" w:cs="宋体"/>
          <w:b/>
          <w:bCs/>
          <w:kern w:val="0"/>
          <w:sz w:val="24"/>
          <w:szCs w:val="24"/>
          <w:lang w:eastAsia="zh-CN"/>
        </w:rPr>
        <w:t>O'Donoghue ML</w:t>
      </w:r>
      <w:r w:rsidRPr="00E341D3">
        <w:rPr>
          <w:rFonts w:ascii="Book Antiqua" w:eastAsia="宋体" w:hAnsi="Book Antiqua" w:cs="宋体"/>
          <w:kern w:val="0"/>
          <w:sz w:val="24"/>
          <w:szCs w:val="24"/>
          <w:lang w:eastAsia="zh-CN"/>
        </w:rPr>
        <w:t>, Braunwald E, Antman EM, Murphy SA, Bates ER, Rozenman Y, Michelson AD, Hautvast RW, Ver Lee PN, Close SL, Shen L, Mega JL, Sabatine MS, Wiviott SD. Pharmacodynamic effect and clinical efficacy of clopidogrel and prasugrel with or without a proton-pump inhibitor: an analysis of two randomised trials. </w:t>
      </w:r>
      <w:r w:rsidRPr="00E341D3">
        <w:rPr>
          <w:rFonts w:ascii="Book Antiqua" w:eastAsia="宋体" w:hAnsi="Book Antiqua" w:cs="宋体"/>
          <w:i/>
          <w:iCs/>
          <w:kern w:val="0"/>
          <w:sz w:val="24"/>
          <w:szCs w:val="24"/>
          <w:lang w:eastAsia="zh-CN"/>
        </w:rPr>
        <w:t>Lancet</w:t>
      </w:r>
      <w:r w:rsidRPr="00E341D3">
        <w:rPr>
          <w:rFonts w:ascii="Book Antiqua" w:eastAsia="宋体" w:hAnsi="Book Antiqua" w:cs="宋体"/>
          <w:kern w:val="0"/>
          <w:sz w:val="24"/>
          <w:szCs w:val="24"/>
          <w:lang w:eastAsia="zh-CN"/>
        </w:rPr>
        <w:t> 2009; </w:t>
      </w:r>
      <w:r w:rsidRPr="00E341D3">
        <w:rPr>
          <w:rFonts w:ascii="Book Antiqua" w:eastAsia="宋体" w:hAnsi="Book Antiqua" w:cs="宋体"/>
          <w:b/>
          <w:bCs/>
          <w:kern w:val="0"/>
          <w:sz w:val="24"/>
          <w:szCs w:val="24"/>
          <w:lang w:eastAsia="zh-CN"/>
        </w:rPr>
        <w:t>374</w:t>
      </w:r>
      <w:r w:rsidRPr="00E341D3">
        <w:rPr>
          <w:rFonts w:ascii="Book Antiqua" w:eastAsia="宋体" w:hAnsi="Book Antiqua" w:cs="宋体"/>
          <w:kern w:val="0"/>
          <w:sz w:val="24"/>
          <w:szCs w:val="24"/>
          <w:lang w:eastAsia="zh-CN"/>
        </w:rPr>
        <w:t>: 989-997 [PMID: 19726078 DOI: 10.1016/S0140-6736(09)61525-7]</w:t>
      </w:r>
    </w:p>
    <w:p w14:paraId="3886B5CB"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53 </w:t>
      </w:r>
      <w:r w:rsidRPr="00E341D3">
        <w:rPr>
          <w:rFonts w:ascii="Book Antiqua" w:eastAsia="宋体" w:hAnsi="Book Antiqua" w:cs="宋体"/>
          <w:b/>
          <w:bCs/>
          <w:kern w:val="0"/>
          <w:sz w:val="24"/>
          <w:szCs w:val="24"/>
          <w:lang w:eastAsia="zh-CN"/>
        </w:rPr>
        <w:t>Kwok CS</w:t>
      </w:r>
      <w:r w:rsidRPr="00E341D3">
        <w:rPr>
          <w:rFonts w:ascii="Book Antiqua" w:eastAsia="宋体" w:hAnsi="Book Antiqua" w:cs="宋体"/>
          <w:kern w:val="0"/>
          <w:sz w:val="24"/>
          <w:szCs w:val="24"/>
          <w:lang w:eastAsia="zh-CN"/>
        </w:rPr>
        <w:t>, Loke YK. Meta-analysis: the effects of proton pump inhibitors on cardiovascular events and mortality in patients receiving clopidogrel. </w:t>
      </w:r>
      <w:r w:rsidRPr="00E341D3">
        <w:rPr>
          <w:rFonts w:ascii="Book Antiqua" w:eastAsia="宋体" w:hAnsi="Book Antiqua" w:cs="宋体"/>
          <w:i/>
          <w:iCs/>
          <w:kern w:val="0"/>
          <w:sz w:val="24"/>
          <w:szCs w:val="24"/>
          <w:lang w:eastAsia="zh-CN"/>
        </w:rPr>
        <w:t>Aliment Pharmacol Ther</w:t>
      </w:r>
      <w:r w:rsidRPr="00E341D3">
        <w:rPr>
          <w:rFonts w:ascii="Book Antiqua" w:eastAsia="宋体" w:hAnsi="Book Antiqua" w:cs="宋体"/>
          <w:kern w:val="0"/>
          <w:sz w:val="24"/>
          <w:szCs w:val="24"/>
          <w:lang w:eastAsia="zh-CN"/>
        </w:rPr>
        <w:t> 2010; </w:t>
      </w:r>
      <w:r w:rsidRPr="00E341D3">
        <w:rPr>
          <w:rFonts w:ascii="Book Antiqua" w:eastAsia="宋体" w:hAnsi="Book Antiqua" w:cs="宋体"/>
          <w:b/>
          <w:bCs/>
          <w:kern w:val="0"/>
          <w:sz w:val="24"/>
          <w:szCs w:val="24"/>
          <w:lang w:eastAsia="zh-CN"/>
        </w:rPr>
        <w:t>31</w:t>
      </w:r>
      <w:r w:rsidRPr="00E341D3">
        <w:rPr>
          <w:rFonts w:ascii="Book Antiqua" w:eastAsia="宋体" w:hAnsi="Book Antiqua" w:cs="宋体"/>
          <w:kern w:val="0"/>
          <w:sz w:val="24"/>
          <w:szCs w:val="24"/>
          <w:lang w:eastAsia="zh-CN"/>
        </w:rPr>
        <w:t>: 810-823 [PMID: 20102352 DOI: 10.1111/j.1365-2036.2010.04247.x]</w:t>
      </w:r>
    </w:p>
    <w:p w14:paraId="22F8EEC3"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54 </w:t>
      </w:r>
      <w:r w:rsidRPr="00E341D3">
        <w:rPr>
          <w:rFonts w:ascii="Book Antiqua" w:eastAsia="宋体" w:hAnsi="Book Antiqua" w:cs="宋体"/>
          <w:b/>
          <w:bCs/>
          <w:kern w:val="0"/>
          <w:sz w:val="24"/>
          <w:szCs w:val="24"/>
          <w:lang w:eastAsia="zh-CN"/>
        </w:rPr>
        <w:t>Agewall S</w:t>
      </w:r>
      <w:r w:rsidRPr="00E341D3">
        <w:rPr>
          <w:rFonts w:ascii="Book Antiqua" w:eastAsia="宋体" w:hAnsi="Book Antiqua" w:cs="宋体"/>
          <w:kern w:val="0"/>
          <w:sz w:val="24"/>
          <w:szCs w:val="24"/>
          <w:lang w:eastAsia="zh-CN"/>
        </w:rPr>
        <w:t>, Cattaneo M, Collet JP, Andreotti F, Lip GY, Verheugt FW, Huber K, Grove EL, Morais J, Husted S, Wassmann S, Rosano G, Atar D, Pathak A, Kjeldsen K, Storey RF. Expert position paper on the use of proton pump inhibitors in patients with cardiovascular disease and antithrombotic therapy. </w:t>
      </w:r>
      <w:r w:rsidRPr="00E341D3">
        <w:rPr>
          <w:rFonts w:ascii="Book Antiqua" w:eastAsia="宋体" w:hAnsi="Book Antiqua" w:cs="宋体"/>
          <w:i/>
          <w:iCs/>
          <w:kern w:val="0"/>
          <w:sz w:val="24"/>
          <w:szCs w:val="24"/>
          <w:lang w:eastAsia="zh-CN"/>
        </w:rPr>
        <w:t>Eur Heart J</w:t>
      </w:r>
      <w:r w:rsidRPr="00E341D3">
        <w:rPr>
          <w:rFonts w:ascii="Book Antiqua" w:eastAsia="宋体" w:hAnsi="Book Antiqua" w:cs="宋体"/>
          <w:kern w:val="0"/>
          <w:sz w:val="24"/>
          <w:szCs w:val="24"/>
          <w:lang w:eastAsia="zh-CN"/>
        </w:rPr>
        <w:t> 2013; </w:t>
      </w:r>
      <w:r w:rsidRPr="00E341D3">
        <w:rPr>
          <w:rFonts w:ascii="Book Antiqua" w:eastAsia="宋体" w:hAnsi="Book Antiqua" w:cs="宋体"/>
          <w:b/>
          <w:bCs/>
          <w:kern w:val="0"/>
          <w:sz w:val="24"/>
          <w:szCs w:val="24"/>
          <w:lang w:eastAsia="zh-CN"/>
        </w:rPr>
        <w:t>34</w:t>
      </w:r>
      <w:r w:rsidRPr="00E341D3">
        <w:rPr>
          <w:rFonts w:ascii="Book Antiqua" w:eastAsia="宋体" w:hAnsi="Book Antiqua" w:cs="宋体"/>
          <w:kern w:val="0"/>
          <w:sz w:val="24"/>
          <w:szCs w:val="24"/>
          <w:lang w:eastAsia="zh-CN"/>
        </w:rPr>
        <w:t>: 1708-113, 1708-113, [PMID: 23425521 DOI: 10.1093/eurheartj/eht042]</w:t>
      </w:r>
    </w:p>
    <w:p w14:paraId="42EC634A"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55 </w:t>
      </w:r>
      <w:r w:rsidRPr="00E341D3">
        <w:rPr>
          <w:rFonts w:ascii="Book Antiqua" w:eastAsia="宋体" w:hAnsi="Book Antiqua" w:cs="宋体"/>
          <w:b/>
          <w:bCs/>
          <w:kern w:val="0"/>
          <w:sz w:val="24"/>
          <w:szCs w:val="24"/>
          <w:lang w:eastAsia="zh-CN"/>
        </w:rPr>
        <w:t>Bhatt DL</w:t>
      </w:r>
      <w:r w:rsidRPr="00E341D3">
        <w:rPr>
          <w:rFonts w:ascii="Book Antiqua" w:eastAsia="宋体" w:hAnsi="Book Antiqua" w:cs="宋体"/>
          <w:kern w:val="0"/>
          <w:sz w:val="24"/>
          <w:szCs w:val="24"/>
          <w:lang w:eastAsia="zh-CN"/>
        </w:rPr>
        <w:t>, Cryer BL, Contant CF, Cohen M, Lanas A, Schnitzer TJ, Shook TL, Lapuerta P, Goldsmith MA, Laine L, Scirica BM, Murphy SA, Cannon CP. Clopidogrel with or without omeprazole in coronary artery disease.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2010; </w:t>
      </w:r>
      <w:r w:rsidRPr="00E341D3">
        <w:rPr>
          <w:rFonts w:ascii="Book Antiqua" w:eastAsia="宋体" w:hAnsi="Book Antiqua" w:cs="宋体"/>
          <w:b/>
          <w:bCs/>
          <w:kern w:val="0"/>
          <w:sz w:val="24"/>
          <w:szCs w:val="24"/>
          <w:lang w:eastAsia="zh-CN"/>
        </w:rPr>
        <w:t>363</w:t>
      </w:r>
      <w:r w:rsidRPr="00E341D3">
        <w:rPr>
          <w:rFonts w:ascii="Book Antiqua" w:eastAsia="宋体" w:hAnsi="Book Antiqua" w:cs="宋体"/>
          <w:kern w:val="0"/>
          <w:sz w:val="24"/>
          <w:szCs w:val="24"/>
          <w:lang w:eastAsia="zh-CN"/>
        </w:rPr>
        <w:t>: 1909-1917 [PMID: 20925534 DOI: 10.1056/NEJMoa1007964]</w:t>
      </w:r>
    </w:p>
    <w:p w14:paraId="01A9ED6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56 </w:t>
      </w:r>
      <w:r w:rsidRPr="00E341D3">
        <w:rPr>
          <w:rFonts w:ascii="Book Antiqua" w:eastAsia="宋体" w:hAnsi="Book Antiqua" w:cs="宋体"/>
          <w:b/>
          <w:bCs/>
          <w:kern w:val="0"/>
          <w:sz w:val="24"/>
          <w:szCs w:val="24"/>
          <w:lang w:eastAsia="zh-CN"/>
        </w:rPr>
        <w:t>Wiviott SD</w:t>
      </w:r>
      <w:r w:rsidRPr="00E341D3">
        <w:rPr>
          <w:rFonts w:ascii="Book Antiqua" w:eastAsia="宋体" w:hAnsi="Book Antiqua" w:cs="宋体"/>
          <w:kern w:val="0"/>
          <w:sz w:val="24"/>
          <w:szCs w:val="24"/>
          <w:lang w:eastAsia="zh-CN"/>
        </w:rPr>
        <w:t>, Braunwald E, McCabe CH, Montalescot G, Ruzyllo W, Gottlieb S, Neumann FJ, Ardissino D, De Servi S, Murphy SA, Riesmeyer J, Weerakkody G, Gibson CM, Antman EM. Prasugrel versus clopidogrel in patients with acute coronary syndromes.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2007; </w:t>
      </w:r>
      <w:r w:rsidRPr="00E341D3">
        <w:rPr>
          <w:rFonts w:ascii="Book Antiqua" w:eastAsia="宋体" w:hAnsi="Book Antiqua" w:cs="宋体"/>
          <w:b/>
          <w:bCs/>
          <w:kern w:val="0"/>
          <w:sz w:val="24"/>
          <w:szCs w:val="24"/>
          <w:lang w:eastAsia="zh-CN"/>
        </w:rPr>
        <w:t>357</w:t>
      </w:r>
      <w:r w:rsidRPr="00E341D3">
        <w:rPr>
          <w:rFonts w:ascii="Book Antiqua" w:eastAsia="宋体" w:hAnsi="Book Antiqua" w:cs="宋体"/>
          <w:kern w:val="0"/>
          <w:sz w:val="24"/>
          <w:szCs w:val="24"/>
          <w:lang w:eastAsia="zh-CN"/>
        </w:rPr>
        <w:t>: 2001-2015 [PMID: 17982182]</w:t>
      </w:r>
    </w:p>
    <w:p w14:paraId="6F05EC0C"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57 </w:t>
      </w:r>
      <w:r w:rsidRPr="00E341D3">
        <w:rPr>
          <w:rFonts w:ascii="Book Antiqua" w:eastAsia="宋体" w:hAnsi="Book Antiqua" w:cs="宋体"/>
          <w:b/>
          <w:bCs/>
          <w:kern w:val="0"/>
          <w:sz w:val="24"/>
          <w:szCs w:val="24"/>
          <w:lang w:eastAsia="zh-CN"/>
        </w:rPr>
        <w:t>Collet JP</w:t>
      </w:r>
      <w:r w:rsidRPr="00E341D3">
        <w:rPr>
          <w:rFonts w:ascii="Book Antiqua" w:eastAsia="宋体" w:hAnsi="Book Antiqua" w:cs="宋体"/>
          <w:kern w:val="0"/>
          <w:sz w:val="24"/>
          <w:szCs w:val="24"/>
          <w:lang w:eastAsia="zh-CN"/>
        </w:rPr>
        <w:t>, Hulot JS, Abtan J, Anzaha G, Kerneis M, Silvain J, Cayla G, O'Connor SA, Barthélémy O, Beygui F, Galier S, Brugier D, Stanek EJ, Charland SL, Gallois V, Montalescot G. Prasugrel but not high dose clopidogrel overcomes the lansoprazole neutralizing effect of P2Y12 inhibition: Results of the randomized DOSAPI study. </w:t>
      </w:r>
      <w:r w:rsidRPr="00E341D3">
        <w:rPr>
          <w:rFonts w:ascii="Book Antiqua" w:eastAsia="宋体" w:hAnsi="Book Antiqua" w:cs="宋体"/>
          <w:i/>
          <w:iCs/>
          <w:kern w:val="0"/>
          <w:sz w:val="24"/>
          <w:szCs w:val="24"/>
          <w:lang w:eastAsia="zh-CN"/>
        </w:rPr>
        <w:t>Eur J Clin Pharmacol</w:t>
      </w:r>
      <w:r w:rsidRPr="00E341D3">
        <w:rPr>
          <w:rFonts w:ascii="Book Antiqua" w:eastAsia="宋体" w:hAnsi="Book Antiqua" w:cs="宋体"/>
          <w:kern w:val="0"/>
          <w:sz w:val="24"/>
          <w:szCs w:val="24"/>
          <w:lang w:eastAsia="zh-CN"/>
        </w:rPr>
        <w:t> 2014; </w:t>
      </w:r>
      <w:r w:rsidRPr="00E341D3">
        <w:rPr>
          <w:rFonts w:ascii="Book Antiqua" w:eastAsia="宋体" w:hAnsi="Book Antiqua" w:cs="宋体"/>
          <w:b/>
          <w:bCs/>
          <w:kern w:val="0"/>
          <w:sz w:val="24"/>
          <w:szCs w:val="24"/>
          <w:lang w:eastAsia="zh-CN"/>
        </w:rPr>
        <w:t>70</w:t>
      </w:r>
      <w:r w:rsidRPr="00E341D3">
        <w:rPr>
          <w:rFonts w:ascii="Book Antiqua" w:eastAsia="宋体" w:hAnsi="Book Antiqua" w:cs="宋体"/>
          <w:kern w:val="0"/>
          <w:sz w:val="24"/>
          <w:szCs w:val="24"/>
          <w:lang w:eastAsia="zh-CN"/>
        </w:rPr>
        <w:t>: 1049-1057 [PMID: 25012577 DOI: 10.1007/s00228-014-1710-1]</w:t>
      </w:r>
    </w:p>
    <w:p w14:paraId="513D81D2" w14:textId="77777777" w:rsidR="009D2E93" w:rsidRPr="00E341D3" w:rsidRDefault="009D2E93" w:rsidP="009D2E93">
      <w:pPr>
        <w:widowControl/>
        <w:spacing w:line="360" w:lineRule="auto"/>
        <w:rPr>
          <w:rFonts w:ascii="Book Antiqua" w:eastAsia="宋体" w:hAnsi="Book Antiqua" w:cs="宋体"/>
          <w:kern w:val="0"/>
          <w:sz w:val="24"/>
          <w:szCs w:val="24"/>
          <w:lang w:eastAsia="zh-CN"/>
        </w:rPr>
      </w:pPr>
      <w:r w:rsidRPr="00E341D3">
        <w:rPr>
          <w:rFonts w:ascii="Book Antiqua" w:eastAsia="宋体" w:hAnsi="Book Antiqua" w:cs="宋体"/>
          <w:kern w:val="0"/>
          <w:sz w:val="24"/>
          <w:szCs w:val="24"/>
          <w:lang w:eastAsia="zh-CN"/>
        </w:rPr>
        <w:t>58 </w:t>
      </w:r>
      <w:r w:rsidRPr="00E341D3">
        <w:rPr>
          <w:rFonts w:ascii="Book Antiqua" w:eastAsia="宋体" w:hAnsi="Book Antiqua" w:cs="宋体"/>
          <w:b/>
          <w:bCs/>
          <w:kern w:val="0"/>
          <w:sz w:val="24"/>
          <w:szCs w:val="24"/>
          <w:lang w:eastAsia="zh-CN"/>
        </w:rPr>
        <w:t>Roe MT</w:t>
      </w:r>
      <w:r w:rsidRPr="00E341D3">
        <w:rPr>
          <w:rFonts w:ascii="Book Antiqua" w:eastAsia="宋体" w:hAnsi="Book Antiqua" w:cs="宋体"/>
          <w:kern w:val="0"/>
          <w:sz w:val="24"/>
          <w:szCs w:val="24"/>
          <w:lang w:eastAsia="zh-CN"/>
        </w:rPr>
        <w:t>, Armstrong PW, Fox KA, White HD, Prabhakaran D, Goodman SG, Cornel JH, Bhatt DL, Clemmensen P, Martinez F, Ardissino D, Nicolau JC, Boden WE, Gurbel PA, Ruzyllo W, Dalby AJ, McGuire DK, Leiva-Pons JL, Parkhomenko A, Gottlieb S, Topacio GO, Hamm C, Pavlides G, Goudev AR, Oto A, Tseng CD, Merkely B, Gasparovic V, Corbalan R, Cintez</w:t>
      </w:r>
      <w:r w:rsidRPr="00E341D3">
        <w:rPr>
          <w:rFonts w:ascii="Book Antiqua" w:hAnsi="Book Antiqua" w:cs="MS Mincho"/>
          <w:kern w:val="0"/>
          <w:sz w:val="24"/>
          <w:szCs w:val="24"/>
          <w:lang w:eastAsia="zh-CN"/>
        </w:rPr>
        <w:t>ă</w:t>
      </w:r>
      <w:r w:rsidRPr="00E341D3">
        <w:rPr>
          <w:rFonts w:ascii="Book Antiqua" w:eastAsia="宋体" w:hAnsi="Book Antiqua" w:cs="宋体"/>
          <w:kern w:val="0"/>
          <w:sz w:val="24"/>
          <w:szCs w:val="24"/>
          <w:lang w:eastAsia="zh-CN"/>
        </w:rPr>
        <w:t xml:space="preserve"> M, McLendon RC, Winters KJ, Brown EB, Lokhnygina Y, Aylward PE, Huber K, Hochman JS, Ohman EM. Prasugrel versus clopidogrel for acute coronary syndromes without revascularization. </w:t>
      </w:r>
      <w:r w:rsidRPr="00E341D3">
        <w:rPr>
          <w:rFonts w:ascii="Book Antiqua" w:eastAsia="宋体" w:hAnsi="Book Antiqua" w:cs="宋体"/>
          <w:i/>
          <w:iCs/>
          <w:kern w:val="0"/>
          <w:sz w:val="24"/>
          <w:szCs w:val="24"/>
          <w:lang w:eastAsia="zh-CN"/>
        </w:rPr>
        <w:t>N Engl J Med</w:t>
      </w:r>
      <w:r w:rsidRPr="00E341D3">
        <w:rPr>
          <w:rFonts w:ascii="Book Antiqua" w:eastAsia="宋体" w:hAnsi="Book Antiqua" w:cs="宋体"/>
          <w:kern w:val="0"/>
          <w:sz w:val="24"/>
          <w:szCs w:val="24"/>
          <w:lang w:eastAsia="zh-CN"/>
        </w:rPr>
        <w:t> 2012; </w:t>
      </w:r>
      <w:r w:rsidRPr="00E341D3">
        <w:rPr>
          <w:rFonts w:ascii="Book Antiqua" w:eastAsia="宋体" w:hAnsi="Book Antiqua" w:cs="宋体"/>
          <w:b/>
          <w:bCs/>
          <w:kern w:val="0"/>
          <w:sz w:val="24"/>
          <w:szCs w:val="24"/>
          <w:lang w:eastAsia="zh-CN"/>
        </w:rPr>
        <w:t>367</w:t>
      </w:r>
      <w:r w:rsidRPr="00E341D3">
        <w:rPr>
          <w:rFonts w:ascii="Book Antiqua" w:eastAsia="宋体" w:hAnsi="Book Antiqua" w:cs="宋体"/>
          <w:kern w:val="0"/>
          <w:sz w:val="24"/>
          <w:szCs w:val="24"/>
          <w:lang w:eastAsia="zh-CN"/>
        </w:rPr>
        <w:t>: 1297-1309 [PMID: 22920930 DOI: 10.1056/NEJMoa1205512]</w:t>
      </w:r>
    </w:p>
    <w:p w14:paraId="208989E1" w14:textId="77777777" w:rsidR="00B514F1" w:rsidRPr="00E341D3" w:rsidRDefault="00B514F1" w:rsidP="009D2E93">
      <w:pPr>
        <w:widowControl/>
        <w:autoSpaceDE w:val="0"/>
        <w:autoSpaceDN w:val="0"/>
        <w:adjustRightInd w:val="0"/>
        <w:spacing w:line="360" w:lineRule="auto"/>
        <w:rPr>
          <w:rFonts w:ascii="Book Antiqua" w:eastAsia="宋体" w:hAnsi="Book Antiqua"/>
          <w:b/>
          <w:sz w:val="24"/>
          <w:szCs w:val="24"/>
          <w:lang w:eastAsia="zh-CN"/>
        </w:rPr>
      </w:pPr>
    </w:p>
    <w:p w14:paraId="1121E830" w14:textId="15F2241F" w:rsidR="00B514F1" w:rsidRPr="00E341D3" w:rsidRDefault="00B514F1" w:rsidP="009D2E93">
      <w:pPr>
        <w:pStyle w:val="PlainText"/>
        <w:spacing w:line="360" w:lineRule="auto"/>
        <w:jc w:val="right"/>
        <w:rPr>
          <w:rFonts w:ascii="Book Antiqua" w:hAnsi="Book Antiqua"/>
          <w:b/>
          <w:sz w:val="24"/>
          <w:szCs w:val="24"/>
        </w:rPr>
      </w:pPr>
      <w:r w:rsidRPr="00E341D3">
        <w:rPr>
          <w:rFonts w:ascii="Book Antiqua" w:hAnsi="Book Antiqua"/>
          <w:b/>
          <w:sz w:val="24"/>
          <w:szCs w:val="24"/>
        </w:rPr>
        <w:t xml:space="preserve">P-Reviewer: </w:t>
      </w:r>
      <w:r w:rsidRPr="00E341D3">
        <w:rPr>
          <w:rFonts w:ascii="Book Antiqua" w:hAnsi="Book Antiqua" w:cs="Tahoma"/>
          <w:sz w:val="24"/>
          <w:szCs w:val="24"/>
        </w:rPr>
        <w:t xml:space="preserve">Misra SP, Shah R, Yen HH </w:t>
      </w:r>
      <w:r w:rsidRPr="00E341D3">
        <w:rPr>
          <w:rFonts w:ascii="Book Antiqua" w:hAnsi="Book Antiqua"/>
          <w:b/>
          <w:sz w:val="24"/>
          <w:szCs w:val="24"/>
        </w:rPr>
        <w:t xml:space="preserve">S-Editor: </w:t>
      </w:r>
      <w:r w:rsidRPr="00E341D3">
        <w:rPr>
          <w:rFonts w:ascii="Book Antiqua" w:hAnsi="Book Antiqua"/>
          <w:sz w:val="24"/>
          <w:szCs w:val="24"/>
        </w:rPr>
        <w:t>Ji FF</w:t>
      </w:r>
      <w:r w:rsidRPr="00E341D3">
        <w:rPr>
          <w:rFonts w:ascii="Book Antiqua" w:hAnsi="Book Antiqua"/>
          <w:b/>
          <w:sz w:val="24"/>
          <w:szCs w:val="24"/>
        </w:rPr>
        <w:t xml:space="preserve"> L-Editor: E-Editor:</w:t>
      </w:r>
    </w:p>
    <w:p w14:paraId="3B64838D" w14:textId="664C84A5" w:rsidR="00342BFA" w:rsidRPr="00E341D3" w:rsidRDefault="00342BFA" w:rsidP="00B514F1">
      <w:pPr>
        <w:widowControl/>
        <w:autoSpaceDE w:val="0"/>
        <w:autoSpaceDN w:val="0"/>
        <w:adjustRightInd w:val="0"/>
        <w:spacing w:line="360" w:lineRule="auto"/>
        <w:rPr>
          <w:rFonts w:ascii="Book Antiqua" w:eastAsia="宋体" w:hAnsi="Book Antiqua"/>
          <w:sz w:val="24"/>
          <w:szCs w:val="24"/>
          <w:lang w:eastAsia="zh-CN"/>
        </w:rPr>
      </w:pPr>
      <w:r w:rsidRPr="00E341D3">
        <w:rPr>
          <w:rFonts w:ascii="Book Antiqua" w:eastAsia="宋体" w:hAnsi="Book Antiqua"/>
          <w:kern w:val="0"/>
          <w:sz w:val="24"/>
          <w:szCs w:val="24"/>
        </w:rPr>
        <w:br w:type="page"/>
      </w:r>
    </w:p>
    <w:p w14:paraId="1A178002" w14:textId="77777777" w:rsidR="00342BFA" w:rsidRPr="00E341D3" w:rsidRDefault="00342BFA" w:rsidP="00B514F1">
      <w:pPr>
        <w:widowControl/>
        <w:autoSpaceDE w:val="0"/>
        <w:autoSpaceDN w:val="0"/>
        <w:adjustRightInd w:val="0"/>
        <w:spacing w:line="360" w:lineRule="auto"/>
        <w:rPr>
          <w:rFonts w:ascii="Book Antiqua" w:eastAsia="宋体" w:hAnsi="Book Antiqua"/>
          <w:b/>
          <w:kern w:val="0"/>
          <w:sz w:val="24"/>
          <w:szCs w:val="24"/>
        </w:rPr>
      </w:pPr>
      <w:r w:rsidRPr="00E341D3">
        <w:rPr>
          <w:rFonts w:ascii="Book Antiqua" w:eastAsia="宋体" w:hAnsi="Book Antiqua"/>
          <w:b/>
          <w:noProof/>
          <w:kern w:val="0"/>
          <w:sz w:val="24"/>
          <w:szCs w:val="24"/>
          <w:lang w:eastAsia="en-US"/>
        </w:rPr>
        <w:drawing>
          <wp:inline distT="0" distB="0" distL="0" distR="0" wp14:anchorId="32332E20" wp14:editId="707D4C1A">
            <wp:extent cx="2252663" cy="1981200"/>
            <wp:effectExtent l="0" t="0" r="8255" b="0"/>
            <wp:docPr id="18436" name="Picture 6" descr="&#10;横川１.jpg                                                     000268E8Macintosh HD                   B7472E7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6" name="Picture 6" descr="&#10;横川１.jpg                                                     000268E8Macintosh HD                   B7472E7A:"/>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663"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pic:spPr>
                </pic:pic>
              </a:graphicData>
            </a:graphic>
          </wp:inline>
        </w:drawing>
      </w:r>
    </w:p>
    <w:p w14:paraId="129680A8" w14:textId="2F06A570" w:rsidR="00342BFA" w:rsidRPr="00E341D3" w:rsidRDefault="00342BFA" w:rsidP="00B514F1">
      <w:pPr>
        <w:widowControl/>
        <w:autoSpaceDE w:val="0"/>
        <w:autoSpaceDN w:val="0"/>
        <w:adjustRightInd w:val="0"/>
        <w:spacing w:line="360" w:lineRule="auto"/>
        <w:rPr>
          <w:rFonts w:ascii="Book Antiqua" w:eastAsia="宋体" w:hAnsi="Book Antiqua"/>
          <w:b/>
          <w:kern w:val="0"/>
          <w:sz w:val="24"/>
          <w:szCs w:val="24"/>
        </w:rPr>
      </w:pPr>
      <w:r w:rsidRPr="00E341D3">
        <w:rPr>
          <w:rFonts w:ascii="Book Antiqua" w:eastAsia="宋体" w:hAnsi="Book Antiqua"/>
          <w:b/>
          <w:kern w:val="0"/>
          <w:sz w:val="24"/>
          <w:szCs w:val="24"/>
        </w:rPr>
        <w:t xml:space="preserve">Figure 1 Peptic ulcer with an exposed vessel in a 68-year-old man 10 d after starting </w:t>
      </w:r>
      <w:r w:rsidR="00B514F1" w:rsidRPr="00E341D3">
        <w:rPr>
          <w:rFonts w:ascii="Book Antiqua" w:hAnsi="Book Antiqua"/>
          <w:b/>
          <w:sz w:val="24"/>
          <w:szCs w:val="24"/>
        </w:rPr>
        <w:t>dual antiplatelet therapy</w:t>
      </w:r>
      <w:r w:rsidRPr="00E341D3">
        <w:rPr>
          <w:rFonts w:ascii="Book Antiqua" w:eastAsia="宋体" w:hAnsi="Book Antiqua"/>
          <w:b/>
          <w:kern w:val="0"/>
          <w:sz w:val="24"/>
          <w:szCs w:val="24"/>
        </w:rPr>
        <w:t xml:space="preserve"> after </w:t>
      </w:r>
      <w:r w:rsidR="00B514F1" w:rsidRPr="00E341D3">
        <w:rPr>
          <w:rFonts w:ascii="Book Antiqua" w:hAnsi="Book Antiqua" w:cs="HelveticaNeue-Condensed"/>
          <w:b/>
          <w:kern w:val="0"/>
          <w:sz w:val="24"/>
          <w:szCs w:val="24"/>
        </w:rPr>
        <w:t>percutaneous coronary intervention</w:t>
      </w:r>
      <w:r w:rsidRPr="00E341D3">
        <w:rPr>
          <w:rFonts w:ascii="Book Antiqua" w:eastAsia="宋体" w:hAnsi="Book Antiqua"/>
          <w:b/>
          <w:kern w:val="0"/>
          <w:sz w:val="24"/>
          <w:szCs w:val="24"/>
        </w:rPr>
        <w:t xml:space="preserve"> for acute </w:t>
      </w:r>
      <w:r w:rsidR="00B514F1" w:rsidRPr="00E341D3">
        <w:rPr>
          <w:rFonts w:ascii="Book Antiqua" w:hAnsi="Book Antiqua" w:cs="AdvTTc9c3bd71"/>
          <w:b/>
          <w:kern w:val="0"/>
          <w:sz w:val="24"/>
          <w:szCs w:val="24"/>
        </w:rPr>
        <w:t>myocardial infarction</w:t>
      </w:r>
      <w:r w:rsidRPr="00E341D3">
        <w:rPr>
          <w:rFonts w:ascii="Book Antiqua" w:eastAsia="宋体" w:hAnsi="Book Antiqua"/>
          <w:b/>
          <w:kern w:val="0"/>
          <w:sz w:val="24"/>
          <w:szCs w:val="24"/>
        </w:rPr>
        <w:t>.</w:t>
      </w:r>
    </w:p>
    <w:p w14:paraId="32D25BCA" w14:textId="77777777" w:rsidR="00342BFA" w:rsidRPr="00E341D3" w:rsidRDefault="00342BFA" w:rsidP="00B514F1">
      <w:pPr>
        <w:widowControl/>
        <w:autoSpaceDE w:val="0"/>
        <w:autoSpaceDN w:val="0"/>
        <w:adjustRightInd w:val="0"/>
        <w:spacing w:line="360" w:lineRule="auto"/>
        <w:rPr>
          <w:rFonts w:ascii="Book Antiqua" w:eastAsia="宋体" w:hAnsi="Book Antiqua"/>
          <w:kern w:val="0"/>
          <w:sz w:val="24"/>
          <w:szCs w:val="24"/>
        </w:rPr>
      </w:pPr>
    </w:p>
    <w:p w14:paraId="4B18150C" w14:textId="77777777" w:rsidR="00342BFA" w:rsidRPr="00E341D3" w:rsidRDefault="00342BFA" w:rsidP="00B514F1">
      <w:pPr>
        <w:widowControl/>
        <w:autoSpaceDE w:val="0"/>
        <w:autoSpaceDN w:val="0"/>
        <w:adjustRightInd w:val="0"/>
        <w:spacing w:line="360" w:lineRule="auto"/>
        <w:rPr>
          <w:rFonts w:ascii="Book Antiqua" w:eastAsia="宋体" w:hAnsi="Book Antiqua"/>
          <w:kern w:val="0"/>
          <w:sz w:val="24"/>
          <w:szCs w:val="24"/>
        </w:rPr>
      </w:pPr>
      <w:r w:rsidRPr="00E341D3">
        <w:rPr>
          <w:rFonts w:ascii="Book Antiqua" w:eastAsia="宋体" w:hAnsi="Book Antiqua"/>
          <w:noProof/>
          <w:kern w:val="0"/>
          <w:sz w:val="24"/>
          <w:szCs w:val="24"/>
          <w:lang w:eastAsia="en-US"/>
        </w:rPr>
        <w:drawing>
          <wp:inline distT="0" distB="0" distL="0" distR="0" wp14:anchorId="11DD706B" wp14:editId="772E6CCB">
            <wp:extent cx="2222500" cy="1981200"/>
            <wp:effectExtent l="0" t="0" r="12700" b="0"/>
            <wp:docPr id="18437" name="Picture 7" descr="&#10;横川２.jpg                                                     000268E8Macintosh HD                   B7472E7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7" name="Picture 7" descr="&#10;横川２.jpg                                                     000268E8Macintosh HD                   B7472E7A:"/>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pic:spPr>
                </pic:pic>
              </a:graphicData>
            </a:graphic>
          </wp:inline>
        </w:drawing>
      </w:r>
    </w:p>
    <w:p w14:paraId="75EC3DD4" w14:textId="2A1E37F4" w:rsidR="00342BFA" w:rsidRPr="00E341D3" w:rsidRDefault="00342BFA" w:rsidP="00B514F1">
      <w:pPr>
        <w:widowControl/>
        <w:autoSpaceDE w:val="0"/>
        <w:autoSpaceDN w:val="0"/>
        <w:adjustRightInd w:val="0"/>
        <w:spacing w:line="360" w:lineRule="auto"/>
        <w:rPr>
          <w:rFonts w:ascii="Book Antiqua" w:eastAsia="宋体" w:hAnsi="Book Antiqua"/>
          <w:b/>
          <w:kern w:val="0"/>
          <w:sz w:val="24"/>
          <w:szCs w:val="24"/>
        </w:rPr>
      </w:pPr>
      <w:r w:rsidRPr="00E341D3">
        <w:rPr>
          <w:rFonts w:ascii="Book Antiqua" w:eastAsia="宋体" w:hAnsi="Book Antiqua"/>
          <w:b/>
          <w:kern w:val="0"/>
          <w:sz w:val="24"/>
          <w:szCs w:val="24"/>
        </w:rPr>
        <w:t xml:space="preserve">Figure </w:t>
      </w:r>
      <w:r w:rsidR="00B514F1" w:rsidRPr="00E341D3">
        <w:rPr>
          <w:rFonts w:ascii="Book Antiqua" w:eastAsia="宋体" w:hAnsi="Book Antiqua" w:hint="eastAsia"/>
          <w:b/>
          <w:kern w:val="0"/>
          <w:sz w:val="24"/>
          <w:szCs w:val="24"/>
          <w:lang w:eastAsia="zh-CN"/>
        </w:rPr>
        <w:t>2</w:t>
      </w:r>
      <w:r w:rsidRPr="00E341D3">
        <w:rPr>
          <w:rFonts w:ascii="Book Antiqua" w:eastAsia="宋体" w:hAnsi="Book Antiqua"/>
          <w:b/>
          <w:kern w:val="0"/>
          <w:sz w:val="24"/>
          <w:szCs w:val="24"/>
        </w:rPr>
        <w:t xml:space="preserve"> Successful endoscopic hemostasis using endoclips.</w:t>
      </w:r>
    </w:p>
    <w:p w14:paraId="363ACF22" w14:textId="77777777" w:rsidR="008C1E5B" w:rsidRPr="00E341D3" w:rsidRDefault="008C1E5B" w:rsidP="00B514F1">
      <w:pPr>
        <w:widowControl/>
        <w:autoSpaceDE w:val="0"/>
        <w:autoSpaceDN w:val="0"/>
        <w:adjustRightInd w:val="0"/>
        <w:spacing w:line="360" w:lineRule="auto"/>
        <w:rPr>
          <w:rFonts w:ascii="Book Antiqua" w:eastAsiaTheme="minorEastAsia" w:hAnsi="Book Antiqua" w:cs="Arial"/>
          <w:kern w:val="0"/>
          <w:sz w:val="24"/>
          <w:szCs w:val="24"/>
        </w:rPr>
      </w:pPr>
    </w:p>
    <w:sectPr w:rsidR="008C1E5B" w:rsidRPr="00E341D3" w:rsidSect="00F66632">
      <w:footerReference w:type="even" r:id="rId12"/>
      <w:foot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A65C" w14:textId="77777777" w:rsidR="003801A9" w:rsidRDefault="003801A9" w:rsidP="00ED5389">
      <w:r>
        <w:separator/>
      </w:r>
    </w:p>
  </w:endnote>
  <w:endnote w:type="continuationSeparator" w:id="0">
    <w:p w14:paraId="3449F410" w14:textId="77777777" w:rsidR="003801A9" w:rsidRDefault="003801A9" w:rsidP="00ED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Minion Pro">
    <w:charset w:val="00"/>
    <w:family w:val="auto"/>
    <w:pitch w:val="variable"/>
    <w:sig w:usb0="60000287" w:usb1="00000001" w:usb2="00000000"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G丸ｺﾞｼｯｸM-PRO">
    <w:altName w:val="ＭＳ ゴシック"/>
    <w:charset w:val="4E"/>
    <w:family w:val="auto"/>
    <w:pitch w:val="variable"/>
    <w:sig w:usb0="00000000"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egacySerifStd-Book">
    <w:altName w:val="Arial"/>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dvTTc9c3bd71">
    <w:altName w:val="Arial"/>
    <w:panose1 w:val="00000000000000000000"/>
    <w:charset w:val="4D"/>
    <w:family w:val="swiss"/>
    <w:notTrueType/>
    <w:pitch w:val="default"/>
    <w:sig w:usb0="00000003" w:usb1="00000000" w:usb2="00000000" w:usb3="00000000" w:csb0="00000001" w:csb1="00000000"/>
  </w:font>
  <w:font w:name="HelveticaNeue-Condensed">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vP3DD951">
    <w:altName w:val="Arial"/>
    <w:panose1 w:val="00000000000000000000"/>
    <w:charset w:val="4D"/>
    <w:family w:val="swiss"/>
    <w:notTrueType/>
    <w:pitch w:val="default"/>
    <w:sig w:usb0="00000003" w:usb1="00000000" w:usb2="00000000" w:usb3="00000000" w:csb0="00000001" w:csb1="00000000"/>
  </w:font>
  <w:font w:name="Osaka−等幅">
    <w:charset w:val="4E"/>
    <w:family w:val="auto"/>
    <w:pitch w:val="variable"/>
    <w:sig w:usb0="00000001" w:usb1="08070000" w:usb2="00000010" w:usb3="00000000" w:csb0="00020093" w:csb1="00000000"/>
  </w:font>
  <w:font w:name="AdvPS6F00">
    <w:altName w:val="Arial"/>
    <w:panose1 w:val="00000000000000000000"/>
    <w:charset w:val="4D"/>
    <w:family w:val="swiss"/>
    <w:notTrueType/>
    <w:pitch w:val="default"/>
    <w:sig w:usb0="00000003" w:usb1="00000000" w:usb2="00000000" w:usb3="00000000" w:csb0="00000001" w:csb1="00000000"/>
  </w:font>
  <w:font w:name="ＤＦＰ教科書体W3">
    <w:altName w:val="Optima ExtraBlack"/>
    <w:charset w:val="4E"/>
    <w:family w:val="auto"/>
    <w:pitch w:val="variable"/>
    <w:sig w:usb0="00000001" w:usb1="08070000" w:usb2="00000010" w:usb3="00000000" w:csb0="00020000" w:csb1="00000000"/>
  </w:font>
  <w:font w:name="ACaslon-Regular">
    <w:altName w:val="Adobe Garamond Pro"/>
    <w:panose1 w:val="00000000000000000000"/>
    <w:charset w:val="4D"/>
    <w:family w:val="auto"/>
    <w:notTrueType/>
    <w:pitch w:val="default"/>
    <w:sig w:usb0="00000003" w:usb1="00000000" w:usb2="00000000" w:usb3="00000000" w:csb0="00000001" w:csb1="00000000"/>
  </w:font>
  <w:font w:name="Times-Roman">
    <w:altName w:val="MS Mincho"/>
    <w:panose1 w:val="00000000000000000000"/>
    <w:charset w:val="80"/>
    <w:family w:val="roman"/>
    <w:notTrueType/>
    <w:pitch w:val="default"/>
    <w:sig w:usb0="00000003" w:usb1="08070000" w:usb2="00000010" w:usb3="00000000" w:csb0="00020001" w:csb1="00000000"/>
  </w:font>
  <w:font w:name="LegacySerif-Book">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2C3E" w14:textId="77777777" w:rsidR="00F936C5" w:rsidRDefault="00F936C5" w:rsidP="00ED5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95611" w14:textId="77777777" w:rsidR="00F936C5" w:rsidRDefault="00F936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FBCC" w14:textId="77777777" w:rsidR="00F936C5" w:rsidRPr="007C10E2" w:rsidRDefault="00F936C5" w:rsidP="00ED5389">
    <w:pPr>
      <w:pStyle w:val="Footer"/>
      <w:framePr w:wrap="around" w:vAnchor="text" w:hAnchor="margin" w:xAlign="center" w:y="1"/>
      <w:rPr>
        <w:rStyle w:val="PageNumber"/>
        <w:rFonts w:ascii="Helvetica" w:hAnsi="Helvetica"/>
      </w:rPr>
    </w:pPr>
    <w:r w:rsidRPr="007C10E2">
      <w:rPr>
        <w:rStyle w:val="PageNumber"/>
        <w:rFonts w:ascii="Helvetica" w:hAnsi="Helvetica"/>
      </w:rPr>
      <w:fldChar w:fldCharType="begin"/>
    </w:r>
    <w:r w:rsidRPr="007C10E2">
      <w:rPr>
        <w:rStyle w:val="PageNumber"/>
        <w:rFonts w:ascii="Helvetica" w:hAnsi="Helvetica"/>
      </w:rPr>
      <w:instrText xml:space="preserve">PAGE  </w:instrText>
    </w:r>
    <w:r w:rsidRPr="007C10E2">
      <w:rPr>
        <w:rStyle w:val="PageNumber"/>
        <w:rFonts w:ascii="Helvetica" w:hAnsi="Helvetica"/>
      </w:rPr>
      <w:fldChar w:fldCharType="separate"/>
    </w:r>
    <w:r w:rsidR="006754FE">
      <w:rPr>
        <w:rStyle w:val="PageNumber"/>
        <w:rFonts w:ascii="Helvetica" w:hAnsi="Helvetica"/>
        <w:noProof/>
      </w:rPr>
      <w:t>1</w:t>
    </w:r>
    <w:r w:rsidRPr="007C10E2">
      <w:rPr>
        <w:rStyle w:val="PageNumber"/>
        <w:rFonts w:ascii="Helvetica" w:hAnsi="Helvetica"/>
      </w:rPr>
      <w:fldChar w:fldCharType="end"/>
    </w:r>
  </w:p>
  <w:p w14:paraId="0C93BCB0" w14:textId="77777777" w:rsidR="00F936C5" w:rsidRDefault="00F936C5" w:rsidP="00ED538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A3E7" w14:textId="77777777" w:rsidR="003801A9" w:rsidRDefault="003801A9" w:rsidP="00ED5389">
      <w:r>
        <w:separator/>
      </w:r>
    </w:p>
  </w:footnote>
  <w:footnote w:type="continuationSeparator" w:id="0">
    <w:p w14:paraId="4FFE918F" w14:textId="77777777" w:rsidR="003801A9" w:rsidRDefault="003801A9" w:rsidP="00ED5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517AA"/>
    <w:multiLevelType w:val="hybridMultilevel"/>
    <w:tmpl w:val="13723C06"/>
    <w:lvl w:ilvl="0" w:tplc="0409000F">
      <w:start w:val="1"/>
      <w:numFmt w:val="decimal"/>
      <w:lvlText w:val="%1."/>
      <w:lvlJc w:val="left"/>
      <w:pPr>
        <w:ind w:left="480" w:hanging="480"/>
      </w:p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nsid w:val="0ED70F99"/>
    <w:multiLevelType w:val="hybridMultilevel"/>
    <w:tmpl w:val="D9566E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BFF4965"/>
    <w:multiLevelType w:val="hybridMultilevel"/>
    <w:tmpl w:val="C3D67C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1372762"/>
    <w:multiLevelType w:val="hybridMultilevel"/>
    <w:tmpl w:val="D1B8FA96"/>
    <w:lvl w:ilvl="0" w:tplc="00000000">
      <w:start w:val="1"/>
      <w:numFmt w:val="decimal"/>
      <w:lvlText w:val="%1."/>
      <w:lvlJc w:val="left"/>
      <w:pPr>
        <w:tabs>
          <w:tab w:val="num" w:pos="260"/>
        </w:tabs>
        <w:ind w:left="260" w:hanging="26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nsid w:val="512F425B"/>
    <w:multiLevelType w:val="hybridMultilevel"/>
    <w:tmpl w:val="C3D67C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CC714C7"/>
    <w:multiLevelType w:val="hybridMultilevel"/>
    <w:tmpl w:val="415E15EA"/>
    <w:lvl w:ilvl="0" w:tplc="B014794A">
      <w:start w:val="1"/>
      <w:numFmt w:val="decimal"/>
      <w:lvlText w:val="%1."/>
      <w:lvlJc w:val="left"/>
      <w:pPr>
        <w:ind w:left="480" w:hanging="480"/>
      </w:pPr>
      <w:rPr>
        <w:rFonts w:ascii="Helvetica" w:hAnsi="Helvetica"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84"/>
    <w:rsid w:val="00006562"/>
    <w:rsid w:val="00006D47"/>
    <w:rsid w:val="00010076"/>
    <w:rsid w:val="0001156B"/>
    <w:rsid w:val="00015755"/>
    <w:rsid w:val="00035F55"/>
    <w:rsid w:val="0004491E"/>
    <w:rsid w:val="0005044D"/>
    <w:rsid w:val="00052184"/>
    <w:rsid w:val="0005661E"/>
    <w:rsid w:val="00063F09"/>
    <w:rsid w:val="00064D89"/>
    <w:rsid w:val="000774EC"/>
    <w:rsid w:val="000808FE"/>
    <w:rsid w:val="000A64CC"/>
    <w:rsid w:val="000B1427"/>
    <w:rsid w:val="000B6D1C"/>
    <w:rsid w:val="000C093A"/>
    <w:rsid w:val="000C1041"/>
    <w:rsid w:val="000D0225"/>
    <w:rsid w:val="000D0267"/>
    <w:rsid w:val="000F3171"/>
    <w:rsid w:val="000F37A0"/>
    <w:rsid w:val="000F475D"/>
    <w:rsid w:val="000F7379"/>
    <w:rsid w:val="001168AC"/>
    <w:rsid w:val="001240B5"/>
    <w:rsid w:val="00126FA5"/>
    <w:rsid w:val="00131A65"/>
    <w:rsid w:val="00136156"/>
    <w:rsid w:val="0013682E"/>
    <w:rsid w:val="00136921"/>
    <w:rsid w:val="00141ABC"/>
    <w:rsid w:val="00141E24"/>
    <w:rsid w:val="00153CDA"/>
    <w:rsid w:val="0016451D"/>
    <w:rsid w:val="0018257C"/>
    <w:rsid w:val="00191462"/>
    <w:rsid w:val="00192A2C"/>
    <w:rsid w:val="00197AEB"/>
    <w:rsid w:val="001B0A36"/>
    <w:rsid w:val="001B591A"/>
    <w:rsid w:val="001B6B06"/>
    <w:rsid w:val="001C3E5C"/>
    <w:rsid w:val="001D08DB"/>
    <w:rsid w:val="001D277A"/>
    <w:rsid w:val="001D3069"/>
    <w:rsid w:val="001D6522"/>
    <w:rsid w:val="001E3D8F"/>
    <w:rsid w:val="001F1BBF"/>
    <w:rsid w:val="00202765"/>
    <w:rsid w:val="00204DB5"/>
    <w:rsid w:val="00207A73"/>
    <w:rsid w:val="002110E4"/>
    <w:rsid w:val="002150B3"/>
    <w:rsid w:val="00222725"/>
    <w:rsid w:val="002227AF"/>
    <w:rsid w:val="002258AC"/>
    <w:rsid w:val="0024225A"/>
    <w:rsid w:val="00242434"/>
    <w:rsid w:val="00244E5C"/>
    <w:rsid w:val="00254E68"/>
    <w:rsid w:val="002568C1"/>
    <w:rsid w:val="0025727E"/>
    <w:rsid w:val="00261CC8"/>
    <w:rsid w:val="002652D0"/>
    <w:rsid w:val="00271077"/>
    <w:rsid w:val="00272D36"/>
    <w:rsid w:val="00273C2E"/>
    <w:rsid w:val="00274957"/>
    <w:rsid w:val="00277D56"/>
    <w:rsid w:val="0028286A"/>
    <w:rsid w:val="00284B9F"/>
    <w:rsid w:val="002A16F3"/>
    <w:rsid w:val="002A5993"/>
    <w:rsid w:val="002B3C9C"/>
    <w:rsid w:val="002C7CAD"/>
    <w:rsid w:val="002C7CBC"/>
    <w:rsid w:val="002D05C1"/>
    <w:rsid w:val="002D7F59"/>
    <w:rsid w:val="002E0875"/>
    <w:rsid w:val="002E48BF"/>
    <w:rsid w:val="002F27E0"/>
    <w:rsid w:val="002F58F5"/>
    <w:rsid w:val="002F657A"/>
    <w:rsid w:val="00301B3C"/>
    <w:rsid w:val="00301F9D"/>
    <w:rsid w:val="0030290B"/>
    <w:rsid w:val="0030339C"/>
    <w:rsid w:val="00305B40"/>
    <w:rsid w:val="003076E0"/>
    <w:rsid w:val="00331ACB"/>
    <w:rsid w:val="00332345"/>
    <w:rsid w:val="003324E5"/>
    <w:rsid w:val="00336A32"/>
    <w:rsid w:val="00342B47"/>
    <w:rsid w:val="00342BFA"/>
    <w:rsid w:val="003511E0"/>
    <w:rsid w:val="003558FB"/>
    <w:rsid w:val="003559AF"/>
    <w:rsid w:val="003570CA"/>
    <w:rsid w:val="00360D98"/>
    <w:rsid w:val="0036278E"/>
    <w:rsid w:val="003627BA"/>
    <w:rsid w:val="003801A9"/>
    <w:rsid w:val="00384100"/>
    <w:rsid w:val="00391D47"/>
    <w:rsid w:val="00393344"/>
    <w:rsid w:val="003A1A27"/>
    <w:rsid w:val="003A72B8"/>
    <w:rsid w:val="003A795C"/>
    <w:rsid w:val="003B34BB"/>
    <w:rsid w:val="003B3E99"/>
    <w:rsid w:val="003C1C22"/>
    <w:rsid w:val="003C4626"/>
    <w:rsid w:val="003C54F9"/>
    <w:rsid w:val="003D234B"/>
    <w:rsid w:val="003D6FE1"/>
    <w:rsid w:val="003E4BD6"/>
    <w:rsid w:val="003E4C8B"/>
    <w:rsid w:val="003F0B36"/>
    <w:rsid w:val="003F7372"/>
    <w:rsid w:val="004044D3"/>
    <w:rsid w:val="004049E2"/>
    <w:rsid w:val="0040516F"/>
    <w:rsid w:val="00405453"/>
    <w:rsid w:val="00410401"/>
    <w:rsid w:val="0042277F"/>
    <w:rsid w:val="0042291B"/>
    <w:rsid w:val="00423F85"/>
    <w:rsid w:val="00425548"/>
    <w:rsid w:val="00442AD6"/>
    <w:rsid w:val="00455C90"/>
    <w:rsid w:val="00463A4C"/>
    <w:rsid w:val="00466DE0"/>
    <w:rsid w:val="00473FDD"/>
    <w:rsid w:val="004751BB"/>
    <w:rsid w:val="0048194E"/>
    <w:rsid w:val="00484121"/>
    <w:rsid w:val="00484F5B"/>
    <w:rsid w:val="004973DE"/>
    <w:rsid w:val="004C31CB"/>
    <w:rsid w:val="004C46E3"/>
    <w:rsid w:val="004D5929"/>
    <w:rsid w:val="004D6BCC"/>
    <w:rsid w:val="004E1446"/>
    <w:rsid w:val="004E43BC"/>
    <w:rsid w:val="0050584A"/>
    <w:rsid w:val="00507560"/>
    <w:rsid w:val="00515406"/>
    <w:rsid w:val="00516AF5"/>
    <w:rsid w:val="00553091"/>
    <w:rsid w:val="00555C0B"/>
    <w:rsid w:val="0055742C"/>
    <w:rsid w:val="00560B7C"/>
    <w:rsid w:val="0059051F"/>
    <w:rsid w:val="00591E36"/>
    <w:rsid w:val="005967B1"/>
    <w:rsid w:val="005B0C47"/>
    <w:rsid w:val="005B17C5"/>
    <w:rsid w:val="005B2AA6"/>
    <w:rsid w:val="005B455C"/>
    <w:rsid w:val="005B49CD"/>
    <w:rsid w:val="005B675F"/>
    <w:rsid w:val="005B70F9"/>
    <w:rsid w:val="005C0436"/>
    <w:rsid w:val="005C1A8A"/>
    <w:rsid w:val="005C5F7B"/>
    <w:rsid w:val="005C68D9"/>
    <w:rsid w:val="005C7334"/>
    <w:rsid w:val="005D1E4E"/>
    <w:rsid w:val="005D3DC9"/>
    <w:rsid w:val="005E17A7"/>
    <w:rsid w:val="005F77B8"/>
    <w:rsid w:val="006036BA"/>
    <w:rsid w:val="00610BC7"/>
    <w:rsid w:val="00621E89"/>
    <w:rsid w:val="00622266"/>
    <w:rsid w:val="006236C1"/>
    <w:rsid w:val="006240DA"/>
    <w:rsid w:val="006365B2"/>
    <w:rsid w:val="006574ED"/>
    <w:rsid w:val="0065762E"/>
    <w:rsid w:val="00664F0B"/>
    <w:rsid w:val="006754FE"/>
    <w:rsid w:val="00677C86"/>
    <w:rsid w:val="00686EC1"/>
    <w:rsid w:val="0068723C"/>
    <w:rsid w:val="00691EB6"/>
    <w:rsid w:val="006A35F4"/>
    <w:rsid w:val="006A69F5"/>
    <w:rsid w:val="006B3ED1"/>
    <w:rsid w:val="006D19E0"/>
    <w:rsid w:val="006D5A53"/>
    <w:rsid w:val="006D66B5"/>
    <w:rsid w:val="006D74C9"/>
    <w:rsid w:val="006E5B75"/>
    <w:rsid w:val="006F4F0B"/>
    <w:rsid w:val="006F7948"/>
    <w:rsid w:val="0070501A"/>
    <w:rsid w:val="007052DF"/>
    <w:rsid w:val="00706DA5"/>
    <w:rsid w:val="0075037E"/>
    <w:rsid w:val="00750D9E"/>
    <w:rsid w:val="007571BA"/>
    <w:rsid w:val="00761841"/>
    <w:rsid w:val="00770455"/>
    <w:rsid w:val="00784CE9"/>
    <w:rsid w:val="0079384E"/>
    <w:rsid w:val="007A06C4"/>
    <w:rsid w:val="007A07C6"/>
    <w:rsid w:val="007A33B8"/>
    <w:rsid w:val="007C10E2"/>
    <w:rsid w:val="007C1EB7"/>
    <w:rsid w:val="007C22A4"/>
    <w:rsid w:val="007C3D71"/>
    <w:rsid w:val="007D302D"/>
    <w:rsid w:val="007E002F"/>
    <w:rsid w:val="007E3FEE"/>
    <w:rsid w:val="007E4879"/>
    <w:rsid w:val="007F39C0"/>
    <w:rsid w:val="007F40A1"/>
    <w:rsid w:val="007F6303"/>
    <w:rsid w:val="00814018"/>
    <w:rsid w:val="008273EC"/>
    <w:rsid w:val="00834549"/>
    <w:rsid w:val="008363D0"/>
    <w:rsid w:val="00844BDC"/>
    <w:rsid w:val="008543BD"/>
    <w:rsid w:val="008705ED"/>
    <w:rsid w:val="008732D4"/>
    <w:rsid w:val="00882FF8"/>
    <w:rsid w:val="00884856"/>
    <w:rsid w:val="00884AFD"/>
    <w:rsid w:val="00890307"/>
    <w:rsid w:val="0089721B"/>
    <w:rsid w:val="008A766E"/>
    <w:rsid w:val="008B3143"/>
    <w:rsid w:val="008C1E5B"/>
    <w:rsid w:val="008C2635"/>
    <w:rsid w:val="008C2C93"/>
    <w:rsid w:val="008C3E22"/>
    <w:rsid w:val="008C5F41"/>
    <w:rsid w:val="008C6718"/>
    <w:rsid w:val="008D37CF"/>
    <w:rsid w:val="008E35BC"/>
    <w:rsid w:val="008E3E57"/>
    <w:rsid w:val="008E7C94"/>
    <w:rsid w:val="008F4D9E"/>
    <w:rsid w:val="008F6AA0"/>
    <w:rsid w:val="00902CC2"/>
    <w:rsid w:val="009030D9"/>
    <w:rsid w:val="00904E7A"/>
    <w:rsid w:val="00912561"/>
    <w:rsid w:val="00922208"/>
    <w:rsid w:val="00926566"/>
    <w:rsid w:val="00927FC9"/>
    <w:rsid w:val="00933B67"/>
    <w:rsid w:val="00940477"/>
    <w:rsid w:val="0094378F"/>
    <w:rsid w:val="009452A1"/>
    <w:rsid w:val="009523C1"/>
    <w:rsid w:val="00960093"/>
    <w:rsid w:val="00964499"/>
    <w:rsid w:val="0097012D"/>
    <w:rsid w:val="009741E2"/>
    <w:rsid w:val="00982355"/>
    <w:rsid w:val="00986FBE"/>
    <w:rsid w:val="00997A5A"/>
    <w:rsid w:val="009B1AA0"/>
    <w:rsid w:val="009C0A54"/>
    <w:rsid w:val="009C0C56"/>
    <w:rsid w:val="009D0F51"/>
    <w:rsid w:val="009D2E93"/>
    <w:rsid w:val="009D3E36"/>
    <w:rsid w:val="009D746C"/>
    <w:rsid w:val="009E1915"/>
    <w:rsid w:val="009E4B76"/>
    <w:rsid w:val="009F12EA"/>
    <w:rsid w:val="00A03E19"/>
    <w:rsid w:val="00A20750"/>
    <w:rsid w:val="00A20CF4"/>
    <w:rsid w:val="00A321CF"/>
    <w:rsid w:val="00A338F2"/>
    <w:rsid w:val="00A44364"/>
    <w:rsid w:val="00A473F2"/>
    <w:rsid w:val="00A54974"/>
    <w:rsid w:val="00A602AD"/>
    <w:rsid w:val="00A64E5B"/>
    <w:rsid w:val="00A65F87"/>
    <w:rsid w:val="00A77B4E"/>
    <w:rsid w:val="00A8494E"/>
    <w:rsid w:val="00A86133"/>
    <w:rsid w:val="00AA4748"/>
    <w:rsid w:val="00AB068E"/>
    <w:rsid w:val="00AB1844"/>
    <w:rsid w:val="00AB6769"/>
    <w:rsid w:val="00AB7152"/>
    <w:rsid w:val="00AC350B"/>
    <w:rsid w:val="00AC6090"/>
    <w:rsid w:val="00AC7EBC"/>
    <w:rsid w:val="00AD1CBD"/>
    <w:rsid w:val="00AD357F"/>
    <w:rsid w:val="00AD6901"/>
    <w:rsid w:val="00B02FE4"/>
    <w:rsid w:val="00B15D9F"/>
    <w:rsid w:val="00B20252"/>
    <w:rsid w:val="00B35913"/>
    <w:rsid w:val="00B36D71"/>
    <w:rsid w:val="00B40D6E"/>
    <w:rsid w:val="00B4105B"/>
    <w:rsid w:val="00B415C4"/>
    <w:rsid w:val="00B514F1"/>
    <w:rsid w:val="00B612D8"/>
    <w:rsid w:val="00B622E1"/>
    <w:rsid w:val="00B62D6D"/>
    <w:rsid w:val="00B70D0E"/>
    <w:rsid w:val="00B73BA9"/>
    <w:rsid w:val="00B7529B"/>
    <w:rsid w:val="00B8233F"/>
    <w:rsid w:val="00B825A7"/>
    <w:rsid w:val="00B85CF4"/>
    <w:rsid w:val="00B91D3E"/>
    <w:rsid w:val="00B94246"/>
    <w:rsid w:val="00B94547"/>
    <w:rsid w:val="00BA176D"/>
    <w:rsid w:val="00BA4525"/>
    <w:rsid w:val="00BB2FA8"/>
    <w:rsid w:val="00BB30FB"/>
    <w:rsid w:val="00BB3C8E"/>
    <w:rsid w:val="00BC5F22"/>
    <w:rsid w:val="00BD470F"/>
    <w:rsid w:val="00BE2515"/>
    <w:rsid w:val="00BE648B"/>
    <w:rsid w:val="00BF0A2F"/>
    <w:rsid w:val="00BF5D4D"/>
    <w:rsid w:val="00C05A18"/>
    <w:rsid w:val="00C0758B"/>
    <w:rsid w:val="00C11462"/>
    <w:rsid w:val="00C1329B"/>
    <w:rsid w:val="00C16659"/>
    <w:rsid w:val="00C23E3D"/>
    <w:rsid w:val="00C33982"/>
    <w:rsid w:val="00C34B43"/>
    <w:rsid w:val="00C35481"/>
    <w:rsid w:val="00C40337"/>
    <w:rsid w:val="00C51701"/>
    <w:rsid w:val="00C56879"/>
    <w:rsid w:val="00C73670"/>
    <w:rsid w:val="00C82887"/>
    <w:rsid w:val="00C84D78"/>
    <w:rsid w:val="00C85515"/>
    <w:rsid w:val="00C90D49"/>
    <w:rsid w:val="00C911E1"/>
    <w:rsid w:val="00C94256"/>
    <w:rsid w:val="00C976E5"/>
    <w:rsid w:val="00CA511F"/>
    <w:rsid w:val="00CA6246"/>
    <w:rsid w:val="00CC46F5"/>
    <w:rsid w:val="00CC5565"/>
    <w:rsid w:val="00CE1E9B"/>
    <w:rsid w:val="00CE57C8"/>
    <w:rsid w:val="00D11E8A"/>
    <w:rsid w:val="00D22359"/>
    <w:rsid w:val="00D26BDA"/>
    <w:rsid w:val="00D41826"/>
    <w:rsid w:val="00D42BC2"/>
    <w:rsid w:val="00D44E7F"/>
    <w:rsid w:val="00D57FFB"/>
    <w:rsid w:val="00D603B5"/>
    <w:rsid w:val="00D64CD7"/>
    <w:rsid w:val="00D655D2"/>
    <w:rsid w:val="00D72153"/>
    <w:rsid w:val="00D74370"/>
    <w:rsid w:val="00D80A1A"/>
    <w:rsid w:val="00D86848"/>
    <w:rsid w:val="00D86FF6"/>
    <w:rsid w:val="00D9751A"/>
    <w:rsid w:val="00DB5688"/>
    <w:rsid w:val="00DC1557"/>
    <w:rsid w:val="00DC34F6"/>
    <w:rsid w:val="00DC5BB0"/>
    <w:rsid w:val="00DD56DD"/>
    <w:rsid w:val="00DD6617"/>
    <w:rsid w:val="00DE0F85"/>
    <w:rsid w:val="00DE5B6E"/>
    <w:rsid w:val="00DF4D00"/>
    <w:rsid w:val="00DF5B29"/>
    <w:rsid w:val="00E03B9A"/>
    <w:rsid w:val="00E1591E"/>
    <w:rsid w:val="00E23783"/>
    <w:rsid w:val="00E25562"/>
    <w:rsid w:val="00E341D3"/>
    <w:rsid w:val="00E37090"/>
    <w:rsid w:val="00E47FB9"/>
    <w:rsid w:val="00E630E8"/>
    <w:rsid w:val="00E6409F"/>
    <w:rsid w:val="00E66C85"/>
    <w:rsid w:val="00E7360A"/>
    <w:rsid w:val="00E76C53"/>
    <w:rsid w:val="00E76E19"/>
    <w:rsid w:val="00E806E0"/>
    <w:rsid w:val="00E81246"/>
    <w:rsid w:val="00E86C47"/>
    <w:rsid w:val="00E940E4"/>
    <w:rsid w:val="00E969FA"/>
    <w:rsid w:val="00EA6F8E"/>
    <w:rsid w:val="00EA7A3E"/>
    <w:rsid w:val="00EB4754"/>
    <w:rsid w:val="00EB724E"/>
    <w:rsid w:val="00ED3722"/>
    <w:rsid w:val="00ED5389"/>
    <w:rsid w:val="00ED790B"/>
    <w:rsid w:val="00EE41F7"/>
    <w:rsid w:val="00EF11A0"/>
    <w:rsid w:val="00EF26FE"/>
    <w:rsid w:val="00EF55BE"/>
    <w:rsid w:val="00EF77EE"/>
    <w:rsid w:val="00F0244F"/>
    <w:rsid w:val="00F042BA"/>
    <w:rsid w:val="00F11593"/>
    <w:rsid w:val="00F226F0"/>
    <w:rsid w:val="00F2552A"/>
    <w:rsid w:val="00F329E9"/>
    <w:rsid w:val="00F333E4"/>
    <w:rsid w:val="00F506F5"/>
    <w:rsid w:val="00F53A76"/>
    <w:rsid w:val="00F6043F"/>
    <w:rsid w:val="00F61E0E"/>
    <w:rsid w:val="00F63248"/>
    <w:rsid w:val="00F63C94"/>
    <w:rsid w:val="00F66632"/>
    <w:rsid w:val="00F7389D"/>
    <w:rsid w:val="00F936C5"/>
    <w:rsid w:val="00FA1375"/>
    <w:rsid w:val="00FA1889"/>
    <w:rsid w:val="00FA1B6B"/>
    <w:rsid w:val="00FB3C8E"/>
    <w:rsid w:val="00FB78B6"/>
    <w:rsid w:val="00FC0C93"/>
    <w:rsid w:val="00FC2159"/>
    <w:rsid w:val="00FC3A27"/>
    <w:rsid w:val="00FC4226"/>
    <w:rsid w:val="00FE3E9D"/>
    <w:rsid w:val="00FF02C6"/>
    <w:rsid w:val="00FF26E5"/>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B4F7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84"/>
    <w:pPr>
      <w:widowControl w:val="0"/>
      <w:jc w:val="both"/>
    </w:pPr>
    <w:rPr>
      <w:rFonts w:ascii="Century" w:eastAsia="MS Mincho" w:hAnsi="Century" w:cs="Times New Roman"/>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052184"/>
  </w:style>
  <w:style w:type="paragraph" w:styleId="Footer">
    <w:name w:val="footer"/>
    <w:basedOn w:val="Normal"/>
    <w:link w:val="FooterChar"/>
    <w:rsid w:val="00052184"/>
    <w:pPr>
      <w:tabs>
        <w:tab w:val="center" w:pos="4252"/>
        <w:tab w:val="right" w:pos="8504"/>
      </w:tabs>
      <w:snapToGrid w:val="0"/>
    </w:pPr>
    <w:rPr>
      <w:rFonts w:asciiTheme="minorHAnsi" w:eastAsiaTheme="minorEastAsia" w:hAnsiTheme="minorHAnsi" w:cstheme="minorBidi"/>
      <w:sz w:val="24"/>
      <w:szCs w:val="24"/>
    </w:rPr>
  </w:style>
  <w:style w:type="character" w:customStyle="1" w:styleId="1">
    <w:name w:val="フッター (文字)1"/>
    <w:basedOn w:val="DefaultParagraphFont"/>
    <w:uiPriority w:val="99"/>
    <w:semiHidden/>
    <w:rsid w:val="00052184"/>
    <w:rPr>
      <w:rFonts w:ascii="Century" w:eastAsia="MS Mincho" w:hAnsi="Century" w:cs="Times New Roman"/>
      <w:sz w:val="21"/>
      <w:szCs w:val="22"/>
    </w:rPr>
  </w:style>
  <w:style w:type="character" w:styleId="Hyperlink">
    <w:name w:val="Hyperlink"/>
    <w:uiPriority w:val="99"/>
    <w:rsid w:val="00052184"/>
    <w:rPr>
      <w:color w:val="0000FF"/>
      <w:u w:val="single"/>
    </w:rPr>
  </w:style>
  <w:style w:type="paragraph" w:styleId="ListParagraph">
    <w:name w:val="List Paragraph"/>
    <w:basedOn w:val="Normal"/>
    <w:uiPriority w:val="34"/>
    <w:qFormat/>
    <w:rsid w:val="005C5F7B"/>
    <w:pPr>
      <w:ind w:leftChars="400" w:left="960"/>
    </w:pPr>
  </w:style>
  <w:style w:type="paragraph" w:styleId="Header">
    <w:name w:val="header"/>
    <w:basedOn w:val="Normal"/>
    <w:link w:val="HeaderChar"/>
    <w:uiPriority w:val="99"/>
    <w:unhideWhenUsed/>
    <w:rsid w:val="00ED5389"/>
    <w:pPr>
      <w:tabs>
        <w:tab w:val="center" w:pos="4252"/>
        <w:tab w:val="right" w:pos="8504"/>
      </w:tabs>
      <w:snapToGrid w:val="0"/>
    </w:pPr>
  </w:style>
  <w:style w:type="character" w:customStyle="1" w:styleId="HeaderChar">
    <w:name w:val="Header Char"/>
    <w:basedOn w:val="DefaultParagraphFont"/>
    <w:link w:val="Header"/>
    <w:uiPriority w:val="99"/>
    <w:rsid w:val="00ED5389"/>
    <w:rPr>
      <w:rFonts w:ascii="Century" w:eastAsia="MS Mincho" w:hAnsi="Century" w:cs="Times New Roman"/>
      <w:sz w:val="21"/>
      <w:szCs w:val="22"/>
    </w:rPr>
  </w:style>
  <w:style w:type="character" w:styleId="PageNumber">
    <w:name w:val="page number"/>
    <w:basedOn w:val="DefaultParagraphFont"/>
    <w:uiPriority w:val="99"/>
    <w:semiHidden/>
    <w:unhideWhenUsed/>
    <w:rsid w:val="00ED5389"/>
  </w:style>
  <w:style w:type="paragraph" w:styleId="BalloonText">
    <w:name w:val="Balloon Text"/>
    <w:basedOn w:val="Normal"/>
    <w:link w:val="BalloonTextChar"/>
    <w:uiPriority w:val="99"/>
    <w:semiHidden/>
    <w:unhideWhenUsed/>
    <w:rsid w:val="00BD470F"/>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BD470F"/>
    <w:rPr>
      <w:rFonts w:ascii="ヒラギノ角ゴ ProN W3" w:eastAsia="ヒラギノ角ゴ ProN W3" w:hAnsi="Century" w:cs="Times New Roman"/>
      <w:sz w:val="18"/>
      <w:szCs w:val="18"/>
    </w:rPr>
  </w:style>
  <w:style w:type="paragraph" w:customStyle="1" w:styleId="Default">
    <w:name w:val="Default"/>
    <w:rsid w:val="005C0436"/>
    <w:pPr>
      <w:autoSpaceDE w:val="0"/>
      <w:autoSpaceDN w:val="0"/>
      <w:adjustRightInd w:val="0"/>
    </w:pPr>
    <w:rPr>
      <w:rFonts w:ascii="Minion Pro" w:hAnsi="Minion Pro" w:cs="Minion Pro"/>
      <w:color w:val="000000"/>
      <w:kern w:val="0"/>
    </w:rPr>
  </w:style>
  <w:style w:type="character" w:customStyle="1" w:styleId="A13">
    <w:name w:val="A13"/>
    <w:uiPriority w:val="99"/>
    <w:rsid w:val="005C0436"/>
    <w:rPr>
      <w:rFonts w:cs="Minion Pro"/>
      <w:color w:val="000000"/>
      <w:sz w:val="11"/>
      <w:szCs w:val="11"/>
    </w:rPr>
  </w:style>
  <w:style w:type="character" w:styleId="CommentReference">
    <w:name w:val="annotation reference"/>
    <w:basedOn w:val="DefaultParagraphFont"/>
    <w:uiPriority w:val="99"/>
    <w:semiHidden/>
    <w:unhideWhenUsed/>
    <w:rsid w:val="00342BFA"/>
    <w:rPr>
      <w:sz w:val="18"/>
      <w:szCs w:val="18"/>
    </w:rPr>
  </w:style>
  <w:style w:type="paragraph" w:styleId="CommentText">
    <w:name w:val="annotation text"/>
    <w:basedOn w:val="Normal"/>
    <w:link w:val="CommentTextChar"/>
    <w:uiPriority w:val="99"/>
    <w:semiHidden/>
    <w:unhideWhenUsed/>
    <w:rsid w:val="00342BFA"/>
    <w:rPr>
      <w:sz w:val="24"/>
      <w:szCs w:val="24"/>
    </w:rPr>
  </w:style>
  <w:style w:type="character" w:customStyle="1" w:styleId="CommentTextChar">
    <w:name w:val="Comment Text Char"/>
    <w:basedOn w:val="DefaultParagraphFont"/>
    <w:link w:val="CommentText"/>
    <w:uiPriority w:val="99"/>
    <w:semiHidden/>
    <w:rsid w:val="00342BFA"/>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342BFA"/>
    <w:rPr>
      <w:b/>
      <w:bCs/>
      <w:sz w:val="20"/>
      <w:szCs w:val="20"/>
    </w:rPr>
  </w:style>
  <w:style w:type="character" w:customStyle="1" w:styleId="CommentSubjectChar">
    <w:name w:val="Comment Subject Char"/>
    <w:basedOn w:val="CommentTextChar"/>
    <w:link w:val="CommentSubject"/>
    <w:uiPriority w:val="99"/>
    <w:semiHidden/>
    <w:rsid w:val="00342BFA"/>
    <w:rPr>
      <w:rFonts w:ascii="Century" w:eastAsia="MS Mincho" w:hAnsi="Century" w:cs="Times New Roman"/>
      <w:b/>
      <w:bCs/>
      <w:sz w:val="20"/>
      <w:szCs w:val="20"/>
    </w:rPr>
  </w:style>
  <w:style w:type="paragraph" w:styleId="PlainText">
    <w:name w:val="Plain Text"/>
    <w:basedOn w:val="Normal"/>
    <w:link w:val="PlainTextChar"/>
    <w:rsid w:val="00B514F1"/>
    <w:rPr>
      <w:rFonts w:ascii="宋体" w:eastAsia="宋体" w:hAnsi="Courier New" w:cs="Courier New"/>
      <w:szCs w:val="21"/>
      <w:lang w:eastAsia="zh-CN"/>
    </w:rPr>
  </w:style>
  <w:style w:type="character" w:customStyle="1" w:styleId="PlainTextChar">
    <w:name w:val="Plain Text Char"/>
    <w:basedOn w:val="DefaultParagraphFont"/>
    <w:link w:val="PlainText"/>
    <w:rsid w:val="00B514F1"/>
    <w:rPr>
      <w:rFonts w:ascii="宋体" w:eastAsia="宋体" w:hAnsi="Courier New" w:cs="Courier New"/>
      <w:sz w:val="21"/>
      <w:szCs w:val="21"/>
      <w:lang w:eastAsia="zh-CN"/>
    </w:rPr>
  </w:style>
  <w:style w:type="character" w:customStyle="1" w:styleId="apple-converted-space">
    <w:name w:val="apple-converted-space"/>
    <w:basedOn w:val="DefaultParagraphFont"/>
    <w:rsid w:val="009D2E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84"/>
    <w:pPr>
      <w:widowControl w:val="0"/>
      <w:jc w:val="both"/>
    </w:pPr>
    <w:rPr>
      <w:rFonts w:ascii="Century" w:eastAsia="MS Mincho" w:hAnsi="Century" w:cs="Times New Roman"/>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052184"/>
  </w:style>
  <w:style w:type="paragraph" w:styleId="Footer">
    <w:name w:val="footer"/>
    <w:basedOn w:val="Normal"/>
    <w:link w:val="FooterChar"/>
    <w:rsid w:val="00052184"/>
    <w:pPr>
      <w:tabs>
        <w:tab w:val="center" w:pos="4252"/>
        <w:tab w:val="right" w:pos="8504"/>
      </w:tabs>
      <w:snapToGrid w:val="0"/>
    </w:pPr>
    <w:rPr>
      <w:rFonts w:asciiTheme="minorHAnsi" w:eastAsiaTheme="minorEastAsia" w:hAnsiTheme="minorHAnsi" w:cstheme="minorBidi"/>
      <w:sz w:val="24"/>
      <w:szCs w:val="24"/>
    </w:rPr>
  </w:style>
  <w:style w:type="character" w:customStyle="1" w:styleId="1">
    <w:name w:val="フッター (文字)1"/>
    <w:basedOn w:val="DefaultParagraphFont"/>
    <w:uiPriority w:val="99"/>
    <w:semiHidden/>
    <w:rsid w:val="00052184"/>
    <w:rPr>
      <w:rFonts w:ascii="Century" w:eastAsia="MS Mincho" w:hAnsi="Century" w:cs="Times New Roman"/>
      <w:sz w:val="21"/>
      <w:szCs w:val="22"/>
    </w:rPr>
  </w:style>
  <w:style w:type="character" w:styleId="Hyperlink">
    <w:name w:val="Hyperlink"/>
    <w:uiPriority w:val="99"/>
    <w:rsid w:val="00052184"/>
    <w:rPr>
      <w:color w:val="0000FF"/>
      <w:u w:val="single"/>
    </w:rPr>
  </w:style>
  <w:style w:type="paragraph" w:styleId="ListParagraph">
    <w:name w:val="List Paragraph"/>
    <w:basedOn w:val="Normal"/>
    <w:uiPriority w:val="34"/>
    <w:qFormat/>
    <w:rsid w:val="005C5F7B"/>
    <w:pPr>
      <w:ind w:leftChars="400" w:left="960"/>
    </w:pPr>
  </w:style>
  <w:style w:type="paragraph" w:styleId="Header">
    <w:name w:val="header"/>
    <w:basedOn w:val="Normal"/>
    <w:link w:val="HeaderChar"/>
    <w:uiPriority w:val="99"/>
    <w:unhideWhenUsed/>
    <w:rsid w:val="00ED5389"/>
    <w:pPr>
      <w:tabs>
        <w:tab w:val="center" w:pos="4252"/>
        <w:tab w:val="right" w:pos="8504"/>
      </w:tabs>
      <w:snapToGrid w:val="0"/>
    </w:pPr>
  </w:style>
  <w:style w:type="character" w:customStyle="1" w:styleId="HeaderChar">
    <w:name w:val="Header Char"/>
    <w:basedOn w:val="DefaultParagraphFont"/>
    <w:link w:val="Header"/>
    <w:uiPriority w:val="99"/>
    <w:rsid w:val="00ED5389"/>
    <w:rPr>
      <w:rFonts w:ascii="Century" w:eastAsia="MS Mincho" w:hAnsi="Century" w:cs="Times New Roman"/>
      <w:sz w:val="21"/>
      <w:szCs w:val="22"/>
    </w:rPr>
  </w:style>
  <w:style w:type="character" w:styleId="PageNumber">
    <w:name w:val="page number"/>
    <w:basedOn w:val="DefaultParagraphFont"/>
    <w:uiPriority w:val="99"/>
    <w:semiHidden/>
    <w:unhideWhenUsed/>
    <w:rsid w:val="00ED5389"/>
  </w:style>
  <w:style w:type="paragraph" w:styleId="BalloonText">
    <w:name w:val="Balloon Text"/>
    <w:basedOn w:val="Normal"/>
    <w:link w:val="BalloonTextChar"/>
    <w:uiPriority w:val="99"/>
    <w:semiHidden/>
    <w:unhideWhenUsed/>
    <w:rsid w:val="00BD470F"/>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BD470F"/>
    <w:rPr>
      <w:rFonts w:ascii="ヒラギノ角ゴ ProN W3" w:eastAsia="ヒラギノ角ゴ ProN W3" w:hAnsi="Century" w:cs="Times New Roman"/>
      <w:sz w:val="18"/>
      <w:szCs w:val="18"/>
    </w:rPr>
  </w:style>
  <w:style w:type="paragraph" w:customStyle="1" w:styleId="Default">
    <w:name w:val="Default"/>
    <w:rsid w:val="005C0436"/>
    <w:pPr>
      <w:autoSpaceDE w:val="0"/>
      <w:autoSpaceDN w:val="0"/>
      <w:adjustRightInd w:val="0"/>
    </w:pPr>
    <w:rPr>
      <w:rFonts w:ascii="Minion Pro" w:hAnsi="Minion Pro" w:cs="Minion Pro"/>
      <w:color w:val="000000"/>
      <w:kern w:val="0"/>
    </w:rPr>
  </w:style>
  <w:style w:type="character" w:customStyle="1" w:styleId="A13">
    <w:name w:val="A13"/>
    <w:uiPriority w:val="99"/>
    <w:rsid w:val="005C0436"/>
    <w:rPr>
      <w:rFonts w:cs="Minion Pro"/>
      <w:color w:val="000000"/>
      <w:sz w:val="11"/>
      <w:szCs w:val="11"/>
    </w:rPr>
  </w:style>
  <w:style w:type="character" w:styleId="CommentReference">
    <w:name w:val="annotation reference"/>
    <w:basedOn w:val="DefaultParagraphFont"/>
    <w:uiPriority w:val="99"/>
    <w:semiHidden/>
    <w:unhideWhenUsed/>
    <w:rsid w:val="00342BFA"/>
    <w:rPr>
      <w:sz w:val="18"/>
      <w:szCs w:val="18"/>
    </w:rPr>
  </w:style>
  <w:style w:type="paragraph" w:styleId="CommentText">
    <w:name w:val="annotation text"/>
    <w:basedOn w:val="Normal"/>
    <w:link w:val="CommentTextChar"/>
    <w:uiPriority w:val="99"/>
    <w:semiHidden/>
    <w:unhideWhenUsed/>
    <w:rsid w:val="00342BFA"/>
    <w:rPr>
      <w:sz w:val="24"/>
      <w:szCs w:val="24"/>
    </w:rPr>
  </w:style>
  <w:style w:type="character" w:customStyle="1" w:styleId="CommentTextChar">
    <w:name w:val="Comment Text Char"/>
    <w:basedOn w:val="DefaultParagraphFont"/>
    <w:link w:val="CommentText"/>
    <w:uiPriority w:val="99"/>
    <w:semiHidden/>
    <w:rsid w:val="00342BFA"/>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342BFA"/>
    <w:rPr>
      <w:b/>
      <w:bCs/>
      <w:sz w:val="20"/>
      <w:szCs w:val="20"/>
    </w:rPr>
  </w:style>
  <w:style w:type="character" w:customStyle="1" w:styleId="CommentSubjectChar">
    <w:name w:val="Comment Subject Char"/>
    <w:basedOn w:val="CommentTextChar"/>
    <w:link w:val="CommentSubject"/>
    <w:uiPriority w:val="99"/>
    <w:semiHidden/>
    <w:rsid w:val="00342BFA"/>
    <w:rPr>
      <w:rFonts w:ascii="Century" w:eastAsia="MS Mincho" w:hAnsi="Century" w:cs="Times New Roman"/>
      <w:b/>
      <w:bCs/>
      <w:sz w:val="20"/>
      <w:szCs w:val="20"/>
    </w:rPr>
  </w:style>
  <w:style w:type="paragraph" w:styleId="PlainText">
    <w:name w:val="Plain Text"/>
    <w:basedOn w:val="Normal"/>
    <w:link w:val="PlainTextChar"/>
    <w:rsid w:val="00B514F1"/>
    <w:rPr>
      <w:rFonts w:ascii="宋体" w:eastAsia="宋体" w:hAnsi="Courier New" w:cs="Courier New"/>
      <w:szCs w:val="21"/>
      <w:lang w:eastAsia="zh-CN"/>
    </w:rPr>
  </w:style>
  <w:style w:type="character" w:customStyle="1" w:styleId="PlainTextChar">
    <w:name w:val="Plain Text Char"/>
    <w:basedOn w:val="DefaultParagraphFont"/>
    <w:link w:val="PlainText"/>
    <w:rsid w:val="00B514F1"/>
    <w:rPr>
      <w:rFonts w:ascii="宋体" w:eastAsia="宋体" w:hAnsi="Courier New" w:cs="Courier New"/>
      <w:sz w:val="21"/>
      <w:szCs w:val="21"/>
      <w:lang w:eastAsia="zh-CN"/>
    </w:rPr>
  </w:style>
  <w:style w:type="character" w:customStyle="1" w:styleId="apple-converted-space">
    <w:name w:val="apple-converted-space"/>
    <w:basedOn w:val="DefaultParagraphFont"/>
    <w:rsid w:val="009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6611">
      <w:bodyDiv w:val="1"/>
      <w:marLeft w:val="0"/>
      <w:marRight w:val="0"/>
      <w:marTop w:val="0"/>
      <w:marBottom w:val="0"/>
      <w:divBdr>
        <w:top w:val="none" w:sz="0" w:space="0" w:color="auto"/>
        <w:left w:val="none" w:sz="0" w:space="0" w:color="auto"/>
        <w:bottom w:val="none" w:sz="0" w:space="0" w:color="auto"/>
        <w:right w:val="none" w:sz="0" w:space="0" w:color="auto"/>
      </w:divBdr>
      <w:divsChild>
        <w:div w:id="1135835548">
          <w:marLeft w:val="0"/>
          <w:marRight w:val="0"/>
          <w:marTop w:val="0"/>
          <w:marBottom w:val="0"/>
          <w:divBdr>
            <w:top w:val="none" w:sz="0" w:space="0" w:color="auto"/>
            <w:left w:val="none" w:sz="0" w:space="0" w:color="auto"/>
            <w:bottom w:val="none" w:sz="0" w:space="0" w:color="auto"/>
            <w:right w:val="none" w:sz="0" w:space="0" w:color="auto"/>
          </w:divBdr>
        </w:div>
        <w:div w:id="166987139">
          <w:marLeft w:val="0"/>
          <w:marRight w:val="0"/>
          <w:marTop w:val="0"/>
          <w:marBottom w:val="0"/>
          <w:divBdr>
            <w:top w:val="none" w:sz="0" w:space="0" w:color="auto"/>
            <w:left w:val="none" w:sz="0" w:space="0" w:color="auto"/>
            <w:bottom w:val="none" w:sz="0" w:space="0" w:color="auto"/>
            <w:right w:val="none" w:sz="0" w:space="0" w:color="auto"/>
          </w:divBdr>
        </w:div>
        <w:div w:id="1956325064">
          <w:marLeft w:val="0"/>
          <w:marRight w:val="0"/>
          <w:marTop w:val="0"/>
          <w:marBottom w:val="0"/>
          <w:divBdr>
            <w:top w:val="none" w:sz="0" w:space="0" w:color="auto"/>
            <w:left w:val="none" w:sz="0" w:space="0" w:color="auto"/>
            <w:bottom w:val="none" w:sz="0" w:space="0" w:color="auto"/>
            <w:right w:val="none" w:sz="0" w:space="0" w:color="auto"/>
          </w:divBdr>
        </w:div>
        <w:div w:id="1702437030">
          <w:marLeft w:val="0"/>
          <w:marRight w:val="0"/>
          <w:marTop w:val="0"/>
          <w:marBottom w:val="0"/>
          <w:divBdr>
            <w:top w:val="none" w:sz="0" w:space="0" w:color="auto"/>
            <w:left w:val="none" w:sz="0" w:space="0" w:color="auto"/>
            <w:bottom w:val="none" w:sz="0" w:space="0" w:color="auto"/>
            <w:right w:val="none" w:sz="0" w:space="0" w:color="auto"/>
          </w:divBdr>
        </w:div>
        <w:div w:id="282031706">
          <w:marLeft w:val="0"/>
          <w:marRight w:val="0"/>
          <w:marTop w:val="0"/>
          <w:marBottom w:val="0"/>
          <w:divBdr>
            <w:top w:val="none" w:sz="0" w:space="0" w:color="auto"/>
            <w:left w:val="none" w:sz="0" w:space="0" w:color="auto"/>
            <w:bottom w:val="none" w:sz="0" w:space="0" w:color="auto"/>
            <w:right w:val="none" w:sz="0" w:space="0" w:color="auto"/>
          </w:divBdr>
        </w:div>
        <w:div w:id="166287155">
          <w:marLeft w:val="0"/>
          <w:marRight w:val="0"/>
          <w:marTop w:val="0"/>
          <w:marBottom w:val="0"/>
          <w:divBdr>
            <w:top w:val="none" w:sz="0" w:space="0" w:color="auto"/>
            <w:left w:val="none" w:sz="0" w:space="0" w:color="auto"/>
            <w:bottom w:val="none" w:sz="0" w:space="0" w:color="auto"/>
            <w:right w:val="none" w:sz="0" w:space="0" w:color="auto"/>
          </w:divBdr>
        </w:div>
        <w:div w:id="1656495652">
          <w:marLeft w:val="0"/>
          <w:marRight w:val="0"/>
          <w:marTop w:val="0"/>
          <w:marBottom w:val="0"/>
          <w:divBdr>
            <w:top w:val="none" w:sz="0" w:space="0" w:color="auto"/>
            <w:left w:val="none" w:sz="0" w:space="0" w:color="auto"/>
            <w:bottom w:val="none" w:sz="0" w:space="0" w:color="auto"/>
            <w:right w:val="none" w:sz="0" w:space="0" w:color="auto"/>
          </w:divBdr>
        </w:div>
        <w:div w:id="1632633288">
          <w:marLeft w:val="0"/>
          <w:marRight w:val="0"/>
          <w:marTop w:val="0"/>
          <w:marBottom w:val="0"/>
          <w:divBdr>
            <w:top w:val="none" w:sz="0" w:space="0" w:color="auto"/>
            <w:left w:val="none" w:sz="0" w:space="0" w:color="auto"/>
            <w:bottom w:val="none" w:sz="0" w:space="0" w:color="auto"/>
            <w:right w:val="none" w:sz="0" w:space="0" w:color="auto"/>
          </w:divBdr>
        </w:div>
        <w:div w:id="1492142725">
          <w:marLeft w:val="0"/>
          <w:marRight w:val="0"/>
          <w:marTop w:val="0"/>
          <w:marBottom w:val="0"/>
          <w:divBdr>
            <w:top w:val="none" w:sz="0" w:space="0" w:color="auto"/>
            <w:left w:val="none" w:sz="0" w:space="0" w:color="auto"/>
            <w:bottom w:val="none" w:sz="0" w:space="0" w:color="auto"/>
            <w:right w:val="none" w:sz="0" w:space="0" w:color="auto"/>
          </w:divBdr>
        </w:div>
        <w:div w:id="1657957128">
          <w:marLeft w:val="0"/>
          <w:marRight w:val="0"/>
          <w:marTop w:val="0"/>
          <w:marBottom w:val="0"/>
          <w:divBdr>
            <w:top w:val="none" w:sz="0" w:space="0" w:color="auto"/>
            <w:left w:val="none" w:sz="0" w:space="0" w:color="auto"/>
            <w:bottom w:val="none" w:sz="0" w:space="0" w:color="auto"/>
            <w:right w:val="none" w:sz="0" w:space="0" w:color="auto"/>
          </w:divBdr>
        </w:div>
        <w:div w:id="796072211">
          <w:marLeft w:val="0"/>
          <w:marRight w:val="0"/>
          <w:marTop w:val="0"/>
          <w:marBottom w:val="0"/>
          <w:divBdr>
            <w:top w:val="none" w:sz="0" w:space="0" w:color="auto"/>
            <w:left w:val="none" w:sz="0" w:space="0" w:color="auto"/>
            <w:bottom w:val="none" w:sz="0" w:space="0" w:color="auto"/>
            <w:right w:val="none" w:sz="0" w:space="0" w:color="auto"/>
          </w:divBdr>
        </w:div>
        <w:div w:id="23134934">
          <w:marLeft w:val="0"/>
          <w:marRight w:val="0"/>
          <w:marTop w:val="0"/>
          <w:marBottom w:val="0"/>
          <w:divBdr>
            <w:top w:val="none" w:sz="0" w:space="0" w:color="auto"/>
            <w:left w:val="none" w:sz="0" w:space="0" w:color="auto"/>
            <w:bottom w:val="none" w:sz="0" w:space="0" w:color="auto"/>
            <w:right w:val="none" w:sz="0" w:space="0" w:color="auto"/>
          </w:divBdr>
        </w:div>
        <w:div w:id="1642923487">
          <w:marLeft w:val="0"/>
          <w:marRight w:val="0"/>
          <w:marTop w:val="0"/>
          <w:marBottom w:val="0"/>
          <w:divBdr>
            <w:top w:val="none" w:sz="0" w:space="0" w:color="auto"/>
            <w:left w:val="none" w:sz="0" w:space="0" w:color="auto"/>
            <w:bottom w:val="none" w:sz="0" w:space="0" w:color="auto"/>
            <w:right w:val="none" w:sz="0" w:space="0" w:color="auto"/>
          </w:divBdr>
        </w:div>
        <w:div w:id="1297031465">
          <w:marLeft w:val="0"/>
          <w:marRight w:val="0"/>
          <w:marTop w:val="0"/>
          <w:marBottom w:val="0"/>
          <w:divBdr>
            <w:top w:val="none" w:sz="0" w:space="0" w:color="auto"/>
            <w:left w:val="none" w:sz="0" w:space="0" w:color="auto"/>
            <w:bottom w:val="none" w:sz="0" w:space="0" w:color="auto"/>
            <w:right w:val="none" w:sz="0" w:space="0" w:color="auto"/>
          </w:divBdr>
        </w:div>
        <w:div w:id="1006517386">
          <w:marLeft w:val="0"/>
          <w:marRight w:val="0"/>
          <w:marTop w:val="0"/>
          <w:marBottom w:val="0"/>
          <w:divBdr>
            <w:top w:val="none" w:sz="0" w:space="0" w:color="auto"/>
            <w:left w:val="none" w:sz="0" w:space="0" w:color="auto"/>
            <w:bottom w:val="none" w:sz="0" w:space="0" w:color="auto"/>
            <w:right w:val="none" w:sz="0" w:space="0" w:color="auto"/>
          </w:divBdr>
        </w:div>
        <w:div w:id="333731141">
          <w:marLeft w:val="0"/>
          <w:marRight w:val="0"/>
          <w:marTop w:val="0"/>
          <w:marBottom w:val="0"/>
          <w:divBdr>
            <w:top w:val="none" w:sz="0" w:space="0" w:color="auto"/>
            <w:left w:val="none" w:sz="0" w:space="0" w:color="auto"/>
            <w:bottom w:val="none" w:sz="0" w:space="0" w:color="auto"/>
            <w:right w:val="none" w:sz="0" w:space="0" w:color="auto"/>
          </w:divBdr>
        </w:div>
        <w:div w:id="1780635735">
          <w:marLeft w:val="0"/>
          <w:marRight w:val="0"/>
          <w:marTop w:val="0"/>
          <w:marBottom w:val="0"/>
          <w:divBdr>
            <w:top w:val="none" w:sz="0" w:space="0" w:color="auto"/>
            <w:left w:val="none" w:sz="0" w:space="0" w:color="auto"/>
            <w:bottom w:val="none" w:sz="0" w:space="0" w:color="auto"/>
            <w:right w:val="none" w:sz="0" w:space="0" w:color="auto"/>
          </w:divBdr>
        </w:div>
        <w:div w:id="304820198">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 w:id="1922715718">
          <w:marLeft w:val="0"/>
          <w:marRight w:val="0"/>
          <w:marTop w:val="0"/>
          <w:marBottom w:val="0"/>
          <w:divBdr>
            <w:top w:val="none" w:sz="0" w:space="0" w:color="auto"/>
            <w:left w:val="none" w:sz="0" w:space="0" w:color="auto"/>
            <w:bottom w:val="none" w:sz="0" w:space="0" w:color="auto"/>
            <w:right w:val="none" w:sz="0" w:space="0" w:color="auto"/>
          </w:divBdr>
        </w:div>
        <w:div w:id="447433688">
          <w:marLeft w:val="0"/>
          <w:marRight w:val="0"/>
          <w:marTop w:val="0"/>
          <w:marBottom w:val="0"/>
          <w:divBdr>
            <w:top w:val="none" w:sz="0" w:space="0" w:color="auto"/>
            <w:left w:val="none" w:sz="0" w:space="0" w:color="auto"/>
            <w:bottom w:val="none" w:sz="0" w:space="0" w:color="auto"/>
            <w:right w:val="none" w:sz="0" w:space="0" w:color="auto"/>
          </w:divBdr>
        </w:div>
        <w:div w:id="692341255">
          <w:marLeft w:val="0"/>
          <w:marRight w:val="0"/>
          <w:marTop w:val="0"/>
          <w:marBottom w:val="0"/>
          <w:divBdr>
            <w:top w:val="none" w:sz="0" w:space="0" w:color="auto"/>
            <w:left w:val="none" w:sz="0" w:space="0" w:color="auto"/>
            <w:bottom w:val="none" w:sz="0" w:space="0" w:color="auto"/>
            <w:right w:val="none" w:sz="0" w:space="0" w:color="auto"/>
          </w:divBdr>
        </w:div>
        <w:div w:id="474614844">
          <w:marLeft w:val="0"/>
          <w:marRight w:val="0"/>
          <w:marTop w:val="0"/>
          <w:marBottom w:val="0"/>
          <w:divBdr>
            <w:top w:val="none" w:sz="0" w:space="0" w:color="auto"/>
            <w:left w:val="none" w:sz="0" w:space="0" w:color="auto"/>
            <w:bottom w:val="none" w:sz="0" w:space="0" w:color="auto"/>
            <w:right w:val="none" w:sz="0" w:space="0" w:color="auto"/>
          </w:divBdr>
        </w:div>
        <w:div w:id="1745491494">
          <w:marLeft w:val="0"/>
          <w:marRight w:val="0"/>
          <w:marTop w:val="0"/>
          <w:marBottom w:val="0"/>
          <w:divBdr>
            <w:top w:val="none" w:sz="0" w:space="0" w:color="auto"/>
            <w:left w:val="none" w:sz="0" w:space="0" w:color="auto"/>
            <w:bottom w:val="none" w:sz="0" w:space="0" w:color="auto"/>
            <w:right w:val="none" w:sz="0" w:space="0" w:color="auto"/>
          </w:divBdr>
        </w:div>
        <w:div w:id="828596317">
          <w:marLeft w:val="0"/>
          <w:marRight w:val="0"/>
          <w:marTop w:val="0"/>
          <w:marBottom w:val="0"/>
          <w:divBdr>
            <w:top w:val="none" w:sz="0" w:space="0" w:color="auto"/>
            <w:left w:val="none" w:sz="0" w:space="0" w:color="auto"/>
            <w:bottom w:val="none" w:sz="0" w:space="0" w:color="auto"/>
            <w:right w:val="none" w:sz="0" w:space="0" w:color="auto"/>
          </w:divBdr>
        </w:div>
        <w:div w:id="1668168167">
          <w:marLeft w:val="0"/>
          <w:marRight w:val="0"/>
          <w:marTop w:val="0"/>
          <w:marBottom w:val="0"/>
          <w:divBdr>
            <w:top w:val="none" w:sz="0" w:space="0" w:color="auto"/>
            <w:left w:val="none" w:sz="0" w:space="0" w:color="auto"/>
            <w:bottom w:val="none" w:sz="0" w:space="0" w:color="auto"/>
            <w:right w:val="none" w:sz="0" w:space="0" w:color="auto"/>
          </w:divBdr>
        </w:div>
        <w:div w:id="1925533005">
          <w:marLeft w:val="0"/>
          <w:marRight w:val="0"/>
          <w:marTop w:val="0"/>
          <w:marBottom w:val="0"/>
          <w:divBdr>
            <w:top w:val="none" w:sz="0" w:space="0" w:color="auto"/>
            <w:left w:val="none" w:sz="0" w:space="0" w:color="auto"/>
            <w:bottom w:val="none" w:sz="0" w:space="0" w:color="auto"/>
            <w:right w:val="none" w:sz="0" w:space="0" w:color="auto"/>
          </w:divBdr>
        </w:div>
        <w:div w:id="577397759">
          <w:marLeft w:val="0"/>
          <w:marRight w:val="0"/>
          <w:marTop w:val="0"/>
          <w:marBottom w:val="0"/>
          <w:divBdr>
            <w:top w:val="none" w:sz="0" w:space="0" w:color="auto"/>
            <w:left w:val="none" w:sz="0" w:space="0" w:color="auto"/>
            <w:bottom w:val="none" w:sz="0" w:space="0" w:color="auto"/>
            <w:right w:val="none" w:sz="0" w:space="0" w:color="auto"/>
          </w:divBdr>
        </w:div>
        <w:div w:id="1563444557">
          <w:marLeft w:val="0"/>
          <w:marRight w:val="0"/>
          <w:marTop w:val="0"/>
          <w:marBottom w:val="0"/>
          <w:divBdr>
            <w:top w:val="none" w:sz="0" w:space="0" w:color="auto"/>
            <w:left w:val="none" w:sz="0" w:space="0" w:color="auto"/>
            <w:bottom w:val="none" w:sz="0" w:space="0" w:color="auto"/>
            <w:right w:val="none" w:sz="0" w:space="0" w:color="auto"/>
          </w:divBdr>
        </w:div>
        <w:div w:id="705759634">
          <w:marLeft w:val="0"/>
          <w:marRight w:val="0"/>
          <w:marTop w:val="0"/>
          <w:marBottom w:val="0"/>
          <w:divBdr>
            <w:top w:val="none" w:sz="0" w:space="0" w:color="auto"/>
            <w:left w:val="none" w:sz="0" w:space="0" w:color="auto"/>
            <w:bottom w:val="none" w:sz="0" w:space="0" w:color="auto"/>
            <w:right w:val="none" w:sz="0" w:space="0" w:color="auto"/>
          </w:divBdr>
        </w:div>
        <w:div w:id="724763707">
          <w:marLeft w:val="0"/>
          <w:marRight w:val="0"/>
          <w:marTop w:val="0"/>
          <w:marBottom w:val="0"/>
          <w:divBdr>
            <w:top w:val="none" w:sz="0" w:space="0" w:color="auto"/>
            <w:left w:val="none" w:sz="0" w:space="0" w:color="auto"/>
            <w:bottom w:val="none" w:sz="0" w:space="0" w:color="auto"/>
            <w:right w:val="none" w:sz="0" w:space="0" w:color="auto"/>
          </w:divBdr>
        </w:div>
        <w:div w:id="1170212992">
          <w:marLeft w:val="0"/>
          <w:marRight w:val="0"/>
          <w:marTop w:val="0"/>
          <w:marBottom w:val="0"/>
          <w:divBdr>
            <w:top w:val="none" w:sz="0" w:space="0" w:color="auto"/>
            <w:left w:val="none" w:sz="0" w:space="0" w:color="auto"/>
            <w:bottom w:val="none" w:sz="0" w:space="0" w:color="auto"/>
            <w:right w:val="none" w:sz="0" w:space="0" w:color="auto"/>
          </w:divBdr>
        </w:div>
        <w:div w:id="787745723">
          <w:marLeft w:val="0"/>
          <w:marRight w:val="0"/>
          <w:marTop w:val="0"/>
          <w:marBottom w:val="0"/>
          <w:divBdr>
            <w:top w:val="none" w:sz="0" w:space="0" w:color="auto"/>
            <w:left w:val="none" w:sz="0" w:space="0" w:color="auto"/>
            <w:bottom w:val="none" w:sz="0" w:space="0" w:color="auto"/>
            <w:right w:val="none" w:sz="0" w:space="0" w:color="auto"/>
          </w:divBdr>
        </w:div>
        <w:div w:id="381100555">
          <w:marLeft w:val="0"/>
          <w:marRight w:val="0"/>
          <w:marTop w:val="0"/>
          <w:marBottom w:val="0"/>
          <w:divBdr>
            <w:top w:val="none" w:sz="0" w:space="0" w:color="auto"/>
            <w:left w:val="none" w:sz="0" w:space="0" w:color="auto"/>
            <w:bottom w:val="none" w:sz="0" w:space="0" w:color="auto"/>
            <w:right w:val="none" w:sz="0" w:space="0" w:color="auto"/>
          </w:divBdr>
        </w:div>
        <w:div w:id="529032620">
          <w:marLeft w:val="0"/>
          <w:marRight w:val="0"/>
          <w:marTop w:val="0"/>
          <w:marBottom w:val="0"/>
          <w:divBdr>
            <w:top w:val="none" w:sz="0" w:space="0" w:color="auto"/>
            <w:left w:val="none" w:sz="0" w:space="0" w:color="auto"/>
            <w:bottom w:val="none" w:sz="0" w:space="0" w:color="auto"/>
            <w:right w:val="none" w:sz="0" w:space="0" w:color="auto"/>
          </w:divBdr>
        </w:div>
        <w:div w:id="440295515">
          <w:marLeft w:val="0"/>
          <w:marRight w:val="0"/>
          <w:marTop w:val="0"/>
          <w:marBottom w:val="0"/>
          <w:divBdr>
            <w:top w:val="none" w:sz="0" w:space="0" w:color="auto"/>
            <w:left w:val="none" w:sz="0" w:space="0" w:color="auto"/>
            <w:bottom w:val="none" w:sz="0" w:space="0" w:color="auto"/>
            <w:right w:val="none" w:sz="0" w:space="0" w:color="auto"/>
          </w:divBdr>
        </w:div>
        <w:div w:id="716859410">
          <w:marLeft w:val="0"/>
          <w:marRight w:val="0"/>
          <w:marTop w:val="0"/>
          <w:marBottom w:val="0"/>
          <w:divBdr>
            <w:top w:val="none" w:sz="0" w:space="0" w:color="auto"/>
            <w:left w:val="none" w:sz="0" w:space="0" w:color="auto"/>
            <w:bottom w:val="none" w:sz="0" w:space="0" w:color="auto"/>
            <w:right w:val="none" w:sz="0" w:space="0" w:color="auto"/>
          </w:divBdr>
        </w:div>
        <w:div w:id="325667645">
          <w:marLeft w:val="0"/>
          <w:marRight w:val="0"/>
          <w:marTop w:val="0"/>
          <w:marBottom w:val="0"/>
          <w:divBdr>
            <w:top w:val="none" w:sz="0" w:space="0" w:color="auto"/>
            <w:left w:val="none" w:sz="0" w:space="0" w:color="auto"/>
            <w:bottom w:val="none" w:sz="0" w:space="0" w:color="auto"/>
            <w:right w:val="none" w:sz="0" w:space="0" w:color="auto"/>
          </w:divBdr>
        </w:div>
        <w:div w:id="54553680">
          <w:marLeft w:val="0"/>
          <w:marRight w:val="0"/>
          <w:marTop w:val="0"/>
          <w:marBottom w:val="0"/>
          <w:divBdr>
            <w:top w:val="none" w:sz="0" w:space="0" w:color="auto"/>
            <w:left w:val="none" w:sz="0" w:space="0" w:color="auto"/>
            <w:bottom w:val="none" w:sz="0" w:space="0" w:color="auto"/>
            <w:right w:val="none" w:sz="0" w:space="0" w:color="auto"/>
          </w:divBdr>
        </w:div>
        <w:div w:id="1574392816">
          <w:marLeft w:val="0"/>
          <w:marRight w:val="0"/>
          <w:marTop w:val="0"/>
          <w:marBottom w:val="0"/>
          <w:divBdr>
            <w:top w:val="none" w:sz="0" w:space="0" w:color="auto"/>
            <w:left w:val="none" w:sz="0" w:space="0" w:color="auto"/>
            <w:bottom w:val="none" w:sz="0" w:space="0" w:color="auto"/>
            <w:right w:val="none" w:sz="0" w:space="0" w:color="auto"/>
          </w:divBdr>
        </w:div>
        <w:div w:id="937566872">
          <w:marLeft w:val="0"/>
          <w:marRight w:val="0"/>
          <w:marTop w:val="0"/>
          <w:marBottom w:val="0"/>
          <w:divBdr>
            <w:top w:val="none" w:sz="0" w:space="0" w:color="auto"/>
            <w:left w:val="none" w:sz="0" w:space="0" w:color="auto"/>
            <w:bottom w:val="none" w:sz="0" w:space="0" w:color="auto"/>
            <w:right w:val="none" w:sz="0" w:space="0" w:color="auto"/>
          </w:divBdr>
        </w:div>
        <w:div w:id="894511211">
          <w:marLeft w:val="0"/>
          <w:marRight w:val="0"/>
          <w:marTop w:val="0"/>
          <w:marBottom w:val="0"/>
          <w:divBdr>
            <w:top w:val="none" w:sz="0" w:space="0" w:color="auto"/>
            <w:left w:val="none" w:sz="0" w:space="0" w:color="auto"/>
            <w:bottom w:val="none" w:sz="0" w:space="0" w:color="auto"/>
            <w:right w:val="none" w:sz="0" w:space="0" w:color="auto"/>
          </w:divBdr>
        </w:div>
        <w:div w:id="844704608">
          <w:marLeft w:val="0"/>
          <w:marRight w:val="0"/>
          <w:marTop w:val="0"/>
          <w:marBottom w:val="0"/>
          <w:divBdr>
            <w:top w:val="none" w:sz="0" w:space="0" w:color="auto"/>
            <w:left w:val="none" w:sz="0" w:space="0" w:color="auto"/>
            <w:bottom w:val="none" w:sz="0" w:space="0" w:color="auto"/>
            <w:right w:val="none" w:sz="0" w:space="0" w:color="auto"/>
          </w:divBdr>
        </w:div>
        <w:div w:id="167446133">
          <w:marLeft w:val="0"/>
          <w:marRight w:val="0"/>
          <w:marTop w:val="0"/>
          <w:marBottom w:val="0"/>
          <w:divBdr>
            <w:top w:val="none" w:sz="0" w:space="0" w:color="auto"/>
            <w:left w:val="none" w:sz="0" w:space="0" w:color="auto"/>
            <w:bottom w:val="none" w:sz="0" w:space="0" w:color="auto"/>
            <w:right w:val="none" w:sz="0" w:space="0" w:color="auto"/>
          </w:divBdr>
        </w:div>
        <w:div w:id="1303971142">
          <w:marLeft w:val="0"/>
          <w:marRight w:val="0"/>
          <w:marTop w:val="0"/>
          <w:marBottom w:val="0"/>
          <w:divBdr>
            <w:top w:val="none" w:sz="0" w:space="0" w:color="auto"/>
            <w:left w:val="none" w:sz="0" w:space="0" w:color="auto"/>
            <w:bottom w:val="none" w:sz="0" w:space="0" w:color="auto"/>
            <w:right w:val="none" w:sz="0" w:space="0" w:color="auto"/>
          </w:divBdr>
        </w:div>
        <w:div w:id="1556695302">
          <w:marLeft w:val="0"/>
          <w:marRight w:val="0"/>
          <w:marTop w:val="0"/>
          <w:marBottom w:val="0"/>
          <w:divBdr>
            <w:top w:val="none" w:sz="0" w:space="0" w:color="auto"/>
            <w:left w:val="none" w:sz="0" w:space="0" w:color="auto"/>
            <w:bottom w:val="none" w:sz="0" w:space="0" w:color="auto"/>
            <w:right w:val="none" w:sz="0" w:space="0" w:color="auto"/>
          </w:divBdr>
        </w:div>
        <w:div w:id="2026783296">
          <w:marLeft w:val="0"/>
          <w:marRight w:val="0"/>
          <w:marTop w:val="0"/>
          <w:marBottom w:val="0"/>
          <w:divBdr>
            <w:top w:val="none" w:sz="0" w:space="0" w:color="auto"/>
            <w:left w:val="none" w:sz="0" w:space="0" w:color="auto"/>
            <w:bottom w:val="none" w:sz="0" w:space="0" w:color="auto"/>
            <w:right w:val="none" w:sz="0" w:space="0" w:color="auto"/>
          </w:divBdr>
        </w:div>
        <w:div w:id="458691437">
          <w:marLeft w:val="0"/>
          <w:marRight w:val="0"/>
          <w:marTop w:val="0"/>
          <w:marBottom w:val="0"/>
          <w:divBdr>
            <w:top w:val="none" w:sz="0" w:space="0" w:color="auto"/>
            <w:left w:val="none" w:sz="0" w:space="0" w:color="auto"/>
            <w:bottom w:val="none" w:sz="0" w:space="0" w:color="auto"/>
            <w:right w:val="none" w:sz="0" w:space="0" w:color="auto"/>
          </w:divBdr>
        </w:div>
        <w:div w:id="1441608151">
          <w:marLeft w:val="0"/>
          <w:marRight w:val="0"/>
          <w:marTop w:val="0"/>
          <w:marBottom w:val="0"/>
          <w:divBdr>
            <w:top w:val="none" w:sz="0" w:space="0" w:color="auto"/>
            <w:left w:val="none" w:sz="0" w:space="0" w:color="auto"/>
            <w:bottom w:val="none" w:sz="0" w:space="0" w:color="auto"/>
            <w:right w:val="none" w:sz="0" w:space="0" w:color="auto"/>
          </w:divBdr>
        </w:div>
        <w:div w:id="405106741">
          <w:marLeft w:val="0"/>
          <w:marRight w:val="0"/>
          <w:marTop w:val="0"/>
          <w:marBottom w:val="0"/>
          <w:divBdr>
            <w:top w:val="none" w:sz="0" w:space="0" w:color="auto"/>
            <w:left w:val="none" w:sz="0" w:space="0" w:color="auto"/>
            <w:bottom w:val="none" w:sz="0" w:space="0" w:color="auto"/>
            <w:right w:val="none" w:sz="0" w:space="0" w:color="auto"/>
          </w:divBdr>
        </w:div>
        <w:div w:id="1547257846">
          <w:marLeft w:val="0"/>
          <w:marRight w:val="0"/>
          <w:marTop w:val="0"/>
          <w:marBottom w:val="0"/>
          <w:divBdr>
            <w:top w:val="none" w:sz="0" w:space="0" w:color="auto"/>
            <w:left w:val="none" w:sz="0" w:space="0" w:color="auto"/>
            <w:bottom w:val="none" w:sz="0" w:space="0" w:color="auto"/>
            <w:right w:val="none" w:sz="0" w:space="0" w:color="auto"/>
          </w:divBdr>
        </w:div>
        <w:div w:id="1013149097">
          <w:marLeft w:val="0"/>
          <w:marRight w:val="0"/>
          <w:marTop w:val="0"/>
          <w:marBottom w:val="0"/>
          <w:divBdr>
            <w:top w:val="none" w:sz="0" w:space="0" w:color="auto"/>
            <w:left w:val="none" w:sz="0" w:space="0" w:color="auto"/>
            <w:bottom w:val="none" w:sz="0" w:space="0" w:color="auto"/>
            <w:right w:val="none" w:sz="0" w:space="0" w:color="auto"/>
          </w:divBdr>
        </w:div>
        <w:div w:id="183402476">
          <w:marLeft w:val="0"/>
          <w:marRight w:val="0"/>
          <w:marTop w:val="0"/>
          <w:marBottom w:val="0"/>
          <w:divBdr>
            <w:top w:val="none" w:sz="0" w:space="0" w:color="auto"/>
            <w:left w:val="none" w:sz="0" w:space="0" w:color="auto"/>
            <w:bottom w:val="none" w:sz="0" w:space="0" w:color="auto"/>
            <w:right w:val="none" w:sz="0" w:space="0" w:color="auto"/>
          </w:divBdr>
        </w:div>
        <w:div w:id="821235424">
          <w:marLeft w:val="0"/>
          <w:marRight w:val="0"/>
          <w:marTop w:val="0"/>
          <w:marBottom w:val="0"/>
          <w:divBdr>
            <w:top w:val="none" w:sz="0" w:space="0" w:color="auto"/>
            <w:left w:val="none" w:sz="0" w:space="0" w:color="auto"/>
            <w:bottom w:val="none" w:sz="0" w:space="0" w:color="auto"/>
            <w:right w:val="none" w:sz="0" w:space="0" w:color="auto"/>
          </w:divBdr>
        </w:div>
        <w:div w:id="725646660">
          <w:marLeft w:val="0"/>
          <w:marRight w:val="0"/>
          <w:marTop w:val="0"/>
          <w:marBottom w:val="0"/>
          <w:divBdr>
            <w:top w:val="none" w:sz="0" w:space="0" w:color="auto"/>
            <w:left w:val="none" w:sz="0" w:space="0" w:color="auto"/>
            <w:bottom w:val="none" w:sz="0" w:space="0" w:color="auto"/>
            <w:right w:val="none" w:sz="0" w:space="0" w:color="auto"/>
          </w:divBdr>
        </w:div>
        <w:div w:id="943029370">
          <w:marLeft w:val="0"/>
          <w:marRight w:val="0"/>
          <w:marTop w:val="0"/>
          <w:marBottom w:val="0"/>
          <w:divBdr>
            <w:top w:val="none" w:sz="0" w:space="0" w:color="auto"/>
            <w:left w:val="none" w:sz="0" w:space="0" w:color="auto"/>
            <w:bottom w:val="none" w:sz="0" w:space="0" w:color="auto"/>
            <w:right w:val="none" w:sz="0" w:space="0" w:color="auto"/>
          </w:divBdr>
        </w:div>
        <w:div w:id="120340793">
          <w:marLeft w:val="0"/>
          <w:marRight w:val="0"/>
          <w:marTop w:val="0"/>
          <w:marBottom w:val="0"/>
          <w:divBdr>
            <w:top w:val="none" w:sz="0" w:space="0" w:color="auto"/>
            <w:left w:val="none" w:sz="0" w:space="0" w:color="auto"/>
            <w:bottom w:val="none" w:sz="0" w:space="0" w:color="auto"/>
            <w:right w:val="none" w:sz="0" w:space="0" w:color="auto"/>
          </w:divBdr>
        </w:div>
        <w:div w:id="8658259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iroshi-yasuda@showa-university-fujigaoka.gr.jp" TargetMode="External"/><Relationship Id="rId10"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5861</Words>
  <Characters>33410</Characters>
  <Application>Microsoft Macintosh Word</Application>
  <DocSecurity>0</DocSecurity>
  <Lines>278</Lines>
  <Paragraphs>78</Paragraphs>
  <ScaleCrop>false</ScaleCrop>
  <Company>聖マリアンナ医科大学</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宏</dc:creator>
  <cp:keywords/>
  <dc:description/>
  <cp:lastModifiedBy>NA MA</cp:lastModifiedBy>
  <cp:revision>2</cp:revision>
  <cp:lastPrinted>2014-09-26T09:42:00Z</cp:lastPrinted>
  <dcterms:created xsi:type="dcterms:W3CDTF">2015-01-16T16:14:00Z</dcterms:created>
  <dcterms:modified xsi:type="dcterms:W3CDTF">2015-01-16T16:14:00Z</dcterms:modified>
</cp:coreProperties>
</file>