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6438" w14:textId="77777777" w:rsidR="0011526F" w:rsidRPr="003559D4" w:rsidRDefault="0011526F" w:rsidP="00651BD2">
      <w:pPr>
        <w:widowControl w:val="0"/>
        <w:spacing w:after="0" w:line="360" w:lineRule="auto"/>
        <w:jc w:val="both"/>
        <w:rPr>
          <w:rFonts w:ascii="Book Antiqua" w:hAnsi="Book Antiqua" w:cs="Tahoma"/>
          <w:b/>
          <w:color w:val="000000"/>
          <w:kern w:val="2"/>
          <w:sz w:val="24"/>
          <w:szCs w:val="24"/>
          <w:lang w:val="en-US" w:eastAsia="zh-CN"/>
        </w:rPr>
      </w:pPr>
      <w:bookmarkStart w:id="0" w:name="OLE_LINK313"/>
      <w:bookmarkStart w:id="1" w:name="OLE_LINK401"/>
      <w:bookmarkStart w:id="2" w:name="OLE_LINK452"/>
      <w:bookmarkStart w:id="3" w:name="OLE_LINK319"/>
      <w:bookmarkStart w:id="4" w:name="OLE_LINK320"/>
      <w:bookmarkStart w:id="5" w:name="OLE_LINK355"/>
      <w:bookmarkStart w:id="6" w:name="OLE_LINK403"/>
      <w:bookmarkStart w:id="7" w:name="_GoBack"/>
      <w:bookmarkEnd w:id="7"/>
      <w:r w:rsidRPr="003559D4">
        <w:rPr>
          <w:rFonts w:ascii="Book Antiqua" w:hAnsi="Book Antiqua" w:cs="Tahoma"/>
          <w:b/>
          <w:color w:val="0000FF"/>
          <w:kern w:val="2"/>
          <w:sz w:val="24"/>
          <w:szCs w:val="24"/>
          <w:lang w:val="en-US" w:eastAsia="zh-CN"/>
        </w:rPr>
        <w:t xml:space="preserve">Name of journal: </w:t>
      </w:r>
      <w:r w:rsidRPr="003559D4">
        <w:rPr>
          <w:rFonts w:ascii="Book Antiqua" w:hAnsi="Book Antiqua" w:cs="Tahoma"/>
          <w:b/>
          <w:color w:val="000000"/>
          <w:kern w:val="2"/>
          <w:sz w:val="24"/>
          <w:szCs w:val="24"/>
          <w:lang w:val="en-US" w:eastAsia="zh-CN"/>
        </w:rPr>
        <w:t>World Journal of Gastroenterology</w:t>
      </w:r>
    </w:p>
    <w:p w14:paraId="05646348" w14:textId="45E94D83" w:rsidR="0011526F" w:rsidRPr="003559D4" w:rsidRDefault="0011526F" w:rsidP="00651BD2">
      <w:pPr>
        <w:widowControl w:val="0"/>
        <w:spacing w:after="0" w:line="360" w:lineRule="auto"/>
        <w:jc w:val="both"/>
        <w:rPr>
          <w:rFonts w:ascii="Book Antiqua" w:hAnsi="Book Antiqua" w:cs="Tahoma"/>
          <w:b/>
          <w:color w:val="0000FF"/>
          <w:kern w:val="2"/>
          <w:sz w:val="24"/>
          <w:szCs w:val="24"/>
          <w:lang w:val="en-US" w:eastAsia="zh-CN"/>
        </w:rPr>
      </w:pPr>
      <w:r w:rsidRPr="003559D4">
        <w:rPr>
          <w:rFonts w:ascii="Book Antiqua" w:hAnsi="Book Antiqua" w:cs="Tahoma"/>
          <w:b/>
          <w:color w:val="0000FF"/>
          <w:kern w:val="2"/>
          <w:sz w:val="24"/>
          <w:szCs w:val="24"/>
          <w:lang w:val="en-US" w:eastAsia="zh-CN"/>
        </w:rPr>
        <w:t>ESPS Manuscript NO:</w:t>
      </w:r>
      <w:r w:rsidR="00F826C6">
        <w:rPr>
          <w:rFonts w:ascii="Book Antiqua" w:hAnsi="Book Antiqua" w:cs="Tahoma" w:hint="eastAsia"/>
          <w:b/>
          <w:color w:val="0000FF"/>
          <w:kern w:val="2"/>
          <w:sz w:val="24"/>
          <w:szCs w:val="24"/>
          <w:lang w:val="en-US" w:eastAsia="zh-CN"/>
        </w:rPr>
        <w:t xml:space="preserve"> </w:t>
      </w:r>
      <w:r w:rsidRPr="003559D4">
        <w:rPr>
          <w:rFonts w:ascii="Book Antiqua" w:hAnsi="Book Antiqua" w:cs="Tahoma"/>
          <w:b/>
          <w:color w:val="0000FF"/>
          <w:kern w:val="2"/>
          <w:sz w:val="24"/>
          <w:szCs w:val="24"/>
          <w:lang w:val="en-US" w:eastAsia="zh-CN"/>
        </w:rPr>
        <w:t>14473</w:t>
      </w:r>
    </w:p>
    <w:p w14:paraId="774177B3" w14:textId="1A66DA9C" w:rsidR="0011526F" w:rsidRPr="003559D4" w:rsidRDefault="0011526F" w:rsidP="00651BD2">
      <w:pPr>
        <w:widowControl w:val="0"/>
        <w:spacing w:after="0" w:line="360" w:lineRule="auto"/>
        <w:jc w:val="both"/>
        <w:rPr>
          <w:rFonts w:ascii="Book Antiqua" w:hAnsi="Book Antiqua"/>
          <w:b/>
          <w:kern w:val="2"/>
          <w:sz w:val="24"/>
          <w:szCs w:val="24"/>
          <w:lang w:val="en-US" w:eastAsia="zh-CN"/>
        </w:rPr>
      </w:pPr>
      <w:r w:rsidRPr="003559D4">
        <w:rPr>
          <w:rFonts w:ascii="Book Antiqua" w:hAnsi="Book Antiqua" w:cs="Tahoma"/>
          <w:b/>
          <w:color w:val="0000FF"/>
          <w:kern w:val="2"/>
          <w:sz w:val="24"/>
          <w:szCs w:val="24"/>
          <w:lang w:val="en-US" w:eastAsia="zh-CN"/>
        </w:rPr>
        <w:t>Columns:</w:t>
      </w:r>
      <w:r w:rsidR="003559D4" w:rsidRPr="003559D4">
        <w:rPr>
          <w:rFonts w:ascii="Book Antiqua" w:hAnsi="Book Antiqua"/>
          <w:kern w:val="2"/>
          <w:sz w:val="24"/>
          <w:szCs w:val="24"/>
          <w:lang w:val="en-US" w:eastAsia="zh-CN"/>
        </w:rPr>
        <w:t xml:space="preserve"> </w:t>
      </w:r>
      <w:r w:rsidR="003559D4" w:rsidRPr="003559D4">
        <w:rPr>
          <w:rFonts w:ascii="Book Antiqua" w:hAnsi="Book Antiqua"/>
          <w:b/>
          <w:kern w:val="2"/>
          <w:sz w:val="24"/>
          <w:szCs w:val="24"/>
          <w:lang w:val="en-US" w:eastAsia="zh-CN"/>
        </w:rPr>
        <w:t>CASE REPORT</w:t>
      </w:r>
    </w:p>
    <w:p w14:paraId="71AAE24D" w14:textId="77777777" w:rsidR="00777C87" w:rsidRPr="003559D4" w:rsidRDefault="00777C87" w:rsidP="00651BD2">
      <w:pPr>
        <w:widowControl w:val="0"/>
        <w:spacing w:after="0" w:line="360" w:lineRule="auto"/>
        <w:jc w:val="both"/>
        <w:rPr>
          <w:rFonts w:ascii="Book Antiqua" w:hAnsi="Book Antiqua" w:cs="Tahoma"/>
          <w:b/>
          <w:color w:val="000000"/>
          <w:kern w:val="2"/>
          <w:sz w:val="24"/>
          <w:szCs w:val="24"/>
          <w:lang w:val="en-US" w:eastAsia="zh-CN"/>
        </w:rPr>
      </w:pPr>
    </w:p>
    <w:p w14:paraId="259A1739" w14:textId="3E959F98" w:rsidR="00FF2959" w:rsidRDefault="00FF2959" w:rsidP="00651BD2">
      <w:pPr>
        <w:spacing w:after="0" w:line="360" w:lineRule="auto"/>
        <w:jc w:val="both"/>
        <w:rPr>
          <w:rFonts w:ascii="Book Antiqua" w:hAnsi="Book Antiqua" w:cs="Arial"/>
          <w:b/>
          <w:sz w:val="24"/>
          <w:szCs w:val="24"/>
          <w:lang w:val="en-US" w:eastAsia="zh-CN"/>
        </w:rPr>
      </w:pPr>
      <w:bookmarkStart w:id="8" w:name="OLE_LINK119"/>
      <w:bookmarkStart w:id="9" w:name="OLE_LINK120"/>
      <w:bookmarkStart w:id="10" w:name="OLE_LINK153"/>
      <w:bookmarkStart w:id="11" w:name="OLE_LINK154"/>
      <w:bookmarkEnd w:id="0"/>
      <w:bookmarkEnd w:id="1"/>
      <w:bookmarkEnd w:id="2"/>
      <w:bookmarkEnd w:id="3"/>
      <w:bookmarkEnd w:id="4"/>
      <w:bookmarkEnd w:id="5"/>
      <w:bookmarkEnd w:id="6"/>
      <w:r w:rsidRPr="003559D4">
        <w:rPr>
          <w:rFonts w:ascii="Book Antiqua" w:hAnsi="Book Antiqua" w:cs="Arial"/>
          <w:b/>
          <w:caps/>
          <w:sz w:val="24"/>
          <w:szCs w:val="24"/>
          <w:lang w:val="en-US"/>
        </w:rPr>
        <w:t>A</w:t>
      </w:r>
      <w:r w:rsidR="0011526F" w:rsidRPr="003559D4">
        <w:rPr>
          <w:rFonts w:ascii="Book Antiqua" w:hAnsi="Book Antiqua" w:cs="Arial"/>
          <w:b/>
          <w:sz w:val="24"/>
          <w:szCs w:val="24"/>
          <w:lang w:val="en-US"/>
        </w:rPr>
        <w:t xml:space="preserve">utoimmune hepatitis and </w:t>
      </w:r>
      <w:r w:rsidR="005D0B7D" w:rsidRPr="005D0B7D">
        <w:rPr>
          <w:rFonts w:ascii="Book Antiqua" w:hAnsi="Book Antiqua" w:cs="Arial"/>
          <w:b/>
          <w:sz w:val="24"/>
          <w:szCs w:val="24"/>
          <w:lang w:val="en-US"/>
        </w:rPr>
        <w:t>anti-tumor necrosis factor</w:t>
      </w:r>
      <w:r w:rsidR="005D0B7D">
        <w:rPr>
          <w:rFonts w:ascii="Book Antiqua" w:hAnsi="Book Antiqua" w:cs="Arial" w:hint="eastAsia"/>
          <w:b/>
          <w:sz w:val="24"/>
          <w:szCs w:val="24"/>
          <w:lang w:val="en-US" w:eastAsia="zh-CN"/>
        </w:rPr>
        <w:t xml:space="preserve"> </w:t>
      </w:r>
      <w:r w:rsidR="005D0B7D" w:rsidRPr="005D0B7D">
        <w:rPr>
          <w:rFonts w:ascii="Book Antiqua" w:hAnsi="Book Antiqua" w:cs="Arial"/>
          <w:b/>
          <w:sz w:val="24"/>
          <w:szCs w:val="24"/>
          <w:lang w:val="en-US"/>
        </w:rPr>
        <w:t>alpha</w:t>
      </w:r>
      <w:r w:rsidR="0011526F" w:rsidRPr="003559D4">
        <w:rPr>
          <w:rFonts w:ascii="Book Antiqua" w:hAnsi="Book Antiqua" w:cs="Arial"/>
          <w:b/>
          <w:sz w:val="24"/>
          <w:szCs w:val="24"/>
          <w:lang w:val="en-US"/>
        </w:rPr>
        <w:t xml:space="preserve"> therapy</w:t>
      </w:r>
      <w:bookmarkEnd w:id="8"/>
      <w:bookmarkEnd w:id="9"/>
      <w:r w:rsidRPr="003559D4">
        <w:rPr>
          <w:rFonts w:ascii="Book Antiqua" w:hAnsi="Book Antiqua" w:cs="Arial"/>
          <w:b/>
          <w:caps/>
          <w:sz w:val="24"/>
          <w:szCs w:val="24"/>
          <w:lang w:val="en-US"/>
        </w:rPr>
        <w:t xml:space="preserve">: A </w:t>
      </w:r>
      <w:r w:rsidR="0011526F" w:rsidRPr="003559D4">
        <w:rPr>
          <w:rFonts w:ascii="Book Antiqua" w:hAnsi="Book Antiqua" w:cs="Arial"/>
          <w:b/>
          <w:sz w:val="24"/>
          <w:szCs w:val="24"/>
          <w:lang w:val="en-US"/>
        </w:rPr>
        <w:t>single center report of 8 cases</w:t>
      </w:r>
    </w:p>
    <w:bookmarkEnd w:id="10"/>
    <w:bookmarkEnd w:id="11"/>
    <w:p w14:paraId="1C209469" w14:textId="77777777" w:rsidR="003559D4" w:rsidRDefault="003559D4" w:rsidP="00651BD2">
      <w:pPr>
        <w:spacing w:after="0" w:line="360" w:lineRule="auto"/>
        <w:jc w:val="both"/>
        <w:rPr>
          <w:rFonts w:ascii="Book Antiqua" w:hAnsi="Book Antiqua" w:cs="Arial"/>
          <w:b/>
          <w:sz w:val="24"/>
          <w:szCs w:val="24"/>
          <w:lang w:val="en-US" w:eastAsia="zh-CN"/>
        </w:rPr>
      </w:pPr>
    </w:p>
    <w:p w14:paraId="1D25EE8F" w14:textId="7A4950AC" w:rsidR="003559D4" w:rsidRDefault="003559D4" w:rsidP="00651BD2">
      <w:pPr>
        <w:spacing w:after="0" w:line="360" w:lineRule="auto"/>
        <w:jc w:val="both"/>
        <w:rPr>
          <w:rFonts w:ascii="Book Antiqua" w:hAnsi="Book Antiqua" w:cs="Arial"/>
          <w:sz w:val="24"/>
          <w:szCs w:val="24"/>
          <w:lang w:val="en-US" w:eastAsia="zh-CN"/>
        </w:rPr>
      </w:pPr>
      <w:r w:rsidRPr="003559D4">
        <w:rPr>
          <w:rFonts w:ascii="Book Antiqua" w:hAnsi="Book Antiqua" w:cs="Arial"/>
          <w:sz w:val="24"/>
          <w:szCs w:val="24"/>
          <w:lang w:val="en-US"/>
        </w:rPr>
        <w:t>Susana</w:t>
      </w:r>
      <w:r>
        <w:rPr>
          <w:rFonts w:ascii="Book Antiqua" w:hAnsi="Book Antiqua" w:cs="Arial" w:hint="eastAsia"/>
          <w:sz w:val="24"/>
          <w:szCs w:val="24"/>
          <w:lang w:val="en-US" w:eastAsia="zh-CN"/>
        </w:rPr>
        <w:t xml:space="preserve"> R </w:t>
      </w:r>
      <w:r w:rsidRPr="003559D4">
        <w:rPr>
          <w:rFonts w:ascii="Book Antiqua" w:hAnsi="Book Antiqua" w:cs="Arial" w:hint="eastAsia"/>
          <w:i/>
          <w:sz w:val="24"/>
          <w:szCs w:val="24"/>
          <w:lang w:val="en-US" w:eastAsia="zh-CN"/>
        </w:rPr>
        <w:t>et al</w:t>
      </w:r>
      <w:r>
        <w:rPr>
          <w:rFonts w:ascii="Book Antiqua" w:hAnsi="Book Antiqua" w:cs="Arial" w:hint="eastAsia"/>
          <w:sz w:val="24"/>
          <w:szCs w:val="24"/>
          <w:lang w:val="en-US" w:eastAsia="zh-CN"/>
        </w:rPr>
        <w:t>.</w:t>
      </w:r>
      <w:r w:rsidRPr="003559D4">
        <w:rPr>
          <w:rFonts w:ascii="Book Antiqua" w:hAnsi="Book Antiqua" w:cs="Arial" w:hint="eastAsia"/>
          <w:sz w:val="24"/>
          <w:szCs w:val="24"/>
          <w:lang w:val="en-US" w:eastAsia="zh-CN"/>
        </w:rPr>
        <w:t xml:space="preserve"> </w:t>
      </w:r>
      <w:r w:rsidRPr="003559D4">
        <w:rPr>
          <w:rFonts w:ascii="Book Antiqua" w:hAnsi="Book Antiqua" w:cs="Arial"/>
          <w:caps/>
          <w:sz w:val="24"/>
          <w:szCs w:val="24"/>
          <w:lang w:val="en-US"/>
        </w:rPr>
        <w:t>A</w:t>
      </w:r>
      <w:r w:rsidRPr="003559D4">
        <w:rPr>
          <w:rFonts w:ascii="Book Antiqua" w:hAnsi="Book Antiqua" w:cs="Arial"/>
          <w:sz w:val="24"/>
          <w:szCs w:val="24"/>
          <w:lang w:val="en-US"/>
        </w:rPr>
        <w:t>utoimmune hepatitis and anti-TNF</w:t>
      </w:r>
      <w:r w:rsidRPr="003559D4">
        <w:rPr>
          <w:rFonts w:ascii="Book Antiqua" w:hAnsi="Book Antiqua"/>
          <w:sz w:val="24"/>
          <w:szCs w:val="24"/>
          <w:lang w:val="en-US"/>
        </w:rPr>
        <w:t>α</w:t>
      </w:r>
      <w:r w:rsidRPr="003559D4">
        <w:rPr>
          <w:rFonts w:ascii="Book Antiqua" w:hAnsi="Book Antiqua" w:cs="Arial"/>
          <w:sz w:val="24"/>
          <w:szCs w:val="24"/>
          <w:lang w:val="en-US"/>
        </w:rPr>
        <w:t xml:space="preserve"> therapy</w:t>
      </w:r>
    </w:p>
    <w:p w14:paraId="28EA3CEA" w14:textId="77777777" w:rsidR="003559D4" w:rsidRPr="003559D4" w:rsidRDefault="003559D4" w:rsidP="00651BD2">
      <w:pPr>
        <w:spacing w:after="0" w:line="360" w:lineRule="auto"/>
        <w:jc w:val="both"/>
        <w:rPr>
          <w:rFonts w:ascii="Book Antiqua" w:hAnsi="Book Antiqua" w:cs="Arial"/>
          <w:b/>
          <w:sz w:val="24"/>
          <w:szCs w:val="24"/>
          <w:lang w:val="en-US" w:eastAsia="zh-CN"/>
        </w:rPr>
      </w:pPr>
    </w:p>
    <w:p w14:paraId="3C3A4964" w14:textId="59D8C705" w:rsidR="00F26144" w:rsidRPr="003559D4" w:rsidRDefault="009B058B" w:rsidP="00651BD2">
      <w:pPr>
        <w:spacing w:after="0" w:line="360" w:lineRule="auto"/>
        <w:jc w:val="both"/>
        <w:rPr>
          <w:rFonts w:ascii="Book Antiqua" w:hAnsi="Book Antiqua" w:cs="Arial"/>
          <w:sz w:val="24"/>
          <w:szCs w:val="24"/>
          <w:lang w:val="en-US" w:eastAsia="zh-CN"/>
        </w:rPr>
      </w:pPr>
      <w:bookmarkStart w:id="12" w:name="OLE_LINK507"/>
      <w:bookmarkStart w:id="13" w:name="OLE_LINK508"/>
      <w:r>
        <w:rPr>
          <w:rFonts w:ascii="Book Antiqua" w:hAnsi="Book Antiqua" w:cs="Arial"/>
          <w:sz w:val="24"/>
          <w:szCs w:val="24"/>
          <w:lang w:val="en-US"/>
        </w:rPr>
        <w:t>Susana</w:t>
      </w:r>
      <w:r w:rsidR="00972924">
        <w:rPr>
          <w:rFonts w:ascii="Book Antiqua" w:hAnsi="Book Antiqua" w:cs="Arial" w:hint="eastAsia"/>
          <w:sz w:val="24"/>
          <w:szCs w:val="24"/>
          <w:lang w:val="en-US" w:eastAsia="zh-CN"/>
        </w:rPr>
        <w:t xml:space="preserve"> </w:t>
      </w:r>
      <w:r w:rsidR="00F26144" w:rsidRPr="003559D4">
        <w:rPr>
          <w:rFonts w:ascii="Book Antiqua" w:hAnsi="Book Antiqua" w:cs="Arial"/>
          <w:sz w:val="24"/>
          <w:szCs w:val="24"/>
          <w:lang w:val="en-US"/>
        </w:rPr>
        <w:t xml:space="preserve">Rodrigues, </w:t>
      </w:r>
      <w:r w:rsidR="00972924" w:rsidRPr="003559D4">
        <w:rPr>
          <w:rFonts w:ascii="Book Antiqua" w:hAnsi="Book Antiqua" w:cs="Arial"/>
          <w:sz w:val="24"/>
          <w:szCs w:val="24"/>
          <w:lang w:val="en-US"/>
        </w:rPr>
        <w:t xml:space="preserve">Susana </w:t>
      </w:r>
      <w:r w:rsidR="00F26144" w:rsidRPr="003559D4">
        <w:rPr>
          <w:rFonts w:ascii="Book Antiqua" w:hAnsi="Book Antiqua" w:cs="Arial"/>
          <w:sz w:val="24"/>
          <w:szCs w:val="24"/>
          <w:lang w:val="en-US"/>
        </w:rPr>
        <w:t xml:space="preserve">Lopes, </w:t>
      </w:r>
      <w:r w:rsidR="00972924" w:rsidRPr="003559D4">
        <w:rPr>
          <w:rFonts w:ascii="Book Antiqua" w:hAnsi="Book Antiqua" w:cs="Arial"/>
          <w:sz w:val="24"/>
          <w:szCs w:val="24"/>
          <w:lang w:val="en-US"/>
        </w:rPr>
        <w:t xml:space="preserve">Fernando </w:t>
      </w:r>
      <w:proofErr w:type="spellStart"/>
      <w:r w:rsidR="00F26144" w:rsidRPr="003559D4">
        <w:rPr>
          <w:rFonts w:ascii="Book Antiqua" w:hAnsi="Book Antiqua" w:cs="Arial"/>
          <w:sz w:val="24"/>
          <w:szCs w:val="24"/>
          <w:lang w:val="en-US"/>
        </w:rPr>
        <w:t>Magro</w:t>
      </w:r>
      <w:proofErr w:type="spellEnd"/>
      <w:r w:rsidR="00F26144" w:rsidRPr="003559D4">
        <w:rPr>
          <w:rFonts w:ascii="Book Antiqua" w:hAnsi="Book Antiqua" w:cs="Arial"/>
          <w:sz w:val="24"/>
          <w:szCs w:val="24"/>
          <w:lang w:val="en-US"/>
        </w:rPr>
        <w:t xml:space="preserve">, </w:t>
      </w:r>
      <w:proofErr w:type="spellStart"/>
      <w:r w:rsidR="00972924" w:rsidRPr="003559D4">
        <w:rPr>
          <w:rFonts w:ascii="Book Antiqua" w:hAnsi="Book Antiqua" w:cs="Arial"/>
          <w:sz w:val="24"/>
          <w:szCs w:val="24"/>
          <w:lang w:val="en-US"/>
        </w:rPr>
        <w:t>Hélder</w:t>
      </w:r>
      <w:proofErr w:type="spellEnd"/>
      <w:r w:rsidR="00972924" w:rsidRPr="003559D4">
        <w:rPr>
          <w:rFonts w:ascii="Book Antiqua" w:hAnsi="Book Antiqua" w:cs="Arial"/>
          <w:sz w:val="24"/>
          <w:szCs w:val="24"/>
          <w:lang w:val="en-US"/>
        </w:rPr>
        <w:t xml:space="preserve"> </w:t>
      </w:r>
      <w:r w:rsidR="00F26144" w:rsidRPr="003559D4">
        <w:rPr>
          <w:rFonts w:ascii="Book Antiqua" w:hAnsi="Book Antiqua" w:cs="Arial"/>
          <w:sz w:val="24"/>
          <w:szCs w:val="24"/>
          <w:lang w:val="en-US"/>
        </w:rPr>
        <w:t xml:space="preserve">Cardoso, </w:t>
      </w:r>
      <w:r w:rsidR="00972924" w:rsidRPr="003559D4">
        <w:rPr>
          <w:rFonts w:ascii="Book Antiqua" w:hAnsi="Book Antiqua" w:cs="Arial"/>
          <w:sz w:val="24"/>
          <w:szCs w:val="24"/>
          <w:lang w:val="en-US"/>
        </w:rPr>
        <w:t xml:space="preserve">Ana Maria </w:t>
      </w:r>
      <w:proofErr w:type="spellStart"/>
      <w:r w:rsidR="00F26144" w:rsidRPr="003559D4">
        <w:rPr>
          <w:rFonts w:ascii="Book Antiqua" w:hAnsi="Book Antiqua" w:cs="Arial"/>
          <w:sz w:val="24"/>
          <w:szCs w:val="24"/>
          <w:lang w:val="en-US"/>
        </w:rPr>
        <w:t>Horta</w:t>
      </w:r>
      <w:proofErr w:type="spellEnd"/>
      <w:r w:rsidR="00F26144" w:rsidRPr="003559D4">
        <w:rPr>
          <w:rFonts w:ascii="Book Antiqua" w:hAnsi="Book Antiqua" w:cs="Arial"/>
          <w:sz w:val="24"/>
          <w:szCs w:val="24"/>
          <w:lang w:val="en-US"/>
        </w:rPr>
        <w:t xml:space="preserve"> e Vale, </w:t>
      </w:r>
      <w:r w:rsidR="00972924" w:rsidRPr="003559D4">
        <w:rPr>
          <w:rFonts w:ascii="Book Antiqua" w:hAnsi="Book Antiqua" w:cs="Arial"/>
          <w:sz w:val="24"/>
          <w:szCs w:val="24"/>
          <w:lang w:val="en-US"/>
        </w:rPr>
        <w:t xml:space="preserve">Margarida </w:t>
      </w:r>
      <w:r w:rsidR="00F26144" w:rsidRPr="003559D4">
        <w:rPr>
          <w:rFonts w:ascii="Book Antiqua" w:hAnsi="Book Antiqua" w:cs="Arial"/>
          <w:sz w:val="24"/>
          <w:szCs w:val="24"/>
          <w:lang w:val="en-US"/>
        </w:rPr>
        <w:t xml:space="preserve">Marques, </w:t>
      </w:r>
      <w:r w:rsidR="00972924" w:rsidRPr="003559D4">
        <w:rPr>
          <w:rFonts w:ascii="Book Antiqua" w:hAnsi="Book Antiqua" w:cs="Arial"/>
          <w:sz w:val="24"/>
          <w:szCs w:val="24"/>
          <w:lang w:val="en-US"/>
        </w:rPr>
        <w:t xml:space="preserve">Eva </w:t>
      </w:r>
      <w:proofErr w:type="spellStart"/>
      <w:r w:rsidR="00F26144" w:rsidRPr="003559D4">
        <w:rPr>
          <w:rFonts w:ascii="Book Antiqua" w:hAnsi="Book Antiqua" w:cs="Arial"/>
          <w:sz w:val="24"/>
          <w:szCs w:val="24"/>
          <w:lang w:val="en-US"/>
        </w:rPr>
        <w:t>Mariz</w:t>
      </w:r>
      <w:proofErr w:type="spellEnd"/>
      <w:r w:rsidR="00F26144" w:rsidRPr="003559D4">
        <w:rPr>
          <w:rFonts w:ascii="Book Antiqua" w:hAnsi="Book Antiqua" w:cs="Arial"/>
          <w:sz w:val="24"/>
          <w:szCs w:val="24"/>
          <w:lang w:val="en-US"/>
        </w:rPr>
        <w:t xml:space="preserve">, </w:t>
      </w:r>
      <w:r w:rsidR="00972924" w:rsidRPr="003559D4">
        <w:rPr>
          <w:rFonts w:ascii="Book Antiqua" w:hAnsi="Book Antiqua" w:cs="Arial"/>
          <w:sz w:val="24"/>
          <w:szCs w:val="24"/>
          <w:lang w:val="en-US"/>
        </w:rPr>
        <w:t xml:space="preserve">Miguel </w:t>
      </w:r>
      <w:proofErr w:type="spellStart"/>
      <w:r w:rsidR="00F26144" w:rsidRPr="003559D4">
        <w:rPr>
          <w:rFonts w:ascii="Book Antiqua" w:hAnsi="Book Antiqua" w:cs="Arial"/>
          <w:sz w:val="24"/>
          <w:szCs w:val="24"/>
          <w:lang w:val="en-US"/>
        </w:rPr>
        <w:t>Bernardes</w:t>
      </w:r>
      <w:proofErr w:type="spellEnd"/>
      <w:r w:rsidR="00F26144" w:rsidRPr="003559D4">
        <w:rPr>
          <w:rFonts w:ascii="Book Antiqua" w:hAnsi="Book Antiqua" w:cs="Arial"/>
          <w:sz w:val="24"/>
          <w:szCs w:val="24"/>
          <w:lang w:val="en-US"/>
        </w:rPr>
        <w:t>,</w:t>
      </w:r>
      <w:r w:rsidR="00972924" w:rsidRPr="00972924">
        <w:rPr>
          <w:rFonts w:ascii="Book Antiqua" w:hAnsi="Book Antiqua" w:cs="Arial"/>
          <w:sz w:val="24"/>
          <w:szCs w:val="24"/>
          <w:lang w:val="en-US"/>
        </w:rPr>
        <w:t xml:space="preserve"> </w:t>
      </w:r>
      <w:r w:rsidR="00972924" w:rsidRPr="003559D4">
        <w:rPr>
          <w:rFonts w:ascii="Book Antiqua" w:hAnsi="Book Antiqua" w:cs="Arial"/>
          <w:sz w:val="24"/>
          <w:szCs w:val="24"/>
          <w:lang w:val="en-US"/>
        </w:rPr>
        <w:t>Joanne</w:t>
      </w:r>
      <w:r w:rsidR="00F26144" w:rsidRPr="003559D4">
        <w:rPr>
          <w:rFonts w:ascii="Book Antiqua" w:hAnsi="Book Antiqua" w:cs="Arial"/>
          <w:sz w:val="24"/>
          <w:szCs w:val="24"/>
          <w:lang w:val="en-US"/>
        </w:rPr>
        <w:t xml:space="preserve"> Lopes, </w:t>
      </w:r>
      <w:proofErr w:type="spellStart"/>
      <w:r w:rsidR="00972924" w:rsidRPr="003559D4">
        <w:rPr>
          <w:rFonts w:ascii="Book Antiqua" w:hAnsi="Book Antiqua" w:cs="Arial"/>
          <w:sz w:val="24"/>
          <w:szCs w:val="24"/>
          <w:lang w:val="en-US"/>
        </w:rPr>
        <w:t>Fátima</w:t>
      </w:r>
      <w:proofErr w:type="spellEnd"/>
      <w:r w:rsidR="00972924" w:rsidRPr="003559D4">
        <w:rPr>
          <w:rFonts w:ascii="Book Antiqua" w:hAnsi="Book Antiqua" w:cs="Arial"/>
          <w:sz w:val="24"/>
          <w:szCs w:val="24"/>
          <w:lang w:val="en-US"/>
        </w:rPr>
        <w:t xml:space="preserve"> </w:t>
      </w:r>
      <w:proofErr w:type="spellStart"/>
      <w:r w:rsidR="00F26144" w:rsidRPr="003559D4">
        <w:rPr>
          <w:rFonts w:ascii="Book Antiqua" w:hAnsi="Book Antiqua" w:cs="Arial"/>
          <w:sz w:val="24"/>
          <w:szCs w:val="24"/>
          <w:lang w:val="en-US"/>
        </w:rPr>
        <w:t>Carneiro</w:t>
      </w:r>
      <w:proofErr w:type="spellEnd"/>
      <w:r w:rsidR="00F26144" w:rsidRPr="003559D4">
        <w:rPr>
          <w:rFonts w:ascii="Book Antiqua" w:hAnsi="Book Antiqua" w:cs="Arial"/>
          <w:sz w:val="24"/>
          <w:szCs w:val="24"/>
          <w:lang w:val="en-US"/>
        </w:rPr>
        <w:t xml:space="preserve">, </w:t>
      </w:r>
      <w:proofErr w:type="spellStart"/>
      <w:proofErr w:type="gramStart"/>
      <w:r w:rsidR="00972924">
        <w:rPr>
          <w:rFonts w:ascii="Book Antiqua" w:hAnsi="Book Antiqua" w:cs="Arial"/>
          <w:sz w:val="24"/>
          <w:szCs w:val="24"/>
          <w:lang w:val="en-US"/>
        </w:rPr>
        <w:t>Guilherme</w:t>
      </w:r>
      <w:proofErr w:type="spellEnd"/>
      <w:proofErr w:type="gramEnd"/>
      <w:r w:rsidR="00972924">
        <w:rPr>
          <w:rFonts w:ascii="Book Antiqua" w:hAnsi="Book Antiqua" w:cs="Arial"/>
          <w:sz w:val="24"/>
          <w:szCs w:val="24"/>
          <w:lang w:val="en-US"/>
        </w:rPr>
        <w:t xml:space="preserve"> </w:t>
      </w:r>
      <w:proofErr w:type="spellStart"/>
      <w:r w:rsidR="003559D4">
        <w:rPr>
          <w:rFonts w:ascii="Book Antiqua" w:hAnsi="Book Antiqua" w:cs="Arial"/>
          <w:sz w:val="24"/>
          <w:szCs w:val="24"/>
          <w:lang w:val="en-US"/>
        </w:rPr>
        <w:t>Macedo</w:t>
      </w:r>
      <w:proofErr w:type="spellEnd"/>
      <w:r w:rsidR="003559D4">
        <w:rPr>
          <w:rFonts w:ascii="Book Antiqua" w:hAnsi="Book Antiqua" w:cs="Arial"/>
          <w:sz w:val="24"/>
          <w:szCs w:val="24"/>
          <w:lang w:val="en-US"/>
        </w:rPr>
        <w:t xml:space="preserve"> </w:t>
      </w:r>
    </w:p>
    <w:bookmarkEnd w:id="12"/>
    <w:bookmarkEnd w:id="13"/>
    <w:p w14:paraId="5329B6B4" w14:textId="77777777" w:rsidR="00F26144" w:rsidRPr="003559D4" w:rsidRDefault="00F26144" w:rsidP="00651BD2">
      <w:pPr>
        <w:spacing w:after="0" w:line="360" w:lineRule="auto"/>
        <w:jc w:val="both"/>
        <w:rPr>
          <w:rFonts w:ascii="Book Antiqua" w:hAnsi="Book Antiqua" w:cs="Arial"/>
          <w:b/>
          <w:caps/>
          <w:sz w:val="24"/>
          <w:szCs w:val="24"/>
          <w:lang w:val="en-US" w:eastAsia="zh-CN"/>
        </w:rPr>
      </w:pPr>
    </w:p>
    <w:p w14:paraId="0E54CAF4" w14:textId="1DE38C25" w:rsidR="0033098F" w:rsidRDefault="00972924" w:rsidP="00651BD2">
      <w:pPr>
        <w:spacing w:after="0" w:line="360" w:lineRule="auto"/>
        <w:jc w:val="both"/>
        <w:rPr>
          <w:rFonts w:ascii="Book Antiqua" w:hAnsi="Book Antiqua" w:cs="Arial"/>
          <w:sz w:val="24"/>
          <w:szCs w:val="24"/>
          <w:lang w:val="en-US" w:eastAsia="zh-CN"/>
        </w:rPr>
      </w:pPr>
      <w:r w:rsidRPr="003559D4">
        <w:rPr>
          <w:rFonts w:ascii="Book Antiqua" w:hAnsi="Book Antiqua" w:cs="Arial"/>
          <w:b/>
          <w:sz w:val="24"/>
          <w:szCs w:val="24"/>
          <w:lang w:val="en-US"/>
        </w:rPr>
        <w:t xml:space="preserve">Susana </w:t>
      </w:r>
      <w:r w:rsidR="008417EB" w:rsidRPr="003559D4">
        <w:rPr>
          <w:rFonts w:ascii="Book Antiqua" w:hAnsi="Book Antiqua" w:cs="Arial"/>
          <w:b/>
          <w:sz w:val="24"/>
          <w:szCs w:val="24"/>
          <w:lang w:val="en-US"/>
        </w:rPr>
        <w:t>Rodrigues,</w:t>
      </w:r>
      <w:r w:rsidR="0033098F" w:rsidRPr="003559D4">
        <w:rPr>
          <w:rFonts w:ascii="Book Antiqua" w:hAnsi="Book Antiqua" w:cs="Arial"/>
          <w:b/>
          <w:sz w:val="24"/>
          <w:szCs w:val="24"/>
          <w:lang w:val="en-US"/>
        </w:rPr>
        <w:t xml:space="preserve"> </w:t>
      </w:r>
      <w:r w:rsidRPr="003559D4">
        <w:rPr>
          <w:rFonts w:ascii="Book Antiqua" w:hAnsi="Book Antiqua" w:cs="Arial"/>
          <w:b/>
          <w:sz w:val="24"/>
          <w:szCs w:val="24"/>
          <w:lang w:val="en-US"/>
        </w:rPr>
        <w:t xml:space="preserve">Susana </w:t>
      </w:r>
      <w:r w:rsidR="003559D4" w:rsidRPr="003559D4">
        <w:rPr>
          <w:rFonts w:ascii="Book Antiqua" w:hAnsi="Book Antiqua" w:cs="Arial"/>
          <w:b/>
          <w:sz w:val="24"/>
          <w:szCs w:val="24"/>
          <w:lang w:val="en-US"/>
        </w:rPr>
        <w:t xml:space="preserve">Lopes, </w:t>
      </w:r>
      <w:r w:rsidRPr="003559D4">
        <w:rPr>
          <w:rFonts w:ascii="Book Antiqua" w:hAnsi="Book Antiqua" w:cs="Arial"/>
          <w:b/>
          <w:sz w:val="24"/>
          <w:szCs w:val="24"/>
          <w:lang w:val="en-US"/>
        </w:rPr>
        <w:t xml:space="preserve">Fernando </w:t>
      </w:r>
      <w:proofErr w:type="spellStart"/>
      <w:r w:rsidR="003559D4" w:rsidRPr="003559D4">
        <w:rPr>
          <w:rFonts w:ascii="Book Antiqua" w:hAnsi="Book Antiqua" w:cs="Arial"/>
          <w:b/>
          <w:sz w:val="24"/>
          <w:szCs w:val="24"/>
          <w:lang w:val="en-US"/>
        </w:rPr>
        <w:t>Magro</w:t>
      </w:r>
      <w:proofErr w:type="spellEnd"/>
      <w:r w:rsidR="003559D4" w:rsidRPr="003559D4">
        <w:rPr>
          <w:rFonts w:ascii="Book Antiqua" w:hAnsi="Book Antiqua" w:cs="Arial"/>
          <w:b/>
          <w:sz w:val="24"/>
          <w:szCs w:val="24"/>
          <w:lang w:val="en-US"/>
        </w:rPr>
        <w:t xml:space="preserve">, </w:t>
      </w:r>
      <w:proofErr w:type="spellStart"/>
      <w:r w:rsidRPr="003559D4">
        <w:rPr>
          <w:rFonts w:ascii="Book Antiqua" w:hAnsi="Book Antiqua" w:cs="Arial"/>
          <w:b/>
          <w:sz w:val="24"/>
          <w:szCs w:val="24"/>
          <w:lang w:val="en-US"/>
        </w:rPr>
        <w:t>Hélder</w:t>
      </w:r>
      <w:proofErr w:type="spellEnd"/>
      <w:r w:rsidRPr="003559D4">
        <w:rPr>
          <w:rFonts w:ascii="Book Antiqua" w:hAnsi="Book Antiqua" w:cs="Arial"/>
          <w:b/>
          <w:sz w:val="24"/>
          <w:szCs w:val="24"/>
          <w:lang w:val="en-US"/>
        </w:rPr>
        <w:t xml:space="preserve"> </w:t>
      </w:r>
      <w:r w:rsidR="003559D4" w:rsidRPr="003559D4">
        <w:rPr>
          <w:rFonts w:ascii="Book Antiqua" w:hAnsi="Book Antiqua" w:cs="Arial"/>
          <w:b/>
          <w:sz w:val="24"/>
          <w:szCs w:val="24"/>
          <w:lang w:val="en-US"/>
        </w:rPr>
        <w:t>Cardoso,</w:t>
      </w:r>
      <w:r w:rsidRPr="00972924">
        <w:rPr>
          <w:rFonts w:ascii="Book Antiqua" w:hAnsi="Book Antiqua" w:cs="Arial"/>
          <w:b/>
          <w:sz w:val="24"/>
          <w:szCs w:val="24"/>
          <w:lang w:val="en-US"/>
        </w:rPr>
        <w:t xml:space="preserve"> </w:t>
      </w:r>
      <w:r w:rsidRPr="003559D4">
        <w:rPr>
          <w:rFonts w:ascii="Book Antiqua" w:hAnsi="Book Antiqua" w:cs="Arial"/>
          <w:b/>
          <w:sz w:val="24"/>
          <w:szCs w:val="24"/>
          <w:lang w:val="en-US"/>
        </w:rPr>
        <w:t>Ana Maria</w:t>
      </w:r>
      <w:r w:rsidR="003559D4" w:rsidRPr="003559D4">
        <w:rPr>
          <w:rFonts w:ascii="Book Antiqua" w:hAnsi="Book Antiqua" w:cs="Arial" w:hint="eastAsia"/>
          <w:b/>
          <w:sz w:val="24"/>
          <w:szCs w:val="24"/>
          <w:lang w:val="en-US" w:eastAsia="zh-CN"/>
        </w:rPr>
        <w:t xml:space="preserve"> </w:t>
      </w:r>
      <w:proofErr w:type="spellStart"/>
      <w:r w:rsidR="003559D4" w:rsidRPr="003559D4">
        <w:rPr>
          <w:rFonts w:ascii="Book Antiqua" w:hAnsi="Book Antiqua" w:cs="Arial"/>
          <w:b/>
          <w:sz w:val="24"/>
          <w:szCs w:val="24"/>
          <w:lang w:val="en-US"/>
        </w:rPr>
        <w:t>Horta</w:t>
      </w:r>
      <w:proofErr w:type="spellEnd"/>
      <w:r w:rsidR="003559D4" w:rsidRPr="003559D4">
        <w:rPr>
          <w:rFonts w:ascii="Book Antiqua" w:hAnsi="Book Antiqua" w:cs="Arial"/>
          <w:b/>
          <w:sz w:val="24"/>
          <w:szCs w:val="24"/>
          <w:lang w:val="en-US"/>
        </w:rPr>
        <w:t xml:space="preserve"> e Vale, </w:t>
      </w:r>
      <w:r w:rsidRPr="003559D4">
        <w:rPr>
          <w:rFonts w:ascii="Book Antiqua" w:hAnsi="Book Antiqua" w:cs="Arial"/>
          <w:b/>
          <w:sz w:val="24"/>
          <w:szCs w:val="24"/>
          <w:lang w:val="en-US"/>
        </w:rPr>
        <w:t xml:space="preserve">Margarida </w:t>
      </w:r>
      <w:r w:rsidR="003559D4" w:rsidRPr="003559D4">
        <w:rPr>
          <w:rFonts w:ascii="Book Antiqua" w:hAnsi="Book Antiqua" w:cs="Arial"/>
          <w:b/>
          <w:sz w:val="24"/>
          <w:szCs w:val="24"/>
          <w:lang w:val="en-US"/>
        </w:rPr>
        <w:t>Marques,</w:t>
      </w:r>
      <w:r w:rsidR="003559D4" w:rsidRPr="003559D4">
        <w:rPr>
          <w:rFonts w:ascii="Book Antiqua" w:hAnsi="Book Antiqua" w:cs="Arial" w:hint="eastAsia"/>
          <w:b/>
          <w:sz w:val="24"/>
          <w:szCs w:val="24"/>
          <w:lang w:val="en-US" w:eastAsia="zh-CN"/>
        </w:rPr>
        <w:t xml:space="preserve"> </w:t>
      </w:r>
      <w:proofErr w:type="spellStart"/>
      <w:r w:rsidRPr="003559D4">
        <w:rPr>
          <w:rFonts w:ascii="Book Antiqua" w:hAnsi="Book Antiqua" w:cs="Arial"/>
          <w:b/>
          <w:sz w:val="24"/>
          <w:szCs w:val="24"/>
          <w:lang w:val="en-US"/>
        </w:rPr>
        <w:t>Guilherme</w:t>
      </w:r>
      <w:proofErr w:type="spellEnd"/>
      <w:r w:rsidRPr="003559D4">
        <w:rPr>
          <w:rFonts w:ascii="Book Antiqua" w:hAnsi="Book Antiqua" w:cs="Arial"/>
          <w:b/>
          <w:sz w:val="24"/>
          <w:szCs w:val="24"/>
          <w:lang w:val="en-US"/>
        </w:rPr>
        <w:t xml:space="preserve"> </w:t>
      </w:r>
      <w:proofErr w:type="spellStart"/>
      <w:r w:rsidR="003559D4" w:rsidRPr="003559D4">
        <w:rPr>
          <w:rFonts w:ascii="Book Antiqua" w:hAnsi="Book Antiqua" w:cs="Arial"/>
          <w:b/>
          <w:sz w:val="24"/>
          <w:szCs w:val="24"/>
          <w:lang w:val="en-US"/>
        </w:rPr>
        <w:t>Macedo</w:t>
      </w:r>
      <w:proofErr w:type="spellEnd"/>
      <w:r w:rsidR="003559D4" w:rsidRPr="003559D4">
        <w:rPr>
          <w:rFonts w:ascii="Book Antiqua" w:hAnsi="Book Antiqua" w:cs="Arial"/>
          <w:b/>
          <w:sz w:val="24"/>
          <w:szCs w:val="24"/>
          <w:lang w:val="en-US"/>
        </w:rPr>
        <w:t>,</w:t>
      </w:r>
      <w:r w:rsidR="003559D4" w:rsidRPr="003559D4">
        <w:rPr>
          <w:rFonts w:ascii="Book Antiqua" w:hAnsi="Book Antiqua" w:cs="Arial"/>
          <w:sz w:val="24"/>
          <w:szCs w:val="24"/>
          <w:lang w:val="en-US"/>
        </w:rPr>
        <w:t xml:space="preserve"> </w:t>
      </w:r>
      <w:r w:rsidR="0033098F" w:rsidRPr="003559D4">
        <w:rPr>
          <w:rFonts w:ascii="Book Antiqua" w:hAnsi="Book Antiqua" w:cs="Arial"/>
          <w:sz w:val="24"/>
          <w:szCs w:val="24"/>
          <w:lang w:val="en-US"/>
        </w:rPr>
        <w:t xml:space="preserve">Department of Gastroenterology, Centro </w:t>
      </w:r>
      <w:proofErr w:type="spellStart"/>
      <w:r w:rsidR="0033098F" w:rsidRPr="003559D4">
        <w:rPr>
          <w:rFonts w:ascii="Book Antiqua" w:hAnsi="Book Antiqua" w:cs="Arial"/>
          <w:sz w:val="24"/>
          <w:szCs w:val="24"/>
          <w:lang w:val="en-US"/>
        </w:rPr>
        <w:t>Hospitalar</w:t>
      </w:r>
      <w:proofErr w:type="spellEnd"/>
      <w:r w:rsidR="0033098F" w:rsidRPr="003559D4">
        <w:rPr>
          <w:rFonts w:ascii="Book Antiqua" w:hAnsi="Book Antiqua" w:cs="Arial"/>
          <w:sz w:val="24"/>
          <w:szCs w:val="24"/>
          <w:lang w:val="en-US"/>
        </w:rPr>
        <w:t xml:space="preserve"> de São </w:t>
      </w:r>
      <w:proofErr w:type="spellStart"/>
      <w:r w:rsidR="0033098F" w:rsidRPr="003559D4">
        <w:rPr>
          <w:rFonts w:ascii="Book Antiqua" w:hAnsi="Book Antiqua" w:cs="Arial"/>
          <w:sz w:val="24"/>
          <w:szCs w:val="24"/>
          <w:lang w:val="en-US"/>
        </w:rPr>
        <w:t>João</w:t>
      </w:r>
      <w:proofErr w:type="spellEnd"/>
      <w:r w:rsidR="0033098F" w:rsidRPr="003559D4">
        <w:rPr>
          <w:rFonts w:ascii="Book Antiqua" w:hAnsi="Book Antiqua" w:cs="Arial"/>
          <w:sz w:val="24"/>
          <w:szCs w:val="24"/>
          <w:lang w:val="en-US"/>
        </w:rPr>
        <w:t>, 4200-319 Porto, Portugal</w:t>
      </w:r>
    </w:p>
    <w:p w14:paraId="24793035" w14:textId="77777777" w:rsidR="003559D4" w:rsidRDefault="003559D4" w:rsidP="00651BD2">
      <w:pPr>
        <w:spacing w:after="0" w:line="360" w:lineRule="auto"/>
        <w:jc w:val="both"/>
        <w:rPr>
          <w:rFonts w:ascii="Book Antiqua" w:hAnsi="Book Antiqua" w:cs="Arial"/>
          <w:sz w:val="24"/>
          <w:szCs w:val="24"/>
          <w:lang w:val="en-US" w:eastAsia="zh-CN"/>
        </w:rPr>
      </w:pPr>
    </w:p>
    <w:p w14:paraId="5E13A3EF" w14:textId="042AA495" w:rsidR="00E05A06" w:rsidRDefault="00972924" w:rsidP="00651BD2">
      <w:pPr>
        <w:spacing w:after="0" w:line="360" w:lineRule="auto"/>
        <w:jc w:val="both"/>
        <w:rPr>
          <w:rFonts w:ascii="Book Antiqua" w:hAnsi="Book Antiqua" w:cs="Arial"/>
          <w:sz w:val="24"/>
          <w:szCs w:val="24"/>
          <w:lang w:val="en-US" w:eastAsia="zh-CN"/>
        </w:rPr>
      </w:pPr>
      <w:r w:rsidRPr="003559D4">
        <w:rPr>
          <w:rFonts w:ascii="Book Antiqua" w:hAnsi="Book Antiqua" w:cs="Arial"/>
          <w:b/>
          <w:sz w:val="24"/>
          <w:szCs w:val="24"/>
          <w:lang w:val="en-US"/>
        </w:rPr>
        <w:t xml:space="preserve">Eva </w:t>
      </w:r>
      <w:proofErr w:type="spellStart"/>
      <w:r w:rsidR="008417EB" w:rsidRPr="003559D4">
        <w:rPr>
          <w:rFonts w:ascii="Book Antiqua" w:hAnsi="Book Antiqua" w:cs="Arial"/>
          <w:b/>
          <w:sz w:val="24"/>
          <w:szCs w:val="24"/>
          <w:lang w:val="en-US"/>
        </w:rPr>
        <w:t>Mariz</w:t>
      </w:r>
      <w:proofErr w:type="spellEnd"/>
      <w:r w:rsidR="008417EB" w:rsidRPr="003559D4">
        <w:rPr>
          <w:rFonts w:ascii="Book Antiqua" w:hAnsi="Book Antiqua" w:cs="Arial"/>
          <w:b/>
          <w:sz w:val="24"/>
          <w:szCs w:val="24"/>
          <w:lang w:val="en-US"/>
        </w:rPr>
        <w:t xml:space="preserve">, </w:t>
      </w:r>
      <w:r w:rsidRPr="003559D4">
        <w:rPr>
          <w:rFonts w:ascii="Book Antiqua" w:hAnsi="Book Antiqua" w:cs="Arial"/>
          <w:b/>
          <w:sz w:val="24"/>
          <w:szCs w:val="24"/>
          <w:lang w:val="en-US"/>
        </w:rPr>
        <w:t xml:space="preserve">Miguel </w:t>
      </w:r>
      <w:proofErr w:type="spellStart"/>
      <w:r w:rsidR="003559D4" w:rsidRPr="003559D4">
        <w:rPr>
          <w:rFonts w:ascii="Book Antiqua" w:hAnsi="Book Antiqua" w:cs="Arial"/>
          <w:b/>
          <w:sz w:val="24"/>
          <w:szCs w:val="24"/>
          <w:lang w:val="en-US"/>
        </w:rPr>
        <w:t>Bernardes</w:t>
      </w:r>
      <w:proofErr w:type="spellEnd"/>
      <w:r w:rsidR="003559D4" w:rsidRPr="003559D4">
        <w:rPr>
          <w:rFonts w:ascii="Book Antiqua" w:hAnsi="Book Antiqua" w:cs="Arial"/>
          <w:b/>
          <w:sz w:val="24"/>
          <w:szCs w:val="24"/>
          <w:lang w:val="en-US"/>
        </w:rPr>
        <w:t xml:space="preserve">, </w:t>
      </w:r>
      <w:r w:rsidR="00E05A06" w:rsidRPr="003559D4">
        <w:rPr>
          <w:rFonts w:ascii="Book Antiqua" w:hAnsi="Book Antiqua" w:cs="Arial"/>
          <w:sz w:val="24"/>
          <w:szCs w:val="24"/>
          <w:lang w:val="en-US"/>
        </w:rPr>
        <w:t xml:space="preserve">Department of Rheumatology, Centro </w:t>
      </w:r>
      <w:proofErr w:type="spellStart"/>
      <w:r w:rsidR="00E05A06" w:rsidRPr="003559D4">
        <w:rPr>
          <w:rFonts w:ascii="Book Antiqua" w:hAnsi="Book Antiqua" w:cs="Arial"/>
          <w:sz w:val="24"/>
          <w:szCs w:val="24"/>
          <w:lang w:val="en-US"/>
        </w:rPr>
        <w:t>Hospitalar</w:t>
      </w:r>
      <w:proofErr w:type="spellEnd"/>
      <w:r w:rsidR="00E05A06" w:rsidRPr="003559D4">
        <w:rPr>
          <w:rFonts w:ascii="Book Antiqua" w:hAnsi="Book Antiqua" w:cs="Arial"/>
          <w:sz w:val="24"/>
          <w:szCs w:val="24"/>
          <w:lang w:val="en-US"/>
        </w:rPr>
        <w:t xml:space="preserve"> de São </w:t>
      </w:r>
      <w:proofErr w:type="spellStart"/>
      <w:r w:rsidR="00E05A06" w:rsidRPr="003559D4">
        <w:rPr>
          <w:rFonts w:ascii="Book Antiqua" w:hAnsi="Book Antiqua" w:cs="Arial"/>
          <w:sz w:val="24"/>
          <w:szCs w:val="24"/>
          <w:lang w:val="en-US"/>
        </w:rPr>
        <w:t>João</w:t>
      </w:r>
      <w:proofErr w:type="spellEnd"/>
      <w:r w:rsidR="00E05A06" w:rsidRPr="003559D4">
        <w:rPr>
          <w:rFonts w:ascii="Book Antiqua" w:hAnsi="Book Antiqua" w:cs="Arial"/>
          <w:sz w:val="24"/>
          <w:szCs w:val="24"/>
          <w:lang w:val="en-US"/>
        </w:rPr>
        <w:t>, 4200-319 Porto, Portugal</w:t>
      </w:r>
    </w:p>
    <w:p w14:paraId="2D7B1328" w14:textId="77777777" w:rsidR="003559D4" w:rsidRPr="003559D4" w:rsidRDefault="003559D4" w:rsidP="00651BD2">
      <w:pPr>
        <w:spacing w:after="0" w:line="360" w:lineRule="auto"/>
        <w:jc w:val="both"/>
        <w:rPr>
          <w:rFonts w:ascii="Book Antiqua" w:hAnsi="Book Antiqua" w:cs="Arial"/>
          <w:sz w:val="24"/>
          <w:szCs w:val="24"/>
          <w:lang w:val="en-US" w:eastAsia="zh-CN"/>
        </w:rPr>
      </w:pPr>
    </w:p>
    <w:p w14:paraId="2EE347A8" w14:textId="5A7A42D5" w:rsidR="00E05A06" w:rsidRDefault="00972924" w:rsidP="00651BD2">
      <w:pPr>
        <w:spacing w:after="0" w:line="360" w:lineRule="auto"/>
        <w:jc w:val="both"/>
        <w:rPr>
          <w:rFonts w:ascii="Book Antiqua" w:hAnsi="Book Antiqua" w:cs="Arial"/>
          <w:sz w:val="24"/>
          <w:szCs w:val="24"/>
          <w:lang w:val="en-US" w:eastAsia="zh-CN"/>
        </w:rPr>
      </w:pPr>
      <w:r w:rsidRPr="003559D4">
        <w:rPr>
          <w:rFonts w:ascii="Book Antiqua" w:hAnsi="Book Antiqua" w:cs="Arial"/>
          <w:b/>
          <w:sz w:val="24"/>
          <w:szCs w:val="24"/>
          <w:lang w:val="en-US"/>
        </w:rPr>
        <w:t xml:space="preserve">Joanne </w:t>
      </w:r>
      <w:r w:rsidR="008417EB" w:rsidRPr="003559D4">
        <w:rPr>
          <w:rFonts w:ascii="Book Antiqua" w:hAnsi="Book Antiqua" w:cs="Arial"/>
          <w:b/>
          <w:sz w:val="24"/>
          <w:szCs w:val="24"/>
          <w:lang w:val="en-US"/>
        </w:rPr>
        <w:t>Lopes,</w:t>
      </w:r>
      <w:r w:rsidR="003559D4" w:rsidRPr="003559D4">
        <w:rPr>
          <w:rFonts w:ascii="Book Antiqua" w:hAnsi="Book Antiqua" w:cs="Arial"/>
          <w:b/>
          <w:sz w:val="24"/>
          <w:szCs w:val="24"/>
          <w:lang w:val="en-US"/>
        </w:rPr>
        <w:t xml:space="preserve"> </w:t>
      </w:r>
      <w:proofErr w:type="spellStart"/>
      <w:r w:rsidRPr="003559D4">
        <w:rPr>
          <w:rFonts w:ascii="Book Antiqua" w:hAnsi="Book Antiqua" w:cs="Arial"/>
          <w:b/>
          <w:sz w:val="24"/>
          <w:szCs w:val="24"/>
          <w:lang w:val="en-US"/>
        </w:rPr>
        <w:t>Fátima</w:t>
      </w:r>
      <w:proofErr w:type="spellEnd"/>
      <w:r w:rsidRPr="003559D4">
        <w:rPr>
          <w:rFonts w:ascii="Book Antiqua" w:hAnsi="Book Antiqua" w:cs="Arial"/>
          <w:b/>
          <w:sz w:val="24"/>
          <w:szCs w:val="24"/>
          <w:lang w:val="en-US"/>
        </w:rPr>
        <w:t xml:space="preserve"> </w:t>
      </w:r>
      <w:proofErr w:type="spellStart"/>
      <w:r w:rsidR="003559D4" w:rsidRPr="003559D4">
        <w:rPr>
          <w:rFonts w:ascii="Book Antiqua" w:hAnsi="Book Antiqua" w:cs="Arial"/>
          <w:b/>
          <w:sz w:val="24"/>
          <w:szCs w:val="24"/>
          <w:lang w:val="en-US"/>
        </w:rPr>
        <w:t>Carneiro</w:t>
      </w:r>
      <w:proofErr w:type="spellEnd"/>
      <w:r w:rsidR="003559D4" w:rsidRPr="003559D4">
        <w:rPr>
          <w:rFonts w:ascii="Book Antiqua" w:hAnsi="Book Antiqua" w:cs="Arial"/>
          <w:b/>
          <w:sz w:val="24"/>
          <w:szCs w:val="24"/>
          <w:lang w:val="en-US"/>
        </w:rPr>
        <w:t>,</w:t>
      </w:r>
      <w:r w:rsidR="003559D4" w:rsidRPr="003559D4">
        <w:rPr>
          <w:rFonts w:ascii="Book Antiqua" w:hAnsi="Book Antiqua" w:cs="Arial"/>
          <w:sz w:val="24"/>
          <w:szCs w:val="24"/>
          <w:lang w:val="en-US"/>
        </w:rPr>
        <w:t xml:space="preserve"> </w:t>
      </w:r>
      <w:r w:rsidR="00E05A06" w:rsidRPr="003559D4">
        <w:rPr>
          <w:rFonts w:ascii="Book Antiqua" w:hAnsi="Book Antiqua" w:cs="Arial"/>
          <w:sz w:val="24"/>
          <w:szCs w:val="24"/>
          <w:lang w:val="en-US"/>
        </w:rPr>
        <w:t xml:space="preserve">Department of Pathology, Centro </w:t>
      </w:r>
      <w:proofErr w:type="spellStart"/>
      <w:r w:rsidR="00E05A06" w:rsidRPr="003559D4">
        <w:rPr>
          <w:rFonts w:ascii="Book Antiqua" w:hAnsi="Book Antiqua" w:cs="Arial"/>
          <w:sz w:val="24"/>
          <w:szCs w:val="24"/>
          <w:lang w:val="en-US"/>
        </w:rPr>
        <w:t>Hospitalar</w:t>
      </w:r>
      <w:proofErr w:type="spellEnd"/>
      <w:r w:rsidR="00E05A06" w:rsidRPr="003559D4">
        <w:rPr>
          <w:rFonts w:ascii="Book Antiqua" w:hAnsi="Book Antiqua" w:cs="Arial"/>
          <w:sz w:val="24"/>
          <w:szCs w:val="24"/>
          <w:lang w:val="en-US"/>
        </w:rPr>
        <w:t xml:space="preserve"> de São </w:t>
      </w:r>
      <w:proofErr w:type="spellStart"/>
      <w:r w:rsidR="00E05A06" w:rsidRPr="003559D4">
        <w:rPr>
          <w:rFonts w:ascii="Book Antiqua" w:hAnsi="Book Antiqua" w:cs="Arial"/>
          <w:sz w:val="24"/>
          <w:szCs w:val="24"/>
          <w:lang w:val="en-US"/>
        </w:rPr>
        <w:t>João</w:t>
      </w:r>
      <w:proofErr w:type="spellEnd"/>
      <w:r w:rsidR="00E05A06" w:rsidRPr="003559D4">
        <w:rPr>
          <w:rFonts w:ascii="Book Antiqua" w:hAnsi="Book Antiqua" w:cs="Arial"/>
          <w:sz w:val="24"/>
          <w:szCs w:val="24"/>
          <w:lang w:val="en-US"/>
        </w:rPr>
        <w:t xml:space="preserve">, </w:t>
      </w:r>
      <w:proofErr w:type="gramStart"/>
      <w:r w:rsidR="00E05A06" w:rsidRPr="003559D4">
        <w:rPr>
          <w:rFonts w:ascii="Book Antiqua" w:hAnsi="Book Antiqua" w:cs="Arial"/>
          <w:sz w:val="24"/>
          <w:szCs w:val="24"/>
          <w:lang w:val="en-US"/>
        </w:rPr>
        <w:t>4200</w:t>
      </w:r>
      <w:proofErr w:type="gramEnd"/>
      <w:r w:rsidR="00E05A06" w:rsidRPr="003559D4">
        <w:rPr>
          <w:rFonts w:ascii="Book Antiqua" w:hAnsi="Book Antiqua" w:cs="Arial"/>
          <w:sz w:val="24"/>
          <w:szCs w:val="24"/>
          <w:lang w:val="en-US"/>
        </w:rPr>
        <w:t xml:space="preserve">-319 Porto, Portugal </w:t>
      </w:r>
    </w:p>
    <w:p w14:paraId="659AB747" w14:textId="77777777" w:rsidR="003559D4" w:rsidRPr="003559D4" w:rsidRDefault="003559D4" w:rsidP="00651BD2">
      <w:pPr>
        <w:spacing w:after="0" w:line="360" w:lineRule="auto"/>
        <w:jc w:val="both"/>
        <w:rPr>
          <w:rFonts w:ascii="Book Antiqua" w:hAnsi="Book Antiqua" w:cs="Arial"/>
          <w:sz w:val="24"/>
          <w:szCs w:val="24"/>
          <w:lang w:val="en-US" w:eastAsia="zh-CN"/>
        </w:rPr>
      </w:pPr>
    </w:p>
    <w:p w14:paraId="6040B8B1" w14:textId="26342A17" w:rsidR="00E05A06" w:rsidRPr="003559D4" w:rsidRDefault="00972924" w:rsidP="00651BD2">
      <w:pPr>
        <w:spacing w:after="0" w:line="360" w:lineRule="auto"/>
        <w:jc w:val="both"/>
        <w:rPr>
          <w:rFonts w:ascii="Book Antiqua" w:hAnsi="Book Antiqua" w:cs="Arial"/>
          <w:sz w:val="24"/>
          <w:szCs w:val="24"/>
          <w:lang w:val="en-US" w:eastAsia="zh-CN"/>
        </w:rPr>
      </w:pPr>
      <w:proofErr w:type="spellStart"/>
      <w:r w:rsidRPr="003559D4">
        <w:rPr>
          <w:rFonts w:ascii="Book Antiqua" w:hAnsi="Book Antiqua" w:cs="Arial"/>
          <w:b/>
          <w:sz w:val="24"/>
          <w:szCs w:val="24"/>
          <w:lang w:val="en-US"/>
        </w:rPr>
        <w:t>Fátima</w:t>
      </w:r>
      <w:proofErr w:type="spellEnd"/>
      <w:r>
        <w:rPr>
          <w:rFonts w:ascii="Book Antiqua" w:hAnsi="Book Antiqua" w:cs="Arial" w:hint="eastAsia"/>
          <w:b/>
          <w:sz w:val="24"/>
          <w:szCs w:val="24"/>
          <w:lang w:val="en-US" w:eastAsia="zh-CN"/>
        </w:rPr>
        <w:t xml:space="preserve"> </w:t>
      </w:r>
      <w:proofErr w:type="spellStart"/>
      <w:r w:rsidR="008417EB" w:rsidRPr="003559D4">
        <w:rPr>
          <w:rFonts w:ascii="Book Antiqua" w:hAnsi="Book Antiqua" w:cs="Arial"/>
          <w:b/>
          <w:sz w:val="24"/>
          <w:szCs w:val="24"/>
          <w:lang w:val="en-US"/>
        </w:rPr>
        <w:t>Carneiro</w:t>
      </w:r>
      <w:proofErr w:type="spellEnd"/>
      <w:r w:rsidR="00E05A06" w:rsidRPr="003559D4">
        <w:rPr>
          <w:rFonts w:ascii="Book Antiqua" w:hAnsi="Book Antiqua" w:cs="Arial"/>
          <w:b/>
          <w:sz w:val="24"/>
          <w:szCs w:val="24"/>
          <w:lang w:val="en-US"/>
        </w:rPr>
        <w:t>,</w:t>
      </w:r>
      <w:r w:rsidR="00E05A06" w:rsidRPr="003559D4">
        <w:rPr>
          <w:rFonts w:ascii="Book Antiqua" w:hAnsi="Book Antiqua" w:cs="Arial"/>
          <w:sz w:val="24"/>
          <w:szCs w:val="24"/>
          <w:lang w:val="en-US"/>
        </w:rPr>
        <w:t xml:space="preserve"> Institute of Pathology and Molecular Biology of the University of Porto (IPATIMUP)</w:t>
      </w:r>
      <w:r w:rsidR="003559D4">
        <w:rPr>
          <w:rFonts w:ascii="Book Antiqua" w:hAnsi="Book Antiqua" w:cs="Arial" w:hint="eastAsia"/>
          <w:sz w:val="24"/>
          <w:szCs w:val="24"/>
          <w:lang w:val="en-US" w:eastAsia="zh-CN"/>
        </w:rPr>
        <w:t xml:space="preserve">, </w:t>
      </w:r>
      <w:r w:rsidR="003559D4">
        <w:rPr>
          <w:rFonts w:ascii="Book Antiqua" w:hAnsi="Book Antiqua" w:cs="Arial"/>
          <w:sz w:val="24"/>
          <w:szCs w:val="24"/>
          <w:lang w:val="en-US"/>
        </w:rPr>
        <w:t>4200-319 Porto, Portugal</w:t>
      </w:r>
    </w:p>
    <w:p w14:paraId="77A0FCB3" w14:textId="77777777" w:rsidR="0011526F" w:rsidRPr="003559D4" w:rsidRDefault="0011526F" w:rsidP="00651BD2">
      <w:pPr>
        <w:spacing w:after="0" w:line="360" w:lineRule="auto"/>
        <w:jc w:val="both"/>
        <w:rPr>
          <w:rFonts w:ascii="Book Antiqua" w:hAnsi="Book Antiqua" w:cs="Arial"/>
          <w:sz w:val="24"/>
          <w:szCs w:val="24"/>
          <w:lang w:val="en-US" w:eastAsia="zh-CN"/>
        </w:rPr>
      </w:pPr>
    </w:p>
    <w:p w14:paraId="28C89DE1" w14:textId="249312DA" w:rsidR="008E431A" w:rsidRDefault="00961609" w:rsidP="00651BD2">
      <w:pPr>
        <w:spacing w:after="0" w:line="360" w:lineRule="auto"/>
        <w:jc w:val="both"/>
        <w:rPr>
          <w:rFonts w:ascii="Book Antiqua" w:hAnsi="Book Antiqua" w:cs="Arial"/>
          <w:color w:val="000028"/>
          <w:sz w:val="24"/>
          <w:szCs w:val="24"/>
          <w:lang w:val="en-US" w:eastAsia="zh-CN"/>
        </w:rPr>
      </w:pPr>
      <w:bookmarkStart w:id="14" w:name="OLE_LINK231"/>
      <w:bookmarkStart w:id="15" w:name="OLE_LINK234"/>
      <w:bookmarkStart w:id="16" w:name="OLE_LINK342"/>
      <w:bookmarkStart w:id="17" w:name="OLE_LINK473"/>
      <w:r w:rsidRPr="003559D4">
        <w:rPr>
          <w:rFonts w:ascii="Book Antiqua" w:eastAsia="MS Mincho" w:hAnsi="Book Antiqua"/>
          <w:b/>
          <w:sz w:val="24"/>
          <w:szCs w:val="24"/>
          <w:lang w:eastAsia="ja-JP"/>
        </w:rPr>
        <w:t>Author contributions:</w:t>
      </w:r>
      <w:bookmarkEnd w:id="14"/>
      <w:bookmarkEnd w:id="15"/>
      <w:bookmarkEnd w:id="16"/>
      <w:bookmarkEnd w:id="17"/>
      <w:r w:rsidR="003559D4">
        <w:rPr>
          <w:rFonts w:ascii="Book Antiqua" w:hAnsi="Book Antiqua" w:hint="eastAsia"/>
          <w:b/>
          <w:sz w:val="24"/>
          <w:szCs w:val="24"/>
          <w:lang w:eastAsia="zh-CN"/>
        </w:rPr>
        <w:t xml:space="preserve"> </w:t>
      </w:r>
      <w:r w:rsidR="008E431A" w:rsidRPr="003559D4">
        <w:rPr>
          <w:rFonts w:ascii="Book Antiqua" w:hAnsi="Book Antiqua" w:cs="Arial"/>
          <w:sz w:val="24"/>
          <w:szCs w:val="24"/>
          <w:lang w:val="en-US"/>
        </w:rPr>
        <w:t>Rodrigues S</w:t>
      </w:r>
      <w:r w:rsidR="003559D4">
        <w:rPr>
          <w:rFonts w:ascii="Book Antiqua" w:hAnsi="Book Antiqua" w:cs="Arial" w:hint="eastAsia"/>
          <w:sz w:val="24"/>
          <w:szCs w:val="24"/>
          <w:lang w:val="en-US" w:eastAsia="zh-CN"/>
        </w:rPr>
        <w:t xml:space="preserve"> </w:t>
      </w:r>
      <w:r w:rsidR="008E431A" w:rsidRPr="003559D4">
        <w:rPr>
          <w:rFonts w:ascii="Book Antiqua" w:hAnsi="Book Antiqua" w:cs="Arial"/>
          <w:color w:val="000028"/>
          <w:sz w:val="24"/>
          <w:szCs w:val="24"/>
          <w:lang w:val="en-US"/>
        </w:rPr>
        <w:t>study concept and design; acquisition of data; analysis and interpretation of data; drafting of the manuscript; critical revision of the manuscript for important intellectual content</w:t>
      </w:r>
      <w:r w:rsidR="003559D4" w:rsidRPr="009B058B">
        <w:rPr>
          <w:rFonts w:ascii="Book Antiqua" w:hAnsi="Book Antiqua" w:hint="eastAsia"/>
          <w:sz w:val="24"/>
          <w:szCs w:val="24"/>
          <w:lang w:eastAsia="zh-CN"/>
        </w:rPr>
        <w:t>;</w:t>
      </w:r>
      <w:r w:rsidR="003559D4">
        <w:rPr>
          <w:rFonts w:ascii="Book Antiqua" w:hAnsi="Book Antiqua" w:hint="eastAsia"/>
          <w:b/>
          <w:sz w:val="24"/>
          <w:szCs w:val="24"/>
          <w:lang w:eastAsia="zh-CN"/>
        </w:rPr>
        <w:t xml:space="preserve"> </w:t>
      </w:r>
      <w:r w:rsidR="00D478ED" w:rsidRPr="003559D4">
        <w:rPr>
          <w:rFonts w:ascii="Book Antiqua" w:hAnsi="Book Antiqua" w:cs="Arial"/>
          <w:sz w:val="24"/>
          <w:szCs w:val="24"/>
          <w:lang w:val="en-US"/>
        </w:rPr>
        <w:t>Lopes S</w:t>
      </w:r>
      <w:r w:rsidR="008E431A" w:rsidRPr="003559D4">
        <w:rPr>
          <w:rFonts w:ascii="Book Antiqua" w:hAnsi="Book Antiqua" w:cs="Arial"/>
          <w:sz w:val="24"/>
          <w:szCs w:val="24"/>
          <w:lang w:val="en-US"/>
        </w:rPr>
        <w:t xml:space="preserve"> </w:t>
      </w:r>
      <w:r w:rsidR="008E431A" w:rsidRPr="003559D4">
        <w:rPr>
          <w:rFonts w:ascii="Book Antiqua" w:hAnsi="Book Antiqua" w:cs="Arial"/>
          <w:color w:val="000028"/>
          <w:sz w:val="24"/>
          <w:szCs w:val="24"/>
          <w:lang w:val="en-US"/>
        </w:rPr>
        <w:t>analysis and interpretation of data; critical revision of the manuscript for important intellectual content</w:t>
      </w:r>
      <w:r w:rsidR="003559D4">
        <w:rPr>
          <w:rFonts w:ascii="Book Antiqua" w:hAnsi="Book Antiqua" w:cs="Arial" w:hint="eastAsia"/>
          <w:color w:val="000028"/>
          <w:sz w:val="24"/>
          <w:szCs w:val="24"/>
          <w:lang w:val="en-US" w:eastAsia="zh-CN"/>
        </w:rPr>
        <w:t xml:space="preserve">; </w:t>
      </w:r>
      <w:proofErr w:type="spellStart"/>
      <w:r w:rsidR="00D478ED" w:rsidRPr="003559D4">
        <w:rPr>
          <w:rFonts w:ascii="Book Antiqua" w:hAnsi="Book Antiqua" w:cs="Arial"/>
          <w:sz w:val="24"/>
          <w:szCs w:val="24"/>
          <w:lang w:val="en-US"/>
        </w:rPr>
        <w:t>Magro</w:t>
      </w:r>
      <w:proofErr w:type="spellEnd"/>
      <w:r w:rsidR="00D478ED" w:rsidRPr="003559D4">
        <w:rPr>
          <w:rFonts w:ascii="Book Antiqua" w:hAnsi="Book Antiqua" w:cs="Arial"/>
          <w:sz w:val="24"/>
          <w:szCs w:val="24"/>
          <w:lang w:val="en-US"/>
        </w:rPr>
        <w:t xml:space="preserve"> F</w:t>
      </w:r>
      <w:r w:rsidR="008E431A" w:rsidRPr="003559D4">
        <w:rPr>
          <w:rFonts w:ascii="Book Antiqua" w:hAnsi="Book Antiqua" w:cs="Arial"/>
          <w:sz w:val="24"/>
          <w:szCs w:val="24"/>
          <w:lang w:val="en-US"/>
        </w:rPr>
        <w:t xml:space="preserve"> </w:t>
      </w:r>
      <w:r w:rsidR="008E431A" w:rsidRPr="003559D4">
        <w:rPr>
          <w:rFonts w:ascii="Book Antiqua" w:hAnsi="Book Antiqua" w:cs="Arial"/>
          <w:color w:val="000028"/>
          <w:sz w:val="24"/>
          <w:szCs w:val="24"/>
          <w:lang w:val="en-US"/>
        </w:rPr>
        <w:t xml:space="preserve">study concept and design; analysis and </w:t>
      </w:r>
      <w:r w:rsidR="008E431A" w:rsidRPr="003559D4">
        <w:rPr>
          <w:rFonts w:ascii="Book Antiqua" w:hAnsi="Book Antiqua" w:cs="Arial"/>
          <w:color w:val="000028"/>
          <w:sz w:val="24"/>
          <w:szCs w:val="24"/>
          <w:lang w:val="en-US"/>
        </w:rPr>
        <w:lastRenderedPageBreak/>
        <w:t>interpretation of data; critical revision of the manuscript for important intellectual content</w:t>
      </w:r>
      <w:r w:rsidR="003559D4">
        <w:rPr>
          <w:rFonts w:ascii="Book Antiqua" w:hAnsi="Book Antiqua" w:cs="Arial" w:hint="eastAsia"/>
          <w:color w:val="000028"/>
          <w:sz w:val="24"/>
          <w:szCs w:val="24"/>
          <w:lang w:val="en-US" w:eastAsia="zh-CN"/>
        </w:rPr>
        <w:t xml:space="preserve">; </w:t>
      </w:r>
      <w:r w:rsidR="00D478ED" w:rsidRPr="003559D4">
        <w:rPr>
          <w:rFonts w:ascii="Book Antiqua" w:hAnsi="Book Antiqua" w:cs="Arial"/>
          <w:sz w:val="24"/>
          <w:szCs w:val="24"/>
          <w:lang w:val="en-US"/>
        </w:rPr>
        <w:t xml:space="preserve">Cardoso H, </w:t>
      </w:r>
      <w:proofErr w:type="spellStart"/>
      <w:r w:rsidR="00D478ED" w:rsidRPr="003559D4">
        <w:rPr>
          <w:rFonts w:ascii="Book Antiqua" w:hAnsi="Book Antiqua" w:cs="Arial"/>
          <w:sz w:val="24"/>
          <w:szCs w:val="24"/>
          <w:lang w:val="en-US"/>
        </w:rPr>
        <w:t>Horta</w:t>
      </w:r>
      <w:proofErr w:type="spellEnd"/>
      <w:r w:rsidR="00D478ED" w:rsidRPr="003559D4">
        <w:rPr>
          <w:rFonts w:ascii="Book Antiqua" w:hAnsi="Book Antiqua" w:cs="Arial"/>
          <w:sz w:val="24"/>
          <w:szCs w:val="24"/>
          <w:lang w:val="en-US"/>
        </w:rPr>
        <w:t xml:space="preserve"> e Vale AM, Marques M, </w:t>
      </w:r>
      <w:proofErr w:type="spellStart"/>
      <w:r w:rsidR="00D478ED" w:rsidRPr="003559D4">
        <w:rPr>
          <w:rFonts w:ascii="Book Antiqua" w:hAnsi="Book Antiqua" w:cs="Arial"/>
          <w:sz w:val="24"/>
          <w:szCs w:val="24"/>
          <w:lang w:val="en-US"/>
        </w:rPr>
        <w:t>Mariz</w:t>
      </w:r>
      <w:proofErr w:type="spellEnd"/>
      <w:r w:rsidR="00D478ED" w:rsidRPr="003559D4">
        <w:rPr>
          <w:rFonts w:ascii="Book Antiqua" w:hAnsi="Book Antiqua" w:cs="Arial"/>
          <w:sz w:val="24"/>
          <w:szCs w:val="24"/>
          <w:lang w:val="en-US"/>
        </w:rPr>
        <w:t xml:space="preserve"> E, </w:t>
      </w:r>
      <w:proofErr w:type="spellStart"/>
      <w:r w:rsidR="00D478ED" w:rsidRPr="003559D4">
        <w:rPr>
          <w:rFonts w:ascii="Book Antiqua" w:hAnsi="Book Antiqua" w:cs="Arial"/>
          <w:sz w:val="24"/>
          <w:szCs w:val="24"/>
          <w:lang w:val="en-US"/>
        </w:rPr>
        <w:t>Bernardes</w:t>
      </w:r>
      <w:proofErr w:type="spellEnd"/>
      <w:r w:rsidR="00D478ED" w:rsidRPr="003559D4">
        <w:rPr>
          <w:rFonts w:ascii="Book Antiqua" w:hAnsi="Book Antiqua" w:cs="Arial"/>
          <w:sz w:val="24"/>
          <w:szCs w:val="24"/>
          <w:lang w:val="en-US"/>
        </w:rPr>
        <w:t xml:space="preserve"> M</w:t>
      </w:r>
      <w:r w:rsidR="00655B33">
        <w:rPr>
          <w:rFonts w:ascii="Book Antiqua" w:hAnsi="Book Antiqua" w:cs="Arial" w:hint="eastAsia"/>
          <w:sz w:val="24"/>
          <w:szCs w:val="24"/>
          <w:lang w:val="en-US" w:eastAsia="zh-CN"/>
        </w:rPr>
        <w:t xml:space="preserve"> and</w:t>
      </w:r>
      <w:r w:rsidR="00D478ED" w:rsidRPr="003559D4">
        <w:rPr>
          <w:rFonts w:ascii="Book Antiqua" w:hAnsi="Book Antiqua" w:cs="Arial"/>
          <w:sz w:val="24"/>
          <w:szCs w:val="24"/>
          <w:lang w:val="en-US"/>
        </w:rPr>
        <w:t xml:space="preserve"> Lopes J</w:t>
      </w:r>
      <w:r w:rsidR="008E431A" w:rsidRPr="003559D4">
        <w:rPr>
          <w:rFonts w:ascii="Book Antiqua" w:hAnsi="Book Antiqua" w:cs="Arial"/>
          <w:sz w:val="24"/>
          <w:szCs w:val="24"/>
          <w:lang w:val="en-US"/>
        </w:rPr>
        <w:t xml:space="preserve"> </w:t>
      </w:r>
      <w:r w:rsidR="008E431A" w:rsidRPr="003559D4">
        <w:rPr>
          <w:rFonts w:ascii="Book Antiqua" w:hAnsi="Book Antiqua" w:cs="Arial"/>
          <w:color w:val="000028"/>
          <w:sz w:val="24"/>
          <w:szCs w:val="24"/>
          <w:lang w:val="en-US"/>
        </w:rPr>
        <w:t>analysis and interpretation of data</w:t>
      </w:r>
      <w:r w:rsidR="003559D4">
        <w:rPr>
          <w:rFonts w:ascii="Book Antiqua" w:hAnsi="Book Antiqua" w:cs="Arial" w:hint="eastAsia"/>
          <w:color w:val="000028"/>
          <w:sz w:val="24"/>
          <w:szCs w:val="24"/>
          <w:lang w:val="en-US" w:eastAsia="zh-CN"/>
        </w:rPr>
        <w:t>;</w:t>
      </w:r>
      <w:r w:rsidR="003559D4">
        <w:rPr>
          <w:rFonts w:ascii="Book Antiqua" w:hAnsi="Book Antiqua" w:hint="eastAsia"/>
          <w:b/>
          <w:sz w:val="24"/>
          <w:szCs w:val="24"/>
          <w:lang w:eastAsia="zh-CN"/>
        </w:rPr>
        <w:t xml:space="preserve"> </w:t>
      </w:r>
      <w:proofErr w:type="spellStart"/>
      <w:r w:rsidR="008E431A" w:rsidRPr="003559D4">
        <w:rPr>
          <w:rFonts w:ascii="Book Antiqua" w:hAnsi="Book Antiqua" w:cs="Arial"/>
          <w:sz w:val="24"/>
          <w:szCs w:val="24"/>
          <w:lang w:val="en-US"/>
        </w:rPr>
        <w:t>Carne</w:t>
      </w:r>
      <w:r w:rsidR="00D478ED" w:rsidRPr="003559D4">
        <w:rPr>
          <w:rFonts w:ascii="Book Antiqua" w:hAnsi="Book Antiqua" w:cs="Arial"/>
          <w:sz w:val="24"/>
          <w:szCs w:val="24"/>
          <w:lang w:val="en-US"/>
        </w:rPr>
        <w:t>iro</w:t>
      </w:r>
      <w:proofErr w:type="spellEnd"/>
      <w:r w:rsidR="00D478ED" w:rsidRPr="003559D4">
        <w:rPr>
          <w:rFonts w:ascii="Book Antiqua" w:hAnsi="Book Antiqua" w:cs="Arial"/>
          <w:sz w:val="24"/>
          <w:szCs w:val="24"/>
          <w:lang w:val="en-US"/>
        </w:rPr>
        <w:t xml:space="preserve"> F</w:t>
      </w:r>
      <w:r w:rsidR="00655B33">
        <w:rPr>
          <w:rFonts w:ascii="Book Antiqua" w:hAnsi="Book Antiqua" w:cs="Arial" w:hint="eastAsia"/>
          <w:sz w:val="24"/>
          <w:szCs w:val="24"/>
          <w:lang w:val="en-US" w:eastAsia="zh-CN"/>
        </w:rPr>
        <w:t xml:space="preserve"> and</w:t>
      </w:r>
      <w:r w:rsidR="00D478ED" w:rsidRPr="003559D4">
        <w:rPr>
          <w:rFonts w:ascii="Book Antiqua" w:hAnsi="Book Antiqua" w:cs="Arial"/>
          <w:sz w:val="24"/>
          <w:szCs w:val="24"/>
          <w:lang w:val="en-US"/>
        </w:rPr>
        <w:t xml:space="preserve"> </w:t>
      </w:r>
      <w:proofErr w:type="spellStart"/>
      <w:r w:rsidR="00D478ED" w:rsidRPr="003559D4">
        <w:rPr>
          <w:rFonts w:ascii="Book Antiqua" w:hAnsi="Book Antiqua" w:cs="Arial"/>
          <w:sz w:val="24"/>
          <w:szCs w:val="24"/>
          <w:lang w:val="en-US"/>
        </w:rPr>
        <w:t>Macedo</w:t>
      </w:r>
      <w:proofErr w:type="spellEnd"/>
      <w:r w:rsidR="00D478ED" w:rsidRPr="003559D4">
        <w:rPr>
          <w:rFonts w:ascii="Book Antiqua" w:hAnsi="Book Antiqua" w:cs="Arial"/>
          <w:sz w:val="24"/>
          <w:szCs w:val="24"/>
          <w:lang w:val="en-US"/>
        </w:rPr>
        <w:t xml:space="preserve"> G</w:t>
      </w:r>
      <w:r w:rsidR="008E431A" w:rsidRPr="003559D4">
        <w:rPr>
          <w:rFonts w:ascii="Book Antiqua" w:hAnsi="Book Antiqua" w:cs="Arial"/>
          <w:color w:val="000028"/>
          <w:sz w:val="24"/>
          <w:szCs w:val="24"/>
          <w:lang w:val="en-US"/>
        </w:rPr>
        <w:t xml:space="preserve"> critical revision of the manuscript for important intellectual content</w:t>
      </w:r>
      <w:r w:rsidR="003559D4">
        <w:rPr>
          <w:rFonts w:ascii="Book Antiqua" w:hAnsi="Book Antiqua" w:cs="Arial" w:hint="eastAsia"/>
          <w:color w:val="000028"/>
          <w:sz w:val="24"/>
          <w:szCs w:val="24"/>
          <w:lang w:val="en-US" w:eastAsia="zh-CN"/>
        </w:rPr>
        <w:t>.</w:t>
      </w:r>
    </w:p>
    <w:p w14:paraId="02405410" w14:textId="77777777" w:rsidR="003559D4" w:rsidRPr="003559D4" w:rsidRDefault="003559D4" w:rsidP="00651BD2">
      <w:pPr>
        <w:spacing w:after="0" w:line="360" w:lineRule="auto"/>
        <w:jc w:val="both"/>
        <w:rPr>
          <w:rFonts w:ascii="Book Antiqua" w:hAnsi="Book Antiqua"/>
          <w:b/>
          <w:sz w:val="24"/>
          <w:szCs w:val="24"/>
          <w:lang w:eastAsia="zh-CN"/>
        </w:rPr>
      </w:pPr>
    </w:p>
    <w:p w14:paraId="6746127E" w14:textId="4238C7E5" w:rsidR="00777C87" w:rsidRPr="000D446F" w:rsidRDefault="00777C87" w:rsidP="00651BD2">
      <w:pPr>
        <w:autoSpaceDE w:val="0"/>
        <w:autoSpaceDN w:val="0"/>
        <w:adjustRightInd w:val="0"/>
        <w:spacing w:after="0" w:line="360" w:lineRule="auto"/>
        <w:jc w:val="both"/>
        <w:rPr>
          <w:rFonts w:ascii="Book Antiqua" w:hAnsi="Book Antiqua"/>
          <w:bCs/>
          <w:iCs/>
          <w:color w:val="000000"/>
          <w:sz w:val="24"/>
          <w:szCs w:val="24"/>
          <w:lang w:eastAsia="zh-CN"/>
        </w:rPr>
      </w:pPr>
      <w:bookmarkStart w:id="18" w:name="OLE_LINK379"/>
      <w:bookmarkStart w:id="19" w:name="OLE_LINK380"/>
      <w:r w:rsidRPr="003559D4">
        <w:rPr>
          <w:rFonts w:ascii="Book Antiqua" w:hAnsi="Book Antiqua"/>
          <w:b/>
          <w:bCs/>
          <w:iCs/>
          <w:color w:val="000000"/>
          <w:sz w:val="24"/>
          <w:szCs w:val="24"/>
        </w:rPr>
        <w:t>Ethics approval:</w:t>
      </w:r>
      <w:r w:rsidR="000D446F" w:rsidRPr="000D446F">
        <w:rPr>
          <w:rFonts w:ascii="Book Antiqua" w:hAnsi="Book Antiqua" w:hint="eastAsia"/>
          <w:bCs/>
          <w:iCs/>
          <w:color w:val="000000"/>
          <w:sz w:val="24"/>
          <w:szCs w:val="24"/>
          <w:lang w:eastAsia="zh-CN"/>
        </w:rPr>
        <w:t xml:space="preserve"> </w:t>
      </w:r>
      <w:r w:rsidR="000D446F" w:rsidRPr="000D446F">
        <w:rPr>
          <w:rFonts w:ascii="Book Antiqua" w:hAnsi="Book Antiqua"/>
          <w:bCs/>
          <w:iCs/>
          <w:color w:val="000000"/>
          <w:sz w:val="24"/>
          <w:szCs w:val="24"/>
          <w:lang w:eastAsia="zh-CN"/>
        </w:rPr>
        <w:t>This</w:t>
      </w:r>
      <w:r w:rsidR="000D446F" w:rsidRPr="000D446F">
        <w:rPr>
          <w:rFonts w:ascii="Book Antiqua" w:hAnsi="Book Antiqua" w:hint="eastAsia"/>
          <w:bCs/>
          <w:iCs/>
          <w:color w:val="000000"/>
          <w:sz w:val="24"/>
          <w:szCs w:val="24"/>
          <w:lang w:eastAsia="zh-CN"/>
        </w:rPr>
        <w:t xml:space="preserve"> manuscript is of a case series and not a formal study with a protocol, therefore no submission was made to </w:t>
      </w:r>
      <w:r w:rsidR="000D446F" w:rsidRPr="000D446F">
        <w:rPr>
          <w:rFonts w:ascii="Book Antiqua" w:hAnsi="Book Antiqua"/>
          <w:bCs/>
          <w:iCs/>
          <w:color w:val="000000"/>
          <w:sz w:val="24"/>
          <w:szCs w:val="24"/>
          <w:lang w:eastAsia="zh-CN"/>
        </w:rPr>
        <w:t xml:space="preserve">Hospital </w:t>
      </w:r>
      <w:r w:rsidR="000D446F" w:rsidRPr="000D446F">
        <w:rPr>
          <w:rFonts w:ascii="Book Antiqua" w:hAnsi="Book Antiqua" w:hint="eastAsia"/>
          <w:bCs/>
          <w:iCs/>
          <w:color w:val="000000"/>
          <w:sz w:val="24"/>
          <w:szCs w:val="24"/>
          <w:lang w:eastAsia="zh-CN"/>
        </w:rPr>
        <w:t xml:space="preserve">Ethics </w:t>
      </w:r>
      <w:r w:rsidR="000D446F" w:rsidRPr="000D446F">
        <w:rPr>
          <w:rFonts w:ascii="Book Antiqua" w:hAnsi="Book Antiqua"/>
          <w:bCs/>
          <w:iCs/>
          <w:color w:val="000000"/>
          <w:sz w:val="24"/>
          <w:szCs w:val="24"/>
          <w:lang w:eastAsia="zh-CN"/>
        </w:rPr>
        <w:t>Review Board</w:t>
      </w:r>
      <w:r w:rsidR="000D446F" w:rsidRPr="000D446F">
        <w:rPr>
          <w:rFonts w:ascii="Book Antiqua" w:hAnsi="Book Antiqua" w:hint="eastAsia"/>
          <w:bCs/>
          <w:iCs/>
          <w:color w:val="000000"/>
          <w:sz w:val="24"/>
          <w:szCs w:val="24"/>
          <w:lang w:eastAsia="zh-CN"/>
        </w:rPr>
        <w:t>.</w:t>
      </w:r>
    </w:p>
    <w:p w14:paraId="4286B315" w14:textId="77777777" w:rsidR="00777C87" w:rsidRPr="003559D4" w:rsidRDefault="00777C87" w:rsidP="00651BD2">
      <w:pPr>
        <w:autoSpaceDE w:val="0"/>
        <w:autoSpaceDN w:val="0"/>
        <w:adjustRightInd w:val="0"/>
        <w:spacing w:after="0" w:line="360" w:lineRule="auto"/>
        <w:jc w:val="both"/>
        <w:rPr>
          <w:rFonts w:ascii="Book Antiqua" w:hAnsi="Book Antiqua"/>
          <w:b/>
          <w:bCs/>
          <w:iCs/>
          <w:color w:val="000000"/>
          <w:sz w:val="24"/>
          <w:szCs w:val="24"/>
          <w:lang w:eastAsia="zh-CN"/>
        </w:rPr>
      </w:pPr>
    </w:p>
    <w:p w14:paraId="4491056B" w14:textId="318D30C1" w:rsidR="00777C87" w:rsidRPr="000D446F" w:rsidRDefault="00777C87" w:rsidP="009B058B">
      <w:pPr>
        <w:autoSpaceDE w:val="0"/>
        <w:autoSpaceDN w:val="0"/>
        <w:adjustRightInd w:val="0"/>
        <w:spacing w:after="0" w:line="360" w:lineRule="auto"/>
        <w:jc w:val="both"/>
        <w:rPr>
          <w:rFonts w:ascii="Book Antiqua" w:hAnsi="Book Antiqua"/>
          <w:bCs/>
          <w:iCs/>
          <w:color w:val="000000"/>
          <w:sz w:val="24"/>
          <w:szCs w:val="24"/>
          <w:lang w:eastAsia="zh-CN"/>
        </w:rPr>
      </w:pPr>
      <w:r w:rsidRPr="009B058B">
        <w:rPr>
          <w:rFonts w:ascii="Book Antiqua" w:hAnsi="Book Antiqua"/>
          <w:b/>
          <w:bCs/>
          <w:iCs/>
          <w:color w:val="000000"/>
          <w:sz w:val="24"/>
          <w:szCs w:val="24"/>
        </w:rPr>
        <w:t>Informed consent:</w:t>
      </w:r>
      <w:bookmarkStart w:id="20" w:name="OLE_LINK1"/>
      <w:bookmarkStart w:id="21" w:name="OLE_LINK2"/>
      <w:r w:rsidRPr="009B058B">
        <w:rPr>
          <w:rFonts w:ascii="Book Antiqua" w:hAnsi="Book Antiqua"/>
          <w:b/>
          <w:bCs/>
          <w:iCs/>
          <w:color w:val="000000"/>
          <w:sz w:val="24"/>
          <w:szCs w:val="24"/>
        </w:rPr>
        <w:t xml:space="preserve"> </w:t>
      </w:r>
      <w:r w:rsidR="009B058B" w:rsidRPr="009B058B">
        <w:rPr>
          <w:rFonts w:ascii="Book Antiqua" w:hAnsi="Book Antiqua" w:hint="eastAsia"/>
          <w:bCs/>
          <w:iCs/>
          <w:color w:val="000000"/>
          <w:sz w:val="24"/>
          <w:szCs w:val="24"/>
          <w:lang w:eastAsia="zh-CN"/>
        </w:rPr>
        <w:t xml:space="preserve">I </w:t>
      </w:r>
      <w:r w:rsidR="009B058B" w:rsidRPr="009B058B">
        <w:rPr>
          <w:rFonts w:ascii="Book Antiqua" w:hAnsi="Book Antiqua"/>
          <w:bCs/>
          <w:iCs/>
          <w:color w:val="000000"/>
          <w:sz w:val="24"/>
          <w:szCs w:val="24"/>
        </w:rPr>
        <w:t>hereby declare that all of the patients included in the case series were aware that the</w:t>
      </w:r>
      <w:r w:rsidR="009B058B">
        <w:rPr>
          <w:rFonts w:ascii="Book Antiqua" w:hAnsi="Book Antiqua"/>
          <w:bCs/>
          <w:iCs/>
          <w:color w:val="000000"/>
          <w:sz w:val="24"/>
          <w:szCs w:val="24"/>
        </w:rPr>
        <w:t xml:space="preserve"> cases were being submitted for</w:t>
      </w:r>
      <w:r w:rsidR="009B058B">
        <w:rPr>
          <w:rFonts w:ascii="Book Antiqua" w:hAnsi="Book Antiqua" w:hint="eastAsia"/>
          <w:bCs/>
          <w:iCs/>
          <w:color w:val="000000"/>
          <w:sz w:val="24"/>
          <w:szCs w:val="24"/>
          <w:lang w:eastAsia="zh-CN"/>
        </w:rPr>
        <w:t xml:space="preserve"> </w:t>
      </w:r>
      <w:r w:rsidR="009B058B" w:rsidRPr="009B058B">
        <w:rPr>
          <w:rFonts w:ascii="Book Antiqua" w:hAnsi="Book Antiqua"/>
          <w:bCs/>
          <w:iCs/>
          <w:color w:val="000000"/>
          <w:sz w:val="24"/>
          <w:szCs w:val="24"/>
        </w:rPr>
        <w:t>publication in a scientific journal and consented</w:t>
      </w:r>
      <w:r w:rsidR="009B058B">
        <w:rPr>
          <w:rFonts w:ascii="Book Antiqua" w:hAnsi="Book Antiqua" w:hint="eastAsia"/>
          <w:bCs/>
          <w:iCs/>
          <w:color w:val="000000"/>
          <w:sz w:val="24"/>
          <w:szCs w:val="24"/>
          <w:lang w:eastAsia="zh-CN"/>
        </w:rPr>
        <w:t>.</w:t>
      </w:r>
    </w:p>
    <w:bookmarkEnd w:id="20"/>
    <w:bookmarkEnd w:id="21"/>
    <w:p w14:paraId="0A89BD14" w14:textId="77777777" w:rsidR="00777C87" w:rsidRPr="003559D4" w:rsidRDefault="00777C87" w:rsidP="00651BD2">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68E19E2E" w14:textId="77777777" w:rsidR="000D446F" w:rsidRDefault="00777C87" w:rsidP="00651BD2">
      <w:pPr>
        <w:autoSpaceDE w:val="0"/>
        <w:autoSpaceDN w:val="0"/>
        <w:adjustRightInd w:val="0"/>
        <w:spacing w:after="0" w:line="360" w:lineRule="auto"/>
        <w:jc w:val="both"/>
        <w:rPr>
          <w:rFonts w:ascii="Book Antiqua" w:hAnsi="Book Antiqua"/>
          <w:bCs/>
          <w:iCs/>
          <w:color w:val="000000"/>
          <w:sz w:val="24"/>
          <w:szCs w:val="24"/>
          <w:lang w:eastAsia="zh-CN"/>
        </w:rPr>
      </w:pPr>
      <w:r w:rsidRPr="003559D4">
        <w:rPr>
          <w:rFonts w:ascii="Book Antiqua" w:hAnsi="Book Antiqua" w:cs="TimesNewRomanPS-BoldItalicMT"/>
          <w:b/>
          <w:bCs/>
          <w:iCs/>
          <w:color w:val="000000"/>
          <w:sz w:val="24"/>
          <w:szCs w:val="24"/>
        </w:rPr>
        <w:t>Conflict-of-interest:</w:t>
      </w:r>
      <w:r w:rsidR="000D446F">
        <w:rPr>
          <w:rFonts w:ascii="Book Antiqua" w:hAnsi="Book Antiqua" w:cs="TimesNewRomanPS-BoldItalicMT" w:hint="eastAsia"/>
          <w:b/>
          <w:bCs/>
          <w:iCs/>
          <w:color w:val="000000"/>
          <w:sz w:val="24"/>
          <w:szCs w:val="24"/>
          <w:lang w:eastAsia="zh-CN"/>
        </w:rPr>
        <w:t xml:space="preserve"> </w:t>
      </w:r>
      <w:r w:rsidR="000D446F" w:rsidRPr="000D446F">
        <w:rPr>
          <w:rFonts w:ascii="Book Antiqua" w:hAnsi="Book Antiqua" w:hint="eastAsia"/>
          <w:bCs/>
          <w:iCs/>
          <w:color w:val="000000"/>
          <w:sz w:val="24"/>
          <w:szCs w:val="24"/>
          <w:lang w:eastAsia="zh-CN"/>
        </w:rPr>
        <w:t>None of the authors of this manuscript have any conflicts of intererst to declare.</w:t>
      </w:r>
    </w:p>
    <w:p w14:paraId="609EFDDB" w14:textId="77777777" w:rsidR="007258CB" w:rsidRPr="000D446F" w:rsidRDefault="007258CB" w:rsidP="00651BD2">
      <w:pPr>
        <w:autoSpaceDE w:val="0"/>
        <w:autoSpaceDN w:val="0"/>
        <w:adjustRightInd w:val="0"/>
        <w:spacing w:after="0" w:line="360" w:lineRule="auto"/>
        <w:jc w:val="both"/>
        <w:rPr>
          <w:rFonts w:ascii="Book Antiqua" w:hAnsi="Book Antiqua"/>
          <w:bCs/>
          <w:iCs/>
          <w:color w:val="000000"/>
          <w:sz w:val="24"/>
          <w:szCs w:val="24"/>
          <w:lang w:eastAsia="zh-CN"/>
        </w:rPr>
      </w:pPr>
    </w:p>
    <w:bookmarkEnd w:id="18"/>
    <w:bookmarkEnd w:id="19"/>
    <w:p w14:paraId="7078AD58" w14:textId="77777777" w:rsidR="007258CB" w:rsidRPr="00164EDB" w:rsidRDefault="007258CB" w:rsidP="00651BD2">
      <w:pPr>
        <w:spacing w:line="360" w:lineRule="auto"/>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5D8E11" w14:textId="77777777" w:rsidR="0011526F" w:rsidRPr="003559D4" w:rsidRDefault="0011526F" w:rsidP="00651BD2">
      <w:pPr>
        <w:spacing w:after="0" w:line="360" w:lineRule="auto"/>
        <w:jc w:val="both"/>
        <w:rPr>
          <w:rFonts w:ascii="Book Antiqua" w:hAnsi="Book Antiqua" w:cs="Arial"/>
          <w:sz w:val="24"/>
          <w:szCs w:val="24"/>
          <w:lang w:eastAsia="zh-CN"/>
        </w:rPr>
      </w:pPr>
    </w:p>
    <w:p w14:paraId="271FE709" w14:textId="63578AD6" w:rsidR="008417EB" w:rsidRPr="000D446F" w:rsidRDefault="00961609" w:rsidP="00651BD2">
      <w:pPr>
        <w:spacing w:after="0" w:line="360" w:lineRule="auto"/>
        <w:jc w:val="both"/>
        <w:rPr>
          <w:rFonts w:ascii="Book Antiqua" w:hAnsi="Book Antiqua" w:cs="Arial"/>
          <w:sz w:val="24"/>
          <w:szCs w:val="24"/>
          <w:lang w:val="en-US" w:eastAsia="zh-CN"/>
        </w:rPr>
      </w:pPr>
      <w:r w:rsidRPr="003559D4">
        <w:rPr>
          <w:rFonts w:ascii="Book Antiqua" w:hAnsi="Book Antiqua"/>
          <w:b/>
          <w:color w:val="000000"/>
          <w:sz w:val="24"/>
          <w:szCs w:val="24"/>
        </w:rPr>
        <w:t>Correspondence to:</w:t>
      </w:r>
      <w:r w:rsidRPr="003559D4">
        <w:rPr>
          <w:rFonts w:ascii="Book Antiqua" w:hAnsi="Book Antiqua"/>
          <w:b/>
          <w:color w:val="000000"/>
          <w:sz w:val="24"/>
          <w:szCs w:val="24"/>
          <w:lang w:eastAsia="zh-CN"/>
        </w:rPr>
        <w:t xml:space="preserve"> </w:t>
      </w:r>
      <w:proofErr w:type="spellStart"/>
      <w:r w:rsidR="00972924" w:rsidRPr="003559D4">
        <w:rPr>
          <w:rFonts w:ascii="Book Antiqua" w:hAnsi="Book Antiqua" w:cs="Arial"/>
          <w:b/>
          <w:sz w:val="24"/>
          <w:szCs w:val="24"/>
          <w:lang w:val="en-US"/>
        </w:rPr>
        <w:t>Guilherme</w:t>
      </w:r>
      <w:proofErr w:type="spellEnd"/>
      <w:r w:rsidR="0011526F" w:rsidRPr="003559D4">
        <w:rPr>
          <w:rFonts w:ascii="Book Antiqua" w:hAnsi="Book Antiqua" w:cs="Arial"/>
          <w:sz w:val="24"/>
          <w:szCs w:val="24"/>
          <w:lang w:val="en-US" w:eastAsia="zh-CN"/>
        </w:rPr>
        <w:t xml:space="preserve"> </w:t>
      </w:r>
      <w:proofErr w:type="spellStart"/>
      <w:r w:rsidR="000D446F" w:rsidRPr="003559D4">
        <w:rPr>
          <w:rFonts w:ascii="Book Antiqua" w:hAnsi="Book Antiqua" w:cs="Arial"/>
          <w:b/>
          <w:sz w:val="24"/>
          <w:szCs w:val="24"/>
          <w:lang w:val="en-US"/>
        </w:rPr>
        <w:t>Macedo</w:t>
      </w:r>
      <w:proofErr w:type="spellEnd"/>
      <w:r w:rsidR="000D446F" w:rsidRPr="003559D4">
        <w:rPr>
          <w:rFonts w:ascii="Book Antiqua" w:hAnsi="Book Antiqua" w:cs="Arial"/>
          <w:b/>
          <w:sz w:val="24"/>
          <w:szCs w:val="24"/>
          <w:lang w:val="en-US"/>
        </w:rPr>
        <w:t>,</w:t>
      </w:r>
      <w:r w:rsidR="000D446F" w:rsidRPr="003559D4">
        <w:rPr>
          <w:rFonts w:ascii="Book Antiqua" w:hAnsi="Book Antiqua" w:cs="Arial"/>
          <w:sz w:val="24"/>
          <w:szCs w:val="24"/>
          <w:lang w:val="en-US"/>
        </w:rPr>
        <w:t xml:space="preserve"> </w:t>
      </w:r>
      <w:r w:rsidR="00651BD2" w:rsidRPr="00651BD2">
        <w:rPr>
          <w:rFonts w:ascii="Book Antiqua" w:hAnsi="Book Antiqua" w:cs="Arial"/>
          <w:b/>
          <w:sz w:val="24"/>
          <w:szCs w:val="24"/>
          <w:lang w:val="en-US"/>
        </w:rPr>
        <w:t>MD, PhD,</w:t>
      </w:r>
      <w:r w:rsidR="00651BD2">
        <w:rPr>
          <w:rFonts w:ascii="Book Antiqua" w:hAnsi="Book Antiqua" w:cs="Arial" w:hint="eastAsia"/>
          <w:sz w:val="24"/>
          <w:szCs w:val="24"/>
          <w:lang w:val="en-US" w:eastAsia="zh-CN"/>
        </w:rPr>
        <w:t xml:space="preserve"> </w:t>
      </w:r>
      <w:r w:rsidR="000D446F" w:rsidRPr="003559D4">
        <w:rPr>
          <w:rFonts w:ascii="Book Antiqua" w:hAnsi="Book Antiqua" w:cs="Arial"/>
          <w:sz w:val="24"/>
          <w:szCs w:val="24"/>
          <w:lang w:val="en-US"/>
        </w:rPr>
        <w:t xml:space="preserve">Department of Gastroenterology, Centro </w:t>
      </w:r>
      <w:proofErr w:type="spellStart"/>
      <w:r w:rsidR="000D446F" w:rsidRPr="003559D4">
        <w:rPr>
          <w:rFonts w:ascii="Book Antiqua" w:hAnsi="Book Antiqua" w:cs="Arial"/>
          <w:sz w:val="24"/>
          <w:szCs w:val="24"/>
          <w:lang w:val="en-US"/>
        </w:rPr>
        <w:t>Hospitalar</w:t>
      </w:r>
      <w:proofErr w:type="spellEnd"/>
      <w:r w:rsidR="000D446F" w:rsidRPr="003559D4">
        <w:rPr>
          <w:rFonts w:ascii="Book Antiqua" w:hAnsi="Book Antiqua" w:cs="Arial"/>
          <w:sz w:val="24"/>
          <w:szCs w:val="24"/>
          <w:lang w:val="en-US"/>
        </w:rPr>
        <w:t xml:space="preserve"> de São </w:t>
      </w:r>
      <w:proofErr w:type="spellStart"/>
      <w:r w:rsidR="000D446F" w:rsidRPr="003559D4">
        <w:rPr>
          <w:rFonts w:ascii="Book Antiqua" w:hAnsi="Book Antiqua" w:cs="Arial"/>
          <w:sz w:val="24"/>
          <w:szCs w:val="24"/>
          <w:lang w:val="en-US"/>
        </w:rPr>
        <w:t>João</w:t>
      </w:r>
      <w:proofErr w:type="spellEnd"/>
      <w:r w:rsidR="000D446F" w:rsidRPr="003559D4">
        <w:rPr>
          <w:rFonts w:ascii="Book Antiqua" w:hAnsi="Book Antiqua" w:cs="Arial"/>
          <w:sz w:val="24"/>
          <w:szCs w:val="24"/>
          <w:lang w:val="en-US"/>
        </w:rPr>
        <w:t>, 4200-319 Porto, Portugal</w:t>
      </w:r>
      <w:r w:rsidR="000D446F">
        <w:rPr>
          <w:rFonts w:ascii="Book Antiqua" w:hAnsi="Book Antiqua" w:cs="Arial" w:hint="eastAsia"/>
          <w:sz w:val="24"/>
          <w:szCs w:val="24"/>
          <w:lang w:val="en-US" w:eastAsia="zh-CN"/>
        </w:rPr>
        <w:t xml:space="preserve">. </w:t>
      </w:r>
      <w:hyperlink r:id="rId9" w:history="1">
        <w:r w:rsidR="00FF2959" w:rsidRPr="000D446F">
          <w:rPr>
            <w:rStyle w:val="a4"/>
            <w:rFonts w:ascii="Book Antiqua" w:hAnsi="Book Antiqua" w:cs="Arial"/>
            <w:color w:val="auto"/>
            <w:sz w:val="24"/>
            <w:szCs w:val="24"/>
            <w:u w:val="none"/>
            <w:lang w:val="en-US"/>
          </w:rPr>
          <w:t>guilhermemacedo59@gmail.com</w:t>
        </w:r>
      </w:hyperlink>
    </w:p>
    <w:p w14:paraId="7A6DEEC8" w14:textId="30762F9A" w:rsidR="000D446F" w:rsidRDefault="00961609" w:rsidP="00651BD2">
      <w:pPr>
        <w:spacing w:after="0" w:line="360" w:lineRule="auto"/>
        <w:jc w:val="both"/>
        <w:rPr>
          <w:rFonts w:ascii="Book Antiqua" w:hAnsi="Book Antiqua"/>
          <w:b/>
          <w:color w:val="000000"/>
          <w:sz w:val="24"/>
          <w:szCs w:val="24"/>
          <w:lang w:eastAsia="zh-CN"/>
        </w:rPr>
      </w:pPr>
      <w:r w:rsidRPr="003559D4">
        <w:rPr>
          <w:rFonts w:ascii="Book Antiqua" w:hAnsi="Book Antiqua"/>
          <w:b/>
          <w:color w:val="000000"/>
          <w:sz w:val="24"/>
          <w:szCs w:val="24"/>
        </w:rPr>
        <w:t>Telephone:</w:t>
      </w:r>
      <w:r w:rsidR="00B120BA" w:rsidRPr="003559D4">
        <w:rPr>
          <w:rFonts w:ascii="Book Antiqua" w:hAnsi="Book Antiqua"/>
          <w:b/>
          <w:color w:val="000000"/>
          <w:sz w:val="24"/>
          <w:szCs w:val="24"/>
        </w:rPr>
        <w:t xml:space="preserve"> </w:t>
      </w:r>
      <w:r w:rsidR="00B120BA" w:rsidRPr="000D446F">
        <w:rPr>
          <w:rFonts w:ascii="Book Antiqua" w:hAnsi="Book Antiqua"/>
          <w:color w:val="000000"/>
          <w:sz w:val="24"/>
          <w:szCs w:val="24"/>
        </w:rPr>
        <w:t>+351-225</w:t>
      </w:r>
      <w:r w:rsidR="00651BD2">
        <w:rPr>
          <w:rFonts w:ascii="Book Antiqua" w:hAnsi="Book Antiqua" w:hint="eastAsia"/>
          <w:color w:val="000000"/>
          <w:sz w:val="24"/>
          <w:szCs w:val="24"/>
          <w:lang w:eastAsia="zh-CN"/>
        </w:rPr>
        <w:t>-</w:t>
      </w:r>
      <w:r w:rsidR="00B120BA" w:rsidRPr="000D446F">
        <w:rPr>
          <w:rFonts w:ascii="Book Antiqua" w:hAnsi="Book Antiqua"/>
          <w:color w:val="000000"/>
          <w:sz w:val="24"/>
          <w:szCs w:val="24"/>
        </w:rPr>
        <w:t>512100</w:t>
      </w:r>
      <w:r w:rsidRPr="000D446F">
        <w:rPr>
          <w:rFonts w:ascii="Book Antiqua" w:hAnsi="Book Antiqua"/>
          <w:color w:val="000000"/>
          <w:sz w:val="24"/>
          <w:szCs w:val="24"/>
        </w:rPr>
        <w:t xml:space="preserve">      </w:t>
      </w:r>
      <w:r w:rsidRPr="003559D4">
        <w:rPr>
          <w:rFonts w:ascii="Book Antiqua" w:hAnsi="Book Antiqua"/>
          <w:b/>
          <w:color w:val="000000"/>
          <w:sz w:val="24"/>
          <w:szCs w:val="24"/>
        </w:rPr>
        <w:t xml:space="preserve">    </w:t>
      </w:r>
    </w:p>
    <w:p w14:paraId="62848EE7" w14:textId="410CE416" w:rsidR="00961609" w:rsidRPr="003559D4" w:rsidRDefault="00961609" w:rsidP="00651BD2">
      <w:pPr>
        <w:spacing w:after="0" w:line="360" w:lineRule="auto"/>
        <w:jc w:val="both"/>
        <w:rPr>
          <w:rFonts w:ascii="Book Antiqua" w:hAnsi="Book Antiqua"/>
          <w:color w:val="000000"/>
          <w:sz w:val="24"/>
          <w:szCs w:val="24"/>
        </w:rPr>
      </w:pPr>
      <w:r w:rsidRPr="003559D4">
        <w:rPr>
          <w:rFonts w:ascii="Book Antiqua" w:hAnsi="Book Antiqua"/>
          <w:b/>
          <w:color w:val="000000"/>
          <w:sz w:val="24"/>
          <w:szCs w:val="24"/>
        </w:rPr>
        <w:t xml:space="preserve">Fax: </w:t>
      </w:r>
      <w:r w:rsidR="00B120BA" w:rsidRPr="000D446F">
        <w:rPr>
          <w:rFonts w:ascii="Book Antiqua" w:hAnsi="Book Antiqua"/>
          <w:color w:val="000000"/>
          <w:sz w:val="24"/>
          <w:szCs w:val="24"/>
        </w:rPr>
        <w:t>+351-225</w:t>
      </w:r>
      <w:r w:rsidR="00651BD2">
        <w:rPr>
          <w:rFonts w:ascii="Book Antiqua" w:hAnsi="Book Antiqua" w:hint="eastAsia"/>
          <w:color w:val="000000"/>
          <w:sz w:val="24"/>
          <w:szCs w:val="24"/>
          <w:lang w:eastAsia="zh-CN"/>
        </w:rPr>
        <w:t>-</w:t>
      </w:r>
      <w:r w:rsidR="00B120BA" w:rsidRPr="000D446F">
        <w:rPr>
          <w:rFonts w:ascii="Book Antiqua" w:hAnsi="Book Antiqua"/>
          <w:color w:val="000000"/>
          <w:sz w:val="24"/>
          <w:szCs w:val="24"/>
        </w:rPr>
        <w:t>025766</w:t>
      </w:r>
    </w:p>
    <w:p w14:paraId="66A1779A" w14:textId="0863AA44" w:rsidR="007258CB" w:rsidRPr="00651BD2" w:rsidRDefault="007258CB" w:rsidP="00651BD2">
      <w:pPr>
        <w:spacing w:after="0" w:line="360" w:lineRule="auto"/>
        <w:jc w:val="both"/>
        <w:rPr>
          <w:rFonts w:ascii="Book Antiqua" w:hAnsi="Book Antiqua"/>
          <w:sz w:val="24"/>
          <w:lang w:eastAsia="zh-CN"/>
        </w:rPr>
      </w:pPr>
      <w:bookmarkStart w:id="22" w:name="OLE_LINK476"/>
      <w:bookmarkStart w:id="23" w:name="OLE_LINK477"/>
      <w:r>
        <w:rPr>
          <w:rFonts w:ascii="Book Antiqua" w:hAnsi="Book Antiqua"/>
          <w:b/>
          <w:sz w:val="24"/>
        </w:rPr>
        <w:t xml:space="preserve">Received:  </w:t>
      </w:r>
      <w:r w:rsidRPr="00651BD2">
        <w:rPr>
          <w:rFonts w:ascii="Book Antiqua" w:hAnsi="Book Antiqua"/>
          <w:sz w:val="24"/>
        </w:rPr>
        <w:t xml:space="preserve"> </w:t>
      </w:r>
      <w:r w:rsidR="00651BD2" w:rsidRPr="00651BD2">
        <w:rPr>
          <w:rFonts w:ascii="Book Antiqua" w:hAnsi="Book Antiqua" w:hint="eastAsia"/>
          <w:sz w:val="24"/>
          <w:lang w:eastAsia="zh-CN"/>
        </w:rPr>
        <w:t>October 6, 2014</w:t>
      </w:r>
    </w:p>
    <w:p w14:paraId="5B764734" w14:textId="04FDA812" w:rsidR="007258CB" w:rsidRPr="00651BD2" w:rsidRDefault="007258CB" w:rsidP="00651BD2">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651BD2">
        <w:rPr>
          <w:rFonts w:ascii="Book Antiqua" w:hAnsi="Book Antiqua" w:hint="eastAsia"/>
          <w:b/>
          <w:sz w:val="24"/>
          <w:lang w:eastAsia="zh-CN"/>
        </w:rPr>
        <w:t xml:space="preserve"> </w:t>
      </w:r>
      <w:r w:rsidR="00651BD2" w:rsidRPr="00651BD2">
        <w:rPr>
          <w:rFonts w:ascii="Book Antiqua" w:hAnsi="Book Antiqua" w:hint="eastAsia"/>
          <w:sz w:val="24"/>
          <w:lang w:eastAsia="zh-CN"/>
        </w:rPr>
        <w:t>October 6, 2014</w:t>
      </w:r>
    </w:p>
    <w:p w14:paraId="6396842F" w14:textId="7B32336E" w:rsidR="007258CB" w:rsidRPr="00651BD2" w:rsidRDefault="007258CB" w:rsidP="00651BD2">
      <w:pPr>
        <w:spacing w:after="0" w:line="360" w:lineRule="auto"/>
        <w:jc w:val="both"/>
        <w:rPr>
          <w:rFonts w:ascii="Book Antiqua" w:hAnsi="Book Antiqua"/>
          <w:sz w:val="24"/>
          <w:lang w:eastAsia="zh-CN"/>
        </w:rPr>
      </w:pPr>
      <w:r w:rsidRPr="009659DA">
        <w:rPr>
          <w:rFonts w:ascii="Book Antiqua" w:hAnsi="Book Antiqua"/>
          <w:b/>
          <w:sz w:val="24"/>
        </w:rPr>
        <w:t>First decision:</w:t>
      </w:r>
      <w:r w:rsidR="00651BD2">
        <w:rPr>
          <w:rFonts w:ascii="Book Antiqua" w:hAnsi="Book Antiqua" w:hint="eastAsia"/>
          <w:b/>
          <w:sz w:val="24"/>
          <w:lang w:eastAsia="zh-CN"/>
        </w:rPr>
        <w:t xml:space="preserve"> </w:t>
      </w:r>
      <w:r w:rsidR="00651BD2" w:rsidRPr="00651BD2">
        <w:rPr>
          <w:rFonts w:ascii="Book Antiqua" w:hAnsi="Book Antiqua" w:hint="eastAsia"/>
          <w:sz w:val="24"/>
          <w:lang w:eastAsia="zh-CN"/>
        </w:rPr>
        <w:t xml:space="preserve">October </w:t>
      </w:r>
      <w:r w:rsidR="00651BD2">
        <w:rPr>
          <w:rFonts w:ascii="Book Antiqua" w:hAnsi="Book Antiqua" w:hint="eastAsia"/>
          <w:sz w:val="24"/>
          <w:lang w:eastAsia="zh-CN"/>
        </w:rPr>
        <w:t>29</w:t>
      </w:r>
      <w:r w:rsidR="00651BD2" w:rsidRPr="00651BD2">
        <w:rPr>
          <w:rFonts w:ascii="Book Antiqua" w:hAnsi="Book Antiqua" w:hint="eastAsia"/>
          <w:sz w:val="24"/>
          <w:lang w:eastAsia="zh-CN"/>
        </w:rPr>
        <w:t>, 2014</w:t>
      </w:r>
    </w:p>
    <w:p w14:paraId="2059E74D" w14:textId="4FEBF1A1" w:rsidR="007258CB" w:rsidRPr="00651BD2" w:rsidRDefault="007258CB" w:rsidP="00651BD2">
      <w:pPr>
        <w:spacing w:after="0" w:line="360" w:lineRule="auto"/>
        <w:jc w:val="both"/>
        <w:rPr>
          <w:rFonts w:ascii="Book Antiqua" w:hAnsi="Book Antiqua"/>
          <w:sz w:val="24"/>
          <w:lang w:eastAsia="zh-CN"/>
        </w:rPr>
      </w:pPr>
      <w:r>
        <w:rPr>
          <w:rFonts w:ascii="Book Antiqua" w:hAnsi="Book Antiqua"/>
          <w:b/>
          <w:sz w:val="24"/>
        </w:rPr>
        <w:lastRenderedPageBreak/>
        <w:t xml:space="preserve">Revised:  </w:t>
      </w:r>
      <w:r w:rsidR="00651BD2" w:rsidRPr="00651BD2">
        <w:rPr>
          <w:rFonts w:ascii="Book Antiqua" w:hAnsi="Book Antiqua" w:hint="eastAsia"/>
          <w:sz w:val="24"/>
          <w:lang w:eastAsia="zh-CN"/>
        </w:rPr>
        <w:t>November 24, 2014</w:t>
      </w:r>
    </w:p>
    <w:p w14:paraId="5589F985" w14:textId="77777777" w:rsidR="00A6038C" w:rsidRDefault="007258CB" w:rsidP="00A6038C">
      <w:pPr>
        <w:rPr>
          <w:rFonts w:ascii="Book Antiqua" w:hAnsi="Book Antiqua"/>
          <w:color w:val="000000"/>
          <w:sz w:val="24"/>
        </w:rPr>
      </w:pPr>
      <w:r>
        <w:rPr>
          <w:rFonts w:ascii="Book Antiqua" w:hAnsi="Book Antiqua"/>
          <w:b/>
          <w:sz w:val="24"/>
        </w:rPr>
        <w:t xml:space="preserve">Accepted: </w:t>
      </w:r>
      <w:r w:rsidR="00A6038C">
        <w:rPr>
          <w:rFonts w:ascii="Book Antiqua" w:hAnsi="Book Antiqua"/>
          <w:color w:val="000000"/>
          <w:sz w:val="24"/>
        </w:rPr>
        <w:t>January 30, 2015</w:t>
      </w:r>
    </w:p>
    <w:p w14:paraId="340B41DA" w14:textId="77777777" w:rsidR="007258CB" w:rsidRDefault="007258CB" w:rsidP="00651BD2">
      <w:pPr>
        <w:spacing w:after="0" w:line="360" w:lineRule="auto"/>
        <w:jc w:val="both"/>
        <w:rPr>
          <w:rFonts w:ascii="Book Antiqua" w:hAnsi="Book Antiqua"/>
          <w:b/>
          <w:sz w:val="24"/>
        </w:rPr>
      </w:pPr>
      <w:r>
        <w:rPr>
          <w:rFonts w:ascii="Book Antiqua" w:hAnsi="Book Antiqua"/>
          <w:b/>
          <w:sz w:val="24"/>
        </w:rPr>
        <w:t xml:space="preserve"> </w:t>
      </w:r>
    </w:p>
    <w:p w14:paraId="2EEA099C" w14:textId="77777777" w:rsidR="007258CB" w:rsidRDefault="007258CB" w:rsidP="00651BD2">
      <w:pPr>
        <w:spacing w:after="0" w:line="360" w:lineRule="auto"/>
        <w:jc w:val="both"/>
        <w:rPr>
          <w:rFonts w:ascii="Book Antiqua" w:hAnsi="Book Antiqua"/>
          <w:b/>
          <w:sz w:val="24"/>
        </w:rPr>
      </w:pPr>
      <w:r w:rsidRPr="009659DA">
        <w:rPr>
          <w:rFonts w:ascii="Book Antiqua" w:hAnsi="Book Antiqua"/>
          <w:b/>
          <w:sz w:val="24"/>
        </w:rPr>
        <w:t>Article in press:</w:t>
      </w:r>
    </w:p>
    <w:p w14:paraId="637F6F1A" w14:textId="77777777" w:rsidR="007258CB" w:rsidRPr="00ED7CB9" w:rsidRDefault="007258CB" w:rsidP="00651BD2">
      <w:pPr>
        <w:spacing w:after="0" w:line="360" w:lineRule="auto"/>
        <w:jc w:val="both"/>
        <w:rPr>
          <w:rFonts w:ascii="Book Antiqua" w:hAnsi="Book Antiqua"/>
          <w:b/>
          <w:sz w:val="24"/>
        </w:rPr>
      </w:pPr>
      <w:r>
        <w:rPr>
          <w:rFonts w:ascii="Book Antiqua" w:hAnsi="Book Antiqua"/>
          <w:b/>
          <w:sz w:val="24"/>
        </w:rPr>
        <w:t xml:space="preserve">Published online: </w:t>
      </w:r>
    </w:p>
    <w:bookmarkEnd w:id="22"/>
    <w:bookmarkEnd w:id="23"/>
    <w:p w14:paraId="79944B8B" w14:textId="77777777" w:rsidR="00B50A15" w:rsidRPr="003559D4" w:rsidRDefault="00B50A15" w:rsidP="00651BD2">
      <w:pPr>
        <w:spacing w:after="0" w:line="360" w:lineRule="auto"/>
        <w:jc w:val="both"/>
        <w:rPr>
          <w:rFonts w:ascii="Book Antiqua" w:hAnsi="Book Antiqua" w:cs="Arial"/>
          <w:color w:val="000028"/>
          <w:sz w:val="24"/>
          <w:szCs w:val="24"/>
        </w:rPr>
      </w:pPr>
    </w:p>
    <w:p w14:paraId="49231D97" w14:textId="77777777" w:rsidR="00B50A15" w:rsidRPr="003559D4" w:rsidRDefault="00B50A15" w:rsidP="00651BD2">
      <w:pPr>
        <w:spacing w:after="0" w:line="360" w:lineRule="auto"/>
        <w:jc w:val="both"/>
        <w:rPr>
          <w:rFonts w:ascii="Book Antiqua" w:hAnsi="Book Antiqua" w:cs="Arial"/>
          <w:color w:val="000028"/>
          <w:sz w:val="24"/>
          <w:szCs w:val="24"/>
          <w:lang w:val="en-US"/>
        </w:rPr>
      </w:pPr>
    </w:p>
    <w:p w14:paraId="0D6D564C" w14:textId="77777777" w:rsidR="007258CB" w:rsidRDefault="007258CB" w:rsidP="00651BD2">
      <w:pPr>
        <w:spacing w:after="0" w:line="240" w:lineRule="auto"/>
        <w:jc w:val="both"/>
        <w:rPr>
          <w:rFonts w:ascii="Book Antiqua" w:hAnsi="Book Antiqua" w:cs="Arial"/>
          <w:b/>
          <w:sz w:val="24"/>
          <w:szCs w:val="24"/>
          <w:lang w:val="en-US"/>
        </w:rPr>
      </w:pPr>
      <w:r>
        <w:rPr>
          <w:rFonts w:ascii="Book Antiqua" w:hAnsi="Book Antiqua" w:cs="Arial"/>
          <w:b/>
          <w:sz w:val="24"/>
          <w:szCs w:val="24"/>
          <w:lang w:val="en-US"/>
        </w:rPr>
        <w:br w:type="page"/>
      </w:r>
    </w:p>
    <w:p w14:paraId="0751FCBE" w14:textId="4EEA4BDE" w:rsidR="00FF2959" w:rsidRPr="003559D4" w:rsidRDefault="008E431A" w:rsidP="00651BD2">
      <w:pPr>
        <w:spacing w:after="0" w:line="360" w:lineRule="auto"/>
        <w:jc w:val="both"/>
        <w:rPr>
          <w:rFonts w:ascii="Book Antiqua" w:hAnsi="Book Antiqua" w:cs="Arial"/>
          <w:b/>
          <w:sz w:val="24"/>
          <w:szCs w:val="24"/>
          <w:lang w:val="en-US" w:eastAsia="zh-CN"/>
        </w:rPr>
      </w:pPr>
      <w:r w:rsidRPr="003559D4">
        <w:rPr>
          <w:rFonts w:ascii="Book Antiqua" w:hAnsi="Book Antiqua" w:cs="Arial"/>
          <w:b/>
          <w:sz w:val="24"/>
          <w:szCs w:val="24"/>
          <w:lang w:val="en-US"/>
        </w:rPr>
        <w:lastRenderedPageBreak/>
        <w:t>Abstract</w:t>
      </w:r>
    </w:p>
    <w:p w14:paraId="6F59BC18" w14:textId="641A27CB" w:rsidR="00FF2959" w:rsidRPr="003559D4" w:rsidRDefault="00FF2959" w:rsidP="00651BD2">
      <w:pPr>
        <w:spacing w:after="0" w:line="360" w:lineRule="auto"/>
        <w:jc w:val="both"/>
        <w:rPr>
          <w:rFonts w:ascii="Book Antiqua" w:hAnsi="Book Antiqua" w:cs="Arial"/>
          <w:sz w:val="24"/>
          <w:szCs w:val="24"/>
          <w:lang w:val="en-US"/>
        </w:rPr>
      </w:pPr>
      <w:r w:rsidRPr="003559D4">
        <w:rPr>
          <w:rFonts w:ascii="Book Antiqua" w:hAnsi="Book Antiqua" w:cs="Arial"/>
          <w:sz w:val="24"/>
          <w:szCs w:val="24"/>
          <w:lang w:val="en-US"/>
        </w:rPr>
        <w:t>Describe cases of anti-</w:t>
      </w:r>
      <w:bookmarkStart w:id="24" w:name="OLE_LINK133"/>
      <w:bookmarkStart w:id="25" w:name="OLE_LINK134"/>
      <w:bookmarkStart w:id="26" w:name="OLE_LINK137"/>
      <w:r w:rsidRPr="003559D4">
        <w:rPr>
          <w:rFonts w:ascii="Book Antiqua" w:hAnsi="Book Antiqua" w:cs="Arial"/>
          <w:sz w:val="24"/>
          <w:szCs w:val="24"/>
          <w:lang w:val="en-US"/>
        </w:rPr>
        <w:t>tumor necrosis factor (TNF)</w:t>
      </w:r>
      <w:bookmarkEnd w:id="24"/>
      <w:bookmarkEnd w:id="25"/>
      <w:bookmarkEnd w:id="26"/>
      <w:r w:rsidRPr="003559D4">
        <w:rPr>
          <w:rFonts w:ascii="Book Antiqua" w:hAnsi="Book Antiqua" w:cs="Arial"/>
          <w:sz w:val="24"/>
          <w:szCs w:val="24"/>
          <w:lang w:val="en-US"/>
        </w:rPr>
        <w:t xml:space="preserve"> </w:t>
      </w:r>
      <w:r w:rsidR="00A6038C">
        <w:rPr>
          <w:rFonts w:ascii="Symbol" w:hAnsi="Symbol" w:cs="宋体"/>
          <w:sz w:val="32"/>
          <w:szCs w:val="32"/>
        </w:rPr>
        <w:t></w:t>
      </w:r>
      <w:r w:rsidRPr="003559D4">
        <w:rPr>
          <w:rFonts w:ascii="Book Antiqua" w:hAnsi="Book Antiqua" w:cs="Arial"/>
          <w:sz w:val="24"/>
          <w:szCs w:val="24"/>
          <w:lang w:val="en-US"/>
        </w:rPr>
        <w:t xml:space="preserve"> induced autoimmune hepatitis and evaluate the outcome of those patients, relating to their immunosuppressive strategy</w:t>
      </w:r>
      <w:r w:rsidR="008E431A" w:rsidRPr="003559D4">
        <w:rPr>
          <w:rFonts w:ascii="Book Antiqua" w:hAnsi="Book Antiqua" w:cs="Arial"/>
          <w:sz w:val="24"/>
          <w:szCs w:val="24"/>
          <w:lang w:val="en-US" w:eastAsia="zh-CN"/>
        </w:rPr>
        <w:t xml:space="preserve">. </w:t>
      </w:r>
      <w:r w:rsidRPr="003559D4">
        <w:rPr>
          <w:rFonts w:ascii="Book Antiqua" w:hAnsi="Book Antiqua" w:cs="Arial"/>
          <w:sz w:val="24"/>
          <w:szCs w:val="24"/>
          <w:lang w:val="en-US"/>
        </w:rPr>
        <w:t>A retrospective analysis of medical records was performed in our center, in order to detect cases of autoimmune hepatitis (AIH) associate</w:t>
      </w:r>
      <w:r w:rsidR="008E431A" w:rsidRPr="003559D4">
        <w:rPr>
          <w:rFonts w:ascii="Book Antiqua" w:hAnsi="Book Antiqua" w:cs="Arial"/>
          <w:sz w:val="24"/>
          <w:szCs w:val="24"/>
          <w:lang w:val="en-US"/>
        </w:rPr>
        <w:t xml:space="preserve">d to anti-TNF biologic agents. </w:t>
      </w:r>
      <w:r w:rsidRPr="003559D4">
        <w:rPr>
          <w:rFonts w:ascii="Book Antiqua" w:hAnsi="Book Antiqua" w:cs="Arial"/>
          <w:sz w:val="24"/>
          <w:szCs w:val="24"/>
          <w:lang w:val="en-US"/>
        </w:rPr>
        <w:t>We describe and analyze eight cases of AIH following anti-TNF therapy, 7 with in</w:t>
      </w:r>
      <w:r w:rsidR="008E431A" w:rsidRPr="003559D4">
        <w:rPr>
          <w:rFonts w:ascii="Book Antiqua" w:hAnsi="Book Antiqua" w:cs="Arial"/>
          <w:sz w:val="24"/>
          <w:szCs w:val="24"/>
          <w:lang w:val="en-US"/>
        </w:rPr>
        <w:t xml:space="preserve">fliximab and 1 with </w:t>
      </w:r>
      <w:proofErr w:type="spellStart"/>
      <w:r w:rsidR="008E431A" w:rsidRPr="003559D4">
        <w:rPr>
          <w:rFonts w:ascii="Book Antiqua" w:hAnsi="Book Antiqua" w:cs="Arial"/>
          <w:sz w:val="24"/>
          <w:szCs w:val="24"/>
          <w:lang w:val="en-US"/>
        </w:rPr>
        <w:t>adalimumab</w:t>
      </w:r>
      <w:proofErr w:type="spellEnd"/>
      <w:r w:rsidR="008E431A" w:rsidRPr="003559D4">
        <w:rPr>
          <w:rFonts w:ascii="Book Antiqua" w:hAnsi="Book Antiqua" w:cs="Arial"/>
          <w:sz w:val="24"/>
          <w:szCs w:val="24"/>
          <w:lang w:val="en-US"/>
        </w:rPr>
        <w:t>.</w:t>
      </w:r>
      <w:r w:rsidR="008E431A" w:rsidRPr="003559D4">
        <w:rPr>
          <w:rFonts w:ascii="Book Antiqua" w:hAnsi="Book Antiqua" w:cs="Arial"/>
          <w:sz w:val="24"/>
          <w:szCs w:val="24"/>
          <w:lang w:val="en-US" w:eastAsia="zh-CN"/>
        </w:rPr>
        <w:t xml:space="preserve"> </w:t>
      </w:r>
      <w:r w:rsidRPr="003559D4">
        <w:rPr>
          <w:rFonts w:ascii="Book Antiqua" w:hAnsi="Book Antiqua" w:cs="Arial"/>
          <w:sz w:val="24"/>
          <w:szCs w:val="24"/>
          <w:lang w:val="en-US"/>
        </w:rPr>
        <w:t xml:space="preserve">A distinction should be made between induction of autoimmunity and clinically unraveling evident autoimmune disease. Liver biopsy is useful in detecting the role of the TNF </w:t>
      </w:r>
      <w:r w:rsidR="00A6038C">
        <w:rPr>
          <w:rFonts w:ascii="Symbol" w:hAnsi="Symbol" w:cs="宋体"/>
          <w:sz w:val="32"/>
          <w:szCs w:val="32"/>
        </w:rPr>
        <w:t></w:t>
      </w:r>
      <w:r w:rsidRPr="003559D4">
        <w:rPr>
          <w:rFonts w:ascii="Book Antiqua" w:hAnsi="Book Antiqua" w:cs="Arial"/>
          <w:sz w:val="24"/>
          <w:szCs w:val="24"/>
          <w:lang w:val="en-US"/>
        </w:rPr>
        <w:t xml:space="preserve"> antagonist in the development of AIH. The lack of relapse after discontinuing immunosuppressive therapy favors, as in this case series, an immune-mediated drug reaction because most patients with AIH have a relapse after treatment is suspended. Although AIH related to anti-TNF is rare, a baseline immunological panel along with liver function tests should be performed in all patients with autoimmune disease before starting biologics.</w:t>
      </w:r>
    </w:p>
    <w:p w14:paraId="4AE69F93" w14:textId="77777777" w:rsidR="008E431A" w:rsidRPr="003559D4" w:rsidRDefault="008E431A" w:rsidP="00651BD2">
      <w:pPr>
        <w:spacing w:after="0" w:line="360" w:lineRule="auto"/>
        <w:jc w:val="both"/>
        <w:rPr>
          <w:rFonts w:ascii="Book Antiqua" w:hAnsi="Book Antiqua" w:cs="Arial Unicode MS"/>
          <w:b/>
          <w:sz w:val="24"/>
          <w:szCs w:val="24"/>
          <w:lang w:eastAsia="zh-CN"/>
        </w:rPr>
      </w:pPr>
    </w:p>
    <w:p w14:paraId="57AEEF6B" w14:textId="01938AF0" w:rsidR="008E431A" w:rsidRDefault="008E431A" w:rsidP="00651BD2">
      <w:pPr>
        <w:spacing w:after="0" w:line="360" w:lineRule="auto"/>
        <w:jc w:val="both"/>
        <w:rPr>
          <w:rFonts w:ascii="Book Antiqua" w:hAnsi="Book Antiqua" w:cs="Arial Unicode MS"/>
          <w:sz w:val="24"/>
          <w:szCs w:val="24"/>
          <w:lang w:val="en-US" w:eastAsia="zh-CN"/>
        </w:rPr>
      </w:pPr>
      <w:bookmarkStart w:id="27" w:name="OLE_LINK363"/>
      <w:bookmarkStart w:id="28" w:name="OLE_LINK364"/>
      <w:r w:rsidRPr="003559D4">
        <w:rPr>
          <w:rFonts w:ascii="Book Antiqua" w:eastAsia="Times New Roman" w:hAnsi="Book Antiqua" w:cs="Arial Unicode MS"/>
          <w:b/>
          <w:sz w:val="24"/>
          <w:szCs w:val="24"/>
          <w:lang w:val="en-US"/>
        </w:rPr>
        <w:t>Key</w:t>
      </w:r>
      <w:r w:rsidR="007258CB">
        <w:rPr>
          <w:rFonts w:ascii="Book Antiqua" w:hAnsi="Book Antiqua" w:cs="Arial Unicode MS" w:hint="eastAsia"/>
          <w:b/>
          <w:sz w:val="24"/>
          <w:szCs w:val="24"/>
          <w:lang w:val="en-US" w:eastAsia="zh-CN"/>
        </w:rPr>
        <w:t xml:space="preserve"> </w:t>
      </w:r>
      <w:r w:rsidRPr="003559D4">
        <w:rPr>
          <w:rFonts w:ascii="Book Antiqua" w:eastAsia="Times New Roman" w:hAnsi="Book Antiqua" w:cs="Arial Unicode MS"/>
          <w:b/>
          <w:sz w:val="24"/>
          <w:szCs w:val="24"/>
          <w:lang w:val="en-US"/>
        </w:rPr>
        <w:t>words</w:t>
      </w:r>
      <w:bookmarkStart w:id="29" w:name="OLE_LINK101"/>
      <w:bookmarkStart w:id="30" w:name="OLE_LINK107"/>
      <w:bookmarkStart w:id="31" w:name="OLE_LINK412"/>
      <w:bookmarkStart w:id="32" w:name="OLE_LINK413"/>
      <w:bookmarkStart w:id="33" w:name="OLE_LINK434"/>
      <w:bookmarkStart w:id="34" w:name="OLE_LINK442"/>
      <w:bookmarkEnd w:id="27"/>
      <w:bookmarkEnd w:id="28"/>
      <w:r w:rsidR="007258CB">
        <w:rPr>
          <w:rFonts w:ascii="Book Antiqua" w:hAnsi="Book Antiqua" w:cs="Arial Unicode MS" w:hint="eastAsia"/>
          <w:b/>
          <w:sz w:val="24"/>
          <w:szCs w:val="24"/>
          <w:lang w:val="en-US" w:eastAsia="zh-CN"/>
        </w:rPr>
        <w:t xml:space="preserve">: </w:t>
      </w:r>
      <w:r w:rsidR="00D70C03" w:rsidRPr="003559D4">
        <w:rPr>
          <w:rFonts w:ascii="Book Antiqua" w:hAnsi="Book Antiqua" w:cs="Arial Unicode MS"/>
          <w:sz w:val="24"/>
          <w:szCs w:val="24"/>
          <w:lang w:val="en-US" w:eastAsia="zh-CN"/>
        </w:rPr>
        <w:t xml:space="preserve">Autoimmune hepatitis; </w:t>
      </w:r>
      <w:r w:rsidR="007258CB" w:rsidRPr="003559D4">
        <w:rPr>
          <w:rFonts w:ascii="Book Antiqua" w:hAnsi="Book Antiqua" w:cs="Arial Unicode MS"/>
          <w:sz w:val="24"/>
          <w:szCs w:val="24"/>
          <w:lang w:val="en-US" w:eastAsia="zh-CN"/>
        </w:rPr>
        <w:t>Drug</w:t>
      </w:r>
      <w:r w:rsidR="00D70C03" w:rsidRPr="003559D4">
        <w:rPr>
          <w:rFonts w:ascii="Book Antiqua" w:hAnsi="Book Antiqua" w:cs="Arial Unicode MS"/>
          <w:sz w:val="24"/>
          <w:szCs w:val="24"/>
          <w:lang w:val="en-US" w:eastAsia="zh-CN"/>
        </w:rPr>
        <w:t xml:space="preserve">-induced liver injury; </w:t>
      </w:r>
      <w:proofErr w:type="gramStart"/>
      <w:r w:rsidR="007258CB" w:rsidRPr="003559D4">
        <w:rPr>
          <w:rFonts w:ascii="Book Antiqua" w:hAnsi="Book Antiqua" w:cs="Arial Unicode MS"/>
          <w:sz w:val="24"/>
          <w:szCs w:val="24"/>
          <w:lang w:val="en-US" w:eastAsia="zh-CN"/>
        </w:rPr>
        <w:t>Inflammatory</w:t>
      </w:r>
      <w:proofErr w:type="gramEnd"/>
      <w:r w:rsidR="007258CB" w:rsidRPr="003559D4">
        <w:rPr>
          <w:rFonts w:ascii="Book Antiqua" w:hAnsi="Book Antiqua" w:cs="Arial Unicode MS"/>
          <w:sz w:val="24"/>
          <w:szCs w:val="24"/>
          <w:lang w:val="en-US" w:eastAsia="zh-CN"/>
        </w:rPr>
        <w:t xml:space="preserve"> </w:t>
      </w:r>
      <w:r w:rsidR="00D70C03" w:rsidRPr="003559D4">
        <w:rPr>
          <w:rFonts w:ascii="Book Antiqua" w:hAnsi="Book Antiqua" w:cs="Arial Unicode MS"/>
          <w:sz w:val="24"/>
          <w:szCs w:val="24"/>
          <w:lang w:val="en-US" w:eastAsia="zh-CN"/>
        </w:rPr>
        <w:t xml:space="preserve">bowel disease; </w:t>
      </w:r>
      <w:r w:rsidR="007258CB" w:rsidRPr="003559D4">
        <w:rPr>
          <w:rFonts w:ascii="Book Antiqua" w:hAnsi="Book Antiqua" w:cs="Arial Unicode MS"/>
          <w:sz w:val="24"/>
          <w:szCs w:val="24"/>
          <w:lang w:val="en-US" w:eastAsia="zh-CN"/>
        </w:rPr>
        <w:t>Anti</w:t>
      </w:r>
      <w:r w:rsidR="00D70C03" w:rsidRPr="003559D4">
        <w:rPr>
          <w:rFonts w:ascii="Book Antiqua" w:hAnsi="Book Antiqua" w:cs="Arial Unicode MS"/>
          <w:sz w:val="24"/>
          <w:szCs w:val="24"/>
          <w:lang w:val="en-US" w:eastAsia="zh-CN"/>
        </w:rPr>
        <w:t xml:space="preserve">-tumor necrosis factor antagonist; </w:t>
      </w:r>
      <w:r w:rsidR="007258CB" w:rsidRPr="003559D4">
        <w:rPr>
          <w:rFonts w:ascii="Book Antiqua" w:hAnsi="Book Antiqua" w:cs="Arial Unicode MS"/>
          <w:sz w:val="24"/>
          <w:szCs w:val="24"/>
          <w:lang w:val="en-US" w:eastAsia="zh-CN"/>
        </w:rPr>
        <w:t>Infliximab</w:t>
      </w:r>
      <w:r w:rsidR="00D70C03" w:rsidRPr="003559D4">
        <w:rPr>
          <w:rFonts w:ascii="Book Antiqua" w:hAnsi="Book Antiqua" w:cs="Arial Unicode MS"/>
          <w:sz w:val="24"/>
          <w:szCs w:val="24"/>
          <w:lang w:val="en-US" w:eastAsia="zh-CN"/>
        </w:rPr>
        <w:t xml:space="preserve">; </w:t>
      </w:r>
      <w:proofErr w:type="spellStart"/>
      <w:r w:rsidR="007258CB" w:rsidRPr="003559D4">
        <w:rPr>
          <w:rFonts w:ascii="Book Antiqua" w:hAnsi="Book Antiqua" w:cs="Arial Unicode MS"/>
          <w:sz w:val="24"/>
          <w:szCs w:val="24"/>
          <w:lang w:val="en-US" w:eastAsia="zh-CN"/>
        </w:rPr>
        <w:t>Adalimumab</w:t>
      </w:r>
      <w:proofErr w:type="spellEnd"/>
    </w:p>
    <w:p w14:paraId="09147136" w14:textId="77777777" w:rsidR="007258CB" w:rsidRDefault="007258CB" w:rsidP="00651BD2">
      <w:pPr>
        <w:spacing w:after="0" w:line="360" w:lineRule="auto"/>
        <w:jc w:val="both"/>
        <w:rPr>
          <w:rFonts w:ascii="Book Antiqua" w:hAnsi="Book Antiqua" w:cs="Arial Unicode MS"/>
          <w:sz w:val="24"/>
          <w:szCs w:val="24"/>
          <w:lang w:val="en-US" w:eastAsia="zh-CN"/>
        </w:rPr>
      </w:pPr>
    </w:p>
    <w:p w14:paraId="47DD1FA9" w14:textId="77777777" w:rsidR="007258CB" w:rsidRDefault="007258CB" w:rsidP="00651BD2">
      <w:pPr>
        <w:spacing w:line="360" w:lineRule="auto"/>
        <w:jc w:val="both"/>
        <w:rPr>
          <w:rFonts w:ascii="Book Antiqua" w:hAnsi="Book Antiqua" w:cs="Arial"/>
          <w:sz w:val="24"/>
        </w:rPr>
      </w:pPr>
      <w:bookmarkStart w:id="35" w:name="OLE_LINK105"/>
      <w:bookmarkStart w:id="36" w:name="OLE_LINK116"/>
      <w:r w:rsidRPr="00F55411">
        <w:rPr>
          <w:rFonts w:ascii="Book Antiqua" w:hAnsi="Book Antiqua"/>
          <w:b/>
          <w:sz w:val="24"/>
        </w:rPr>
        <w:t>©</w:t>
      </w:r>
      <w:r w:rsidRPr="00F55411">
        <w:rPr>
          <w:rFonts w:ascii="Book Antiqua" w:hAnsi="Book Antiqua" w:hint="eastAsia"/>
          <w:b/>
          <w:sz w:val="24"/>
        </w:rPr>
        <w:t xml:space="preserve"> </w:t>
      </w:r>
      <w:r w:rsidRPr="00F55411">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35"/>
    <w:bookmarkEnd w:id="36"/>
    <w:p w14:paraId="7C22FD51" w14:textId="77777777" w:rsidR="007258CB" w:rsidRPr="007258CB" w:rsidRDefault="007258CB" w:rsidP="00651BD2">
      <w:pPr>
        <w:spacing w:after="0" w:line="360" w:lineRule="auto"/>
        <w:jc w:val="both"/>
        <w:rPr>
          <w:rFonts w:ascii="Book Antiqua" w:eastAsia="Times New Roman" w:hAnsi="Book Antiqua" w:cs="Arial Unicode MS"/>
          <w:b/>
          <w:sz w:val="24"/>
          <w:szCs w:val="24"/>
          <w:lang w:val="en-US"/>
        </w:rPr>
      </w:pPr>
    </w:p>
    <w:p w14:paraId="0FF8C208" w14:textId="5A757E25" w:rsidR="00607FE7" w:rsidRPr="007258CB" w:rsidRDefault="008E431A" w:rsidP="00651BD2">
      <w:pPr>
        <w:spacing w:after="0" w:line="360" w:lineRule="auto"/>
        <w:jc w:val="both"/>
        <w:rPr>
          <w:rFonts w:ascii="Book Antiqua" w:hAnsi="Book Antiqua" w:cs="Arial Unicode MS"/>
          <w:b/>
          <w:sz w:val="24"/>
          <w:szCs w:val="24"/>
          <w:lang w:val="en-US"/>
        </w:rPr>
      </w:pPr>
      <w:r w:rsidRPr="003559D4">
        <w:rPr>
          <w:rFonts w:ascii="Book Antiqua" w:eastAsia="Times New Roman" w:hAnsi="Book Antiqua" w:cs="Arial Unicode MS"/>
          <w:b/>
          <w:sz w:val="24"/>
          <w:szCs w:val="24"/>
          <w:lang w:val="en-US"/>
        </w:rPr>
        <w:t>Core tip:</w:t>
      </w:r>
      <w:bookmarkEnd w:id="29"/>
      <w:bookmarkEnd w:id="30"/>
      <w:bookmarkEnd w:id="31"/>
      <w:bookmarkEnd w:id="32"/>
      <w:bookmarkEnd w:id="33"/>
      <w:bookmarkEnd w:id="34"/>
      <w:r w:rsidR="007258CB">
        <w:rPr>
          <w:rFonts w:ascii="Book Antiqua" w:hAnsi="Book Antiqua" w:cs="Arial Unicode MS" w:hint="eastAsia"/>
          <w:b/>
          <w:sz w:val="24"/>
          <w:szCs w:val="24"/>
          <w:lang w:val="en-US" w:eastAsia="zh-CN"/>
        </w:rPr>
        <w:t xml:space="preserve"> </w:t>
      </w:r>
      <w:r w:rsidR="001A63AD" w:rsidRPr="003559D4">
        <w:rPr>
          <w:rFonts w:ascii="Book Antiqua" w:hAnsi="Book Antiqua" w:cs="Arial"/>
          <w:sz w:val="24"/>
          <w:szCs w:val="24"/>
          <w:lang w:val="en-US"/>
        </w:rPr>
        <w:t xml:space="preserve">A total of 8 patients with </w:t>
      </w:r>
      <w:r w:rsidR="00607FE7" w:rsidRPr="003559D4">
        <w:rPr>
          <w:rFonts w:ascii="Book Antiqua" w:hAnsi="Book Antiqua" w:cs="Arial"/>
          <w:sz w:val="24"/>
          <w:szCs w:val="24"/>
          <w:lang w:val="en-US"/>
        </w:rPr>
        <w:t>anti-</w:t>
      </w:r>
      <w:r w:rsidR="007258CB" w:rsidRPr="007258CB">
        <w:rPr>
          <w:rFonts w:ascii="Book Antiqua" w:hAnsi="Book Antiqua" w:cs="Arial"/>
          <w:sz w:val="24"/>
          <w:szCs w:val="24"/>
          <w:lang w:val="en-US"/>
        </w:rPr>
        <w:t xml:space="preserve"> </w:t>
      </w:r>
      <w:r w:rsidR="007258CB" w:rsidRPr="003559D4">
        <w:rPr>
          <w:rFonts w:ascii="Book Antiqua" w:hAnsi="Book Antiqua" w:cs="Arial"/>
          <w:sz w:val="24"/>
          <w:szCs w:val="24"/>
          <w:lang w:val="en-US"/>
        </w:rPr>
        <w:t>tumor necrosis factor (TNF)</w:t>
      </w:r>
      <w:r w:rsidR="00607FE7" w:rsidRPr="003559D4">
        <w:rPr>
          <w:rFonts w:ascii="Book Antiqua" w:hAnsi="Book Antiqua" w:cs="Arial"/>
          <w:sz w:val="24"/>
          <w:szCs w:val="24"/>
          <w:lang w:val="en-US"/>
        </w:rPr>
        <w:t>-</w:t>
      </w:r>
      <w:r w:rsidR="00A6038C" w:rsidRPr="00A6038C">
        <w:rPr>
          <w:rFonts w:ascii="Symbol" w:hAnsi="Symbol" w:cs="宋体"/>
          <w:sz w:val="32"/>
          <w:szCs w:val="32"/>
        </w:rPr>
        <w:t></w:t>
      </w:r>
      <w:r w:rsidR="00A6038C">
        <w:rPr>
          <w:rFonts w:ascii="Symbol" w:hAnsi="Symbol" w:cs="宋体"/>
          <w:sz w:val="32"/>
          <w:szCs w:val="32"/>
        </w:rPr>
        <w:t></w:t>
      </w:r>
      <w:r w:rsidR="001A63AD" w:rsidRPr="003559D4">
        <w:rPr>
          <w:rFonts w:ascii="Book Antiqua" w:hAnsi="Book Antiqua" w:cs="Arial"/>
          <w:sz w:val="24"/>
          <w:szCs w:val="24"/>
          <w:lang w:val="en-US"/>
        </w:rPr>
        <w:t xml:space="preserve"> induced autoimmune hepatitis we</w:t>
      </w:r>
      <w:r w:rsidR="00607FE7" w:rsidRPr="003559D4">
        <w:rPr>
          <w:rFonts w:ascii="Book Antiqua" w:hAnsi="Book Antiqua" w:cs="Arial"/>
          <w:sz w:val="24"/>
          <w:szCs w:val="24"/>
          <w:lang w:val="en-US"/>
        </w:rPr>
        <w:t xml:space="preserve">re detected in a single-center with over 600 patients. The authors raise the question whether most cases represent autoimmune-like </w:t>
      </w:r>
      <w:r w:rsidR="002543A3" w:rsidRPr="003559D4">
        <w:rPr>
          <w:rFonts w:ascii="Book Antiqua" w:hAnsi="Book Antiqua" w:cs="Arial"/>
          <w:sz w:val="24"/>
          <w:szCs w:val="24"/>
          <w:lang w:val="en-US"/>
        </w:rPr>
        <w:t>drug-induced liver injury (DILI)</w:t>
      </w:r>
      <w:r w:rsidR="002543A3">
        <w:rPr>
          <w:rFonts w:ascii="Book Antiqua" w:hAnsi="Book Antiqua" w:cs="Arial" w:hint="eastAsia"/>
          <w:sz w:val="24"/>
          <w:szCs w:val="24"/>
          <w:lang w:val="en-US" w:eastAsia="zh-CN"/>
        </w:rPr>
        <w:t xml:space="preserve"> </w:t>
      </w:r>
      <w:r w:rsidR="00607FE7" w:rsidRPr="003559D4">
        <w:rPr>
          <w:rFonts w:ascii="Book Antiqua" w:hAnsi="Book Antiqua" w:cs="Arial"/>
          <w:sz w:val="24"/>
          <w:szCs w:val="24"/>
          <w:lang w:val="en-US"/>
        </w:rPr>
        <w:t xml:space="preserve">or defined </w:t>
      </w:r>
      <w:r w:rsidR="007258CB" w:rsidRPr="003559D4">
        <w:rPr>
          <w:rFonts w:ascii="Book Antiqua" w:hAnsi="Book Antiqua" w:cs="Arial"/>
          <w:sz w:val="24"/>
          <w:szCs w:val="24"/>
          <w:lang w:val="en-US"/>
        </w:rPr>
        <w:t>autoimmune hepatitis (AIH)</w:t>
      </w:r>
      <w:r w:rsidR="007258CB">
        <w:rPr>
          <w:rFonts w:ascii="Book Antiqua" w:hAnsi="Book Antiqua" w:cs="Arial" w:hint="eastAsia"/>
          <w:sz w:val="24"/>
          <w:szCs w:val="24"/>
          <w:lang w:val="en-US" w:eastAsia="zh-CN"/>
        </w:rPr>
        <w:t xml:space="preserve"> </w:t>
      </w:r>
      <w:r w:rsidR="00607FE7" w:rsidRPr="003559D4">
        <w:rPr>
          <w:rFonts w:ascii="Book Antiqua" w:hAnsi="Book Antiqua" w:cs="Arial"/>
          <w:sz w:val="24"/>
          <w:szCs w:val="24"/>
          <w:lang w:val="en-US"/>
        </w:rPr>
        <w:t xml:space="preserve">because the majority of patients responded favorably to steroids and did not require maintenance therapy corresponding to the former. Although anti-TNF-related AIH is rare, a baseline immunological panel along with liver function tests should be performed in all patients with autoimmune disease before </w:t>
      </w:r>
      <w:r w:rsidR="00607FE7" w:rsidRPr="003559D4">
        <w:rPr>
          <w:rFonts w:ascii="Book Antiqua" w:hAnsi="Book Antiqua" w:cs="Arial"/>
          <w:sz w:val="24"/>
          <w:szCs w:val="24"/>
          <w:lang w:val="en-US"/>
        </w:rPr>
        <w:lastRenderedPageBreak/>
        <w:t>starting biologics, in order to detect undiagnosed AIH or help differentiate between DILI and established AIH.</w:t>
      </w:r>
    </w:p>
    <w:p w14:paraId="553863AE" w14:textId="77777777" w:rsidR="001A63AD" w:rsidRPr="003559D4" w:rsidRDefault="001A63AD" w:rsidP="00651BD2">
      <w:pPr>
        <w:adjustRightInd w:val="0"/>
        <w:snapToGrid w:val="0"/>
        <w:spacing w:after="0" w:line="360" w:lineRule="auto"/>
        <w:jc w:val="both"/>
        <w:rPr>
          <w:rFonts w:ascii="Book Antiqua" w:hAnsi="Book Antiqua" w:cs="Arial"/>
          <w:sz w:val="24"/>
          <w:szCs w:val="24"/>
        </w:rPr>
      </w:pPr>
    </w:p>
    <w:p w14:paraId="6F54DB95" w14:textId="14BE61FF" w:rsidR="008E431A" w:rsidRPr="005D0B7D" w:rsidRDefault="001A63AD" w:rsidP="005D0B7D">
      <w:pPr>
        <w:spacing w:after="0" w:line="360" w:lineRule="auto"/>
        <w:jc w:val="both"/>
        <w:rPr>
          <w:rFonts w:ascii="Book Antiqua" w:hAnsi="Book Antiqua" w:cs="Arial"/>
          <w:b/>
          <w:sz w:val="24"/>
          <w:szCs w:val="24"/>
          <w:lang w:val="en-US" w:eastAsia="zh-CN"/>
        </w:rPr>
      </w:pPr>
      <w:r w:rsidRPr="003559D4">
        <w:rPr>
          <w:rFonts w:ascii="Book Antiqua" w:hAnsi="Book Antiqua" w:cs="Arial"/>
          <w:sz w:val="24"/>
          <w:szCs w:val="24"/>
        </w:rPr>
        <w:t>Rodrigues S, Lopes S, Magro F, Cardoso H, Horta e Vale AM, Marques M, Mariz E, Bernardes M, Lopes J, Carneiro F, Macedo G</w:t>
      </w:r>
      <w:r w:rsidR="00D661D8" w:rsidRPr="003559D4">
        <w:rPr>
          <w:rFonts w:ascii="Book Antiqua" w:hAnsi="Book Antiqua" w:cs="Arial"/>
          <w:sz w:val="24"/>
          <w:szCs w:val="24"/>
        </w:rPr>
        <w:t xml:space="preserve">. </w:t>
      </w:r>
      <w:bookmarkStart w:id="37" w:name="OLE_LINK424"/>
      <w:bookmarkStart w:id="38" w:name="OLE_LINK425"/>
      <w:r w:rsidR="005D0B7D" w:rsidRPr="005D0B7D">
        <w:rPr>
          <w:rFonts w:ascii="Book Antiqua" w:hAnsi="Book Antiqua" w:cs="Arial"/>
          <w:caps/>
          <w:sz w:val="24"/>
          <w:szCs w:val="24"/>
          <w:lang w:val="en-US"/>
        </w:rPr>
        <w:t>A</w:t>
      </w:r>
      <w:r w:rsidR="005D0B7D" w:rsidRPr="005D0B7D">
        <w:rPr>
          <w:rFonts w:ascii="Book Antiqua" w:hAnsi="Book Antiqua" w:cs="Arial"/>
          <w:sz w:val="24"/>
          <w:szCs w:val="24"/>
          <w:lang w:val="en-US"/>
        </w:rPr>
        <w:t>utoimmune hepatitis and anti-tumor necrosis factor</w:t>
      </w:r>
      <w:r w:rsidR="005D0B7D" w:rsidRPr="005D0B7D">
        <w:rPr>
          <w:rFonts w:ascii="Book Antiqua" w:hAnsi="Book Antiqua" w:cs="Arial" w:hint="eastAsia"/>
          <w:sz w:val="24"/>
          <w:szCs w:val="24"/>
          <w:lang w:val="en-US" w:eastAsia="zh-CN"/>
        </w:rPr>
        <w:t xml:space="preserve"> </w:t>
      </w:r>
      <w:r w:rsidR="005D0B7D" w:rsidRPr="005D0B7D">
        <w:rPr>
          <w:rFonts w:ascii="Book Antiqua" w:hAnsi="Book Antiqua" w:cs="Arial"/>
          <w:sz w:val="24"/>
          <w:szCs w:val="24"/>
          <w:lang w:val="en-US"/>
        </w:rPr>
        <w:t>alpha therapy</w:t>
      </w:r>
      <w:r w:rsidR="005D0B7D" w:rsidRPr="005D0B7D">
        <w:rPr>
          <w:rFonts w:ascii="Book Antiqua" w:hAnsi="Book Antiqua" w:cs="Arial"/>
          <w:caps/>
          <w:sz w:val="24"/>
          <w:szCs w:val="24"/>
          <w:lang w:val="en-US"/>
        </w:rPr>
        <w:t xml:space="preserve">: A </w:t>
      </w:r>
      <w:r w:rsidR="005D0B7D" w:rsidRPr="005D0B7D">
        <w:rPr>
          <w:rFonts w:ascii="Book Antiqua" w:hAnsi="Book Antiqua" w:cs="Arial"/>
          <w:sz w:val="24"/>
          <w:szCs w:val="24"/>
          <w:lang w:val="en-US"/>
        </w:rPr>
        <w:t>single center report of 8 cases</w:t>
      </w:r>
      <w:r w:rsidR="00D661D8" w:rsidRPr="005D0B7D">
        <w:rPr>
          <w:rFonts w:ascii="Book Antiqua" w:hAnsi="Book Antiqua" w:cs="Arial"/>
          <w:sz w:val="24"/>
          <w:szCs w:val="24"/>
        </w:rPr>
        <w:t xml:space="preserve">. </w:t>
      </w:r>
      <w:r w:rsidR="008E431A" w:rsidRPr="003559D4">
        <w:rPr>
          <w:rFonts w:ascii="Book Antiqua" w:hAnsi="Book Antiqua"/>
          <w:i/>
          <w:sz w:val="24"/>
          <w:szCs w:val="24"/>
        </w:rPr>
        <w:t>World J Gastroenterol</w:t>
      </w:r>
      <w:r w:rsidR="008E431A" w:rsidRPr="003559D4">
        <w:rPr>
          <w:rFonts w:ascii="Book Antiqua" w:hAnsi="Book Antiqua"/>
          <w:sz w:val="24"/>
          <w:szCs w:val="24"/>
        </w:rPr>
        <w:t xml:space="preserve"> 201</w:t>
      </w:r>
      <w:r w:rsidR="007258CB">
        <w:rPr>
          <w:rFonts w:ascii="Book Antiqua" w:hAnsi="Book Antiqua" w:hint="eastAsia"/>
          <w:sz w:val="24"/>
          <w:szCs w:val="24"/>
          <w:lang w:eastAsia="zh-CN"/>
        </w:rPr>
        <w:t>5</w:t>
      </w:r>
      <w:r w:rsidR="008E431A" w:rsidRPr="003559D4">
        <w:rPr>
          <w:rFonts w:ascii="Book Antiqua" w:hAnsi="Book Antiqua"/>
          <w:sz w:val="24"/>
          <w:szCs w:val="24"/>
        </w:rPr>
        <w:t xml:space="preserve">; </w:t>
      </w:r>
      <w:bookmarkStart w:id="39" w:name="OLE_LINK1689"/>
      <w:bookmarkStart w:id="40" w:name="OLE_LINK1298"/>
      <w:bookmarkStart w:id="41" w:name="OLE_LINK1297"/>
      <w:r w:rsidR="008E431A" w:rsidRPr="003559D4">
        <w:rPr>
          <w:rFonts w:ascii="Book Antiqua" w:hAnsi="Book Antiqua"/>
          <w:sz w:val="24"/>
          <w:szCs w:val="24"/>
        </w:rPr>
        <w:t>In press</w:t>
      </w:r>
      <w:bookmarkEnd w:id="39"/>
      <w:bookmarkEnd w:id="40"/>
      <w:bookmarkEnd w:id="41"/>
    </w:p>
    <w:bookmarkEnd w:id="37"/>
    <w:bookmarkEnd w:id="38"/>
    <w:p w14:paraId="2578C703" w14:textId="77777777" w:rsidR="00FF2959" w:rsidRPr="003559D4" w:rsidRDefault="00FF2959" w:rsidP="00651BD2">
      <w:pPr>
        <w:spacing w:after="0" w:line="360" w:lineRule="auto"/>
        <w:jc w:val="both"/>
        <w:rPr>
          <w:rFonts w:ascii="Book Antiqua" w:hAnsi="Book Antiqua" w:cs="Arial"/>
          <w:sz w:val="24"/>
          <w:szCs w:val="24"/>
          <w:lang w:val="en-US"/>
        </w:rPr>
      </w:pPr>
    </w:p>
    <w:p w14:paraId="25777683" w14:textId="77777777" w:rsidR="00FF2959" w:rsidRPr="003559D4" w:rsidRDefault="00FF2959" w:rsidP="00651BD2">
      <w:pPr>
        <w:spacing w:after="0" w:line="360" w:lineRule="auto"/>
        <w:jc w:val="both"/>
        <w:rPr>
          <w:rFonts w:ascii="Book Antiqua" w:hAnsi="Book Antiqua" w:cs="Arial"/>
          <w:sz w:val="24"/>
          <w:szCs w:val="24"/>
          <w:lang w:val="en-US"/>
        </w:rPr>
      </w:pPr>
    </w:p>
    <w:p w14:paraId="730A50CF" w14:textId="77777777" w:rsidR="00FF2959" w:rsidRPr="003559D4" w:rsidRDefault="00FF2959" w:rsidP="00651BD2">
      <w:pPr>
        <w:spacing w:after="0" w:line="360" w:lineRule="auto"/>
        <w:jc w:val="both"/>
        <w:rPr>
          <w:rFonts w:ascii="Book Antiqua" w:hAnsi="Book Antiqua" w:cs="Arial"/>
          <w:sz w:val="24"/>
          <w:szCs w:val="24"/>
          <w:lang w:val="en-US"/>
        </w:rPr>
      </w:pPr>
    </w:p>
    <w:p w14:paraId="6DCB1181" w14:textId="77777777" w:rsidR="00FF2959" w:rsidRPr="003559D4" w:rsidRDefault="008E431A" w:rsidP="00651BD2">
      <w:pPr>
        <w:spacing w:after="0" w:line="360" w:lineRule="auto"/>
        <w:jc w:val="both"/>
        <w:rPr>
          <w:rFonts w:ascii="Book Antiqua" w:hAnsi="Book Antiqua" w:cs="Arial"/>
          <w:b/>
          <w:sz w:val="24"/>
          <w:szCs w:val="24"/>
          <w:lang w:val="en-US" w:eastAsia="zh-CN"/>
        </w:rPr>
      </w:pPr>
      <w:r w:rsidRPr="003559D4">
        <w:rPr>
          <w:rFonts w:ascii="Book Antiqua" w:hAnsi="Book Antiqua" w:cs="Arial"/>
          <w:sz w:val="24"/>
          <w:szCs w:val="24"/>
          <w:lang w:val="en-US"/>
        </w:rPr>
        <w:br w:type="page"/>
      </w:r>
      <w:r w:rsidRPr="003559D4">
        <w:rPr>
          <w:rFonts w:ascii="Book Antiqua" w:hAnsi="Book Antiqua" w:cs="Arial"/>
          <w:b/>
          <w:sz w:val="24"/>
          <w:szCs w:val="24"/>
          <w:lang w:val="en-US"/>
        </w:rPr>
        <w:lastRenderedPageBreak/>
        <w:t>INTRODUCTION</w:t>
      </w:r>
    </w:p>
    <w:p w14:paraId="226B68E4" w14:textId="687544C1" w:rsidR="00A07DCA" w:rsidRPr="003559D4" w:rsidRDefault="00FF2959" w:rsidP="00651BD2">
      <w:pPr>
        <w:spacing w:after="0" w:line="360" w:lineRule="auto"/>
        <w:jc w:val="both"/>
        <w:rPr>
          <w:rFonts w:ascii="Book Antiqua" w:hAnsi="Book Antiqua" w:cs="Arial"/>
          <w:sz w:val="24"/>
          <w:szCs w:val="24"/>
          <w:lang w:val="en-US"/>
        </w:rPr>
      </w:pPr>
      <w:r w:rsidRPr="003559D4">
        <w:rPr>
          <w:rFonts w:ascii="Book Antiqua" w:hAnsi="Book Antiqua" w:cs="Arial"/>
          <w:sz w:val="24"/>
          <w:szCs w:val="24"/>
          <w:lang w:val="en-US"/>
        </w:rPr>
        <w:t xml:space="preserve">The growing use of anti-tumor necrosis factor (TNF) agents in the treatment of autoimmune diseases has increased exponentially in the last decade. As a consequence of the boost in anti-TNF drugs and longer follow-up periods, autoimmune diseases associated to anti-TNF agents have also been increasingly diagnosed. Although psoriasis and lupus-like syndromes are among the most frequent, cases of reported autoimmune hepatitis (AIH) are scarce. A recent review of TNF </w:t>
      </w:r>
      <w:r w:rsidR="00A6038C">
        <w:rPr>
          <w:rFonts w:ascii="Symbol" w:hAnsi="Symbol" w:cs="宋体"/>
          <w:sz w:val="32"/>
          <w:szCs w:val="32"/>
        </w:rPr>
        <w:t></w:t>
      </w:r>
      <w:r w:rsidRPr="003559D4">
        <w:rPr>
          <w:rFonts w:ascii="Book Antiqua" w:hAnsi="Book Antiqua" w:cs="Arial"/>
          <w:sz w:val="24"/>
          <w:szCs w:val="24"/>
          <w:lang w:val="en-US"/>
        </w:rPr>
        <w:t xml:space="preserve"> antagonist associated drug-induced liver injury (DILI), in the United States, identified 6 subjects and analyzed 28 published </w:t>
      </w:r>
      <w:proofErr w:type="gramStart"/>
      <w:r w:rsidRPr="003559D4">
        <w:rPr>
          <w:rFonts w:ascii="Book Antiqua" w:hAnsi="Book Antiqua" w:cs="Arial"/>
          <w:sz w:val="24"/>
          <w:szCs w:val="24"/>
          <w:lang w:val="en-US"/>
        </w:rPr>
        <w:t>cases</w:t>
      </w:r>
      <w:r w:rsidR="00651BD2">
        <w:rPr>
          <w:rFonts w:ascii="Book Antiqua" w:hAnsi="Book Antiqua" w:cs="Arial" w:hint="eastAsia"/>
          <w:sz w:val="24"/>
          <w:szCs w:val="24"/>
          <w:vertAlign w:val="superscript"/>
          <w:lang w:val="en-US" w:eastAsia="zh-CN"/>
        </w:rPr>
        <w:t>[</w:t>
      </w:r>
      <w:proofErr w:type="gramEnd"/>
      <w:r w:rsidRPr="003559D4">
        <w:rPr>
          <w:rFonts w:ascii="Book Antiqua" w:hAnsi="Book Antiqua" w:cs="Arial"/>
          <w:sz w:val="24"/>
          <w:szCs w:val="24"/>
          <w:vertAlign w:val="superscript"/>
          <w:lang w:val="en-US"/>
        </w:rPr>
        <w:t>1</w:t>
      </w:r>
      <w:r w:rsidR="00651BD2">
        <w:rPr>
          <w:rFonts w:ascii="Book Antiqua" w:hAnsi="Book Antiqua" w:cs="Arial" w:hint="eastAsia"/>
          <w:sz w:val="24"/>
          <w:szCs w:val="24"/>
          <w:vertAlign w:val="superscript"/>
          <w:lang w:val="en-US" w:eastAsia="zh-CN"/>
        </w:rPr>
        <w:t>]</w:t>
      </w:r>
      <w:r w:rsidRPr="003559D4">
        <w:rPr>
          <w:rFonts w:ascii="Book Antiqua" w:hAnsi="Book Antiqua" w:cs="Arial"/>
          <w:sz w:val="24"/>
          <w:szCs w:val="24"/>
          <w:lang w:val="en-US"/>
        </w:rPr>
        <w:t xml:space="preserve">. </w:t>
      </w:r>
      <w:r w:rsidR="00BC5C1E" w:rsidRPr="003559D4">
        <w:rPr>
          <w:rFonts w:ascii="Book Antiqua" w:hAnsi="Book Antiqua" w:cs="Arial"/>
          <w:sz w:val="24"/>
          <w:szCs w:val="24"/>
          <w:lang w:val="en-US"/>
        </w:rPr>
        <w:t>One of the major discussions</w:t>
      </w:r>
      <w:r w:rsidR="00807E9F" w:rsidRPr="003559D4">
        <w:rPr>
          <w:rFonts w:ascii="Book Antiqua" w:hAnsi="Book Antiqua" w:cs="Arial"/>
          <w:sz w:val="24"/>
          <w:szCs w:val="24"/>
          <w:lang w:val="en-US"/>
        </w:rPr>
        <w:t xml:space="preserve"> is the </w:t>
      </w:r>
      <w:r w:rsidR="00A07DCA" w:rsidRPr="003559D4">
        <w:rPr>
          <w:rFonts w:ascii="Book Antiqua" w:hAnsi="Book Antiqua" w:cs="Arial"/>
          <w:sz w:val="24"/>
          <w:szCs w:val="24"/>
          <w:lang w:val="en-US"/>
        </w:rPr>
        <w:t xml:space="preserve">importance of the </w:t>
      </w:r>
      <w:r w:rsidR="00807E9F" w:rsidRPr="003559D4">
        <w:rPr>
          <w:rFonts w:ascii="Book Antiqua" w:hAnsi="Book Antiqua" w:cs="Arial"/>
          <w:sz w:val="24"/>
          <w:szCs w:val="24"/>
          <w:lang w:val="en-US"/>
        </w:rPr>
        <w:t>distinction between autoimmune hepatitis and drug-induced autoimmunity</w:t>
      </w:r>
      <w:r w:rsidR="00A07DCA" w:rsidRPr="003559D4">
        <w:rPr>
          <w:rFonts w:ascii="Book Antiqua" w:hAnsi="Book Antiqua" w:cs="Arial"/>
          <w:sz w:val="24"/>
          <w:szCs w:val="24"/>
          <w:lang w:val="en-US"/>
        </w:rPr>
        <w:t xml:space="preserve"> because of the long-term repercussions that the disease may hold for these patients.</w:t>
      </w:r>
    </w:p>
    <w:p w14:paraId="0DA3C361" w14:textId="75DB8EDB" w:rsidR="00FF2959" w:rsidRPr="003559D4" w:rsidRDefault="00FF2959" w:rsidP="00651BD2">
      <w:pPr>
        <w:spacing w:after="0" w:line="360" w:lineRule="auto"/>
        <w:ind w:firstLineChars="200" w:firstLine="480"/>
        <w:jc w:val="both"/>
        <w:rPr>
          <w:rFonts w:ascii="Book Antiqua" w:hAnsi="Book Antiqua" w:cs="Arial"/>
          <w:sz w:val="24"/>
          <w:szCs w:val="24"/>
          <w:lang w:val="en-US" w:eastAsia="zh-CN"/>
        </w:rPr>
      </w:pPr>
      <w:r w:rsidRPr="003559D4">
        <w:rPr>
          <w:rFonts w:ascii="Book Antiqua" w:hAnsi="Book Antiqua" w:cs="Arial"/>
          <w:sz w:val="24"/>
          <w:szCs w:val="24"/>
          <w:lang w:val="en-US"/>
        </w:rPr>
        <w:t>In our center, we have analyzed the medical records of our patients undergoing anti-TNF</w:t>
      </w:r>
      <w:r w:rsidR="00A6038C">
        <w:rPr>
          <w:rFonts w:ascii="Book Antiqua" w:hAnsi="Book Antiqua" w:cs="Arial"/>
          <w:sz w:val="24"/>
          <w:szCs w:val="24"/>
          <w:lang w:val="en-US"/>
        </w:rPr>
        <w:t xml:space="preserve"> </w:t>
      </w:r>
      <w:r w:rsidR="00A6038C">
        <w:rPr>
          <w:rFonts w:ascii="Symbol" w:hAnsi="Symbol" w:cs="宋体"/>
          <w:sz w:val="32"/>
          <w:szCs w:val="32"/>
        </w:rPr>
        <w:t></w:t>
      </w:r>
      <w:r w:rsidR="00A6038C">
        <w:rPr>
          <w:rFonts w:ascii="Symbol" w:hAnsi="Symbol" w:cs="宋体"/>
          <w:sz w:val="32"/>
          <w:szCs w:val="32"/>
        </w:rPr>
        <w:t></w:t>
      </w:r>
      <w:r w:rsidRPr="003559D4">
        <w:rPr>
          <w:rFonts w:ascii="Book Antiqua" w:hAnsi="Book Antiqua" w:cs="Arial"/>
          <w:sz w:val="24"/>
          <w:szCs w:val="24"/>
          <w:lang w:val="en-US"/>
        </w:rPr>
        <w:t xml:space="preserve">therapy (over 600 patients), in order to detect cases of AIH associated to anti-TNF biologic agents. </w:t>
      </w:r>
      <w:r w:rsidR="003D76F8" w:rsidRPr="003559D4">
        <w:rPr>
          <w:rFonts w:ascii="Book Antiqua" w:hAnsi="Book Antiqua" w:cs="Arial"/>
          <w:sz w:val="24"/>
          <w:szCs w:val="24"/>
          <w:lang w:val="en-US"/>
        </w:rPr>
        <w:t xml:space="preserve">This population included patients with inflammatory bowel disease (IBD) and autoimmune </w:t>
      </w:r>
      <w:proofErr w:type="spellStart"/>
      <w:r w:rsidR="003D76F8" w:rsidRPr="003559D4">
        <w:rPr>
          <w:rFonts w:ascii="Book Antiqua" w:hAnsi="Book Antiqua" w:cs="Arial"/>
          <w:sz w:val="24"/>
          <w:szCs w:val="24"/>
          <w:lang w:val="en-US"/>
        </w:rPr>
        <w:t>rheumatological</w:t>
      </w:r>
      <w:proofErr w:type="spellEnd"/>
      <w:r w:rsidR="003D76F8" w:rsidRPr="003559D4">
        <w:rPr>
          <w:rFonts w:ascii="Book Antiqua" w:hAnsi="Book Antiqua" w:cs="Arial"/>
          <w:sz w:val="24"/>
          <w:szCs w:val="24"/>
          <w:lang w:val="en-US"/>
        </w:rPr>
        <w:t xml:space="preserve"> (rheumatoid arthritis, </w:t>
      </w:r>
      <w:proofErr w:type="spellStart"/>
      <w:r w:rsidR="00BC5C1E" w:rsidRPr="003559D4">
        <w:rPr>
          <w:rFonts w:ascii="Book Antiqua" w:hAnsi="Book Antiqua" w:cs="Arial"/>
          <w:sz w:val="24"/>
          <w:szCs w:val="24"/>
          <w:lang w:val="en-US"/>
        </w:rPr>
        <w:t>ankylosing</w:t>
      </w:r>
      <w:proofErr w:type="spellEnd"/>
      <w:r w:rsidR="00BC5C1E" w:rsidRPr="003559D4">
        <w:rPr>
          <w:rFonts w:ascii="Book Antiqua" w:hAnsi="Book Antiqua" w:cs="Arial"/>
          <w:sz w:val="24"/>
          <w:szCs w:val="24"/>
          <w:lang w:val="en-US"/>
        </w:rPr>
        <w:t xml:space="preserve"> spondy</w:t>
      </w:r>
      <w:r w:rsidR="003D76F8" w:rsidRPr="003559D4">
        <w:rPr>
          <w:rFonts w:ascii="Book Antiqua" w:hAnsi="Book Antiqua" w:cs="Arial"/>
          <w:sz w:val="24"/>
          <w:szCs w:val="24"/>
          <w:lang w:val="en-US"/>
        </w:rPr>
        <w:t>litis</w:t>
      </w:r>
      <w:r w:rsidR="00BC5C1E" w:rsidRPr="003559D4">
        <w:rPr>
          <w:rFonts w:ascii="Book Antiqua" w:hAnsi="Book Antiqua" w:cs="Arial"/>
          <w:sz w:val="24"/>
          <w:szCs w:val="24"/>
          <w:lang w:val="en-US"/>
        </w:rPr>
        <w:t>)</w:t>
      </w:r>
      <w:r w:rsidR="003D76F8" w:rsidRPr="003559D4">
        <w:rPr>
          <w:rFonts w:ascii="Book Antiqua" w:hAnsi="Book Antiqua" w:cs="Arial"/>
          <w:sz w:val="24"/>
          <w:szCs w:val="24"/>
          <w:lang w:val="en-US"/>
        </w:rPr>
        <w:t xml:space="preserve"> and dermatological diseases</w:t>
      </w:r>
      <w:r w:rsidR="00BC5C1E" w:rsidRPr="003559D4">
        <w:rPr>
          <w:rFonts w:ascii="Book Antiqua" w:hAnsi="Book Antiqua" w:cs="Arial"/>
          <w:sz w:val="24"/>
          <w:szCs w:val="24"/>
          <w:lang w:val="en-US"/>
        </w:rPr>
        <w:t xml:space="preserve"> (psoriasis)</w:t>
      </w:r>
      <w:r w:rsidR="003D76F8" w:rsidRPr="003559D4">
        <w:rPr>
          <w:rFonts w:ascii="Book Antiqua" w:hAnsi="Book Antiqua" w:cs="Arial"/>
          <w:sz w:val="24"/>
          <w:szCs w:val="24"/>
          <w:lang w:val="en-US"/>
        </w:rPr>
        <w:t xml:space="preserve"> undergoing treatment with infliximab</w:t>
      </w:r>
      <w:r w:rsidR="00CC03FC" w:rsidRPr="003559D4">
        <w:rPr>
          <w:rFonts w:ascii="Book Antiqua" w:hAnsi="Book Antiqua" w:cs="Arial"/>
          <w:sz w:val="24"/>
          <w:szCs w:val="24"/>
          <w:lang w:val="en-US"/>
        </w:rPr>
        <w:t xml:space="preserve"> (IFX)</w:t>
      </w:r>
      <w:r w:rsidR="003D76F8" w:rsidRPr="003559D4">
        <w:rPr>
          <w:rFonts w:ascii="Book Antiqua" w:hAnsi="Book Antiqua" w:cs="Arial"/>
          <w:sz w:val="24"/>
          <w:szCs w:val="24"/>
          <w:lang w:val="en-US"/>
        </w:rPr>
        <w:t xml:space="preserve">, </w:t>
      </w:r>
      <w:proofErr w:type="spellStart"/>
      <w:r w:rsidR="003D76F8" w:rsidRPr="003559D4">
        <w:rPr>
          <w:rFonts w:ascii="Book Antiqua" w:hAnsi="Book Antiqua" w:cs="Arial"/>
          <w:sz w:val="24"/>
          <w:szCs w:val="24"/>
          <w:lang w:val="en-US"/>
        </w:rPr>
        <w:t>adalimumab</w:t>
      </w:r>
      <w:proofErr w:type="spellEnd"/>
      <w:r w:rsidR="00CC03FC" w:rsidRPr="003559D4">
        <w:rPr>
          <w:rFonts w:ascii="Book Antiqua" w:hAnsi="Book Antiqua" w:cs="Arial"/>
          <w:sz w:val="24"/>
          <w:szCs w:val="24"/>
          <w:lang w:val="en-US"/>
        </w:rPr>
        <w:t xml:space="preserve"> (ADA)</w:t>
      </w:r>
      <w:r w:rsidR="003D76F8" w:rsidRPr="003559D4">
        <w:rPr>
          <w:rFonts w:ascii="Book Antiqua" w:hAnsi="Book Antiqua" w:cs="Arial"/>
          <w:sz w:val="24"/>
          <w:szCs w:val="24"/>
          <w:lang w:val="en-US"/>
        </w:rPr>
        <w:t xml:space="preserve"> or </w:t>
      </w:r>
      <w:proofErr w:type="spellStart"/>
      <w:r w:rsidR="003D76F8" w:rsidRPr="003559D4">
        <w:rPr>
          <w:rFonts w:ascii="Book Antiqua" w:hAnsi="Book Antiqua" w:cs="Arial"/>
          <w:sz w:val="24"/>
          <w:szCs w:val="24"/>
          <w:lang w:val="en-US"/>
        </w:rPr>
        <w:t>etarnecept</w:t>
      </w:r>
      <w:proofErr w:type="spellEnd"/>
      <w:r w:rsidR="003D76F8" w:rsidRPr="003559D4">
        <w:rPr>
          <w:rFonts w:ascii="Book Antiqua" w:hAnsi="Book Antiqua" w:cs="Arial"/>
          <w:sz w:val="24"/>
          <w:szCs w:val="24"/>
          <w:lang w:val="en-US"/>
        </w:rPr>
        <w:t>. We</w:t>
      </w:r>
      <w:r w:rsidRPr="003559D4">
        <w:rPr>
          <w:rFonts w:ascii="Book Antiqua" w:hAnsi="Book Antiqua" w:cs="Arial"/>
          <w:sz w:val="24"/>
          <w:szCs w:val="24"/>
          <w:lang w:val="en-US"/>
        </w:rPr>
        <w:t xml:space="preserve"> were able to evaluate eight cases of AIH relating to anti-TNF.</w:t>
      </w:r>
      <w:r w:rsidR="000A3A5F" w:rsidRPr="003559D4">
        <w:rPr>
          <w:rFonts w:ascii="Book Antiqua" w:hAnsi="Book Antiqua" w:cs="Arial"/>
          <w:sz w:val="24"/>
          <w:szCs w:val="24"/>
          <w:lang w:val="en-US"/>
        </w:rPr>
        <w:t xml:space="preserve"> </w:t>
      </w:r>
    </w:p>
    <w:p w14:paraId="5E8B1DD4" w14:textId="77777777" w:rsidR="008E431A" w:rsidRPr="003559D4" w:rsidRDefault="008E431A" w:rsidP="00651BD2">
      <w:pPr>
        <w:spacing w:after="0" w:line="360" w:lineRule="auto"/>
        <w:jc w:val="both"/>
        <w:rPr>
          <w:rFonts w:ascii="Book Antiqua" w:hAnsi="Book Antiqua" w:cs="Arial"/>
          <w:sz w:val="24"/>
          <w:szCs w:val="24"/>
          <w:lang w:val="en-US" w:eastAsia="zh-CN"/>
        </w:rPr>
      </w:pPr>
    </w:p>
    <w:p w14:paraId="1A0433B2" w14:textId="77777777" w:rsidR="00FF2959" w:rsidRPr="003559D4" w:rsidRDefault="008E431A" w:rsidP="00651BD2">
      <w:pPr>
        <w:spacing w:after="0" w:line="360" w:lineRule="auto"/>
        <w:jc w:val="both"/>
        <w:rPr>
          <w:rFonts w:ascii="Book Antiqua" w:hAnsi="Book Antiqua" w:cs="Arial"/>
          <w:b/>
          <w:sz w:val="24"/>
          <w:szCs w:val="24"/>
          <w:lang w:val="en-US" w:eastAsia="zh-CN"/>
        </w:rPr>
      </w:pPr>
      <w:r w:rsidRPr="003559D4">
        <w:rPr>
          <w:rFonts w:ascii="Book Antiqua" w:hAnsi="Book Antiqua" w:cs="Arial"/>
          <w:b/>
          <w:sz w:val="24"/>
          <w:szCs w:val="24"/>
          <w:lang w:val="en-US"/>
        </w:rPr>
        <w:t>CASE</w:t>
      </w:r>
      <w:r w:rsidRPr="003559D4">
        <w:rPr>
          <w:rFonts w:ascii="Book Antiqua" w:hAnsi="Book Antiqua" w:cs="Arial"/>
          <w:b/>
          <w:sz w:val="24"/>
          <w:szCs w:val="24"/>
          <w:lang w:val="en-US" w:eastAsia="zh-CN"/>
        </w:rPr>
        <w:t xml:space="preserve"> REPORT</w:t>
      </w:r>
    </w:p>
    <w:p w14:paraId="2E3FF9CC" w14:textId="0304533C" w:rsidR="00FF2959" w:rsidRPr="003559D4" w:rsidRDefault="00FF2959" w:rsidP="00651BD2">
      <w:pPr>
        <w:spacing w:after="0" w:line="360" w:lineRule="auto"/>
        <w:jc w:val="both"/>
        <w:rPr>
          <w:rFonts w:ascii="Book Antiqua" w:hAnsi="Book Antiqua" w:cs="Arial"/>
          <w:sz w:val="24"/>
          <w:szCs w:val="24"/>
          <w:lang w:val="en-US" w:eastAsia="zh-CN"/>
        </w:rPr>
      </w:pPr>
      <w:r w:rsidRPr="003559D4">
        <w:rPr>
          <w:rFonts w:ascii="Book Antiqua" w:hAnsi="Book Antiqua" w:cs="Arial"/>
          <w:sz w:val="24"/>
          <w:szCs w:val="24"/>
          <w:lang w:val="en-US"/>
        </w:rPr>
        <w:t xml:space="preserve">We report seven patients who developed AIH during anti-TNF therapy and one patient with previously undiagnosed AIH who experienced a DILI after anti-TNF treatment that lead to the diagnosis of cirrhosis (Table 1). </w:t>
      </w:r>
      <w:r w:rsidR="00CC03FC" w:rsidRPr="003559D4">
        <w:rPr>
          <w:rFonts w:ascii="Book Antiqua" w:hAnsi="Book Antiqua" w:cs="Arial"/>
          <w:sz w:val="24"/>
          <w:szCs w:val="24"/>
          <w:lang w:val="en-US"/>
        </w:rPr>
        <w:t>IFX</w:t>
      </w:r>
      <w:r w:rsidRPr="003559D4">
        <w:rPr>
          <w:rFonts w:ascii="Book Antiqua" w:hAnsi="Book Antiqua" w:cs="Arial"/>
          <w:sz w:val="24"/>
          <w:szCs w:val="24"/>
          <w:lang w:val="en-US"/>
        </w:rPr>
        <w:t xml:space="preserve"> was the anti-TNF agent involved in 7 cases and </w:t>
      </w:r>
      <w:r w:rsidR="00CC03FC" w:rsidRPr="003559D4">
        <w:rPr>
          <w:rFonts w:ascii="Book Antiqua" w:hAnsi="Book Antiqua" w:cs="Arial"/>
          <w:sz w:val="24"/>
          <w:szCs w:val="24"/>
          <w:lang w:val="en-US"/>
        </w:rPr>
        <w:t>ADA</w:t>
      </w:r>
      <w:r w:rsidRPr="003559D4">
        <w:rPr>
          <w:rFonts w:ascii="Book Antiqua" w:hAnsi="Book Antiqua" w:cs="Arial"/>
          <w:sz w:val="24"/>
          <w:szCs w:val="24"/>
          <w:lang w:val="en-US"/>
        </w:rPr>
        <w:t xml:space="preserve"> in one. The number of infusions of IFX before the diagnosis of AIH varied between 4 and 13. In six cases, patients were asymptomatic and AIH was diagnosed due to LFTs. All of the patients had a complete work-up to exclude other etiologies including viral</w:t>
      </w:r>
      <w:r w:rsidR="00A07DCA" w:rsidRPr="003559D4">
        <w:rPr>
          <w:rFonts w:ascii="Book Antiqua" w:hAnsi="Book Antiqua" w:cs="Arial"/>
          <w:sz w:val="24"/>
          <w:szCs w:val="24"/>
          <w:lang w:val="en-US"/>
        </w:rPr>
        <w:t xml:space="preserve"> (anti-HCV</w:t>
      </w:r>
      <w:r w:rsidRPr="003559D4">
        <w:rPr>
          <w:rFonts w:ascii="Book Antiqua" w:hAnsi="Book Antiqua" w:cs="Arial"/>
          <w:sz w:val="24"/>
          <w:szCs w:val="24"/>
          <w:lang w:val="en-US"/>
        </w:rPr>
        <w:t>,</w:t>
      </w:r>
      <w:r w:rsidR="00A07DCA" w:rsidRPr="003559D4">
        <w:rPr>
          <w:rFonts w:ascii="Book Antiqua" w:hAnsi="Book Antiqua" w:cs="Arial"/>
          <w:sz w:val="24"/>
          <w:szCs w:val="24"/>
          <w:lang w:val="en-US"/>
        </w:rPr>
        <w:t xml:space="preserve"> anti-HBs and </w:t>
      </w:r>
      <w:proofErr w:type="spellStart"/>
      <w:r w:rsidR="00A07DCA" w:rsidRPr="003559D4">
        <w:rPr>
          <w:rFonts w:ascii="Book Antiqua" w:hAnsi="Book Antiqua" w:cs="Arial"/>
          <w:sz w:val="24"/>
          <w:szCs w:val="24"/>
          <w:lang w:val="en-US"/>
        </w:rPr>
        <w:t>HBc</w:t>
      </w:r>
      <w:proofErr w:type="spellEnd"/>
      <w:r w:rsidR="00A07DCA" w:rsidRPr="003559D4">
        <w:rPr>
          <w:rFonts w:ascii="Book Antiqua" w:hAnsi="Book Antiqua" w:cs="Arial"/>
          <w:sz w:val="24"/>
          <w:szCs w:val="24"/>
          <w:lang w:val="en-US"/>
        </w:rPr>
        <w:t xml:space="preserve"> antibodies and HBs antigen),</w:t>
      </w:r>
      <w:r w:rsidRPr="003559D4">
        <w:rPr>
          <w:rFonts w:ascii="Book Antiqua" w:hAnsi="Book Antiqua" w:cs="Arial"/>
          <w:sz w:val="24"/>
          <w:szCs w:val="24"/>
          <w:lang w:val="en-US"/>
        </w:rPr>
        <w:t xml:space="preserve"> toxic, metabolic</w:t>
      </w:r>
      <w:r w:rsidR="00A07DCA" w:rsidRPr="003559D4">
        <w:rPr>
          <w:rFonts w:ascii="Book Antiqua" w:hAnsi="Book Antiqua" w:cs="Arial"/>
          <w:sz w:val="24"/>
          <w:szCs w:val="24"/>
          <w:lang w:val="en-US"/>
        </w:rPr>
        <w:t xml:space="preserve"> (</w:t>
      </w:r>
      <w:r w:rsidR="00A6038C">
        <w:rPr>
          <w:rFonts w:ascii="Symbol" w:hAnsi="Symbol" w:cs="宋体"/>
          <w:sz w:val="32"/>
          <w:szCs w:val="32"/>
        </w:rPr>
        <w:t></w:t>
      </w:r>
      <w:r w:rsidR="00A07DCA" w:rsidRPr="003559D4">
        <w:rPr>
          <w:rFonts w:ascii="Book Antiqua" w:hAnsi="Book Antiqua" w:cs="Arial"/>
          <w:sz w:val="24"/>
          <w:szCs w:val="24"/>
          <w:lang w:val="en-US"/>
        </w:rPr>
        <w:t xml:space="preserve">-1 antitrypsin, iron saturation, ferritin, </w:t>
      </w:r>
      <w:proofErr w:type="spellStart"/>
      <w:r w:rsidR="00A07DCA" w:rsidRPr="003559D4">
        <w:rPr>
          <w:rFonts w:ascii="Book Antiqua" w:hAnsi="Book Antiqua" w:cs="Arial"/>
          <w:sz w:val="24"/>
          <w:szCs w:val="24"/>
          <w:lang w:val="en-US"/>
        </w:rPr>
        <w:t>ceruloplasmin</w:t>
      </w:r>
      <w:proofErr w:type="spellEnd"/>
      <w:r w:rsidR="00A07DCA" w:rsidRPr="003559D4">
        <w:rPr>
          <w:rFonts w:ascii="Book Antiqua" w:hAnsi="Book Antiqua" w:cs="Arial"/>
          <w:sz w:val="24"/>
          <w:szCs w:val="24"/>
          <w:lang w:val="en-US"/>
        </w:rPr>
        <w:t>)</w:t>
      </w:r>
      <w:r w:rsidRPr="003559D4">
        <w:rPr>
          <w:rFonts w:ascii="Book Antiqua" w:hAnsi="Book Antiqua" w:cs="Arial"/>
          <w:sz w:val="24"/>
          <w:szCs w:val="24"/>
          <w:lang w:val="en-US"/>
        </w:rPr>
        <w:t>, other autoimmune liver diseases</w:t>
      </w:r>
      <w:r w:rsidR="008D36C7" w:rsidRPr="003559D4">
        <w:rPr>
          <w:rFonts w:ascii="Book Antiqua" w:hAnsi="Book Antiqua" w:cs="Arial"/>
          <w:sz w:val="24"/>
          <w:szCs w:val="24"/>
          <w:lang w:val="en-US"/>
        </w:rPr>
        <w:t xml:space="preserve"> (anti-</w:t>
      </w:r>
      <w:r w:rsidR="008D36C7" w:rsidRPr="003559D4">
        <w:rPr>
          <w:rFonts w:ascii="Book Antiqua" w:hAnsi="Book Antiqua" w:cs="Arial"/>
          <w:sz w:val="24"/>
          <w:szCs w:val="24"/>
          <w:lang w:val="en-US"/>
        </w:rPr>
        <w:lastRenderedPageBreak/>
        <w:t>mitochondrial and ANCA antibodies)</w:t>
      </w:r>
      <w:r w:rsidRPr="003559D4">
        <w:rPr>
          <w:rFonts w:ascii="Book Antiqua" w:hAnsi="Book Antiqua" w:cs="Arial"/>
          <w:sz w:val="24"/>
          <w:szCs w:val="24"/>
          <w:lang w:val="en-US"/>
        </w:rPr>
        <w:t xml:space="preserve">, in particular those associated to </w:t>
      </w:r>
      <w:r w:rsidR="008D36C7" w:rsidRPr="003559D4">
        <w:rPr>
          <w:rFonts w:ascii="Book Antiqua" w:hAnsi="Book Antiqua" w:cs="Arial"/>
          <w:sz w:val="24"/>
          <w:szCs w:val="24"/>
          <w:lang w:val="en-US"/>
        </w:rPr>
        <w:t>IBD</w:t>
      </w:r>
      <w:r w:rsidRPr="003559D4">
        <w:rPr>
          <w:rFonts w:ascii="Book Antiqua" w:hAnsi="Book Antiqua" w:cs="Arial"/>
          <w:sz w:val="24"/>
          <w:szCs w:val="24"/>
          <w:lang w:val="en-US"/>
        </w:rPr>
        <w:t xml:space="preserve">, such as primary </w:t>
      </w:r>
      <w:proofErr w:type="spellStart"/>
      <w:r w:rsidRPr="003559D4">
        <w:rPr>
          <w:rFonts w:ascii="Book Antiqua" w:hAnsi="Book Antiqua" w:cs="Arial"/>
          <w:sz w:val="24"/>
          <w:szCs w:val="24"/>
          <w:lang w:val="en-US"/>
        </w:rPr>
        <w:t>sclerosing</w:t>
      </w:r>
      <w:proofErr w:type="spellEnd"/>
      <w:r w:rsidRPr="003559D4">
        <w:rPr>
          <w:rFonts w:ascii="Book Antiqua" w:hAnsi="Book Antiqua" w:cs="Arial"/>
          <w:sz w:val="24"/>
          <w:szCs w:val="24"/>
          <w:lang w:val="en-US"/>
        </w:rPr>
        <w:t xml:space="preserve"> cholangitis</w:t>
      </w:r>
      <w:r w:rsidR="008D36C7" w:rsidRPr="003559D4">
        <w:rPr>
          <w:rFonts w:ascii="Book Antiqua" w:hAnsi="Book Antiqua" w:cs="Arial"/>
          <w:sz w:val="24"/>
          <w:szCs w:val="24"/>
          <w:lang w:val="en-US"/>
        </w:rPr>
        <w:t xml:space="preserve"> (liver MRI)</w:t>
      </w:r>
      <w:r w:rsidRPr="003559D4">
        <w:rPr>
          <w:rFonts w:ascii="Book Antiqua" w:hAnsi="Book Antiqua" w:cs="Arial"/>
          <w:sz w:val="24"/>
          <w:szCs w:val="24"/>
          <w:lang w:val="en-US"/>
        </w:rPr>
        <w:t xml:space="preserve">. Liver histology was obtained in all cases </w:t>
      </w:r>
      <w:r w:rsidR="000A3A5F" w:rsidRPr="003559D4">
        <w:rPr>
          <w:rFonts w:ascii="Book Antiqua" w:hAnsi="Book Antiqua" w:cs="Arial"/>
          <w:sz w:val="24"/>
          <w:szCs w:val="24"/>
          <w:lang w:val="en-US"/>
        </w:rPr>
        <w:t xml:space="preserve">and each case showed signs of autoimmune hepatitis (chronic </w:t>
      </w:r>
      <w:proofErr w:type="spellStart"/>
      <w:r w:rsidR="000A3A5F" w:rsidRPr="003559D4">
        <w:rPr>
          <w:rFonts w:ascii="Book Antiqua" w:hAnsi="Book Antiqua" w:cs="Arial"/>
          <w:sz w:val="24"/>
          <w:szCs w:val="24"/>
          <w:lang w:val="en-US"/>
        </w:rPr>
        <w:t>lymphoplasmocytic</w:t>
      </w:r>
      <w:proofErr w:type="spellEnd"/>
      <w:r w:rsidR="000A3A5F" w:rsidRPr="003559D4">
        <w:rPr>
          <w:rFonts w:ascii="Book Antiqua" w:hAnsi="Book Antiqua" w:cs="Arial"/>
          <w:sz w:val="24"/>
          <w:szCs w:val="24"/>
          <w:lang w:val="en-US"/>
        </w:rPr>
        <w:t xml:space="preserve"> infiltrate and interface hepatitis).</w:t>
      </w:r>
      <w:r w:rsidRPr="003559D4">
        <w:rPr>
          <w:rFonts w:ascii="Book Antiqua" w:hAnsi="Book Antiqua" w:cs="Arial"/>
          <w:sz w:val="24"/>
          <w:szCs w:val="24"/>
          <w:lang w:val="en-US"/>
        </w:rPr>
        <w:t xml:space="preserve"> The International Diagnostic Criteria for </w:t>
      </w:r>
      <w:proofErr w:type="gramStart"/>
      <w:r w:rsidRPr="003559D4">
        <w:rPr>
          <w:rFonts w:ascii="Book Antiqua" w:hAnsi="Book Antiqua" w:cs="Arial"/>
          <w:sz w:val="24"/>
          <w:szCs w:val="24"/>
          <w:lang w:val="en-US"/>
        </w:rPr>
        <w:t>AIH</w:t>
      </w:r>
      <w:r w:rsidR="00651BD2">
        <w:rPr>
          <w:rFonts w:ascii="Book Antiqua" w:hAnsi="Book Antiqua" w:cs="Arial" w:hint="eastAsia"/>
          <w:sz w:val="24"/>
          <w:szCs w:val="24"/>
          <w:vertAlign w:val="superscript"/>
          <w:lang w:val="en-US" w:eastAsia="zh-CN"/>
        </w:rPr>
        <w:t>[</w:t>
      </w:r>
      <w:proofErr w:type="gramEnd"/>
      <w:r w:rsidRPr="003559D4">
        <w:rPr>
          <w:rFonts w:ascii="Book Antiqua" w:hAnsi="Book Antiqua" w:cs="Arial"/>
          <w:sz w:val="24"/>
          <w:szCs w:val="24"/>
          <w:vertAlign w:val="superscript"/>
          <w:lang w:val="en-US"/>
        </w:rPr>
        <w:t>2</w:t>
      </w:r>
      <w:r w:rsidR="00651BD2">
        <w:rPr>
          <w:rFonts w:ascii="Book Antiqua" w:hAnsi="Book Antiqua" w:cs="Arial" w:hint="eastAsia"/>
          <w:sz w:val="24"/>
          <w:szCs w:val="24"/>
          <w:vertAlign w:val="superscript"/>
          <w:lang w:val="en-US" w:eastAsia="zh-CN"/>
        </w:rPr>
        <w:t>]</w:t>
      </w:r>
      <w:r w:rsidRPr="003559D4">
        <w:rPr>
          <w:rFonts w:ascii="Book Antiqua" w:hAnsi="Book Antiqua" w:cs="Arial"/>
          <w:sz w:val="24"/>
          <w:szCs w:val="24"/>
          <w:lang w:val="en-US"/>
        </w:rPr>
        <w:t xml:space="preserve"> scores were all above or equal to 19 after treatment allowing for the diagnosis of AIH. In the cases with concomitant medication (</w:t>
      </w:r>
      <w:proofErr w:type="spellStart"/>
      <w:r w:rsidRPr="003559D4">
        <w:rPr>
          <w:rFonts w:ascii="Book Antiqua" w:hAnsi="Book Antiqua" w:cs="Arial"/>
          <w:sz w:val="24"/>
          <w:szCs w:val="24"/>
          <w:lang w:val="en-US"/>
        </w:rPr>
        <w:t>immunosuppressants</w:t>
      </w:r>
      <w:proofErr w:type="spellEnd"/>
      <w:r w:rsidRPr="003559D4">
        <w:rPr>
          <w:rFonts w:ascii="Book Antiqua" w:hAnsi="Book Antiqua" w:cs="Arial"/>
          <w:sz w:val="24"/>
          <w:szCs w:val="24"/>
          <w:lang w:val="en-US"/>
        </w:rPr>
        <w:t xml:space="preserve"> or </w:t>
      </w:r>
      <w:proofErr w:type="spellStart"/>
      <w:r w:rsidRPr="003559D4">
        <w:rPr>
          <w:rFonts w:ascii="Book Antiqua" w:hAnsi="Book Antiqua" w:cs="Arial"/>
          <w:sz w:val="24"/>
          <w:szCs w:val="24"/>
          <w:lang w:val="en-US"/>
        </w:rPr>
        <w:t>mesalamine</w:t>
      </w:r>
      <w:proofErr w:type="spellEnd"/>
      <w:r w:rsidRPr="003559D4">
        <w:rPr>
          <w:rFonts w:ascii="Book Antiqua" w:hAnsi="Book Antiqua" w:cs="Arial"/>
          <w:sz w:val="24"/>
          <w:szCs w:val="24"/>
          <w:lang w:val="en-US"/>
        </w:rPr>
        <w:t xml:space="preserve">), the patients were under the treatment for over 1 year before starting anti-TNF. Only two patients were on combination treatment with an immunosuppressant (azathioprine and methotrexate) at the time of anti-TNF induction and all patients were on scheduled maintenance anti-TNF therapy when liver disease was detected. All patients responded favorably to steroids and presented normal liver function tests after two months following the suspension of anti-TNF drug, two of them requiring long-term treatment. In one case (6), IFX treatment was cautiously restarted three months after stopping the drug, without recurrence of liver injury. The majority was asymptomatic (6/8), underlining the importance of a routine LFT assessment in patients before undergoing anti-TNF. </w:t>
      </w:r>
    </w:p>
    <w:p w14:paraId="675EE18C" w14:textId="77777777" w:rsidR="008E431A" w:rsidRPr="003559D4" w:rsidRDefault="008E431A" w:rsidP="00651BD2">
      <w:pPr>
        <w:spacing w:after="0" w:line="360" w:lineRule="auto"/>
        <w:jc w:val="both"/>
        <w:rPr>
          <w:rFonts w:ascii="Book Antiqua" w:hAnsi="Book Antiqua" w:cs="Arial"/>
          <w:sz w:val="24"/>
          <w:szCs w:val="24"/>
          <w:lang w:val="en-US" w:eastAsia="zh-CN"/>
        </w:rPr>
      </w:pPr>
    </w:p>
    <w:p w14:paraId="3DFF9AEA" w14:textId="77777777" w:rsidR="008E431A" w:rsidRPr="003559D4" w:rsidRDefault="008E431A" w:rsidP="00651BD2">
      <w:pPr>
        <w:spacing w:after="0" w:line="360" w:lineRule="auto"/>
        <w:jc w:val="both"/>
        <w:rPr>
          <w:rFonts w:ascii="Book Antiqua" w:hAnsi="Book Antiqua" w:cs="Arial"/>
          <w:b/>
          <w:sz w:val="24"/>
          <w:szCs w:val="24"/>
          <w:lang w:val="en-US" w:eastAsia="zh-CN"/>
        </w:rPr>
      </w:pPr>
      <w:r w:rsidRPr="003559D4">
        <w:rPr>
          <w:rFonts w:ascii="Book Antiqua" w:hAnsi="Book Antiqua" w:cs="Arial"/>
          <w:b/>
          <w:sz w:val="24"/>
          <w:szCs w:val="24"/>
          <w:lang w:val="en-US"/>
        </w:rPr>
        <w:t>DISCUSSION</w:t>
      </w:r>
    </w:p>
    <w:p w14:paraId="11E6E1CC" w14:textId="77777777" w:rsidR="00FF2959" w:rsidRPr="003559D4" w:rsidRDefault="00FF2959" w:rsidP="00651BD2">
      <w:pPr>
        <w:spacing w:after="0" w:line="360" w:lineRule="auto"/>
        <w:jc w:val="both"/>
        <w:rPr>
          <w:rFonts w:ascii="Book Antiqua" w:hAnsi="Book Antiqua" w:cs="Arial"/>
          <w:sz w:val="24"/>
          <w:szCs w:val="24"/>
          <w:lang w:val="en-US"/>
        </w:rPr>
      </w:pPr>
      <w:r w:rsidRPr="003559D4">
        <w:rPr>
          <w:rFonts w:ascii="Book Antiqua" w:hAnsi="Book Antiqua" w:cs="Arial"/>
          <w:sz w:val="24"/>
          <w:szCs w:val="24"/>
          <w:lang w:val="en-US"/>
        </w:rPr>
        <w:t xml:space="preserve">The growing number of cases of autoimmune phenomena related to anti-TNF agents has been brought to focus in the last years. A distinction should be made differentiating the induction of autoimmunity and clinically evident autoimmune disease. The former does not necessarily imply the latter. The explanation for this difference may lie in host factors such as genetic susceptibility. Those patients who develop overt autoimmune disease may possess genetic features favoring its development. These drugs might reveal subclinical disease or, in fact, induce it in a patient with genetic liability. Some of the mechanisms proposed include: a break in self-tolerance following the exposure of hidden antigens, an induction in immune system imbalance due to cytokine blockade, selective effect on T helper cell subsets and immune complex </w:t>
      </w:r>
      <w:r w:rsidRPr="003559D4">
        <w:rPr>
          <w:rFonts w:ascii="Book Antiqua" w:hAnsi="Book Antiqua" w:cs="Arial"/>
          <w:sz w:val="24"/>
          <w:szCs w:val="24"/>
          <w:lang w:val="en-US"/>
        </w:rPr>
        <w:lastRenderedPageBreak/>
        <w:t xml:space="preserve">formation, and exposing an underlying disease in a patient with genetic susceptibility.  </w:t>
      </w:r>
    </w:p>
    <w:p w14:paraId="6170F9F7" w14:textId="6372EF56" w:rsidR="00FF2959" w:rsidRPr="003559D4" w:rsidRDefault="00FF2959" w:rsidP="00651BD2">
      <w:pPr>
        <w:spacing w:after="0" w:line="360" w:lineRule="auto"/>
        <w:jc w:val="both"/>
        <w:rPr>
          <w:rFonts w:ascii="Book Antiqua" w:hAnsi="Book Antiqua" w:cs="Arial"/>
          <w:sz w:val="24"/>
          <w:szCs w:val="24"/>
          <w:lang w:val="en-US"/>
        </w:rPr>
      </w:pPr>
      <w:r w:rsidRPr="003559D4">
        <w:rPr>
          <w:rFonts w:ascii="Book Antiqua" w:hAnsi="Book Antiqua" w:cs="Arial"/>
          <w:sz w:val="24"/>
          <w:szCs w:val="24"/>
          <w:lang w:val="en-US"/>
        </w:rPr>
        <w:tab/>
        <w:t>In the past years, the number of case reports of liver toxicity has increased, although cases of AIH induced by anti-TNF agents r</w:t>
      </w:r>
      <w:r w:rsidR="002543A3">
        <w:rPr>
          <w:rFonts w:ascii="Book Antiqua" w:hAnsi="Book Antiqua" w:cs="Arial"/>
          <w:sz w:val="24"/>
          <w:szCs w:val="24"/>
          <w:lang w:val="en-US"/>
        </w:rPr>
        <w:t xml:space="preserve">emain </w:t>
      </w:r>
      <w:proofErr w:type="gramStart"/>
      <w:r w:rsidR="002543A3">
        <w:rPr>
          <w:rFonts w:ascii="Book Antiqua" w:hAnsi="Book Antiqua" w:cs="Arial"/>
          <w:sz w:val="24"/>
          <w:szCs w:val="24"/>
          <w:lang w:val="en-US"/>
        </w:rPr>
        <w:t>rare</w:t>
      </w:r>
      <w:r w:rsidR="002543A3">
        <w:rPr>
          <w:rFonts w:ascii="Book Antiqua" w:hAnsi="Book Antiqua" w:cs="Arial" w:hint="eastAsia"/>
          <w:sz w:val="24"/>
          <w:szCs w:val="24"/>
          <w:vertAlign w:val="superscript"/>
          <w:lang w:val="en-US" w:eastAsia="zh-CN"/>
        </w:rPr>
        <w:t>[</w:t>
      </w:r>
      <w:proofErr w:type="gramEnd"/>
      <w:r w:rsidRPr="003559D4">
        <w:rPr>
          <w:rFonts w:ascii="Book Antiqua" w:hAnsi="Book Antiqua" w:cs="Arial"/>
          <w:sz w:val="24"/>
          <w:szCs w:val="24"/>
          <w:vertAlign w:val="superscript"/>
          <w:lang w:val="en-US"/>
        </w:rPr>
        <w:t>3-12</w:t>
      </w:r>
      <w:r w:rsidR="002543A3">
        <w:rPr>
          <w:rFonts w:ascii="Book Antiqua" w:hAnsi="Book Antiqua" w:cs="Arial" w:hint="eastAsia"/>
          <w:sz w:val="24"/>
          <w:szCs w:val="24"/>
          <w:vertAlign w:val="superscript"/>
          <w:lang w:val="en-US" w:eastAsia="zh-CN"/>
        </w:rPr>
        <w:t>]</w:t>
      </w:r>
      <w:r w:rsidRPr="003559D4">
        <w:rPr>
          <w:rFonts w:ascii="Book Antiqua" w:hAnsi="Book Antiqua" w:cs="Arial"/>
          <w:sz w:val="24"/>
          <w:szCs w:val="24"/>
          <w:vertAlign w:val="superscript"/>
          <w:lang w:val="en-US"/>
        </w:rPr>
        <w:t xml:space="preserve"> </w:t>
      </w:r>
      <w:r w:rsidRPr="003559D4">
        <w:rPr>
          <w:rFonts w:ascii="Book Antiqua" w:hAnsi="Book Antiqua" w:cs="Arial"/>
          <w:sz w:val="24"/>
          <w:szCs w:val="24"/>
          <w:lang w:val="en-US"/>
        </w:rPr>
        <w:t>(Table 2). Cases of drug direct liver toxicity</w:t>
      </w:r>
      <w:r w:rsidR="002543A3">
        <w:rPr>
          <w:rFonts w:ascii="Book Antiqua" w:hAnsi="Book Antiqua" w:cs="Arial" w:hint="eastAsia"/>
          <w:sz w:val="24"/>
          <w:szCs w:val="24"/>
          <w:vertAlign w:val="superscript"/>
          <w:lang w:val="en-US" w:eastAsia="zh-CN"/>
        </w:rPr>
        <w:t>[</w:t>
      </w:r>
      <w:r w:rsidRPr="003559D4">
        <w:rPr>
          <w:rFonts w:ascii="Book Antiqua" w:hAnsi="Book Antiqua" w:cs="Arial"/>
          <w:sz w:val="24"/>
          <w:szCs w:val="24"/>
          <w:vertAlign w:val="superscript"/>
          <w:lang w:val="en-US"/>
        </w:rPr>
        <w:t>13-18</w:t>
      </w:r>
      <w:r w:rsidR="002543A3">
        <w:rPr>
          <w:rFonts w:ascii="Book Antiqua" w:hAnsi="Book Antiqua" w:cs="Arial" w:hint="eastAsia"/>
          <w:sz w:val="24"/>
          <w:szCs w:val="24"/>
          <w:vertAlign w:val="superscript"/>
          <w:lang w:val="en-US" w:eastAsia="zh-CN"/>
        </w:rPr>
        <w:t>]</w:t>
      </w:r>
      <w:r w:rsidRPr="003559D4">
        <w:rPr>
          <w:rFonts w:ascii="Book Antiqua" w:hAnsi="Book Antiqua" w:cs="Arial"/>
          <w:sz w:val="24"/>
          <w:szCs w:val="24"/>
          <w:vertAlign w:val="superscript"/>
          <w:lang w:val="en-US"/>
        </w:rPr>
        <w:t xml:space="preserve"> </w:t>
      </w:r>
      <w:r w:rsidRPr="003559D4">
        <w:rPr>
          <w:rFonts w:ascii="Book Antiqua" w:hAnsi="Book Antiqua" w:cs="Arial"/>
          <w:sz w:val="24"/>
          <w:szCs w:val="24"/>
          <w:lang w:val="en-US"/>
        </w:rPr>
        <w:t xml:space="preserve">not associated to positive autoantibodies, elevated immunoglobulin levels, and liver histology with interface hepatitis as found in AIH have been reported (Table 2). These previously published cases were mainly among </w:t>
      </w:r>
      <w:proofErr w:type="spellStart"/>
      <w:r w:rsidRPr="003559D4">
        <w:rPr>
          <w:rFonts w:ascii="Book Antiqua" w:hAnsi="Book Antiqua" w:cs="Arial"/>
          <w:sz w:val="24"/>
          <w:szCs w:val="24"/>
          <w:lang w:val="en-US"/>
        </w:rPr>
        <w:t>rheumatological</w:t>
      </w:r>
      <w:proofErr w:type="spellEnd"/>
      <w:r w:rsidRPr="003559D4">
        <w:rPr>
          <w:rFonts w:ascii="Book Antiqua" w:hAnsi="Book Antiqua" w:cs="Arial"/>
          <w:sz w:val="24"/>
          <w:szCs w:val="24"/>
          <w:lang w:val="en-US"/>
        </w:rPr>
        <w:t xml:space="preserve"> patients, most were confounded by concomitant medication, and some did not have histological confirmation of the etiology. In the cases of anti-TNF-induced AIH previously described liver injury was reversible and there was no relapse of AIH, even among the majority of patients that did not remain immunosuppressed. Interestingly, in three cases the patients switched treatment to </w:t>
      </w:r>
      <w:proofErr w:type="spellStart"/>
      <w:r w:rsidRPr="003559D4">
        <w:rPr>
          <w:rFonts w:ascii="Book Antiqua" w:hAnsi="Book Antiqua" w:cs="Arial"/>
          <w:sz w:val="24"/>
          <w:szCs w:val="24"/>
          <w:lang w:val="en-US"/>
        </w:rPr>
        <w:t>adalimumab</w:t>
      </w:r>
      <w:proofErr w:type="spellEnd"/>
      <w:r w:rsidRPr="003559D4">
        <w:rPr>
          <w:rFonts w:ascii="Book Antiqua" w:hAnsi="Book Antiqua" w:cs="Arial"/>
          <w:sz w:val="24"/>
          <w:szCs w:val="24"/>
          <w:lang w:val="en-US"/>
        </w:rPr>
        <w:t xml:space="preserve"> without having a relapse of </w:t>
      </w:r>
      <w:proofErr w:type="gramStart"/>
      <w:r w:rsidRPr="003559D4">
        <w:rPr>
          <w:rFonts w:ascii="Book Antiqua" w:hAnsi="Book Antiqua" w:cs="Arial"/>
          <w:sz w:val="24"/>
          <w:szCs w:val="24"/>
          <w:lang w:val="en-US"/>
        </w:rPr>
        <w:t>AIH</w:t>
      </w:r>
      <w:r w:rsidR="002543A3">
        <w:rPr>
          <w:rFonts w:ascii="Book Antiqua" w:hAnsi="Book Antiqua" w:cs="Arial" w:hint="eastAsia"/>
          <w:sz w:val="24"/>
          <w:szCs w:val="24"/>
          <w:vertAlign w:val="superscript"/>
          <w:lang w:val="en-US" w:eastAsia="zh-CN"/>
        </w:rPr>
        <w:t>[</w:t>
      </w:r>
      <w:proofErr w:type="gramEnd"/>
      <w:r w:rsidRPr="003559D4">
        <w:rPr>
          <w:rFonts w:ascii="Book Antiqua" w:hAnsi="Book Antiqua" w:cs="Arial"/>
          <w:sz w:val="24"/>
          <w:szCs w:val="24"/>
          <w:vertAlign w:val="superscript"/>
          <w:lang w:val="en-US"/>
        </w:rPr>
        <w:t>19-21</w:t>
      </w:r>
      <w:r w:rsidR="002543A3">
        <w:rPr>
          <w:rFonts w:ascii="Book Antiqua" w:hAnsi="Book Antiqua" w:cs="Arial" w:hint="eastAsia"/>
          <w:sz w:val="24"/>
          <w:szCs w:val="24"/>
          <w:vertAlign w:val="superscript"/>
          <w:lang w:val="en-US" w:eastAsia="zh-CN"/>
        </w:rPr>
        <w:t>]</w:t>
      </w:r>
      <w:r w:rsidRPr="003559D4">
        <w:rPr>
          <w:rFonts w:ascii="Book Antiqua" w:hAnsi="Book Antiqua" w:cs="Arial"/>
          <w:sz w:val="24"/>
          <w:szCs w:val="24"/>
          <w:lang w:val="en-US"/>
        </w:rPr>
        <w:t xml:space="preserve">. Paradoxically, these patients did not show signs of liver injury after switching to a drug in the same class. Moreover, a recently published paper showed how infliximab was successfully used as rescue therapy in difficult-to-treat </w:t>
      </w:r>
      <w:proofErr w:type="gramStart"/>
      <w:r w:rsidRPr="003559D4">
        <w:rPr>
          <w:rFonts w:ascii="Book Antiqua" w:hAnsi="Book Antiqua" w:cs="Arial"/>
          <w:sz w:val="24"/>
          <w:szCs w:val="24"/>
          <w:lang w:val="en-US"/>
        </w:rPr>
        <w:t>AIH</w:t>
      </w:r>
      <w:r w:rsidR="002543A3">
        <w:rPr>
          <w:rFonts w:ascii="Book Antiqua" w:hAnsi="Book Antiqua" w:cs="Arial" w:hint="eastAsia"/>
          <w:sz w:val="24"/>
          <w:szCs w:val="24"/>
          <w:vertAlign w:val="superscript"/>
          <w:lang w:val="en-US" w:eastAsia="zh-CN"/>
        </w:rPr>
        <w:t>[</w:t>
      </w:r>
      <w:proofErr w:type="gramEnd"/>
      <w:r w:rsidRPr="003559D4">
        <w:rPr>
          <w:rFonts w:ascii="Book Antiqua" w:hAnsi="Book Antiqua" w:cs="Arial"/>
          <w:sz w:val="24"/>
          <w:szCs w:val="24"/>
          <w:vertAlign w:val="superscript"/>
          <w:lang w:val="en-US"/>
        </w:rPr>
        <w:t>22</w:t>
      </w:r>
      <w:r w:rsidR="002543A3">
        <w:rPr>
          <w:rFonts w:ascii="Book Antiqua" w:hAnsi="Book Antiqua" w:cs="Arial" w:hint="eastAsia"/>
          <w:sz w:val="24"/>
          <w:szCs w:val="24"/>
          <w:vertAlign w:val="superscript"/>
          <w:lang w:val="en-US" w:eastAsia="zh-CN"/>
        </w:rPr>
        <w:t>]</w:t>
      </w:r>
      <w:r w:rsidRPr="003559D4">
        <w:rPr>
          <w:rFonts w:ascii="Book Antiqua" w:hAnsi="Book Antiqua" w:cs="Arial"/>
          <w:sz w:val="24"/>
          <w:szCs w:val="24"/>
          <w:lang w:val="en-US"/>
        </w:rPr>
        <w:t>.</w:t>
      </w:r>
    </w:p>
    <w:p w14:paraId="46327509" w14:textId="0A0ADA8F" w:rsidR="00FF2959" w:rsidRPr="003559D4" w:rsidRDefault="00FF2959" w:rsidP="00651BD2">
      <w:pPr>
        <w:widowControl w:val="0"/>
        <w:autoSpaceDE w:val="0"/>
        <w:autoSpaceDN w:val="0"/>
        <w:adjustRightInd w:val="0"/>
        <w:spacing w:after="0" w:line="360" w:lineRule="auto"/>
        <w:jc w:val="both"/>
        <w:rPr>
          <w:rFonts w:ascii="Book Antiqua" w:eastAsia="MS Mincho" w:hAnsi="Book Antiqua" w:cs="Arial"/>
          <w:sz w:val="24"/>
          <w:szCs w:val="24"/>
          <w:lang w:val="en-US"/>
        </w:rPr>
      </w:pPr>
      <w:r w:rsidRPr="003559D4">
        <w:rPr>
          <w:rFonts w:ascii="Book Antiqua" w:hAnsi="Book Antiqua" w:cs="Arial"/>
          <w:sz w:val="24"/>
          <w:szCs w:val="24"/>
          <w:lang w:val="en-US"/>
        </w:rPr>
        <w:tab/>
        <w:t xml:space="preserve">A recent </w:t>
      </w:r>
      <w:proofErr w:type="gramStart"/>
      <w:r w:rsidRPr="003559D4">
        <w:rPr>
          <w:rFonts w:ascii="Book Antiqua" w:hAnsi="Book Antiqua" w:cs="Arial"/>
          <w:sz w:val="24"/>
          <w:szCs w:val="24"/>
          <w:lang w:val="en-US"/>
        </w:rPr>
        <w:t>publication</w:t>
      </w:r>
      <w:r w:rsidR="002543A3">
        <w:rPr>
          <w:rFonts w:ascii="Book Antiqua" w:hAnsi="Book Antiqua" w:cs="Arial" w:hint="eastAsia"/>
          <w:sz w:val="24"/>
          <w:szCs w:val="24"/>
          <w:vertAlign w:val="superscript"/>
          <w:lang w:val="en-US" w:eastAsia="zh-CN"/>
        </w:rPr>
        <w:t>[</w:t>
      </w:r>
      <w:proofErr w:type="gramEnd"/>
      <w:r w:rsidRPr="003559D4">
        <w:rPr>
          <w:rFonts w:ascii="Book Antiqua" w:hAnsi="Book Antiqua" w:cs="Arial"/>
          <w:sz w:val="24"/>
          <w:szCs w:val="24"/>
          <w:vertAlign w:val="superscript"/>
          <w:lang w:val="en-US"/>
        </w:rPr>
        <w:t>23</w:t>
      </w:r>
      <w:r w:rsidR="002543A3">
        <w:rPr>
          <w:rFonts w:ascii="Book Antiqua" w:hAnsi="Book Antiqua" w:cs="Arial" w:hint="eastAsia"/>
          <w:sz w:val="24"/>
          <w:szCs w:val="24"/>
          <w:vertAlign w:val="superscript"/>
          <w:lang w:val="en-US" w:eastAsia="zh-CN"/>
        </w:rPr>
        <w:t>]</w:t>
      </w:r>
      <w:r w:rsidRPr="003559D4">
        <w:rPr>
          <w:rFonts w:ascii="Book Antiqua" w:hAnsi="Book Antiqua" w:cs="Arial"/>
          <w:sz w:val="24"/>
          <w:szCs w:val="24"/>
          <w:lang w:val="en-US"/>
        </w:rPr>
        <w:t xml:space="preserve"> established definitions to differentiate </w:t>
      </w:r>
      <w:r w:rsidRPr="003559D4">
        <w:rPr>
          <w:rFonts w:ascii="Book Antiqua" w:eastAsia="MS Mincho" w:hAnsi="Book Antiqua" w:cs="Arial"/>
          <w:sz w:val="24"/>
          <w:szCs w:val="24"/>
          <w:lang w:val="en-US"/>
        </w:rPr>
        <w:t xml:space="preserve">between immune-mediated DILI and AIH. This is particularly challenging because there are no pathognomonic features of AIH and the diagnosis is made according to a clinical, biochemical, serological, and histological pattern and the response to </w:t>
      </w:r>
      <w:proofErr w:type="spellStart"/>
      <w:r w:rsidRPr="003559D4">
        <w:rPr>
          <w:rFonts w:ascii="Book Antiqua" w:eastAsia="MS Mincho" w:hAnsi="Book Antiqua" w:cs="Arial"/>
          <w:sz w:val="24"/>
          <w:szCs w:val="24"/>
          <w:lang w:val="en-US"/>
        </w:rPr>
        <w:t>immunosuppressants</w:t>
      </w:r>
      <w:proofErr w:type="spellEnd"/>
      <w:r w:rsidRPr="003559D4">
        <w:rPr>
          <w:rFonts w:ascii="Book Antiqua" w:eastAsia="MS Mincho" w:hAnsi="Book Antiqua" w:cs="Arial"/>
          <w:sz w:val="24"/>
          <w:szCs w:val="24"/>
          <w:lang w:val="en-US"/>
        </w:rPr>
        <w:t xml:space="preserve">. </w:t>
      </w:r>
      <w:r w:rsidRPr="003559D4">
        <w:rPr>
          <w:rFonts w:ascii="Book Antiqua" w:hAnsi="Book Antiqua" w:cs="Arial"/>
          <w:sz w:val="24"/>
          <w:szCs w:val="24"/>
          <w:lang w:val="en-US"/>
        </w:rPr>
        <w:t xml:space="preserve">Some patients may have known/long-standing AIH, according to International Diagnostic Criteria for AIH, and the anti-TNF might cause a DILI. A further distinction is made between drug-induced AIH and immune-mediated DILI. </w:t>
      </w:r>
      <w:proofErr w:type="spellStart"/>
      <w:r w:rsidRPr="003559D4">
        <w:rPr>
          <w:rFonts w:ascii="Book Antiqua" w:hAnsi="Book Antiqua" w:cs="Arial"/>
          <w:sz w:val="24"/>
          <w:szCs w:val="24"/>
          <w:lang w:val="en-US"/>
        </w:rPr>
        <w:t>Weiler-Normann</w:t>
      </w:r>
      <w:proofErr w:type="spellEnd"/>
      <w:r w:rsidRPr="003559D4">
        <w:rPr>
          <w:rFonts w:ascii="Book Antiqua" w:hAnsi="Book Antiqua" w:cs="Arial"/>
          <w:sz w:val="24"/>
          <w:szCs w:val="24"/>
          <w:lang w:val="en-US"/>
        </w:rPr>
        <w:t xml:space="preserve"> defined drug-induced AIH as </w:t>
      </w:r>
      <w:r w:rsidRPr="003559D4">
        <w:rPr>
          <w:rFonts w:ascii="Book Antiqua" w:eastAsia="MS Mincho" w:hAnsi="Book Antiqua" w:cs="Arial"/>
          <w:sz w:val="24"/>
          <w:szCs w:val="24"/>
          <w:lang w:val="en-US"/>
        </w:rPr>
        <w:t xml:space="preserve">unrecognized AIH or predisposition to AIH, in whom AIH is unmasked or induced by DILI with a good response to steroids and relapse after withdrawal of immunosuppression with the need for continued immunosuppressive treatment. Immune-mediated DILI was defined as clinical, biochemical, and histological signs similar to AIH, in which eosinophilia and rash may be present. Usually there are no signs of advanced fibrosis with a good response to steroids </w:t>
      </w:r>
      <w:r w:rsidRPr="003559D4">
        <w:rPr>
          <w:rFonts w:ascii="Book Antiqua" w:eastAsia="MS Mincho" w:hAnsi="Book Antiqua" w:cs="Arial"/>
          <w:sz w:val="24"/>
          <w:szCs w:val="24"/>
          <w:lang w:val="en-US"/>
        </w:rPr>
        <w:lastRenderedPageBreak/>
        <w:t>and sustained remission is maintained after successful withdrawal of steroids.</w:t>
      </w:r>
    </w:p>
    <w:p w14:paraId="18C0C139" w14:textId="77777777" w:rsidR="00FF2959" w:rsidRPr="003559D4" w:rsidRDefault="00FF2959" w:rsidP="00651BD2">
      <w:pPr>
        <w:spacing w:after="0" w:line="360" w:lineRule="auto"/>
        <w:jc w:val="both"/>
        <w:rPr>
          <w:rFonts w:ascii="Book Antiqua" w:hAnsi="Book Antiqua" w:cs="Arial"/>
          <w:sz w:val="24"/>
          <w:szCs w:val="24"/>
          <w:lang w:val="en-US"/>
        </w:rPr>
      </w:pPr>
      <w:r w:rsidRPr="003559D4">
        <w:rPr>
          <w:rFonts w:ascii="Book Antiqua" w:hAnsi="Book Antiqua" w:cs="Arial"/>
          <w:sz w:val="24"/>
          <w:szCs w:val="24"/>
          <w:lang w:val="en-US"/>
        </w:rPr>
        <w:tab/>
        <w:t>Some of the distinctive factors of this case series include the predominance of patients with inflammatory bowel disease (6/8), the fact that all of the patients had liver biopsies confirming the diagnosis of AIH and responded rapidly to steroids. Our series includes patients with long-standing AIH and probable DILI such as, patient 5 (Table 1), who was never diagnosed with AIH, but the fact that cirrhosis was revealed at liver biopsy, leads one to hypothesize that infliximab triggered a DILI in a patient with chronic AIH.   Patient 4 (Table 1) is an example of drug-induced AIH, because the course was subclinical, in a genetically predisposed patient (UC) and following this trigger, a presentation of hepatic autoantigens lead to a sustained immune reaction. Following steroid withdrawal, there was a relapse and the patient was maintained on low-dose steroids and azathioprine. These patients have an AIH unmasked by DILI and will permanently need immunosuppression. In immune-mediated DILI, patients usually have no advanced fibrosis, remain in biochemical remission once the immunosuppression is stopped and no maintenance therapy is required, as seen in the majority of our patients, and in the previously published cases. We underline that this is the largest series of patients with liver autoimmunity induced by anti-TNF and includes the second report of AIH due to ADA in the literature. This case series, which reports the largest single center experience in this topic, includes a large number of inflammatory bowel disease patients and exemplifies the whole spectrum of AIH and immune-mediated DILI associated to anti-TNF</w:t>
      </w:r>
    </w:p>
    <w:p w14:paraId="35C17136" w14:textId="5D6F4C88" w:rsidR="00FF2959" w:rsidRDefault="00FF2959" w:rsidP="00651BD2">
      <w:pPr>
        <w:spacing w:after="0" w:line="360" w:lineRule="auto"/>
        <w:jc w:val="both"/>
        <w:rPr>
          <w:rFonts w:ascii="Book Antiqua" w:hAnsi="Book Antiqua" w:cs="Arial"/>
          <w:sz w:val="24"/>
          <w:szCs w:val="24"/>
          <w:lang w:val="en-US" w:eastAsia="zh-CN"/>
        </w:rPr>
      </w:pPr>
      <w:r w:rsidRPr="003559D4">
        <w:rPr>
          <w:rFonts w:ascii="Book Antiqua" w:hAnsi="Book Antiqua" w:cs="Arial"/>
          <w:sz w:val="24"/>
          <w:szCs w:val="24"/>
          <w:lang w:val="en-US"/>
        </w:rPr>
        <w:tab/>
        <w:t xml:space="preserve">Autoimmune diseases and reactions induced by anti-TNF drugs are in fact an increasing concern. Although AIH related to anti-TNF is rare, a baseline immunological panel along with LFTs should be performed in all patients with autoimmune disease in all patients before starting biologics. Considering that most cases are asymptomatic, periodic monitoring of LFTs is necessary for early diagnosis. Steroids should be withdrawn following 3-6 </w:t>
      </w:r>
      <w:proofErr w:type="gramStart"/>
      <w:r w:rsidRPr="003559D4">
        <w:rPr>
          <w:rFonts w:ascii="Book Antiqua" w:hAnsi="Book Antiqua" w:cs="Arial"/>
          <w:sz w:val="24"/>
          <w:szCs w:val="24"/>
          <w:lang w:val="en-US"/>
        </w:rPr>
        <w:t>mo</w:t>
      </w:r>
      <w:proofErr w:type="gramEnd"/>
      <w:r w:rsidRPr="003559D4">
        <w:rPr>
          <w:rFonts w:ascii="Book Antiqua" w:hAnsi="Book Antiqua" w:cs="Arial"/>
          <w:sz w:val="24"/>
          <w:szCs w:val="24"/>
          <w:lang w:val="en-US"/>
        </w:rPr>
        <w:t xml:space="preserve">, once biochemical remission is achieved, and this may be an important strategy to distinguish between AIH from an immune-mediated DILI. The differential diagnosis </w:t>
      </w:r>
      <w:r w:rsidRPr="003559D4">
        <w:rPr>
          <w:rFonts w:ascii="Book Antiqua" w:hAnsi="Book Antiqua" w:cs="Arial"/>
          <w:sz w:val="24"/>
          <w:szCs w:val="24"/>
          <w:lang w:val="en-US"/>
        </w:rPr>
        <w:lastRenderedPageBreak/>
        <w:t>between AIH and immune-mediated DILI is essential considering that they diverge significantly in terms of therapeutic approach and long-term prognosis.</w:t>
      </w:r>
    </w:p>
    <w:p w14:paraId="11D7DA2C" w14:textId="77777777" w:rsidR="002543A3" w:rsidRPr="003559D4" w:rsidRDefault="002543A3" w:rsidP="00651BD2">
      <w:pPr>
        <w:spacing w:after="0" w:line="360" w:lineRule="auto"/>
        <w:jc w:val="both"/>
        <w:rPr>
          <w:rFonts w:ascii="Book Antiqua" w:hAnsi="Book Antiqua" w:cs="Arial"/>
          <w:sz w:val="24"/>
          <w:szCs w:val="24"/>
          <w:lang w:val="en-US" w:eastAsia="zh-CN"/>
        </w:rPr>
      </w:pPr>
    </w:p>
    <w:p w14:paraId="592105B9" w14:textId="77777777" w:rsidR="008E431A" w:rsidRPr="003559D4" w:rsidRDefault="008E431A" w:rsidP="00651BD2">
      <w:pPr>
        <w:spacing w:after="0" w:line="360" w:lineRule="auto"/>
        <w:jc w:val="both"/>
        <w:rPr>
          <w:rFonts w:ascii="Book Antiqua" w:hAnsi="Book Antiqua"/>
          <w:b/>
          <w:sz w:val="24"/>
          <w:szCs w:val="24"/>
        </w:rPr>
      </w:pPr>
      <w:bookmarkStart w:id="42" w:name="OLE_LINK249"/>
      <w:bookmarkStart w:id="43" w:name="OLE_LINK250"/>
      <w:bookmarkStart w:id="44" w:name="OLE_LINK443"/>
      <w:bookmarkStart w:id="45" w:name="OLE_LINK444"/>
      <w:r w:rsidRPr="003559D4">
        <w:rPr>
          <w:rFonts w:ascii="Book Antiqua" w:hAnsi="Book Antiqua"/>
          <w:b/>
          <w:sz w:val="24"/>
          <w:szCs w:val="24"/>
        </w:rPr>
        <w:t>COMMENTS</w:t>
      </w:r>
    </w:p>
    <w:p w14:paraId="62E573A1" w14:textId="33ACADA5" w:rsidR="008E431A" w:rsidRPr="002543A3" w:rsidRDefault="008E431A" w:rsidP="00651BD2">
      <w:pPr>
        <w:spacing w:after="0" w:line="360" w:lineRule="auto"/>
        <w:jc w:val="both"/>
        <w:rPr>
          <w:rFonts w:ascii="Book Antiqua" w:hAnsi="Book Antiqua"/>
          <w:i/>
          <w:sz w:val="24"/>
          <w:szCs w:val="24"/>
        </w:rPr>
      </w:pPr>
      <w:r w:rsidRPr="002543A3">
        <w:rPr>
          <w:rFonts w:ascii="Book Antiqua" w:hAnsi="Book Antiqua"/>
          <w:b/>
          <w:i/>
          <w:sz w:val="24"/>
          <w:szCs w:val="24"/>
        </w:rPr>
        <w:t>Case characteristics</w:t>
      </w:r>
    </w:p>
    <w:p w14:paraId="1791D722" w14:textId="57F9D905" w:rsidR="00BD4D2A" w:rsidRDefault="00BD4D2A" w:rsidP="00651BD2">
      <w:pPr>
        <w:spacing w:after="0" w:line="360" w:lineRule="auto"/>
        <w:jc w:val="both"/>
        <w:rPr>
          <w:rFonts w:ascii="Book Antiqua" w:hAnsi="Book Antiqua" w:cs="Arial"/>
          <w:sz w:val="24"/>
          <w:szCs w:val="24"/>
          <w:lang w:val="en-US" w:eastAsia="zh-CN"/>
        </w:rPr>
      </w:pPr>
      <w:r w:rsidRPr="003559D4">
        <w:rPr>
          <w:rFonts w:ascii="Book Antiqua" w:hAnsi="Book Antiqua" w:cs="Arial"/>
          <w:sz w:val="24"/>
          <w:szCs w:val="24"/>
          <w:lang w:val="en-US"/>
        </w:rPr>
        <w:t>Eight patients with distinct autoimmune diseases undergoing anti-</w:t>
      </w:r>
      <w:r w:rsidR="002543A3" w:rsidRPr="002543A3">
        <w:rPr>
          <w:rFonts w:ascii="Book Antiqua" w:hAnsi="Book Antiqua" w:cs="Arial"/>
          <w:sz w:val="24"/>
          <w:szCs w:val="24"/>
          <w:lang w:val="en-US"/>
        </w:rPr>
        <w:t xml:space="preserve"> </w:t>
      </w:r>
      <w:r w:rsidR="002543A3" w:rsidRPr="003559D4">
        <w:rPr>
          <w:rFonts w:ascii="Book Antiqua" w:hAnsi="Book Antiqua" w:cs="Arial"/>
          <w:sz w:val="24"/>
          <w:szCs w:val="24"/>
          <w:lang w:val="en-US"/>
        </w:rPr>
        <w:t xml:space="preserve">tumor necrosis factor (TNF) </w:t>
      </w:r>
      <w:r w:rsidRPr="003559D4">
        <w:rPr>
          <w:rFonts w:ascii="Book Antiqua" w:hAnsi="Book Antiqua" w:cs="Arial"/>
          <w:sz w:val="24"/>
          <w:szCs w:val="24"/>
          <w:lang w:val="en-US"/>
        </w:rPr>
        <w:t>-</w:t>
      </w:r>
      <w:r w:rsidR="00A6038C">
        <w:rPr>
          <w:rFonts w:ascii="Symbol" w:hAnsi="Symbol" w:cs="宋体"/>
          <w:sz w:val="32"/>
          <w:szCs w:val="32"/>
        </w:rPr>
        <w:t></w:t>
      </w:r>
      <w:r w:rsidRPr="003559D4">
        <w:rPr>
          <w:rFonts w:ascii="Book Antiqua" w:hAnsi="Book Antiqua" w:cs="Arial"/>
          <w:sz w:val="24"/>
          <w:szCs w:val="24"/>
          <w:lang w:val="en-US"/>
        </w:rPr>
        <w:t xml:space="preserve"> antagonist therapy presented with abnormal liver function tests and liver histology suggesting autoimmune hepatitis.  </w:t>
      </w:r>
    </w:p>
    <w:p w14:paraId="028E685D" w14:textId="77777777" w:rsidR="002543A3" w:rsidRPr="002543A3" w:rsidRDefault="002543A3" w:rsidP="00651BD2">
      <w:pPr>
        <w:spacing w:after="0" w:line="360" w:lineRule="auto"/>
        <w:jc w:val="both"/>
        <w:rPr>
          <w:rFonts w:ascii="Book Antiqua" w:hAnsi="Book Antiqua" w:cs="Arial"/>
          <w:sz w:val="24"/>
          <w:szCs w:val="24"/>
          <w:lang w:val="en-US" w:eastAsia="zh-CN"/>
        </w:rPr>
      </w:pPr>
    </w:p>
    <w:p w14:paraId="50F6FF8E" w14:textId="2C466DF6" w:rsidR="008E431A" w:rsidRPr="002543A3" w:rsidRDefault="008E431A" w:rsidP="00651BD2">
      <w:pPr>
        <w:spacing w:after="0" w:line="360" w:lineRule="auto"/>
        <w:jc w:val="both"/>
        <w:rPr>
          <w:rFonts w:ascii="Book Antiqua" w:hAnsi="Book Antiqua" w:cs="宋体"/>
          <w:b/>
          <w:i/>
          <w:color w:val="000000"/>
          <w:sz w:val="24"/>
          <w:szCs w:val="24"/>
        </w:rPr>
      </w:pPr>
      <w:r w:rsidRPr="002543A3">
        <w:rPr>
          <w:rFonts w:ascii="Book Antiqua" w:hAnsi="Book Antiqua" w:cs="Arial"/>
          <w:b/>
          <w:i/>
          <w:color w:val="000000"/>
          <w:sz w:val="24"/>
          <w:szCs w:val="24"/>
        </w:rPr>
        <w:t>Clinical diagnosis</w:t>
      </w:r>
    </w:p>
    <w:p w14:paraId="2EB6BA03" w14:textId="77777777" w:rsidR="008E431A" w:rsidRDefault="00BD4D2A" w:rsidP="00651BD2">
      <w:pPr>
        <w:spacing w:after="0" w:line="360" w:lineRule="auto"/>
        <w:jc w:val="both"/>
        <w:rPr>
          <w:rFonts w:ascii="Book Antiqua" w:hAnsi="Book Antiqua" w:cs="Arial"/>
          <w:color w:val="000000"/>
          <w:sz w:val="24"/>
          <w:szCs w:val="24"/>
          <w:lang w:val="en-US" w:eastAsia="zh-CN"/>
        </w:rPr>
      </w:pPr>
      <w:r w:rsidRPr="003559D4">
        <w:rPr>
          <w:rFonts w:ascii="Book Antiqua" w:hAnsi="Book Antiqua" w:cs="Arial"/>
          <w:color w:val="000000"/>
          <w:sz w:val="24"/>
          <w:szCs w:val="24"/>
          <w:lang w:val="en-US"/>
        </w:rPr>
        <w:t>Most patients were asymptomatic and disease was detected due to abnormal liver tests, positive au</w:t>
      </w:r>
      <w:r w:rsidR="0097388A" w:rsidRPr="003559D4">
        <w:rPr>
          <w:rFonts w:ascii="Book Antiqua" w:hAnsi="Book Antiqua" w:cs="Arial"/>
          <w:color w:val="000000"/>
          <w:sz w:val="24"/>
          <w:szCs w:val="24"/>
          <w:lang w:val="en-US"/>
        </w:rPr>
        <w:t>to-antibodies and liver histology.</w:t>
      </w:r>
    </w:p>
    <w:p w14:paraId="24F5365C" w14:textId="77777777" w:rsidR="002543A3" w:rsidRPr="003559D4" w:rsidRDefault="002543A3" w:rsidP="00651BD2">
      <w:pPr>
        <w:spacing w:after="0" w:line="360" w:lineRule="auto"/>
        <w:jc w:val="both"/>
        <w:rPr>
          <w:rFonts w:ascii="Book Antiqua" w:hAnsi="Book Antiqua"/>
          <w:sz w:val="24"/>
          <w:szCs w:val="24"/>
          <w:lang w:val="en-US" w:eastAsia="zh-CN"/>
        </w:rPr>
      </w:pPr>
    </w:p>
    <w:p w14:paraId="330ACD3F" w14:textId="6E33368B" w:rsidR="008E431A" w:rsidRPr="002543A3" w:rsidRDefault="008E431A" w:rsidP="00651BD2">
      <w:pPr>
        <w:spacing w:after="0" w:line="360" w:lineRule="auto"/>
        <w:jc w:val="both"/>
        <w:rPr>
          <w:rFonts w:ascii="Book Antiqua" w:hAnsi="Book Antiqua" w:cs="Arial"/>
          <w:b/>
          <w:i/>
          <w:color w:val="000000"/>
          <w:sz w:val="24"/>
          <w:szCs w:val="24"/>
        </w:rPr>
      </w:pPr>
      <w:r w:rsidRPr="002543A3">
        <w:rPr>
          <w:rFonts w:ascii="Book Antiqua" w:hAnsi="Book Antiqua" w:cs="Arial"/>
          <w:b/>
          <w:i/>
          <w:color w:val="000000"/>
          <w:sz w:val="24"/>
          <w:szCs w:val="24"/>
        </w:rPr>
        <w:t>Differential diagnosis</w:t>
      </w:r>
    </w:p>
    <w:p w14:paraId="4070C0A7" w14:textId="77777777" w:rsidR="008E431A" w:rsidRDefault="0097388A" w:rsidP="00651BD2">
      <w:pPr>
        <w:spacing w:after="0" w:line="360" w:lineRule="auto"/>
        <w:jc w:val="both"/>
        <w:rPr>
          <w:rFonts w:ascii="Book Antiqua" w:hAnsi="Book Antiqua" w:cs="Arial"/>
          <w:color w:val="000000"/>
          <w:sz w:val="24"/>
          <w:szCs w:val="24"/>
          <w:lang w:val="en-AU" w:eastAsia="zh-CN"/>
        </w:rPr>
      </w:pPr>
      <w:r w:rsidRPr="003559D4">
        <w:rPr>
          <w:rFonts w:ascii="Book Antiqua" w:hAnsi="Book Antiqua" w:cs="Arial"/>
          <w:color w:val="000000"/>
          <w:sz w:val="24"/>
          <w:szCs w:val="24"/>
          <w:lang w:val="en-AU"/>
        </w:rPr>
        <w:t xml:space="preserve">Viral, metabolic, alcoholic liver disease, non-alcoholic </w:t>
      </w:r>
      <w:proofErr w:type="spellStart"/>
      <w:r w:rsidRPr="003559D4">
        <w:rPr>
          <w:rFonts w:ascii="Book Antiqua" w:hAnsi="Book Antiqua" w:cs="Arial"/>
          <w:color w:val="000000"/>
          <w:sz w:val="24"/>
          <w:szCs w:val="24"/>
          <w:lang w:val="en-AU"/>
        </w:rPr>
        <w:t>steato</w:t>
      </w:r>
      <w:proofErr w:type="spellEnd"/>
      <w:r w:rsidRPr="003559D4">
        <w:rPr>
          <w:rFonts w:ascii="Book Antiqua" w:hAnsi="Book Antiqua" w:cs="Arial"/>
          <w:color w:val="000000"/>
          <w:sz w:val="24"/>
          <w:szCs w:val="24"/>
          <w:lang w:val="en-AU"/>
        </w:rPr>
        <w:t>-hepatitis, other drug-induced liver injury and other causes of autoimmune liver disease were excluded.</w:t>
      </w:r>
    </w:p>
    <w:p w14:paraId="3DC06B81" w14:textId="77777777" w:rsidR="002543A3" w:rsidRPr="003559D4" w:rsidRDefault="002543A3" w:rsidP="00651BD2">
      <w:pPr>
        <w:spacing w:after="0" w:line="360" w:lineRule="auto"/>
        <w:jc w:val="both"/>
        <w:rPr>
          <w:rFonts w:ascii="Book Antiqua" w:hAnsi="Book Antiqua" w:cs="Arial"/>
          <w:b/>
          <w:color w:val="000000"/>
          <w:sz w:val="24"/>
          <w:szCs w:val="24"/>
          <w:lang w:val="en-AU" w:eastAsia="zh-CN"/>
        </w:rPr>
      </w:pPr>
    </w:p>
    <w:p w14:paraId="409BAD8B" w14:textId="19E91B31" w:rsidR="008E431A" w:rsidRPr="002543A3" w:rsidRDefault="008E431A" w:rsidP="00651BD2">
      <w:pPr>
        <w:spacing w:after="0" w:line="360" w:lineRule="auto"/>
        <w:jc w:val="both"/>
        <w:rPr>
          <w:rFonts w:ascii="Book Antiqua" w:hAnsi="Book Antiqua" w:cs="Arial"/>
          <w:b/>
          <w:i/>
          <w:color w:val="000000"/>
          <w:sz w:val="24"/>
          <w:szCs w:val="24"/>
        </w:rPr>
      </w:pPr>
      <w:r w:rsidRPr="002543A3">
        <w:rPr>
          <w:rFonts w:ascii="Book Antiqua" w:hAnsi="Book Antiqua" w:cs="Arial"/>
          <w:b/>
          <w:i/>
          <w:color w:val="000000"/>
          <w:sz w:val="24"/>
          <w:szCs w:val="24"/>
        </w:rPr>
        <w:t>Laboratory diagnosis</w:t>
      </w:r>
    </w:p>
    <w:p w14:paraId="2F5D9666" w14:textId="77777777" w:rsidR="0097388A" w:rsidRPr="003559D4" w:rsidRDefault="0097388A" w:rsidP="00651BD2">
      <w:pPr>
        <w:spacing w:after="0" w:line="360" w:lineRule="auto"/>
        <w:jc w:val="both"/>
        <w:rPr>
          <w:rFonts w:ascii="Book Antiqua" w:hAnsi="Book Antiqua" w:cs="Arial"/>
          <w:color w:val="000000"/>
          <w:sz w:val="24"/>
          <w:szCs w:val="24"/>
          <w:lang w:val="en-US"/>
        </w:rPr>
      </w:pPr>
      <w:proofErr w:type="gramStart"/>
      <w:r w:rsidRPr="003559D4">
        <w:rPr>
          <w:rFonts w:ascii="Book Antiqua" w:hAnsi="Book Antiqua" w:cs="Arial"/>
          <w:color w:val="000000"/>
          <w:sz w:val="24"/>
          <w:szCs w:val="24"/>
          <w:lang w:val="en-US"/>
        </w:rPr>
        <w:t>In most cases, elevated transaminases and positive autoimmune auto-antibodies.</w:t>
      </w:r>
      <w:proofErr w:type="gramEnd"/>
      <w:r w:rsidRPr="003559D4">
        <w:rPr>
          <w:rFonts w:ascii="Book Antiqua" w:hAnsi="Book Antiqua" w:cs="Arial"/>
          <w:color w:val="000000"/>
          <w:sz w:val="24"/>
          <w:szCs w:val="24"/>
          <w:lang w:val="en-US"/>
        </w:rPr>
        <w:t xml:space="preserve"> </w:t>
      </w:r>
    </w:p>
    <w:p w14:paraId="03BCA786" w14:textId="77777777" w:rsidR="002543A3" w:rsidRDefault="002543A3" w:rsidP="00651BD2">
      <w:pPr>
        <w:spacing w:after="0" w:line="360" w:lineRule="auto"/>
        <w:jc w:val="both"/>
        <w:rPr>
          <w:rFonts w:ascii="Book Antiqua" w:hAnsi="Book Antiqua" w:cs="Arial"/>
          <w:b/>
          <w:color w:val="000000"/>
          <w:sz w:val="24"/>
          <w:szCs w:val="24"/>
          <w:lang w:val="en-US" w:eastAsia="zh-CN"/>
        </w:rPr>
      </w:pPr>
    </w:p>
    <w:p w14:paraId="345F85EC" w14:textId="1EC4ECC9" w:rsidR="008E431A" w:rsidRPr="002543A3" w:rsidRDefault="008E431A" w:rsidP="00651BD2">
      <w:pPr>
        <w:spacing w:after="0" w:line="360" w:lineRule="auto"/>
        <w:jc w:val="both"/>
        <w:rPr>
          <w:rFonts w:ascii="Book Antiqua" w:hAnsi="Book Antiqua" w:cs="Arial"/>
          <w:b/>
          <w:i/>
          <w:color w:val="000000"/>
          <w:sz w:val="24"/>
          <w:szCs w:val="24"/>
          <w:lang w:val="en-US"/>
        </w:rPr>
      </w:pPr>
      <w:r w:rsidRPr="002543A3">
        <w:rPr>
          <w:rFonts w:ascii="Book Antiqua" w:hAnsi="Book Antiqua" w:cs="Arial"/>
          <w:b/>
          <w:i/>
          <w:color w:val="000000"/>
          <w:sz w:val="24"/>
          <w:szCs w:val="24"/>
          <w:lang w:val="en-US"/>
        </w:rPr>
        <w:t>Imaging diagnosis</w:t>
      </w:r>
    </w:p>
    <w:p w14:paraId="4FA1716C" w14:textId="77777777" w:rsidR="008E431A" w:rsidRDefault="0097388A" w:rsidP="00651BD2">
      <w:pPr>
        <w:spacing w:after="0" w:line="360" w:lineRule="auto"/>
        <w:jc w:val="both"/>
        <w:rPr>
          <w:rFonts w:ascii="Book Antiqua" w:hAnsi="Book Antiqua" w:cs="Arial"/>
          <w:color w:val="000000"/>
          <w:sz w:val="24"/>
          <w:szCs w:val="24"/>
          <w:lang w:val="en-US" w:eastAsia="zh-CN"/>
        </w:rPr>
      </w:pPr>
      <w:r w:rsidRPr="003559D4">
        <w:rPr>
          <w:rFonts w:ascii="Book Antiqua" w:hAnsi="Book Antiqua" w:cs="Arial"/>
          <w:color w:val="000000"/>
          <w:sz w:val="24"/>
          <w:szCs w:val="24"/>
          <w:lang w:val="en-US"/>
        </w:rPr>
        <w:t>Abdominal ultrasound and MRI excluded other causes.</w:t>
      </w:r>
    </w:p>
    <w:p w14:paraId="7773849C" w14:textId="77777777" w:rsidR="002543A3" w:rsidRPr="003559D4" w:rsidRDefault="002543A3" w:rsidP="00651BD2">
      <w:pPr>
        <w:spacing w:after="0" w:line="360" w:lineRule="auto"/>
        <w:jc w:val="both"/>
        <w:rPr>
          <w:rFonts w:ascii="Book Antiqua" w:hAnsi="Book Antiqua" w:cs="Arial"/>
          <w:color w:val="000000"/>
          <w:sz w:val="24"/>
          <w:szCs w:val="24"/>
          <w:lang w:val="en-US" w:eastAsia="zh-CN"/>
        </w:rPr>
      </w:pPr>
    </w:p>
    <w:p w14:paraId="7F890908" w14:textId="25B35912" w:rsidR="008E431A" w:rsidRPr="002543A3" w:rsidRDefault="008E431A" w:rsidP="00651BD2">
      <w:pPr>
        <w:spacing w:after="0" w:line="360" w:lineRule="auto"/>
        <w:jc w:val="both"/>
        <w:rPr>
          <w:rFonts w:ascii="Book Antiqua" w:hAnsi="Book Antiqua" w:cs="Arial"/>
          <w:b/>
          <w:i/>
          <w:color w:val="000000"/>
          <w:sz w:val="24"/>
          <w:szCs w:val="24"/>
          <w:lang w:val="en-US"/>
        </w:rPr>
      </w:pPr>
      <w:r w:rsidRPr="002543A3">
        <w:rPr>
          <w:rFonts w:ascii="Book Antiqua" w:hAnsi="Book Antiqua" w:cs="Arial"/>
          <w:b/>
          <w:i/>
          <w:color w:val="000000"/>
          <w:sz w:val="24"/>
          <w:szCs w:val="24"/>
          <w:lang w:val="en-US"/>
        </w:rPr>
        <w:t>Pathological diagnosis</w:t>
      </w:r>
    </w:p>
    <w:p w14:paraId="472C7F14" w14:textId="77777777" w:rsidR="008E431A" w:rsidRDefault="0097388A" w:rsidP="00651BD2">
      <w:pPr>
        <w:spacing w:after="0" w:line="360" w:lineRule="auto"/>
        <w:jc w:val="both"/>
        <w:rPr>
          <w:rFonts w:ascii="Book Antiqua" w:hAnsi="Book Antiqua" w:cs="Arial"/>
          <w:color w:val="000000"/>
          <w:sz w:val="24"/>
          <w:szCs w:val="24"/>
          <w:lang w:val="en-US" w:eastAsia="zh-CN"/>
        </w:rPr>
      </w:pPr>
      <w:r w:rsidRPr="003559D4">
        <w:rPr>
          <w:rFonts w:ascii="Book Antiqua" w:hAnsi="Book Antiqua" w:cs="Arial"/>
          <w:color w:val="000000"/>
          <w:sz w:val="24"/>
          <w:szCs w:val="24"/>
          <w:lang w:val="en-US"/>
        </w:rPr>
        <w:t xml:space="preserve">All of the patients showed typical findings of autoimmune liver disease such as: chronic </w:t>
      </w:r>
      <w:proofErr w:type="spellStart"/>
      <w:r w:rsidRPr="003559D4">
        <w:rPr>
          <w:rFonts w:ascii="Book Antiqua" w:hAnsi="Book Antiqua" w:cs="Arial"/>
          <w:color w:val="000000"/>
          <w:sz w:val="24"/>
          <w:szCs w:val="24"/>
          <w:lang w:val="en-US"/>
        </w:rPr>
        <w:t>lymphoplasmocytic</w:t>
      </w:r>
      <w:proofErr w:type="spellEnd"/>
      <w:r w:rsidRPr="003559D4">
        <w:rPr>
          <w:rFonts w:ascii="Book Antiqua" w:hAnsi="Book Antiqua" w:cs="Arial"/>
          <w:color w:val="000000"/>
          <w:sz w:val="24"/>
          <w:szCs w:val="24"/>
          <w:lang w:val="en-US"/>
        </w:rPr>
        <w:t xml:space="preserve"> infiltrate and interface </w:t>
      </w:r>
      <w:r w:rsidR="00382FE4" w:rsidRPr="003559D4">
        <w:rPr>
          <w:rFonts w:ascii="Book Antiqua" w:hAnsi="Book Antiqua" w:cs="Arial"/>
          <w:color w:val="000000"/>
          <w:sz w:val="24"/>
          <w:szCs w:val="24"/>
          <w:lang w:val="en-US"/>
        </w:rPr>
        <w:t>hepatitis.</w:t>
      </w:r>
    </w:p>
    <w:p w14:paraId="6C6CDFE1" w14:textId="77777777" w:rsidR="002543A3" w:rsidRPr="003559D4" w:rsidRDefault="002543A3" w:rsidP="00651BD2">
      <w:pPr>
        <w:spacing w:after="0" w:line="360" w:lineRule="auto"/>
        <w:jc w:val="both"/>
        <w:rPr>
          <w:rFonts w:ascii="Book Antiqua" w:hAnsi="Book Antiqua" w:cs="Arial"/>
          <w:color w:val="000000"/>
          <w:sz w:val="24"/>
          <w:szCs w:val="24"/>
          <w:lang w:val="en-US" w:eastAsia="zh-CN"/>
        </w:rPr>
      </w:pPr>
    </w:p>
    <w:p w14:paraId="1113EFD2" w14:textId="27D59A80" w:rsidR="008E431A" w:rsidRPr="002543A3" w:rsidRDefault="008E431A" w:rsidP="00651BD2">
      <w:pPr>
        <w:spacing w:after="0" w:line="360" w:lineRule="auto"/>
        <w:jc w:val="both"/>
        <w:rPr>
          <w:rFonts w:ascii="Book Antiqua" w:hAnsi="Book Antiqua" w:cs="Arial"/>
          <w:b/>
          <w:i/>
          <w:color w:val="000000"/>
          <w:sz w:val="24"/>
          <w:szCs w:val="24"/>
          <w:lang w:val="en-US"/>
        </w:rPr>
      </w:pPr>
      <w:r w:rsidRPr="002543A3">
        <w:rPr>
          <w:rFonts w:ascii="Book Antiqua" w:hAnsi="Book Antiqua" w:cs="Arial"/>
          <w:b/>
          <w:i/>
          <w:color w:val="000000"/>
          <w:sz w:val="24"/>
          <w:szCs w:val="24"/>
          <w:lang w:val="en-US"/>
        </w:rPr>
        <w:t>Treatment</w:t>
      </w:r>
    </w:p>
    <w:p w14:paraId="44E3FEB1" w14:textId="77777777" w:rsidR="008E431A" w:rsidRDefault="0097388A" w:rsidP="00651BD2">
      <w:pPr>
        <w:spacing w:after="0" w:line="360" w:lineRule="auto"/>
        <w:jc w:val="both"/>
        <w:rPr>
          <w:rFonts w:ascii="Book Antiqua" w:hAnsi="Book Antiqua" w:cs="Arial"/>
          <w:color w:val="000000"/>
          <w:sz w:val="24"/>
          <w:szCs w:val="24"/>
          <w:lang w:val="en-US" w:eastAsia="zh-CN"/>
        </w:rPr>
      </w:pPr>
      <w:r w:rsidRPr="003559D4">
        <w:rPr>
          <w:rFonts w:ascii="Book Antiqua" w:hAnsi="Book Antiqua" w:cs="Arial"/>
          <w:color w:val="000000"/>
          <w:sz w:val="24"/>
          <w:szCs w:val="24"/>
          <w:lang w:val="en-US"/>
        </w:rPr>
        <w:lastRenderedPageBreak/>
        <w:t>All of the patients responded to standard prednisolone dose for autoimmune hepatitis, and the majority did not require maintenance therapy.</w:t>
      </w:r>
    </w:p>
    <w:p w14:paraId="4894D938" w14:textId="77777777" w:rsidR="002543A3" w:rsidRPr="003559D4" w:rsidRDefault="002543A3" w:rsidP="00651BD2">
      <w:pPr>
        <w:spacing w:after="0" w:line="360" w:lineRule="auto"/>
        <w:jc w:val="both"/>
        <w:rPr>
          <w:rFonts w:ascii="Book Antiqua" w:hAnsi="Book Antiqua" w:cs="Arial"/>
          <w:color w:val="000000"/>
          <w:sz w:val="24"/>
          <w:szCs w:val="24"/>
          <w:lang w:val="en-US" w:eastAsia="zh-CN"/>
        </w:rPr>
      </w:pPr>
    </w:p>
    <w:p w14:paraId="79AE9700" w14:textId="115E2671" w:rsidR="008E431A" w:rsidRPr="002543A3" w:rsidRDefault="008E431A" w:rsidP="00651BD2">
      <w:pPr>
        <w:spacing w:after="0" w:line="360" w:lineRule="auto"/>
        <w:jc w:val="both"/>
        <w:rPr>
          <w:rFonts w:ascii="Book Antiqua" w:hAnsi="Book Antiqua" w:cs="Arial"/>
          <w:b/>
          <w:i/>
          <w:color w:val="000000"/>
          <w:sz w:val="24"/>
          <w:szCs w:val="24"/>
          <w:lang w:val="en-US"/>
        </w:rPr>
      </w:pPr>
      <w:r w:rsidRPr="002543A3">
        <w:rPr>
          <w:rFonts w:ascii="Book Antiqua" w:hAnsi="Book Antiqua"/>
          <w:b/>
          <w:i/>
          <w:sz w:val="24"/>
          <w:szCs w:val="24"/>
          <w:lang w:val="en-US"/>
        </w:rPr>
        <w:t>Related reports</w:t>
      </w:r>
    </w:p>
    <w:p w14:paraId="39E3DEE0" w14:textId="270785D0" w:rsidR="008E431A" w:rsidRDefault="008D4462" w:rsidP="00651BD2">
      <w:pPr>
        <w:spacing w:after="0" w:line="360" w:lineRule="auto"/>
        <w:jc w:val="both"/>
        <w:rPr>
          <w:rFonts w:ascii="Book Antiqua" w:hAnsi="Book Antiqua" w:cs="Arial"/>
          <w:color w:val="000000"/>
          <w:sz w:val="24"/>
          <w:szCs w:val="24"/>
          <w:lang w:val="en-US" w:eastAsia="zh-CN"/>
        </w:rPr>
      </w:pPr>
      <w:r w:rsidRPr="003559D4">
        <w:rPr>
          <w:rFonts w:ascii="Book Antiqua" w:hAnsi="Book Antiqua" w:cs="Arial"/>
          <w:color w:val="000000"/>
          <w:sz w:val="24"/>
          <w:szCs w:val="24"/>
          <w:lang w:val="en-US"/>
        </w:rPr>
        <w:t>In most cases, anti-TNF-</w:t>
      </w:r>
      <w:r w:rsidR="00A6038C">
        <w:rPr>
          <w:rFonts w:ascii="Symbol" w:hAnsi="Symbol" w:cs="宋体"/>
          <w:sz w:val="32"/>
          <w:szCs w:val="32"/>
        </w:rPr>
        <w:t></w:t>
      </w:r>
      <w:r w:rsidRPr="003559D4">
        <w:rPr>
          <w:rFonts w:ascii="Book Antiqua" w:hAnsi="Book Antiqua" w:cs="Arial"/>
          <w:color w:val="000000"/>
          <w:sz w:val="24"/>
          <w:szCs w:val="24"/>
          <w:lang w:val="en-US"/>
        </w:rPr>
        <w:t xml:space="preserve"> induced autoimmune hepatitis does not behave like classic </w:t>
      </w:r>
      <w:r w:rsidR="002543A3" w:rsidRPr="003559D4">
        <w:rPr>
          <w:rFonts w:ascii="Book Antiqua" w:hAnsi="Book Antiqua" w:cs="Arial"/>
          <w:sz w:val="24"/>
          <w:szCs w:val="24"/>
          <w:lang w:val="en-US"/>
        </w:rPr>
        <w:t>autoimmune hepatitis (AIH)</w:t>
      </w:r>
      <w:r w:rsidR="002543A3">
        <w:rPr>
          <w:rFonts w:ascii="Book Antiqua" w:hAnsi="Book Antiqua" w:cs="Arial" w:hint="eastAsia"/>
          <w:sz w:val="24"/>
          <w:szCs w:val="24"/>
          <w:lang w:val="en-US" w:eastAsia="zh-CN"/>
        </w:rPr>
        <w:t xml:space="preserve"> </w:t>
      </w:r>
      <w:r w:rsidRPr="003559D4">
        <w:rPr>
          <w:rFonts w:ascii="Book Antiqua" w:hAnsi="Book Antiqua" w:cs="Arial"/>
          <w:color w:val="000000"/>
          <w:sz w:val="24"/>
          <w:szCs w:val="24"/>
          <w:lang w:val="en-US"/>
        </w:rPr>
        <w:t xml:space="preserve">and seems to be more of an autoimmune-like </w:t>
      </w:r>
      <w:r w:rsidR="002543A3" w:rsidRPr="003559D4">
        <w:rPr>
          <w:rFonts w:ascii="Book Antiqua" w:hAnsi="Book Antiqua" w:cs="Arial"/>
          <w:sz w:val="24"/>
          <w:szCs w:val="24"/>
          <w:lang w:val="en-US"/>
        </w:rPr>
        <w:t>drug-induced liver injury (DILI)</w:t>
      </w:r>
      <w:r w:rsidRPr="003559D4">
        <w:rPr>
          <w:rFonts w:ascii="Book Antiqua" w:hAnsi="Book Antiqua" w:cs="Arial"/>
          <w:color w:val="000000"/>
          <w:sz w:val="24"/>
          <w:szCs w:val="24"/>
          <w:lang w:val="en-US"/>
        </w:rPr>
        <w:t>.</w:t>
      </w:r>
    </w:p>
    <w:p w14:paraId="63F58282" w14:textId="77777777" w:rsidR="002543A3" w:rsidRPr="003559D4" w:rsidRDefault="002543A3" w:rsidP="00651BD2">
      <w:pPr>
        <w:spacing w:after="0" w:line="360" w:lineRule="auto"/>
        <w:jc w:val="both"/>
        <w:rPr>
          <w:rFonts w:ascii="Book Antiqua" w:hAnsi="Book Antiqua"/>
          <w:sz w:val="24"/>
          <w:szCs w:val="24"/>
          <w:lang w:val="en-US" w:eastAsia="zh-CN"/>
        </w:rPr>
      </w:pPr>
    </w:p>
    <w:p w14:paraId="38587DB4" w14:textId="5C9C9DAD" w:rsidR="008E431A" w:rsidRPr="002543A3" w:rsidRDefault="008E431A" w:rsidP="00651BD2">
      <w:pPr>
        <w:spacing w:after="0" w:line="360" w:lineRule="auto"/>
        <w:jc w:val="both"/>
        <w:rPr>
          <w:rFonts w:ascii="Book Antiqua" w:hAnsi="Book Antiqua" w:cs="Arial"/>
          <w:b/>
          <w:i/>
          <w:color w:val="000000"/>
          <w:sz w:val="24"/>
          <w:szCs w:val="24"/>
        </w:rPr>
      </w:pPr>
      <w:r w:rsidRPr="002543A3">
        <w:rPr>
          <w:rFonts w:ascii="Book Antiqua" w:hAnsi="Book Antiqua" w:cs="Arial"/>
          <w:b/>
          <w:i/>
          <w:color w:val="000000"/>
          <w:sz w:val="24"/>
          <w:szCs w:val="24"/>
        </w:rPr>
        <w:t>Experiences and lessons</w:t>
      </w:r>
    </w:p>
    <w:p w14:paraId="35DB28F9" w14:textId="77777777" w:rsidR="002C25A7" w:rsidRDefault="002C25A7" w:rsidP="00651BD2">
      <w:pPr>
        <w:spacing w:after="0" w:line="360" w:lineRule="auto"/>
        <w:jc w:val="both"/>
        <w:rPr>
          <w:rFonts w:ascii="Book Antiqua" w:hAnsi="Book Antiqua" w:cs="Arial"/>
          <w:color w:val="000000"/>
          <w:sz w:val="24"/>
          <w:szCs w:val="24"/>
          <w:lang w:val="en-US" w:eastAsia="zh-CN"/>
        </w:rPr>
      </w:pPr>
      <w:r w:rsidRPr="003559D4">
        <w:rPr>
          <w:rFonts w:ascii="Book Antiqua" w:hAnsi="Book Antiqua" w:cs="Arial"/>
          <w:color w:val="000000"/>
          <w:sz w:val="24"/>
          <w:szCs w:val="24"/>
          <w:lang w:val="en-US"/>
        </w:rPr>
        <w:t xml:space="preserve">This article underlines the need for baseline liver function tests and autoimmune panel to detect theses cases and shows that most cases behave like autoimmune-like DILI and not classic AIH. </w:t>
      </w:r>
    </w:p>
    <w:p w14:paraId="7F59D7A0" w14:textId="77777777" w:rsidR="002543A3" w:rsidRPr="003559D4" w:rsidRDefault="002543A3" w:rsidP="00651BD2">
      <w:pPr>
        <w:spacing w:after="0" w:line="360" w:lineRule="auto"/>
        <w:jc w:val="both"/>
        <w:rPr>
          <w:rFonts w:ascii="Book Antiqua" w:hAnsi="Book Antiqua"/>
          <w:sz w:val="24"/>
          <w:szCs w:val="24"/>
          <w:lang w:val="en-US" w:eastAsia="zh-CN"/>
        </w:rPr>
      </w:pPr>
    </w:p>
    <w:p w14:paraId="33BFB658" w14:textId="34B216E7" w:rsidR="008E431A" w:rsidRPr="002543A3" w:rsidRDefault="008E431A" w:rsidP="00651BD2">
      <w:pPr>
        <w:spacing w:after="0" w:line="360" w:lineRule="auto"/>
        <w:jc w:val="both"/>
        <w:rPr>
          <w:rFonts w:ascii="Book Antiqua" w:hAnsi="Book Antiqua"/>
          <w:b/>
          <w:i/>
          <w:sz w:val="24"/>
          <w:szCs w:val="24"/>
        </w:rPr>
      </w:pPr>
      <w:r w:rsidRPr="002543A3">
        <w:rPr>
          <w:rFonts w:ascii="Book Antiqua" w:hAnsi="Book Antiqua"/>
          <w:b/>
          <w:i/>
          <w:sz w:val="24"/>
          <w:szCs w:val="24"/>
        </w:rPr>
        <w:t>Peer review</w:t>
      </w:r>
    </w:p>
    <w:p w14:paraId="5CC3184C" w14:textId="77777777" w:rsidR="008E431A" w:rsidRPr="003559D4" w:rsidRDefault="002C25A7" w:rsidP="00651BD2">
      <w:pPr>
        <w:spacing w:after="0" w:line="360" w:lineRule="auto"/>
        <w:jc w:val="both"/>
        <w:rPr>
          <w:rFonts w:ascii="Book Antiqua" w:hAnsi="Book Antiqua"/>
          <w:sz w:val="24"/>
          <w:szCs w:val="24"/>
          <w:lang w:val="en-US"/>
        </w:rPr>
      </w:pPr>
      <w:r w:rsidRPr="003559D4">
        <w:rPr>
          <w:rFonts w:ascii="Book Antiqua" w:hAnsi="Book Antiqua" w:cs="Arial"/>
          <w:color w:val="000000"/>
          <w:sz w:val="24"/>
          <w:szCs w:val="24"/>
          <w:lang w:val="en-US"/>
        </w:rPr>
        <w:t>Baseline</w:t>
      </w:r>
      <w:r w:rsidR="003C00CD" w:rsidRPr="003559D4">
        <w:rPr>
          <w:rFonts w:ascii="Book Antiqua" w:hAnsi="Book Antiqua" w:cs="Arial"/>
          <w:color w:val="000000"/>
          <w:sz w:val="24"/>
          <w:szCs w:val="24"/>
          <w:lang w:val="en-US"/>
        </w:rPr>
        <w:t xml:space="preserve"> liver function tests and autoimmune panel</w:t>
      </w:r>
      <w:r w:rsidRPr="003559D4">
        <w:rPr>
          <w:rFonts w:ascii="Book Antiqua" w:hAnsi="Book Antiqua" w:cs="Arial"/>
          <w:color w:val="000000"/>
          <w:sz w:val="24"/>
          <w:szCs w:val="24"/>
          <w:lang w:val="en-US"/>
        </w:rPr>
        <w:t xml:space="preserve"> to detect theses cases</w:t>
      </w:r>
      <w:r w:rsidR="007C4C8C" w:rsidRPr="003559D4">
        <w:rPr>
          <w:rFonts w:ascii="Book Antiqua" w:hAnsi="Book Antiqua" w:cs="Arial"/>
          <w:color w:val="000000"/>
          <w:sz w:val="24"/>
          <w:szCs w:val="24"/>
          <w:lang w:val="en-US"/>
        </w:rPr>
        <w:t xml:space="preserve"> are necessary</w:t>
      </w:r>
      <w:r w:rsidRPr="003559D4">
        <w:rPr>
          <w:rFonts w:ascii="Book Antiqua" w:hAnsi="Book Antiqua" w:cs="Arial"/>
          <w:color w:val="000000"/>
          <w:sz w:val="24"/>
          <w:szCs w:val="24"/>
          <w:lang w:val="en-US"/>
        </w:rPr>
        <w:t xml:space="preserve"> and a distinction between established AIH and autoimmune DILI</w:t>
      </w:r>
      <w:r w:rsidR="007C4C8C" w:rsidRPr="003559D4">
        <w:rPr>
          <w:rFonts w:ascii="Book Antiqua" w:hAnsi="Book Antiqua" w:cs="Arial"/>
          <w:color w:val="000000"/>
          <w:sz w:val="24"/>
          <w:szCs w:val="24"/>
          <w:lang w:val="en-US"/>
        </w:rPr>
        <w:t xml:space="preserve"> must be made in these cases because they have disparate disease progression and require </w:t>
      </w:r>
      <w:r w:rsidR="00407F7E" w:rsidRPr="003559D4">
        <w:rPr>
          <w:rFonts w:ascii="Book Antiqua" w:hAnsi="Book Antiqua" w:cs="Arial"/>
          <w:color w:val="000000"/>
          <w:sz w:val="24"/>
          <w:szCs w:val="24"/>
          <w:lang w:val="en-US"/>
        </w:rPr>
        <w:t xml:space="preserve">different </w:t>
      </w:r>
      <w:r w:rsidR="007C4C8C" w:rsidRPr="003559D4">
        <w:rPr>
          <w:rFonts w:ascii="Book Antiqua" w:hAnsi="Book Antiqua" w:cs="Arial"/>
          <w:color w:val="000000"/>
          <w:sz w:val="24"/>
          <w:szCs w:val="24"/>
          <w:lang w:val="en-US"/>
        </w:rPr>
        <w:t>treatment.</w:t>
      </w:r>
    </w:p>
    <w:bookmarkEnd w:id="42"/>
    <w:bookmarkEnd w:id="43"/>
    <w:p w14:paraId="4387FCA4" w14:textId="77777777" w:rsidR="008E431A" w:rsidRPr="003559D4" w:rsidRDefault="008E431A" w:rsidP="00651BD2">
      <w:pPr>
        <w:autoSpaceDE w:val="0"/>
        <w:autoSpaceDN w:val="0"/>
        <w:adjustRightInd w:val="0"/>
        <w:snapToGrid w:val="0"/>
        <w:spacing w:after="0" w:line="360" w:lineRule="auto"/>
        <w:jc w:val="both"/>
        <w:rPr>
          <w:rFonts w:ascii="Book Antiqua" w:hAnsi="Book Antiqua" w:cs="Arial"/>
          <w:b/>
          <w:sz w:val="24"/>
          <w:szCs w:val="24"/>
        </w:rPr>
      </w:pPr>
    </w:p>
    <w:bookmarkEnd w:id="44"/>
    <w:bookmarkEnd w:id="45"/>
    <w:p w14:paraId="52F40208" w14:textId="77777777" w:rsidR="008E431A" w:rsidRPr="003559D4" w:rsidRDefault="008E431A" w:rsidP="00651BD2">
      <w:pPr>
        <w:autoSpaceDE w:val="0"/>
        <w:autoSpaceDN w:val="0"/>
        <w:adjustRightInd w:val="0"/>
        <w:snapToGrid w:val="0"/>
        <w:spacing w:after="0" w:line="360" w:lineRule="auto"/>
        <w:jc w:val="both"/>
        <w:rPr>
          <w:rFonts w:ascii="Book Antiqua" w:hAnsi="Book Antiqua" w:cs="Arial"/>
          <w:b/>
          <w:sz w:val="24"/>
          <w:szCs w:val="24"/>
        </w:rPr>
      </w:pPr>
    </w:p>
    <w:p w14:paraId="75FEE0AB" w14:textId="77777777" w:rsidR="008E431A" w:rsidRPr="003559D4" w:rsidRDefault="008E431A" w:rsidP="00651BD2">
      <w:pPr>
        <w:autoSpaceDE w:val="0"/>
        <w:autoSpaceDN w:val="0"/>
        <w:adjustRightInd w:val="0"/>
        <w:snapToGrid w:val="0"/>
        <w:spacing w:after="0" w:line="360" w:lineRule="auto"/>
        <w:jc w:val="both"/>
        <w:rPr>
          <w:rFonts w:ascii="Book Antiqua" w:hAnsi="Book Antiqua" w:cs="Arial"/>
          <w:b/>
          <w:sz w:val="24"/>
          <w:szCs w:val="24"/>
        </w:rPr>
      </w:pPr>
    </w:p>
    <w:p w14:paraId="4DFDF250" w14:textId="77777777" w:rsidR="00FF2959" w:rsidRPr="003559D4" w:rsidRDefault="00FF2959" w:rsidP="00651BD2">
      <w:pPr>
        <w:spacing w:after="0" w:line="360" w:lineRule="auto"/>
        <w:jc w:val="both"/>
        <w:rPr>
          <w:rFonts w:ascii="Book Antiqua" w:hAnsi="Book Antiqua" w:cs="Arial"/>
          <w:sz w:val="24"/>
          <w:szCs w:val="24"/>
        </w:rPr>
      </w:pPr>
    </w:p>
    <w:p w14:paraId="2245BA03" w14:textId="77777777" w:rsidR="00FF2959" w:rsidRPr="003559D4" w:rsidRDefault="00FF2959" w:rsidP="00651BD2">
      <w:pPr>
        <w:spacing w:after="0" w:line="360" w:lineRule="auto"/>
        <w:jc w:val="both"/>
        <w:rPr>
          <w:rFonts w:ascii="Book Antiqua" w:hAnsi="Book Antiqua"/>
          <w:sz w:val="24"/>
          <w:szCs w:val="24"/>
          <w:lang w:val="en-US"/>
        </w:rPr>
      </w:pPr>
    </w:p>
    <w:p w14:paraId="67FDBB7C" w14:textId="77777777" w:rsidR="00FF2959" w:rsidRPr="003559D4" w:rsidRDefault="008E431A" w:rsidP="00651BD2">
      <w:pPr>
        <w:spacing w:after="0" w:line="360" w:lineRule="auto"/>
        <w:jc w:val="both"/>
        <w:rPr>
          <w:rFonts w:ascii="Book Antiqua" w:hAnsi="Book Antiqua" w:cs="Arial"/>
          <w:b/>
          <w:sz w:val="24"/>
          <w:szCs w:val="24"/>
          <w:lang w:val="en-US" w:eastAsia="zh-CN"/>
        </w:rPr>
      </w:pPr>
      <w:r w:rsidRPr="003559D4">
        <w:rPr>
          <w:rFonts w:ascii="Book Antiqua" w:hAnsi="Book Antiqua" w:cs="Arial"/>
          <w:sz w:val="24"/>
          <w:szCs w:val="24"/>
          <w:lang w:val="en-US"/>
        </w:rPr>
        <w:br w:type="page"/>
      </w:r>
      <w:r w:rsidRPr="003559D4">
        <w:rPr>
          <w:rFonts w:ascii="Book Antiqua" w:hAnsi="Book Antiqua" w:cs="Arial"/>
          <w:b/>
          <w:sz w:val="24"/>
          <w:szCs w:val="24"/>
          <w:lang w:val="en-US"/>
        </w:rPr>
        <w:lastRenderedPageBreak/>
        <w:t>REFERENCES</w:t>
      </w:r>
    </w:p>
    <w:p w14:paraId="322A2A5C"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1 </w:t>
      </w:r>
      <w:r w:rsidRPr="002C60C5">
        <w:rPr>
          <w:rFonts w:ascii="Book Antiqua" w:hAnsi="Book Antiqua" w:cs="宋体"/>
          <w:b/>
          <w:bCs/>
          <w:sz w:val="24"/>
          <w:szCs w:val="24"/>
        </w:rPr>
        <w:t>Ghabril M</w:t>
      </w:r>
      <w:r w:rsidRPr="002C60C5">
        <w:rPr>
          <w:rFonts w:ascii="Book Antiqua" w:hAnsi="Book Antiqua" w:cs="宋体"/>
          <w:sz w:val="24"/>
          <w:szCs w:val="24"/>
        </w:rPr>
        <w:t>, Bonkovsky HL, Kum C, Davern T, Hayashi PH, Kleiner DE, Serrano J, Rochon J, Fontana RJ, Bonacini M. Liver injury from tumor necrosis factor-α antagonists: analysis of thirty-four cases. </w:t>
      </w:r>
      <w:r w:rsidRPr="002C60C5">
        <w:rPr>
          <w:rFonts w:ascii="Book Antiqua" w:hAnsi="Book Antiqua" w:cs="宋体"/>
          <w:i/>
          <w:iCs/>
          <w:sz w:val="24"/>
          <w:szCs w:val="24"/>
        </w:rPr>
        <w:t>Clin Gastroenterol Hepatol</w:t>
      </w:r>
      <w:r w:rsidRPr="002C60C5">
        <w:rPr>
          <w:rFonts w:ascii="Book Antiqua" w:hAnsi="Book Antiqua" w:cs="宋体"/>
          <w:sz w:val="24"/>
          <w:szCs w:val="24"/>
        </w:rPr>
        <w:t> 2013; </w:t>
      </w:r>
      <w:r w:rsidRPr="002C60C5">
        <w:rPr>
          <w:rFonts w:ascii="Book Antiqua" w:hAnsi="Book Antiqua" w:cs="宋体"/>
          <w:b/>
          <w:bCs/>
          <w:sz w:val="24"/>
          <w:szCs w:val="24"/>
        </w:rPr>
        <w:t>11</w:t>
      </w:r>
      <w:r w:rsidRPr="002C60C5">
        <w:rPr>
          <w:rFonts w:ascii="Book Antiqua" w:hAnsi="Book Antiqua" w:cs="宋体"/>
          <w:sz w:val="24"/>
          <w:szCs w:val="24"/>
        </w:rPr>
        <w:t>: 558-564.e3 [PMID: 23333219 DOI: 1010.1016/j.cgh.2012.12.025]</w:t>
      </w:r>
    </w:p>
    <w:p w14:paraId="16A7DA19"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2 </w:t>
      </w:r>
      <w:r w:rsidRPr="002C60C5">
        <w:rPr>
          <w:rFonts w:ascii="Book Antiqua" w:hAnsi="Book Antiqua" w:cs="宋体"/>
          <w:b/>
          <w:bCs/>
          <w:sz w:val="24"/>
          <w:szCs w:val="24"/>
        </w:rPr>
        <w:t>Manns MP</w:t>
      </w:r>
      <w:r w:rsidRPr="002C60C5">
        <w:rPr>
          <w:rFonts w:ascii="Book Antiqua" w:hAnsi="Book Antiqua" w:cs="宋体"/>
          <w:sz w:val="24"/>
          <w:szCs w:val="24"/>
        </w:rPr>
        <w:t>, Czaja AJ, Gorham JD, Krawitt EL, Mieli-Vergani G, Vergani D, Vierling JM. Diagnosis and management of autoimmune hepatitis. </w:t>
      </w:r>
      <w:r w:rsidRPr="002C60C5">
        <w:rPr>
          <w:rFonts w:ascii="Book Antiqua" w:hAnsi="Book Antiqua" w:cs="宋体"/>
          <w:i/>
          <w:iCs/>
          <w:sz w:val="24"/>
          <w:szCs w:val="24"/>
        </w:rPr>
        <w:t>Hepatology</w:t>
      </w:r>
      <w:r w:rsidRPr="002C60C5">
        <w:rPr>
          <w:rFonts w:ascii="Book Antiqua" w:hAnsi="Book Antiqua" w:cs="宋体"/>
          <w:sz w:val="24"/>
          <w:szCs w:val="24"/>
        </w:rPr>
        <w:t> 2010; </w:t>
      </w:r>
      <w:r w:rsidRPr="002C60C5">
        <w:rPr>
          <w:rFonts w:ascii="Book Antiqua" w:hAnsi="Book Antiqua" w:cs="宋体"/>
          <w:b/>
          <w:bCs/>
          <w:sz w:val="24"/>
          <w:szCs w:val="24"/>
        </w:rPr>
        <w:t>51</w:t>
      </w:r>
      <w:r w:rsidRPr="002C60C5">
        <w:rPr>
          <w:rFonts w:ascii="Book Antiqua" w:hAnsi="Book Antiqua" w:cs="宋体"/>
          <w:sz w:val="24"/>
          <w:szCs w:val="24"/>
        </w:rPr>
        <w:t>: 2193-2213 [PMID: 20513004 DOI: 10.1002/hep.23584]</w:t>
      </w:r>
    </w:p>
    <w:p w14:paraId="4066C048"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3 </w:t>
      </w:r>
      <w:r w:rsidRPr="002C60C5">
        <w:rPr>
          <w:rFonts w:ascii="Book Antiqua" w:hAnsi="Book Antiqua" w:cs="宋体"/>
          <w:b/>
          <w:bCs/>
          <w:sz w:val="24"/>
          <w:szCs w:val="24"/>
        </w:rPr>
        <w:t>Ozorio G</w:t>
      </w:r>
      <w:r w:rsidRPr="002C60C5">
        <w:rPr>
          <w:rFonts w:ascii="Book Antiqua" w:hAnsi="Book Antiqua" w:cs="宋体"/>
          <w:sz w:val="24"/>
          <w:szCs w:val="24"/>
        </w:rPr>
        <w:t>, McGarity B, Bak H, Jordan AS, Lau H, Marshall C. Autoimmune hepatitis following infliximab therapy for ankylosing spondylitis. </w:t>
      </w:r>
      <w:r w:rsidRPr="002C60C5">
        <w:rPr>
          <w:rFonts w:ascii="Book Antiqua" w:hAnsi="Book Antiqua" w:cs="宋体"/>
          <w:i/>
          <w:iCs/>
          <w:sz w:val="24"/>
          <w:szCs w:val="24"/>
        </w:rPr>
        <w:t>Med J Aust</w:t>
      </w:r>
      <w:r w:rsidRPr="002C60C5">
        <w:rPr>
          <w:rFonts w:ascii="Book Antiqua" w:hAnsi="Book Antiqua" w:cs="宋体"/>
          <w:sz w:val="24"/>
          <w:szCs w:val="24"/>
        </w:rPr>
        <w:t> 2007; </w:t>
      </w:r>
      <w:r w:rsidRPr="002C60C5">
        <w:rPr>
          <w:rFonts w:ascii="Book Antiqua" w:hAnsi="Book Antiqua" w:cs="宋体"/>
          <w:b/>
          <w:bCs/>
          <w:sz w:val="24"/>
          <w:szCs w:val="24"/>
        </w:rPr>
        <w:t>187</w:t>
      </w:r>
      <w:r w:rsidRPr="002C60C5">
        <w:rPr>
          <w:rFonts w:ascii="Book Antiqua" w:hAnsi="Book Antiqua" w:cs="宋体"/>
          <w:sz w:val="24"/>
          <w:szCs w:val="24"/>
        </w:rPr>
        <w:t>: 524-526 [PMID: 17979620 DOI: 10.1097/RHU.0b013e318228bcb6]</w:t>
      </w:r>
    </w:p>
    <w:p w14:paraId="40EB63C5" w14:textId="77777777" w:rsidR="00B831B2" w:rsidRPr="002C60C5" w:rsidRDefault="00B831B2" w:rsidP="00651BD2">
      <w:pPr>
        <w:spacing w:line="360" w:lineRule="auto"/>
        <w:jc w:val="both"/>
        <w:rPr>
          <w:rFonts w:ascii="Book Antiqua" w:hAnsi="Book Antiqua" w:cs="宋体"/>
          <w:sz w:val="24"/>
          <w:szCs w:val="24"/>
        </w:rPr>
      </w:pPr>
      <w:r w:rsidRPr="007C3AA5">
        <w:rPr>
          <w:rFonts w:ascii="Book Antiqua" w:hAnsi="Book Antiqua" w:cs="宋体"/>
          <w:sz w:val="24"/>
          <w:szCs w:val="24"/>
        </w:rPr>
        <w:t>4 </w:t>
      </w:r>
      <w:r w:rsidRPr="007C3AA5">
        <w:rPr>
          <w:rFonts w:ascii="Book Antiqua" w:hAnsi="Book Antiqua" w:cs="宋体"/>
          <w:b/>
          <w:bCs/>
          <w:sz w:val="24"/>
          <w:szCs w:val="24"/>
        </w:rPr>
        <w:t>Germano V</w:t>
      </w:r>
      <w:r w:rsidRPr="007C3AA5">
        <w:rPr>
          <w:rFonts w:ascii="Book Antiqua" w:hAnsi="Book Antiqua" w:cs="宋体"/>
          <w:sz w:val="24"/>
          <w:szCs w:val="24"/>
        </w:rPr>
        <w:t>, Picchianti Diamanti A, Baccano G, Natale E, Onetti Muda A, P</w:t>
      </w:r>
      <w:r w:rsidRPr="002C60C5">
        <w:rPr>
          <w:rFonts w:ascii="Book Antiqua" w:hAnsi="Book Antiqua" w:cs="宋体"/>
          <w:sz w:val="24"/>
          <w:szCs w:val="24"/>
        </w:rPr>
        <w:t>riori R, Valesini G. Autoimmune hepatitis associated with infliximab in a patient with psoriatic arthritis. </w:t>
      </w:r>
      <w:r w:rsidRPr="002C60C5">
        <w:rPr>
          <w:rFonts w:ascii="Book Antiqua" w:hAnsi="Book Antiqua" w:cs="宋体"/>
          <w:i/>
          <w:iCs/>
          <w:sz w:val="24"/>
          <w:szCs w:val="24"/>
        </w:rPr>
        <w:t>Ann Rheum Dis</w:t>
      </w:r>
      <w:r w:rsidRPr="002C60C5">
        <w:rPr>
          <w:rFonts w:ascii="Book Antiqua" w:hAnsi="Book Antiqua" w:cs="宋体"/>
          <w:sz w:val="24"/>
          <w:szCs w:val="24"/>
        </w:rPr>
        <w:t> 2005; </w:t>
      </w:r>
      <w:r w:rsidRPr="002C60C5">
        <w:rPr>
          <w:rFonts w:ascii="Book Antiqua" w:hAnsi="Book Antiqua" w:cs="宋体"/>
          <w:b/>
          <w:bCs/>
          <w:sz w:val="24"/>
          <w:szCs w:val="24"/>
        </w:rPr>
        <w:t>64</w:t>
      </w:r>
      <w:r w:rsidRPr="002C60C5">
        <w:rPr>
          <w:rFonts w:ascii="Book Antiqua" w:hAnsi="Book Antiqua" w:cs="宋体"/>
          <w:sz w:val="24"/>
          <w:szCs w:val="24"/>
        </w:rPr>
        <w:t>: 1519-1520 [PMID: 16162908 DOI: 10.1136/ard.2004.032821]</w:t>
      </w:r>
    </w:p>
    <w:p w14:paraId="215F5FB3"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5 </w:t>
      </w:r>
      <w:r w:rsidRPr="002C60C5">
        <w:rPr>
          <w:rFonts w:ascii="Book Antiqua" w:hAnsi="Book Antiqua" w:cs="宋体"/>
          <w:b/>
          <w:bCs/>
          <w:sz w:val="24"/>
          <w:szCs w:val="24"/>
        </w:rPr>
        <w:t>Marques M</w:t>
      </w:r>
      <w:r w:rsidRPr="002C60C5">
        <w:rPr>
          <w:rFonts w:ascii="Book Antiqua" w:hAnsi="Book Antiqua" w:cs="宋体"/>
          <w:sz w:val="24"/>
          <w:szCs w:val="24"/>
        </w:rPr>
        <w:t>, Magro F, Cardoso H, Carneiro F, Portugal R, Lopes J, Costa Santos C. Infliximab-induced lupus-like syndrome associated with autoimmune hepatitis. </w:t>
      </w:r>
      <w:r w:rsidRPr="002C60C5">
        <w:rPr>
          <w:rFonts w:ascii="Book Antiqua" w:hAnsi="Book Antiqua" w:cs="宋体"/>
          <w:i/>
          <w:iCs/>
          <w:sz w:val="24"/>
          <w:szCs w:val="24"/>
        </w:rPr>
        <w:t>Inflamm Bowel Dis</w:t>
      </w:r>
      <w:r w:rsidRPr="002C60C5">
        <w:rPr>
          <w:rFonts w:ascii="Book Antiqua" w:hAnsi="Book Antiqua" w:cs="宋体"/>
          <w:sz w:val="24"/>
          <w:szCs w:val="24"/>
        </w:rPr>
        <w:t> 2008; </w:t>
      </w:r>
      <w:r w:rsidRPr="002C60C5">
        <w:rPr>
          <w:rFonts w:ascii="Book Antiqua" w:hAnsi="Book Antiqua" w:cs="宋体"/>
          <w:b/>
          <w:bCs/>
          <w:sz w:val="24"/>
          <w:szCs w:val="24"/>
        </w:rPr>
        <w:t>14</w:t>
      </w:r>
      <w:r w:rsidRPr="002C60C5">
        <w:rPr>
          <w:rFonts w:ascii="Book Antiqua" w:hAnsi="Book Antiqua" w:cs="宋体"/>
          <w:sz w:val="24"/>
          <w:szCs w:val="24"/>
        </w:rPr>
        <w:t>: 723-725 [PMID: 17929297 DOI: 10.1002/ibd.20293]</w:t>
      </w:r>
    </w:p>
    <w:p w14:paraId="62E7156A"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6 </w:t>
      </w:r>
      <w:r w:rsidRPr="002C60C5">
        <w:rPr>
          <w:rFonts w:ascii="Book Antiqua" w:hAnsi="Book Antiqua" w:cs="宋体"/>
          <w:b/>
          <w:bCs/>
          <w:sz w:val="24"/>
          <w:szCs w:val="24"/>
        </w:rPr>
        <w:t>Adar T</w:t>
      </w:r>
      <w:r w:rsidRPr="002C60C5">
        <w:rPr>
          <w:rFonts w:ascii="Book Antiqua" w:hAnsi="Book Antiqua" w:cs="宋体"/>
          <w:sz w:val="24"/>
          <w:szCs w:val="24"/>
        </w:rPr>
        <w:t>, Mizrahi M, Pappo O, Scheiman-Elazary A, Shibolet O. Adalimumab-induced autoimmune hepatitis. </w:t>
      </w:r>
      <w:r w:rsidRPr="002C60C5">
        <w:rPr>
          <w:rFonts w:ascii="Book Antiqua" w:hAnsi="Book Antiqua" w:cs="宋体"/>
          <w:i/>
          <w:iCs/>
          <w:sz w:val="24"/>
          <w:szCs w:val="24"/>
        </w:rPr>
        <w:t>J Clin Gastroenterol</w:t>
      </w:r>
      <w:r w:rsidRPr="002C60C5">
        <w:rPr>
          <w:rFonts w:ascii="Book Antiqua" w:hAnsi="Book Antiqua" w:cs="宋体"/>
          <w:sz w:val="24"/>
          <w:szCs w:val="24"/>
        </w:rPr>
        <w:t> 2010; </w:t>
      </w:r>
      <w:r w:rsidRPr="002C60C5">
        <w:rPr>
          <w:rFonts w:ascii="Book Antiqua" w:hAnsi="Book Antiqua" w:cs="宋体"/>
          <w:b/>
          <w:bCs/>
          <w:sz w:val="24"/>
          <w:szCs w:val="24"/>
        </w:rPr>
        <w:t>44</w:t>
      </w:r>
      <w:r w:rsidRPr="002C60C5">
        <w:rPr>
          <w:rFonts w:ascii="Book Antiqua" w:hAnsi="Book Antiqua" w:cs="宋体"/>
          <w:sz w:val="24"/>
          <w:szCs w:val="24"/>
        </w:rPr>
        <w:t>: e20-e22 [PMID: 19593165 DOI: 10.1097/MCG.0b013e3181a745e7]</w:t>
      </w:r>
    </w:p>
    <w:p w14:paraId="562D76F9"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7 </w:t>
      </w:r>
      <w:r w:rsidRPr="002C60C5">
        <w:rPr>
          <w:rFonts w:ascii="Book Antiqua" w:hAnsi="Book Antiqua" w:cs="宋体"/>
          <w:b/>
          <w:bCs/>
          <w:sz w:val="24"/>
          <w:szCs w:val="24"/>
        </w:rPr>
        <w:t>Doyle A</w:t>
      </w:r>
      <w:r w:rsidRPr="002C60C5">
        <w:rPr>
          <w:rFonts w:ascii="Book Antiqua" w:hAnsi="Book Antiqua" w:cs="宋体"/>
          <w:sz w:val="24"/>
          <w:szCs w:val="24"/>
        </w:rPr>
        <w:t>, Forbes G, Kontorinis N. Autoimmune hepatitis during infliximab therapy for Crohn's disease: a case report. </w:t>
      </w:r>
      <w:r w:rsidRPr="002C60C5">
        <w:rPr>
          <w:rFonts w:ascii="Book Antiqua" w:hAnsi="Book Antiqua" w:cs="宋体"/>
          <w:i/>
          <w:iCs/>
          <w:sz w:val="24"/>
          <w:szCs w:val="24"/>
        </w:rPr>
        <w:t>J Crohns Colitis</w:t>
      </w:r>
      <w:r w:rsidRPr="002C60C5">
        <w:rPr>
          <w:rFonts w:ascii="Book Antiqua" w:hAnsi="Book Antiqua" w:cs="宋体"/>
          <w:sz w:val="24"/>
          <w:szCs w:val="24"/>
        </w:rPr>
        <w:t> 2011; </w:t>
      </w:r>
      <w:r w:rsidRPr="002C60C5">
        <w:rPr>
          <w:rFonts w:ascii="Book Antiqua" w:hAnsi="Book Antiqua" w:cs="宋体"/>
          <w:b/>
          <w:bCs/>
          <w:sz w:val="24"/>
          <w:szCs w:val="24"/>
        </w:rPr>
        <w:t>5</w:t>
      </w:r>
      <w:r w:rsidRPr="002C60C5">
        <w:rPr>
          <w:rFonts w:ascii="Book Antiqua" w:hAnsi="Book Antiqua" w:cs="宋体"/>
          <w:sz w:val="24"/>
          <w:szCs w:val="24"/>
        </w:rPr>
        <w:t>: 253-255 [PMID: 21575891 DOI: 10.1016/j.crohns.2010.12.007]</w:t>
      </w:r>
    </w:p>
    <w:p w14:paraId="293A04C7"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8 </w:t>
      </w:r>
      <w:r w:rsidRPr="002C60C5">
        <w:rPr>
          <w:rFonts w:ascii="Book Antiqua" w:hAnsi="Book Antiqua" w:cs="宋体"/>
          <w:b/>
          <w:bCs/>
          <w:sz w:val="24"/>
          <w:szCs w:val="24"/>
        </w:rPr>
        <w:t>Fairhurst DA</w:t>
      </w:r>
      <w:r w:rsidRPr="002C60C5">
        <w:rPr>
          <w:rFonts w:ascii="Book Antiqua" w:hAnsi="Book Antiqua" w:cs="宋体"/>
          <w:sz w:val="24"/>
          <w:szCs w:val="24"/>
        </w:rPr>
        <w:t>, Sheehan-Dare R. Autoimmune hepatitis associated with infliximab in a patient with palmoplantar pustular psoriaisis. </w:t>
      </w:r>
      <w:r w:rsidRPr="002C60C5">
        <w:rPr>
          <w:rFonts w:ascii="Book Antiqua" w:hAnsi="Book Antiqua" w:cs="宋体"/>
          <w:i/>
          <w:iCs/>
          <w:sz w:val="24"/>
          <w:szCs w:val="24"/>
        </w:rPr>
        <w:t xml:space="preserve">Clin Exp </w:t>
      </w:r>
      <w:r w:rsidRPr="002C60C5">
        <w:rPr>
          <w:rFonts w:ascii="Book Antiqua" w:hAnsi="Book Antiqua" w:cs="宋体"/>
          <w:i/>
          <w:iCs/>
          <w:sz w:val="24"/>
          <w:szCs w:val="24"/>
        </w:rPr>
        <w:lastRenderedPageBreak/>
        <w:t>Dermatol</w:t>
      </w:r>
      <w:r w:rsidRPr="002C60C5">
        <w:rPr>
          <w:rFonts w:ascii="Book Antiqua" w:hAnsi="Book Antiqua" w:cs="宋体"/>
          <w:sz w:val="24"/>
          <w:szCs w:val="24"/>
        </w:rPr>
        <w:t> 2009; </w:t>
      </w:r>
      <w:r w:rsidRPr="002C60C5">
        <w:rPr>
          <w:rFonts w:ascii="Book Antiqua" w:hAnsi="Book Antiqua" w:cs="宋体"/>
          <w:b/>
          <w:bCs/>
          <w:sz w:val="24"/>
          <w:szCs w:val="24"/>
        </w:rPr>
        <w:t>34</w:t>
      </w:r>
      <w:r w:rsidRPr="002C60C5">
        <w:rPr>
          <w:rFonts w:ascii="Book Antiqua" w:hAnsi="Book Antiqua" w:cs="宋体"/>
          <w:sz w:val="24"/>
          <w:szCs w:val="24"/>
        </w:rPr>
        <w:t>: 421-422 [PMID: 19309375 DOI: 10.1111/j.1365-2230.2008.03088.x]</w:t>
      </w:r>
    </w:p>
    <w:p w14:paraId="31D6035C"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9 </w:t>
      </w:r>
      <w:r w:rsidRPr="002C60C5">
        <w:rPr>
          <w:rFonts w:ascii="Book Antiqua" w:hAnsi="Book Antiqua" w:cs="宋体"/>
          <w:b/>
          <w:bCs/>
          <w:sz w:val="24"/>
          <w:szCs w:val="24"/>
        </w:rPr>
        <w:t>Goujon C</w:t>
      </w:r>
      <w:r w:rsidRPr="002C60C5">
        <w:rPr>
          <w:rFonts w:ascii="Book Antiqua" w:hAnsi="Book Antiqua" w:cs="宋体"/>
          <w:sz w:val="24"/>
          <w:szCs w:val="24"/>
        </w:rPr>
        <w:t>, Dahel K, Bérard F, Guillot I, Gunera-Saad N, Nicolas JF. Autoimmune hepatitis in two psoriasis patients treated with inflixmab. </w:t>
      </w:r>
      <w:r w:rsidRPr="002C60C5">
        <w:rPr>
          <w:rFonts w:ascii="Book Antiqua" w:hAnsi="Book Antiqua" w:cs="宋体"/>
          <w:i/>
          <w:iCs/>
          <w:sz w:val="24"/>
          <w:szCs w:val="24"/>
        </w:rPr>
        <w:t>J Am Acad Dermatol</w:t>
      </w:r>
      <w:r w:rsidRPr="002C60C5">
        <w:rPr>
          <w:rFonts w:ascii="Book Antiqua" w:hAnsi="Book Antiqua" w:cs="宋体"/>
          <w:sz w:val="24"/>
          <w:szCs w:val="24"/>
        </w:rPr>
        <w:t> 2010; </w:t>
      </w:r>
      <w:r w:rsidRPr="002C60C5">
        <w:rPr>
          <w:rFonts w:ascii="Book Antiqua" w:hAnsi="Book Antiqua" w:cs="宋体"/>
          <w:b/>
          <w:bCs/>
          <w:sz w:val="24"/>
          <w:szCs w:val="24"/>
        </w:rPr>
        <w:t>63</w:t>
      </w:r>
      <w:r w:rsidRPr="002C60C5">
        <w:rPr>
          <w:rFonts w:ascii="Book Antiqua" w:hAnsi="Book Antiqua" w:cs="宋体"/>
          <w:sz w:val="24"/>
          <w:szCs w:val="24"/>
        </w:rPr>
        <w:t>: e43-e44 [PMID: 20633783 DOI: 10.1016/j.jaad.2009.02.029]</w:t>
      </w:r>
    </w:p>
    <w:p w14:paraId="7A4BBBAE" w14:textId="77777777" w:rsidR="00B831B2" w:rsidRDefault="00B831B2" w:rsidP="00651BD2">
      <w:pPr>
        <w:spacing w:line="360" w:lineRule="auto"/>
        <w:jc w:val="both"/>
        <w:rPr>
          <w:rFonts w:ascii="Book Antiqua" w:hAnsi="Book Antiqua" w:cs="宋体"/>
          <w:sz w:val="24"/>
          <w:szCs w:val="24"/>
          <w:lang w:eastAsia="zh-CN"/>
        </w:rPr>
      </w:pPr>
      <w:r w:rsidRPr="002C60C5">
        <w:rPr>
          <w:rFonts w:ascii="Book Antiqua" w:hAnsi="Book Antiqua" w:cs="宋体"/>
          <w:sz w:val="24"/>
          <w:szCs w:val="24"/>
        </w:rPr>
        <w:t>10 </w:t>
      </w:r>
      <w:r w:rsidRPr="002C60C5">
        <w:rPr>
          <w:rFonts w:ascii="Book Antiqua" w:hAnsi="Book Antiqua" w:cs="宋体"/>
          <w:b/>
          <w:bCs/>
          <w:sz w:val="24"/>
          <w:szCs w:val="24"/>
        </w:rPr>
        <w:t>Poulin Y</w:t>
      </w:r>
      <w:r w:rsidRPr="002C60C5">
        <w:rPr>
          <w:rFonts w:ascii="Book Antiqua" w:hAnsi="Book Antiqua" w:cs="宋体"/>
          <w:sz w:val="24"/>
          <w:szCs w:val="24"/>
        </w:rPr>
        <w:t>, Thérien G. Drug-induced hepatitis and lupus during infliximab treatment for psoriasis: case report and literature review. </w:t>
      </w:r>
      <w:r w:rsidRPr="002C60C5">
        <w:rPr>
          <w:rFonts w:ascii="Book Antiqua" w:hAnsi="Book Antiqua" w:cs="宋体"/>
          <w:i/>
          <w:iCs/>
          <w:sz w:val="24"/>
          <w:szCs w:val="24"/>
        </w:rPr>
        <w:t>J Cutan Med Surg</w:t>
      </w:r>
      <w:r w:rsidRPr="002C60C5">
        <w:rPr>
          <w:rFonts w:ascii="Book Antiqua" w:hAnsi="Book Antiqua" w:cs="宋体"/>
          <w:sz w:val="24"/>
          <w:szCs w:val="24"/>
        </w:rPr>
        <w:t> ; </w:t>
      </w:r>
      <w:r w:rsidRPr="002C60C5">
        <w:rPr>
          <w:rFonts w:ascii="Book Antiqua" w:hAnsi="Book Antiqua" w:cs="宋体"/>
          <w:b/>
          <w:bCs/>
          <w:sz w:val="24"/>
          <w:szCs w:val="24"/>
        </w:rPr>
        <w:t>14</w:t>
      </w:r>
      <w:r w:rsidRPr="002C60C5">
        <w:rPr>
          <w:rFonts w:ascii="Book Antiqua" w:hAnsi="Book Antiqua" w:cs="宋体"/>
          <w:sz w:val="24"/>
          <w:szCs w:val="24"/>
        </w:rPr>
        <w:t>: 100-104 [PMID: 20338127]</w:t>
      </w:r>
    </w:p>
    <w:p w14:paraId="48964C44" w14:textId="4C627A2E" w:rsidR="00F826C6" w:rsidRPr="002C60C5" w:rsidRDefault="00F826C6" w:rsidP="00651BD2">
      <w:pPr>
        <w:spacing w:line="360" w:lineRule="auto"/>
        <w:jc w:val="both"/>
        <w:rPr>
          <w:rFonts w:ascii="Book Antiqua" w:hAnsi="Book Antiqua" w:cs="宋体"/>
          <w:sz w:val="24"/>
          <w:szCs w:val="24"/>
          <w:lang w:eastAsia="zh-CN"/>
        </w:rPr>
      </w:pPr>
      <w:r w:rsidRPr="0026390D">
        <w:rPr>
          <w:rFonts w:ascii="Book Antiqua" w:hAnsi="Book Antiqua" w:cs="宋体" w:hint="eastAsia"/>
          <w:sz w:val="24"/>
          <w:szCs w:val="24"/>
          <w:lang w:eastAsia="zh-CN"/>
        </w:rPr>
        <w:t>11</w:t>
      </w:r>
      <w:r w:rsidRPr="0026390D">
        <w:rPr>
          <w:rFonts w:ascii="Book Antiqua" w:hAnsi="Book Antiqua" w:cs="宋体" w:hint="eastAsia"/>
          <w:b/>
          <w:sz w:val="24"/>
          <w:szCs w:val="24"/>
          <w:lang w:eastAsia="zh-CN"/>
        </w:rPr>
        <w:t xml:space="preserve"> </w:t>
      </w:r>
      <w:r w:rsidR="0026390D" w:rsidRPr="0026390D">
        <w:rPr>
          <w:rFonts w:ascii="Book Antiqua" w:hAnsi="Book Antiqua" w:cs="宋体"/>
          <w:b/>
          <w:sz w:val="24"/>
          <w:szCs w:val="24"/>
          <w:lang w:eastAsia="zh-CN"/>
        </w:rPr>
        <w:t>Saleem G,</w:t>
      </w:r>
      <w:r w:rsidR="0026390D" w:rsidRPr="0026390D">
        <w:rPr>
          <w:rFonts w:ascii="Book Antiqua" w:hAnsi="Book Antiqua" w:cs="宋体"/>
          <w:sz w:val="24"/>
          <w:szCs w:val="24"/>
          <w:lang w:eastAsia="zh-CN"/>
        </w:rPr>
        <w:t xml:space="preserve"> Li SC, MacPherson BR, Cooper SM.</w:t>
      </w:r>
      <w:r w:rsidRPr="00F826C6">
        <w:rPr>
          <w:rFonts w:ascii="Book Antiqua" w:hAnsi="Book Antiqua" w:cs="宋体"/>
          <w:sz w:val="24"/>
          <w:szCs w:val="24"/>
          <w:lang w:eastAsia="zh-CN"/>
        </w:rPr>
        <w:t xml:space="preserve"> Hepatitis with inflammation and IgG, IgM and IgA anti double-stranded DNA antibodies following infliximab therapy. </w:t>
      </w:r>
      <w:r w:rsidRPr="00F826C6">
        <w:rPr>
          <w:rFonts w:ascii="Book Antiqua" w:hAnsi="Book Antiqua" w:cs="宋体"/>
          <w:i/>
          <w:sz w:val="24"/>
          <w:szCs w:val="24"/>
          <w:lang w:eastAsia="zh-CN"/>
        </w:rPr>
        <w:t xml:space="preserve">Arthritis Rheum </w:t>
      </w:r>
      <w:r w:rsidRPr="00F826C6">
        <w:rPr>
          <w:rFonts w:ascii="Book Antiqua" w:hAnsi="Book Antiqua" w:cs="宋体"/>
          <w:sz w:val="24"/>
          <w:szCs w:val="24"/>
          <w:lang w:eastAsia="zh-CN"/>
        </w:rPr>
        <w:t>2001;</w:t>
      </w:r>
      <w:r>
        <w:rPr>
          <w:rFonts w:ascii="Book Antiqua" w:hAnsi="Book Antiqua" w:cs="宋体" w:hint="eastAsia"/>
          <w:sz w:val="24"/>
          <w:szCs w:val="24"/>
          <w:lang w:eastAsia="zh-CN"/>
        </w:rPr>
        <w:t xml:space="preserve"> </w:t>
      </w:r>
      <w:r w:rsidRPr="00F826C6">
        <w:rPr>
          <w:rFonts w:ascii="Book Antiqua" w:hAnsi="Book Antiqua" w:cs="宋体"/>
          <w:b/>
          <w:sz w:val="24"/>
          <w:szCs w:val="24"/>
          <w:lang w:eastAsia="zh-CN"/>
        </w:rPr>
        <w:t>44</w:t>
      </w:r>
      <w:r w:rsidRPr="00F826C6">
        <w:rPr>
          <w:rFonts w:ascii="Book Antiqua" w:hAnsi="Book Antiqua" w:cs="宋体"/>
          <w:sz w:val="24"/>
          <w:szCs w:val="24"/>
          <w:lang w:eastAsia="zh-CN"/>
        </w:rPr>
        <w:t>:</w:t>
      </w:r>
      <w:r>
        <w:rPr>
          <w:rFonts w:ascii="Book Antiqua" w:hAnsi="Book Antiqua" w:cs="宋体" w:hint="eastAsia"/>
          <w:sz w:val="24"/>
          <w:szCs w:val="24"/>
          <w:lang w:eastAsia="zh-CN"/>
        </w:rPr>
        <w:t xml:space="preserve"> </w:t>
      </w:r>
      <w:r w:rsidRPr="00F826C6">
        <w:rPr>
          <w:rFonts w:ascii="Book Antiqua" w:hAnsi="Book Antiqua" w:cs="宋体"/>
          <w:sz w:val="24"/>
          <w:szCs w:val="24"/>
          <w:lang w:eastAsia="zh-CN"/>
        </w:rPr>
        <w:t>1966-</w:t>
      </w:r>
      <w:r>
        <w:rPr>
          <w:rFonts w:ascii="Book Antiqua" w:hAnsi="Book Antiqua" w:cs="宋体" w:hint="eastAsia"/>
          <w:sz w:val="24"/>
          <w:szCs w:val="24"/>
          <w:lang w:eastAsia="zh-CN"/>
        </w:rPr>
        <w:t>196</w:t>
      </w:r>
      <w:r w:rsidRPr="00F826C6">
        <w:rPr>
          <w:rFonts w:ascii="Book Antiqua" w:hAnsi="Book Antiqua" w:cs="宋体"/>
          <w:sz w:val="24"/>
          <w:szCs w:val="24"/>
          <w:lang w:eastAsia="zh-CN"/>
        </w:rPr>
        <w:t>8 [</w:t>
      </w:r>
      <w:r w:rsidR="0026390D" w:rsidRPr="0026390D">
        <w:rPr>
          <w:rFonts w:ascii="Book Antiqua" w:hAnsi="Book Antiqua" w:cs="宋体"/>
          <w:sz w:val="24"/>
          <w:szCs w:val="24"/>
          <w:lang w:eastAsia="zh-CN"/>
        </w:rPr>
        <w:t>PMID: 11508453</w:t>
      </w:r>
      <w:r w:rsidRPr="00F826C6">
        <w:rPr>
          <w:rFonts w:ascii="Book Antiqua" w:hAnsi="Book Antiqua" w:cs="宋体"/>
          <w:sz w:val="24"/>
          <w:szCs w:val="24"/>
          <w:lang w:eastAsia="zh-CN"/>
        </w:rPr>
        <w:t>]</w:t>
      </w:r>
    </w:p>
    <w:p w14:paraId="466C0B8E"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12 </w:t>
      </w:r>
      <w:r w:rsidRPr="002C60C5">
        <w:rPr>
          <w:rFonts w:ascii="Book Antiqua" w:hAnsi="Book Antiqua" w:cs="宋体"/>
          <w:b/>
          <w:bCs/>
          <w:sz w:val="24"/>
          <w:szCs w:val="24"/>
        </w:rPr>
        <w:t>van Casteren-Messidoro C</w:t>
      </w:r>
      <w:r w:rsidRPr="002C60C5">
        <w:rPr>
          <w:rFonts w:ascii="Book Antiqua" w:hAnsi="Book Antiqua" w:cs="宋体"/>
          <w:sz w:val="24"/>
          <w:szCs w:val="24"/>
        </w:rPr>
        <w:t>, Prins G, van Tilburg A, Zelinkova Z, Schouten J, de Man R. Autoimmune hepatitis following treatment with infliximab for inflammatory bowel disease. </w:t>
      </w:r>
      <w:r w:rsidRPr="002C60C5">
        <w:rPr>
          <w:rFonts w:ascii="Book Antiqua" w:hAnsi="Book Antiqua" w:cs="宋体"/>
          <w:i/>
          <w:iCs/>
          <w:sz w:val="24"/>
          <w:szCs w:val="24"/>
        </w:rPr>
        <w:t>J Crohns Colitis</w:t>
      </w:r>
      <w:r w:rsidRPr="002C60C5">
        <w:rPr>
          <w:rFonts w:ascii="Book Antiqua" w:hAnsi="Book Antiqua" w:cs="宋体"/>
          <w:sz w:val="24"/>
          <w:szCs w:val="24"/>
        </w:rPr>
        <w:t> 2012; </w:t>
      </w:r>
      <w:r w:rsidRPr="002C60C5">
        <w:rPr>
          <w:rFonts w:ascii="Book Antiqua" w:hAnsi="Book Antiqua" w:cs="宋体"/>
          <w:b/>
          <w:bCs/>
          <w:sz w:val="24"/>
          <w:szCs w:val="24"/>
        </w:rPr>
        <w:t>6</w:t>
      </w:r>
      <w:r w:rsidRPr="002C60C5">
        <w:rPr>
          <w:rFonts w:ascii="Book Antiqua" w:hAnsi="Book Antiqua" w:cs="宋体"/>
          <w:sz w:val="24"/>
          <w:szCs w:val="24"/>
        </w:rPr>
        <w:t>: 630-631 [PMID: 22398075 DOI: 10.1016/j.crohns.2012.01.017]</w:t>
      </w:r>
    </w:p>
    <w:p w14:paraId="3A041E7A"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13 </w:t>
      </w:r>
      <w:r w:rsidRPr="002C60C5">
        <w:rPr>
          <w:rFonts w:ascii="Book Antiqua" w:hAnsi="Book Antiqua" w:cs="宋体"/>
          <w:b/>
          <w:bCs/>
          <w:sz w:val="24"/>
          <w:szCs w:val="24"/>
        </w:rPr>
        <w:t>Ierardi E</w:t>
      </w:r>
      <w:r w:rsidRPr="002C60C5">
        <w:rPr>
          <w:rFonts w:ascii="Book Antiqua" w:hAnsi="Book Antiqua" w:cs="宋体"/>
          <w:sz w:val="24"/>
          <w:szCs w:val="24"/>
        </w:rPr>
        <w:t>, Della Valle N, Nacchiero MC, De Francesco V, Stoppino G, Panella C. Infliximab single administration followed by acute liver injury. </w:t>
      </w:r>
      <w:r w:rsidRPr="002C60C5">
        <w:rPr>
          <w:rFonts w:ascii="Book Antiqua" w:hAnsi="Book Antiqua" w:cs="宋体"/>
          <w:i/>
          <w:iCs/>
          <w:sz w:val="24"/>
          <w:szCs w:val="24"/>
        </w:rPr>
        <w:t>Inflamm Bowel Dis</w:t>
      </w:r>
      <w:r w:rsidRPr="002C60C5">
        <w:rPr>
          <w:rFonts w:ascii="Book Antiqua" w:hAnsi="Book Antiqua" w:cs="宋体"/>
          <w:sz w:val="24"/>
          <w:szCs w:val="24"/>
        </w:rPr>
        <w:t> 2006; </w:t>
      </w:r>
      <w:r w:rsidRPr="002C60C5">
        <w:rPr>
          <w:rFonts w:ascii="Book Antiqua" w:hAnsi="Book Antiqua" w:cs="宋体"/>
          <w:b/>
          <w:bCs/>
          <w:sz w:val="24"/>
          <w:szCs w:val="24"/>
        </w:rPr>
        <w:t>12</w:t>
      </w:r>
      <w:r w:rsidRPr="002C60C5">
        <w:rPr>
          <w:rFonts w:ascii="Book Antiqua" w:hAnsi="Book Antiqua" w:cs="宋体"/>
          <w:sz w:val="24"/>
          <w:szCs w:val="24"/>
        </w:rPr>
        <w:t>: 1089-1091 [PMID: 17075352 DOI: 10.1097/01.mib.0000246783.75753.9f]</w:t>
      </w:r>
    </w:p>
    <w:p w14:paraId="4B120AA2"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14 </w:t>
      </w:r>
      <w:r w:rsidRPr="002C60C5">
        <w:rPr>
          <w:rFonts w:ascii="Book Antiqua" w:hAnsi="Book Antiqua" w:cs="宋体"/>
          <w:b/>
          <w:bCs/>
          <w:sz w:val="24"/>
          <w:szCs w:val="24"/>
        </w:rPr>
        <w:t>Tobon GJ</w:t>
      </w:r>
      <w:r w:rsidRPr="002C60C5">
        <w:rPr>
          <w:rFonts w:ascii="Book Antiqua" w:hAnsi="Book Antiqua" w:cs="宋体"/>
          <w:sz w:val="24"/>
          <w:szCs w:val="24"/>
        </w:rPr>
        <w:t>, Cañas C, Jaller JJ, Restrepo JC, Anaya JM. Serious liver disease induced by infliximab. </w:t>
      </w:r>
      <w:r w:rsidRPr="002C60C5">
        <w:rPr>
          <w:rFonts w:ascii="Book Antiqua" w:hAnsi="Book Antiqua" w:cs="宋体"/>
          <w:i/>
          <w:iCs/>
          <w:sz w:val="24"/>
          <w:szCs w:val="24"/>
        </w:rPr>
        <w:t>Clin Rheumatol</w:t>
      </w:r>
      <w:r w:rsidRPr="002C60C5">
        <w:rPr>
          <w:rFonts w:ascii="Book Antiqua" w:hAnsi="Book Antiqua" w:cs="宋体"/>
          <w:sz w:val="24"/>
          <w:szCs w:val="24"/>
        </w:rPr>
        <w:t> 2007; </w:t>
      </w:r>
      <w:r w:rsidRPr="002C60C5">
        <w:rPr>
          <w:rFonts w:ascii="Book Antiqua" w:hAnsi="Book Antiqua" w:cs="宋体"/>
          <w:b/>
          <w:bCs/>
          <w:sz w:val="24"/>
          <w:szCs w:val="24"/>
        </w:rPr>
        <w:t>26</w:t>
      </w:r>
      <w:r w:rsidRPr="002C60C5">
        <w:rPr>
          <w:rFonts w:ascii="Book Antiqua" w:hAnsi="Book Antiqua" w:cs="宋体"/>
          <w:sz w:val="24"/>
          <w:szCs w:val="24"/>
        </w:rPr>
        <w:t>: 578-581 [PMID: 16547695 DOI: 10.1007/s10067-005-0169-y]</w:t>
      </w:r>
    </w:p>
    <w:p w14:paraId="0E2EBA4D"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15 </w:t>
      </w:r>
      <w:r w:rsidRPr="002C60C5">
        <w:rPr>
          <w:rFonts w:ascii="Book Antiqua" w:hAnsi="Book Antiqua" w:cs="宋体"/>
          <w:b/>
          <w:bCs/>
          <w:sz w:val="24"/>
          <w:szCs w:val="24"/>
        </w:rPr>
        <w:t>Wahie S</w:t>
      </w:r>
      <w:r w:rsidRPr="002C60C5">
        <w:rPr>
          <w:rFonts w:ascii="Book Antiqua" w:hAnsi="Book Antiqua" w:cs="宋体"/>
          <w:sz w:val="24"/>
          <w:szCs w:val="24"/>
        </w:rPr>
        <w:t>, Alexandroff A, Reynolds NJ. Hepatitis: a rare, but important, complication of infliximab therapy for psoriasis. </w:t>
      </w:r>
      <w:r w:rsidRPr="002C60C5">
        <w:rPr>
          <w:rFonts w:ascii="Book Antiqua" w:hAnsi="Book Antiqua" w:cs="宋体"/>
          <w:i/>
          <w:iCs/>
          <w:sz w:val="24"/>
          <w:szCs w:val="24"/>
        </w:rPr>
        <w:t>Clin Exp Dermatol</w:t>
      </w:r>
      <w:r w:rsidRPr="002C60C5">
        <w:rPr>
          <w:rFonts w:ascii="Book Antiqua" w:hAnsi="Book Antiqua" w:cs="宋体"/>
          <w:sz w:val="24"/>
          <w:szCs w:val="24"/>
        </w:rPr>
        <w:t> 2006; </w:t>
      </w:r>
      <w:r w:rsidRPr="002C60C5">
        <w:rPr>
          <w:rFonts w:ascii="Book Antiqua" w:hAnsi="Book Antiqua" w:cs="宋体"/>
          <w:b/>
          <w:bCs/>
          <w:sz w:val="24"/>
          <w:szCs w:val="24"/>
        </w:rPr>
        <w:t>31</w:t>
      </w:r>
      <w:r w:rsidRPr="002C60C5">
        <w:rPr>
          <w:rFonts w:ascii="Book Antiqua" w:hAnsi="Book Antiqua" w:cs="宋体"/>
          <w:sz w:val="24"/>
          <w:szCs w:val="24"/>
        </w:rPr>
        <w:t>: 460-461 [PMID: 16681606 DOI: 10.1111/j.1365-2230.2006.02086.x]</w:t>
      </w:r>
    </w:p>
    <w:p w14:paraId="31ADE075"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lastRenderedPageBreak/>
        <w:t>16 </w:t>
      </w:r>
      <w:r w:rsidRPr="002C60C5">
        <w:rPr>
          <w:rFonts w:ascii="Book Antiqua" w:hAnsi="Book Antiqua" w:cs="宋体"/>
          <w:b/>
          <w:bCs/>
          <w:sz w:val="24"/>
          <w:szCs w:val="24"/>
        </w:rPr>
        <w:t>García Aparicio AM</w:t>
      </w:r>
      <w:r w:rsidRPr="002C60C5">
        <w:rPr>
          <w:rFonts w:ascii="Book Antiqua" w:hAnsi="Book Antiqua" w:cs="宋体"/>
          <w:sz w:val="24"/>
          <w:szCs w:val="24"/>
        </w:rPr>
        <w:t>, Rey JR, Sanz AH, Alvarez JS. Successful treatment with etanercept in a patient with hepatotoxicity closely related to infliximab. </w:t>
      </w:r>
      <w:r w:rsidRPr="002C60C5">
        <w:rPr>
          <w:rFonts w:ascii="Book Antiqua" w:hAnsi="Book Antiqua" w:cs="宋体"/>
          <w:i/>
          <w:iCs/>
          <w:sz w:val="24"/>
          <w:szCs w:val="24"/>
        </w:rPr>
        <w:t>Clin Rheumatol</w:t>
      </w:r>
      <w:r w:rsidRPr="002C60C5">
        <w:rPr>
          <w:rFonts w:ascii="Book Antiqua" w:hAnsi="Book Antiqua" w:cs="宋体"/>
          <w:sz w:val="24"/>
          <w:szCs w:val="24"/>
        </w:rPr>
        <w:t> 2007; </w:t>
      </w:r>
      <w:r w:rsidRPr="002C60C5">
        <w:rPr>
          <w:rFonts w:ascii="Book Antiqua" w:hAnsi="Book Antiqua" w:cs="宋体"/>
          <w:b/>
          <w:bCs/>
          <w:sz w:val="24"/>
          <w:szCs w:val="24"/>
        </w:rPr>
        <w:t>26</w:t>
      </w:r>
      <w:r w:rsidRPr="002C60C5">
        <w:rPr>
          <w:rFonts w:ascii="Book Antiqua" w:hAnsi="Book Antiqua" w:cs="宋体"/>
          <w:sz w:val="24"/>
          <w:szCs w:val="24"/>
        </w:rPr>
        <w:t>: 811-813 [PMID: 16550301 DOI: 10.1007/s10067-006-0253-y]</w:t>
      </w:r>
    </w:p>
    <w:p w14:paraId="7688C317"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17 </w:t>
      </w:r>
      <w:r w:rsidRPr="002C60C5">
        <w:rPr>
          <w:rFonts w:ascii="Book Antiqua" w:hAnsi="Book Antiqua" w:cs="宋体"/>
          <w:b/>
          <w:bCs/>
          <w:sz w:val="24"/>
          <w:szCs w:val="24"/>
        </w:rPr>
        <w:t>Moum B</w:t>
      </w:r>
      <w:r w:rsidRPr="002C60C5">
        <w:rPr>
          <w:rFonts w:ascii="Book Antiqua" w:hAnsi="Book Antiqua" w:cs="宋体"/>
          <w:sz w:val="24"/>
          <w:szCs w:val="24"/>
        </w:rPr>
        <w:t>, Konopski Z, Tufteland KF, Jahnsen J. Occurrence of hepatoxicicty and elevated liver enzymes in a Crohn's disease patient treated with infliximab. </w:t>
      </w:r>
      <w:r w:rsidRPr="002C60C5">
        <w:rPr>
          <w:rFonts w:ascii="Book Antiqua" w:hAnsi="Book Antiqua" w:cs="宋体"/>
          <w:i/>
          <w:iCs/>
          <w:sz w:val="24"/>
          <w:szCs w:val="24"/>
        </w:rPr>
        <w:t>Inflamm Bowel Dis</w:t>
      </w:r>
      <w:r w:rsidRPr="002C60C5">
        <w:rPr>
          <w:rFonts w:ascii="Book Antiqua" w:hAnsi="Book Antiqua" w:cs="宋体"/>
          <w:sz w:val="24"/>
          <w:szCs w:val="24"/>
        </w:rPr>
        <w:t> 2007; </w:t>
      </w:r>
      <w:r w:rsidRPr="002C60C5">
        <w:rPr>
          <w:rFonts w:ascii="Book Antiqua" w:hAnsi="Book Antiqua" w:cs="宋体"/>
          <w:b/>
          <w:bCs/>
          <w:sz w:val="24"/>
          <w:szCs w:val="24"/>
        </w:rPr>
        <w:t>13</w:t>
      </w:r>
      <w:r w:rsidRPr="002C60C5">
        <w:rPr>
          <w:rFonts w:ascii="Book Antiqua" w:hAnsi="Book Antiqua" w:cs="宋体"/>
          <w:sz w:val="24"/>
          <w:szCs w:val="24"/>
        </w:rPr>
        <w:t>: 1584-1586 [PMID: 17663423 DOI: 10.1002/ibd.20230]</w:t>
      </w:r>
    </w:p>
    <w:p w14:paraId="77B13A58"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18 </w:t>
      </w:r>
      <w:r w:rsidRPr="002C60C5">
        <w:rPr>
          <w:rFonts w:ascii="Book Antiqua" w:hAnsi="Book Antiqua" w:cs="宋体"/>
          <w:b/>
          <w:bCs/>
          <w:sz w:val="24"/>
          <w:szCs w:val="24"/>
        </w:rPr>
        <w:t>Mancini S</w:t>
      </w:r>
      <w:r w:rsidRPr="002C60C5">
        <w:rPr>
          <w:rFonts w:ascii="Book Antiqua" w:hAnsi="Book Antiqua" w:cs="宋体"/>
          <w:sz w:val="24"/>
          <w:szCs w:val="24"/>
        </w:rPr>
        <w:t>, Amorotti E, Vecchio S, Ponz de Leon M, Roncucci L. Infliximab-related hepatitis: discussion of a case and review of the literature. </w:t>
      </w:r>
      <w:r w:rsidRPr="002C60C5">
        <w:rPr>
          <w:rFonts w:ascii="Book Antiqua" w:hAnsi="Book Antiqua" w:cs="宋体"/>
          <w:i/>
          <w:iCs/>
          <w:sz w:val="24"/>
          <w:szCs w:val="24"/>
        </w:rPr>
        <w:t>Intern Emerg Med</w:t>
      </w:r>
      <w:r w:rsidRPr="002C60C5">
        <w:rPr>
          <w:rFonts w:ascii="Book Antiqua" w:hAnsi="Book Antiqua" w:cs="宋体"/>
          <w:sz w:val="24"/>
          <w:szCs w:val="24"/>
        </w:rPr>
        <w:t> 2010; </w:t>
      </w:r>
      <w:r w:rsidRPr="002C60C5">
        <w:rPr>
          <w:rFonts w:ascii="Book Antiqua" w:hAnsi="Book Antiqua" w:cs="宋体"/>
          <w:b/>
          <w:bCs/>
          <w:sz w:val="24"/>
          <w:szCs w:val="24"/>
        </w:rPr>
        <w:t>5</w:t>
      </w:r>
      <w:r w:rsidRPr="002C60C5">
        <w:rPr>
          <w:rFonts w:ascii="Book Antiqua" w:hAnsi="Book Antiqua" w:cs="宋体"/>
          <w:sz w:val="24"/>
          <w:szCs w:val="24"/>
        </w:rPr>
        <w:t>: 193-200 [PMID: 20107930 DOI: 10.1007/s11739-009-0342-4]</w:t>
      </w:r>
    </w:p>
    <w:p w14:paraId="65183EDF"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19 </w:t>
      </w:r>
      <w:r w:rsidRPr="002C60C5">
        <w:rPr>
          <w:rFonts w:ascii="Book Antiqua" w:hAnsi="Book Antiqua" w:cs="宋体"/>
          <w:b/>
          <w:bCs/>
          <w:sz w:val="24"/>
          <w:szCs w:val="24"/>
        </w:rPr>
        <w:t>Cravo M</w:t>
      </w:r>
      <w:r w:rsidRPr="002C60C5">
        <w:rPr>
          <w:rFonts w:ascii="Book Antiqua" w:hAnsi="Book Antiqua" w:cs="宋体"/>
          <w:sz w:val="24"/>
          <w:szCs w:val="24"/>
        </w:rPr>
        <w:t>, Silva R, Serrano M. Autoimmune hepatitis induced by infliximab in a patient with Crohn's disease with no relapse after switching to adalimumab. </w:t>
      </w:r>
      <w:r w:rsidRPr="002C60C5">
        <w:rPr>
          <w:rFonts w:ascii="Book Antiqua" w:hAnsi="Book Antiqua" w:cs="宋体"/>
          <w:i/>
          <w:iCs/>
          <w:sz w:val="24"/>
          <w:szCs w:val="24"/>
        </w:rPr>
        <w:t>BioDrugs</w:t>
      </w:r>
      <w:r w:rsidRPr="002C60C5">
        <w:rPr>
          <w:rFonts w:ascii="Book Antiqua" w:hAnsi="Book Antiqua" w:cs="宋体"/>
          <w:sz w:val="24"/>
          <w:szCs w:val="24"/>
        </w:rPr>
        <w:t> 2010; </w:t>
      </w:r>
      <w:r w:rsidRPr="002C60C5">
        <w:rPr>
          <w:rFonts w:ascii="Book Antiqua" w:hAnsi="Book Antiqua" w:cs="宋体"/>
          <w:b/>
          <w:bCs/>
          <w:sz w:val="24"/>
          <w:szCs w:val="24"/>
        </w:rPr>
        <w:t xml:space="preserve">24 </w:t>
      </w:r>
      <w:r w:rsidRPr="002C60C5">
        <w:rPr>
          <w:rFonts w:ascii="Book Antiqua" w:hAnsi="Book Antiqua" w:cs="宋体"/>
          <w:bCs/>
          <w:sz w:val="24"/>
          <w:szCs w:val="24"/>
        </w:rPr>
        <w:t>Suppl 1</w:t>
      </w:r>
      <w:r w:rsidRPr="002C60C5">
        <w:rPr>
          <w:rFonts w:ascii="Book Antiqua" w:hAnsi="Book Antiqua" w:cs="宋体"/>
          <w:sz w:val="24"/>
          <w:szCs w:val="24"/>
        </w:rPr>
        <w:t>: 25-27 [PMID: 21175232 DOI: 10.2165/11586210-000000000-00000]</w:t>
      </w:r>
    </w:p>
    <w:p w14:paraId="6E30E96B"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20 </w:t>
      </w:r>
      <w:r w:rsidRPr="002C60C5">
        <w:rPr>
          <w:rFonts w:ascii="Book Antiqua" w:hAnsi="Book Antiqua" w:cs="宋体"/>
          <w:b/>
          <w:bCs/>
          <w:sz w:val="24"/>
          <w:szCs w:val="24"/>
        </w:rPr>
        <w:t>Bose KS</w:t>
      </w:r>
      <w:r w:rsidRPr="002C60C5">
        <w:rPr>
          <w:rFonts w:ascii="Book Antiqua" w:hAnsi="Book Antiqua" w:cs="宋体"/>
          <w:sz w:val="24"/>
          <w:szCs w:val="24"/>
        </w:rPr>
        <w:t>, Sarma RH. Delineation of the intimate details of the backbone conformation of pyridine nucleotide coenzymes in aqueous solution. </w:t>
      </w:r>
      <w:r w:rsidRPr="002C60C5">
        <w:rPr>
          <w:rFonts w:ascii="Book Antiqua" w:hAnsi="Book Antiqua" w:cs="宋体"/>
          <w:i/>
          <w:iCs/>
          <w:sz w:val="24"/>
          <w:szCs w:val="24"/>
        </w:rPr>
        <w:t>Biochem Biophys Res Commun</w:t>
      </w:r>
      <w:r w:rsidRPr="002C60C5">
        <w:rPr>
          <w:rFonts w:ascii="Book Antiqua" w:hAnsi="Book Antiqua" w:cs="宋体"/>
          <w:sz w:val="24"/>
          <w:szCs w:val="24"/>
        </w:rPr>
        <w:t> 1975; </w:t>
      </w:r>
      <w:r w:rsidRPr="002C60C5">
        <w:rPr>
          <w:rFonts w:ascii="Book Antiqua" w:hAnsi="Book Antiqua" w:cs="宋体"/>
          <w:b/>
          <w:bCs/>
          <w:sz w:val="24"/>
          <w:szCs w:val="24"/>
        </w:rPr>
        <w:t>66</w:t>
      </w:r>
      <w:r w:rsidRPr="002C60C5">
        <w:rPr>
          <w:rFonts w:ascii="Book Antiqua" w:hAnsi="Book Antiqua" w:cs="宋体"/>
          <w:sz w:val="24"/>
          <w:szCs w:val="24"/>
        </w:rPr>
        <w:t>: 1173-1179 [PMID: 2 DOI: 10.1007/s10620-011-1748-1]</w:t>
      </w:r>
    </w:p>
    <w:p w14:paraId="6577AA1A"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21 </w:t>
      </w:r>
      <w:r w:rsidRPr="002C60C5">
        <w:rPr>
          <w:rFonts w:ascii="Book Antiqua" w:hAnsi="Book Antiqua" w:cs="宋体"/>
          <w:b/>
          <w:bCs/>
          <w:sz w:val="24"/>
          <w:szCs w:val="24"/>
        </w:rPr>
        <w:t>Haennig A</w:t>
      </w:r>
      <w:r w:rsidRPr="002C60C5">
        <w:rPr>
          <w:rFonts w:ascii="Book Antiqua" w:hAnsi="Book Antiqua" w:cs="宋体"/>
          <w:sz w:val="24"/>
          <w:szCs w:val="24"/>
        </w:rPr>
        <w:t>, Bonnet D, Thebault S, Alric L. Infliximab-induced acute hepatitis during Crohn's disease therapy: absence of cross-toxicity with adalimumab. </w:t>
      </w:r>
      <w:r w:rsidRPr="002C60C5">
        <w:rPr>
          <w:rFonts w:ascii="Book Antiqua" w:hAnsi="Book Antiqua" w:cs="宋体"/>
          <w:i/>
          <w:iCs/>
          <w:sz w:val="24"/>
          <w:szCs w:val="24"/>
        </w:rPr>
        <w:t>Gastroenterol Clin Biol</w:t>
      </w:r>
      <w:r w:rsidRPr="002C60C5">
        <w:rPr>
          <w:rFonts w:ascii="Book Antiqua" w:hAnsi="Book Antiqua" w:cs="宋体"/>
          <w:sz w:val="24"/>
          <w:szCs w:val="24"/>
        </w:rPr>
        <w:t> 2010; </w:t>
      </w:r>
      <w:r w:rsidRPr="002C60C5">
        <w:rPr>
          <w:rFonts w:ascii="Book Antiqua" w:hAnsi="Book Antiqua" w:cs="宋体"/>
          <w:b/>
          <w:bCs/>
          <w:sz w:val="24"/>
          <w:szCs w:val="24"/>
        </w:rPr>
        <w:t>34</w:t>
      </w:r>
      <w:r w:rsidRPr="002C60C5">
        <w:rPr>
          <w:rFonts w:ascii="Book Antiqua" w:hAnsi="Book Antiqua" w:cs="宋体"/>
          <w:sz w:val="24"/>
          <w:szCs w:val="24"/>
        </w:rPr>
        <w:t>: e7-e8 [PMID: 20189334 DOI: 10.1016/j.gcb.2010.01.016]</w:t>
      </w:r>
    </w:p>
    <w:p w14:paraId="3AC5876E"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t>22 </w:t>
      </w:r>
      <w:r w:rsidRPr="002C60C5">
        <w:rPr>
          <w:rFonts w:ascii="Book Antiqua" w:hAnsi="Book Antiqua" w:cs="宋体"/>
          <w:b/>
          <w:bCs/>
          <w:sz w:val="24"/>
          <w:szCs w:val="24"/>
        </w:rPr>
        <w:t>Weiler-Normann C</w:t>
      </w:r>
      <w:r w:rsidRPr="002C60C5">
        <w:rPr>
          <w:rFonts w:ascii="Book Antiqua" w:hAnsi="Book Antiqua" w:cs="宋体"/>
          <w:sz w:val="24"/>
          <w:szCs w:val="24"/>
        </w:rPr>
        <w:t>, Schramm C, Quaas A, Wiegard C, Glaubke C, Pannicke N, Möller S, Lohse AW. Infliximab as a rescue treatment in difficult-to-treat autoimmune hepatitis. </w:t>
      </w:r>
      <w:r w:rsidRPr="002C60C5">
        <w:rPr>
          <w:rFonts w:ascii="Book Antiqua" w:hAnsi="Book Antiqua" w:cs="宋体"/>
          <w:i/>
          <w:iCs/>
          <w:sz w:val="24"/>
          <w:szCs w:val="24"/>
        </w:rPr>
        <w:t>J Hepatol</w:t>
      </w:r>
      <w:r w:rsidRPr="002C60C5">
        <w:rPr>
          <w:rFonts w:ascii="Book Antiqua" w:hAnsi="Book Antiqua" w:cs="宋体"/>
          <w:sz w:val="24"/>
          <w:szCs w:val="24"/>
        </w:rPr>
        <w:t> 2013; </w:t>
      </w:r>
      <w:r w:rsidRPr="002C60C5">
        <w:rPr>
          <w:rFonts w:ascii="Book Antiqua" w:hAnsi="Book Antiqua" w:cs="宋体"/>
          <w:b/>
          <w:bCs/>
          <w:sz w:val="24"/>
          <w:szCs w:val="24"/>
        </w:rPr>
        <w:t>58</w:t>
      </w:r>
      <w:r w:rsidRPr="002C60C5">
        <w:rPr>
          <w:rFonts w:ascii="Book Antiqua" w:hAnsi="Book Antiqua" w:cs="宋体"/>
          <w:sz w:val="24"/>
          <w:szCs w:val="24"/>
        </w:rPr>
        <w:t>: 529-534 [PMID: 23178709 DOI: 10.1016/j.jhep.2012.11.010]</w:t>
      </w:r>
    </w:p>
    <w:p w14:paraId="46E95496" w14:textId="77777777" w:rsidR="00B831B2" w:rsidRPr="002C60C5" w:rsidRDefault="00B831B2" w:rsidP="00651BD2">
      <w:pPr>
        <w:spacing w:line="360" w:lineRule="auto"/>
        <w:jc w:val="both"/>
        <w:rPr>
          <w:rFonts w:ascii="Book Antiqua" w:hAnsi="Book Antiqua" w:cs="宋体"/>
          <w:sz w:val="24"/>
          <w:szCs w:val="24"/>
        </w:rPr>
      </w:pPr>
      <w:r w:rsidRPr="002C60C5">
        <w:rPr>
          <w:rFonts w:ascii="Book Antiqua" w:hAnsi="Book Antiqua" w:cs="宋体"/>
          <w:sz w:val="24"/>
          <w:szCs w:val="24"/>
        </w:rPr>
        <w:lastRenderedPageBreak/>
        <w:t>23 </w:t>
      </w:r>
      <w:r w:rsidRPr="002C60C5">
        <w:rPr>
          <w:rFonts w:ascii="Book Antiqua" w:hAnsi="Book Antiqua" w:cs="宋体"/>
          <w:b/>
          <w:bCs/>
          <w:sz w:val="24"/>
          <w:szCs w:val="24"/>
        </w:rPr>
        <w:t>Weiler-Normann C</w:t>
      </w:r>
      <w:r w:rsidRPr="002C60C5">
        <w:rPr>
          <w:rFonts w:ascii="Book Antiqua" w:hAnsi="Book Antiqua" w:cs="宋体"/>
          <w:sz w:val="24"/>
          <w:szCs w:val="24"/>
        </w:rPr>
        <w:t>, Schramm C. Drug induced liver injury and its relationship to autoimmune hepatitis. </w:t>
      </w:r>
      <w:r w:rsidRPr="002C60C5">
        <w:rPr>
          <w:rFonts w:ascii="Book Antiqua" w:hAnsi="Book Antiqua" w:cs="宋体"/>
          <w:i/>
          <w:iCs/>
          <w:sz w:val="24"/>
          <w:szCs w:val="24"/>
        </w:rPr>
        <w:t>J Hepatol</w:t>
      </w:r>
      <w:r w:rsidRPr="002C60C5">
        <w:rPr>
          <w:rFonts w:ascii="Book Antiqua" w:hAnsi="Book Antiqua" w:cs="宋体"/>
          <w:sz w:val="24"/>
          <w:szCs w:val="24"/>
        </w:rPr>
        <w:t> 2011; </w:t>
      </w:r>
      <w:r w:rsidRPr="002C60C5">
        <w:rPr>
          <w:rFonts w:ascii="Book Antiqua" w:hAnsi="Book Antiqua" w:cs="宋体"/>
          <w:b/>
          <w:bCs/>
          <w:sz w:val="24"/>
          <w:szCs w:val="24"/>
        </w:rPr>
        <w:t>55</w:t>
      </w:r>
      <w:r w:rsidRPr="002C60C5">
        <w:rPr>
          <w:rFonts w:ascii="Book Antiqua" w:hAnsi="Book Antiqua" w:cs="宋体"/>
          <w:sz w:val="24"/>
          <w:szCs w:val="24"/>
        </w:rPr>
        <w:t>: 747-749 [PMID: 21396413 DOI: 10.1016/j.jhep.2011.02.024]</w:t>
      </w:r>
    </w:p>
    <w:p w14:paraId="1DD07246" w14:textId="77777777" w:rsidR="00FF2959" w:rsidRPr="00B831B2" w:rsidRDefault="00FF2959" w:rsidP="00651BD2">
      <w:pPr>
        <w:spacing w:after="0" w:line="360" w:lineRule="auto"/>
        <w:jc w:val="both"/>
        <w:rPr>
          <w:rFonts w:ascii="Book Antiqua" w:hAnsi="Book Antiqua"/>
          <w:sz w:val="24"/>
          <w:szCs w:val="24"/>
          <w:lang w:eastAsia="zh-CN"/>
        </w:rPr>
      </w:pPr>
    </w:p>
    <w:p w14:paraId="394E0773" w14:textId="77777777" w:rsidR="008C303A" w:rsidRDefault="008E431A" w:rsidP="00F826C6">
      <w:pPr>
        <w:pStyle w:val="ac"/>
        <w:spacing w:line="360" w:lineRule="auto"/>
        <w:ind w:firstLineChars="0" w:firstLine="0"/>
        <w:jc w:val="right"/>
        <w:rPr>
          <w:rFonts w:ascii="Book Antiqua" w:eastAsia="宋体" w:hAnsi="Book Antiqua"/>
          <w:b/>
          <w:bCs/>
          <w:color w:val="000000"/>
          <w:szCs w:val="24"/>
          <w:lang w:eastAsia="zh-CN"/>
        </w:rPr>
      </w:pPr>
      <w:bookmarkStart w:id="46" w:name="OLE_LINK277"/>
      <w:bookmarkStart w:id="47" w:name="OLE_LINK278"/>
      <w:bookmarkStart w:id="48" w:name="OLE_LINK279"/>
      <w:bookmarkStart w:id="49" w:name="OLE_LINK290"/>
      <w:bookmarkStart w:id="50" w:name="OLE_LINK301"/>
      <w:bookmarkStart w:id="51" w:name="OLE_LINK312"/>
      <w:bookmarkStart w:id="52" w:name="OLE_LINK315"/>
      <w:bookmarkStart w:id="53" w:name="OLE_LINK316"/>
      <w:bookmarkStart w:id="54" w:name="OLE_LINK317"/>
      <w:bookmarkStart w:id="55" w:name="OLE_LINK318"/>
      <w:bookmarkStart w:id="56" w:name="OLE_LINK326"/>
      <w:bookmarkStart w:id="57" w:name="OLE_LINK335"/>
      <w:bookmarkStart w:id="58" w:name="OLE_LINK339"/>
      <w:bookmarkStart w:id="59" w:name="OLE_LINK348"/>
      <w:bookmarkStart w:id="60" w:name="OLE_LINK399"/>
      <w:bookmarkStart w:id="61" w:name="OLE_LINK419"/>
      <w:bookmarkStart w:id="62" w:name="OLE_LINK420"/>
      <w:bookmarkStart w:id="63" w:name="OLE_LINK423"/>
      <w:bookmarkStart w:id="64" w:name="OLE_LINK449"/>
      <w:bookmarkStart w:id="65" w:name="OLE_LINK450"/>
      <w:bookmarkStart w:id="66" w:name="OLE_LINK454"/>
      <w:bookmarkStart w:id="67" w:name="OLE_LINK461"/>
      <w:bookmarkStart w:id="68" w:name="OLE_LINK471"/>
      <w:bookmarkStart w:id="69" w:name="OLE_LINK474"/>
      <w:bookmarkStart w:id="70" w:name="OLE_LINK478"/>
      <w:r w:rsidRPr="003559D4">
        <w:rPr>
          <w:rStyle w:val="ab"/>
          <w:rFonts w:ascii="Book Antiqua" w:hAnsi="Book Antiqua" w:cs="Arial"/>
          <w:bCs w:val="0"/>
          <w:noProof/>
          <w:color w:val="000000"/>
          <w:szCs w:val="24"/>
        </w:rPr>
        <w:t>P-Reviewer</w:t>
      </w:r>
      <w:r w:rsidRPr="003559D4">
        <w:rPr>
          <w:rStyle w:val="ab"/>
          <w:rFonts w:ascii="Book Antiqua" w:hAnsi="Book Antiqua" w:cs="Arial"/>
          <w:bCs w:val="0"/>
          <w:noProof/>
          <w:color w:val="000000"/>
          <w:szCs w:val="24"/>
          <w:lang w:eastAsia="zh-CN"/>
        </w:rPr>
        <w:t>:</w:t>
      </w:r>
      <w:r w:rsidRPr="003559D4">
        <w:rPr>
          <w:rFonts w:ascii="Book Antiqua" w:hAnsi="Book Antiqua"/>
          <w:bCs/>
          <w:color w:val="000000"/>
          <w:szCs w:val="24"/>
        </w:rPr>
        <w:t xml:space="preserve"> </w:t>
      </w:r>
      <w:r w:rsidR="008C303A">
        <w:rPr>
          <w:rFonts w:ascii="Book Antiqua" w:hAnsi="Book Antiqua"/>
          <w:bCs/>
          <w:color w:val="000000"/>
          <w:szCs w:val="24"/>
        </w:rPr>
        <w:t>Mancuso</w:t>
      </w:r>
      <w:r w:rsidR="008C303A" w:rsidRPr="008C303A">
        <w:rPr>
          <w:rFonts w:ascii="Book Antiqua" w:hAnsi="Book Antiqua"/>
          <w:bCs/>
          <w:color w:val="000000"/>
          <w:szCs w:val="24"/>
        </w:rPr>
        <w:t xml:space="preserve"> A</w:t>
      </w:r>
      <w:r w:rsidR="008C303A">
        <w:rPr>
          <w:rFonts w:ascii="Book Antiqua" w:eastAsia="宋体" w:hAnsi="Book Antiqua" w:hint="eastAsia"/>
          <w:bCs/>
          <w:color w:val="000000"/>
          <w:szCs w:val="24"/>
          <w:lang w:eastAsia="zh-CN"/>
        </w:rPr>
        <w:t>,</w:t>
      </w:r>
      <w:r w:rsidRPr="003559D4">
        <w:rPr>
          <w:rFonts w:ascii="Book Antiqua" w:hAnsi="Book Antiqua"/>
          <w:bCs/>
          <w:color w:val="000000"/>
          <w:szCs w:val="24"/>
        </w:rPr>
        <w:t xml:space="preserve"> </w:t>
      </w:r>
      <w:r w:rsidR="008C303A" w:rsidRPr="008C303A">
        <w:rPr>
          <w:rFonts w:ascii="Book Antiqua" w:hAnsi="Book Antiqua"/>
          <w:bCs/>
          <w:color w:val="000000"/>
          <w:szCs w:val="24"/>
        </w:rPr>
        <w:t>Peltec</w:t>
      </w:r>
      <w:r w:rsidR="008C303A">
        <w:rPr>
          <w:rFonts w:ascii="Book Antiqua" w:eastAsia="宋体" w:hAnsi="Book Antiqua" w:hint="eastAsia"/>
          <w:bCs/>
          <w:color w:val="000000"/>
          <w:szCs w:val="24"/>
          <w:lang w:eastAsia="zh-CN"/>
        </w:rPr>
        <w:t xml:space="preserve"> A,</w:t>
      </w:r>
      <w:r w:rsidRPr="003559D4">
        <w:rPr>
          <w:rFonts w:ascii="Book Antiqua" w:hAnsi="Book Antiqua"/>
          <w:bCs/>
          <w:color w:val="000000"/>
          <w:szCs w:val="24"/>
        </w:rPr>
        <w:t xml:space="preserve"> </w:t>
      </w:r>
      <w:r w:rsidR="008C303A" w:rsidRPr="008C303A">
        <w:rPr>
          <w:rFonts w:ascii="Book Antiqua" w:hAnsi="Book Antiqua"/>
          <w:bCs/>
          <w:color w:val="000000"/>
          <w:szCs w:val="24"/>
        </w:rPr>
        <w:t>Souza-Mello</w:t>
      </w:r>
      <w:r w:rsidR="008C303A">
        <w:rPr>
          <w:rFonts w:ascii="Book Antiqua" w:eastAsia="宋体" w:hAnsi="Book Antiqua" w:hint="eastAsia"/>
          <w:bCs/>
          <w:color w:val="000000"/>
          <w:szCs w:val="24"/>
          <w:lang w:eastAsia="zh-CN"/>
        </w:rPr>
        <w:t xml:space="preserve"> V </w:t>
      </w:r>
      <w:r w:rsidRPr="003559D4">
        <w:rPr>
          <w:rFonts w:ascii="Book Antiqua" w:hAnsi="Book Antiqua"/>
          <w:bCs/>
          <w:color w:val="000000"/>
          <w:szCs w:val="24"/>
        </w:rPr>
        <w:t xml:space="preserve"> </w:t>
      </w:r>
      <w:r w:rsidRPr="003559D4">
        <w:rPr>
          <w:rFonts w:ascii="Book Antiqua" w:hAnsi="Book Antiqua"/>
          <w:b/>
          <w:bCs/>
          <w:color w:val="000000"/>
          <w:szCs w:val="24"/>
        </w:rPr>
        <w:t>S-Editor</w:t>
      </w:r>
      <w:r w:rsidRPr="003559D4">
        <w:rPr>
          <w:rFonts w:ascii="Book Antiqua" w:eastAsia="宋体" w:hAnsi="Book Antiqua"/>
          <w:b/>
          <w:bCs/>
          <w:color w:val="000000"/>
          <w:szCs w:val="24"/>
          <w:lang w:eastAsia="zh-CN"/>
        </w:rPr>
        <w:t>:</w:t>
      </w:r>
      <w:r w:rsidRPr="003559D4">
        <w:rPr>
          <w:rFonts w:ascii="Book Antiqua" w:hAnsi="Book Antiqua"/>
          <w:bCs/>
          <w:color w:val="000000"/>
          <w:szCs w:val="24"/>
        </w:rPr>
        <w:t xml:space="preserve"> </w:t>
      </w:r>
      <w:r w:rsidRPr="003559D4">
        <w:rPr>
          <w:rFonts w:ascii="Book Antiqua" w:eastAsia="宋体" w:hAnsi="Book Antiqua"/>
          <w:bCs/>
          <w:color w:val="000000"/>
          <w:szCs w:val="24"/>
          <w:lang w:eastAsia="zh-CN"/>
        </w:rPr>
        <w:t>Qi Y</w:t>
      </w:r>
      <w:r w:rsidRPr="003559D4">
        <w:rPr>
          <w:rFonts w:ascii="Book Antiqua" w:hAnsi="Book Antiqua"/>
          <w:b/>
          <w:bCs/>
          <w:color w:val="000000"/>
          <w:szCs w:val="24"/>
        </w:rPr>
        <w:t xml:space="preserve">  </w:t>
      </w:r>
    </w:p>
    <w:p w14:paraId="538D2C55" w14:textId="0180A39E" w:rsidR="000C1DFD" w:rsidRPr="003559D4" w:rsidRDefault="008E431A" w:rsidP="00F826C6">
      <w:pPr>
        <w:pStyle w:val="ac"/>
        <w:spacing w:line="360" w:lineRule="auto"/>
        <w:ind w:firstLineChars="0" w:firstLine="0"/>
        <w:jc w:val="right"/>
        <w:rPr>
          <w:rFonts w:ascii="Book Antiqua" w:eastAsia="宋体" w:hAnsi="Book Antiqua"/>
          <w:b/>
          <w:bCs/>
          <w:color w:val="000000"/>
          <w:szCs w:val="24"/>
          <w:lang w:eastAsia="zh-CN"/>
        </w:rPr>
      </w:pPr>
      <w:r w:rsidRPr="003559D4">
        <w:rPr>
          <w:rFonts w:ascii="Book Antiqua" w:hAnsi="Book Antiqua"/>
          <w:b/>
          <w:bCs/>
          <w:color w:val="000000"/>
          <w:szCs w:val="24"/>
        </w:rPr>
        <w:t>L-Editor</w:t>
      </w:r>
      <w:r w:rsidRPr="003559D4">
        <w:rPr>
          <w:rFonts w:ascii="Book Antiqua" w:eastAsia="宋体" w:hAnsi="Book Antiqua"/>
          <w:b/>
          <w:bCs/>
          <w:color w:val="000000"/>
          <w:szCs w:val="24"/>
          <w:lang w:eastAsia="zh-CN"/>
        </w:rPr>
        <w:t>:</w:t>
      </w:r>
      <w:r w:rsidRPr="003559D4">
        <w:rPr>
          <w:rFonts w:ascii="Book Antiqua" w:hAnsi="Book Antiqua"/>
          <w:b/>
          <w:bCs/>
          <w:color w:val="000000"/>
          <w:szCs w:val="24"/>
        </w:rPr>
        <w:t xml:space="preserve">   E-Editor</w:t>
      </w:r>
      <w:r w:rsidRPr="003559D4">
        <w:rPr>
          <w:rFonts w:ascii="Book Antiqua" w:eastAsia="宋体" w:hAnsi="Book Antiqua"/>
          <w:b/>
          <w:bCs/>
          <w:color w:val="000000"/>
          <w:szCs w:val="24"/>
          <w:lang w:eastAsia="zh-CN"/>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C8B60BA" w14:textId="77777777" w:rsidR="00FE7A1E" w:rsidRPr="003559D4" w:rsidRDefault="00FE7A1E" w:rsidP="00651BD2">
      <w:pPr>
        <w:pStyle w:val="ac"/>
        <w:spacing w:line="360" w:lineRule="auto"/>
        <w:ind w:firstLineChars="0" w:firstLine="0"/>
        <w:jc w:val="both"/>
        <w:rPr>
          <w:rFonts w:ascii="Book Antiqua" w:eastAsia="宋体" w:hAnsi="Book Antiqua"/>
          <w:szCs w:val="24"/>
          <w:lang w:eastAsia="zh-CN"/>
        </w:rPr>
      </w:pPr>
    </w:p>
    <w:p w14:paraId="2A0A73A6" w14:textId="77777777" w:rsidR="00FE7A1E" w:rsidRPr="003559D4" w:rsidRDefault="00FE7A1E" w:rsidP="00651BD2">
      <w:pPr>
        <w:pStyle w:val="ac"/>
        <w:spacing w:line="360" w:lineRule="auto"/>
        <w:ind w:firstLineChars="0" w:firstLine="0"/>
        <w:jc w:val="both"/>
        <w:rPr>
          <w:rFonts w:ascii="Book Antiqua" w:eastAsia="宋体" w:hAnsi="Book Antiqua"/>
          <w:szCs w:val="24"/>
          <w:lang w:eastAsia="zh-CN"/>
        </w:rPr>
      </w:pPr>
    </w:p>
    <w:p w14:paraId="6E0363FE" w14:textId="77777777" w:rsidR="00FE7A1E" w:rsidRPr="003559D4" w:rsidRDefault="00FE7A1E" w:rsidP="00651BD2">
      <w:pPr>
        <w:pStyle w:val="ac"/>
        <w:spacing w:line="360" w:lineRule="auto"/>
        <w:ind w:firstLineChars="0" w:firstLine="0"/>
        <w:jc w:val="both"/>
        <w:rPr>
          <w:rFonts w:ascii="Book Antiqua" w:eastAsia="宋体" w:hAnsi="Book Antiqua"/>
          <w:szCs w:val="24"/>
          <w:lang w:eastAsia="zh-CN"/>
        </w:rPr>
      </w:pPr>
    </w:p>
    <w:p w14:paraId="13200C6D" w14:textId="77777777" w:rsidR="00FE7A1E" w:rsidRPr="003559D4" w:rsidRDefault="00FE7A1E" w:rsidP="00651BD2">
      <w:pPr>
        <w:pStyle w:val="ac"/>
        <w:spacing w:line="360" w:lineRule="auto"/>
        <w:ind w:firstLineChars="0" w:firstLine="0"/>
        <w:jc w:val="both"/>
        <w:rPr>
          <w:rFonts w:ascii="Book Antiqua" w:eastAsia="宋体" w:hAnsi="Book Antiqua"/>
          <w:szCs w:val="24"/>
          <w:lang w:eastAsia="zh-CN"/>
        </w:rPr>
      </w:pPr>
    </w:p>
    <w:p w14:paraId="4F895C88" w14:textId="77777777" w:rsidR="00FE7A1E" w:rsidRPr="003559D4" w:rsidRDefault="00FE7A1E" w:rsidP="00651BD2">
      <w:pPr>
        <w:pStyle w:val="ac"/>
        <w:spacing w:line="360" w:lineRule="auto"/>
        <w:ind w:firstLineChars="0" w:firstLine="0"/>
        <w:jc w:val="both"/>
        <w:rPr>
          <w:rFonts w:ascii="Book Antiqua" w:eastAsia="宋体" w:hAnsi="Book Antiqua"/>
          <w:szCs w:val="24"/>
          <w:lang w:eastAsia="zh-CN"/>
        </w:rPr>
      </w:pPr>
    </w:p>
    <w:p w14:paraId="63AFAA51" w14:textId="77777777" w:rsidR="00FE7A1E" w:rsidRPr="003559D4" w:rsidRDefault="00FE7A1E" w:rsidP="00651BD2">
      <w:pPr>
        <w:pStyle w:val="ac"/>
        <w:spacing w:line="360" w:lineRule="auto"/>
        <w:ind w:firstLineChars="0" w:firstLine="0"/>
        <w:jc w:val="both"/>
        <w:rPr>
          <w:rFonts w:ascii="Book Antiqua" w:eastAsia="宋体" w:hAnsi="Book Antiqua"/>
          <w:szCs w:val="24"/>
          <w:lang w:eastAsia="zh-CN"/>
        </w:rPr>
      </w:pPr>
    </w:p>
    <w:p w14:paraId="353F9167" w14:textId="77777777" w:rsidR="00E766AC" w:rsidRDefault="00E766AC" w:rsidP="00651BD2">
      <w:pPr>
        <w:pStyle w:val="ac"/>
        <w:spacing w:line="360" w:lineRule="auto"/>
        <w:ind w:firstLineChars="0" w:firstLine="0"/>
        <w:jc w:val="both"/>
        <w:rPr>
          <w:rFonts w:ascii="Book Antiqua" w:eastAsia="宋体" w:hAnsi="Book Antiqua"/>
          <w:szCs w:val="24"/>
          <w:lang w:eastAsia="zh-CN"/>
        </w:rPr>
        <w:sectPr w:rsidR="00E766AC" w:rsidSect="008E431A">
          <w:pgSz w:w="11906" w:h="16838"/>
          <w:pgMar w:top="1417" w:right="1701" w:bottom="1417" w:left="1701" w:header="708" w:footer="708" w:gutter="0"/>
          <w:cols w:space="708"/>
          <w:docGrid w:linePitch="360"/>
        </w:sectPr>
      </w:pPr>
    </w:p>
    <w:tbl>
      <w:tblPr>
        <w:tblpPr w:leftFromText="141" w:rightFromText="141" w:vertAnchor="page" w:horzAnchor="page" w:tblpX="878" w:tblpY="1522"/>
        <w:tblW w:w="15276" w:type="dxa"/>
        <w:tblBorders>
          <w:top w:val="single" w:sz="4" w:space="0" w:color="auto"/>
          <w:bottom w:val="single" w:sz="4" w:space="0" w:color="auto"/>
        </w:tblBorders>
        <w:tblLayout w:type="fixed"/>
        <w:tblLook w:val="04A0" w:firstRow="1" w:lastRow="0" w:firstColumn="1" w:lastColumn="0" w:noHBand="0" w:noVBand="1"/>
      </w:tblPr>
      <w:tblGrid>
        <w:gridCol w:w="959"/>
        <w:gridCol w:w="1134"/>
        <w:gridCol w:w="734"/>
        <w:gridCol w:w="1392"/>
        <w:gridCol w:w="1310"/>
        <w:gridCol w:w="993"/>
        <w:gridCol w:w="1417"/>
        <w:gridCol w:w="1418"/>
        <w:gridCol w:w="1417"/>
        <w:gridCol w:w="836"/>
        <w:gridCol w:w="972"/>
        <w:gridCol w:w="1843"/>
        <w:gridCol w:w="851"/>
      </w:tblGrid>
      <w:tr w:rsidR="00E766AC" w:rsidRPr="00E766AC" w14:paraId="30059B33" w14:textId="77777777" w:rsidTr="00E766AC">
        <w:trPr>
          <w:trHeight w:val="430"/>
        </w:trPr>
        <w:tc>
          <w:tcPr>
            <w:tcW w:w="15276" w:type="dxa"/>
            <w:gridSpan w:val="13"/>
            <w:tcBorders>
              <w:top w:val="nil"/>
              <w:bottom w:val="single" w:sz="4" w:space="0" w:color="auto"/>
            </w:tcBorders>
            <w:shd w:val="clear" w:color="auto" w:fill="auto"/>
          </w:tcPr>
          <w:p w14:paraId="6A03D4BF" w14:textId="265BAA41" w:rsidR="00E766AC" w:rsidRPr="00E766AC" w:rsidRDefault="00E766AC" w:rsidP="00651BD2">
            <w:pPr>
              <w:spacing w:line="240" w:lineRule="auto"/>
              <w:jc w:val="both"/>
              <w:rPr>
                <w:rFonts w:ascii="Book Antiqua" w:eastAsia="MS Gothic" w:hAnsi="Book Antiqua"/>
                <w:b/>
                <w:bCs/>
                <w:color w:val="000000"/>
                <w:sz w:val="18"/>
                <w:szCs w:val="18"/>
                <w:lang w:val="en-US"/>
              </w:rPr>
            </w:pPr>
            <w:r w:rsidRPr="00E766AC">
              <w:rPr>
                <w:rFonts w:ascii="Book Antiqua" w:eastAsia="MS Gothic" w:hAnsi="Book Antiqua"/>
                <w:b/>
                <w:bCs/>
                <w:color w:val="000000"/>
                <w:sz w:val="18"/>
                <w:szCs w:val="18"/>
                <w:lang w:val="en-US"/>
              </w:rPr>
              <w:lastRenderedPageBreak/>
              <w:t>Table 1</w:t>
            </w:r>
            <w:r w:rsidRPr="00E766AC">
              <w:rPr>
                <w:rFonts w:ascii="Book Antiqua" w:hAnsi="Book Antiqua"/>
                <w:b/>
                <w:bCs/>
                <w:color w:val="000000"/>
                <w:sz w:val="18"/>
                <w:szCs w:val="18"/>
                <w:lang w:val="en-US" w:eastAsia="zh-CN"/>
              </w:rPr>
              <w:t xml:space="preserve"> </w:t>
            </w:r>
            <w:r w:rsidRPr="00E766AC">
              <w:rPr>
                <w:rFonts w:ascii="Book Antiqua" w:eastAsia="MS Gothic" w:hAnsi="Book Antiqua"/>
                <w:b/>
                <w:bCs/>
                <w:color w:val="000000"/>
                <w:sz w:val="18"/>
                <w:szCs w:val="18"/>
                <w:lang w:val="en-US"/>
              </w:rPr>
              <w:t>Clinical characteristics of the patients in the series</w:t>
            </w:r>
          </w:p>
        </w:tc>
      </w:tr>
      <w:tr w:rsidR="00E766AC" w:rsidRPr="00E766AC" w14:paraId="72C35F07" w14:textId="77777777" w:rsidTr="007C3AA5">
        <w:trPr>
          <w:trHeight w:val="975"/>
        </w:trPr>
        <w:tc>
          <w:tcPr>
            <w:tcW w:w="959" w:type="dxa"/>
            <w:tcBorders>
              <w:top w:val="single" w:sz="4" w:space="0" w:color="auto"/>
              <w:bottom w:val="single" w:sz="4" w:space="0" w:color="auto"/>
            </w:tcBorders>
            <w:shd w:val="clear" w:color="auto" w:fill="auto"/>
          </w:tcPr>
          <w:p w14:paraId="621FB803" w14:textId="77777777" w:rsidR="00E766AC" w:rsidRPr="00E766AC" w:rsidRDefault="00E766AC" w:rsidP="00651BD2">
            <w:pPr>
              <w:spacing w:line="240" w:lineRule="auto"/>
              <w:jc w:val="both"/>
              <w:rPr>
                <w:rFonts w:ascii="Book Antiqua" w:hAnsi="Book Antiqua"/>
                <w:b/>
                <w:bCs/>
                <w:sz w:val="18"/>
                <w:szCs w:val="18"/>
                <w:lang w:val="en-US"/>
              </w:rPr>
            </w:pPr>
            <w:r w:rsidRPr="00E766AC">
              <w:rPr>
                <w:rFonts w:ascii="Book Antiqua" w:hAnsi="Book Antiqua"/>
                <w:b/>
                <w:bCs/>
                <w:sz w:val="18"/>
                <w:szCs w:val="18"/>
                <w:lang w:val="en-US"/>
              </w:rPr>
              <w:t>Age/</w:t>
            </w:r>
          </w:p>
          <w:p w14:paraId="75E325AD" w14:textId="77777777" w:rsidR="00E766AC" w:rsidRPr="00E766AC" w:rsidRDefault="00E766AC" w:rsidP="00651BD2">
            <w:pPr>
              <w:spacing w:line="240" w:lineRule="auto"/>
              <w:jc w:val="both"/>
              <w:rPr>
                <w:rFonts w:ascii="Book Antiqua" w:hAnsi="Book Antiqua"/>
                <w:sz w:val="18"/>
                <w:szCs w:val="18"/>
                <w:lang w:val="en-US"/>
              </w:rPr>
            </w:pPr>
            <w:r w:rsidRPr="00E766AC">
              <w:rPr>
                <w:rFonts w:ascii="Book Antiqua" w:hAnsi="Book Antiqua"/>
                <w:b/>
                <w:bCs/>
                <w:sz w:val="18"/>
                <w:szCs w:val="18"/>
                <w:lang w:val="en-US"/>
              </w:rPr>
              <w:t>Gender</w:t>
            </w:r>
          </w:p>
        </w:tc>
        <w:tc>
          <w:tcPr>
            <w:tcW w:w="1134" w:type="dxa"/>
            <w:tcBorders>
              <w:top w:val="single" w:sz="4" w:space="0" w:color="auto"/>
              <w:bottom w:val="single" w:sz="4" w:space="0" w:color="auto"/>
            </w:tcBorders>
            <w:shd w:val="clear" w:color="auto" w:fill="auto"/>
          </w:tcPr>
          <w:p w14:paraId="26294ED7"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Disease/</w:t>
            </w:r>
          </w:p>
          <w:p w14:paraId="19C264A6"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Disease duration</w:t>
            </w:r>
          </w:p>
        </w:tc>
        <w:tc>
          <w:tcPr>
            <w:tcW w:w="734" w:type="dxa"/>
            <w:tcBorders>
              <w:top w:val="single" w:sz="4" w:space="0" w:color="auto"/>
              <w:bottom w:val="single" w:sz="4" w:space="0" w:color="auto"/>
            </w:tcBorders>
            <w:shd w:val="clear" w:color="auto" w:fill="auto"/>
          </w:tcPr>
          <w:p w14:paraId="519C0647" w14:textId="77777777" w:rsidR="00E766AC" w:rsidRPr="00E766AC" w:rsidRDefault="00E766AC" w:rsidP="00651BD2">
            <w:pPr>
              <w:spacing w:line="240" w:lineRule="auto"/>
              <w:jc w:val="both"/>
              <w:rPr>
                <w:rFonts w:ascii="Book Antiqua" w:hAnsi="Book Antiqua"/>
                <w:b/>
                <w:bCs/>
                <w:sz w:val="18"/>
                <w:szCs w:val="18"/>
                <w:lang w:val="en-US"/>
              </w:rPr>
            </w:pPr>
            <w:r w:rsidRPr="00E766AC">
              <w:rPr>
                <w:rFonts w:ascii="Book Antiqua" w:hAnsi="Book Antiqua"/>
                <w:b/>
                <w:sz w:val="18"/>
                <w:szCs w:val="18"/>
                <w:lang w:val="en-US"/>
              </w:rPr>
              <w:t>Anti-TNF drug</w:t>
            </w:r>
          </w:p>
        </w:tc>
        <w:tc>
          <w:tcPr>
            <w:tcW w:w="1392" w:type="dxa"/>
            <w:tcBorders>
              <w:top w:val="single" w:sz="4" w:space="0" w:color="auto"/>
              <w:bottom w:val="single" w:sz="4" w:space="0" w:color="auto"/>
            </w:tcBorders>
            <w:shd w:val="clear" w:color="auto" w:fill="auto"/>
          </w:tcPr>
          <w:p w14:paraId="69A9A0B1" w14:textId="77777777" w:rsidR="00E766AC" w:rsidRPr="00E766AC" w:rsidRDefault="00E766AC" w:rsidP="00651BD2">
            <w:pPr>
              <w:spacing w:line="240" w:lineRule="auto"/>
              <w:jc w:val="both"/>
              <w:rPr>
                <w:rFonts w:ascii="Book Antiqua" w:hAnsi="Book Antiqua"/>
                <w:b/>
                <w:bCs/>
                <w:sz w:val="18"/>
                <w:szCs w:val="18"/>
                <w:lang w:val="en-US"/>
              </w:rPr>
            </w:pPr>
            <w:r w:rsidRPr="00E766AC">
              <w:rPr>
                <w:rFonts w:ascii="Book Antiqua" w:hAnsi="Book Antiqua"/>
                <w:b/>
                <w:sz w:val="18"/>
                <w:szCs w:val="18"/>
                <w:lang w:val="en-US"/>
              </w:rPr>
              <w:t>Dose mg/kg/ number infusions/injections</w:t>
            </w:r>
          </w:p>
        </w:tc>
        <w:tc>
          <w:tcPr>
            <w:tcW w:w="1310" w:type="dxa"/>
            <w:tcBorders>
              <w:top w:val="single" w:sz="4" w:space="0" w:color="auto"/>
              <w:bottom w:val="single" w:sz="4" w:space="0" w:color="auto"/>
            </w:tcBorders>
            <w:shd w:val="clear" w:color="auto" w:fill="auto"/>
          </w:tcPr>
          <w:p w14:paraId="2B868A68" w14:textId="77777777" w:rsidR="00E766AC" w:rsidRPr="00E766AC" w:rsidRDefault="00E766AC" w:rsidP="00651BD2">
            <w:pPr>
              <w:spacing w:line="240" w:lineRule="auto"/>
              <w:jc w:val="both"/>
              <w:rPr>
                <w:rFonts w:ascii="Book Antiqua" w:hAnsi="Book Antiqua"/>
                <w:b/>
                <w:bCs/>
                <w:sz w:val="18"/>
                <w:szCs w:val="18"/>
                <w:lang w:val="en-US"/>
              </w:rPr>
            </w:pPr>
            <w:r w:rsidRPr="00E766AC">
              <w:rPr>
                <w:rFonts w:ascii="Book Antiqua" w:hAnsi="Book Antiqua"/>
                <w:b/>
                <w:sz w:val="18"/>
                <w:szCs w:val="18"/>
                <w:lang w:val="en-US"/>
              </w:rPr>
              <w:t xml:space="preserve">Concomitant drugs </w:t>
            </w:r>
          </w:p>
        </w:tc>
        <w:tc>
          <w:tcPr>
            <w:tcW w:w="993" w:type="dxa"/>
            <w:tcBorders>
              <w:top w:val="single" w:sz="4" w:space="0" w:color="auto"/>
              <w:bottom w:val="single" w:sz="4" w:space="0" w:color="auto"/>
            </w:tcBorders>
            <w:shd w:val="clear" w:color="auto" w:fill="auto"/>
          </w:tcPr>
          <w:p w14:paraId="63788508"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Symptoms</w:t>
            </w:r>
          </w:p>
        </w:tc>
        <w:tc>
          <w:tcPr>
            <w:tcW w:w="1417" w:type="dxa"/>
            <w:tcBorders>
              <w:top w:val="single" w:sz="4" w:space="0" w:color="auto"/>
              <w:bottom w:val="single" w:sz="4" w:space="0" w:color="auto"/>
            </w:tcBorders>
            <w:shd w:val="clear" w:color="auto" w:fill="auto"/>
          </w:tcPr>
          <w:p w14:paraId="2194682A"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Transaminase levels (ALT/AST – x ULN)</w:t>
            </w:r>
          </w:p>
        </w:tc>
        <w:tc>
          <w:tcPr>
            <w:tcW w:w="1418" w:type="dxa"/>
            <w:tcBorders>
              <w:top w:val="single" w:sz="4" w:space="0" w:color="auto"/>
              <w:bottom w:val="single" w:sz="4" w:space="0" w:color="auto"/>
            </w:tcBorders>
            <w:shd w:val="clear" w:color="auto" w:fill="auto"/>
          </w:tcPr>
          <w:p w14:paraId="556CC815" w14:textId="77777777" w:rsidR="00E766AC" w:rsidRPr="00E766AC" w:rsidRDefault="00E766AC" w:rsidP="00651BD2">
            <w:pPr>
              <w:spacing w:line="240" w:lineRule="auto"/>
              <w:jc w:val="both"/>
              <w:rPr>
                <w:rFonts w:ascii="Book Antiqua" w:hAnsi="Book Antiqua"/>
                <w:b/>
                <w:bCs/>
                <w:sz w:val="18"/>
                <w:szCs w:val="18"/>
                <w:lang w:val="en-US"/>
              </w:rPr>
            </w:pPr>
            <w:r w:rsidRPr="00E766AC">
              <w:rPr>
                <w:rFonts w:ascii="Book Antiqua" w:hAnsi="Book Antiqua"/>
                <w:b/>
                <w:sz w:val="18"/>
                <w:szCs w:val="18"/>
                <w:lang w:val="en-US"/>
              </w:rPr>
              <w:t>Autoantibodies/ Immunoglobulins</w:t>
            </w:r>
          </w:p>
        </w:tc>
        <w:tc>
          <w:tcPr>
            <w:tcW w:w="1417" w:type="dxa"/>
            <w:tcBorders>
              <w:top w:val="single" w:sz="4" w:space="0" w:color="auto"/>
              <w:bottom w:val="single" w:sz="4" w:space="0" w:color="auto"/>
            </w:tcBorders>
            <w:shd w:val="clear" w:color="auto" w:fill="auto"/>
          </w:tcPr>
          <w:p w14:paraId="4944A9A4" w14:textId="77777777" w:rsidR="00E766AC" w:rsidRPr="00E766AC" w:rsidRDefault="00E766AC" w:rsidP="00651BD2">
            <w:pPr>
              <w:spacing w:line="240" w:lineRule="auto"/>
              <w:jc w:val="both"/>
              <w:rPr>
                <w:rFonts w:ascii="Book Antiqua" w:hAnsi="Book Antiqua"/>
                <w:b/>
                <w:bCs/>
                <w:sz w:val="18"/>
                <w:szCs w:val="18"/>
                <w:lang w:val="en-US"/>
              </w:rPr>
            </w:pPr>
            <w:r w:rsidRPr="00E766AC">
              <w:rPr>
                <w:rFonts w:ascii="Book Antiqua" w:hAnsi="Book Antiqua"/>
                <w:b/>
                <w:sz w:val="18"/>
                <w:szCs w:val="18"/>
                <w:lang w:val="en-US"/>
              </w:rPr>
              <w:t>Histology</w:t>
            </w:r>
          </w:p>
        </w:tc>
        <w:tc>
          <w:tcPr>
            <w:tcW w:w="836" w:type="dxa"/>
            <w:tcBorders>
              <w:top w:val="single" w:sz="4" w:space="0" w:color="auto"/>
              <w:bottom w:val="single" w:sz="4" w:space="0" w:color="auto"/>
            </w:tcBorders>
            <w:shd w:val="clear" w:color="auto" w:fill="auto"/>
          </w:tcPr>
          <w:p w14:paraId="6A2CD483"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AIH score</w:t>
            </w:r>
          </w:p>
          <w:p w14:paraId="54E1A0EC"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Post-therapy</w:t>
            </w:r>
          </w:p>
        </w:tc>
        <w:tc>
          <w:tcPr>
            <w:tcW w:w="972" w:type="dxa"/>
            <w:tcBorders>
              <w:top w:val="single" w:sz="4" w:space="0" w:color="auto"/>
              <w:bottom w:val="single" w:sz="4" w:space="0" w:color="auto"/>
            </w:tcBorders>
            <w:shd w:val="clear" w:color="auto" w:fill="auto"/>
          </w:tcPr>
          <w:p w14:paraId="6EE756D2"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Steroid</w:t>
            </w:r>
          </w:p>
          <w:p w14:paraId="3BFAB55E"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response</w:t>
            </w:r>
          </w:p>
        </w:tc>
        <w:tc>
          <w:tcPr>
            <w:tcW w:w="1843" w:type="dxa"/>
            <w:tcBorders>
              <w:top w:val="single" w:sz="4" w:space="0" w:color="auto"/>
              <w:bottom w:val="single" w:sz="4" w:space="0" w:color="auto"/>
            </w:tcBorders>
            <w:shd w:val="clear" w:color="auto" w:fill="auto"/>
          </w:tcPr>
          <w:p w14:paraId="1C0CB363"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Maintenance</w:t>
            </w:r>
          </w:p>
          <w:p w14:paraId="2E4AA772"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therapy</w:t>
            </w:r>
          </w:p>
        </w:tc>
        <w:tc>
          <w:tcPr>
            <w:tcW w:w="851" w:type="dxa"/>
            <w:tcBorders>
              <w:top w:val="single" w:sz="4" w:space="0" w:color="auto"/>
              <w:bottom w:val="single" w:sz="4" w:space="0" w:color="auto"/>
            </w:tcBorders>
            <w:shd w:val="clear" w:color="auto" w:fill="auto"/>
          </w:tcPr>
          <w:p w14:paraId="01068906" w14:textId="77777777" w:rsidR="00E766AC" w:rsidRPr="00E766AC" w:rsidRDefault="00E766AC" w:rsidP="00651BD2">
            <w:pPr>
              <w:spacing w:line="240" w:lineRule="auto"/>
              <w:jc w:val="both"/>
              <w:rPr>
                <w:rFonts w:ascii="Book Antiqua" w:hAnsi="Book Antiqua"/>
                <w:b/>
                <w:sz w:val="18"/>
                <w:szCs w:val="18"/>
                <w:lang w:val="en-US"/>
              </w:rPr>
            </w:pPr>
            <w:r w:rsidRPr="00E766AC">
              <w:rPr>
                <w:rFonts w:ascii="Book Antiqua" w:hAnsi="Book Antiqua"/>
                <w:b/>
                <w:sz w:val="18"/>
                <w:szCs w:val="18"/>
                <w:lang w:val="en-US"/>
              </w:rPr>
              <w:t>Outcome</w:t>
            </w:r>
          </w:p>
        </w:tc>
      </w:tr>
      <w:tr w:rsidR="00E766AC" w:rsidRPr="00E766AC" w14:paraId="4504E12B" w14:textId="77777777" w:rsidTr="007C3AA5">
        <w:trPr>
          <w:trHeight w:val="429"/>
        </w:trPr>
        <w:tc>
          <w:tcPr>
            <w:tcW w:w="959" w:type="dxa"/>
            <w:tcBorders>
              <w:top w:val="single" w:sz="4" w:space="0" w:color="auto"/>
            </w:tcBorders>
            <w:shd w:val="clear" w:color="auto" w:fill="auto"/>
          </w:tcPr>
          <w:p w14:paraId="4C21840F"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1 – 36F</w:t>
            </w:r>
          </w:p>
        </w:tc>
        <w:tc>
          <w:tcPr>
            <w:tcW w:w="1134" w:type="dxa"/>
            <w:tcBorders>
              <w:top w:val="single" w:sz="4" w:space="0" w:color="auto"/>
            </w:tcBorders>
            <w:shd w:val="clear" w:color="auto" w:fill="auto"/>
          </w:tcPr>
          <w:p w14:paraId="3CD403B3" w14:textId="62E2786E" w:rsidR="00E766AC" w:rsidRPr="00E766AC" w:rsidRDefault="00E766AC" w:rsidP="00651BD2">
            <w:pPr>
              <w:spacing w:line="240" w:lineRule="auto"/>
              <w:jc w:val="both"/>
              <w:rPr>
                <w:rFonts w:ascii="Book Antiqua" w:hAnsi="Book Antiqua"/>
                <w:bCs/>
                <w:color w:val="000000"/>
                <w:sz w:val="18"/>
                <w:szCs w:val="18"/>
                <w:lang w:val="en-US" w:eastAsia="zh-CN"/>
              </w:rPr>
            </w:pPr>
            <w:r w:rsidRPr="00E766AC">
              <w:rPr>
                <w:rFonts w:ascii="Book Antiqua" w:hAnsi="Book Antiqua"/>
                <w:bCs/>
                <w:color w:val="000000"/>
                <w:sz w:val="18"/>
                <w:szCs w:val="18"/>
                <w:lang w:val="en-US"/>
              </w:rPr>
              <w:t>Distal UC/ 7</w:t>
            </w:r>
            <w:r>
              <w:rPr>
                <w:rFonts w:ascii="Book Antiqua" w:hAnsi="Book Antiqua" w:hint="eastAsia"/>
                <w:bCs/>
                <w:color w:val="000000"/>
                <w:sz w:val="18"/>
                <w:szCs w:val="18"/>
                <w:lang w:val="en-US" w:eastAsia="zh-CN"/>
              </w:rPr>
              <w:t xml:space="preserve"> </w:t>
            </w:r>
            <w:proofErr w:type="spellStart"/>
            <w:r w:rsidRPr="00E766AC">
              <w:rPr>
                <w:rFonts w:ascii="Book Antiqua" w:hAnsi="Book Antiqua"/>
                <w:bCs/>
                <w:color w:val="000000"/>
                <w:sz w:val="18"/>
                <w:szCs w:val="18"/>
                <w:lang w:val="en-US"/>
              </w:rPr>
              <w:t>y</w:t>
            </w:r>
            <w:r>
              <w:rPr>
                <w:rFonts w:ascii="Book Antiqua" w:hAnsi="Book Antiqua"/>
                <w:bCs/>
                <w:color w:val="000000"/>
                <w:sz w:val="18"/>
                <w:szCs w:val="18"/>
                <w:lang w:val="en-US"/>
              </w:rPr>
              <w:t>r</w:t>
            </w:r>
            <w:proofErr w:type="spellEnd"/>
          </w:p>
        </w:tc>
        <w:tc>
          <w:tcPr>
            <w:tcW w:w="734" w:type="dxa"/>
            <w:tcBorders>
              <w:top w:val="single" w:sz="4" w:space="0" w:color="auto"/>
            </w:tcBorders>
            <w:shd w:val="clear" w:color="auto" w:fill="auto"/>
          </w:tcPr>
          <w:p w14:paraId="2C9EB21C"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IFX</w:t>
            </w:r>
          </w:p>
        </w:tc>
        <w:tc>
          <w:tcPr>
            <w:tcW w:w="1392" w:type="dxa"/>
            <w:tcBorders>
              <w:top w:val="single" w:sz="4" w:space="0" w:color="auto"/>
            </w:tcBorders>
            <w:shd w:val="clear" w:color="auto" w:fill="auto"/>
          </w:tcPr>
          <w:p w14:paraId="5F23ABF8"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5 mg/kg/ 5</w:t>
            </w:r>
          </w:p>
        </w:tc>
        <w:tc>
          <w:tcPr>
            <w:tcW w:w="1310" w:type="dxa"/>
            <w:tcBorders>
              <w:top w:val="single" w:sz="4" w:space="0" w:color="auto"/>
            </w:tcBorders>
            <w:shd w:val="clear" w:color="auto" w:fill="auto"/>
          </w:tcPr>
          <w:p w14:paraId="76893417" w14:textId="77777777"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Mesalamine</w:t>
            </w:r>
            <w:proofErr w:type="spellEnd"/>
            <w:r w:rsidRPr="00E766AC">
              <w:rPr>
                <w:rFonts w:ascii="Book Antiqua" w:hAnsi="Book Antiqua"/>
                <w:color w:val="000000"/>
                <w:sz w:val="18"/>
                <w:szCs w:val="18"/>
                <w:lang w:val="en-US"/>
              </w:rPr>
              <w:t xml:space="preserve">                                  </w:t>
            </w:r>
          </w:p>
        </w:tc>
        <w:tc>
          <w:tcPr>
            <w:tcW w:w="993" w:type="dxa"/>
            <w:tcBorders>
              <w:top w:val="single" w:sz="4" w:space="0" w:color="auto"/>
            </w:tcBorders>
            <w:shd w:val="clear" w:color="auto" w:fill="auto"/>
          </w:tcPr>
          <w:p w14:paraId="08A03EE2"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Yes</w:t>
            </w:r>
          </w:p>
        </w:tc>
        <w:tc>
          <w:tcPr>
            <w:tcW w:w="1417" w:type="dxa"/>
            <w:tcBorders>
              <w:top w:val="single" w:sz="4" w:space="0" w:color="auto"/>
            </w:tcBorders>
            <w:shd w:val="clear" w:color="auto" w:fill="auto"/>
          </w:tcPr>
          <w:p w14:paraId="06992691"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14/9</w:t>
            </w:r>
          </w:p>
        </w:tc>
        <w:tc>
          <w:tcPr>
            <w:tcW w:w="1418" w:type="dxa"/>
            <w:tcBorders>
              <w:top w:val="single" w:sz="4" w:space="0" w:color="auto"/>
            </w:tcBorders>
            <w:shd w:val="clear" w:color="auto" w:fill="auto"/>
          </w:tcPr>
          <w:p w14:paraId="3C694093" w14:textId="77777777" w:rsidR="00E766AC" w:rsidRPr="00E766AC" w:rsidRDefault="00E766AC" w:rsidP="00651BD2">
            <w:pPr>
              <w:spacing w:line="240" w:lineRule="auto"/>
              <w:jc w:val="both"/>
              <w:rPr>
                <w:rFonts w:ascii="Book Antiqua" w:hAnsi="Book Antiqua"/>
                <w:bCs/>
                <w:color w:val="000000"/>
                <w:sz w:val="18"/>
                <w:szCs w:val="18"/>
              </w:rPr>
            </w:pPr>
            <w:r w:rsidRPr="00E766AC">
              <w:rPr>
                <w:rFonts w:ascii="Book Antiqua" w:hAnsi="Book Antiqua"/>
                <w:bCs/>
                <w:color w:val="000000"/>
                <w:sz w:val="18"/>
                <w:szCs w:val="18"/>
              </w:rPr>
              <w:t>Anti-dsDNA, ANA, High IgG</w:t>
            </w:r>
          </w:p>
        </w:tc>
        <w:tc>
          <w:tcPr>
            <w:tcW w:w="1417" w:type="dxa"/>
            <w:tcBorders>
              <w:top w:val="single" w:sz="4" w:space="0" w:color="auto"/>
            </w:tcBorders>
            <w:shd w:val="clear" w:color="auto" w:fill="auto"/>
          </w:tcPr>
          <w:p w14:paraId="2CDF0E36" w14:textId="77777777" w:rsidR="00E766AC" w:rsidRPr="00E766AC" w:rsidRDefault="00E766AC" w:rsidP="00651BD2">
            <w:pPr>
              <w:spacing w:line="240" w:lineRule="auto"/>
              <w:jc w:val="both"/>
              <w:rPr>
                <w:rFonts w:ascii="Book Antiqua" w:hAnsi="Book Antiqua"/>
                <w:bCs/>
                <w:color w:val="000000"/>
                <w:sz w:val="18"/>
                <w:szCs w:val="18"/>
              </w:rPr>
            </w:pPr>
            <w:r w:rsidRPr="00E766AC">
              <w:rPr>
                <w:rFonts w:ascii="Book Antiqua" w:hAnsi="Book Antiqua"/>
                <w:bCs/>
                <w:color w:val="000000"/>
                <w:sz w:val="18"/>
                <w:szCs w:val="18"/>
              </w:rPr>
              <w:t>Interface hepatitis</w:t>
            </w:r>
          </w:p>
        </w:tc>
        <w:tc>
          <w:tcPr>
            <w:tcW w:w="836" w:type="dxa"/>
            <w:tcBorders>
              <w:top w:val="single" w:sz="4" w:space="0" w:color="auto"/>
            </w:tcBorders>
            <w:shd w:val="clear" w:color="auto" w:fill="auto"/>
          </w:tcPr>
          <w:p w14:paraId="0430FA0C" w14:textId="77777777" w:rsidR="00E766AC" w:rsidRPr="00E766AC" w:rsidRDefault="00E766AC" w:rsidP="00651BD2">
            <w:pPr>
              <w:spacing w:line="240" w:lineRule="auto"/>
              <w:jc w:val="both"/>
              <w:rPr>
                <w:rFonts w:ascii="Book Antiqua" w:hAnsi="Book Antiqua"/>
                <w:bCs/>
                <w:color w:val="000000"/>
                <w:sz w:val="18"/>
                <w:szCs w:val="18"/>
              </w:rPr>
            </w:pPr>
            <w:r w:rsidRPr="00E766AC">
              <w:rPr>
                <w:rFonts w:ascii="Book Antiqua" w:hAnsi="Book Antiqua"/>
                <w:bCs/>
                <w:color w:val="000000"/>
                <w:sz w:val="18"/>
                <w:szCs w:val="18"/>
              </w:rPr>
              <w:t>20</w:t>
            </w:r>
          </w:p>
        </w:tc>
        <w:tc>
          <w:tcPr>
            <w:tcW w:w="972" w:type="dxa"/>
            <w:tcBorders>
              <w:top w:val="single" w:sz="4" w:space="0" w:color="auto"/>
            </w:tcBorders>
            <w:shd w:val="clear" w:color="auto" w:fill="auto"/>
          </w:tcPr>
          <w:p w14:paraId="65F55C53"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 xml:space="preserve">Yes  </w:t>
            </w:r>
          </w:p>
        </w:tc>
        <w:tc>
          <w:tcPr>
            <w:tcW w:w="1843" w:type="dxa"/>
            <w:tcBorders>
              <w:top w:val="single" w:sz="4" w:space="0" w:color="auto"/>
            </w:tcBorders>
            <w:shd w:val="clear" w:color="auto" w:fill="auto"/>
          </w:tcPr>
          <w:p w14:paraId="10E3BE50" w14:textId="6277A989" w:rsidR="00E766AC" w:rsidRPr="00E766AC" w:rsidRDefault="00E766AC" w:rsidP="00651BD2">
            <w:pPr>
              <w:spacing w:line="240" w:lineRule="auto"/>
              <w:jc w:val="both"/>
              <w:rPr>
                <w:rFonts w:ascii="Book Antiqua" w:hAnsi="Book Antiqua"/>
                <w:bCs/>
                <w:color w:val="000000"/>
                <w:sz w:val="18"/>
                <w:szCs w:val="18"/>
                <w:lang w:val="en-US"/>
              </w:rPr>
            </w:pPr>
            <w:proofErr w:type="spellStart"/>
            <w:r w:rsidRPr="00E766AC">
              <w:rPr>
                <w:rFonts w:ascii="Book Antiqua" w:hAnsi="Book Antiqua"/>
                <w:color w:val="000000"/>
                <w:sz w:val="18"/>
                <w:szCs w:val="18"/>
                <w:lang w:val="en-US"/>
              </w:rPr>
              <w:t>Mesalamine</w:t>
            </w:r>
            <w:proofErr w:type="spellEnd"/>
            <w:r w:rsidRPr="00E766AC">
              <w:rPr>
                <w:rFonts w:ascii="Book Antiqua" w:hAnsi="Book Antiqua"/>
                <w:color w:val="000000"/>
                <w:sz w:val="18"/>
                <w:szCs w:val="18"/>
                <w:lang w:val="en-US"/>
              </w:rPr>
              <w:t xml:space="preserve"> 3</w:t>
            </w:r>
            <w:r>
              <w:rPr>
                <w:rFonts w:ascii="Book Antiqua" w:hAnsi="Book Antiqua" w:hint="eastAsia"/>
                <w:color w:val="000000"/>
                <w:sz w:val="18"/>
                <w:szCs w:val="18"/>
                <w:lang w:val="en-US" w:eastAsia="zh-CN"/>
              </w:rPr>
              <w:t xml:space="preserve"> </w:t>
            </w:r>
            <w:r w:rsidRPr="00E766AC">
              <w:rPr>
                <w:rFonts w:ascii="Book Antiqua" w:hAnsi="Book Antiqua"/>
                <w:color w:val="000000"/>
                <w:sz w:val="18"/>
                <w:szCs w:val="18"/>
                <w:lang w:val="en-US"/>
              </w:rPr>
              <w:t>g/d PO</w:t>
            </w:r>
          </w:p>
        </w:tc>
        <w:tc>
          <w:tcPr>
            <w:tcW w:w="851" w:type="dxa"/>
            <w:tcBorders>
              <w:top w:val="single" w:sz="4" w:space="0" w:color="auto"/>
            </w:tcBorders>
            <w:shd w:val="clear" w:color="auto" w:fill="auto"/>
          </w:tcPr>
          <w:p w14:paraId="0C08B498"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Reversibility</w:t>
            </w:r>
          </w:p>
        </w:tc>
      </w:tr>
      <w:tr w:rsidR="00E766AC" w:rsidRPr="00E766AC" w14:paraId="19613041" w14:textId="77777777" w:rsidTr="007C3AA5">
        <w:trPr>
          <w:trHeight w:val="401"/>
        </w:trPr>
        <w:tc>
          <w:tcPr>
            <w:tcW w:w="959" w:type="dxa"/>
            <w:shd w:val="clear" w:color="auto" w:fill="auto"/>
          </w:tcPr>
          <w:p w14:paraId="673F0011"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2 – 45F</w:t>
            </w:r>
          </w:p>
        </w:tc>
        <w:tc>
          <w:tcPr>
            <w:tcW w:w="1134" w:type="dxa"/>
            <w:shd w:val="clear" w:color="auto" w:fill="auto"/>
          </w:tcPr>
          <w:p w14:paraId="76F27705" w14:textId="241B4A42" w:rsidR="00E766AC" w:rsidRPr="00E766AC" w:rsidRDefault="00E766AC" w:rsidP="00651BD2">
            <w:pPr>
              <w:spacing w:line="240" w:lineRule="auto"/>
              <w:jc w:val="both"/>
              <w:rPr>
                <w:rFonts w:ascii="Book Antiqua" w:hAnsi="Book Antiqua"/>
                <w:color w:val="000000"/>
                <w:sz w:val="18"/>
                <w:szCs w:val="18"/>
                <w:lang w:val="en-US" w:eastAsia="zh-CN"/>
              </w:rPr>
            </w:pPr>
            <w:r w:rsidRPr="00E766AC">
              <w:rPr>
                <w:rFonts w:ascii="Book Antiqua" w:hAnsi="Book Antiqua"/>
                <w:color w:val="000000"/>
                <w:sz w:val="18"/>
                <w:szCs w:val="18"/>
                <w:lang w:val="en-US"/>
              </w:rPr>
              <w:t xml:space="preserve">RA/ 10 </w:t>
            </w:r>
            <w:proofErr w:type="spellStart"/>
            <w:r w:rsidRPr="00E766AC">
              <w:rPr>
                <w:rFonts w:ascii="Book Antiqua" w:hAnsi="Book Antiqua"/>
                <w:color w:val="000000"/>
                <w:sz w:val="18"/>
                <w:szCs w:val="18"/>
                <w:lang w:val="en-US"/>
              </w:rPr>
              <w:t>y</w:t>
            </w:r>
            <w:r>
              <w:rPr>
                <w:rFonts w:ascii="Book Antiqua" w:hAnsi="Book Antiqua"/>
                <w:color w:val="000000"/>
                <w:sz w:val="18"/>
                <w:szCs w:val="18"/>
                <w:lang w:val="en-US"/>
              </w:rPr>
              <w:t>r</w:t>
            </w:r>
            <w:proofErr w:type="spellEnd"/>
          </w:p>
        </w:tc>
        <w:tc>
          <w:tcPr>
            <w:tcW w:w="734" w:type="dxa"/>
            <w:shd w:val="clear" w:color="auto" w:fill="auto"/>
          </w:tcPr>
          <w:p w14:paraId="4ECCFBC4"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ADA</w:t>
            </w:r>
          </w:p>
        </w:tc>
        <w:tc>
          <w:tcPr>
            <w:tcW w:w="1392" w:type="dxa"/>
            <w:shd w:val="clear" w:color="auto" w:fill="auto"/>
          </w:tcPr>
          <w:p w14:paraId="28E37F46"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40 mg EOW/ 11</w:t>
            </w:r>
          </w:p>
        </w:tc>
        <w:tc>
          <w:tcPr>
            <w:tcW w:w="1310" w:type="dxa"/>
            <w:shd w:val="clear" w:color="auto" w:fill="auto"/>
          </w:tcPr>
          <w:p w14:paraId="3A965794"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MTX    NSAIDs</w:t>
            </w:r>
          </w:p>
        </w:tc>
        <w:tc>
          <w:tcPr>
            <w:tcW w:w="993" w:type="dxa"/>
            <w:shd w:val="clear" w:color="auto" w:fill="auto"/>
          </w:tcPr>
          <w:p w14:paraId="34AA969E"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No</w:t>
            </w:r>
          </w:p>
        </w:tc>
        <w:tc>
          <w:tcPr>
            <w:tcW w:w="1417" w:type="dxa"/>
            <w:shd w:val="clear" w:color="auto" w:fill="auto"/>
          </w:tcPr>
          <w:p w14:paraId="0F60FAAD"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4.5/3</w:t>
            </w:r>
          </w:p>
        </w:tc>
        <w:tc>
          <w:tcPr>
            <w:tcW w:w="1418" w:type="dxa"/>
            <w:shd w:val="clear" w:color="auto" w:fill="auto"/>
          </w:tcPr>
          <w:p w14:paraId="167D7912"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bCs/>
                <w:color w:val="000000"/>
                <w:sz w:val="18"/>
                <w:szCs w:val="18"/>
              </w:rPr>
              <w:t>ANA, High IgG</w:t>
            </w:r>
          </w:p>
        </w:tc>
        <w:tc>
          <w:tcPr>
            <w:tcW w:w="1417" w:type="dxa"/>
            <w:shd w:val="clear" w:color="auto" w:fill="auto"/>
          </w:tcPr>
          <w:p w14:paraId="669A602F"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Severe interface hepatitis</w:t>
            </w:r>
          </w:p>
        </w:tc>
        <w:tc>
          <w:tcPr>
            <w:tcW w:w="836" w:type="dxa"/>
            <w:shd w:val="clear" w:color="auto" w:fill="auto"/>
          </w:tcPr>
          <w:p w14:paraId="4B68D133"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19</w:t>
            </w:r>
          </w:p>
        </w:tc>
        <w:tc>
          <w:tcPr>
            <w:tcW w:w="972" w:type="dxa"/>
            <w:shd w:val="clear" w:color="auto" w:fill="auto"/>
          </w:tcPr>
          <w:p w14:paraId="0F2E8179"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 xml:space="preserve">Yes  </w:t>
            </w:r>
          </w:p>
        </w:tc>
        <w:tc>
          <w:tcPr>
            <w:tcW w:w="1843" w:type="dxa"/>
            <w:shd w:val="clear" w:color="auto" w:fill="auto"/>
          </w:tcPr>
          <w:p w14:paraId="0629C0AC" w14:textId="77777777" w:rsidR="00E766AC" w:rsidRPr="00E766AC" w:rsidRDefault="00E766AC" w:rsidP="00651BD2">
            <w:pPr>
              <w:spacing w:line="240" w:lineRule="auto"/>
              <w:jc w:val="both"/>
              <w:rPr>
                <w:rFonts w:ascii="Book Antiqua" w:hAnsi="Book Antiqua"/>
                <w:color w:val="000000"/>
                <w:sz w:val="18"/>
                <w:szCs w:val="18"/>
                <w:lang w:val="es-ES"/>
              </w:rPr>
            </w:pPr>
            <w:r w:rsidRPr="00E766AC">
              <w:rPr>
                <w:rFonts w:ascii="Book Antiqua" w:hAnsi="Book Antiqua"/>
                <w:color w:val="000000"/>
                <w:sz w:val="18"/>
                <w:szCs w:val="18"/>
                <w:lang w:val="es-ES"/>
              </w:rPr>
              <w:t>AZA 50 mg, ETC,                                           Prednisolone 7.5 mg</w:t>
            </w:r>
            <w:r w:rsidRPr="00E766AC">
              <w:rPr>
                <w:rFonts w:ascii="Book Antiqua" w:hAnsi="Book Antiqua"/>
                <w:color w:val="000000"/>
                <w:sz w:val="18"/>
                <w:szCs w:val="18"/>
              </w:rPr>
              <w:t xml:space="preserve">      </w:t>
            </w:r>
          </w:p>
        </w:tc>
        <w:tc>
          <w:tcPr>
            <w:tcW w:w="851" w:type="dxa"/>
            <w:shd w:val="clear" w:color="auto" w:fill="auto"/>
          </w:tcPr>
          <w:p w14:paraId="0AD1456D"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Reversibility</w:t>
            </w:r>
          </w:p>
        </w:tc>
      </w:tr>
      <w:tr w:rsidR="00E766AC" w:rsidRPr="00E766AC" w14:paraId="503C4409" w14:textId="77777777" w:rsidTr="007C3AA5">
        <w:trPr>
          <w:trHeight w:val="411"/>
        </w:trPr>
        <w:tc>
          <w:tcPr>
            <w:tcW w:w="959" w:type="dxa"/>
            <w:shd w:val="clear" w:color="auto" w:fill="auto"/>
          </w:tcPr>
          <w:p w14:paraId="4084F64B"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3 – 34F</w:t>
            </w:r>
          </w:p>
        </w:tc>
        <w:tc>
          <w:tcPr>
            <w:tcW w:w="1134" w:type="dxa"/>
            <w:shd w:val="clear" w:color="auto" w:fill="auto"/>
          </w:tcPr>
          <w:p w14:paraId="47E97C6E" w14:textId="2C3B9CF3"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 xml:space="preserve">Distal UC/ 2 </w:t>
            </w:r>
            <w:r w:rsidRPr="00E766AC">
              <w:rPr>
                <w:rFonts w:ascii="Book Antiqua" w:hAnsi="Book Antiqua"/>
                <w:bCs/>
                <w:color w:val="000000"/>
                <w:sz w:val="18"/>
                <w:szCs w:val="18"/>
                <w:lang w:val="en-US"/>
              </w:rPr>
              <w:t xml:space="preserve"> </w:t>
            </w:r>
            <w:proofErr w:type="spellStart"/>
            <w:r w:rsidRPr="00E766AC">
              <w:rPr>
                <w:rFonts w:ascii="Book Antiqua" w:hAnsi="Book Antiqua"/>
                <w:bCs/>
                <w:color w:val="000000"/>
                <w:sz w:val="18"/>
                <w:szCs w:val="18"/>
                <w:lang w:val="en-US"/>
              </w:rPr>
              <w:t>y</w:t>
            </w:r>
            <w:r>
              <w:rPr>
                <w:rFonts w:ascii="Book Antiqua" w:hAnsi="Book Antiqua"/>
                <w:bCs/>
                <w:color w:val="000000"/>
                <w:sz w:val="18"/>
                <w:szCs w:val="18"/>
                <w:lang w:val="en-US"/>
              </w:rPr>
              <w:t>r</w:t>
            </w:r>
            <w:proofErr w:type="spellEnd"/>
          </w:p>
        </w:tc>
        <w:tc>
          <w:tcPr>
            <w:tcW w:w="734" w:type="dxa"/>
            <w:shd w:val="clear" w:color="auto" w:fill="auto"/>
          </w:tcPr>
          <w:p w14:paraId="635751FD"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IFX</w:t>
            </w:r>
          </w:p>
        </w:tc>
        <w:tc>
          <w:tcPr>
            <w:tcW w:w="1392" w:type="dxa"/>
            <w:shd w:val="clear" w:color="auto" w:fill="auto"/>
          </w:tcPr>
          <w:p w14:paraId="27F1426F"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5 mg/kg/ 8</w:t>
            </w:r>
          </w:p>
        </w:tc>
        <w:tc>
          <w:tcPr>
            <w:tcW w:w="1310" w:type="dxa"/>
            <w:shd w:val="clear" w:color="auto" w:fill="auto"/>
          </w:tcPr>
          <w:p w14:paraId="6D8E68E6" w14:textId="77777777"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Mesalamine</w:t>
            </w:r>
            <w:proofErr w:type="spellEnd"/>
            <w:r w:rsidRPr="00E766AC">
              <w:rPr>
                <w:rFonts w:ascii="Book Antiqua" w:hAnsi="Book Antiqua"/>
                <w:color w:val="000000"/>
                <w:sz w:val="18"/>
                <w:szCs w:val="18"/>
                <w:lang w:val="en-US"/>
              </w:rPr>
              <w:t xml:space="preserve">                    </w:t>
            </w:r>
          </w:p>
        </w:tc>
        <w:tc>
          <w:tcPr>
            <w:tcW w:w="993" w:type="dxa"/>
            <w:shd w:val="clear" w:color="auto" w:fill="auto"/>
          </w:tcPr>
          <w:p w14:paraId="0B5B31D3"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Yes</w:t>
            </w:r>
          </w:p>
        </w:tc>
        <w:tc>
          <w:tcPr>
            <w:tcW w:w="1417" w:type="dxa"/>
            <w:shd w:val="clear" w:color="auto" w:fill="auto"/>
          </w:tcPr>
          <w:p w14:paraId="44931F47"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4.5/3</w:t>
            </w:r>
          </w:p>
        </w:tc>
        <w:tc>
          <w:tcPr>
            <w:tcW w:w="1418" w:type="dxa"/>
            <w:shd w:val="clear" w:color="auto" w:fill="auto"/>
          </w:tcPr>
          <w:p w14:paraId="5B23C666"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ANA, High IgG</w:t>
            </w:r>
          </w:p>
        </w:tc>
        <w:tc>
          <w:tcPr>
            <w:tcW w:w="1417" w:type="dxa"/>
            <w:shd w:val="clear" w:color="auto" w:fill="auto"/>
          </w:tcPr>
          <w:p w14:paraId="067F2E92"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Interface hepatitis</w:t>
            </w:r>
          </w:p>
        </w:tc>
        <w:tc>
          <w:tcPr>
            <w:tcW w:w="836" w:type="dxa"/>
            <w:shd w:val="clear" w:color="auto" w:fill="auto"/>
          </w:tcPr>
          <w:p w14:paraId="582A3FA6"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20</w:t>
            </w:r>
          </w:p>
        </w:tc>
        <w:tc>
          <w:tcPr>
            <w:tcW w:w="972" w:type="dxa"/>
            <w:shd w:val="clear" w:color="auto" w:fill="auto"/>
          </w:tcPr>
          <w:p w14:paraId="67D8AE60"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 xml:space="preserve">Yes  </w:t>
            </w:r>
          </w:p>
        </w:tc>
        <w:tc>
          <w:tcPr>
            <w:tcW w:w="1843" w:type="dxa"/>
            <w:shd w:val="clear" w:color="auto" w:fill="auto"/>
          </w:tcPr>
          <w:p w14:paraId="7EA6885D" w14:textId="23AFDCB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Mesalamine 3</w:t>
            </w:r>
            <w:r>
              <w:rPr>
                <w:rFonts w:ascii="Book Antiqua" w:hAnsi="Book Antiqua" w:hint="eastAsia"/>
                <w:color w:val="000000"/>
                <w:sz w:val="18"/>
                <w:szCs w:val="18"/>
                <w:lang w:eastAsia="zh-CN"/>
              </w:rPr>
              <w:t xml:space="preserve"> </w:t>
            </w:r>
            <w:r w:rsidRPr="00E766AC">
              <w:rPr>
                <w:rFonts w:ascii="Book Antiqua" w:hAnsi="Book Antiqua"/>
                <w:color w:val="000000"/>
                <w:sz w:val="18"/>
                <w:szCs w:val="18"/>
              </w:rPr>
              <w:t>g/d PO</w:t>
            </w:r>
          </w:p>
        </w:tc>
        <w:tc>
          <w:tcPr>
            <w:tcW w:w="851" w:type="dxa"/>
            <w:shd w:val="clear" w:color="auto" w:fill="auto"/>
          </w:tcPr>
          <w:p w14:paraId="55CA62C7"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Reversibility</w:t>
            </w:r>
          </w:p>
        </w:tc>
      </w:tr>
      <w:tr w:rsidR="00E766AC" w:rsidRPr="00E766AC" w14:paraId="5E1C9985" w14:textId="77777777" w:rsidTr="007C3AA5">
        <w:trPr>
          <w:trHeight w:val="411"/>
        </w:trPr>
        <w:tc>
          <w:tcPr>
            <w:tcW w:w="959" w:type="dxa"/>
            <w:shd w:val="clear" w:color="auto" w:fill="auto"/>
          </w:tcPr>
          <w:p w14:paraId="330ADBA5"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4 – 35M</w:t>
            </w:r>
          </w:p>
        </w:tc>
        <w:tc>
          <w:tcPr>
            <w:tcW w:w="1134" w:type="dxa"/>
            <w:shd w:val="clear" w:color="auto" w:fill="auto"/>
          </w:tcPr>
          <w:p w14:paraId="429922A1" w14:textId="5CB8F49D"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 xml:space="preserve">Extensive UC/ 2 </w:t>
            </w:r>
            <w:r w:rsidRPr="00E766AC">
              <w:rPr>
                <w:rFonts w:ascii="Book Antiqua" w:hAnsi="Book Antiqua"/>
                <w:bCs/>
                <w:color w:val="000000"/>
                <w:sz w:val="18"/>
                <w:szCs w:val="18"/>
                <w:lang w:val="en-US"/>
              </w:rPr>
              <w:t xml:space="preserve"> </w:t>
            </w:r>
            <w:proofErr w:type="spellStart"/>
            <w:r w:rsidRPr="00E766AC">
              <w:rPr>
                <w:rFonts w:ascii="Book Antiqua" w:hAnsi="Book Antiqua"/>
                <w:bCs/>
                <w:color w:val="000000"/>
                <w:sz w:val="18"/>
                <w:szCs w:val="18"/>
                <w:lang w:val="en-US"/>
              </w:rPr>
              <w:t>y</w:t>
            </w:r>
            <w:r>
              <w:rPr>
                <w:rFonts w:ascii="Book Antiqua" w:hAnsi="Book Antiqua"/>
                <w:bCs/>
                <w:color w:val="000000"/>
                <w:sz w:val="18"/>
                <w:szCs w:val="18"/>
                <w:lang w:val="en-US"/>
              </w:rPr>
              <w:t>r</w:t>
            </w:r>
            <w:proofErr w:type="spellEnd"/>
          </w:p>
        </w:tc>
        <w:tc>
          <w:tcPr>
            <w:tcW w:w="734" w:type="dxa"/>
            <w:shd w:val="clear" w:color="auto" w:fill="auto"/>
          </w:tcPr>
          <w:p w14:paraId="07D26497"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IFX</w:t>
            </w:r>
          </w:p>
        </w:tc>
        <w:tc>
          <w:tcPr>
            <w:tcW w:w="1392" w:type="dxa"/>
            <w:shd w:val="clear" w:color="auto" w:fill="auto"/>
          </w:tcPr>
          <w:p w14:paraId="2D69B020"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5mg/kg/ 8</w:t>
            </w:r>
          </w:p>
        </w:tc>
        <w:tc>
          <w:tcPr>
            <w:tcW w:w="1310" w:type="dxa"/>
            <w:shd w:val="clear" w:color="auto" w:fill="auto"/>
          </w:tcPr>
          <w:p w14:paraId="4A96891A" w14:textId="77777777"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Mesalamine</w:t>
            </w:r>
            <w:proofErr w:type="spellEnd"/>
            <w:r w:rsidRPr="00E766AC">
              <w:rPr>
                <w:rFonts w:ascii="Book Antiqua" w:hAnsi="Book Antiqua"/>
                <w:color w:val="000000"/>
                <w:sz w:val="18"/>
                <w:szCs w:val="18"/>
                <w:lang w:val="en-US"/>
              </w:rPr>
              <w:t xml:space="preserve">                    </w:t>
            </w:r>
          </w:p>
        </w:tc>
        <w:tc>
          <w:tcPr>
            <w:tcW w:w="993" w:type="dxa"/>
            <w:shd w:val="clear" w:color="auto" w:fill="auto"/>
          </w:tcPr>
          <w:p w14:paraId="0C167D3F"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No</w:t>
            </w:r>
          </w:p>
        </w:tc>
        <w:tc>
          <w:tcPr>
            <w:tcW w:w="1417" w:type="dxa"/>
            <w:shd w:val="clear" w:color="auto" w:fill="auto"/>
          </w:tcPr>
          <w:p w14:paraId="55CF8259"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13/7</w:t>
            </w:r>
          </w:p>
        </w:tc>
        <w:tc>
          <w:tcPr>
            <w:tcW w:w="1418" w:type="dxa"/>
            <w:shd w:val="clear" w:color="auto" w:fill="auto"/>
          </w:tcPr>
          <w:p w14:paraId="14C86D79"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bCs/>
                <w:color w:val="000000"/>
                <w:sz w:val="18"/>
                <w:szCs w:val="18"/>
              </w:rPr>
              <w:t>ANA, High IgG</w:t>
            </w:r>
          </w:p>
        </w:tc>
        <w:tc>
          <w:tcPr>
            <w:tcW w:w="1417" w:type="dxa"/>
            <w:shd w:val="clear" w:color="auto" w:fill="auto"/>
          </w:tcPr>
          <w:p w14:paraId="681C65F7"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Interface hepatitis/marginal proliferation bile ducts</w:t>
            </w:r>
          </w:p>
        </w:tc>
        <w:tc>
          <w:tcPr>
            <w:tcW w:w="836" w:type="dxa"/>
            <w:shd w:val="clear" w:color="auto" w:fill="auto"/>
          </w:tcPr>
          <w:p w14:paraId="2480989D"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20</w:t>
            </w:r>
          </w:p>
        </w:tc>
        <w:tc>
          <w:tcPr>
            <w:tcW w:w="972" w:type="dxa"/>
            <w:shd w:val="clear" w:color="auto" w:fill="auto"/>
          </w:tcPr>
          <w:p w14:paraId="746B7761"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 xml:space="preserve">Yes  </w:t>
            </w:r>
          </w:p>
        </w:tc>
        <w:tc>
          <w:tcPr>
            <w:tcW w:w="1843" w:type="dxa"/>
            <w:shd w:val="clear" w:color="auto" w:fill="auto"/>
          </w:tcPr>
          <w:p w14:paraId="59CFB4DB" w14:textId="2CB31A32"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Mesalamine 3</w:t>
            </w:r>
            <w:r>
              <w:rPr>
                <w:rFonts w:ascii="Book Antiqua" w:hAnsi="Book Antiqua" w:hint="eastAsia"/>
                <w:color w:val="000000"/>
                <w:sz w:val="18"/>
                <w:szCs w:val="18"/>
                <w:lang w:eastAsia="zh-CN"/>
              </w:rPr>
              <w:t xml:space="preserve"> </w:t>
            </w:r>
            <w:r w:rsidRPr="00E766AC">
              <w:rPr>
                <w:rFonts w:ascii="Book Antiqua" w:hAnsi="Book Antiqua"/>
                <w:color w:val="000000"/>
                <w:sz w:val="18"/>
                <w:szCs w:val="18"/>
              </w:rPr>
              <w:t>g/d PO</w:t>
            </w:r>
          </w:p>
          <w:p w14:paraId="105A0FB3" w14:textId="3B9804F0" w:rsidR="00E766AC" w:rsidRPr="00E766AC" w:rsidRDefault="00E766AC" w:rsidP="00651BD2">
            <w:pPr>
              <w:spacing w:line="240" w:lineRule="auto"/>
              <w:jc w:val="both"/>
              <w:rPr>
                <w:rFonts w:ascii="Book Antiqua" w:hAnsi="Book Antiqua"/>
                <w:color w:val="000000"/>
                <w:sz w:val="18"/>
                <w:szCs w:val="18"/>
                <w:lang w:eastAsia="zh-CN"/>
              </w:rPr>
            </w:pPr>
            <w:r w:rsidRPr="00E766AC">
              <w:rPr>
                <w:rFonts w:ascii="Book Antiqua" w:hAnsi="Book Antiqua"/>
                <w:color w:val="000000"/>
                <w:sz w:val="18"/>
                <w:szCs w:val="18"/>
              </w:rPr>
              <w:t>AZA 2.5</w:t>
            </w:r>
            <w:r>
              <w:rPr>
                <w:rFonts w:ascii="Book Antiqua" w:hAnsi="Book Antiqua" w:hint="eastAsia"/>
                <w:color w:val="000000"/>
                <w:sz w:val="18"/>
                <w:szCs w:val="18"/>
                <w:lang w:eastAsia="zh-CN"/>
              </w:rPr>
              <w:t xml:space="preserve"> </w:t>
            </w:r>
            <w:r w:rsidRPr="00E766AC">
              <w:rPr>
                <w:rFonts w:ascii="Book Antiqua" w:hAnsi="Book Antiqua"/>
                <w:color w:val="000000"/>
                <w:sz w:val="18"/>
                <w:szCs w:val="18"/>
              </w:rPr>
              <w:t>mg/kg</w:t>
            </w:r>
            <w:r>
              <w:rPr>
                <w:rFonts w:ascii="Book Antiqua" w:hAnsi="Book Antiqua" w:hint="eastAsia"/>
                <w:color w:val="000000"/>
                <w:sz w:val="18"/>
                <w:szCs w:val="18"/>
                <w:lang w:eastAsia="zh-CN"/>
              </w:rPr>
              <w:t xml:space="preserve"> per </w:t>
            </w:r>
            <w:r w:rsidRPr="00E766AC">
              <w:rPr>
                <w:rFonts w:ascii="Book Antiqua" w:hAnsi="Book Antiqua"/>
                <w:color w:val="000000"/>
                <w:sz w:val="18"/>
                <w:szCs w:val="18"/>
              </w:rPr>
              <w:t>d</w:t>
            </w:r>
            <w:r>
              <w:rPr>
                <w:rFonts w:ascii="Book Antiqua" w:hAnsi="Book Antiqua" w:hint="eastAsia"/>
                <w:color w:val="000000"/>
                <w:sz w:val="18"/>
                <w:szCs w:val="18"/>
                <w:lang w:eastAsia="zh-CN"/>
              </w:rPr>
              <w:t>ay</w:t>
            </w:r>
          </w:p>
        </w:tc>
        <w:tc>
          <w:tcPr>
            <w:tcW w:w="851" w:type="dxa"/>
            <w:shd w:val="clear" w:color="auto" w:fill="auto"/>
          </w:tcPr>
          <w:p w14:paraId="6A190D35"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Controlled on therapy</w:t>
            </w:r>
          </w:p>
        </w:tc>
      </w:tr>
      <w:tr w:rsidR="00E766AC" w:rsidRPr="00E766AC" w14:paraId="78E4C8A8" w14:textId="77777777" w:rsidTr="007C3AA5">
        <w:trPr>
          <w:trHeight w:val="478"/>
        </w:trPr>
        <w:tc>
          <w:tcPr>
            <w:tcW w:w="959" w:type="dxa"/>
            <w:shd w:val="clear" w:color="auto" w:fill="auto"/>
          </w:tcPr>
          <w:p w14:paraId="0A3A7968"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5 – 43M</w:t>
            </w:r>
          </w:p>
        </w:tc>
        <w:tc>
          <w:tcPr>
            <w:tcW w:w="1134" w:type="dxa"/>
            <w:shd w:val="clear" w:color="auto" w:fill="auto"/>
          </w:tcPr>
          <w:p w14:paraId="00504874" w14:textId="353D788A"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 xml:space="preserve">AS/30 </w:t>
            </w:r>
            <w:r w:rsidRPr="00E766AC">
              <w:rPr>
                <w:rFonts w:ascii="Book Antiqua" w:hAnsi="Book Antiqua"/>
                <w:bCs/>
                <w:color w:val="000000"/>
                <w:sz w:val="18"/>
                <w:szCs w:val="18"/>
                <w:lang w:val="en-US"/>
              </w:rPr>
              <w:t xml:space="preserve"> </w:t>
            </w:r>
            <w:proofErr w:type="spellStart"/>
            <w:r w:rsidRPr="00E766AC">
              <w:rPr>
                <w:rFonts w:ascii="Book Antiqua" w:hAnsi="Book Antiqua"/>
                <w:bCs/>
                <w:color w:val="000000"/>
                <w:sz w:val="18"/>
                <w:szCs w:val="18"/>
                <w:lang w:val="en-US"/>
              </w:rPr>
              <w:t>y</w:t>
            </w:r>
            <w:r>
              <w:rPr>
                <w:rFonts w:ascii="Book Antiqua" w:hAnsi="Book Antiqua"/>
                <w:bCs/>
                <w:color w:val="000000"/>
                <w:sz w:val="18"/>
                <w:szCs w:val="18"/>
                <w:lang w:val="en-US"/>
              </w:rPr>
              <w:t>r</w:t>
            </w:r>
            <w:proofErr w:type="spellEnd"/>
          </w:p>
        </w:tc>
        <w:tc>
          <w:tcPr>
            <w:tcW w:w="734" w:type="dxa"/>
            <w:shd w:val="clear" w:color="auto" w:fill="auto"/>
          </w:tcPr>
          <w:p w14:paraId="22F82A10"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IFX</w:t>
            </w:r>
          </w:p>
        </w:tc>
        <w:tc>
          <w:tcPr>
            <w:tcW w:w="1392" w:type="dxa"/>
            <w:shd w:val="clear" w:color="auto" w:fill="auto"/>
          </w:tcPr>
          <w:p w14:paraId="257269D4"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5mg/kg/ 5</w:t>
            </w:r>
          </w:p>
        </w:tc>
        <w:tc>
          <w:tcPr>
            <w:tcW w:w="1310" w:type="dxa"/>
            <w:shd w:val="clear" w:color="auto" w:fill="auto"/>
          </w:tcPr>
          <w:p w14:paraId="3152ACDA" w14:textId="77777777" w:rsidR="00E766AC" w:rsidRPr="00E766AC" w:rsidRDefault="00E766AC" w:rsidP="00651BD2">
            <w:pPr>
              <w:numPr>
                <w:ilvl w:val="0"/>
                <w:numId w:val="8"/>
              </w:num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 xml:space="preserve">                            </w:t>
            </w:r>
          </w:p>
        </w:tc>
        <w:tc>
          <w:tcPr>
            <w:tcW w:w="993" w:type="dxa"/>
            <w:shd w:val="clear" w:color="auto" w:fill="auto"/>
          </w:tcPr>
          <w:p w14:paraId="4BBE01EF"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No</w:t>
            </w:r>
          </w:p>
        </w:tc>
        <w:tc>
          <w:tcPr>
            <w:tcW w:w="1417" w:type="dxa"/>
            <w:shd w:val="clear" w:color="auto" w:fill="auto"/>
          </w:tcPr>
          <w:p w14:paraId="535D0663"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25/15</w:t>
            </w:r>
          </w:p>
        </w:tc>
        <w:tc>
          <w:tcPr>
            <w:tcW w:w="1418" w:type="dxa"/>
            <w:shd w:val="clear" w:color="auto" w:fill="auto"/>
          </w:tcPr>
          <w:p w14:paraId="32CAF8A1"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High IgG</w:t>
            </w:r>
          </w:p>
        </w:tc>
        <w:tc>
          <w:tcPr>
            <w:tcW w:w="1417" w:type="dxa"/>
            <w:shd w:val="clear" w:color="auto" w:fill="auto"/>
          </w:tcPr>
          <w:p w14:paraId="2FB10B36"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Interface hepatitis/cirrhosis</w:t>
            </w:r>
          </w:p>
        </w:tc>
        <w:tc>
          <w:tcPr>
            <w:tcW w:w="836" w:type="dxa"/>
            <w:shd w:val="clear" w:color="auto" w:fill="auto"/>
          </w:tcPr>
          <w:p w14:paraId="3607DE79"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20</w:t>
            </w:r>
          </w:p>
        </w:tc>
        <w:tc>
          <w:tcPr>
            <w:tcW w:w="972" w:type="dxa"/>
            <w:shd w:val="clear" w:color="auto" w:fill="auto"/>
          </w:tcPr>
          <w:p w14:paraId="66EEA936"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 xml:space="preserve">Yes  </w:t>
            </w:r>
          </w:p>
        </w:tc>
        <w:tc>
          <w:tcPr>
            <w:tcW w:w="1843" w:type="dxa"/>
            <w:shd w:val="clear" w:color="auto" w:fill="auto"/>
          </w:tcPr>
          <w:p w14:paraId="6CDE73FA"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AZA 50 mg, Prednisolone   10mg</w:t>
            </w:r>
          </w:p>
        </w:tc>
        <w:tc>
          <w:tcPr>
            <w:tcW w:w="851" w:type="dxa"/>
            <w:shd w:val="clear" w:color="auto" w:fill="auto"/>
          </w:tcPr>
          <w:p w14:paraId="2D142539"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Controlled on therapy</w:t>
            </w:r>
          </w:p>
        </w:tc>
      </w:tr>
      <w:tr w:rsidR="00E766AC" w:rsidRPr="00E766AC" w14:paraId="0AEF3178" w14:textId="77777777" w:rsidTr="007C3AA5">
        <w:trPr>
          <w:trHeight w:val="411"/>
        </w:trPr>
        <w:tc>
          <w:tcPr>
            <w:tcW w:w="959" w:type="dxa"/>
            <w:shd w:val="clear" w:color="auto" w:fill="auto"/>
          </w:tcPr>
          <w:p w14:paraId="7BF2C3C6"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6 – 66F</w:t>
            </w:r>
          </w:p>
        </w:tc>
        <w:tc>
          <w:tcPr>
            <w:tcW w:w="1134" w:type="dxa"/>
            <w:shd w:val="clear" w:color="auto" w:fill="auto"/>
          </w:tcPr>
          <w:p w14:paraId="2B4D6E9A" w14:textId="7CCD663D"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Ileal</w:t>
            </w:r>
            <w:proofErr w:type="spellEnd"/>
            <w:r w:rsidRPr="00E766AC">
              <w:rPr>
                <w:rFonts w:ascii="Book Antiqua" w:hAnsi="Book Antiqua"/>
                <w:color w:val="000000"/>
                <w:sz w:val="18"/>
                <w:szCs w:val="18"/>
                <w:lang w:val="en-US"/>
              </w:rPr>
              <w:t xml:space="preserve"> CD/11 </w:t>
            </w:r>
            <w:r w:rsidRPr="00E766AC">
              <w:rPr>
                <w:rFonts w:ascii="Book Antiqua" w:hAnsi="Book Antiqua"/>
                <w:bCs/>
                <w:color w:val="000000"/>
                <w:sz w:val="18"/>
                <w:szCs w:val="18"/>
                <w:lang w:val="en-US"/>
              </w:rPr>
              <w:t xml:space="preserve"> </w:t>
            </w:r>
            <w:proofErr w:type="spellStart"/>
            <w:r w:rsidRPr="00E766AC">
              <w:rPr>
                <w:rFonts w:ascii="Book Antiqua" w:hAnsi="Book Antiqua"/>
                <w:bCs/>
                <w:color w:val="000000"/>
                <w:sz w:val="18"/>
                <w:szCs w:val="18"/>
                <w:lang w:val="en-US"/>
              </w:rPr>
              <w:t>y</w:t>
            </w:r>
            <w:r>
              <w:rPr>
                <w:rFonts w:ascii="Book Antiqua" w:hAnsi="Book Antiqua"/>
                <w:bCs/>
                <w:color w:val="000000"/>
                <w:sz w:val="18"/>
                <w:szCs w:val="18"/>
                <w:lang w:val="en-US"/>
              </w:rPr>
              <w:t>r</w:t>
            </w:r>
            <w:proofErr w:type="spellEnd"/>
          </w:p>
        </w:tc>
        <w:tc>
          <w:tcPr>
            <w:tcW w:w="734" w:type="dxa"/>
            <w:shd w:val="clear" w:color="auto" w:fill="auto"/>
          </w:tcPr>
          <w:p w14:paraId="5498E488"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IFX</w:t>
            </w:r>
          </w:p>
        </w:tc>
        <w:tc>
          <w:tcPr>
            <w:tcW w:w="1392" w:type="dxa"/>
            <w:shd w:val="clear" w:color="auto" w:fill="auto"/>
          </w:tcPr>
          <w:p w14:paraId="08842667"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5mg/kg/ 13</w:t>
            </w:r>
          </w:p>
        </w:tc>
        <w:tc>
          <w:tcPr>
            <w:tcW w:w="1310" w:type="dxa"/>
            <w:shd w:val="clear" w:color="auto" w:fill="auto"/>
          </w:tcPr>
          <w:p w14:paraId="50C1ED99" w14:textId="77777777"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Mesalamine</w:t>
            </w:r>
            <w:proofErr w:type="spellEnd"/>
            <w:r w:rsidRPr="00E766AC">
              <w:rPr>
                <w:rFonts w:ascii="Book Antiqua" w:hAnsi="Book Antiqua"/>
                <w:color w:val="000000"/>
                <w:sz w:val="18"/>
                <w:szCs w:val="18"/>
                <w:lang w:val="en-US"/>
              </w:rPr>
              <w:t xml:space="preserve">, AZA </w:t>
            </w:r>
          </w:p>
        </w:tc>
        <w:tc>
          <w:tcPr>
            <w:tcW w:w="993" w:type="dxa"/>
            <w:shd w:val="clear" w:color="auto" w:fill="auto"/>
          </w:tcPr>
          <w:p w14:paraId="3AC4D88E"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No</w:t>
            </w:r>
          </w:p>
        </w:tc>
        <w:tc>
          <w:tcPr>
            <w:tcW w:w="1417" w:type="dxa"/>
            <w:shd w:val="clear" w:color="auto" w:fill="auto"/>
          </w:tcPr>
          <w:p w14:paraId="2CB48E7D"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2/5</w:t>
            </w:r>
          </w:p>
        </w:tc>
        <w:tc>
          <w:tcPr>
            <w:tcW w:w="1418" w:type="dxa"/>
            <w:shd w:val="clear" w:color="auto" w:fill="auto"/>
          </w:tcPr>
          <w:p w14:paraId="25CB0F27"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bCs/>
                <w:color w:val="000000"/>
                <w:sz w:val="18"/>
                <w:szCs w:val="18"/>
              </w:rPr>
              <w:t>ANA</w:t>
            </w:r>
          </w:p>
        </w:tc>
        <w:tc>
          <w:tcPr>
            <w:tcW w:w="1417" w:type="dxa"/>
            <w:shd w:val="clear" w:color="auto" w:fill="auto"/>
          </w:tcPr>
          <w:p w14:paraId="7A11186A"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 xml:space="preserve">Chronic </w:t>
            </w:r>
            <w:proofErr w:type="spellStart"/>
            <w:r w:rsidRPr="00E766AC">
              <w:rPr>
                <w:rFonts w:ascii="Book Antiqua" w:hAnsi="Book Antiqua"/>
                <w:color w:val="000000"/>
                <w:sz w:val="18"/>
                <w:szCs w:val="18"/>
                <w:lang w:val="en-US"/>
              </w:rPr>
              <w:t>lymphoplasmocytic</w:t>
            </w:r>
            <w:proofErr w:type="spellEnd"/>
            <w:r w:rsidRPr="00E766AC">
              <w:rPr>
                <w:rFonts w:ascii="Book Antiqua" w:hAnsi="Book Antiqua"/>
                <w:color w:val="000000"/>
                <w:sz w:val="18"/>
                <w:szCs w:val="18"/>
                <w:lang w:val="en-US"/>
              </w:rPr>
              <w:t xml:space="preserve"> infiltrate</w:t>
            </w:r>
          </w:p>
        </w:tc>
        <w:tc>
          <w:tcPr>
            <w:tcW w:w="836" w:type="dxa"/>
            <w:shd w:val="clear" w:color="auto" w:fill="auto"/>
          </w:tcPr>
          <w:p w14:paraId="7CE2A51F"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19</w:t>
            </w:r>
          </w:p>
        </w:tc>
        <w:tc>
          <w:tcPr>
            <w:tcW w:w="972" w:type="dxa"/>
            <w:shd w:val="clear" w:color="auto" w:fill="auto"/>
          </w:tcPr>
          <w:p w14:paraId="1DE597D1"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 xml:space="preserve">Yes  </w:t>
            </w:r>
          </w:p>
        </w:tc>
        <w:tc>
          <w:tcPr>
            <w:tcW w:w="1843" w:type="dxa"/>
            <w:shd w:val="clear" w:color="auto" w:fill="auto"/>
          </w:tcPr>
          <w:p w14:paraId="0BFDE2A7" w14:textId="46107D6A"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IFX 5</w:t>
            </w:r>
            <w:r>
              <w:rPr>
                <w:rFonts w:ascii="Book Antiqua" w:hAnsi="Book Antiqua" w:hint="eastAsia"/>
                <w:color w:val="000000"/>
                <w:sz w:val="18"/>
                <w:szCs w:val="18"/>
                <w:lang w:eastAsia="zh-CN"/>
              </w:rPr>
              <w:t xml:space="preserve"> </w:t>
            </w:r>
            <w:r w:rsidRPr="00E766AC">
              <w:rPr>
                <w:rFonts w:ascii="Book Antiqua" w:hAnsi="Book Antiqua"/>
                <w:color w:val="000000"/>
                <w:sz w:val="18"/>
                <w:szCs w:val="18"/>
              </w:rPr>
              <w:t>mg/kg     AZA 2.5mg/kg</w:t>
            </w:r>
            <w:r>
              <w:rPr>
                <w:rFonts w:ascii="Book Antiqua" w:hAnsi="Book Antiqua" w:hint="eastAsia"/>
                <w:color w:val="000000"/>
                <w:sz w:val="18"/>
                <w:szCs w:val="18"/>
                <w:lang w:eastAsia="zh-CN"/>
              </w:rPr>
              <w:t xml:space="preserve"> per </w:t>
            </w:r>
            <w:r w:rsidRPr="00E766AC">
              <w:rPr>
                <w:rFonts w:ascii="Book Antiqua" w:hAnsi="Book Antiqua"/>
                <w:color w:val="000000"/>
                <w:sz w:val="18"/>
                <w:szCs w:val="18"/>
              </w:rPr>
              <w:t>d</w:t>
            </w:r>
            <w:r>
              <w:rPr>
                <w:rFonts w:ascii="Book Antiqua" w:hAnsi="Book Antiqua" w:hint="eastAsia"/>
                <w:color w:val="000000"/>
                <w:sz w:val="18"/>
                <w:szCs w:val="18"/>
                <w:lang w:eastAsia="zh-CN"/>
              </w:rPr>
              <w:t>ay</w:t>
            </w:r>
          </w:p>
        </w:tc>
        <w:tc>
          <w:tcPr>
            <w:tcW w:w="851" w:type="dxa"/>
            <w:shd w:val="clear" w:color="auto" w:fill="auto"/>
          </w:tcPr>
          <w:p w14:paraId="25ECDD36"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Reversibility</w:t>
            </w:r>
          </w:p>
        </w:tc>
      </w:tr>
      <w:tr w:rsidR="00E766AC" w:rsidRPr="00E766AC" w14:paraId="4B34AD70" w14:textId="77777777" w:rsidTr="007C3AA5">
        <w:trPr>
          <w:trHeight w:val="566"/>
        </w:trPr>
        <w:tc>
          <w:tcPr>
            <w:tcW w:w="959" w:type="dxa"/>
            <w:shd w:val="clear" w:color="auto" w:fill="auto"/>
          </w:tcPr>
          <w:p w14:paraId="15497BB3"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7 – 37M</w:t>
            </w:r>
          </w:p>
        </w:tc>
        <w:tc>
          <w:tcPr>
            <w:tcW w:w="1134" w:type="dxa"/>
            <w:shd w:val="clear" w:color="auto" w:fill="auto"/>
          </w:tcPr>
          <w:p w14:paraId="3F1B30DC" w14:textId="205A4D16"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Ileal</w:t>
            </w:r>
            <w:proofErr w:type="spellEnd"/>
            <w:r w:rsidRPr="00E766AC">
              <w:rPr>
                <w:rFonts w:ascii="Book Antiqua" w:hAnsi="Book Antiqua"/>
                <w:color w:val="000000"/>
                <w:sz w:val="18"/>
                <w:szCs w:val="18"/>
                <w:lang w:val="en-US"/>
              </w:rPr>
              <w:t xml:space="preserve"> CD/2 </w:t>
            </w:r>
            <w:r w:rsidRPr="00E766AC">
              <w:rPr>
                <w:rFonts w:ascii="Book Antiqua" w:hAnsi="Book Antiqua"/>
                <w:bCs/>
                <w:color w:val="000000"/>
                <w:sz w:val="18"/>
                <w:szCs w:val="18"/>
                <w:lang w:val="en-US"/>
              </w:rPr>
              <w:t xml:space="preserve"> </w:t>
            </w:r>
            <w:proofErr w:type="spellStart"/>
            <w:r w:rsidRPr="00E766AC">
              <w:rPr>
                <w:rFonts w:ascii="Book Antiqua" w:hAnsi="Book Antiqua"/>
                <w:bCs/>
                <w:color w:val="000000"/>
                <w:sz w:val="18"/>
                <w:szCs w:val="18"/>
                <w:lang w:val="en-US"/>
              </w:rPr>
              <w:t>y</w:t>
            </w:r>
            <w:r>
              <w:rPr>
                <w:rFonts w:ascii="Book Antiqua" w:hAnsi="Book Antiqua"/>
                <w:bCs/>
                <w:color w:val="000000"/>
                <w:sz w:val="18"/>
                <w:szCs w:val="18"/>
                <w:lang w:val="en-US"/>
              </w:rPr>
              <w:t>r</w:t>
            </w:r>
            <w:proofErr w:type="spellEnd"/>
          </w:p>
        </w:tc>
        <w:tc>
          <w:tcPr>
            <w:tcW w:w="734" w:type="dxa"/>
            <w:shd w:val="clear" w:color="auto" w:fill="auto"/>
          </w:tcPr>
          <w:p w14:paraId="112E2F8E"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IFX</w:t>
            </w:r>
          </w:p>
        </w:tc>
        <w:tc>
          <w:tcPr>
            <w:tcW w:w="1392" w:type="dxa"/>
            <w:shd w:val="clear" w:color="auto" w:fill="auto"/>
          </w:tcPr>
          <w:p w14:paraId="33E326F0"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5 mg/kg/  12</w:t>
            </w:r>
          </w:p>
        </w:tc>
        <w:tc>
          <w:tcPr>
            <w:tcW w:w="1310" w:type="dxa"/>
            <w:shd w:val="clear" w:color="auto" w:fill="auto"/>
          </w:tcPr>
          <w:p w14:paraId="2C59A28D" w14:textId="77777777"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Mesalamine</w:t>
            </w:r>
            <w:proofErr w:type="spellEnd"/>
            <w:r w:rsidRPr="00E766AC">
              <w:rPr>
                <w:rFonts w:ascii="Book Antiqua" w:hAnsi="Book Antiqua"/>
                <w:color w:val="000000"/>
                <w:sz w:val="18"/>
                <w:szCs w:val="18"/>
                <w:lang w:val="en-US"/>
              </w:rPr>
              <w:t xml:space="preserve">                    (suspended INH 2 months prior </w:t>
            </w:r>
            <w:r w:rsidRPr="00E766AC">
              <w:rPr>
                <w:rFonts w:ascii="Book Antiqua" w:hAnsi="Book Antiqua"/>
                <w:color w:val="000000"/>
                <w:sz w:val="18"/>
                <w:szCs w:val="18"/>
                <w:lang w:val="en-US"/>
              </w:rPr>
              <w:lastRenderedPageBreak/>
              <w:t>to IFX)</w:t>
            </w:r>
          </w:p>
        </w:tc>
        <w:tc>
          <w:tcPr>
            <w:tcW w:w="993" w:type="dxa"/>
            <w:shd w:val="clear" w:color="auto" w:fill="auto"/>
          </w:tcPr>
          <w:p w14:paraId="05BDBB24"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lastRenderedPageBreak/>
              <w:t>No</w:t>
            </w:r>
          </w:p>
        </w:tc>
        <w:tc>
          <w:tcPr>
            <w:tcW w:w="1417" w:type="dxa"/>
            <w:shd w:val="clear" w:color="auto" w:fill="auto"/>
          </w:tcPr>
          <w:p w14:paraId="5AC1053B"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4/2</w:t>
            </w:r>
          </w:p>
        </w:tc>
        <w:tc>
          <w:tcPr>
            <w:tcW w:w="1418" w:type="dxa"/>
            <w:shd w:val="clear" w:color="auto" w:fill="auto"/>
          </w:tcPr>
          <w:p w14:paraId="39F28844" w14:textId="77777777" w:rsidR="00E766AC" w:rsidRPr="00E766AC" w:rsidRDefault="00E766AC" w:rsidP="00651BD2">
            <w:pPr>
              <w:spacing w:line="240" w:lineRule="auto"/>
              <w:jc w:val="both"/>
              <w:rPr>
                <w:rFonts w:ascii="Book Antiqua" w:hAnsi="Book Antiqua"/>
                <w:bCs/>
                <w:color w:val="000000"/>
                <w:sz w:val="18"/>
                <w:szCs w:val="18"/>
              </w:rPr>
            </w:pPr>
            <w:r w:rsidRPr="00E766AC">
              <w:rPr>
                <w:rFonts w:ascii="Book Antiqua" w:hAnsi="Book Antiqua"/>
                <w:bCs/>
                <w:color w:val="000000"/>
                <w:sz w:val="18"/>
                <w:szCs w:val="18"/>
              </w:rPr>
              <w:t>ANA, High IgG</w:t>
            </w:r>
          </w:p>
        </w:tc>
        <w:tc>
          <w:tcPr>
            <w:tcW w:w="1417" w:type="dxa"/>
            <w:shd w:val="clear" w:color="auto" w:fill="auto"/>
          </w:tcPr>
          <w:p w14:paraId="28627EC2"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Interface hepatitis</w:t>
            </w:r>
          </w:p>
        </w:tc>
        <w:tc>
          <w:tcPr>
            <w:tcW w:w="836" w:type="dxa"/>
            <w:shd w:val="clear" w:color="auto" w:fill="auto"/>
          </w:tcPr>
          <w:p w14:paraId="65A59B16"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20</w:t>
            </w:r>
          </w:p>
        </w:tc>
        <w:tc>
          <w:tcPr>
            <w:tcW w:w="972" w:type="dxa"/>
            <w:shd w:val="clear" w:color="auto" w:fill="auto"/>
          </w:tcPr>
          <w:p w14:paraId="1D3B8731"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Yes</w:t>
            </w:r>
          </w:p>
        </w:tc>
        <w:tc>
          <w:tcPr>
            <w:tcW w:w="1843" w:type="dxa"/>
            <w:shd w:val="clear" w:color="auto" w:fill="auto"/>
          </w:tcPr>
          <w:p w14:paraId="0FBE215F"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color w:val="000000"/>
                <w:sz w:val="18"/>
                <w:szCs w:val="18"/>
              </w:rPr>
              <w:t>Mesalamine 3g/d PO</w:t>
            </w:r>
          </w:p>
        </w:tc>
        <w:tc>
          <w:tcPr>
            <w:tcW w:w="851" w:type="dxa"/>
            <w:shd w:val="clear" w:color="auto" w:fill="auto"/>
          </w:tcPr>
          <w:p w14:paraId="0C12E054" w14:textId="77777777" w:rsidR="00E766AC" w:rsidRPr="00E766AC" w:rsidRDefault="00E766AC" w:rsidP="00651BD2">
            <w:pPr>
              <w:spacing w:line="240" w:lineRule="auto"/>
              <w:jc w:val="both"/>
              <w:rPr>
                <w:rFonts w:ascii="Book Antiqua" w:hAnsi="Book Antiqua"/>
                <w:color w:val="000000"/>
                <w:sz w:val="18"/>
                <w:szCs w:val="18"/>
              </w:rPr>
            </w:pPr>
            <w:r w:rsidRPr="00E766AC">
              <w:rPr>
                <w:rFonts w:ascii="Book Antiqua" w:hAnsi="Book Antiqua"/>
                <w:bCs/>
                <w:color w:val="000000"/>
                <w:sz w:val="18"/>
                <w:szCs w:val="18"/>
                <w:lang w:val="en-US"/>
              </w:rPr>
              <w:t>Reversibility</w:t>
            </w:r>
          </w:p>
        </w:tc>
      </w:tr>
      <w:tr w:rsidR="00E766AC" w:rsidRPr="00E766AC" w14:paraId="44C3158E" w14:textId="77777777" w:rsidTr="007C3AA5">
        <w:trPr>
          <w:trHeight w:val="537"/>
        </w:trPr>
        <w:tc>
          <w:tcPr>
            <w:tcW w:w="959" w:type="dxa"/>
            <w:shd w:val="clear" w:color="auto" w:fill="auto"/>
          </w:tcPr>
          <w:p w14:paraId="3EEE80FF"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lastRenderedPageBreak/>
              <w:t>8 – 69F</w:t>
            </w:r>
          </w:p>
        </w:tc>
        <w:tc>
          <w:tcPr>
            <w:tcW w:w="1134" w:type="dxa"/>
            <w:shd w:val="clear" w:color="auto" w:fill="auto"/>
          </w:tcPr>
          <w:p w14:paraId="5ED79246" w14:textId="642B2D0B" w:rsidR="00E766AC" w:rsidRPr="00E766AC" w:rsidRDefault="00E766AC" w:rsidP="00651BD2">
            <w:pPr>
              <w:spacing w:line="240" w:lineRule="auto"/>
              <w:jc w:val="both"/>
              <w:rPr>
                <w:rFonts w:ascii="Book Antiqua" w:hAnsi="Book Antiqua"/>
                <w:color w:val="000000"/>
                <w:sz w:val="18"/>
                <w:szCs w:val="18"/>
                <w:lang w:val="en-US"/>
              </w:rPr>
            </w:pPr>
            <w:proofErr w:type="spellStart"/>
            <w:r w:rsidRPr="00E766AC">
              <w:rPr>
                <w:rFonts w:ascii="Book Antiqua" w:hAnsi="Book Antiqua"/>
                <w:color w:val="000000"/>
                <w:sz w:val="18"/>
                <w:szCs w:val="18"/>
                <w:lang w:val="en-US"/>
              </w:rPr>
              <w:t>Ileal</w:t>
            </w:r>
            <w:proofErr w:type="spellEnd"/>
            <w:r w:rsidRPr="00E766AC">
              <w:rPr>
                <w:rFonts w:ascii="Book Antiqua" w:hAnsi="Book Antiqua"/>
                <w:color w:val="000000"/>
                <w:sz w:val="18"/>
                <w:szCs w:val="18"/>
                <w:lang w:val="en-US"/>
              </w:rPr>
              <w:t xml:space="preserve"> CD/32 </w:t>
            </w:r>
            <w:r w:rsidRPr="00E766AC">
              <w:rPr>
                <w:rFonts w:ascii="Book Antiqua" w:hAnsi="Book Antiqua"/>
                <w:bCs/>
                <w:color w:val="000000"/>
                <w:sz w:val="18"/>
                <w:szCs w:val="18"/>
                <w:lang w:val="en-US"/>
              </w:rPr>
              <w:t xml:space="preserve"> </w:t>
            </w:r>
            <w:proofErr w:type="spellStart"/>
            <w:r w:rsidRPr="00E766AC">
              <w:rPr>
                <w:rFonts w:ascii="Book Antiqua" w:hAnsi="Book Antiqua"/>
                <w:bCs/>
                <w:color w:val="000000"/>
                <w:sz w:val="18"/>
                <w:szCs w:val="18"/>
                <w:lang w:val="en-US"/>
              </w:rPr>
              <w:t>y</w:t>
            </w:r>
            <w:r>
              <w:rPr>
                <w:rFonts w:ascii="Book Antiqua" w:hAnsi="Book Antiqua"/>
                <w:bCs/>
                <w:color w:val="000000"/>
                <w:sz w:val="18"/>
                <w:szCs w:val="18"/>
                <w:lang w:val="en-US"/>
              </w:rPr>
              <w:t>r</w:t>
            </w:r>
            <w:proofErr w:type="spellEnd"/>
          </w:p>
        </w:tc>
        <w:tc>
          <w:tcPr>
            <w:tcW w:w="734" w:type="dxa"/>
            <w:shd w:val="clear" w:color="auto" w:fill="auto"/>
          </w:tcPr>
          <w:p w14:paraId="0F1366E4"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IFX</w:t>
            </w:r>
          </w:p>
        </w:tc>
        <w:tc>
          <w:tcPr>
            <w:tcW w:w="1392" w:type="dxa"/>
            <w:shd w:val="clear" w:color="auto" w:fill="auto"/>
          </w:tcPr>
          <w:p w14:paraId="765EFC09"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5 mg/kg/ 4</w:t>
            </w:r>
          </w:p>
        </w:tc>
        <w:tc>
          <w:tcPr>
            <w:tcW w:w="1310" w:type="dxa"/>
            <w:shd w:val="clear" w:color="auto" w:fill="auto"/>
          </w:tcPr>
          <w:p w14:paraId="24C68928" w14:textId="4E27A87D" w:rsidR="00E766AC" w:rsidRPr="00E766AC" w:rsidRDefault="00E766AC" w:rsidP="00651BD2">
            <w:pPr>
              <w:spacing w:line="240" w:lineRule="auto"/>
              <w:jc w:val="both"/>
              <w:rPr>
                <w:rFonts w:ascii="Book Antiqua" w:hAnsi="Book Antiqua"/>
                <w:color w:val="000000"/>
                <w:sz w:val="18"/>
                <w:szCs w:val="18"/>
                <w:lang w:val="en-US" w:eastAsia="zh-CN"/>
              </w:rPr>
            </w:pPr>
            <w:proofErr w:type="spellStart"/>
            <w:r w:rsidRPr="00E766AC">
              <w:rPr>
                <w:rFonts w:ascii="Book Antiqua" w:hAnsi="Book Antiqua"/>
                <w:color w:val="000000"/>
                <w:sz w:val="18"/>
                <w:szCs w:val="18"/>
                <w:lang w:val="en-US"/>
              </w:rPr>
              <w:t>Mesalamine</w:t>
            </w:r>
            <w:proofErr w:type="spellEnd"/>
            <w:r w:rsidRPr="00E766AC">
              <w:rPr>
                <w:rFonts w:ascii="Book Antiqua" w:hAnsi="Book Antiqua"/>
                <w:color w:val="000000"/>
                <w:sz w:val="18"/>
                <w:szCs w:val="18"/>
                <w:lang w:val="en-US"/>
              </w:rPr>
              <w:t xml:space="preserve">                    </w:t>
            </w:r>
          </w:p>
        </w:tc>
        <w:tc>
          <w:tcPr>
            <w:tcW w:w="993" w:type="dxa"/>
            <w:shd w:val="clear" w:color="auto" w:fill="auto"/>
          </w:tcPr>
          <w:p w14:paraId="6F8893B4"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No</w:t>
            </w:r>
          </w:p>
        </w:tc>
        <w:tc>
          <w:tcPr>
            <w:tcW w:w="1417" w:type="dxa"/>
            <w:shd w:val="clear" w:color="auto" w:fill="auto"/>
          </w:tcPr>
          <w:p w14:paraId="659747DD"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10/5</w:t>
            </w:r>
          </w:p>
        </w:tc>
        <w:tc>
          <w:tcPr>
            <w:tcW w:w="1418" w:type="dxa"/>
            <w:shd w:val="clear" w:color="auto" w:fill="auto"/>
          </w:tcPr>
          <w:p w14:paraId="77ACE3A4" w14:textId="77777777" w:rsidR="00E766AC" w:rsidRPr="00E766AC" w:rsidRDefault="00E766AC" w:rsidP="00651BD2">
            <w:pPr>
              <w:spacing w:line="240" w:lineRule="auto"/>
              <w:jc w:val="both"/>
              <w:rPr>
                <w:rFonts w:ascii="Book Antiqua" w:hAnsi="Book Antiqua"/>
                <w:bCs/>
                <w:color w:val="000000"/>
                <w:sz w:val="18"/>
                <w:szCs w:val="18"/>
                <w:lang w:val="en-US"/>
              </w:rPr>
            </w:pPr>
            <w:r w:rsidRPr="00E766AC">
              <w:rPr>
                <w:rFonts w:ascii="Book Antiqua" w:hAnsi="Book Antiqua"/>
                <w:bCs/>
                <w:color w:val="000000"/>
                <w:sz w:val="18"/>
                <w:szCs w:val="18"/>
                <w:lang w:val="en-US"/>
              </w:rPr>
              <w:t>ANA</w:t>
            </w:r>
          </w:p>
        </w:tc>
        <w:tc>
          <w:tcPr>
            <w:tcW w:w="1417" w:type="dxa"/>
            <w:shd w:val="clear" w:color="auto" w:fill="auto"/>
          </w:tcPr>
          <w:p w14:paraId="3EA5FC2B"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Interface hepatitis</w:t>
            </w:r>
          </w:p>
        </w:tc>
        <w:tc>
          <w:tcPr>
            <w:tcW w:w="836" w:type="dxa"/>
            <w:shd w:val="clear" w:color="auto" w:fill="auto"/>
          </w:tcPr>
          <w:p w14:paraId="00C7E58D"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19</w:t>
            </w:r>
          </w:p>
        </w:tc>
        <w:tc>
          <w:tcPr>
            <w:tcW w:w="972" w:type="dxa"/>
            <w:shd w:val="clear" w:color="auto" w:fill="auto"/>
          </w:tcPr>
          <w:p w14:paraId="0FBE033B"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lang w:val="en-US"/>
              </w:rPr>
              <w:t>Yes</w:t>
            </w:r>
          </w:p>
        </w:tc>
        <w:tc>
          <w:tcPr>
            <w:tcW w:w="1843" w:type="dxa"/>
            <w:shd w:val="clear" w:color="auto" w:fill="auto"/>
          </w:tcPr>
          <w:p w14:paraId="078E99F9"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color w:val="000000"/>
                <w:sz w:val="18"/>
                <w:szCs w:val="18"/>
              </w:rPr>
              <w:t>Mesalamine 3g/d PO</w:t>
            </w:r>
          </w:p>
        </w:tc>
        <w:tc>
          <w:tcPr>
            <w:tcW w:w="851" w:type="dxa"/>
            <w:shd w:val="clear" w:color="auto" w:fill="auto"/>
          </w:tcPr>
          <w:p w14:paraId="04B59288" w14:textId="77777777" w:rsidR="00E766AC" w:rsidRPr="00E766AC" w:rsidRDefault="00E766AC" w:rsidP="00651BD2">
            <w:pPr>
              <w:spacing w:line="240" w:lineRule="auto"/>
              <w:jc w:val="both"/>
              <w:rPr>
                <w:rFonts w:ascii="Book Antiqua" w:hAnsi="Book Antiqua"/>
                <w:color w:val="000000"/>
                <w:sz w:val="18"/>
                <w:szCs w:val="18"/>
                <w:lang w:val="en-US"/>
              </w:rPr>
            </w:pPr>
            <w:r w:rsidRPr="00E766AC">
              <w:rPr>
                <w:rFonts w:ascii="Book Antiqua" w:hAnsi="Book Antiqua"/>
                <w:bCs/>
                <w:color w:val="000000"/>
                <w:sz w:val="18"/>
                <w:szCs w:val="18"/>
                <w:lang w:val="en-US"/>
              </w:rPr>
              <w:t>Reversibility</w:t>
            </w:r>
          </w:p>
        </w:tc>
      </w:tr>
    </w:tbl>
    <w:p w14:paraId="370808E2" w14:textId="7413631A" w:rsidR="00FA4A81" w:rsidRDefault="00E766AC" w:rsidP="00651BD2">
      <w:pPr>
        <w:pStyle w:val="ac"/>
        <w:spacing w:line="360" w:lineRule="auto"/>
        <w:ind w:firstLineChars="0" w:firstLine="0"/>
        <w:jc w:val="both"/>
        <w:rPr>
          <w:rFonts w:ascii="Book Antiqua" w:eastAsia="宋体" w:hAnsi="Book Antiqua"/>
          <w:bCs/>
          <w:color w:val="000000"/>
          <w:sz w:val="21"/>
          <w:lang w:val="en-US" w:eastAsia="zh-CN"/>
        </w:rPr>
      </w:pPr>
      <w:r w:rsidRPr="000D78A3">
        <w:rPr>
          <w:rFonts w:ascii="Book Antiqua" w:hAnsi="Book Antiqua"/>
          <w:bCs/>
          <w:color w:val="000000"/>
          <w:sz w:val="21"/>
          <w:lang w:val="en-US"/>
        </w:rPr>
        <w:t>AS</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 xml:space="preserve"> </w:t>
      </w:r>
      <w:proofErr w:type="spellStart"/>
      <w:r w:rsidR="000D78A3" w:rsidRPr="000D78A3">
        <w:rPr>
          <w:rFonts w:ascii="Book Antiqua" w:hAnsi="Book Antiqua"/>
          <w:bCs/>
          <w:color w:val="000000"/>
          <w:sz w:val="21"/>
          <w:lang w:val="en-US"/>
        </w:rPr>
        <w:t>Ankylosing</w:t>
      </w:r>
      <w:proofErr w:type="spellEnd"/>
      <w:r w:rsidR="000D78A3" w:rsidRPr="000D78A3">
        <w:rPr>
          <w:rFonts w:ascii="Book Antiqua" w:hAnsi="Book Antiqua"/>
          <w:bCs/>
          <w:color w:val="000000"/>
          <w:sz w:val="21"/>
          <w:lang w:val="en-US"/>
        </w:rPr>
        <w:t xml:space="preserve"> spondylitis</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proofErr w:type="spellStart"/>
      <w:r w:rsidRPr="000D78A3">
        <w:rPr>
          <w:rFonts w:ascii="Book Antiqua" w:hAnsi="Book Antiqua"/>
          <w:bCs/>
          <w:color w:val="000000"/>
          <w:sz w:val="21"/>
          <w:lang w:val="en-US"/>
        </w:rPr>
        <w:t>PsA</w:t>
      </w:r>
      <w:proofErr w:type="spellEnd"/>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 xml:space="preserve">Psoriatic </w:t>
      </w:r>
      <w:r w:rsidRPr="000D78A3">
        <w:rPr>
          <w:rFonts w:ascii="Book Antiqua" w:hAnsi="Book Antiqua"/>
          <w:bCs/>
          <w:color w:val="000000"/>
          <w:sz w:val="21"/>
          <w:lang w:val="en-US"/>
        </w:rPr>
        <w:t>arthritis</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ULN</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 xml:space="preserve">Upper </w:t>
      </w:r>
      <w:r w:rsidRPr="000D78A3">
        <w:rPr>
          <w:rFonts w:ascii="Book Antiqua" w:hAnsi="Book Antiqua"/>
          <w:bCs/>
          <w:color w:val="000000"/>
          <w:sz w:val="21"/>
          <w:lang w:val="en-US"/>
        </w:rPr>
        <w:t>limit of normal</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UC</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 xml:space="preserve">Ulcerative </w:t>
      </w:r>
      <w:r w:rsidRPr="000D78A3">
        <w:rPr>
          <w:rFonts w:ascii="Book Antiqua" w:hAnsi="Book Antiqua"/>
          <w:bCs/>
          <w:color w:val="000000"/>
          <w:sz w:val="21"/>
          <w:lang w:val="en-US"/>
        </w:rPr>
        <w:t>colitis</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RA</w:t>
      </w:r>
      <w:r w:rsidR="000D78A3" w:rsidRPr="000D78A3">
        <w:rPr>
          <w:rFonts w:ascii="Book Antiqua" w:eastAsia="宋体" w:hAnsi="Book Antiqua" w:hint="eastAsia"/>
          <w:bCs/>
          <w:color w:val="000000"/>
          <w:sz w:val="21"/>
          <w:lang w:val="en-US" w:eastAsia="zh-CN"/>
        </w:rPr>
        <w:t xml:space="preserve">: </w:t>
      </w:r>
      <w:r w:rsidR="000D78A3" w:rsidRPr="000D78A3">
        <w:rPr>
          <w:rFonts w:ascii="Book Antiqua" w:hAnsi="Book Antiqua"/>
          <w:bCs/>
          <w:color w:val="000000"/>
          <w:sz w:val="21"/>
          <w:lang w:val="en-US"/>
        </w:rPr>
        <w:t xml:space="preserve">Rheumatoid </w:t>
      </w:r>
      <w:r w:rsidRPr="000D78A3">
        <w:rPr>
          <w:rFonts w:ascii="Book Antiqua" w:hAnsi="Book Antiqua"/>
          <w:bCs/>
          <w:color w:val="000000"/>
          <w:sz w:val="21"/>
          <w:lang w:val="en-US"/>
        </w:rPr>
        <w:t>arthritis</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CD</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proofErr w:type="spellStart"/>
      <w:r w:rsidR="000D78A3" w:rsidRPr="000D78A3">
        <w:rPr>
          <w:rFonts w:ascii="Book Antiqua" w:hAnsi="Book Antiqua"/>
          <w:bCs/>
          <w:color w:val="000000"/>
          <w:sz w:val="21"/>
          <w:lang w:val="en-US"/>
        </w:rPr>
        <w:t>Crohn’S</w:t>
      </w:r>
      <w:proofErr w:type="spellEnd"/>
      <w:r w:rsidR="000D78A3" w:rsidRPr="000D78A3">
        <w:rPr>
          <w:rFonts w:ascii="Book Antiqua" w:hAnsi="Book Antiqua"/>
          <w:bCs/>
          <w:color w:val="000000"/>
          <w:sz w:val="21"/>
          <w:lang w:val="en-US"/>
        </w:rPr>
        <w:t xml:space="preserve"> </w:t>
      </w:r>
      <w:r w:rsidRPr="000D78A3">
        <w:rPr>
          <w:rFonts w:ascii="Book Antiqua" w:hAnsi="Book Antiqua"/>
          <w:bCs/>
          <w:color w:val="000000"/>
          <w:sz w:val="21"/>
          <w:lang w:val="en-US"/>
        </w:rPr>
        <w:t>disease</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PPP</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 xml:space="preserve"> </w:t>
      </w:r>
      <w:proofErr w:type="spellStart"/>
      <w:r w:rsidR="000D78A3" w:rsidRPr="000D78A3">
        <w:rPr>
          <w:rFonts w:ascii="Book Antiqua" w:hAnsi="Book Antiqua"/>
          <w:bCs/>
          <w:color w:val="000000"/>
          <w:sz w:val="21"/>
          <w:lang w:val="en-US"/>
        </w:rPr>
        <w:t>Palmoplantar</w:t>
      </w:r>
      <w:proofErr w:type="spellEnd"/>
      <w:r w:rsidR="000D78A3" w:rsidRPr="000D78A3">
        <w:rPr>
          <w:rFonts w:ascii="Book Antiqua" w:hAnsi="Book Antiqua"/>
          <w:bCs/>
          <w:color w:val="000000"/>
          <w:sz w:val="21"/>
          <w:lang w:val="en-US"/>
        </w:rPr>
        <w:t xml:space="preserve"> </w:t>
      </w:r>
      <w:proofErr w:type="spellStart"/>
      <w:r w:rsidRPr="000D78A3">
        <w:rPr>
          <w:rFonts w:ascii="Book Antiqua" w:hAnsi="Book Antiqua"/>
          <w:bCs/>
          <w:color w:val="000000"/>
          <w:sz w:val="21"/>
          <w:lang w:val="en-US"/>
        </w:rPr>
        <w:t>pustular</w:t>
      </w:r>
      <w:proofErr w:type="spellEnd"/>
      <w:r w:rsidRPr="000D78A3">
        <w:rPr>
          <w:rFonts w:ascii="Book Antiqua" w:hAnsi="Book Antiqua"/>
          <w:bCs/>
          <w:color w:val="000000"/>
          <w:sz w:val="21"/>
          <w:lang w:val="en-US"/>
        </w:rPr>
        <w:t xml:space="preserve"> psoriasis</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proofErr w:type="spellStart"/>
      <w:r w:rsidRPr="000D78A3">
        <w:rPr>
          <w:rFonts w:ascii="Book Antiqua" w:hAnsi="Book Antiqua"/>
          <w:bCs/>
          <w:color w:val="000000"/>
          <w:sz w:val="21"/>
          <w:lang w:val="en-US"/>
        </w:rPr>
        <w:t>PsO</w:t>
      </w:r>
      <w:proofErr w:type="spellEnd"/>
      <w:r w:rsidR="000D78A3" w:rsidRPr="000D78A3">
        <w:rPr>
          <w:rFonts w:ascii="Book Antiqua" w:eastAsia="宋体" w:hAnsi="Book Antiqua" w:hint="eastAsia"/>
          <w:bCs/>
          <w:color w:val="000000"/>
          <w:sz w:val="21"/>
          <w:lang w:val="en-US" w:eastAsia="zh-CN"/>
        </w:rPr>
        <w:t xml:space="preserve">: </w:t>
      </w:r>
      <w:r w:rsidR="000D78A3" w:rsidRPr="000D78A3">
        <w:rPr>
          <w:rFonts w:ascii="Book Antiqua" w:hAnsi="Book Antiqua"/>
          <w:bCs/>
          <w:color w:val="000000"/>
          <w:sz w:val="21"/>
          <w:lang w:val="en-US"/>
        </w:rPr>
        <w:t>Psoriasis</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IFX</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Infliximab</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ADA</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 xml:space="preserve"> </w:t>
      </w:r>
      <w:proofErr w:type="spellStart"/>
      <w:r w:rsidR="000D78A3" w:rsidRPr="000D78A3">
        <w:rPr>
          <w:rFonts w:ascii="Book Antiqua" w:hAnsi="Book Antiqua"/>
          <w:bCs/>
          <w:color w:val="000000"/>
          <w:sz w:val="21"/>
          <w:lang w:val="en-US"/>
        </w:rPr>
        <w:t>Adalimumab</w:t>
      </w:r>
      <w:proofErr w:type="spellEnd"/>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ETC</w:t>
      </w:r>
      <w:r w:rsidR="000D78A3" w:rsidRPr="000D78A3">
        <w:rPr>
          <w:rFonts w:ascii="Book Antiqua" w:eastAsia="宋体" w:hAnsi="Book Antiqua" w:hint="eastAsia"/>
          <w:bCs/>
          <w:color w:val="000000"/>
          <w:sz w:val="21"/>
          <w:lang w:val="en-US" w:eastAsia="zh-CN"/>
        </w:rPr>
        <w:t xml:space="preserve">: </w:t>
      </w:r>
      <w:r w:rsidRPr="000D78A3">
        <w:rPr>
          <w:rFonts w:ascii="Book Antiqua" w:hAnsi="Book Antiqua"/>
          <w:bCs/>
          <w:color w:val="000000"/>
          <w:sz w:val="21"/>
          <w:lang w:val="en-US"/>
        </w:rPr>
        <w:t xml:space="preserve"> </w:t>
      </w:r>
      <w:proofErr w:type="spellStart"/>
      <w:r w:rsidR="000D78A3" w:rsidRPr="000D78A3">
        <w:rPr>
          <w:rFonts w:ascii="Book Antiqua" w:hAnsi="Book Antiqua"/>
          <w:bCs/>
          <w:color w:val="000000"/>
          <w:sz w:val="21"/>
          <w:lang w:val="en-US"/>
        </w:rPr>
        <w:t>Etanercept</w:t>
      </w:r>
      <w:proofErr w:type="spellEnd"/>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AZA</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Azathioprine</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MTX</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Methotrexate</w:t>
      </w:r>
      <w:r w:rsidRPr="000D78A3">
        <w:rPr>
          <w:rFonts w:ascii="Book Antiqua" w:hAnsi="Book Antiqua"/>
          <w:bCs/>
          <w:color w:val="000000"/>
          <w:sz w:val="21"/>
          <w:lang w:val="en-US"/>
        </w:rPr>
        <w:t>; INH</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proofErr w:type="spellStart"/>
      <w:r w:rsidR="000D78A3" w:rsidRPr="000D78A3">
        <w:rPr>
          <w:rFonts w:ascii="Book Antiqua" w:hAnsi="Book Antiqua"/>
          <w:bCs/>
          <w:color w:val="000000"/>
          <w:sz w:val="21"/>
          <w:lang w:val="en-US"/>
        </w:rPr>
        <w:t>Isoniazide</w:t>
      </w:r>
      <w:proofErr w:type="spellEnd"/>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EOW</w:t>
      </w:r>
      <w:r w:rsidR="000D78A3" w:rsidRPr="000D78A3">
        <w:rPr>
          <w:rFonts w:ascii="Book Antiqua" w:eastAsia="宋体" w:hAnsi="Book Antiqua" w:hint="eastAsia"/>
          <w:bCs/>
          <w:color w:val="000000"/>
          <w:sz w:val="21"/>
          <w:lang w:val="en-US" w:eastAsia="zh-CN"/>
        </w:rPr>
        <w:t xml:space="preserve">: </w:t>
      </w:r>
      <w:r w:rsidR="000D78A3" w:rsidRPr="000D78A3">
        <w:rPr>
          <w:rFonts w:ascii="Book Antiqua" w:hAnsi="Book Antiqua"/>
          <w:bCs/>
          <w:color w:val="000000"/>
          <w:sz w:val="21"/>
          <w:lang w:val="en-US"/>
        </w:rPr>
        <w:t>Every other week; dsDNA</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 xml:space="preserve">Double </w:t>
      </w:r>
      <w:r w:rsidRPr="000D78A3">
        <w:rPr>
          <w:rFonts w:ascii="Book Antiqua" w:hAnsi="Book Antiqua"/>
          <w:bCs/>
          <w:color w:val="000000"/>
          <w:sz w:val="21"/>
          <w:lang w:val="en-US"/>
        </w:rPr>
        <w:t>strand DNA; ASMA</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r w:rsidR="000D78A3" w:rsidRPr="000D78A3">
        <w:rPr>
          <w:rFonts w:ascii="Book Antiqua" w:hAnsi="Book Antiqua"/>
          <w:bCs/>
          <w:color w:val="000000"/>
          <w:sz w:val="21"/>
          <w:lang w:val="en-US"/>
        </w:rPr>
        <w:t xml:space="preserve">Anti </w:t>
      </w:r>
      <w:r w:rsidRPr="000D78A3">
        <w:rPr>
          <w:rFonts w:ascii="Book Antiqua" w:hAnsi="Book Antiqua"/>
          <w:bCs/>
          <w:color w:val="000000"/>
          <w:sz w:val="21"/>
          <w:lang w:val="en-US"/>
        </w:rPr>
        <w:t>smooth muscle antibodies; AMA</w:t>
      </w:r>
      <w:r w:rsidR="000D78A3" w:rsidRPr="000D78A3">
        <w:rPr>
          <w:rFonts w:ascii="Book Antiqua" w:eastAsia="宋体" w:hAnsi="Book Antiqua" w:hint="eastAsia"/>
          <w:bCs/>
          <w:color w:val="000000"/>
          <w:sz w:val="21"/>
          <w:lang w:val="en-US" w:eastAsia="zh-CN"/>
        </w:rPr>
        <w:t>:</w:t>
      </w:r>
      <w:r w:rsidRPr="000D78A3">
        <w:rPr>
          <w:rFonts w:ascii="Book Antiqua" w:hAnsi="Book Antiqua"/>
          <w:bCs/>
          <w:color w:val="000000"/>
          <w:sz w:val="21"/>
          <w:lang w:val="en-US"/>
        </w:rPr>
        <w:t xml:space="preserve"> </w:t>
      </w:r>
      <w:proofErr w:type="spellStart"/>
      <w:r w:rsidR="000D78A3" w:rsidRPr="000D78A3">
        <w:rPr>
          <w:rFonts w:ascii="Book Antiqua" w:hAnsi="Book Antiqua"/>
          <w:bCs/>
          <w:color w:val="000000"/>
          <w:sz w:val="21"/>
          <w:lang w:val="en-US"/>
        </w:rPr>
        <w:t>Antimitochondrial</w:t>
      </w:r>
      <w:proofErr w:type="spellEnd"/>
      <w:r w:rsidR="000D78A3" w:rsidRPr="000D78A3">
        <w:rPr>
          <w:rFonts w:ascii="Book Antiqua" w:hAnsi="Book Antiqua"/>
          <w:bCs/>
          <w:color w:val="000000"/>
          <w:sz w:val="21"/>
          <w:lang w:val="en-US"/>
        </w:rPr>
        <w:t xml:space="preserve"> </w:t>
      </w:r>
      <w:r w:rsidRPr="000D78A3">
        <w:rPr>
          <w:rFonts w:ascii="Book Antiqua" w:hAnsi="Book Antiqua"/>
          <w:bCs/>
          <w:color w:val="000000"/>
          <w:sz w:val="21"/>
          <w:lang w:val="en-US"/>
        </w:rPr>
        <w:t>antibodies</w:t>
      </w:r>
      <w:r w:rsidRPr="000D78A3">
        <w:rPr>
          <w:rFonts w:ascii="Book Antiqua" w:eastAsia="宋体" w:hAnsi="Book Antiqua" w:hint="eastAsia"/>
          <w:bCs/>
          <w:color w:val="000000"/>
          <w:sz w:val="21"/>
          <w:lang w:val="en-US" w:eastAsia="zh-CN"/>
        </w:rPr>
        <w:t>.</w:t>
      </w:r>
    </w:p>
    <w:p w14:paraId="64253210" w14:textId="3DEADD66" w:rsidR="001D61B3" w:rsidRDefault="001D61B3" w:rsidP="00651BD2">
      <w:pPr>
        <w:spacing w:after="0" w:line="240" w:lineRule="auto"/>
        <w:jc w:val="both"/>
        <w:rPr>
          <w:rFonts w:ascii="Book Antiqua" w:hAnsi="Book Antiqua" w:cs="Mangal"/>
          <w:bCs/>
          <w:color w:val="000000"/>
          <w:kern w:val="1"/>
          <w:sz w:val="21"/>
          <w:szCs w:val="21"/>
          <w:lang w:val="en-US" w:eastAsia="zh-CN" w:bidi="hi-IN"/>
        </w:rPr>
      </w:pPr>
      <w:r>
        <w:rPr>
          <w:rFonts w:ascii="Book Antiqua" w:hAnsi="Book Antiqua"/>
          <w:bCs/>
          <w:color w:val="000000"/>
          <w:sz w:val="21"/>
          <w:lang w:val="en-US" w:eastAsia="zh-CN"/>
        </w:rPr>
        <w:br w:type="page"/>
      </w:r>
    </w:p>
    <w:p w14:paraId="01FE8E72" w14:textId="07DA4B84" w:rsidR="001D61B3" w:rsidRPr="001D61B3" w:rsidRDefault="001D61B3" w:rsidP="00651BD2">
      <w:pPr>
        <w:jc w:val="both"/>
        <w:rPr>
          <w:rFonts w:ascii="Book Antiqua" w:hAnsi="Book Antiqua"/>
          <w:b/>
          <w:bCs/>
          <w:sz w:val="21"/>
          <w:szCs w:val="21"/>
          <w:lang w:val="en-US" w:eastAsia="zh-CN"/>
        </w:rPr>
      </w:pPr>
      <w:r w:rsidRPr="001D61B3">
        <w:rPr>
          <w:rFonts w:ascii="Book Antiqua" w:hAnsi="Book Antiqua"/>
          <w:b/>
          <w:bCs/>
          <w:sz w:val="21"/>
          <w:szCs w:val="21"/>
          <w:lang w:val="en-US"/>
        </w:rPr>
        <w:lastRenderedPageBreak/>
        <w:t>Table 2 Clinical characteristics of patients in published cases</w:t>
      </w:r>
    </w:p>
    <w:tbl>
      <w:tblPr>
        <w:tblW w:w="14363" w:type="dxa"/>
        <w:tblInd w:w="-176" w:type="dxa"/>
        <w:tblBorders>
          <w:top w:val="single" w:sz="4" w:space="0" w:color="auto"/>
          <w:bottom w:val="single" w:sz="4" w:space="0" w:color="auto"/>
        </w:tblBorders>
        <w:tblLook w:val="04A0" w:firstRow="1" w:lastRow="0" w:firstColumn="1" w:lastColumn="0" w:noHBand="0" w:noVBand="1"/>
      </w:tblPr>
      <w:tblGrid>
        <w:gridCol w:w="1349"/>
        <w:gridCol w:w="1220"/>
        <w:gridCol w:w="1080"/>
        <w:gridCol w:w="1080"/>
        <w:gridCol w:w="1916"/>
        <w:gridCol w:w="1218"/>
        <w:gridCol w:w="1097"/>
        <w:gridCol w:w="1496"/>
        <w:gridCol w:w="1601"/>
        <w:gridCol w:w="1080"/>
        <w:gridCol w:w="1226"/>
      </w:tblGrid>
      <w:tr w:rsidR="001D61B3" w:rsidRPr="001D61B3" w14:paraId="72F9A76E" w14:textId="77777777" w:rsidTr="001D61B3">
        <w:trPr>
          <w:trHeight w:val="270"/>
        </w:trPr>
        <w:tc>
          <w:tcPr>
            <w:tcW w:w="1349" w:type="dxa"/>
            <w:tcBorders>
              <w:top w:val="single" w:sz="4" w:space="0" w:color="auto"/>
              <w:bottom w:val="single" w:sz="4" w:space="0" w:color="auto"/>
            </w:tcBorders>
            <w:shd w:val="clear" w:color="auto" w:fill="auto"/>
            <w:noWrap/>
            <w:vAlign w:val="center"/>
            <w:hideMark/>
          </w:tcPr>
          <w:p w14:paraId="10583664"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 xml:space="preserve">  Case – Year  </w:t>
            </w:r>
          </w:p>
        </w:tc>
        <w:tc>
          <w:tcPr>
            <w:tcW w:w="1220" w:type="dxa"/>
            <w:tcBorders>
              <w:top w:val="single" w:sz="4" w:space="0" w:color="auto"/>
              <w:bottom w:val="single" w:sz="4" w:space="0" w:color="auto"/>
            </w:tcBorders>
            <w:shd w:val="clear" w:color="auto" w:fill="auto"/>
            <w:noWrap/>
            <w:vAlign w:val="center"/>
            <w:hideMark/>
          </w:tcPr>
          <w:p w14:paraId="232B4F14"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 xml:space="preserve"> Age/Gender   </w:t>
            </w:r>
          </w:p>
        </w:tc>
        <w:tc>
          <w:tcPr>
            <w:tcW w:w="1080" w:type="dxa"/>
            <w:tcBorders>
              <w:top w:val="single" w:sz="4" w:space="0" w:color="auto"/>
              <w:bottom w:val="single" w:sz="4" w:space="0" w:color="auto"/>
            </w:tcBorders>
            <w:shd w:val="clear" w:color="auto" w:fill="auto"/>
            <w:noWrap/>
            <w:vAlign w:val="center"/>
            <w:hideMark/>
          </w:tcPr>
          <w:p w14:paraId="4F85874F"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Disease</w:t>
            </w:r>
          </w:p>
        </w:tc>
        <w:tc>
          <w:tcPr>
            <w:tcW w:w="1080" w:type="dxa"/>
            <w:tcBorders>
              <w:top w:val="single" w:sz="4" w:space="0" w:color="auto"/>
              <w:bottom w:val="single" w:sz="4" w:space="0" w:color="auto"/>
            </w:tcBorders>
            <w:shd w:val="clear" w:color="auto" w:fill="auto"/>
            <w:noWrap/>
            <w:vAlign w:val="center"/>
            <w:hideMark/>
          </w:tcPr>
          <w:p w14:paraId="50A4C1C2"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Anti-TNF drug</w:t>
            </w:r>
          </w:p>
        </w:tc>
        <w:tc>
          <w:tcPr>
            <w:tcW w:w="1916" w:type="dxa"/>
            <w:tcBorders>
              <w:top w:val="single" w:sz="4" w:space="0" w:color="auto"/>
              <w:bottom w:val="single" w:sz="4" w:space="0" w:color="auto"/>
            </w:tcBorders>
            <w:shd w:val="clear" w:color="auto" w:fill="auto"/>
            <w:noWrap/>
            <w:vAlign w:val="center"/>
            <w:hideMark/>
          </w:tcPr>
          <w:p w14:paraId="5BAA0412"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 xml:space="preserve">Immunosuppressant   </w:t>
            </w:r>
          </w:p>
        </w:tc>
        <w:tc>
          <w:tcPr>
            <w:tcW w:w="1218" w:type="dxa"/>
            <w:tcBorders>
              <w:top w:val="single" w:sz="4" w:space="0" w:color="auto"/>
              <w:bottom w:val="single" w:sz="4" w:space="0" w:color="auto"/>
            </w:tcBorders>
            <w:shd w:val="clear" w:color="auto" w:fill="auto"/>
            <w:noWrap/>
            <w:vAlign w:val="center"/>
            <w:hideMark/>
          </w:tcPr>
          <w:p w14:paraId="246B0327"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Dose mg/kg/n-infusions</w:t>
            </w:r>
          </w:p>
        </w:tc>
        <w:tc>
          <w:tcPr>
            <w:tcW w:w="1097" w:type="dxa"/>
            <w:tcBorders>
              <w:top w:val="single" w:sz="4" w:space="0" w:color="auto"/>
              <w:bottom w:val="single" w:sz="4" w:space="0" w:color="auto"/>
            </w:tcBorders>
            <w:shd w:val="clear" w:color="auto" w:fill="auto"/>
            <w:noWrap/>
            <w:vAlign w:val="center"/>
            <w:hideMark/>
          </w:tcPr>
          <w:p w14:paraId="3864B620"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Symptoms</w:t>
            </w:r>
          </w:p>
        </w:tc>
        <w:tc>
          <w:tcPr>
            <w:tcW w:w="1496" w:type="dxa"/>
            <w:tcBorders>
              <w:top w:val="single" w:sz="4" w:space="0" w:color="auto"/>
              <w:bottom w:val="single" w:sz="4" w:space="0" w:color="auto"/>
            </w:tcBorders>
            <w:shd w:val="clear" w:color="auto" w:fill="auto"/>
            <w:noWrap/>
            <w:vAlign w:val="center"/>
            <w:hideMark/>
          </w:tcPr>
          <w:p w14:paraId="0AABC3FE"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 xml:space="preserve"> Autoantibodies</w:t>
            </w:r>
          </w:p>
        </w:tc>
        <w:tc>
          <w:tcPr>
            <w:tcW w:w="1601" w:type="dxa"/>
            <w:tcBorders>
              <w:top w:val="single" w:sz="4" w:space="0" w:color="auto"/>
              <w:bottom w:val="single" w:sz="4" w:space="0" w:color="auto"/>
            </w:tcBorders>
            <w:shd w:val="clear" w:color="auto" w:fill="auto"/>
            <w:noWrap/>
            <w:vAlign w:val="center"/>
            <w:hideMark/>
          </w:tcPr>
          <w:p w14:paraId="7A8A9CFE"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 xml:space="preserve">Histology </w:t>
            </w:r>
          </w:p>
        </w:tc>
        <w:tc>
          <w:tcPr>
            <w:tcW w:w="1080" w:type="dxa"/>
            <w:tcBorders>
              <w:top w:val="single" w:sz="4" w:space="0" w:color="auto"/>
              <w:bottom w:val="single" w:sz="4" w:space="0" w:color="auto"/>
            </w:tcBorders>
            <w:shd w:val="clear" w:color="auto" w:fill="auto"/>
            <w:noWrap/>
            <w:vAlign w:val="center"/>
            <w:hideMark/>
          </w:tcPr>
          <w:p w14:paraId="32B5C58B"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Steroid response</w:t>
            </w:r>
          </w:p>
        </w:tc>
        <w:tc>
          <w:tcPr>
            <w:tcW w:w="1226" w:type="dxa"/>
            <w:tcBorders>
              <w:top w:val="single" w:sz="4" w:space="0" w:color="auto"/>
              <w:bottom w:val="single" w:sz="4" w:space="0" w:color="auto"/>
            </w:tcBorders>
            <w:shd w:val="clear" w:color="auto" w:fill="auto"/>
            <w:noWrap/>
            <w:vAlign w:val="center"/>
            <w:hideMark/>
          </w:tcPr>
          <w:p w14:paraId="02683659" w14:textId="77777777" w:rsidR="001D61B3" w:rsidRPr="001D61B3" w:rsidRDefault="001D61B3" w:rsidP="00651BD2">
            <w:pPr>
              <w:spacing w:after="0" w:line="240" w:lineRule="auto"/>
              <w:jc w:val="both"/>
              <w:rPr>
                <w:rFonts w:ascii="Book Antiqua" w:hAnsi="Book Antiqua" w:cs="宋体"/>
                <w:b/>
                <w:bCs/>
                <w:sz w:val="18"/>
                <w:szCs w:val="18"/>
                <w:lang w:val="en-US" w:eastAsia="zh-CN"/>
              </w:rPr>
            </w:pPr>
            <w:r w:rsidRPr="001D61B3">
              <w:rPr>
                <w:rFonts w:ascii="Book Antiqua" w:hAnsi="Book Antiqua" w:cs="宋体"/>
                <w:b/>
                <w:bCs/>
                <w:sz w:val="18"/>
                <w:szCs w:val="18"/>
                <w:lang w:val="en-US" w:eastAsia="zh-CN"/>
              </w:rPr>
              <w:t xml:space="preserve">Outcome </w:t>
            </w:r>
          </w:p>
        </w:tc>
      </w:tr>
      <w:tr w:rsidR="001D61B3" w:rsidRPr="001D61B3" w14:paraId="6DAE34F1" w14:textId="77777777" w:rsidTr="001D61B3">
        <w:trPr>
          <w:trHeight w:val="480"/>
        </w:trPr>
        <w:tc>
          <w:tcPr>
            <w:tcW w:w="1349" w:type="dxa"/>
            <w:tcBorders>
              <w:top w:val="single" w:sz="4" w:space="0" w:color="auto"/>
            </w:tcBorders>
            <w:shd w:val="clear" w:color="auto" w:fill="auto"/>
            <w:vAlign w:val="center"/>
            <w:hideMark/>
          </w:tcPr>
          <w:p w14:paraId="6E992284"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2007</w:t>
            </w:r>
            <w:r w:rsidRPr="001D61B3">
              <w:rPr>
                <w:rFonts w:ascii="Book Antiqua" w:hAnsi="Book Antiqua" w:cs="宋体"/>
                <w:bCs/>
                <w:color w:val="000000"/>
                <w:sz w:val="18"/>
                <w:szCs w:val="18"/>
                <w:vertAlign w:val="superscript"/>
                <w:lang w:val="en-US" w:eastAsia="zh-CN"/>
              </w:rPr>
              <w:t>3</w:t>
            </w:r>
          </w:p>
        </w:tc>
        <w:tc>
          <w:tcPr>
            <w:tcW w:w="1220" w:type="dxa"/>
            <w:tcBorders>
              <w:top w:val="single" w:sz="4" w:space="0" w:color="auto"/>
            </w:tcBorders>
            <w:shd w:val="clear" w:color="auto" w:fill="auto"/>
            <w:vAlign w:val="center"/>
            <w:hideMark/>
          </w:tcPr>
          <w:p w14:paraId="03CE26F4"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56/F</w:t>
            </w:r>
          </w:p>
        </w:tc>
        <w:tc>
          <w:tcPr>
            <w:tcW w:w="1080" w:type="dxa"/>
            <w:tcBorders>
              <w:top w:val="single" w:sz="4" w:space="0" w:color="auto"/>
            </w:tcBorders>
            <w:shd w:val="clear" w:color="auto" w:fill="auto"/>
            <w:vAlign w:val="center"/>
            <w:hideMark/>
          </w:tcPr>
          <w:p w14:paraId="16B92201"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AS</w:t>
            </w:r>
          </w:p>
        </w:tc>
        <w:tc>
          <w:tcPr>
            <w:tcW w:w="1080" w:type="dxa"/>
            <w:tcBorders>
              <w:top w:val="single" w:sz="4" w:space="0" w:color="auto"/>
            </w:tcBorders>
            <w:shd w:val="clear" w:color="auto" w:fill="auto"/>
            <w:vAlign w:val="center"/>
            <w:hideMark/>
          </w:tcPr>
          <w:p w14:paraId="575A3F2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tcBorders>
              <w:top w:val="single" w:sz="4" w:space="0" w:color="auto"/>
            </w:tcBorders>
            <w:shd w:val="clear" w:color="auto" w:fill="auto"/>
            <w:noWrap/>
            <w:vAlign w:val="center"/>
            <w:hideMark/>
          </w:tcPr>
          <w:p w14:paraId="3C359D4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None </w:t>
            </w:r>
          </w:p>
        </w:tc>
        <w:tc>
          <w:tcPr>
            <w:tcW w:w="1218" w:type="dxa"/>
            <w:tcBorders>
              <w:top w:val="single" w:sz="4" w:space="0" w:color="auto"/>
            </w:tcBorders>
            <w:shd w:val="clear" w:color="auto" w:fill="auto"/>
            <w:noWrap/>
            <w:vAlign w:val="center"/>
            <w:hideMark/>
          </w:tcPr>
          <w:p w14:paraId="6FDE712C" w14:textId="0882E7D0" w:rsidR="001D61B3" w:rsidRPr="001D61B3" w:rsidRDefault="001D61B3" w:rsidP="00651BD2">
            <w:pPr>
              <w:spacing w:after="0" w:line="240" w:lineRule="auto"/>
              <w:ind w:right="360"/>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5</w:t>
            </w:r>
            <w:r>
              <w:rPr>
                <w:rFonts w:ascii="Book Antiqua" w:hAnsi="Book Antiqua" w:cs="宋体" w:hint="eastAsia"/>
                <w:color w:val="000000"/>
                <w:sz w:val="18"/>
                <w:szCs w:val="18"/>
                <w:lang w:val="en-US" w:eastAsia="zh-CN"/>
              </w:rPr>
              <w:t>/</w:t>
            </w:r>
            <w:r w:rsidRPr="001D61B3">
              <w:rPr>
                <w:rFonts w:ascii="Book Antiqua" w:hAnsi="Book Antiqua" w:cs="宋体"/>
                <w:color w:val="000000"/>
                <w:sz w:val="18"/>
                <w:szCs w:val="18"/>
                <w:lang w:val="en-US" w:eastAsia="zh-CN"/>
              </w:rPr>
              <w:t>6</w:t>
            </w:r>
          </w:p>
        </w:tc>
        <w:tc>
          <w:tcPr>
            <w:tcW w:w="1097" w:type="dxa"/>
            <w:tcBorders>
              <w:top w:val="single" w:sz="4" w:space="0" w:color="auto"/>
            </w:tcBorders>
            <w:shd w:val="clear" w:color="auto" w:fill="auto"/>
            <w:vAlign w:val="center"/>
            <w:hideMark/>
          </w:tcPr>
          <w:p w14:paraId="43A8856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Yes</w:t>
            </w:r>
          </w:p>
        </w:tc>
        <w:tc>
          <w:tcPr>
            <w:tcW w:w="1496" w:type="dxa"/>
            <w:tcBorders>
              <w:top w:val="single" w:sz="4" w:space="0" w:color="auto"/>
            </w:tcBorders>
            <w:shd w:val="clear" w:color="auto" w:fill="auto"/>
            <w:vAlign w:val="center"/>
            <w:hideMark/>
          </w:tcPr>
          <w:p w14:paraId="33132B0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Anti-dsDNA, ANA, ASMA</w:t>
            </w:r>
          </w:p>
        </w:tc>
        <w:tc>
          <w:tcPr>
            <w:tcW w:w="1601" w:type="dxa"/>
            <w:tcBorders>
              <w:top w:val="single" w:sz="4" w:space="0" w:color="auto"/>
            </w:tcBorders>
            <w:shd w:val="clear" w:color="auto" w:fill="auto"/>
            <w:vAlign w:val="center"/>
            <w:hideMark/>
          </w:tcPr>
          <w:p w14:paraId="01662DC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Piecemeal necrosis</w:t>
            </w:r>
          </w:p>
        </w:tc>
        <w:tc>
          <w:tcPr>
            <w:tcW w:w="1080" w:type="dxa"/>
            <w:tcBorders>
              <w:top w:val="single" w:sz="4" w:space="0" w:color="auto"/>
            </w:tcBorders>
            <w:shd w:val="clear" w:color="auto" w:fill="auto"/>
            <w:noWrap/>
            <w:vAlign w:val="center"/>
            <w:hideMark/>
          </w:tcPr>
          <w:p w14:paraId="47F7897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 xml:space="preserve">Yes  </w:t>
            </w:r>
          </w:p>
        </w:tc>
        <w:tc>
          <w:tcPr>
            <w:tcW w:w="1226" w:type="dxa"/>
            <w:tcBorders>
              <w:top w:val="single" w:sz="4" w:space="0" w:color="auto"/>
            </w:tcBorders>
            <w:shd w:val="clear" w:color="auto" w:fill="auto"/>
            <w:noWrap/>
            <w:vAlign w:val="center"/>
            <w:hideMark/>
          </w:tcPr>
          <w:p w14:paraId="7E6116A2"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Reversibility</w:t>
            </w:r>
          </w:p>
        </w:tc>
      </w:tr>
      <w:tr w:rsidR="001D61B3" w:rsidRPr="001D61B3" w14:paraId="427A2A07" w14:textId="77777777" w:rsidTr="001D61B3">
        <w:trPr>
          <w:trHeight w:val="480"/>
        </w:trPr>
        <w:tc>
          <w:tcPr>
            <w:tcW w:w="1349" w:type="dxa"/>
            <w:shd w:val="clear" w:color="auto" w:fill="auto"/>
            <w:vAlign w:val="center"/>
            <w:hideMark/>
          </w:tcPr>
          <w:p w14:paraId="4F31F790"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2005</w:t>
            </w:r>
            <w:r w:rsidRPr="001D61B3">
              <w:rPr>
                <w:rFonts w:ascii="Book Antiqua" w:hAnsi="Book Antiqua" w:cs="宋体"/>
                <w:bCs/>
                <w:color w:val="000000"/>
                <w:sz w:val="18"/>
                <w:szCs w:val="18"/>
                <w:vertAlign w:val="superscript"/>
                <w:lang w:val="en-US" w:eastAsia="zh-CN"/>
              </w:rPr>
              <w:t>4</w:t>
            </w:r>
          </w:p>
        </w:tc>
        <w:tc>
          <w:tcPr>
            <w:tcW w:w="1220" w:type="dxa"/>
            <w:shd w:val="clear" w:color="auto" w:fill="auto"/>
            <w:vAlign w:val="center"/>
            <w:hideMark/>
          </w:tcPr>
          <w:p w14:paraId="4AF32C73"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53/F</w:t>
            </w:r>
          </w:p>
        </w:tc>
        <w:tc>
          <w:tcPr>
            <w:tcW w:w="1080" w:type="dxa"/>
            <w:shd w:val="clear" w:color="auto" w:fill="auto"/>
            <w:vAlign w:val="center"/>
            <w:hideMark/>
          </w:tcPr>
          <w:p w14:paraId="6DFD0926"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proofErr w:type="spellStart"/>
            <w:r w:rsidRPr="001D61B3">
              <w:rPr>
                <w:rFonts w:ascii="Book Antiqua" w:hAnsi="Book Antiqua" w:cs="宋体"/>
                <w:color w:val="000000"/>
                <w:sz w:val="18"/>
                <w:szCs w:val="18"/>
                <w:lang w:val="en-US" w:eastAsia="zh-CN"/>
              </w:rPr>
              <w:t>PsA</w:t>
            </w:r>
            <w:proofErr w:type="spellEnd"/>
          </w:p>
        </w:tc>
        <w:tc>
          <w:tcPr>
            <w:tcW w:w="1080" w:type="dxa"/>
            <w:shd w:val="clear" w:color="auto" w:fill="auto"/>
            <w:vAlign w:val="center"/>
            <w:hideMark/>
          </w:tcPr>
          <w:p w14:paraId="1F54DAB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shd w:val="clear" w:color="auto" w:fill="auto"/>
            <w:noWrap/>
            <w:vAlign w:val="center"/>
            <w:hideMark/>
          </w:tcPr>
          <w:p w14:paraId="15564A5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MTX</w:t>
            </w:r>
          </w:p>
        </w:tc>
        <w:tc>
          <w:tcPr>
            <w:tcW w:w="1218" w:type="dxa"/>
            <w:shd w:val="clear" w:color="auto" w:fill="auto"/>
            <w:noWrap/>
            <w:vAlign w:val="center"/>
            <w:hideMark/>
          </w:tcPr>
          <w:p w14:paraId="2A6F7CA5" w14:textId="7797B844"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3/8</w:t>
            </w:r>
          </w:p>
        </w:tc>
        <w:tc>
          <w:tcPr>
            <w:tcW w:w="1097" w:type="dxa"/>
            <w:shd w:val="clear" w:color="auto" w:fill="auto"/>
            <w:vAlign w:val="center"/>
            <w:hideMark/>
          </w:tcPr>
          <w:p w14:paraId="120D9BE3"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No</w:t>
            </w:r>
          </w:p>
        </w:tc>
        <w:tc>
          <w:tcPr>
            <w:tcW w:w="1496" w:type="dxa"/>
            <w:shd w:val="clear" w:color="auto" w:fill="auto"/>
            <w:vAlign w:val="center"/>
            <w:hideMark/>
          </w:tcPr>
          <w:p w14:paraId="2F22140E"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Anti-dsDNA, ANA, ASMA</w:t>
            </w:r>
          </w:p>
        </w:tc>
        <w:tc>
          <w:tcPr>
            <w:tcW w:w="1601" w:type="dxa"/>
            <w:shd w:val="clear" w:color="auto" w:fill="auto"/>
            <w:vAlign w:val="center"/>
            <w:hideMark/>
          </w:tcPr>
          <w:p w14:paraId="4968269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Severe interface hepatitis</w:t>
            </w:r>
          </w:p>
        </w:tc>
        <w:tc>
          <w:tcPr>
            <w:tcW w:w="1080" w:type="dxa"/>
            <w:shd w:val="clear" w:color="auto" w:fill="auto"/>
            <w:noWrap/>
            <w:vAlign w:val="center"/>
            <w:hideMark/>
          </w:tcPr>
          <w:p w14:paraId="3B9D4FF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 xml:space="preserve">Yes  </w:t>
            </w:r>
          </w:p>
        </w:tc>
        <w:tc>
          <w:tcPr>
            <w:tcW w:w="1226" w:type="dxa"/>
            <w:shd w:val="clear" w:color="auto" w:fill="auto"/>
            <w:noWrap/>
            <w:vAlign w:val="center"/>
            <w:hideMark/>
          </w:tcPr>
          <w:p w14:paraId="1D1179C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Reversibility</w:t>
            </w:r>
          </w:p>
        </w:tc>
      </w:tr>
      <w:tr w:rsidR="001D61B3" w:rsidRPr="001D61B3" w14:paraId="034F7FC7" w14:textId="77777777" w:rsidTr="001D61B3">
        <w:trPr>
          <w:trHeight w:val="480"/>
        </w:trPr>
        <w:tc>
          <w:tcPr>
            <w:tcW w:w="1349" w:type="dxa"/>
            <w:shd w:val="clear" w:color="auto" w:fill="auto"/>
            <w:vAlign w:val="center"/>
            <w:hideMark/>
          </w:tcPr>
          <w:p w14:paraId="63AB1ABE"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 xml:space="preserve">2007 </w:t>
            </w:r>
            <w:r w:rsidRPr="001D61B3">
              <w:rPr>
                <w:rFonts w:ascii="Book Antiqua" w:hAnsi="Book Antiqua" w:cs="宋体"/>
                <w:bCs/>
                <w:color w:val="000000"/>
                <w:sz w:val="18"/>
                <w:szCs w:val="18"/>
                <w:vertAlign w:val="superscript"/>
                <w:lang w:val="en-US" w:eastAsia="zh-CN"/>
              </w:rPr>
              <w:t>12</w:t>
            </w:r>
          </w:p>
        </w:tc>
        <w:tc>
          <w:tcPr>
            <w:tcW w:w="1220" w:type="dxa"/>
            <w:shd w:val="clear" w:color="auto" w:fill="auto"/>
            <w:vAlign w:val="center"/>
            <w:hideMark/>
          </w:tcPr>
          <w:p w14:paraId="362DE0D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54/F</w:t>
            </w:r>
          </w:p>
        </w:tc>
        <w:tc>
          <w:tcPr>
            <w:tcW w:w="1080" w:type="dxa"/>
            <w:shd w:val="clear" w:color="auto" w:fill="auto"/>
            <w:vAlign w:val="center"/>
            <w:hideMark/>
          </w:tcPr>
          <w:p w14:paraId="191653B9"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RA</w:t>
            </w:r>
          </w:p>
        </w:tc>
        <w:tc>
          <w:tcPr>
            <w:tcW w:w="1080" w:type="dxa"/>
            <w:shd w:val="clear" w:color="auto" w:fill="auto"/>
            <w:vAlign w:val="center"/>
            <w:hideMark/>
          </w:tcPr>
          <w:p w14:paraId="0896909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shd w:val="clear" w:color="auto" w:fill="auto"/>
            <w:noWrap/>
            <w:vAlign w:val="center"/>
            <w:hideMark/>
          </w:tcPr>
          <w:p w14:paraId="1336978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MTX</w:t>
            </w:r>
          </w:p>
        </w:tc>
        <w:tc>
          <w:tcPr>
            <w:tcW w:w="1218" w:type="dxa"/>
            <w:shd w:val="clear" w:color="auto" w:fill="auto"/>
            <w:noWrap/>
            <w:vAlign w:val="center"/>
            <w:hideMark/>
          </w:tcPr>
          <w:p w14:paraId="3060BEC3" w14:textId="1A907F38"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3/12</w:t>
            </w:r>
          </w:p>
        </w:tc>
        <w:tc>
          <w:tcPr>
            <w:tcW w:w="1097" w:type="dxa"/>
            <w:shd w:val="clear" w:color="auto" w:fill="auto"/>
            <w:vAlign w:val="center"/>
            <w:hideMark/>
          </w:tcPr>
          <w:p w14:paraId="0A82FDB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No</w:t>
            </w:r>
          </w:p>
        </w:tc>
        <w:tc>
          <w:tcPr>
            <w:tcW w:w="1496" w:type="dxa"/>
            <w:shd w:val="clear" w:color="auto" w:fill="auto"/>
            <w:vAlign w:val="center"/>
            <w:hideMark/>
          </w:tcPr>
          <w:p w14:paraId="5E4BCB7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ANA</w:t>
            </w:r>
          </w:p>
        </w:tc>
        <w:tc>
          <w:tcPr>
            <w:tcW w:w="1601" w:type="dxa"/>
            <w:shd w:val="clear" w:color="auto" w:fill="auto"/>
            <w:vAlign w:val="center"/>
            <w:hideMark/>
          </w:tcPr>
          <w:p w14:paraId="1CC87AD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Chronic inflammation</w:t>
            </w:r>
          </w:p>
        </w:tc>
        <w:tc>
          <w:tcPr>
            <w:tcW w:w="1080" w:type="dxa"/>
            <w:shd w:val="clear" w:color="auto" w:fill="auto"/>
            <w:noWrap/>
            <w:vAlign w:val="center"/>
            <w:hideMark/>
          </w:tcPr>
          <w:p w14:paraId="521DDE0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5EDA99EA"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4CAE62E3" w14:textId="77777777" w:rsidTr="001D61B3">
        <w:trPr>
          <w:trHeight w:val="480"/>
        </w:trPr>
        <w:tc>
          <w:tcPr>
            <w:tcW w:w="1349" w:type="dxa"/>
            <w:shd w:val="clear" w:color="auto" w:fill="auto"/>
            <w:vAlign w:val="center"/>
            <w:hideMark/>
          </w:tcPr>
          <w:p w14:paraId="1BE599A3"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 xml:space="preserve">2010 </w:t>
            </w:r>
            <w:r w:rsidRPr="001D61B3">
              <w:rPr>
                <w:rFonts w:ascii="Book Antiqua" w:hAnsi="Book Antiqua" w:cs="宋体"/>
                <w:bCs/>
                <w:color w:val="000000"/>
                <w:sz w:val="18"/>
                <w:szCs w:val="18"/>
                <w:vertAlign w:val="superscript"/>
                <w:lang w:val="en-US" w:eastAsia="zh-CN"/>
              </w:rPr>
              <w:t>7</w:t>
            </w:r>
          </w:p>
        </w:tc>
        <w:tc>
          <w:tcPr>
            <w:tcW w:w="1220" w:type="dxa"/>
            <w:shd w:val="clear" w:color="auto" w:fill="auto"/>
            <w:vAlign w:val="center"/>
            <w:hideMark/>
          </w:tcPr>
          <w:p w14:paraId="5243B95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60/M</w:t>
            </w:r>
          </w:p>
        </w:tc>
        <w:tc>
          <w:tcPr>
            <w:tcW w:w="1080" w:type="dxa"/>
            <w:shd w:val="clear" w:color="auto" w:fill="auto"/>
            <w:vAlign w:val="center"/>
            <w:hideMark/>
          </w:tcPr>
          <w:p w14:paraId="0B2B09A4"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CD</w:t>
            </w:r>
          </w:p>
        </w:tc>
        <w:tc>
          <w:tcPr>
            <w:tcW w:w="1080" w:type="dxa"/>
            <w:shd w:val="clear" w:color="auto" w:fill="auto"/>
            <w:vAlign w:val="center"/>
            <w:hideMark/>
          </w:tcPr>
          <w:p w14:paraId="0D1D9ECA"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IFX </w:t>
            </w:r>
          </w:p>
        </w:tc>
        <w:tc>
          <w:tcPr>
            <w:tcW w:w="1916" w:type="dxa"/>
            <w:shd w:val="clear" w:color="auto" w:fill="auto"/>
            <w:noWrap/>
            <w:vAlign w:val="center"/>
            <w:hideMark/>
          </w:tcPr>
          <w:p w14:paraId="4461666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None                   </w:t>
            </w:r>
          </w:p>
        </w:tc>
        <w:tc>
          <w:tcPr>
            <w:tcW w:w="1218" w:type="dxa"/>
            <w:shd w:val="clear" w:color="auto" w:fill="auto"/>
            <w:noWrap/>
            <w:vAlign w:val="center"/>
            <w:hideMark/>
          </w:tcPr>
          <w:p w14:paraId="67A34288" w14:textId="346D5964"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5/4</w:t>
            </w:r>
          </w:p>
        </w:tc>
        <w:tc>
          <w:tcPr>
            <w:tcW w:w="1097" w:type="dxa"/>
            <w:shd w:val="clear" w:color="auto" w:fill="auto"/>
            <w:vAlign w:val="center"/>
            <w:hideMark/>
          </w:tcPr>
          <w:p w14:paraId="7D3C3A9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No</w:t>
            </w:r>
          </w:p>
        </w:tc>
        <w:tc>
          <w:tcPr>
            <w:tcW w:w="1496" w:type="dxa"/>
            <w:shd w:val="clear" w:color="auto" w:fill="auto"/>
            <w:vAlign w:val="center"/>
            <w:hideMark/>
          </w:tcPr>
          <w:p w14:paraId="0A9F9A61"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Anti-dsDNA, ANA, ASMA</w:t>
            </w:r>
          </w:p>
        </w:tc>
        <w:tc>
          <w:tcPr>
            <w:tcW w:w="1601" w:type="dxa"/>
            <w:shd w:val="clear" w:color="auto" w:fill="auto"/>
            <w:vAlign w:val="center"/>
            <w:hideMark/>
          </w:tcPr>
          <w:p w14:paraId="27F23CA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w:t>
            </w:r>
          </w:p>
        </w:tc>
        <w:tc>
          <w:tcPr>
            <w:tcW w:w="1080" w:type="dxa"/>
            <w:shd w:val="clear" w:color="auto" w:fill="auto"/>
            <w:noWrap/>
            <w:vAlign w:val="center"/>
            <w:hideMark/>
          </w:tcPr>
          <w:p w14:paraId="130D9C1A"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0C2A4539"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04E3E342" w14:textId="77777777" w:rsidTr="001D61B3">
        <w:trPr>
          <w:trHeight w:val="270"/>
        </w:trPr>
        <w:tc>
          <w:tcPr>
            <w:tcW w:w="1349" w:type="dxa"/>
            <w:shd w:val="clear" w:color="auto" w:fill="auto"/>
            <w:vAlign w:val="center"/>
            <w:hideMark/>
          </w:tcPr>
          <w:p w14:paraId="59148DBB"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2009</w:t>
            </w:r>
            <w:r w:rsidRPr="001D61B3">
              <w:rPr>
                <w:rFonts w:ascii="Book Antiqua" w:hAnsi="Book Antiqua" w:cs="宋体"/>
                <w:bCs/>
                <w:color w:val="000000"/>
                <w:sz w:val="18"/>
                <w:szCs w:val="18"/>
                <w:vertAlign w:val="superscript"/>
                <w:lang w:val="en-US" w:eastAsia="zh-CN"/>
              </w:rPr>
              <w:t>8</w:t>
            </w:r>
          </w:p>
        </w:tc>
        <w:tc>
          <w:tcPr>
            <w:tcW w:w="1220" w:type="dxa"/>
            <w:shd w:val="clear" w:color="auto" w:fill="auto"/>
            <w:vAlign w:val="center"/>
            <w:hideMark/>
          </w:tcPr>
          <w:p w14:paraId="048E3506"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22/F</w:t>
            </w:r>
          </w:p>
        </w:tc>
        <w:tc>
          <w:tcPr>
            <w:tcW w:w="1080" w:type="dxa"/>
            <w:shd w:val="clear" w:color="auto" w:fill="auto"/>
            <w:vAlign w:val="center"/>
            <w:hideMark/>
          </w:tcPr>
          <w:p w14:paraId="5E94E4D8"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PPP</w:t>
            </w:r>
          </w:p>
        </w:tc>
        <w:tc>
          <w:tcPr>
            <w:tcW w:w="1080" w:type="dxa"/>
            <w:shd w:val="clear" w:color="auto" w:fill="auto"/>
            <w:vAlign w:val="center"/>
            <w:hideMark/>
          </w:tcPr>
          <w:p w14:paraId="111C1F1E"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shd w:val="clear" w:color="auto" w:fill="auto"/>
            <w:noWrap/>
            <w:vAlign w:val="center"/>
            <w:hideMark/>
          </w:tcPr>
          <w:p w14:paraId="7EE283E8"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None                   </w:t>
            </w:r>
          </w:p>
        </w:tc>
        <w:tc>
          <w:tcPr>
            <w:tcW w:w="1218" w:type="dxa"/>
            <w:shd w:val="clear" w:color="auto" w:fill="auto"/>
            <w:noWrap/>
            <w:vAlign w:val="center"/>
            <w:hideMark/>
          </w:tcPr>
          <w:p w14:paraId="52EB5C75" w14:textId="620B2732"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5/3</w:t>
            </w:r>
          </w:p>
        </w:tc>
        <w:tc>
          <w:tcPr>
            <w:tcW w:w="1097" w:type="dxa"/>
            <w:shd w:val="clear" w:color="auto" w:fill="auto"/>
            <w:vAlign w:val="center"/>
            <w:hideMark/>
          </w:tcPr>
          <w:p w14:paraId="2A46D40A"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No</w:t>
            </w:r>
          </w:p>
        </w:tc>
        <w:tc>
          <w:tcPr>
            <w:tcW w:w="1496" w:type="dxa"/>
            <w:shd w:val="clear" w:color="auto" w:fill="auto"/>
            <w:vAlign w:val="center"/>
            <w:hideMark/>
          </w:tcPr>
          <w:p w14:paraId="7A414DCF"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None</w:t>
            </w:r>
          </w:p>
        </w:tc>
        <w:tc>
          <w:tcPr>
            <w:tcW w:w="1601" w:type="dxa"/>
            <w:shd w:val="clear" w:color="auto" w:fill="auto"/>
            <w:vAlign w:val="center"/>
            <w:hideMark/>
          </w:tcPr>
          <w:p w14:paraId="3652F7A9"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w:t>
            </w:r>
          </w:p>
        </w:tc>
        <w:tc>
          <w:tcPr>
            <w:tcW w:w="1080" w:type="dxa"/>
            <w:shd w:val="clear" w:color="auto" w:fill="auto"/>
            <w:noWrap/>
            <w:vAlign w:val="center"/>
            <w:hideMark/>
          </w:tcPr>
          <w:p w14:paraId="27F3D2CE"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4FEAFC7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754DC5D8" w14:textId="77777777" w:rsidTr="001D61B3">
        <w:trPr>
          <w:trHeight w:val="960"/>
        </w:trPr>
        <w:tc>
          <w:tcPr>
            <w:tcW w:w="1349" w:type="dxa"/>
            <w:shd w:val="clear" w:color="auto" w:fill="auto"/>
            <w:vAlign w:val="center"/>
            <w:hideMark/>
          </w:tcPr>
          <w:p w14:paraId="35920AC8"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2010</w:t>
            </w:r>
            <w:r w:rsidRPr="001D61B3">
              <w:rPr>
                <w:rFonts w:ascii="Book Antiqua" w:hAnsi="Book Antiqua" w:cs="宋体"/>
                <w:bCs/>
                <w:color w:val="000000"/>
                <w:sz w:val="18"/>
                <w:szCs w:val="18"/>
                <w:vertAlign w:val="superscript"/>
                <w:lang w:val="en-US" w:eastAsia="zh-CN"/>
              </w:rPr>
              <w:t>10</w:t>
            </w:r>
          </w:p>
        </w:tc>
        <w:tc>
          <w:tcPr>
            <w:tcW w:w="1220" w:type="dxa"/>
            <w:shd w:val="clear" w:color="auto" w:fill="auto"/>
            <w:vAlign w:val="center"/>
            <w:hideMark/>
          </w:tcPr>
          <w:p w14:paraId="3EB47026"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40/F</w:t>
            </w:r>
          </w:p>
        </w:tc>
        <w:tc>
          <w:tcPr>
            <w:tcW w:w="1080" w:type="dxa"/>
            <w:shd w:val="clear" w:color="auto" w:fill="auto"/>
            <w:vAlign w:val="center"/>
            <w:hideMark/>
          </w:tcPr>
          <w:p w14:paraId="2B3F455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proofErr w:type="spellStart"/>
            <w:r w:rsidRPr="001D61B3">
              <w:rPr>
                <w:rFonts w:ascii="Book Antiqua" w:hAnsi="Book Antiqua" w:cs="宋体"/>
                <w:color w:val="000000"/>
                <w:sz w:val="18"/>
                <w:szCs w:val="18"/>
                <w:lang w:val="en-US" w:eastAsia="zh-CN"/>
              </w:rPr>
              <w:t>PsO</w:t>
            </w:r>
            <w:proofErr w:type="spellEnd"/>
            <w:r w:rsidRPr="001D61B3">
              <w:rPr>
                <w:rFonts w:ascii="Book Antiqua" w:hAnsi="Book Antiqua" w:cs="宋体"/>
                <w:color w:val="000000"/>
                <w:sz w:val="18"/>
                <w:szCs w:val="18"/>
                <w:lang w:val="en-US" w:eastAsia="zh-CN"/>
              </w:rPr>
              <w:t xml:space="preserve">, </w:t>
            </w:r>
            <w:proofErr w:type="spellStart"/>
            <w:r w:rsidRPr="001D61B3">
              <w:rPr>
                <w:rFonts w:ascii="Book Antiqua" w:hAnsi="Book Antiqua" w:cs="宋体"/>
                <w:color w:val="000000"/>
                <w:sz w:val="18"/>
                <w:szCs w:val="18"/>
                <w:lang w:val="en-US" w:eastAsia="zh-CN"/>
              </w:rPr>
              <w:t>PsA</w:t>
            </w:r>
            <w:proofErr w:type="spellEnd"/>
          </w:p>
        </w:tc>
        <w:tc>
          <w:tcPr>
            <w:tcW w:w="1080" w:type="dxa"/>
            <w:shd w:val="clear" w:color="auto" w:fill="auto"/>
            <w:vAlign w:val="center"/>
            <w:hideMark/>
          </w:tcPr>
          <w:p w14:paraId="3552C9EE"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IFX     </w:t>
            </w:r>
          </w:p>
        </w:tc>
        <w:tc>
          <w:tcPr>
            <w:tcW w:w="1916" w:type="dxa"/>
            <w:shd w:val="clear" w:color="auto" w:fill="auto"/>
            <w:noWrap/>
            <w:vAlign w:val="center"/>
            <w:hideMark/>
          </w:tcPr>
          <w:p w14:paraId="44198E52"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NSAIDS               </w:t>
            </w:r>
          </w:p>
        </w:tc>
        <w:tc>
          <w:tcPr>
            <w:tcW w:w="1218" w:type="dxa"/>
            <w:shd w:val="clear" w:color="auto" w:fill="auto"/>
            <w:noWrap/>
            <w:vAlign w:val="center"/>
            <w:hideMark/>
          </w:tcPr>
          <w:p w14:paraId="2375B7FB" w14:textId="60EB8925"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5/5</w:t>
            </w:r>
          </w:p>
        </w:tc>
        <w:tc>
          <w:tcPr>
            <w:tcW w:w="1097" w:type="dxa"/>
            <w:shd w:val="clear" w:color="auto" w:fill="auto"/>
            <w:vAlign w:val="center"/>
            <w:hideMark/>
          </w:tcPr>
          <w:p w14:paraId="761FEA01"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Yes</w:t>
            </w:r>
          </w:p>
        </w:tc>
        <w:tc>
          <w:tcPr>
            <w:tcW w:w="1496" w:type="dxa"/>
            <w:shd w:val="clear" w:color="auto" w:fill="auto"/>
            <w:vAlign w:val="center"/>
            <w:hideMark/>
          </w:tcPr>
          <w:p w14:paraId="41610FB1"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Anti-dsDNA, ANA</w:t>
            </w:r>
          </w:p>
        </w:tc>
        <w:tc>
          <w:tcPr>
            <w:tcW w:w="1601" w:type="dxa"/>
            <w:shd w:val="clear" w:color="auto" w:fill="auto"/>
            <w:vAlign w:val="center"/>
            <w:hideMark/>
          </w:tcPr>
          <w:p w14:paraId="43A3BF5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Chronic hepatitis with </w:t>
            </w:r>
            <w:proofErr w:type="spellStart"/>
            <w:r w:rsidRPr="001D61B3">
              <w:rPr>
                <w:rFonts w:ascii="Book Antiqua" w:hAnsi="Book Antiqua" w:cs="宋体"/>
                <w:color w:val="000000"/>
                <w:sz w:val="18"/>
                <w:szCs w:val="18"/>
                <w:lang w:val="en-US" w:eastAsia="zh-CN"/>
              </w:rPr>
              <w:t>portal+periportal</w:t>
            </w:r>
            <w:proofErr w:type="spellEnd"/>
            <w:r w:rsidRPr="001D61B3">
              <w:rPr>
                <w:rFonts w:ascii="Book Antiqua" w:hAnsi="Book Antiqua" w:cs="宋体"/>
                <w:color w:val="000000"/>
                <w:sz w:val="18"/>
                <w:szCs w:val="18"/>
                <w:lang w:val="en-US" w:eastAsia="zh-CN"/>
              </w:rPr>
              <w:t xml:space="preserve"> fibrosis</w:t>
            </w:r>
          </w:p>
        </w:tc>
        <w:tc>
          <w:tcPr>
            <w:tcW w:w="1080" w:type="dxa"/>
            <w:shd w:val="clear" w:color="auto" w:fill="auto"/>
            <w:noWrap/>
            <w:vAlign w:val="center"/>
            <w:hideMark/>
          </w:tcPr>
          <w:p w14:paraId="7BF0FFE3"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6795B501"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0A5EAC25" w14:textId="77777777" w:rsidTr="001D61B3">
        <w:trPr>
          <w:trHeight w:val="1200"/>
        </w:trPr>
        <w:tc>
          <w:tcPr>
            <w:tcW w:w="1349" w:type="dxa"/>
            <w:shd w:val="clear" w:color="auto" w:fill="auto"/>
            <w:vAlign w:val="center"/>
            <w:hideMark/>
          </w:tcPr>
          <w:p w14:paraId="43ABF18B"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2010</w:t>
            </w:r>
            <w:r w:rsidRPr="001D61B3">
              <w:rPr>
                <w:rFonts w:ascii="Book Antiqua" w:hAnsi="Book Antiqua" w:cs="宋体"/>
                <w:bCs/>
                <w:color w:val="000000"/>
                <w:sz w:val="18"/>
                <w:szCs w:val="18"/>
                <w:vertAlign w:val="superscript"/>
                <w:lang w:val="en-US" w:eastAsia="zh-CN"/>
              </w:rPr>
              <w:t>9</w:t>
            </w:r>
          </w:p>
        </w:tc>
        <w:tc>
          <w:tcPr>
            <w:tcW w:w="1220" w:type="dxa"/>
            <w:shd w:val="clear" w:color="auto" w:fill="auto"/>
            <w:vAlign w:val="center"/>
            <w:hideMark/>
          </w:tcPr>
          <w:p w14:paraId="365E47E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37/M</w:t>
            </w:r>
          </w:p>
        </w:tc>
        <w:tc>
          <w:tcPr>
            <w:tcW w:w="1080" w:type="dxa"/>
            <w:shd w:val="clear" w:color="auto" w:fill="auto"/>
            <w:vAlign w:val="center"/>
            <w:hideMark/>
          </w:tcPr>
          <w:p w14:paraId="59FA0E3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proofErr w:type="spellStart"/>
            <w:r w:rsidRPr="001D61B3">
              <w:rPr>
                <w:rFonts w:ascii="Book Antiqua" w:hAnsi="Book Antiqua" w:cs="宋体"/>
                <w:color w:val="000000"/>
                <w:sz w:val="18"/>
                <w:szCs w:val="18"/>
                <w:lang w:val="en-US" w:eastAsia="zh-CN"/>
              </w:rPr>
              <w:t>PsO</w:t>
            </w:r>
            <w:proofErr w:type="spellEnd"/>
          </w:p>
        </w:tc>
        <w:tc>
          <w:tcPr>
            <w:tcW w:w="1080" w:type="dxa"/>
            <w:shd w:val="clear" w:color="auto" w:fill="auto"/>
            <w:vAlign w:val="center"/>
            <w:hideMark/>
          </w:tcPr>
          <w:p w14:paraId="68FF1F0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shd w:val="clear" w:color="auto" w:fill="auto"/>
            <w:noWrap/>
            <w:vAlign w:val="center"/>
            <w:hideMark/>
          </w:tcPr>
          <w:p w14:paraId="1E563659"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None                   </w:t>
            </w:r>
          </w:p>
        </w:tc>
        <w:tc>
          <w:tcPr>
            <w:tcW w:w="1218" w:type="dxa"/>
            <w:shd w:val="clear" w:color="auto" w:fill="auto"/>
            <w:noWrap/>
            <w:vAlign w:val="center"/>
            <w:hideMark/>
          </w:tcPr>
          <w:p w14:paraId="6C6FAFE6" w14:textId="4D64433F"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5/3</w:t>
            </w:r>
          </w:p>
        </w:tc>
        <w:tc>
          <w:tcPr>
            <w:tcW w:w="1097" w:type="dxa"/>
            <w:shd w:val="clear" w:color="auto" w:fill="auto"/>
            <w:vAlign w:val="center"/>
            <w:hideMark/>
          </w:tcPr>
          <w:p w14:paraId="13BBF3E8"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Yes</w:t>
            </w:r>
          </w:p>
        </w:tc>
        <w:tc>
          <w:tcPr>
            <w:tcW w:w="1496" w:type="dxa"/>
            <w:vMerge w:val="restart"/>
            <w:shd w:val="clear" w:color="auto" w:fill="auto"/>
            <w:vAlign w:val="center"/>
            <w:hideMark/>
          </w:tcPr>
          <w:p w14:paraId="2C88CD98"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Anti-dsDNA, ANA, ASMA  Anti-dsDNA, ANA, AMA, anti-cardiolipin</w:t>
            </w:r>
          </w:p>
        </w:tc>
        <w:tc>
          <w:tcPr>
            <w:tcW w:w="1601" w:type="dxa"/>
            <w:shd w:val="clear" w:color="auto" w:fill="auto"/>
            <w:vAlign w:val="center"/>
            <w:hideMark/>
          </w:tcPr>
          <w:p w14:paraId="1744108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w:t>
            </w:r>
          </w:p>
        </w:tc>
        <w:tc>
          <w:tcPr>
            <w:tcW w:w="1080" w:type="dxa"/>
            <w:shd w:val="clear" w:color="auto" w:fill="auto"/>
            <w:noWrap/>
            <w:vAlign w:val="center"/>
            <w:hideMark/>
          </w:tcPr>
          <w:p w14:paraId="293B738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68CC8D89"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01C8B939" w14:textId="77777777" w:rsidTr="001D61B3">
        <w:trPr>
          <w:trHeight w:val="720"/>
        </w:trPr>
        <w:tc>
          <w:tcPr>
            <w:tcW w:w="1349" w:type="dxa"/>
            <w:shd w:val="clear" w:color="auto" w:fill="auto"/>
            <w:vAlign w:val="center"/>
            <w:hideMark/>
          </w:tcPr>
          <w:p w14:paraId="6CFEC614"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2010</w:t>
            </w:r>
            <w:r w:rsidRPr="001D61B3">
              <w:rPr>
                <w:rFonts w:ascii="Book Antiqua" w:hAnsi="Book Antiqua" w:cs="宋体"/>
                <w:bCs/>
                <w:color w:val="000000"/>
                <w:sz w:val="18"/>
                <w:szCs w:val="18"/>
                <w:vertAlign w:val="superscript"/>
                <w:lang w:val="en-US" w:eastAsia="zh-CN"/>
              </w:rPr>
              <w:t>9</w:t>
            </w:r>
          </w:p>
        </w:tc>
        <w:tc>
          <w:tcPr>
            <w:tcW w:w="1220" w:type="dxa"/>
            <w:shd w:val="clear" w:color="auto" w:fill="auto"/>
            <w:vAlign w:val="center"/>
            <w:hideMark/>
          </w:tcPr>
          <w:p w14:paraId="0501E7C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51/M</w:t>
            </w:r>
          </w:p>
        </w:tc>
        <w:tc>
          <w:tcPr>
            <w:tcW w:w="1080" w:type="dxa"/>
            <w:shd w:val="clear" w:color="auto" w:fill="auto"/>
            <w:vAlign w:val="center"/>
            <w:hideMark/>
          </w:tcPr>
          <w:p w14:paraId="3525702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proofErr w:type="spellStart"/>
            <w:r w:rsidRPr="001D61B3">
              <w:rPr>
                <w:rFonts w:ascii="Book Antiqua" w:hAnsi="Book Antiqua" w:cs="宋体"/>
                <w:color w:val="000000"/>
                <w:sz w:val="18"/>
                <w:szCs w:val="18"/>
                <w:lang w:val="en-US" w:eastAsia="zh-CN"/>
              </w:rPr>
              <w:t>PsO</w:t>
            </w:r>
            <w:proofErr w:type="spellEnd"/>
          </w:p>
        </w:tc>
        <w:tc>
          <w:tcPr>
            <w:tcW w:w="1080" w:type="dxa"/>
            <w:shd w:val="clear" w:color="auto" w:fill="auto"/>
            <w:vAlign w:val="center"/>
            <w:hideMark/>
          </w:tcPr>
          <w:p w14:paraId="784D084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shd w:val="clear" w:color="auto" w:fill="auto"/>
            <w:noWrap/>
            <w:vAlign w:val="center"/>
            <w:hideMark/>
          </w:tcPr>
          <w:p w14:paraId="3E43396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None                   </w:t>
            </w:r>
          </w:p>
        </w:tc>
        <w:tc>
          <w:tcPr>
            <w:tcW w:w="1218" w:type="dxa"/>
            <w:shd w:val="clear" w:color="auto" w:fill="auto"/>
            <w:noWrap/>
            <w:vAlign w:val="center"/>
            <w:hideMark/>
          </w:tcPr>
          <w:p w14:paraId="33FED5E7" w14:textId="1A74A5C6"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5/3</w:t>
            </w:r>
          </w:p>
        </w:tc>
        <w:tc>
          <w:tcPr>
            <w:tcW w:w="1097" w:type="dxa"/>
            <w:shd w:val="clear" w:color="auto" w:fill="auto"/>
            <w:vAlign w:val="center"/>
            <w:hideMark/>
          </w:tcPr>
          <w:p w14:paraId="5260C773"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Yes</w:t>
            </w:r>
          </w:p>
        </w:tc>
        <w:tc>
          <w:tcPr>
            <w:tcW w:w="1496" w:type="dxa"/>
            <w:vMerge/>
            <w:shd w:val="clear" w:color="auto" w:fill="auto"/>
            <w:noWrap/>
            <w:vAlign w:val="center"/>
            <w:hideMark/>
          </w:tcPr>
          <w:p w14:paraId="65D05A0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p>
        </w:tc>
        <w:tc>
          <w:tcPr>
            <w:tcW w:w="1601" w:type="dxa"/>
            <w:shd w:val="clear" w:color="auto" w:fill="auto"/>
            <w:vAlign w:val="center"/>
            <w:hideMark/>
          </w:tcPr>
          <w:p w14:paraId="051A6A74"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 + PBC Overlap syndrome</w:t>
            </w:r>
          </w:p>
        </w:tc>
        <w:tc>
          <w:tcPr>
            <w:tcW w:w="1080" w:type="dxa"/>
            <w:shd w:val="clear" w:color="auto" w:fill="auto"/>
            <w:noWrap/>
            <w:vAlign w:val="center"/>
            <w:hideMark/>
          </w:tcPr>
          <w:p w14:paraId="6172A88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06B8FCD9"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5D301BD0" w14:textId="77777777" w:rsidTr="001D61B3">
        <w:trPr>
          <w:trHeight w:val="270"/>
        </w:trPr>
        <w:tc>
          <w:tcPr>
            <w:tcW w:w="1349" w:type="dxa"/>
            <w:shd w:val="clear" w:color="auto" w:fill="auto"/>
            <w:vAlign w:val="center"/>
            <w:hideMark/>
          </w:tcPr>
          <w:p w14:paraId="0C766F84"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val="en-US" w:eastAsia="zh-CN"/>
              </w:rPr>
              <w:t xml:space="preserve">2001 </w:t>
            </w:r>
            <w:r w:rsidRPr="001D61B3">
              <w:rPr>
                <w:rFonts w:ascii="Book Antiqua" w:hAnsi="Book Antiqua" w:cs="宋体"/>
                <w:bCs/>
                <w:color w:val="000000"/>
                <w:sz w:val="18"/>
                <w:szCs w:val="18"/>
                <w:vertAlign w:val="superscript"/>
                <w:lang w:val="en-US" w:eastAsia="zh-CN"/>
              </w:rPr>
              <w:t>11</w:t>
            </w:r>
          </w:p>
        </w:tc>
        <w:tc>
          <w:tcPr>
            <w:tcW w:w="1220" w:type="dxa"/>
            <w:shd w:val="clear" w:color="auto" w:fill="auto"/>
            <w:vAlign w:val="center"/>
            <w:hideMark/>
          </w:tcPr>
          <w:p w14:paraId="36A0CA16"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36/F</w:t>
            </w:r>
          </w:p>
        </w:tc>
        <w:tc>
          <w:tcPr>
            <w:tcW w:w="1080" w:type="dxa"/>
            <w:shd w:val="clear" w:color="auto" w:fill="auto"/>
            <w:vAlign w:val="center"/>
            <w:hideMark/>
          </w:tcPr>
          <w:p w14:paraId="5175822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RA</w:t>
            </w:r>
          </w:p>
        </w:tc>
        <w:tc>
          <w:tcPr>
            <w:tcW w:w="1080" w:type="dxa"/>
            <w:shd w:val="clear" w:color="auto" w:fill="auto"/>
            <w:vAlign w:val="center"/>
            <w:hideMark/>
          </w:tcPr>
          <w:p w14:paraId="240DF5DF"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IFX </w:t>
            </w:r>
          </w:p>
        </w:tc>
        <w:tc>
          <w:tcPr>
            <w:tcW w:w="1916" w:type="dxa"/>
            <w:shd w:val="clear" w:color="auto" w:fill="auto"/>
            <w:noWrap/>
            <w:vAlign w:val="center"/>
            <w:hideMark/>
          </w:tcPr>
          <w:p w14:paraId="469E233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PDN 10mg</w:t>
            </w:r>
          </w:p>
        </w:tc>
        <w:tc>
          <w:tcPr>
            <w:tcW w:w="1218" w:type="dxa"/>
            <w:shd w:val="clear" w:color="auto" w:fill="auto"/>
            <w:noWrap/>
            <w:vAlign w:val="center"/>
            <w:hideMark/>
          </w:tcPr>
          <w:p w14:paraId="3BBA899E" w14:textId="08086743"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3/3</w:t>
            </w:r>
          </w:p>
        </w:tc>
        <w:tc>
          <w:tcPr>
            <w:tcW w:w="1097" w:type="dxa"/>
            <w:shd w:val="clear" w:color="auto" w:fill="auto"/>
            <w:vAlign w:val="center"/>
            <w:hideMark/>
          </w:tcPr>
          <w:p w14:paraId="7E3E3D8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Yes</w:t>
            </w:r>
          </w:p>
        </w:tc>
        <w:tc>
          <w:tcPr>
            <w:tcW w:w="1496" w:type="dxa"/>
            <w:shd w:val="clear" w:color="auto" w:fill="auto"/>
            <w:vAlign w:val="center"/>
            <w:hideMark/>
          </w:tcPr>
          <w:p w14:paraId="34CC2B2E"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Anti-dsDNA, ANA</w:t>
            </w:r>
          </w:p>
        </w:tc>
        <w:tc>
          <w:tcPr>
            <w:tcW w:w="1601" w:type="dxa"/>
            <w:shd w:val="clear" w:color="auto" w:fill="auto"/>
            <w:vAlign w:val="center"/>
            <w:hideMark/>
          </w:tcPr>
          <w:p w14:paraId="17A15F33"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w:t>
            </w:r>
          </w:p>
        </w:tc>
        <w:tc>
          <w:tcPr>
            <w:tcW w:w="1080" w:type="dxa"/>
            <w:shd w:val="clear" w:color="auto" w:fill="auto"/>
            <w:noWrap/>
            <w:vAlign w:val="center"/>
            <w:hideMark/>
          </w:tcPr>
          <w:p w14:paraId="24CDF90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0CD8332E"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510E7128" w14:textId="77777777" w:rsidTr="001D61B3">
        <w:trPr>
          <w:trHeight w:val="270"/>
        </w:trPr>
        <w:tc>
          <w:tcPr>
            <w:tcW w:w="1349" w:type="dxa"/>
            <w:shd w:val="clear" w:color="auto" w:fill="auto"/>
            <w:vAlign w:val="center"/>
            <w:hideMark/>
          </w:tcPr>
          <w:p w14:paraId="19A7EBEF"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eastAsia="zh-CN"/>
              </w:rPr>
              <w:t xml:space="preserve">2010 </w:t>
            </w:r>
            <w:r w:rsidRPr="001D61B3">
              <w:rPr>
                <w:rFonts w:ascii="Book Antiqua" w:hAnsi="Book Antiqua" w:cs="宋体"/>
                <w:bCs/>
                <w:color w:val="000000"/>
                <w:sz w:val="18"/>
                <w:szCs w:val="18"/>
                <w:vertAlign w:val="superscript"/>
                <w:lang w:eastAsia="zh-CN"/>
              </w:rPr>
              <w:t>6</w:t>
            </w:r>
          </w:p>
        </w:tc>
        <w:tc>
          <w:tcPr>
            <w:tcW w:w="1220" w:type="dxa"/>
            <w:shd w:val="clear" w:color="auto" w:fill="auto"/>
            <w:vAlign w:val="center"/>
            <w:hideMark/>
          </w:tcPr>
          <w:p w14:paraId="5A12DC7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36/F</w:t>
            </w:r>
          </w:p>
        </w:tc>
        <w:tc>
          <w:tcPr>
            <w:tcW w:w="1080" w:type="dxa"/>
            <w:shd w:val="clear" w:color="auto" w:fill="auto"/>
            <w:vAlign w:val="center"/>
            <w:hideMark/>
          </w:tcPr>
          <w:p w14:paraId="20A13E6A"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proofErr w:type="spellStart"/>
            <w:r w:rsidRPr="001D61B3">
              <w:rPr>
                <w:rFonts w:ascii="Book Antiqua" w:hAnsi="Book Antiqua" w:cs="宋体"/>
                <w:color w:val="000000"/>
                <w:sz w:val="18"/>
                <w:szCs w:val="18"/>
                <w:lang w:val="en-US" w:eastAsia="zh-CN"/>
              </w:rPr>
              <w:t>PsA</w:t>
            </w:r>
            <w:proofErr w:type="spellEnd"/>
            <w:r w:rsidRPr="001D61B3">
              <w:rPr>
                <w:rFonts w:ascii="Book Antiqua" w:hAnsi="Book Antiqua" w:cs="宋体"/>
                <w:color w:val="000000"/>
                <w:sz w:val="18"/>
                <w:szCs w:val="18"/>
                <w:lang w:val="en-US" w:eastAsia="zh-CN"/>
              </w:rPr>
              <w:t xml:space="preserve">, </w:t>
            </w:r>
            <w:proofErr w:type="spellStart"/>
            <w:r w:rsidRPr="001D61B3">
              <w:rPr>
                <w:rFonts w:ascii="Book Antiqua" w:hAnsi="Book Antiqua" w:cs="宋体"/>
                <w:color w:val="000000"/>
                <w:sz w:val="18"/>
                <w:szCs w:val="18"/>
                <w:lang w:val="en-US" w:eastAsia="zh-CN"/>
              </w:rPr>
              <w:t>PsO</w:t>
            </w:r>
            <w:proofErr w:type="spellEnd"/>
            <w:r w:rsidRPr="001D61B3">
              <w:rPr>
                <w:rFonts w:ascii="Book Antiqua" w:hAnsi="Book Antiqua" w:cs="宋体"/>
                <w:color w:val="000000"/>
                <w:sz w:val="18"/>
                <w:szCs w:val="18"/>
                <w:lang w:val="en-US" w:eastAsia="zh-CN"/>
              </w:rPr>
              <w:t>, CD</w:t>
            </w:r>
          </w:p>
        </w:tc>
        <w:tc>
          <w:tcPr>
            <w:tcW w:w="1080" w:type="dxa"/>
            <w:shd w:val="clear" w:color="auto" w:fill="auto"/>
            <w:vAlign w:val="center"/>
            <w:hideMark/>
          </w:tcPr>
          <w:p w14:paraId="64E4394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ADA</w:t>
            </w:r>
          </w:p>
        </w:tc>
        <w:tc>
          <w:tcPr>
            <w:tcW w:w="1916" w:type="dxa"/>
            <w:shd w:val="clear" w:color="auto" w:fill="auto"/>
            <w:noWrap/>
            <w:vAlign w:val="center"/>
            <w:hideMark/>
          </w:tcPr>
          <w:p w14:paraId="227651A8"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None                   </w:t>
            </w:r>
          </w:p>
        </w:tc>
        <w:tc>
          <w:tcPr>
            <w:tcW w:w="1218" w:type="dxa"/>
            <w:shd w:val="clear" w:color="auto" w:fill="auto"/>
            <w:noWrap/>
            <w:vAlign w:val="center"/>
            <w:hideMark/>
          </w:tcPr>
          <w:p w14:paraId="30274CFC" w14:textId="336DA84F"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40</w:t>
            </w:r>
            <w:r>
              <w:rPr>
                <w:rFonts w:ascii="Book Antiqua" w:hAnsi="Book Antiqua" w:cs="宋体" w:hint="eastAsia"/>
                <w:color w:val="000000"/>
                <w:sz w:val="18"/>
                <w:szCs w:val="18"/>
                <w:lang w:val="en-US" w:eastAsia="zh-CN"/>
              </w:rPr>
              <w:t xml:space="preserve"> </w:t>
            </w:r>
            <w:r w:rsidRPr="001D61B3">
              <w:rPr>
                <w:rFonts w:ascii="Book Antiqua" w:hAnsi="Book Antiqua" w:cs="宋体"/>
                <w:color w:val="000000"/>
                <w:sz w:val="18"/>
                <w:szCs w:val="18"/>
                <w:lang w:val="en-US" w:eastAsia="zh-CN"/>
              </w:rPr>
              <w:t>mg EOW 6</w:t>
            </w:r>
            <w:r w:rsidRPr="001D61B3">
              <w:rPr>
                <w:rFonts w:ascii="Book Antiqua" w:hAnsi="Book Antiqua" w:cs="宋体"/>
                <w:color w:val="000000"/>
                <w:sz w:val="18"/>
                <w:szCs w:val="18"/>
                <w:vertAlign w:val="superscript"/>
                <w:lang w:val="en-US" w:eastAsia="zh-CN"/>
              </w:rPr>
              <w:t>th</w:t>
            </w:r>
            <w:r w:rsidRPr="001D61B3">
              <w:rPr>
                <w:rFonts w:ascii="Book Antiqua" w:hAnsi="Book Antiqua" w:cs="宋体"/>
                <w:color w:val="000000"/>
                <w:sz w:val="18"/>
                <w:szCs w:val="18"/>
                <w:lang w:val="en-US" w:eastAsia="zh-CN"/>
              </w:rPr>
              <w:t xml:space="preserve"> injection</w:t>
            </w:r>
          </w:p>
        </w:tc>
        <w:tc>
          <w:tcPr>
            <w:tcW w:w="1097" w:type="dxa"/>
            <w:shd w:val="clear" w:color="auto" w:fill="auto"/>
            <w:vAlign w:val="center"/>
            <w:hideMark/>
          </w:tcPr>
          <w:p w14:paraId="6EC126CD"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Yes</w:t>
            </w:r>
          </w:p>
        </w:tc>
        <w:tc>
          <w:tcPr>
            <w:tcW w:w="1496" w:type="dxa"/>
            <w:shd w:val="clear" w:color="auto" w:fill="auto"/>
            <w:vAlign w:val="center"/>
            <w:hideMark/>
          </w:tcPr>
          <w:p w14:paraId="02FA7CB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Anti-dsDNA, ANA</w:t>
            </w:r>
          </w:p>
        </w:tc>
        <w:tc>
          <w:tcPr>
            <w:tcW w:w="1601" w:type="dxa"/>
            <w:shd w:val="clear" w:color="auto" w:fill="auto"/>
            <w:vAlign w:val="center"/>
            <w:hideMark/>
          </w:tcPr>
          <w:p w14:paraId="5E8F1DB8"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w:t>
            </w:r>
          </w:p>
        </w:tc>
        <w:tc>
          <w:tcPr>
            <w:tcW w:w="1080" w:type="dxa"/>
            <w:shd w:val="clear" w:color="auto" w:fill="auto"/>
            <w:noWrap/>
            <w:vAlign w:val="center"/>
            <w:hideMark/>
          </w:tcPr>
          <w:p w14:paraId="33740040"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043A710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2115F318" w14:textId="77777777" w:rsidTr="001D61B3">
        <w:trPr>
          <w:trHeight w:val="270"/>
        </w:trPr>
        <w:tc>
          <w:tcPr>
            <w:tcW w:w="1349" w:type="dxa"/>
            <w:shd w:val="clear" w:color="auto" w:fill="auto"/>
            <w:vAlign w:val="center"/>
            <w:hideMark/>
          </w:tcPr>
          <w:p w14:paraId="3217E90B"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eastAsia="zh-CN"/>
              </w:rPr>
              <w:t>2012</w:t>
            </w:r>
            <w:r w:rsidRPr="001D61B3">
              <w:rPr>
                <w:rFonts w:ascii="Book Antiqua" w:hAnsi="Book Antiqua" w:cs="宋体"/>
                <w:bCs/>
                <w:color w:val="000000"/>
                <w:sz w:val="18"/>
                <w:szCs w:val="18"/>
                <w:vertAlign w:val="superscript"/>
                <w:lang w:eastAsia="zh-CN"/>
              </w:rPr>
              <w:t>12</w:t>
            </w:r>
          </w:p>
        </w:tc>
        <w:tc>
          <w:tcPr>
            <w:tcW w:w="1220" w:type="dxa"/>
            <w:shd w:val="clear" w:color="auto" w:fill="auto"/>
            <w:vAlign w:val="center"/>
            <w:hideMark/>
          </w:tcPr>
          <w:p w14:paraId="5A5418D8"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46/F</w:t>
            </w:r>
          </w:p>
        </w:tc>
        <w:tc>
          <w:tcPr>
            <w:tcW w:w="1080" w:type="dxa"/>
            <w:shd w:val="clear" w:color="auto" w:fill="auto"/>
            <w:vAlign w:val="center"/>
            <w:hideMark/>
          </w:tcPr>
          <w:p w14:paraId="674A0C1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CD</w:t>
            </w:r>
          </w:p>
        </w:tc>
        <w:tc>
          <w:tcPr>
            <w:tcW w:w="1080" w:type="dxa"/>
            <w:shd w:val="clear" w:color="auto" w:fill="auto"/>
            <w:vAlign w:val="center"/>
            <w:hideMark/>
          </w:tcPr>
          <w:p w14:paraId="1EBF486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shd w:val="clear" w:color="auto" w:fill="auto"/>
            <w:noWrap/>
            <w:vAlign w:val="center"/>
            <w:hideMark/>
          </w:tcPr>
          <w:p w14:paraId="2B49035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None                   </w:t>
            </w:r>
          </w:p>
        </w:tc>
        <w:tc>
          <w:tcPr>
            <w:tcW w:w="1218" w:type="dxa"/>
            <w:shd w:val="clear" w:color="auto" w:fill="auto"/>
            <w:noWrap/>
            <w:vAlign w:val="center"/>
            <w:hideMark/>
          </w:tcPr>
          <w:p w14:paraId="2B11E05F" w14:textId="63E75339" w:rsidR="001D61B3" w:rsidRPr="001D61B3" w:rsidRDefault="001D61B3" w:rsidP="00651BD2">
            <w:pPr>
              <w:spacing w:after="0" w:line="240" w:lineRule="auto"/>
              <w:jc w:val="both"/>
              <w:rPr>
                <w:rFonts w:ascii="Book Antiqua" w:hAnsi="Book Antiqua" w:cs="宋体"/>
                <w:color w:val="000000"/>
                <w:sz w:val="18"/>
                <w:szCs w:val="18"/>
                <w:lang w:val="en-US" w:eastAsia="zh-CN"/>
              </w:rPr>
            </w:pPr>
            <w:r>
              <w:rPr>
                <w:rFonts w:ascii="Book Antiqua" w:hAnsi="Book Antiqua" w:cs="宋体" w:hint="eastAsia"/>
                <w:color w:val="000000"/>
                <w:sz w:val="18"/>
                <w:szCs w:val="18"/>
                <w:lang w:val="en-US" w:eastAsia="zh-CN"/>
              </w:rPr>
              <w:t>5/3</w:t>
            </w:r>
          </w:p>
        </w:tc>
        <w:tc>
          <w:tcPr>
            <w:tcW w:w="1097" w:type="dxa"/>
            <w:shd w:val="clear" w:color="auto" w:fill="auto"/>
            <w:vAlign w:val="center"/>
            <w:hideMark/>
          </w:tcPr>
          <w:p w14:paraId="67D9661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No</w:t>
            </w:r>
          </w:p>
        </w:tc>
        <w:tc>
          <w:tcPr>
            <w:tcW w:w="1496" w:type="dxa"/>
            <w:shd w:val="clear" w:color="auto" w:fill="auto"/>
            <w:vAlign w:val="center"/>
            <w:hideMark/>
          </w:tcPr>
          <w:p w14:paraId="1A2E686F"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ANA, ASMA</w:t>
            </w:r>
          </w:p>
        </w:tc>
        <w:tc>
          <w:tcPr>
            <w:tcW w:w="1601" w:type="dxa"/>
            <w:shd w:val="clear" w:color="auto" w:fill="auto"/>
            <w:vAlign w:val="center"/>
            <w:hideMark/>
          </w:tcPr>
          <w:p w14:paraId="01692945"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w:t>
            </w:r>
          </w:p>
        </w:tc>
        <w:tc>
          <w:tcPr>
            <w:tcW w:w="1080" w:type="dxa"/>
            <w:shd w:val="clear" w:color="auto" w:fill="auto"/>
            <w:noWrap/>
            <w:vAlign w:val="center"/>
            <w:hideMark/>
          </w:tcPr>
          <w:p w14:paraId="3A60DF5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3165951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r w:rsidR="001D61B3" w:rsidRPr="001D61B3" w14:paraId="1FF18F49" w14:textId="77777777" w:rsidTr="001D61B3">
        <w:trPr>
          <w:trHeight w:val="270"/>
        </w:trPr>
        <w:tc>
          <w:tcPr>
            <w:tcW w:w="1349" w:type="dxa"/>
            <w:shd w:val="clear" w:color="auto" w:fill="auto"/>
            <w:vAlign w:val="center"/>
            <w:hideMark/>
          </w:tcPr>
          <w:p w14:paraId="621BA1BB" w14:textId="77777777" w:rsidR="001D61B3" w:rsidRPr="001D61B3" w:rsidRDefault="001D61B3" w:rsidP="00651BD2">
            <w:pPr>
              <w:spacing w:after="0" w:line="240" w:lineRule="auto"/>
              <w:jc w:val="both"/>
              <w:rPr>
                <w:rFonts w:ascii="Book Antiqua" w:hAnsi="Book Antiqua" w:cs="宋体"/>
                <w:bCs/>
                <w:color w:val="000000"/>
                <w:sz w:val="18"/>
                <w:szCs w:val="18"/>
                <w:lang w:val="en-US" w:eastAsia="zh-CN"/>
              </w:rPr>
            </w:pPr>
            <w:r w:rsidRPr="001D61B3">
              <w:rPr>
                <w:rFonts w:ascii="Book Antiqua" w:hAnsi="Book Antiqua" w:cs="宋体"/>
                <w:bCs/>
                <w:color w:val="000000"/>
                <w:sz w:val="18"/>
                <w:szCs w:val="18"/>
                <w:lang w:eastAsia="zh-CN"/>
              </w:rPr>
              <w:t>2008</w:t>
            </w:r>
            <w:r w:rsidRPr="001D61B3">
              <w:rPr>
                <w:rFonts w:ascii="Book Antiqua" w:hAnsi="Book Antiqua" w:cs="宋体"/>
                <w:bCs/>
                <w:color w:val="000000"/>
                <w:sz w:val="18"/>
                <w:szCs w:val="18"/>
                <w:vertAlign w:val="superscript"/>
                <w:lang w:eastAsia="zh-CN"/>
              </w:rPr>
              <w:t>5</w:t>
            </w:r>
          </w:p>
        </w:tc>
        <w:tc>
          <w:tcPr>
            <w:tcW w:w="1220" w:type="dxa"/>
            <w:shd w:val="clear" w:color="auto" w:fill="auto"/>
            <w:vAlign w:val="center"/>
            <w:hideMark/>
          </w:tcPr>
          <w:p w14:paraId="59185DBF"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30/F</w:t>
            </w:r>
          </w:p>
        </w:tc>
        <w:tc>
          <w:tcPr>
            <w:tcW w:w="1080" w:type="dxa"/>
            <w:shd w:val="clear" w:color="auto" w:fill="auto"/>
            <w:vAlign w:val="center"/>
            <w:hideMark/>
          </w:tcPr>
          <w:p w14:paraId="16D147EC"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UC</w:t>
            </w:r>
          </w:p>
        </w:tc>
        <w:tc>
          <w:tcPr>
            <w:tcW w:w="1080" w:type="dxa"/>
            <w:shd w:val="clear" w:color="auto" w:fill="auto"/>
            <w:vAlign w:val="center"/>
            <w:hideMark/>
          </w:tcPr>
          <w:p w14:paraId="75C0F2E9"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IFX</w:t>
            </w:r>
          </w:p>
        </w:tc>
        <w:tc>
          <w:tcPr>
            <w:tcW w:w="1916" w:type="dxa"/>
            <w:shd w:val="clear" w:color="auto" w:fill="auto"/>
            <w:noWrap/>
            <w:vAlign w:val="center"/>
            <w:hideMark/>
          </w:tcPr>
          <w:p w14:paraId="0633CE1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AZA</w:t>
            </w:r>
          </w:p>
        </w:tc>
        <w:tc>
          <w:tcPr>
            <w:tcW w:w="1218" w:type="dxa"/>
            <w:shd w:val="clear" w:color="auto" w:fill="auto"/>
            <w:noWrap/>
            <w:vAlign w:val="center"/>
            <w:hideMark/>
          </w:tcPr>
          <w:p w14:paraId="0C76A639" w14:textId="4C58040A"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10 / &gt;15</w:t>
            </w:r>
          </w:p>
        </w:tc>
        <w:tc>
          <w:tcPr>
            <w:tcW w:w="1097" w:type="dxa"/>
            <w:shd w:val="clear" w:color="auto" w:fill="auto"/>
            <w:vAlign w:val="center"/>
            <w:hideMark/>
          </w:tcPr>
          <w:p w14:paraId="3ED385F7"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No</w:t>
            </w:r>
          </w:p>
        </w:tc>
        <w:tc>
          <w:tcPr>
            <w:tcW w:w="1496" w:type="dxa"/>
            <w:shd w:val="clear" w:color="auto" w:fill="auto"/>
            <w:vAlign w:val="center"/>
            <w:hideMark/>
          </w:tcPr>
          <w:p w14:paraId="53C7237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eastAsia="zh-CN"/>
              </w:rPr>
              <w:t>ANA,Anti-dsDNA</w:t>
            </w:r>
          </w:p>
        </w:tc>
        <w:tc>
          <w:tcPr>
            <w:tcW w:w="1601" w:type="dxa"/>
            <w:shd w:val="clear" w:color="auto" w:fill="auto"/>
            <w:vAlign w:val="center"/>
            <w:hideMark/>
          </w:tcPr>
          <w:p w14:paraId="19A8FBDB"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Interface hepatitis</w:t>
            </w:r>
          </w:p>
        </w:tc>
        <w:tc>
          <w:tcPr>
            <w:tcW w:w="1080" w:type="dxa"/>
            <w:shd w:val="clear" w:color="auto" w:fill="auto"/>
            <w:noWrap/>
            <w:vAlign w:val="center"/>
            <w:hideMark/>
          </w:tcPr>
          <w:p w14:paraId="02D2AFB1"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 xml:space="preserve">Yes  </w:t>
            </w:r>
          </w:p>
        </w:tc>
        <w:tc>
          <w:tcPr>
            <w:tcW w:w="1226" w:type="dxa"/>
            <w:shd w:val="clear" w:color="auto" w:fill="auto"/>
            <w:noWrap/>
            <w:vAlign w:val="center"/>
            <w:hideMark/>
          </w:tcPr>
          <w:p w14:paraId="67AAD671" w14:textId="77777777" w:rsidR="001D61B3" w:rsidRPr="001D61B3" w:rsidRDefault="001D61B3" w:rsidP="00651BD2">
            <w:pPr>
              <w:spacing w:after="0" w:line="240" w:lineRule="auto"/>
              <w:jc w:val="both"/>
              <w:rPr>
                <w:rFonts w:ascii="Book Antiqua" w:hAnsi="Book Antiqua" w:cs="宋体"/>
                <w:color w:val="000000"/>
                <w:sz w:val="18"/>
                <w:szCs w:val="18"/>
                <w:lang w:val="en-US" w:eastAsia="zh-CN"/>
              </w:rPr>
            </w:pPr>
            <w:r w:rsidRPr="001D61B3">
              <w:rPr>
                <w:rFonts w:ascii="Book Antiqua" w:hAnsi="Book Antiqua" w:cs="宋体"/>
                <w:color w:val="000000"/>
                <w:sz w:val="18"/>
                <w:szCs w:val="18"/>
                <w:lang w:val="en-US" w:eastAsia="zh-CN"/>
              </w:rPr>
              <w:t>Reversibility</w:t>
            </w:r>
          </w:p>
        </w:tc>
      </w:tr>
    </w:tbl>
    <w:p w14:paraId="5C8FB81B" w14:textId="148121E2" w:rsidR="001D61B3" w:rsidRPr="001D61B3" w:rsidRDefault="001D61B3" w:rsidP="00651BD2">
      <w:pPr>
        <w:spacing w:line="360" w:lineRule="auto"/>
        <w:jc w:val="both"/>
        <w:rPr>
          <w:rFonts w:ascii="Book Antiqua" w:hAnsi="Book Antiqua"/>
          <w:bCs/>
          <w:sz w:val="21"/>
          <w:szCs w:val="21"/>
          <w:lang w:val="en-US" w:eastAsia="zh-CN"/>
        </w:rPr>
      </w:pPr>
      <w:r w:rsidRPr="001D61B3">
        <w:rPr>
          <w:rFonts w:ascii="Book Antiqua" w:hAnsi="Book Antiqua"/>
          <w:bCs/>
          <w:sz w:val="21"/>
          <w:szCs w:val="21"/>
          <w:lang w:val="en-US" w:eastAsia="zh-CN"/>
        </w:rPr>
        <w:lastRenderedPageBreak/>
        <w:t>AS</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Ankylosing</w:t>
      </w:r>
      <w:proofErr w:type="spellEnd"/>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spondilitis</w:t>
      </w:r>
      <w:proofErr w:type="spellEnd"/>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PsA</w:t>
      </w:r>
      <w:proofErr w:type="spellEnd"/>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Psoriatic arthritis</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RA</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Rheumatoid arthritis</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CD</w:t>
      </w:r>
      <w:r>
        <w:rPr>
          <w:rFonts w:ascii="Book Antiqua" w:hAnsi="Book Antiqua" w:hint="eastAsia"/>
          <w:bCs/>
          <w:sz w:val="21"/>
          <w:szCs w:val="21"/>
          <w:lang w:val="en-US" w:eastAsia="zh-CN"/>
        </w:rPr>
        <w:t xml:space="preserve">: </w:t>
      </w:r>
      <w:proofErr w:type="spellStart"/>
      <w:r w:rsidRPr="001D61B3">
        <w:rPr>
          <w:rFonts w:ascii="Book Antiqua" w:hAnsi="Book Antiqua"/>
          <w:bCs/>
          <w:sz w:val="21"/>
          <w:szCs w:val="21"/>
          <w:lang w:val="en-US" w:eastAsia="zh-CN"/>
        </w:rPr>
        <w:t>Crohn’S</w:t>
      </w:r>
      <w:proofErr w:type="spellEnd"/>
      <w:r w:rsidRPr="001D61B3">
        <w:rPr>
          <w:rFonts w:ascii="Book Antiqua" w:hAnsi="Book Antiqua"/>
          <w:bCs/>
          <w:sz w:val="21"/>
          <w:szCs w:val="21"/>
          <w:lang w:val="en-US" w:eastAsia="zh-CN"/>
        </w:rPr>
        <w:t xml:space="preserve"> disease</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PPP</w:t>
      </w:r>
      <w:r>
        <w:rPr>
          <w:rFonts w:ascii="Book Antiqua" w:hAnsi="Book Antiqua" w:hint="eastAsia"/>
          <w:bCs/>
          <w:sz w:val="21"/>
          <w:szCs w:val="21"/>
          <w:lang w:val="en-US" w:eastAsia="zh-CN"/>
        </w:rPr>
        <w:t xml:space="preserve">: </w:t>
      </w:r>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Palmoplantar</w:t>
      </w:r>
      <w:proofErr w:type="spellEnd"/>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pustular</w:t>
      </w:r>
      <w:proofErr w:type="spellEnd"/>
      <w:r w:rsidRPr="001D61B3">
        <w:rPr>
          <w:rFonts w:ascii="Book Antiqua" w:hAnsi="Book Antiqua"/>
          <w:bCs/>
          <w:sz w:val="21"/>
          <w:szCs w:val="21"/>
          <w:lang w:val="en-US" w:eastAsia="zh-CN"/>
        </w:rPr>
        <w:t xml:space="preserve"> psoriasis</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PsO</w:t>
      </w:r>
      <w:proofErr w:type="spellEnd"/>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Psoriasis</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IFX</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Infliximab</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ADA</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Adalimumab</w:t>
      </w:r>
      <w:proofErr w:type="spellEnd"/>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MTX</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Methotrexate; AZA</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Azathioprine; EOW</w:t>
      </w:r>
      <w:r>
        <w:rPr>
          <w:rFonts w:ascii="Book Antiqua" w:hAnsi="Book Antiqua" w:hint="eastAsia"/>
          <w:bCs/>
          <w:sz w:val="21"/>
          <w:szCs w:val="21"/>
          <w:lang w:val="en-US" w:eastAsia="zh-CN"/>
        </w:rPr>
        <w:t xml:space="preserve">: </w:t>
      </w:r>
      <w:r w:rsidRPr="001D61B3">
        <w:rPr>
          <w:rFonts w:ascii="Book Antiqua" w:hAnsi="Book Antiqua"/>
          <w:bCs/>
          <w:sz w:val="21"/>
          <w:szCs w:val="21"/>
          <w:lang w:val="en-US" w:eastAsia="zh-CN"/>
        </w:rPr>
        <w:t>Every other week; dsDNA</w:t>
      </w:r>
      <w:r>
        <w:rPr>
          <w:rFonts w:ascii="Book Antiqua" w:hAnsi="Book Antiqua" w:hint="eastAsia"/>
          <w:bCs/>
          <w:sz w:val="21"/>
          <w:szCs w:val="21"/>
          <w:lang w:val="en-US" w:eastAsia="zh-CN"/>
        </w:rPr>
        <w:t xml:space="preserve">: </w:t>
      </w:r>
      <w:r w:rsidRPr="001D61B3">
        <w:rPr>
          <w:rFonts w:ascii="Book Antiqua" w:hAnsi="Book Antiqua"/>
          <w:bCs/>
          <w:sz w:val="21"/>
          <w:szCs w:val="21"/>
          <w:lang w:val="en-US" w:eastAsia="zh-CN"/>
        </w:rPr>
        <w:t>Double strand DNA; ASMA</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Anti smooth muscle antibodies; AMA</w:t>
      </w:r>
      <w:r>
        <w:rPr>
          <w:rFonts w:ascii="Book Antiqua" w:hAnsi="Book Antiqua" w:hint="eastAsia"/>
          <w:bCs/>
          <w:sz w:val="21"/>
          <w:szCs w:val="21"/>
          <w:lang w:val="en-US" w:eastAsia="zh-CN"/>
        </w:rPr>
        <w:t>:</w:t>
      </w:r>
      <w:r w:rsidRPr="001D61B3">
        <w:rPr>
          <w:rFonts w:ascii="Book Antiqua" w:hAnsi="Book Antiqua"/>
          <w:bCs/>
          <w:sz w:val="21"/>
          <w:szCs w:val="21"/>
          <w:lang w:val="en-US" w:eastAsia="zh-CN"/>
        </w:rPr>
        <w:t xml:space="preserve"> </w:t>
      </w:r>
      <w:proofErr w:type="spellStart"/>
      <w:r w:rsidRPr="001D61B3">
        <w:rPr>
          <w:rFonts w:ascii="Book Antiqua" w:hAnsi="Book Antiqua"/>
          <w:bCs/>
          <w:sz w:val="21"/>
          <w:szCs w:val="21"/>
          <w:lang w:val="en-US" w:eastAsia="zh-CN"/>
        </w:rPr>
        <w:t>Antimitochondrial</w:t>
      </w:r>
      <w:proofErr w:type="spellEnd"/>
      <w:r w:rsidRPr="001D61B3">
        <w:rPr>
          <w:rFonts w:ascii="Book Antiqua" w:hAnsi="Book Antiqua"/>
          <w:bCs/>
          <w:sz w:val="21"/>
          <w:szCs w:val="21"/>
          <w:lang w:val="en-US" w:eastAsia="zh-CN"/>
        </w:rPr>
        <w:t xml:space="preserve"> antibodies</w:t>
      </w:r>
      <w:r>
        <w:rPr>
          <w:rFonts w:ascii="Book Antiqua" w:hAnsi="Book Antiqua" w:hint="eastAsia"/>
          <w:bCs/>
          <w:sz w:val="21"/>
          <w:szCs w:val="21"/>
          <w:lang w:val="en-US" w:eastAsia="zh-CN"/>
        </w:rPr>
        <w:t>.</w:t>
      </w:r>
    </w:p>
    <w:p w14:paraId="3E7D4C0D" w14:textId="77777777" w:rsidR="008C760B" w:rsidRPr="001D61B3" w:rsidRDefault="008C760B" w:rsidP="00651BD2">
      <w:pPr>
        <w:pStyle w:val="ac"/>
        <w:spacing w:line="360" w:lineRule="auto"/>
        <w:ind w:firstLineChars="0" w:firstLine="0"/>
        <w:jc w:val="both"/>
        <w:rPr>
          <w:rFonts w:ascii="Book Antiqua" w:eastAsia="宋体" w:hAnsi="Book Antiqua"/>
          <w:bCs/>
          <w:color w:val="000000"/>
          <w:sz w:val="21"/>
          <w:lang w:val="en-US" w:eastAsia="zh-CN"/>
        </w:rPr>
      </w:pPr>
    </w:p>
    <w:sectPr w:rsidR="008C760B" w:rsidRPr="001D61B3" w:rsidSect="00E766A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2D3E" w14:textId="77777777" w:rsidR="006A487F" w:rsidRDefault="006A487F" w:rsidP="0011526F">
      <w:pPr>
        <w:spacing w:after="0" w:line="240" w:lineRule="auto"/>
      </w:pPr>
      <w:r>
        <w:separator/>
      </w:r>
    </w:p>
  </w:endnote>
  <w:endnote w:type="continuationSeparator" w:id="0">
    <w:p w14:paraId="56C618B3" w14:textId="77777777" w:rsidR="006A487F" w:rsidRDefault="006A487F" w:rsidP="0011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ADB00" w14:textId="77777777" w:rsidR="006A487F" w:rsidRDefault="006A487F" w:rsidP="0011526F">
      <w:pPr>
        <w:spacing w:after="0" w:line="240" w:lineRule="auto"/>
      </w:pPr>
      <w:r>
        <w:separator/>
      </w:r>
    </w:p>
  </w:footnote>
  <w:footnote w:type="continuationSeparator" w:id="0">
    <w:p w14:paraId="0A09CA98" w14:textId="77777777" w:rsidR="006A487F" w:rsidRDefault="006A487F" w:rsidP="00115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188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3B6147"/>
    <w:multiLevelType w:val="multilevel"/>
    <w:tmpl w:val="710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C1911"/>
    <w:multiLevelType w:val="hybridMultilevel"/>
    <w:tmpl w:val="88661BC6"/>
    <w:lvl w:ilvl="0" w:tplc="1742B6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5A8240A"/>
    <w:multiLevelType w:val="hybridMultilevel"/>
    <w:tmpl w:val="29D05D20"/>
    <w:lvl w:ilvl="0" w:tplc="1ED66FC2">
      <w:start w:val="1"/>
      <w:numFmt w:val="bullet"/>
      <w:lvlText w:val="•"/>
      <w:lvlJc w:val="left"/>
      <w:pPr>
        <w:tabs>
          <w:tab w:val="num" w:pos="720"/>
        </w:tabs>
        <w:ind w:left="720" w:hanging="360"/>
      </w:pPr>
      <w:rPr>
        <w:rFonts w:ascii="Arial" w:hAnsi="Arial" w:hint="default"/>
      </w:rPr>
    </w:lvl>
    <w:lvl w:ilvl="1" w:tplc="C6E02BB8">
      <w:start w:val="981"/>
      <w:numFmt w:val="bullet"/>
      <w:lvlText w:val="–"/>
      <w:lvlJc w:val="left"/>
      <w:pPr>
        <w:tabs>
          <w:tab w:val="num" w:pos="1440"/>
        </w:tabs>
        <w:ind w:left="1440" w:hanging="360"/>
      </w:pPr>
      <w:rPr>
        <w:rFonts w:ascii="Arial" w:hAnsi="Arial" w:hint="default"/>
      </w:rPr>
    </w:lvl>
    <w:lvl w:ilvl="2" w:tplc="A078B3AC" w:tentative="1">
      <w:start w:val="1"/>
      <w:numFmt w:val="bullet"/>
      <w:lvlText w:val="•"/>
      <w:lvlJc w:val="left"/>
      <w:pPr>
        <w:tabs>
          <w:tab w:val="num" w:pos="2160"/>
        </w:tabs>
        <w:ind w:left="2160" w:hanging="360"/>
      </w:pPr>
      <w:rPr>
        <w:rFonts w:ascii="Arial" w:hAnsi="Arial" w:hint="default"/>
      </w:rPr>
    </w:lvl>
    <w:lvl w:ilvl="3" w:tplc="43768FDE" w:tentative="1">
      <w:start w:val="1"/>
      <w:numFmt w:val="bullet"/>
      <w:lvlText w:val="•"/>
      <w:lvlJc w:val="left"/>
      <w:pPr>
        <w:tabs>
          <w:tab w:val="num" w:pos="2880"/>
        </w:tabs>
        <w:ind w:left="2880" w:hanging="360"/>
      </w:pPr>
      <w:rPr>
        <w:rFonts w:ascii="Arial" w:hAnsi="Arial" w:hint="default"/>
      </w:rPr>
    </w:lvl>
    <w:lvl w:ilvl="4" w:tplc="A658140A" w:tentative="1">
      <w:start w:val="1"/>
      <w:numFmt w:val="bullet"/>
      <w:lvlText w:val="•"/>
      <w:lvlJc w:val="left"/>
      <w:pPr>
        <w:tabs>
          <w:tab w:val="num" w:pos="3600"/>
        </w:tabs>
        <w:ind w:left="3600" w:hanging="360"/>
      </w:pPr>
      <w:rPr>
        <w:rFonts w:ascii="Arial" w:hAnsi="Arial" w:hint="default"/>
      </w:rPr>
    </w:lvl>
    <w:lvl w:ilvl="5" w:tplc="3A789C4E" w:tentative="1">
      <w:start w:val="1"/>
      <w:numFmt w:val="bullet"/>
      <w:lvlText w:val="•"/>
      <w:lvlJc w:val="left"/>
      <w:pPr>
        <w:tabs>
          <w:tab w:val="num" w:pos="4320"/>
        </w:tabs>
        <w:ind w:left="4320" w:hanging="360"/>
      </w:pPr>
      <w:rPr>
        <w:rFonts w:ascii="Arial" w:hAnsi="Arial" w:hint="default"/>
      </w:rPr>
    </w:lvl>
    <w:lvl w:ilvl="6" w:tplc="F40AAA8A" w:tentative="1">
      <w:start w:val="1"/>
      <w:numFmt w:val="bullet"/>
      <w:lvlText w:val="•"/>
      <w:lvlJc w:val="left"/>
      <w:pPr>
        <w:tabs>
          <w:tab w:val="num" w:pos="5040"/>
        </w:tabs>
        <w:ind w:left="5040" w:hanging="360"/>
      </w:pPr>
      <w:rPr>
        <w:rFonts w:ascii="Arial" w:hAnsi="Arial" w:hint="default"/>
      </w:rPr>
    </w:lvl>
    <w:lvl w:ilvl="7" w:tplc="EE002B06" w:tentative="1">
      <w:start w:val="1"/>
      <w:numFmt w:val="bullet"/>
      <w:lvlText w:val="•"/>
      <w:lvlJc w:val="left"/>
      <w:pPr>
        <w:tabs>
          <w:tab w:val="num" w:pos="5760"/>
        </w:tabs>
        <w:ind w:left="5760" w:hanging="360"/>
      </w:pPr>
      <w:rPr>
        <w:rFonts w:ascii="Arial" w:hAnsi="Arial" w:hint="default"/>
      </w:rPr>
    </w:lvl>
    <w:lvl w:ilvl="8" w:tplc="CF941E08" w:tentative="1">
      <w:start w:val="1"/>
      <w:numFmt w:val="bullet"/>
      <w:lvlText w:val="•"/>
      <w:lvlJc w:val="left"/>
      <w:pPr>
        <w:tabs>
          <w:tab w:val="num" w:pos="6480"/>
        </w:tabs>
        <w:ind w:left="6480" w:hanging="360"/>
      </w:pPr>
      <w:rPr>
        <w:rFonts w:ascii="Arial" w:hAnsi="Arial" w:hint="default"/>
      </w:rPr>
    </w:lvl>
  </w:abstractNum>
  <w:abstractNum w:abstractNumId="4">
    <w:nsid w:val="50C31684"/>
    <w:multiLevelType w:val="hybridMultilevel"/>
    <w:tmpl w:val="EECEF58C"/>
    <w:lvl w:ilvl="0" w:tplc="F1026E38">
      <w:start w:val="3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B7C44"/>
    <w:multiLevelType w:val="hybridMultilevel"/>
    <w:tmpl w:val="CF9C36DE"/>
    <w:lvl w:ilvl="0" w:tplc="3EE2C382">
      <w:start w:val="5"/>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6861749"/>
    <w:multiLevelType w:val="multilevel"/>
    <w:tmpl w:val="DB6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D74D2B"/>
    <w:multiLevelType w:val="hybridMultilevel"/>
    <w:tmpl w:val="4AFE581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CA3712A"/>
    <w:multiLevelType w:val="hybridMultilevel"/>
    <w:tmpl w:val="88661BC6"/>
    <w:lvl w:ilvl="0" w:tplc="1742B6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DF656D4"/>
    <w:multiLevelType w:val="hybridMultilevel"/>
    <w:tmpl w:val="74BCAA36"/>
    <w:lvl w:ilvl="0" w:tplc="5D62DDBE">
      <w:start w:val="3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9"/>
  </w:num>
  <w:num w:numId="6">
    <w:abstractNumId w:val="4"/>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23"/>
    <w:rsid w:val="00004177"/>
    <w:rsid w:val="00007465"/>
    <w:rsid w:val="00010268"/>
    <w:rsid w:val="00013E46"/>
    <w:rsid w:val="00015EAE"/>
    <w:rsid w:val="00026976"/>
    <w:rsid w:val="000311D5"/>
    <w:rsid w:val="00032664"/>
    <w:rsid w:val="00034FC0"/>
    <w:rsid w:val="000415DA"/>
    <w:rsid w:val="00042BA2"/>
    <w:rsid w:val="000606A7"/>
    <w:rsid w:val="00064162"/>
    <w:rsid w:val="00071051"/>
    <w:rsid w:val="000A3A5F"/>
    <w:rsid w:val="000B32D4"/>
    <w:rsid w:val="000C071F"/>
    <w:rsid w:val="000C1DFD"/>
    <w:rsid w:val="000C20BC"/>
    <w:rsid w:val="000C5CD7"/>
    <w:rsid w:val="000D446F"/>
    <w:rsid w:val="000D78A3"/>
    <w:rsid w:val="000E0456"/>
    <w:rsid w:val="000E0463"/>
    <w:rsid w:val="000E1589"/>
    <w:rsid w:val="000F5EE8"/>
    <w:rsid w:val="000F65F0"/>
    <w:rsid w:val="001131A6"/>
    <w:rsid w:val="0011526F"/>
    <w:rsid w:val="00124B43"/>
    <w:rsid w:val="00135E3B"/>
    <w:rsid w:val="0014045B"/>
    <w:rsid w:val="00146EFD"/>
    <w:rsid w:val="001504DC"/>
    <w:rsid w:val="0015612B"/>
    <w:rsid w:val="001621B2"/>
    <w:rsid w:val="001639E5"/>
    <w:rsid w:val="001737FB"/>
    <w:rsid w:val="001742D6"/>
    <w:rsid w:val="00175EAE"/>
    <w:rsid w:val="001819AB"/>
    <w:rsid w:val="001973C5"/>
    <w:rsid w:val="001A088B"/>
    <w:rsid w:val="001A17CE"/>
    <w:rsid w:val="001A2B69"/>
    <w:rsid w:val="001A2BD6"/>
    <w:rsid w:val="001A63AD"/>
    <w:rsid w:val="001B1CA4"/>
    <w:rsid w:val="001B31AB"/>
    <w:rsid w:val="001B527F"/>
    <w:rsid w:val="001C044D"/>
    <w:rsid w:val="001D24B8"/>
    <w:rsid w:val="001D2820"/>
    <w:rsid w:val="001D3210"/>
    <w:rsid w:val="001D61B3"/>
    <w:rsid w:val="001E4B5B"/>
    <w:rsid w:val="001F7501"/>
    <w:rsid w:val="00204703"/>
    <w:rsid w:val="00230BE9"/>
    <w:rsid w:val="0023778E"/>
    <w:rsid w:val="0024217B"/>
    <w:rsid w:val="00250DFE"/>
    <w:rsid w:val="00250F17"/>
    <w:rsid w:val="0025267E"/>
    <w:rsid w:val="002543A3"/>
    <w:rsid w:val="0026390D"/>
    <w:rsid w:val="002722BA"/>
    <w:rsid w:val="00277153"/>
    <w:rsid w:val="002A2BA5"/>
    <w:rsid w:val="002A4A5A"/>
    <w:rsid w:val="002A4D47"/>
    <w:rsid w:val="002C25A7"/>
    <w:rsid w:val="002D0BC4"/>
    <w:rsid w:val="002F5CB0"/>
    <w:rsid w:val="0030429B"/>
    <w:rsid w:val="0033098F"/>
    <w:rsid w:val="0033555D"/>
    <w:rsid w:val="00337657"/>
    <w:rsid w:val="003418E8"/>
    <w:rsid w:val="00347929"/>
    <w:rsid w:val="00350274"/>
    <w:rsid w:val="0035117C"/>
    <w:rsid w:val="003518EA"/>
    <w:rsid w:val="00355619"/>
    <w:rsid w:val="003559D4"/>
    <w:rsid w:val="00362E7C"/>
    <w:rsid w:val="003760EC"/>
    <w:rsid w:val="00382FE4"/>
    <w:rsid w:val="003906C7"/>
    <w:rsid w:val="00392A06"/>
    <w:rsid w:val="003C00CD"/>
    <w:rsid w:val="003C146C"/>
    <w:rsid w:val="003C33AE"/>
    <w:rsid w:val="003C4B45"/>
    <w:rsid w:val="003C5B0B"/>
    <w:rsid w:val="003C5E99"/>
    <w:rsid w:val="003D76F8"/>
    <w:rsid w:val="003E23A2"/>
    <w:rsid w:val="00403D3A"/>
    <w:rsid w:val="00407F7E"/>
    <w:rsid w:val="00411E03"/>
    <w:rsid w:val="00426F69"/>
    <w:rsid w:val="00456317"/>
    <w:rsid w:val="004564A6"/>
    <w:rsid w:val="00457F32"/>
    <w:rsid w:val="00463AA1"/>
    <w:rsid w:val="00463DE2"/>
    <w:rsid w:val="004663D3"/>
    <w:rsid w:val="004753E3"/>
    <w:rsid w:val="00496D9F"/>
    <w:rsid w:val="004A2DEC"/>
    <w:rsid w:val="004A5782"/>
    <w:rsid w:val="004A6346"/>
    <w:rsid w:val="004B7FCF"/>
    <w:rsid w:val="004C7ED0"/>
    <w:rsid w:val="004D50E6"/>
    <w:rsid w:val="004E1802"/>
    <w:rsid w:val="004F24C5"/>
    <w:rsid w:val="004F6E89"/>
    <w:rsid w:val="0050038C"/>
    <w:rsid w:val="005151C1"/>
    <w:rsid w:val="0051769E"/>
    <w:rsid w:val="005216EE"/>
    <w:rsid w:val="00535245"/>
    <w:rsid w:val="005369D2"/>
    <w:rsid w:val="00541061"/>
    <w:rsid w:val="0054445E"/>
    <w:rsid w:val="00555C21"/>
    <w:rsid w:val="00565C95"/>
    <w:rsid w:val="005724B1"/>
    <w:rsid w:val="00574FBF"/>
    <w:rsid w:val="00582D07"/>
    <w:rsid w:val="005837AE"/>
    <w:rsid w:val="005B1BB8"/>
    <w:rsid w:val="005B34AC"/>
    <w:rsid w:val="005D0B7D"/>
    <w:rsid w:val="005D4ABD"/>
    <w:rsid w:val="005D615A"/>
    <w:rsid w:val="005E0214"/>
    <w:rsid w:val="005F08DA"/>
    <w:rsid w:val="005F4302"/>
    <w:rsid w:val="0060225D"/>
    <w:rsid w:val="0060482A"/>
    <w:rsid w:val="00607FE7"/>
    <w:rsid w:val="00625121"/>
    <w:rsid w:val="0062570C"/>
    <w:rsid w:val="00630C01"/>
    <w:rsid w:val="00631D35"/>
    <w:rsid w:val="00645312"/>
    <w:rsid w:val="00645F6B"/>
    <w:rsid w:val="0064766C"/>
    <w:rsid w:val="00651645"/>
    <w:rsid w:val="00651BD2"/>
    <w:rsid w:val="0065324B"/>
    <w:rsid w:val="00655B33"/>
    <w:rsid w:val="00664E9C"/>
    <w:rsid w:val="00667816"/>
    <w:rsid w:val="00671C33"/>
    <w:rsid w:val="00672635"/>
    <w:rsid w:val="0069596A"/>
    <w:rsid w:val="006A311F"/>
    <w:rsid w:val="006A3A9A"/>
    <w:rsid w:val="006A487F"/>
    <w:rsid w:val="006A6725"/>
    <w:rsid w:val="006B5D1D"/>
    <w:rsid w:val="006B63E3"/>
    <w:rsid w:val="006C3B3E"/>
    <w:rsid w:val="006C3CBF"/>
    <w:rsid w:val="006D42FC"/>
    <w:rsid w:val="006D4C2E"/>
    <w:rsid w:val="006D7FD2"/>
    <w:rsid w:val="006F624A"/>
    <w:rsid w:val="0070087C"/>
    <w:rsid w:val="0070326E"/>
    <w:rsid w:val="007042A5"/>
    <w:rsid w:val="007045DB"/>
    <w:rsid w:val="0072447C"/>
    <w:rsid w:val="007258CB"/>
    <w:rsid w:val="0072681E"/>
    <w:rsid w:val="007340DB"/>
    <w:rsid w:val="00741954"/>
    <w:rsid w:val="007439F2"/>
    <w:rsid w:val="00777C87"/>
    <w:rsid w:val="007833E0"/>
    <w:rsid w:val="007944FB"/>
    <w:rsid w:val="00796549"/>
    <w:rsid w:val="007A507C"/>
    <w:rsid w:val="007A5C08"/>
    <w:rsid w:val="007B6B92"/>
    <w:rsid w:val="007C338D"/>
    <w:rsid w:val="007C3AA5"/>
    <w:rsid w:val="007C4C8C"/>
    <w:rsid w:val="007C6EF4"/>
    <w:rsid w:val="007D2FDF"/>
    <w:rsid w:val="007E10E1"/>
    <w:rsid w:val="007E40A6"/>
    <w:rsid w:val="007F7AA6"/>
    <w:rsid w:val="00800BC0"/>
    <w:rsid w:val="00801EB0"/>
    <w:rsid w:val="00802465"/>
    <w:rsid w:val="00806310"/>
    <w:rsid w:val="00807E9F"/>
    <w:rsid w:val="00812E75"/>
    <w:rsid w:val="00825A8D"/>
    <w:rsid w:val="008305C0"/>
    <w:rsid w:val="00833F91"/>
    <w:rsid w:val="008417EB"/>
    <w:rsid w:val="00853758"/>
    <w:rsid w:val="0087199A"/>
    <w:rsid w:val="00876898"/>
    <w:rsid w:val="00882A71"/>
    <w:rsid w:val="0088489D"/>
    <w:rsid w:val="00890BF3"/>
    <w:rsid w:val="008A0642"/>
    <w:rsid w:val="008A08EF"/>
    <w:rsid w:val="008B0977"/>
    <w:rsid w:val="008C20E9"/>
    <w:rsid w:val="008C303A"/>
    <w:rsid w:val="008C525C"/>
    <w:rsid w:val="008C628F"/>
    <w:rsid w:val="008C760B"/>
    <w:rsid w:val="008D306A"/>
    <w:rsid w:val="008D36C7"/>
    <w:rsid w:val="008D4462"/>
    <w:rsid w:val="008E431A"/>
    <w:rsid w:val="008F7F6F"/>
    <w:rsid w:val="009137FC"/>
    <w:rsid w:val="0091650C"/>
    <w:rsid w:val="00920E0A"/>
    <w:rsid w:val="00921926"/>
    <w:rsid w:val="00931687"/>
    <w:rsid w:val="009431A4"/>
    <w:rsid w:val="0095460E"/>
    <w:rsid w:val="00956AE2"/>
    <w:rsid w:val="00957709"/>
    <w:rsid w:val="00961609"/>
    <w:rsid w:val="00965A66"/>
    <w:rsid w:val="00972924"/>
    <w:rsid w:val="00973817"/>
    <w:rsid w:val="0097388A"/>
    <w:rsid w:val="00995546"/>
    <w:rsid w:val="009A1EA1"/>
    <w:rsid w:val="009A26A0"/>
    <w:rsid w:val="009B058B"/>
    <w:rsid w:val="009C63C3"/>
    <w:rsid w:val="009E6298"/>
    <w:rsid w:val="00A07DCA"/>
    <w:rsid w:val="00A102A9"/>
    <w:rsid w:val="00A1380A"/>
    <w:rsid w:val="00A149A2"/>
    <w:rsid w:val="00A15556"/>
    <w:rsid w:val="00A174A4"/>
    <w:rsid w:val="00A2308C"/>
    <w:rsid w:val="00A23258"/>
    <w:rsid w:val="00A23B29"/>
    <w:rsid w:val="00A41A9A"/>
    <w:rsid w:val="00A41EEF"/>
    <w:rsid w:val="00A51386"/>
    <w:rsid w:val="00A550D2"/>
    <w:rsid w:val="00A6038C"/>
    <w:rsid w:val="00A60DE7"/>
    <w:rsid w:val="00A674F2"/>
    <w:rsid w:val="00A76212"/>
    <w:rsid w:val="00A802DD"/>
    <w:rsid w:val="00AA2866"/>
    <w:rsid w:val="00AA6AF3"/>
    <w:rsid w:val="00AC2710"/>
    <w:rsid w:val="00AC7F4A"/>
    <w:rsid w:val="00AE25A8"/>
    <w:rsid w:val="00AE77E1"/>
    <w:rsid w:val="00AF149D"/>
    <w:rsid w:val="00AF3635"/>
    <w:rsid w:val="00AF55A9"/>
    <w:rsid w:val="00B10ECE"/>
    <w:rsid w:val="00B120BA"/>
    <w:rsid w:val="00B15AE8"/>
    <w:rsid w:val="00B23CC8"/>
    <w:rsid w:val="00B245F0"/>
    <w:rsid w:val="00B25482"/>
    <w:rsid w:val="00B30B92"/>
    <w:rsid w:val="00B41E2D"/>
    <w:rsid w:val="00B50A15"/>
    <w:rsid w:val="00B5266E"/>
    <w:rsid w:val="00B54F23"/>
    <w:rsid w:val="00B63934"/>
    <w:rsid w:val="00B703C5"/>
    <w:rsid w:val="00B76422"/>
    <w:rsid w:val="00B831B2"/>
    <w:rsid w:val="00B836F1"/>
    <w:rsid w:val="00B85FDD"/>
    <w:rsid w:val="00B862B3"/>
    <w:rsid w:val="00B86300"/>
    <w:rsid w:val="00B8717D"/>
    <w:rsid w:val="00B97AD2"/>
    <w:rsid w:val="00BC5C1E"/>
    <w:rsid w:val="00BC6BBF"/>
    <w:rsid w:val="00BD2EAC"/>
    <w:rsid w:val="00BD37E3"/>
    <w:rsid w:val="00BD4D2A"/>
    <w:rsid w:val="00BD6413"/>
    <w:rsid w:val="00C05D94"/>
    <w:rsid w:val="00C24812"/>
    <w:rsid w:val="00C3006D"/>
    <w:rsid w:val="00C405AD"/>
    <w:rsid w:val="00C439FF"/>
    <w:rsid w:val="00C453D6"/>
    <w:rsid w:val="00C45F3A"/>
    <w:rsid w:val="00C477D6"/>
    <w:rsid w:val="00C500D4"/>
    <w:rsid w:val="00C51587"/>
    <w:rsid w:val="00C51D38"/>
    <w:rsid w:val="00C523C7"/>
    <w:rsid w:val="00C74089"/>
    <w:rsid w:val="00C8159F"/>
    <w:rsid w:val="00C86AEF"/>
    <w:rsid w:val="00C90053"/>
    <w:rsid w:val="00CA3B72"/>
    <w:rsid w:val="00CB5BB0"/>
    <w:rsid w:val="00CC03FC"/>
    <w:rsid w:val="00CC1FF5"/>
    <w:rsid w:val="00CD7103"/>
    <w:rsid w:val="00CF201A"/>
    <w:rsid w:val="00CF4100"/>
    <w:rsid w:val="00D141CC"/>
    <w:rsid w:val="00D478ED"/>
    <w:rsid w:val="00D47CED"/>
    <w:rsid w:val="00D53828"/>
    <w:rsid w:val="00D6132A"/>
    <w:rsid w:val="00D6543A"/>
    <w:rsid w:val="00D661D8"/>
    <w:rsid w:val="00D70C03"/>
    <w:rsid w:val="00D74FDE"/>
    <w:rsid w:val="00D77CF1"/>
    <w:rsid w:val="00D83551"/>
    <w:rsid w:val="00D902BD"/>
    <w:rsid w:val="00D910CD"/>
    <w:rsid w:val="00D972B6"/>
    <w:rsid w:val="00DA0C7C"/>
    <w:rsid w:val="00DA475A"/>
    <w:rsid w:val="00DA553D"/>
    <w:rsid w:val="00DA7A8C"/>
    <w:rsid w:val="00DA7BA1"/>
    <w:rsid w:val="00DB2FA5"/>
    <w:rsid w:val="00DD12C7"/>
    <w:rsid w:val="00DE041D"/>
    <w:rsid w:val="00DE2F95"/>
    <w:rsid w:val="00DF2339"/>
    <w:rsid w:val="00E02B8D"/>
    <w:rsid w:val="00E05A06"/>
    <w:rsid w:val="00E07A57"/>
    <w:rsid w:val="00E13F68"/>
    <w:rsid w:val="00E15B61"/>
    <w:rsid w:val="00E218D1"/>
    <w:rsid w:val="00E301EA"/>
    <w:rsid w:val="00E316BB"/>
    <w:rsid w:val="00E3383D"/>
    <w:rsid w:val="00E35C6F"/>
    <w:rsid w:val="00E423AB"/>
    <w:rsid w:val="00E51342"/>
    <w:rsid w:val="00E55592"/>
    <w:rsid w:val="00E63131"/>
    <w:rsid w:val="00E766AC"/>
    <w:rsid w:val="00E808F3"/>
    <w:rsid w:val="00E91DC8"/>
    <w:rsid w:val="00EA3BD7"/>
    <w:rsid w:val="00EA6862"/>
    <w:rsid w:val="00EB7583"/>
    <w:rsid w:val="00ED4F2B"/>
    <w:rsid w:val="00EE055A"/>
    <w:rsid w:val="00EE0931"/>
    <w:rsid w:val="00EE1681"/>
    <w:rsid w:val="00EE7444"/>
    <w:rsid w:val="00EF62D0"/>
    <w:rsid w:val="00F00749"/>
    <w:rsid w:val="00F07FFC"/>
    <w:rsid w:val="00F10C76"/>
    <w:rsid w:val="00F12847"/>
    <w:rsid w:val="00F16365"/>
    <w:rsid w:val="00F26144"/>
    <w:rsid w:val="00F278B5"/>
    <w:rsid w:val="00F41C2F"/>
    <w:rsid w:val="00F44A3C"/>
    <w:rsid w:val="00F46AA1"/>
    <w:rsid w:val="00F55411"/>
    <w:rsid w:val="00F63357"/>
    <w:rsid w:val="00F77A48"/>
    <w:rsid w:val="00F802E3"/>
    <w:rsid w:val="00F803F9"/>
    <w:rsid w:val="00F8119B"/>
    <w:rsid w:val="00F82692"/>
    <w:rsid w:val="00F826C6"/>
    <w:rsid w:val="00FA4A81"/>
    <w:rsid w:val="00FA5898"/>
    <w:rsid w:val="00FB0DBD"/>
    <w:rsid w:val="00FB36E3"/>
    <w:rsid w:val="00FB3DBC"/>
    <w:rsid w:val="00FC0BE7"/>
    <w:rsid w:val="00FC5E4A"/>
    <w:rsid w:val="00FD3F77"/>
    <w:rsid w:val="00FD5F90"/>
    <w:rsid w:val="00FE2F87"/>
    <w:rsid w:val="00FE627C"/>
    <w:rsid w:val="00FE7A1E"/>
    <w:rsid w:val="00FF2959"/>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DD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7D"/>
    <w:pPr>
      <w:spacing w:after="200" w:line="276" w:lineRule="auto"/>
    </w:pPr>
    <w:rPr>
      <w:sz w:val="22"/>
      <w:szCs w:val="22"/>
      <w:lang w:val="pt-PT"/>
    </w:rPr>
  </w:style>
  <w:style w:type="paragraph" w:styleId="1">
    <w:name w:val="heading 1"/>
    <w:basedOn w:val="a"/>
    <w:link w:val="1Char"/>
    <w:uiPriority w:val="9"/>
    <w:qFormat/>
    <w:rsid w:val="00C405AD"/>
    <w:pPr>
      <w:spacing w:before="100" w:beforeAutospacing="1" w:after="100" w:afterAutospacing="1" w:line="240" w:lineRule="auto"/>
      <w:outlineLvl w:val="0"/>
    </w:pPr>
    <w:rPr>
      <w:rFonts w:ascii="Times" w:hAnsi="Times"/>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dio1">
    <w:name w:val="Sombreado Médio 1"/>
    <w:basedOn w:val="a1"/>
    <w:uiPriority w:val="63"/>
    <w:rsid w:val="00EA3BD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printbiblio">
    <w:name w:val="printbiblio"/>
    <w:basedOn w:val="a0"/>
    <w:rsid w:val="00B836F1"/>
  </w:style>
  <w:style w:type="character" w:styleId="a4">
    <w:name w:val="Hyperlink"/>
    <w:uiPriority w:val="99"/>
    <w:unhideWhenUsed/>
    <w:rsid w:val="0065324B"/>
    <w:rPr>
      <w:color w:val="0000FF"/>
      <w:u w:val="single"/>
    </w:rPr>
  </w:style>
  <w:style w:type="paragraph" w:customStyle="1" w:styleId="ColorfulList-Accent11">
    <w:name w:val="Colorful List - Accent 11"/>
    <w:basedOn w:val="a"/>
    <w:uiPriority w:val="34"/>
    <w:qFormat/>
    <w:rsid w:val="006B63E3"/>
    <w:pPr>
      <w:ind w:left="720"/>
      <w:contextualSpacing/>
    </w:pPr>
  </w:style>
  <w:style w:type="character" w:customStyle="1" w:styleId="1Char">
    <w:name w:val="标题 1 Char"/>
    <w:link w:val="1"/>
    <w:uiPriority w:val="9"/>
    <w:rsid w:val="00C405AD"/>
    <w:rPr>
      <w:rFonts w:ascii="Times" w:hAnsi="Times"/>
      <w:b/>
      <w:bCs/>
      <w:kern w:val="36"/>
      <w:sz w:val="48"/>
      <w:szCs w:val="48"/>
    </w:rPr>
  </w:style>
  <w:style w:type="character" w:customStyle="1" w:styleId="apple-converted-space">
    <w:name w:val="apple-converted-space"/>
    <w:rsid w:val="00C405AD"/>
  </w:style>
  <w:style w:type="paragraph" w:styleId="a5">
    <w:name w:val="header"/>
    <w:basedOn w:val="a"/>
    <w:link w:val="Char"/>
    <w:uiPriority w:val="99"/>
    <w:unhideWhenUsed/>
    <w:rsid w:val="0011526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5"/>
    <w:uiPriority w:val="99"/>
    <w:rsid w:val="0011526F"/>
    <w:rPr>
      <w:sz w:val="18"/>
      <w:szCs w:val="18"/>
      <w:lang w:val="pt-PT" w:eastAsia="en-US"/>
    </w:rPr>
  </w:style>
  <w:style w:type="paragraph" w:styleId="a6">
    <w:name w:val="footer"/>
    <w:basedOn w:val="a"/>
    <w:link w:val="Char0"/>
    <w:uiPriority w:val="99"/>
    <w:unhideWhenUsed/>
    <w:rsid w:val="0011526F"/>
    <w:pPr>
      <w:tabs>
        <w:tab w:val="center" w:pos="4153"/>
        <w:tab w:val="right" w:pos="8306"/>
      </w:tabs>
      <w:snapToGrid w:val="0"/>
      <w:spacing w:line="240" w:lineRule="auto"/>
    </w:pPr>
    <w:rPr>
      <w:sz w:val="18"/>
      <w:szCs w:val="18"/>
    </w:rPr>
  </w:style>
  <w:style w:type="character" w:customStyle="1" w:styleId="Char0">
    <w:name w:val="页脚 Char"/>
    <w:link w:val="a6"/>
    <w:uiPriority w:val="99"/>
    <w:rsid w:val="0011526F"/>
    <w:rPr>
      <w:sz w:val="18"/>
      <w:szCs w:val="18"/>
      <w:lang w:val="pt-PT" w:eastAsia="en-US"/>
    </w:rPr>
  </w:style>
  <w:style w:type="character" w:styleId="a7">
    <w:name w:val="annotation reference"/>
    <w:rsid w:val="00961609"/>
    <w:rPr>
      <w:rFonts w:cs="Times New Roman"/>
      <w:sz w:val="21"/>
      <w:szCs w:val="21"/>
    </w:rPr>
  </w:style>
  <w:style w:type="paragraph" w:styleId="a8">
    <w:name w:val="annotation text"/>
    <w:basedOn w:val="a"/>
    <w:link w:val="Char1"/>
    <w:rsid w:val="00961609"/>
    <w:pPr>
      <w:spacing w:after="0" w:line="240" w:lineRule="auto"/>
    </w:pPr>
    <w:rPr>
      <w:rFonts w:ascii="Times New Roman" w:hAnsi="Times New Roman"/>
      <w:sz w:val="24"/>
      <w:szCs w:val="24"/>
      <w:lang w:val="en-US"/>
    </w:rPr>
  </w:style>
  <w:style w:type="character" w:customStyle="1" w:styleId="Char1">
    <w:name w:val="批注文字 Char"/>
    <w:link w:val="a8"/>
    <w:rsid w:val="00961609"/>
    <w:rPr>
      <w:rFonts w:ascii="Times New Roman" w:eastAsia="宋体" w:hAnsi="Times New Roman"/>
      <w:sz w:val="24"/>
      <w:szCs w:val="24"/>
      <w:lang w:eastAsia="en-US"/>
    </w:rPr>
  </w:style>
  <w:style w:type="paragraph" w:styleId="a9">
    <w:name w:val="Balloon Text"/>
    <w:basedOn w:val="a"/>
    <w:link w:val="Char2"/>
    <w:uiPriority w:val="99"/>
    <w:semiHidden/>
    <w:unhideWhenUsed/>
    <w:rsid w:val="00961609"/>
    <w:pPr>
      <w:spacing w:after="0" w:line="240" w:lineRule="auto"/>
    </w:pPr>
    <w:rPr>
      <w:sz w:val="18"/>
      <w:szCs w:val="18"/>
    </w:rPr>
  </w:style>
  <w:style w:type="character" w:customStyle="1" w:styleId="Char2">
    <w:name w:val="批注框文本 Char"/>
    <w:link w:val="a9"/>
    <w:uiPriority w:val="99"/>
    <w:semiHidden/>
    <w:rsid w:val="00961609"/>
    <w:rPr>
      <w:sz w:val="18"/>
      <w:szCs w:val="18"/>
      <w:lang w:val="pt-PT" w:eastAsia="en-US"/>
    </w:rPr>
  </w:style>
  <w:style w:type="paragraph" w:styleId="aa">
    <w:name w:val="annotation subject"/>
    <w:basedOn w:val="a8"/>
    <w:next w:val="a8"/>
    <w:link w:val="Char3"/>
    <w:uiPriority w:val="99"/>
    <w:semiHidden/>
    <w:unhideWhenUsed/>
    <w:rsid w:val="008E431A"/>
    <w:pPr>
      <w:spacing w:after="200" w:line="276" w:lineRule="auto"/>
    </w:pPr>
    <w:rPr>
      <w:rFonts w:ascii="Calibri" w:hAnsi="Calibri"/>
      <w:b/>
      <w:bCs/>
      <w:sz w:val="22"/>
      <w:szCs w:val="22"/>
      <w:lang w:val="pt-PT"/>
    </w:rPr>
  </w:style>
  <w:style w:type="character" w:customStyle="1" w:styleId="Char3">
    <w:name w:val="批注主题 Char"/>
    <w:link w:val="aa"/>
    <w:uiPriority w:val="99"/>
    <w:semiHidden/>
    <w:rsid w:val="008E431A"/>
    <w:rPr>
      <w:rFonts w:ascii="Times New Roman" w:eastAsia="宋体" w:hAnsi="Times New Roman"/>
      <w:b/>
      <w:bCs/>
      <w:sz w:val="22"/>
      <w:szCs w:val="22"/>
      <w:lang w:val="pt-PT" w:eastAsia="en-US"/>
    </w:rPr>
  </w:style>
  <w:style w:type="character" w:styleId="ab">
    <w:name w:val="Strong"/>
    <w:uiPriority w:val="22"/>
    <w:qFormat/>
    <w:rsid w:val="008E431A"/>
    <w:rPr>
      <w:b/>
      <w:bCs/>
    </w:rPr>
  </w:style>
  <w:style w:type="paragraph" w:styleId="ac">
    <w:name w:val="List Paragraph"/>
    <w:basedOn w:val="a"/>
    <w:uiPriority w:val="34"/>
    <w:qFormat/>
    <w:rsid w:val="008E431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ad">
    <w:name w:val="FollowedHyperlink"/>
    <w:basedOn w:val="a0"/>
    <w:uiPriority w:val="99"/>
    <w:semiHidden/>
    <w:unhideWhenUsed/>
    <w:rsid w:val="000E1589"/>
    <w:rPr>
      <w:color w:val="800080" w:themeColor="followedHyperlink"/>
      <w:u w:val="single"/>
    </w:rPr>
  </w:style>
  <w:style w:type="character" w:styleId="ae">
    <w:name w:val="Emphasis"/>
    <w:uiPriority w:val="20"/>
    <w:qFormat/>
    <w:rsid w:val="00825A8D"/>
    <w:rPr>
      <w:i/>
      <w:iCs/>
    </w:rPr>
  </w:style>
  <w:style w:type="paragraph" w:styleId="af">
    <w:name w:val="Normal (Web)"/>
    <w:basedOn w:val="a"/>
    <w:uiPriority w:val="99"/>
    <w:unhideWhenUsed/>
    <w:rsid w:val="00777C87"/>
    <w:pPr>
      <w:spacing w:before="100" w:beforeAutospacing="1" w:after="100" w:afterAutospacing="1" w:line="240" w:lineRule="auto"/>
    </w:pPr>
    <w:rPr>
      <w:rFonts w:ascii="Times New Roman" w:eastAsia="Times New Roman"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7D"/>
    <w:pPr>
      <w:spacing w:after="200" w:line="276" w:lineRule="auto"/>
    </w:pPr>
    <w:rPr>
      <w:sz w:val="22"/>
      <w:szCs w:val="22"/>
      <w:lang w:val="pt-PT"/>
    </w:rPr>
  </w:style>
  <w:style w:type="paragraph" w:styleId="1">
    <w:name w:val="heading 1"/>
    <w:basedOn w:val="a"/>
    <w:link w:val="1Char"/>
    <w:uiPriority w:val="9"/>
    <w:qFormat/>
    <w:rsid w:val="00C405AD"/>
    <w:pPr>
      <w:spacing w:before="100" w:beforeAutospacing="1" w:after="100" w:afterAutospacing="1" w:line="240" w:lineRule="auto"/>
      <w:outlineLvl w:val="0"/>
    </w:pPr>
    <w:rPr>
      <w:rFonts w:ascii="Times" w:hAnsi="Times"/>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dio1">
    <w:name w:val="Sombreado Médio 1"/>
    <w:basedOn w:val="a1"/>
    <w:uiPriority w:val="63"/>
    <w:rsid w:val="00EA3BD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printbiblio">
    <w:name w:val="printbiblio"/>
    <w:basedOn w:val="a0"/>
    <w:rsid w:val="00B836F1"/>
  </w:style>
  <w:style w:type="character" w:styleId="a4">
    <w:name w:val="Hyperlink"/>
    <w:uiPriority w:val="99"/>
    <w:unhideWhenUsed/>
    <w:rsid w:val="0065324B"/>
    <w:rPr>
      <w:color w:val="0000FF"/>
      <w:u w:val="single"/>
    </w:rPr>
  </w:style>
  <w:style w:type="paragraph" w:customStyle="1" w:styleId="ColorfulList-Accent11">
    <w:name w:val="Colorful List - Accent 11"/>
    <w:basedOn w:val="a"/>
    <w:uiPriority w:val="34"/>
    <w:qFormat/>
    <w:rsid w:val="006B63E3"/>
    <w:pPr>
      <w:ind w:left="720"/>
      <w:contextualSpacing/>
    </w:pPr>
  </w:style>
  <w:style w:type="character" w:customStyle="1" w:styleId="1Char">
    <w:name w:val="标题 1 Char"/>
    <w:link w:val="1"/>
    <w:uiPriority w:val="9"/>
    <w:rsid w:val="00C405AD"/>
    <w:rPr>
      <w:rFonts w:ascii="Times" w:hAnsi="Times"/>
      <w:b/>
      <w:bCs/>
      <w:kern w:val="36"/>
      <w:sz w:val="48"/>
      <w:szCs w:val="48"/>
    </w:rPr>
  </w:style>
  <w:style w:type="character" w:customStyle="1" w:styleId="apple-converted-space">
    <w:name w:val="apple-converted-space"/>
    <w:rsid w:val="00C405AD"/>
  </w:style>
  <w:style w:type="paragraph" w:styleId="a5">
    <w:name w:val="header"/>
    <w:basedOn w:val="a"/>
    <w:link w:val="Char"/>
    <w:uiPriority w:val="99"/>
    <w:unhideWhenUsed/>
    <w:rsid w:val="0011526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5"/>
    <w:uiPriority w:val="99"/>
    <w:rsid w:val="0011526F"/>
    <w:rPr>
      <w:sz w:val="18"/>
      <w:szCs w:val="18"/>
      <w:lang w:val="pt-PT" w:eastAsia="en-US"/>
    </w:rPr>
  </w:style>
  <w:style w:type="paragraph" w:styleId="a6">
    <w:name w:val="footer"/>
    <w:basedOn w:val="a"/>
    <w:link w:val="Char0"/>
    <w:uiPriority w:val="99"/>
    <w:unhideWhenUsed/>
    <w:rsid w:val="0011526F"/>
    <w:pPr>
      <w:tabs>
        <w:tab w:val="center" w:pos="4153"/>
        <w:tab w:val="right" w:pos="8306"/>
      </w:tabs>
      <w:snapToGrid w:val="0"/>
      <w:spacing w:line="240" w:lineRule="auto"/>
    </w:pPr>
    <w:rPr>
      <w:sz w:val="18"/>
      <w:szCs w:val="18"/>
    </w:rPr>
  </w:style>
  <w:style w:type="character" w:customStyle="1" w:styleId="Char0">
    <w:name w:val="页脚 Char"/>
    <w:link w:val="a6"/>
    <w:uiPriority w:val="99"/>
    <w:rsid w:val="0011526F"/>
    <w:rPr>
      <w:sz w:val="18"/>
      <w:szCs w:val="18"/>
      <w:lang w:val="pt-PT" w:eastAsia="en-US"/>
    </w:rPr>
  </w:style>
  <w:style w:type="character" w:styleId="a7">
    <w:name w:val="annotation reference"/>
    <w:rsid w:val="00961609"/>
    <w:rPr>
      <w:rFonts w:cs="Times New Roman"/>
      <w:sz w:val="21"/>
      <w:szCs w:val="21"/>
    </w:rPr>
  </w:style>
  <w:style w:type="paragraph" w:styleId="a8">
    <w:name w:val="annotation text"/>
    <w:basedOn w:val="a"/>
    <w:link w:val="Char1"/>
    <w:rsid w:val="00961609"/>
    <w:pPr>
      <w:spacing w:after="0" w:line="240" w:lineRule="auto"/>
    </w:pPr>
    <w:rPr>
      <w:rFonts w:ascii="Times New Roman" w:hAnsi="Times New Roman"/>
      <w:sz w:val="24"/>
      <w:szCs w:val="24"/>
      <w:lang w:val="en-US"/>
    </w:rPr>
  </w:style>
  <w:style w:type="character" w:customStyle="1" w:styleId="Char1">
    <w:name w:val="批注文字 Char"/>
    <w:link w:val="a8"/>
    <w:rsid w:val="00961609"/>
    <w:rPr>
      <w:rFonts w:ascii="Times New Roman" w:eastAsia="宋体" w:hAnsi="Times New Roman"/>
      <w:sz w:val="24"/>
      <w:szCs w:val="24"/>
      <w:lang w:eastAsia="en-US"/>
    </w:rPr>
  </w:style>
  <w:style w:type="paragraph" w:styleId="a9">
    <w:name w:val="Balloon Text"/>
    <w:basedOn w:val="a"/>
    <w:link w:val="Char2"/>
    <w:uiPriority w:val="99"/>
    <w:semiHidden/>
    <w:unhideWhenUsed/>
    <w:rsid w:val="00961609"/>
    <w:pPr>
      <w:spacing w:after="0" w:line="240" w:lineRule="auto"/>
    </w:pPr>
    <w:rPr>
      <w:sz w:val="18"/>
      <w:szCs w:val="18"/>
    </w:rPr>
  </w:style>
  <w:style w:type="character" w:customStyle="1" w:styleId="Char2">
    <w:name w:val="批注框文本 Char"/>
    <w:link w:val="a9"/>
    <w:uiPriority w:val="99"/>
    <w:semiHidden/>
    <w:rsid w:val="00961609"/>
    <w:rPr>
      <w:sz w:val="18"/>
      <w:szCs w:val="18"/>
      <w:lang w:val="pt-PT" w:eastAsia="en-US"/>
    </w:rPr>
  </w:style>
  <w:style w:type="paragraph" w:styleId="aa">
    <w:name w:val="annotation subject"/>
    <w:basedOn w:val="a8"/>
    <w:next w:val="a8"/>
    <w:link w:val="Char3"/>
    <w:uiPriority w:val="99"/>
    <w:semiHidden/>
    <w:unhideWhenUsed/>
    <w:rsid w:val="008E431A"/>
    <w:pPr>
      <w:spacing w:after="200" w:line="276" w:lineRule="auto"/>
    </w:pPr>
    <w:rPr>
      <w:rFonts w:ascii="Calibri" w:hAnsi="Calibri"/>
      <w:b/>
      <w:bCs/>
      <w:sz w:val="22"/>
      <w:szCs w:val="22"/>
      <w:lang w:val="pt-PT"/>
    </w:rPr>
  </w:style>
  <w:style w:type="character" w:customStyle="1" w:styleId="Char3">
    <w:name w:val="批注主题 Char"/>
    <w:link w:val="aa"/>
    <w:uiPriority w:val="99"/>
    <w:semiHidden/>
    <w:rsid w:val="008E431A"/>
    <w:rPr>
      <w:rFonts w:ascii="Times New Roman" w:eastAsia="宋体" w:hAnsi="Times New Roman"/>
      <w:b/>
      <w:bCs/>
      <w:sz w:val="22"/>
      <w:szCs w:val="22"/>
      <w:lang w:val="pt-PT" w:eastAsia="en-US"/>
    </w:rPr>
  </w:style>
  <w:style w:type="character" w:styleId="ab">
    <w:name w:val="Strong"/>
    <w:uiPriority w:val="22"/>
    <w:qFormat/>
    <w:rsid w:val="008E431A"/>
    <w:rPr>
      <w:b/>
      <w:bCs/>
    </w:rPr>
  </w:style>
  <w:style w:type="paragraph" w:styleId="ac">
    <w:name w:val="List Paragraph"/>
    <w:basedOn w:val="a"/>
    <w:uiPriority w:val="34"/>
    <w:qFormat/>
    <w:rsid w:val="008E431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ad">
    <w:name w:val="FollowedHyperlink"/>
    <w:basedOn w:val="a0"/>
    <w:uiPriority w:val="99"/>
    <w:semiHidden/>
    <w:unhideWhenUsed/>
    <w:rsid w:val="000E1589"/>
    <w:rPr>
      <w:color w:val="800080" w:themeColor="followedHyperlink"/>
      <w:u w:val="single"/>
    </w:rPr>
  </w:style>
  <w:style w:type="character" w:styleId="ae">
    <w:name w:val="Emphasis"/>
    <w:uiPriority w:val="20"/>
    <w:qFormat/>
    <w:rsid w:val="00825A8D"/>
    <w:rPr>
      <w:i/>
      <w:iCs/>
    </w:rPr>
  </w:style>
  <w:style w:type="paragraph" w:styleId="af">
    <w:name w:val="Normal (Web)"/>
    <w:basedOn w:val="a"/>
    <w:uiPriority w:val="99"/>
    <w:unhideWhenUsed/>
    <w:rsid w:val="00777C87"/>
    <w:pPr>
      <w:spacing w:before="100" w:beforeAutospacing="1" w:after="100" w:afterAutospacing="1" w:line="240"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57">
      <w:bodyDiv w:val="1"/>
      <w:marLeft w:val="0"/>
      <w:marRight w:val="0"/>
      <w:marTop w:val="0"/>
      <w:marBottom w:val="0"/>
      <w:divBdr>
        <w:top w:val="none" w:sz="0" w:space="0" w:color="auto"/>
        <w:left w:val="none" w:sz="0" w:space="0" w:color="auto"/>
        <w:bottom w:val="none" w:sz="0" w:space="0" w:color="auto"/>
        <w:right w:val="none" w:sz="0" w:space="0" w:color="auto"/>
      </w:divBdr>
    </w:div>
    <w:div w:id="10032858">
      <w:bodyDiv w:val="1"/>
      <w:marLeft w:val="0"/>
      <w:marRight w:val="0"/>
      <w:marTop w:val="0"/>
      <w:marBottom w:val="0"/>
      <w:divBdr>
        <w:top w:val="none" w:sz="0" w:space="0" w:color="auto"/>
        <w:left w:val="none" w:sz="0" w:space="0" w:color="auto"/>
        <w:bottom w:val="none" w:sz="0" w:space="0" w:color="auto"/>
        <w:right w:val="none" w:sz="0" w:space="0" w:color="auto"/>
      </w:divBdr>
    </w:div>
    <w:div w:id="38625350">
      <w:bodyDiv w:val="1"/>
      <w:marLeft w:val="0"/>
      <w:marRight w:val="0"/>
      <w:marTop w:val="0"/>
      <w:marBottom w:val="0"/>
      <w:divBdr>
        <w:top w:val="none" w:sz="0" w:space="0" w:color="auto"/>
        <w:left w:val="none" w:sz="0" w:space="0" w:color="auto"/>
        <w:bottom w:val="none" w:sz="0" w:space="0" w:color="auto"/>
        <w:right w:val="none" w:sz="0" w:space="0" w:color="auto"/>
      </w:divBdr>
    </w:div>
    <w:div w:id="41760578">
      <w:bodyDiv w:val="1"/>
      <w:marLeft w:val="0"/>
      <w:marRight w:val="0"/>
      <w:marTop w:val="0"/>
      <w:marBottom w:val="0"/>
      <w:divBdr>
        <w:top w:val="none" w:sz="0" w:space="0" w:color="auto"/>
        <w:left w:val="none" w:sz="0" w:space="0" w:color="auto"/>
        <w:bottom w:val="none" w:sz="0" w:space="0" w:color="auto"/>
        <w:right w:val="none" w:sz="0" w:space="0" w:color="auto"/>
      </w:divBdr>
    </w:div>
    <w:div w:id="75128465">
      <w:bodyDiv w:val="1"/>
      <w:marLeft w:val="0"/>
      <w:marRight w:val="0"/>
      <w:marTop w:val="0"/>
      <w:marBottom w:val="0"/>
      <w:divBdr>
        <w:top w:val="none" w:sz="0" w:space="0" w:color="auto"/>
        <w:left w:val="none" w:sz="0" w:space="0" w:color="auto"/>
        <w:bottom w:val="none" w:sz="0" w:space="0" w:color="auto"/>
        <w:right w:val="none" w:sz="0" w:space="0" w:color="auto"/>
      </w:divBdr>
    </w:div>
    <w:div w:id="87778895">
      <w:bodyDiv w:val="1"/>
      <w:marLeft w:val="0"/>
      <w:marRight w:val="0"/>
      <w:marTop w:val="0"/>
      <w:marBottom w:val="0"/>
      <w:divBdr>
        <w:top w:val="none" w:sz="0" w:space="0" w:color="auto"/>
        <w:left w:val="none" w:sz="0" w:space="0" w:color="auto"/>
        <w:bottom w:val="none" w:sz="0" w:space="0" w:color="auto"/>
        <w:right w:val="none" w:sz="0" w:space="0" w:color="auto"/>
      </w:divBdr>
    </w:div>
    <w:div w:id="105856240">
      <w:bodyDiv w:val="1"/>
      <w:marLeft w:val="0"/>
      <w:marRight w:val="0"/>
      <w:marTop w:val="0"/>
      <w:marBottom w:val="0"/>
      <w:divBdr>
        <w:top w:val="none" w:sz="0" w:space="0" w:color="auto"/>
        <w:left w:val="none" w:sz="0" w:space="0" w:color="auto"/>
        <w:bottom w:val="none" w:sz="0" w:space="0" w:color="auto"/>
        <w:right w:val="none" w:sz="0" w:space="0" w:color="auto"/>
      </w:divBdr>
    </w:div>
    <w:div w:id="142089519">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201526109">
      <w:bodyDiv w:val="1"/>
      <w:marLeft w:val="0"/>
      <w:marRight w:val="0"/>
      <w:marTop w:val="0"/>
      <w:marBottom w:val="0"/>
      <w:divBdr>
        <w:top w:val="none" w:sz="0" w:space="0" w:color="auto"/>
        <w:left w:val="none" w:sz="0" w:space="0" w:color="auto"/>
        <w:bottom w:val="none" w:sz="0" w:space="0" w:color="auto"/>
        <w:right w:val="none" w:sz="0" w:space="0" w:color="auto"/>
      </w:divBdr>
    </w:div>
    <w:div w:id="225536384">
      <w:bodyDiv w:val="1"/>
      <w:marLeft w:val="0"/>
      <w:marRight w:val="0"/>
      <w:marTop w:val="0"/>
      <w:marBottom w:val="0"/>
      <w:divBdr>
        <w:top w:val="none" w:sz="0" w:space="0" w:color="auto"/>
        <w:left w:val="none" w:sz="0" w:space="0" w:color="auto"/>
        <w:bottom w:val="none" w:sz="0" w:space="0" w:color="auto"/>
        <w:right w:val="none" w:sz="0" w:space="0" w:color="auto"/>
      </w:divBdr>
    </w:div>
    <w:div w:id="271132627">
      <w:bodyDiv w:val="1"/>
      <w:marLeft w:val="0"/>
      <w:marRight w:val="0"/>
      <w:marTop w:val="0"/>
      <w:marBottom w:val="0"/>
      <w:divBdr>
        <w:top w:val="none" w:sz="0" w:space="0" w:color="auto"/>
        <w:left w:val="none" w:sz="0" w:space="0" w:color="auto"/>
        <w:bottom w:val="none" w:sz="0" w:space="0" w:color="auto"/>
        <w:right w:val="none" w:sz="0" w:space="0" w:color="auto"/>
      </w:divBdr>
    </w:div>
    <w:div w:id="292977827">
      <w:bodyDiv w:val="1"/>
      <w:marLeft w:val="0"/>
      <w:marRight w:val="0"/>
      <w:marTop w:val="0"/>
      <w:marBottom w:val="0"/>
      <w:divBdr>
        <w:top w:val="none" w:sz="0" w:space="0" w:color="auto"/>
        <w:left w:val="none" w:sz="0" w:space="0" w:color="auto"/>
        <w:bottom w:val="none" w:sz="0" w:space="0" w:color="auto"/>
        <w:right w:val="none" w:sz="0" w:space="0" w:color="auto"/>
      </w:divBdr>
    </w:div>
    <w:div w:id="386226553">
      <w:bodyDiv w:val="1"/>
      <w:marLeft w:val="0"/>
      <w:marRight w:val="0"/>
      <w:marTop w:val="0"/>
      <w:marBottom w:val="0"/>
      <w:divBdr>
        <w:top w:val="none" w:sz="0" w:space="0" w:color="auto"/>
        <w:left w:val="none" w:sz="0" w:space="0" w:color="auto"/>
        <w:bottom w:val="none" w:sz="0" w:space="0" w:color="auto"/>
        <w:right w:val="none" w:sz="0" w:space="0" w:color="auto"/>
      </w:divBdr>
    </w:div>
    <w:div w:id="438374307">
      <w:bodyDiv w:val="1"/>
      <w:marLeft w:val="0"/>
      <w:marRight w:val="0"/>
      <w:marTop w:val="0"/>
      <w:marBottom w:val="0"/>
      <w:divBdr>
        <w:top w:val="none" w:sz="0" w:space="0" w:color="auto"/>
        <w:left w:val="none" w:sz="0" w:space="0" w:color="auto"/>
        <w:bottom w:val="none" w:sz="0" w:space="0" w:color="auto"/>
        <w:right w:val="none" w:sz="0" w:space="0" w:color="auto"/>
      </w:divBdr>
    </w:div>
    <w:div w:id="445466999">
      <w:bodyDiv w:val="1"/>
      <w:marLeft w:val="0"/>
      <w:marRight w:val="0"/>
      <w:marTop w:val="0"/>
      <w:marBottom w:val="0"/>
      <w:divBdr>
        <w:top w:val="none" w:sz="0" w:space="0" w:color="auto"/>
        <w:left w:val="none" w:sz="0" w:space="0" w:color="auto"/>
        <w:bottom w:val="none" w:sz="0" w:space="0" w:color="auto"/>
        <w:right w:val="none" w:sz="0" w:space="0" w:color="auto"/>
      </w:divBdr>
    </w:div>
    <w:div w:id="449781014">
      <w:bodyDiv w:val="1"/>
      <w:marLeft w:val="0"/>
      <w:marRight w:val="0"/>
      <w:marTop w:val="0"/>
      <w:marBottom w:val="0"/>
      <w:divBdr>
        <w:top w:val="none" w:sz="0" w:space="0" w:color="auto"/>
        <w:left w:val="none" w:sz="0" w:space="0" w:color="auto"/>
        <w:bottom w:val="none" w:sz="0" w:space="0" w:color="auto"/>
        <w:right w:val="none" w:sz="0" w:space="0" w:color="auto"/>
      </w:divBdr>
    </w:div>
    <w:div w:id="449977346">
      <w:bodyDiv w:val="1"/>
      <w:marLeft w:val="0"/>
      <w:marRight w:val="0"/>
      <w:marTop w:val="0"/>
      <w:marBottom w:val="0"/>
      <w:divBdr>
        <w:top w:val="none" w:sz="0" w:space="0" w:color="auto"/>
        <w:left w:val="none" w:sz="0" w:space="0" w:color="auto"/>
        <w:bottom w:val="none" w:sz="0" w:space="0" w:color="auto"/>
        <w:right w:val="none" w:sz="0" w:space="0" w:color="auto"/>
      </w:divBdr>
    </w:div>
    <w:div w:id="466512624">
      <w:bodyDiv w:val="1"/>
      <w:marLeft w:val="0"/>
      <w:marRight w:val="0"/>
      <w:marTop w:val="0"/>
      <w:marBottom w:val="0"/>
      <w:divBdr>
        <w:top w:val="none" w:sz="0" w:space="0" w:color="auto"/>
        <w:left w:val="none" w:sz="0" w:space="0" w:color="auto"/>
        <w:bottom w:val="none" w:sz="0" w:space="0" w:color="auto"/>
        <w:right w:val="none" w:sz="0" w:space="0" w:color="auto"/>
      </w:divBdr>
    </w:div>
    <w:div w:id="472604979">
      <w:bodyDiv w:val="1"/>
      <w:marLeft w:val="0"/>
      <w:marRight w:val="0"/>
      <w:marTop w:val="0"/>
      <w:marBottom w:val="0"/>
      <w:divBdr>
        <w:top w:val="none" w:sz="0" w:space="0" w:color="auto"/>
        <w:left w:val="none" w:sz="0" w:space="0" w:color="auto"/>
        <w:bottom w:val="none" w:sz="0" w:space="0" w:color="auto"/>
        <w:right w:val="none" w:sz="0" w:space="0" w:color="auto"/>
      </w:divBdr>
    </w:div>
    <w:div w:id="473062653">
      <w:bodyDiv w:val="1"/>
      <w:marLeft w:val="0"/>
      <w:marRight w:val="0"/>
      <w:marTop w:val="0"/>
      <w:marBottom w:val="0"/>
      <w:divBdr>
        <w:top w:val="none" w:sz="0" w:space="0" w:color="auto"/>
        <w:left w:val="none" w:sz="0" w:space="0" w:color="auto"/>
        <w:bottom w:val="none" w:sz="0" w:space="0" w:color="auto"/>
        <w:right w:val="none" w:sz="0" w:space="0" w:color="auto"/>
      </w:divBdr>
    </w:div>
    <w:div w:id="522279328">
      <w:bodyDiv w:val="1"/>
      <w:marLeft w:val="0"/>
      <w:marRight w:val="0"/>
      <w:marTop w:val="0"/>
      <w:marBottom w:val="0"/>
      <w:divBdr>
        <w:top w:val="none" w:sz="0" w:space="0" w:color="auto"/>
        <w:left w:val="none" w:sz="0" w:space="0" w:color="auto"/>
        <w:bottom w:val="none" w:sz="0" w:space="0" w:color="auto"/>
        <w:right w:val="none" w:sz="0" w:space="0" w:color="auto"/>
      </w:divBdr>
    </w:div>
    <w:div w:id="523909864">
      <w:bodyDiv w:val="1"/>
      <w:marLeft w:val="0"/>
      <w:marRight w:val="0"/>
      <w:marTop w:val="0"/>
      <w:marBottom w:val="0"/>
      <w:divBdr>
        <w:top w:val="none" w:sz="0" w:space="0" w:color="auto"/>
        <w:left w:val="none" w:sz="0" w:space="0" w:color="auto"/>
        <w:bottom w:val="none" w:sz="0" w:space="0" w:color="auto"/>
        <w:right w:val="none" w:sz="0" w:space="0" w:color="auto"/>
      </w:divBdr>
    </w:div>
    <w:div w:id="537008145">
      <w:bodyDiv w:val="1"/>
      <w:marLeft w:val="0"/>
      <w:marRight w:val="0"/>
      <w:marTop w:val="0"/>
      <w:marBottom w:val="0"/>
      <w:divBdr>
        <w:top w:val="none" w:sz="0" w:space="0" w:color="auto"/>
        <w:left w:val="none" w:sz="0" w:space="0" w:color="auto"/>
        <w:bottom w:val="none" w:sz="0" w:space="0" w:color="auto"/>
        <w:right w:val="none" w:sz="0" w:space="0" w:color="auto"/>
      </w:divBdr>
    </w:div>
    <w:div w:id="540165652">
      <w:bodyDiv w:val="1"/>
      <w:marLeft w:val="0"/>
      <w:marRight w:val="0"/>
      <w:marTop w:val="0"/>
      <w:marBottom w:val="0"/>
      <w:divBdr>
        <w:top w:val="none" w:sz="0" w:space="0" w:color="auto"/>
        <w:left w:val="none" w:sz="0" w:space="0" w:color="auto"/>
        <w:bottom w:val="none" w:sz="0" w:space="0" w:color="auto"/>
        <w:right w:val="none" w:sz="0" w:space="0" w:color="auto"/>
      </w:divBdr>
    </w:div>
    <w:div w:id="592904638">
      <w:bodyDiv w:val="1"/>
      <w:marLeft w:val="0"/>
      <w:marRight w:val="0"/>
      <w:marTop w:val="0"/>
      <w:marBottom w:val="0"/>
      <w:divBdr>
        <w:top w:val="none" w:sz="0" w:space="0" w:color="auto"/>
        <w:left w:val="none" w:sz="0" w:space="0" w:color="auto"/>
        <w:bottom w:val="none" w:sz="0" w:space="0" w:color="auto"/>
        <w:right w:val="none" w:sz="0" w:space="0" w:color="auto"/>
      </w:divBdr>
    </w:div>
    <w:div w:id="595941903">
      <w:bodyDiv w:val="1"/>
      <w:marLeft w:val="0"/>
      <w:marRight w:val="0"/>
      <w:marTop w:val="0"/>
      <w:marBottom w:val="0"/>
      <w:divBdr>
        <w:top w:val="none" w:sz="0" w:space="0" w:color="auto"/>
        <w:left w:val="none" w:sz="0" w:space="0" w:color="auto"/>
        <w:bottom w:val="none" w:sz="0" w:space="0" w:color="auto"/>
        <w:right w:val="none" w:sz="0" w:space="0" w:color="auto"/>
      </w:divBdr>
    </w:div>
    <w:div w:id="673804923">
      <w:bodyDiv w:val="1"/>
      <w:marLeft w:val="0"/>
      <w:marRight w:val="0"/>
      <w:marTop w:val="0"/>
      <w:marBottom w:val="0"/>
      <w:divBdr>
        <w:top w:val="none" w:sz="0" w:space="0" w:color="auto"/>
        <w:left w:val="none" w:sz="0" w:space="0" w:color="auto"/>
        <w:bottom w:val="none" w:sz="0" w:space="0" w:color="auto"/>
        <w:right w:val="none" w:sz="0" w:space="0" w:color="auto"/>
      </w:divBdr>
    </w:div>
    <w:div w:id="787164962">
      <w:bodyDiv w:val="1"/>
      <w:marLeft w:val="0"/>
      <w:marRight w:val="0"/>
      <w:marTop w:val="0"/>
      <w:marBottom w:val="0"/>
      <w:divBdr>
        <w:top w:val="none" w:sz="0" w:space="0" w:color="auto"/>
        <w:left w:val="none" w:sz="0" w:space="0" w:color="auto"/>
        <w:bottom w:val="none" w:sz="0" w:space="0" w:color="auto"/>
        <w:right w:val="none" w:sz="0" w:space="0" w:color="auto"/>
      </w:divBdr>
    </w:div>
    <w:div w:id="791704249">
      <w:bodyDiv w:val="1"/>
      <w:marLeft w:val="0"/>
      <w:marRight w:val="0"/>
      <w:marTop w:val="0"/>
      <w:marBottom w:val="0"/>
      <w:divBdr>
        <w:top w:val="none" w:sz="0" w:space="0" w:color="auto"/>
        <w:left w:val="none" w:sz="0" w:space="0" w:color="auto"/>
        <w:bottom w:val="none" w:sz="0" w:space="0" w:color="auto"/>
        <w:right w:val="none" w:sz="0" w:space="0" w:color="auto"/>
      </w:divBdr>
    </w:div>
    <w:div w:id="841700121">
      <w:bodyDiv w:val="1"/>
      <w:marLeft w:val="0"/>
      <w:marRight w:val="0"/>
      <w:marTop w:val="0"/>
      <w:marBottom w:val="0"/>
      <w:divBdr>
        <w:top w:val="none" w:sz="0" w:space="0" w:color="auto"/>
        <w:left w:val="none" w:sz="0" w:space="0" w:color="auto"/>
        <w:bottom w:val="none" w:sz="0" w:space="0" w:color="auto"/>
        <w:right w:val="none" w:sz="0" w:space="0" w:color="auto"/>
      </w:divBdr>
    </w:div>
    <w:div w:id="876624990">
      <w:bodyDiv w:val="1"/>
      <w:marLeft w:val="0"/>
      <w:marRight w:val="0"/>
      <w:marTop w:val="0"/>
      <w:marBottom w:val="0"/>
      <w:divBdr>
        <w:top w:val="none" w:sz="0" w:space="0" w:color="auto"/>
        <w:left w:val="none" w:sz="0" w:space="0" w:color="auto"/>
        <w:bottom w:val="none" w:sz="0" w:space="0" w:color="auto"/>
        <w:right w:val="none" w:sz="0" w:space="0" w:color="auto"/>
      </w:divBdr>
    </w:div>
    <w:div w:id="879243929">
      <w:bodyDiv w:val="1"/>
      <w:marLeft w:val="0"/>
      <w:marRight w:val="0"/>
      <w:marTop w:val="0"/>
      <w:marBottom w:val="0"/>
      <w:divBdr>
        <w:top w:val="none" w:sz="0" w:space="0" w:color="auto"/>
        <w:left w:val="none" w:sz="0" w:space="0" w:color="auto"/>
        <w:bottom w:val="none" w:sz="0" w:space="0" w:color="auto"/>
        <w:right w:val="none" w:sz="0" w:space="0" w:color="auto"/>
      </w:divBdr>
    </w:div>
    <w:div w:id="933972319">
      <w:bodyDiv w:val="1"/>
      <w:marLeft w:val="0"/>
      <w:marRight w:val="0"/>
      <w:marTop w:val="0"/>
      <w:marBottom w:val="0"/>
      <w:divBdr>
        <w:top w:val="none" w:sz="0" w:space="0" w:color="auto"/>
        <w:left w:val="none" w:sz="0" w:space="0" w:color="auto"/>
        <w:bottom w:val="none" w:sz="0" w:space="0" w:color="auto"/>
        <w:right w:val="none" w:sz="0" w:space="0" w:color="auto"/>
      </w:divBdr>
    </w:div>
    <w:div w:id="1007556726">
      <w:bodyDiv w:val="1"/>
      <w:marLeft w:val="0"/>
      <w:marRight w:val="0"/>
      <w:marTop w:val="0"/>
      <w:marBottom w:val="0"/>
      <w:divBdr>
        <w:top w:val="none" w:sz="0" w:space="0" w:color="auto"/>
        <w:left w:val="none" w:sz="0" w:space="0" w:color="auto"/>
        <w:bottom w:val="none" w:sz="0" w:space="0" w:color="auto"/>
        <w:right w:val="none" w:sz="0" w:space="0" w:color="auto"/>
      </w:divBdr>
    </w:div>
    <w:div w:id="1030641834">
      <w:bodyDiv w:val="1"/>
      <w:marLeft w:val="0"/>
      <w:marRight w:val="0"/>
      <w:marTop w:val="0"/>
      <w:marBottom w:val="0"/>
      <w:divBdr>
        <w:top w:val="none" w:sz="0" w:space="0" w:color="auto"/>
        <w:left w:val="none" w:sz="0" w:space="0" w:color="auto"/>
        <w:bottom w:val="none" w:sz="0" w:space="0" w:color="auto"/>
        <w:right w:val="none" w:sz="0" w:space="0" w:color="auto"/>
      </w:divBdr>
    </w:div>
    <w:div w:id="1050422725">
      <w:bodyDiv w:val="1"/>
      <w:marLeft w:val="0"/>
      <w:marRight w:val="0"/>
      <w:marTop w:val="0"/>
      <w:marBottom w:val="0"/>
      <w:divBdr>
        <w:top w:val="none" w:sz="0" w:space="0" w:color="auto"/>
        <w:left w:val="none" w:sz="0" w:space="0" w:color="auto"/>
        <w:bottom w:val="none" w:sz="0" w:space="0" w:color="auto"/>
        <w:right w:val="none" w:sz="0" w:space="0" w:color="auto"/>
      </w:divBdr>
    </w:div>
    <w:div w:id="1091511440">
      <w:bodyDiv w:val="1"/>
      <w:marLeft w:val="0"/>
      <w:marRight w:val="0"/>
      <w:marTop w:val="0"/>
      <w:marBottom w:val="0"/>
      <w:divBdr>
        <w:top w:val="none" w:sz="0" w:space="0" w:color="auto"/>
        <w:left w:val="none" w:sz="0" w:space="0" w:color="auto"/>
        <w:bottom w:val="none" w:sz="0" w:space="0" w:color="auto"/>
        <w:right w:val="none" w:sz="0" w:space="0" w:color="auto"/>
      </w:divBdr>
    </w:div>
    <w:div w:id="1092749608">
      <w:bodyDiv w:val="1"/>
      <w:marLeft w:val="0"/>
      <w:marRight w:val="0"/>
      <w:marTop w:val="0"/>
      <w:marBottom w:val="0"/>
      <w:divBdr>
        <w:top w:val="none" w:sz="0" w:space="0" w:color="auto"/>
        <w:left w:val="none" w:sz="0" w:space="0" w:color="auto"/>
        <w:bottom w:val="none" w:sz="0" w:space="0" w:color="auto"/>
        <w:right w:val="none" w:sz="0" w:space="0" w:color="auto"/>
      </w:divBdr>
    </w:div>
    <w:div w:id="1095588706">
      <w:bodyDiv w:val="1"/>
      <w:marLeft w:val="0"/>
      <w:marRight w:val="0"/>
      <w:marTop w:val="0"/>
      <w:marBottom w:val="0"/>
      <w:divBdr>
        <w:top w:val="none" w:sz="0" w:space="0" w:color="auto"/>
        <w:left w:val="none" w:sz="0" w:space="0" w:color="auto"/>
        <w:bottom w:val="none" w:sz="0" w:space="0" w:color="auto"/>
        <w:right w:val="none" w:sz="0" w:space="0" w:color="auto"/>
      </w:divBdr>
    </w:div>
    <w:div w:id="1100956143">
      <w:bodyDiv w:val="1"/>
      <w:marLeft w:val="0"/>
      <w:marRight w:val="0"/>
      <w:marTop w:val="0"/>
      <w:marBottom w:val="0"/>
      <w:divBdr>
        <w:top w:val="none" w:sz="0" w:space="0" w:color="auto"/>
        <w:left w:val="none" w:sz="0" w:space="0" w:color="auto"/>
        <w:bottom w:val="none" w:sz="0" w:space="0" w:color="auto"/>
        <w:right w:val="none" w:sz="0" w:space="0" w:color="auto"/>
      </w:divBdr>
    </w:div>
    <w:div w:id="1160120350">
      <w:bodyDiv w:val="1"/>
      <w:marLeft w:val="0"/>
      <w:marRight w:val="0"/>
      <w:marTop w:val="0"/>
      <w:marBottom w:val="0"/>
      <w:divBdr>
        <w:top w:val="none" w:sz="0" w:space="0" w:color="auto"/>
        <w:left w:val="none" w:sz="0" w:space="0" w:color="auto"/>
        <w:bottom w:val="none" w:sz="0" w:space="0" w:color="auto"/>
        <w:right w:val="none" w:sz="0" w:space="0" w:color="auto"/>
      </w:divBdr>
    </w:div>
    <w:div w:id="1216546549">
      <w:bodyDiv w:val="1"/>
      <w:marLeft w:val="0"/>
      <w:marRight w:val="0"/>
      <w:marTop w:val="0"/>
      <w:marBottom w:val="0"/>
      <w:divBdr>
        <w:top w:val="none" w:sz="0" w:space="0" w:color="auto"/>
        <w:left w:val="none" w:sz="0" w:space="0" w:color="auto"/>
        <w:bottom w:val="none" w:sz="0" w:space="0" w:color="auto"/>
        <w:right w:val="none" w:sz="0" w:space="0" w:color="auto"/>
      </w:divBdr>
    </w:div>
    <w:div w:id="1232038605">
      <w:bodyDiv w:val="1"/>
      <w:marLeft w:val="0"/>
      <w:marRight w:val="0"/>
      <w:marTop w:val="0"/>
      <w:marBottom w:val="0"/>
      <w:divBdr>
        <w:top w:val="none" w:sz="0" w:space="0" w:color="auto"/>
        <w:left w:val="none" w:sz="0" w:space="0" w:color="auto"/>
        <w:bottom w:val="none" w:sz="0" w:space="0" w:color="auto"/>
        <w:right w:val="none" w:sz="0" w:space="0" w:color="auto"/>
      </w:divBdr>
    </w:div>
    <w:div w:id="1254359577">
      <w:bodyDiv w:val="1"/>
      <w:marLeft w:val="0"/>
      <w:marRight w:val="0"/>
      <w:marTop w:val="0"/>
      <w:marBottom w:val="0"/>
      <w:divBdr>
        <w:top w:val="none" w:sz="0" w:space="0" w:color="auto"/>
        <w:left w:val="none" w:sz="0" w:space="0" w:color="auto"/>
        <w:bottom w:val="none" w:sz="0" w:space="0" w:color="auto"/>
        <w:right w:val="none" w:sz="0" w:space="0" w:color="auto"/>
      </w:divBdr>
    </w:div>
    <w:div w:id="1271864006">
      <w:bodyDiv w:val="1"/>
      <w:marLeft w:val="0"/>
      <w:marRight w:val="0"/>
      <w:marTop w:val="0"/>
      <w:marBottom w:val="0"/>
      <w:divBdr>
        <w:top w:val="none" w:sz="0" w:space="0" w:color="auto"/>
        <w:left w:val="none" w:sz="0" w:space="0" w:color="auto"/>
        <w:bottom w:val="none" w:sz="0" w:space="0" w:color="auto"/>
        <w:right w:val="none" w:sz="0" w:space="0" w:color="auto"/>
      </w:divBdr>
    </w:div>
    <w:div w:id="1453593777">
      <w:bodyDiv w:val="1"/>
      <w:marLeft w:val="0"/>
      <w:marRight w:val="0"/>
      <w:marTop w:val="0"/>
      <w:marBottom w:val="0"/>
      <w:divBdr>
        <w:top w:val="none" w:sz="0" w:space="0" w:color="auto"/>
        <w:left w:val="none" w:sz="0" w:space="0" w:color="auto"/>
        <w:bottom w:val="none" w:sz="0" w:space="0" w:color="auto"/>
        <w:right w:val="none" w:sz="0" w:space="0" w:color="auto"/>
      </w:divBdr>
    </w:div>
    <w:div w:id="1478372805">
      <w:bodyDiv w:val="1"/>
      <w:marLeft w:val="0"/>
      <w:marRight w:val="0"/>
      <w:marTop w:val="0"/>
      <w:marBottom w:val="0"/>
      <w:divBdr>
        <w:top w:val="none" w:sz="0" w:space="0" w:color="auto"/>
        <w:left w:val="none" w:sz="0" w:space="0" w:color="auto"/>
        <w:bottom w:val="none" w:sz="0" w:space="0" w:color="auto"/>
        <w:right w:val="none" w:sz="0" w:space="0" w:color="auto"/>
      </w:divBdr>
    </w:div>
    <w:div w:id="1517963056">
      <w:bodyDiv w:val="1"/>
      <w:marLeft w:val="0"/>
      <w:marRight w:val="0"/>
      <w:marTop w:val="0"/>
      <w:marBottom w:val="0"/>
      <w:divBdr>
        <w:top w:val="none" w:sz="0" w:space="0" w:color="auto"/>
        <w:left w:val="none" w:sz="0" w:space="0" w:color="auto"/>
        <w:bottom w:val="none" w:sz="0" w:space="0" w:color="auto"/>
        <w:right w:val="none" w:sz="0" w:space="0" w:color="auto"/>
      </w:divBdr>
    </w:div>
    <w:div w:id="1637294568">
      <w:bodyDiv w:val="1"/>
      <w:marLeft w:val="0"/>
      <w:marRight w:val="0"/>
      <w:marTop w:val="0"/>
      <w:marBottom w:val="0"/>
      <w:divBdr>
        <w:top w:val="none" w:sz="0" w:space="0" w:color="auto"/>
        <w:left w:val="none" w:sz="0" w:space="0" w:color="auto"/>
        <w:bottom w:val="none" w:sz="0" w:space="0" w:color="auto"/>
        <w:right w:val="none" w:sz="0" w:space="0" w:color="auto"/>
      </w:divBdr>
    </w:div>
    <w:div w:id="1640383882">
      <w:bodyDiv w:val="1"/>
      <w:marLeft w:val="0"/>
      <w:marRight w:val="0"/>
      <w:marTop w:val="0"/>
      <w:marBottom w:val="0"/>
      <w:divBdr>
        <w:top w:val="none" w:sz="0" w:space="0" w:color="auto"/>
        <w:left w:val="none" w:sz="0" w:space="0" w:color="auto"/>
        <w:bottom w:val="none" w:sz="0" w:space="0" w:color="auto"/>
        <w:right w:val="none" w:sz="0" w:space="0" w:color="auto"/>
      </w:divBdr>
    </w:div>
    <w:div w:id="1678848795">
      <w:bodyDiv w:val="1"/>
      <w:marLeft w:val="0"/>
      <w:marRight w:val="0"/>
      <w:marTop w:val="0"/>
      <w:marBottom w:val="0"/>
      <w:divBdr>
        <w:top w:val="none" w:sz="0" w:space="0" w:color="auto"/>
        <w:left w:val="none" w:sz="0" w:space="0" w:color="auto"/>
        <w:bottom w:val="none" w:sz="0" w:space="0" w:color="auto"/>
        <w:right w:val="none" w:sz="0" w:space="0" w:color="auto"/>
      </w:divBdr>
    </w:div>
    <w:div w:id="1681347535">
      <w:bodyDiv w:val="1"/>
      <w:marLeft w:val="0"/>
      <w:marRight w:val="0"/>
      <w:marTop w:val="0"/>
      <w:marBottom w:val="0"/>
      <w:divBdr>
        <w:top w:val="none" w:sz="0" w:space="0" w:color="auto"/>
        <w:left w:val="none" w:sz="0" w:space="0" w:color="auto"/>
        <w:bottom w:val="none" w:sz="0" w:space="0" w:color="auto"/>
        <w:right w:val="none" w:sz="0" w:space="0" w:color="auto"/>
      </w:divBdr>
    </w:div>
    <w:div w:id="1690066151">
      <w:bodyDiv w:val="1"/>
      <w:marLeft w:val="0"/>
      <w:marRight w:val="0"/>
      <w:marTop w:val="0"/>
      <w:marBottom w:val="0"/>
      <w:divBdr>
        <w:top w:val="none" w:sz="0" w:space="0" w:color="auto"/>
        <w:left w:val="none" w:sz="0" w:space="0" w:color="auto"/>
        <w:bottom w:val="none" w:sz="0" w:space="0" w:color="auto"/>
        <w:right w:val="none" w:sz="0" w:space="0" w:color="auto"/>
      </w:divBdr>
    </w:div>
    <w:div w:id="1727558580">
      <w:bodyDiv w:val="1"/>
      <w:marLeft w:val="0"/>
      <w:marRight w:val="0"/>
      <w:marTop w:val="0"/>
      <w:marBottom w:val="0"/>
      <w:divBdr>
        <w:top w:val="none" w:sz="0" w:space="0" w:color="auto"/>
        <w:left w:val="none" w:sz="0" w:space="0" w:color="auto"/>
        <w:bottom w:val="none" w:sz="0" w:space="0" w:color="auto"/>
        <w:right w:val="none" w:sz="0" w:space="0" w:color="auto"/>
      </w:divBdr>
    </w:div>
    <w:div w:id="1761758881">
      <w:bodyDiv w:val="1"/>
      <w:marLeft w:val="0"/>
      <w:marRight w:val="0"/>
      <w:marTop w:val="0"/>
      <w:marBottom w:val="0"/>
      <w:divBdr>
        <w:top w:val="none" w:sz="0" w:space="0" w:color="auto"/>
        <w:left w:val="none" w:sz="0" w:space="0" w:color="auto"/>
        <w:bottom w:val="none" w:sz="0" w:space="0" w:color="auto"/>
        <w:right w:val="none" w:sz="0" w:space="0" w:color="auto"/>
      </w:divBdr>
    </w:div>
    <w:div w:id="1773281995">
      <w:bodyDiv w:val="1"/>
      <w:marLeft w:val="0"/>
      <w:marRight w:val="0"/>
      <w:marTop w:val="0"/>
      <w:marBottom w:val="0"/>
      <w:divBdr>
        <w:top w:val="none" w:sz="0" w:space="0" w:color="auto"/>
        <w:left w:val="none" w:sz="0" w:space="0" w:color="auto"/>
        <w:bottom w:val="none" w:sz="0" w:space="0" w:color="auto"/>
        <w:right w:val="none" w:sz="0" w:space="0" w:color="auto"/>
      </w:divBdr>
    </w:div>
    <w:div w:id="1842617251">
      <w:bodyDiv w:val="1"/>
      <w:marLeft w:val="0"/>
      <w:marRight w:val="0"/>
      <w:marTop w:val="0"/>
      <w:marBottom w:val="0"/>
      <w:divBdr>
        <w:top w:val="none" w:sz="0" w:space="0" w:color="auto"/>
        <w:left w:val="none" w:sz="0" w:space="0" w:color="auto"/>
        <w:bottom w:val="none" w:sz="0" w:space="0" w:color="auto"/>
        <w:right w:val="none" w:sz="0" w:space="0" w:color="auto"/>
      </w:divBdr>
    </w:div>
    <w:div w:id="1846242004">
      <w:bodyDiv w:val="1"/>
      <w:marLeft w:val="0"/>
      <w:marRight w:val="0"/>
      <w:marTop w:val="0"/>
      <w:marBottom w:val="0"/>
      <w:divBdr>
        <w:top w:val="none" w:sz="0" w:space="0" w:color="auto"/>
        <w:left w:val="none" w:sz="0" w:space="0" w:color="auto"/>
        <w:bottom w:val="none" w:sz="0" w:space="0" w:color="auto"/>
        <w:right w:val="none" w:sz="0" w:space="0" w:color="auto"/>
      </w:divBdr>
    </w:div>
    <w:div w:id="1854999150">
      <w:bodyDiv w:val="1"/>
      <w:marLeft w:val="0"/>
      <w:marRight w:val="0"/>
      <w:marTop w:val="0"/>
      <w:marBottom w:val="0"/>
      <w:divBdr>
        <w:top w:val="none" w:sz="0" w:space="0" w:color="auto"/>
        <w:left w:val="none" w:sz="0" w:space="0" w:color="auto"/>
        <w:bottom w:val="none" w:sz="0" w:space="0" w:color="auto"/>
        <w:right w:val="none" w:sz="0" w:space="0" w:color="auto"/>
      </w:divBdr>
    </w:div>
    <w:div w:id="1881672217">
      <w:bodyDiv w:val="1"/>
      <w:marLeft w:val="0"/>
      <w:marRight w:val="0"/>
      <w:marTop w:val="0"/>
      <w:marBottom w:val="0"/>
      <w:divBdr>
        <w:top w:val="none" w:sz="0" w:space="0" w:color="auto"/>
        <w:left w:val="none" w:sz="0" w:space="0" w:color="auto"/>
        <w:bottom w:val="none" w:sz="0" w:space="0" w:color="auto"/>
        <w:right w:val="none" w:sz="0" w:space="0" w:color="auto"/>
      </w:divBdr>
    </w:div>
    <w:div w:id="1889611752">
      <w:bodyDiv w:val="1"/>
      <w:marLeft w:val="0"/>
      <w:marRight w:val="0"/>
      <w:marTop w:val="0"/>
      <w:marBottom w:val="0"/>
      <w:divBdr>
        <w:top w:val="none" w:sz="0" w:space="0" w:color="auto"/>
        <w:left w:val="none" w:sz="0" w:space="0" w:color="auto"/>
        <w:bottom w:val="none" w:sz="0" w:space="0" w:color="auto"/>
        <w:right w:val="none" w:sz="0" w:space="0" w:color="auto"/>
      </w:divBdr>
    </w:div>
    <w:div w:id="1928728039">
      <w:bodyDiv w:val="1"/>
      <w:marLeft w:val="0"/>
      <w:marRight w:val="0"/>
      <w:marTop w:val="0"/>
      <w:marBottom w:val="0"/>
      <w:divBdr>
        <w:top w:val="none" w:sz="0" w:space="0" w:color="auto"/>
        <w:left w:val="none" w:sz="0" w:space="0" w:color="auto"/>
        <w:bottom w:val="none" w:sz="0" w:space="0" w:color="auto"/>
        <w:right w:val="none" w:sz="0" w:space="0" w:color="auto"/>
      </w:divBdr>
    </w:div>
    <w:div w:id="1948583585">
      <w:bodyDiv w:val="1"/>
      <w:marLeft w:val="0"/>
      <w:marRight w:val="0"/>
      <w:marTop w:val="0"/>
      <w:marBottom w:val="0"/>
      <w:divBdr>
        <w:top w:val="none" w:sz="0" w:space="0" w:color="auto"/>
        <w:left w:val="none" w:sz="0" w:space="0" w:color="auto"/>
        <w:bottom w:val="none" w:sz="0" w:space="0" w:color="auto"/>
        <w:right w:val="none" w:sz="0" w:space="0" w:color="auto"/>
      </w:divBdr>
    </w:div>
    <w:div w:id="2033802966">
      <w:bodyDiv w:val="1"/>
      <w:marLeft w:val="0"/>
      <w:marRight w:val="0"/>
      <w:marTop w:val="0"/>
      <w:marBottom w:val="0"/>
      <w:divBdr>
        <w:top w:val="none" w:sz="0" w:space="0" w:color="auto"/>
        <w:left w:val="none" w:sz="0" w:space="0" w:color="auto"/>
        <w:bottom w:val="none" w:sz="0" w:space="0" w:color="auto"/>
        <w:right w:val="none" w:sz="0" w:space="0" w:color="auto"/>
      </w:divBdr>
      <w:divsChild>
        <w:div w:id="943613301">
          <w:marLeft w:val="547"/>
          <w:marRight w:val="0"/>
          <w:marTop w:val="125"/>
          <w:marBottom w:val="0"/>
          <w:divBdr>
            <w:top w:val="none" w:sz="0" w:space="0" w:color="auto"/>
            <w:left w:val="none" w:sz="0" w:space="0" w:color="auto"/>
            <w:bottom w:val="none" w:sz="0" w:space="0" w:color="auto"/>
            <w:right w:val="none" w:sz="0" w:space="0" w:color="auto"/>
          </w:divBdr>
        </w:div>
        <w:div w:id="1016158527">
          <w:marLeft w:val="547"/>
          <w:marRight w:val="0"/>
          <w:marTop w:val="125"/>
          <w:marBottom w:val="0"/>
          <w:divBdr>
            <w:top w:val="none" w:sz="0" w:space="0" w:color="auto"/>
            <w:left w:val="none" w:sz="0" w:space="0" w:color="auto"/>
            <w:bottom w:val="none" w:sz="0" w:space="0" w:color="auto"/>
            <w:right w:val="none" w:sz="0" w:space="0" w:color="auto"/>
          </w:divBdr>
        </w:div>
        <w:div w:id="1028993079">
          <w:marLeft w:val="547"/>
          <w:marRight w:val="0"/>
          <w:marTop w:val="125"/>
          <w:marBottom w:val="0"/>
          <w:divBdr>
            <w:top w:val="none" w:sz="0" w:space="0" w:color="auto"/>
            <w:left w:val="none" w:sz="0" w:space="0" w:color="auto"/>
            <w:bottom w:val="none" w:sz="0" w:space="0" w:color="auto"/>
            <w:right w:val="none" w:sz="0" w:space="0" w:color="auto"/>
          </w:divBdr>
        </w:div>
        <w:div w:id="1232078665">
          <w:marLeft w:val="547"/>
          <w:marRight w:val="0"/>
          <w:marTop w:val="125"/>
          <w:marBottom w:val="0"/>
          <w:divBdr>
            <w:top w:val="none" w:sz="0" w:space="0" w:color="auto"/>
            <w:left w:val="none" w:sz="0" w:space="0" w:color="auto"/>
            <w:bottom w:val="none" w:sz="0" w:space="0" w:color="auto"/>
            <w:right w:val="none" w:sz="0" w:space="0" w:color="auto"/>
          </w:divBdr>
        </w:div>
        <w:div w:id="1855222964">
          <w:marLeft w:val="1166"/>
          <w:marRight w:val="0"/>
          <w:marTop w:val="125"/>
          <w:marBottom w:val="0"/>
          <w:divBdr>
            <w:top w:val="none" w:sz="0" w:space="0" w:color="auto"/>
            <w:left w:val="none" w:sz="0" w:space="0" w:color="auto"/>
            <w:bottom w:val="none" w:sz="0" w:space="0" w:color="auto"/>
            <w:right w:val="none" w:sz="0" w:space="0" w:color="auto"/>
          </w:divBdr>
        </w:div>
        <w:div w:id="1924995706">
          <w:marLeft w:val="547"/>
          <w:marRight w:val="0"/>
          <w:marTop w:val="125"/>
          <w:marBottom w:val="0"/>
          <w:divBdr>
            <w:top w:val="none" w:sz="0" w:space="0" w:color="auto"/>
            <w:left w:val="none" w:sz="0" w:space="0" w:color="auto"/>
            <w:bottom w:val="none" w:sz="0" w:space="0" w:color="auto"/>
            <w:right w:val="none" w:sz="0" w:space="0" w:color="auto"/>
          </w:divBdr>
        </w:div>
      </w:divsChild>
    </w:div>
    <w:div w:id="2053263212">
      <w:bodyDiv w:val="1"/>
      <w:marLeft w:val="0"/>
      <w:marRight w:val="0"/>
      <w:marTop w:val="0"/>
      <w:marBottom w:val="0"/>
      <w:divBdr>
        <w:top w:val="none" w:sz="0" w:space="0" w:color="auto"/>
        <w:left w:val="none" w:sz="0" w:space="0" w:color="auto"/>
        <w:bottom w:val="none" w:sz="0" w:space="0" w:color="auto"/>
        <w:right w:val="none" w:sz="0" w:space="0" w:color="auto"/>
      </w:divBdr>
    </w:div>
    <w:div w:id="2054188687">
      <w:bodyDiv w:val="1"/>
      <w:marLeft w:val="0"/>
      <w:marRight w:val="0"/>
      <w:marTop w:val="0"/>
      <w:marBottom w:val="0"/>
      <w:divBdr>
        <w:top w:val="none" w:sz="0" w:space="0" w:color="auto"/>
        <w:left w:val="none" w:sz="0" w:space="0" w:color="auto"/>
        <w:bottom w:val="none" w:sz="0" w:space="0" w:color="auto"/>
        <w:right w:val="none" w:sz="0" w:space="0" w:color="auto"/>
      </w:divBdr>
    </w:div>
    <w:div w:id="2083603698">
      <w:bodyDiv w:val="1"/>
      <w:marLeft w:val="0"/>
      <w:marRight w:val="0"/>
      <w:marTop w:val="0"/>
      <w:marBottom w:val="0"/>
      <w:divBdr>
        <w:top w:val="none" w:sz="0" w:space="0" w:color="auto"/>
        <w:left w:val="none" w:sz="0" w:space="0" w:color="auto"/>
        <w:bottom w:val="none" w:sz="0" w:space="0" w:color="auto"/>
        <w:right w:val="none" w:sz="0" w:space="0" w:color="auto"/>
      </w:divBdr>
    </w:div>
    <w:div w:id="2093507693">
      <w:bodyDiv w:val="1"/>
      <w:marLeft w:val="0"/>
      <w:marRight w:val="0"/>
      <w:marTop w:val="0"/>
      <w:marBottom w:val="0"/>
      <w:divBdr>
        <w:top w:val="none" w:sz="0" w:space="0" w:color="auto"/>
        <w:left w:val="none" w:sz="0" w:space="0" w:color="auto"/>
        <w:bottom w:val="none" w:sz="0" w:space="0" w:color="auto"/>
        <w:right w:val="none" w:sz="0" w:space="0" w:color="auto"/>
      </w:divBdr>
    </w:div>
    <w:div w:id="2107534989">
      <w:bodyDiv w:val="1"/>
      <w:marLeft w:val="0"/>
      <w:marRight w:val="0"/>
      <w:marTop w:val="0"/>
      <w:marBottom w:val="0"/>
      <w:divBdr>
        <w:top w:val="none" w:sz="0" w:space="0" w:color="auto"/>
        <w:left w:val="none" w:sz="0" w:space="0" w:color="auto"/>
        <w:bottom w:val="none" w:sz="0" w:space="0" w:color="auto"/>
        <w:right w:val="none" w:sz="0" w:space="0" w:color="auto"/>
      </w:divBdr>
    </w:div>
    <w:div w:id="2112386520">
      <w:bodyDiv w:val="1"/>
      <w:marLeft w:val="0"/>
      <w:marRight w:val="0"/>
      <w:marTop w:val="0"/>
      <w:marBottom w:val="0"/>
      <w:divBdr>
        <w:top w:val="none" w:sz="0" w:space="0" w:color="auto"/>
        <w:left w:val="none" w:sz="0" w:space="0" w:color="auto"/>
        <w:bottom w:val="none" w:sz="0" w:space="0" w:color="auto"/>
        <w:right w:val="none" w:sz="0" w:space="0" w:color="auto"/>
      </w:divBdr>
    </w:div>
    <w:div w:id="2130781968">
      <w:bodyDiv w:val="1"/>
      <w:marLeft w:val="0"/>
      <w:marRight w:val="0"/>
      <w:marTop w:val="0"/>
      <w:marBottom w:val="0"/>
      <w:divBdr>
        <w:top w:val="none" w:sz="0" w:space="0" w:color="auto"/>
        <w:left w:val="none" w:sz="0" w:space="0" w:color="auto"/>
        <w:bottom w:val="none" w:sz="0" w:space="0" w:color="auto"/>
        <w:right w:val="none" w:sz="0" w:space="0" w:color="auto"/>
      </w:divBdr>
    </w:div>
    <w:div w:id="2134059824">
      <w:bodyDiv w:val="1"/>
      <w:marLeft w:val="0"/>
      <w:marRight w:val="0"/>
      <w:marTop w:val="0"/>
      <w:marBottom w:val="0"/>
      <w:divBdr>
        <w:top w:val="none" w:sz="0" w:space="0" w:color="auto"/>
        <w:left w:val="none" w:sz="0" w:space="0" w:color="auto"/>
        <w:bottom w:val="none" w:sz="0" w:space="0" w:color="auto"/>
        <w:right w:val="none" w:sz="0" w:space="0" w:color="auto"/>
      </w:divBdr>
    </w:div>
    <w:div w:id="2142184919">
      <w:bodyDiv w:val="1"/>
      <w:marLeft w:val="0"/>
      <w:marRight w:val="0"/>
      <w:marTop w:val="0"/>
      <w:marBottom w:val="0"/>
      <w:divBdr>
        <w:top w:val="none" w:sz="0" w:space="0" w:color="auto"/>
        <w:left w:val="none" w:sz="0" w:space="0" w:color="auto"/>
        <w:bottom w:val="none" w:sz="0" w:space="0" w:color="auto"/>
        <w:right w:val="none" w:sz="0" w:space="0" w:color="auto"/>
      </w:divBdr>
    </w:div>
    <w:div w:id="214689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uilhermemacedo5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246D-951F-4B46-855E-3988F19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25512</CharactersWithSpaces>
  <SharedDoc>false</SharedDoc>
  <HLinks>
    <vt:vector size="18" baseType="variant">
      <vt:variant>
        <vt:i4>2424833</vt:i4>
      </vt:variant>
      <vt:variant>
        <vt:i4>0</vt:i4>
      </vt:variant>
      <vt:variant>
        <vt:i4>0</vt:i4>
      </vt:variant>
      <vt:variant>
        <vt:i4>5</vt:i4>
      </vt:variant>
      <vt:variant>
        <vt:lpwstr>mailto:guilhermemacedo59@gmail.com</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7077907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Rodrigues</dc:creator>
  <cp:lastModifiedBy>qiyuan</cp:lastModifiedBy>
  <cp:revision>3</cp:revision>
  <dcterms:created xsi:type="dcterms:W3CDTF">2015-01-30T01:40:00Z</dcterms:created>
  <dcterms:modified xsi:type="dcterms:W3CDTF">2015-01-30T06:41:00Z</dcterms:modified>
</cp:coreProperties>
</file>