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10" w:rsidRPr="009F45BA" w:rsidRDefault="00163410" w:rsidP="00163410">
      <w:pPr>
        <w:spacing w:line="360" w:lineRule="auto"/>
        <w:rPr>
          <w:rFonts w:ascii="Book Antiqua" w:eastAsia="Times New Roman" w:hAnsi="Book Antiqua" w:cs="宋体"/>
          <w:i/>
          <w:sz w:val="24"/>
          <w:szCs w:val="21"/>
        </w:rPr>
      </w:pPr>
      <w:r w:rsidRPr="009F45BA">
        <w:rPr>
          <w:rFonts w:ascii="Book Antiqua" w:eastAsia="Times New Roman" w:hAnsi="Book Antiqua" w:cs="宋体"/>
          <w:b/>
          <w:sz w:val="24"/>
          <w:szCs w:val="21"/>
        </w:rPr>
        <w:t xml:space="preserve">Name of journal: </w:t>
      </w:r>
      <w:bookmarkStart w:id="0" w:name="OLE_LINK718"/>
      <w:bookmarkStart w:id="1" w:name="OLE_LINK719"/>
      <w:bookmarkStart w:id="2" w:name="OLE_LINK645"/>
      <w:bookmarkStart w:id="3" w:name="OLE_LINK661"/>
      <w:bookmarkStart w:id="4" w:name="OLE_LINK696"/>
      <w:r w:rsidRPr="009F45BA">
        <w:rPr>
          <w:rFonts w:ascii="Book Antiqua" w:eastAsia="Times New Roman" w:hAnsi="Book Antiqua" w:cs="宋体"/>
          <w:i/>
          <w:kern w:val="0"/>
          <w:sz w:val="24"/>
          <w:szCs w:val="21"/>
        </w:rPr>
        <w:t>World Journal of Gastroenterology</w:t>
      </w:r>
      <w:bookmarkEnd w:id="0"/>
      <w:bookmarkEnd w:id="1"/>
      <w:bookmarkEnd w:id="2"/>
      <w:bookmarkEnd w:id="3"/>
      <w:bookmarkEnd w:id="4"/>
    </w:p>
    <w:p w:rsidR="00163410" w:rsidRPr="009F45BA" w:rsidRDefault="00163410" w:rsidP="00163410">
      <w:pPr>
        <w:spacing w:line="360" w:lineRule="auto"/>
        <w:rPr>
          <w:rFonts w:ascii="Book Antiqua" w:eastAsia="宋体" w:hAnsi="Book Antiqua" w:cs="Arial"/>
          <w:b/>
          <w:lang w:val="en" w:eastAsia="zh-CN"/>
        </w:rPr>
      </w:pPr>
      <w:r w:rsidRPr="009F45BA">
        <w:rPr>
          <w:rFonts w:ascii="Book Antiqua" w:hAnsi="Book Antiqua" w:cs="Arial"/>
          <w:b/>
          <w:lang w:val="en"/>
        </w:rPr>
        <w:t xml:space="preserve">ESPS Manuscript NO: </w:t>
      </w:r>
      <w:r w:rsidRPr="009F45BA">
        <w:rPr>
          <w:rFonts w:ascii="Book Antiqua" w:eastAsia="宋体" w:hAnsi="Book Antiqua" w:cs="Arial" w:hint="eastAsia"/>
          <w:b/>
          <w:lang w:val="en" w:eastAsia="zh-CN"/>
        </w:rPr>
        <w:t>14668</w:t>
      </w:r>
    </w:p>
    <w:p w:rsidR="00163410" w:rsidRPr="009F45BA" w:rsidRDefault="00163410" w:rsidP="00163410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b/>
          <w:kern w:val="0"/>
          <w:sz w:val="24"/>
          <w:lang w:eastAsia="zh-CN"/>
        </w:rPr>
      </w:pPr>
      <w:bookmarkStart w:id="5" w:name="OLE_LINK3"/>
      <w:bookmarkStart w:id="6" w:name="OLE_LINK4"/>
      <w:bookmarkStart w:id="7" w:name="OLE_LINK5"/>
      <w:bookmarkStart w:id="8" w:name="OLE_LINK6"/>
      <w:r w:rsidRPr="009F45BA">
        <w:rPr>
          <w:rFonts w:ascii="Book Antiqua" w:hAnsi="Book Antiqua"/>
          <w:b/>
          <w:kern w:val="0"/>
          <w:sz w:val="24"/>
        </w:rPr>
        <w:t xml:space="preserve">Columns: </w:t>
      </w:r>
      <w:bookmarkEnd w:id="5"/>
      <w:bookmarkEnd w:id="6"/>
      <w:r w:rsidRPr="009F45BA">
        <w:rPr>
          <w:rFonts w:ascii="Book Antiqua" w:hAnsi="Book Antiqua"/>
          <w:b/>
          <w:kern w:val="0"/>
          <w:sz w:val="24"/>
        </w:rPr>
        <w:t>ORIGINAL ARTICLE</w:t>
      </w:r>
      <w:bookmarkEnd w:id="7"/>
      <w:bookmarkEnd w:id="8"/>
    </w:p>
    <w:p w:rsidR="00163410" w:rsidRPr="009F45BA" w:rsidRDefault="00163410" w:rsidP="00163410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宋体" w:hAnsi="Book Antiqua"/>
          <w:b/>
          <w:kern w:val="0"/>
          <w:sz w:val="24"/>
          <w:lang w:eastAsia="zh-CN"/>
        </w:rPr>
      </w:pPr>
    </w:p>
    <w:p w:rsidR="00543E27" w:rsidRPr="00543E27" w:rsidRDefault="00543E27" w:rsidP="00543E27">
      <w:pPr>
        <w:widowControl/>
        <w:adjustRightInd w:val="0"/>
        <w:snapToGrid w:val="0"/>
        <w:spacing w:line="360" w:lineRule="auto"/>
        <w:rPr>
          <w:rFonts w:ascii="Book Antiqua" w:eastAsia="华文细黑" w:hAnsi="Book Antiqua" w:cs="Tahoma"/>
          <w:b/>
          <w:bCs/>
          <w:i/>
          <w:sz w:val="24"/>
        </w:rPr>
      </w:pPr>
      <w:r w:rsidRPr="00543E27">
        <w:rPr>
          <w:rFonts w:ascii="Book Antiqua" w:eastAsia="华文细黑" w:hAnsi="Book Antiqua" w:cs="Tahoma"/>
          <w:b/>
          <w:i/>
          <w:sz w:val="24"/>
        </w:rPr>
        <w:t>Randomized Controlled Trial</w:t>
      </w:r>
    </w:p>
    <w:p w:rsidR="0010029D" w:rsidRPr="009F45BA" w:rsidRDefault="00117D5C" w:rsidP="001634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proofErr w:type="spellStart"/>
      <w:r w:rsidRPr="009F45BA">
        <w:rPr>
          <w:rFonts w:ascii="Book Antiqua" w:eastAsia="MS PMincho" w:hAnsi="Book Antiqua"/>
          <w:b/>
          <w:sz w:val="24"/>
          <w:szCs w:val="24"/>
        </w:rPr>
        <w:t>I</w:t>
      </w:r>
      <w:r w:rsidR="00D8088D" w:rsidRPr="009F45BA">
        <w:rPr>
          <w:rFonts w:ascii="Book Antiqua" w:eastAsia="MS PMincho" w:hAnsi="Book Antiqua"/>
          <w:b/>
          <w:sz w:val="24"/>
          <w:szCs w:val="24"/>
        </w:rPr>
        <w:t>rsogladine</w:t>
      </w:r>
      <w:proofErr w:type="spellEnd"/>
      <w:r w:rsidR="00D8088D" w:rsidRPr="009F45BA">
        <w:rPr>
          <w:rFonts w:ascii="Book Antiqua" w:eastAsia="MS PMincho" w:hAnsi="Book Antiqua"/>
          <w:b/>
          <w:sz w:val="24"/>
          <w:szCs w:val="24"/>
        </w:rPr>
        <w:t xml:space="preserve"> maleate</w:t>
      </w:r>
      <w:r w:rsidR="00821A4C" w:rsidRPr="009F45BA">
        <w:rPr>
          <w:rFonts w:ascii="Book Antiqua" w:eastAsia="MS PMincho" w:hAnsi="Book Antiqua"/>
          <w:b/>
          <w:sz w:val="24"/>
          <w:szCs w:val="24"/>
        </w:rPr>
        <w:t xml:space="preserve"> </w:t>
      </w:r>
      <w:r w:rsidRPr="009F45BA">
        <w:rPr>
          <w:rFonts w:ascii="Book Antiqua" w:eastAsia="MS PMincho" w:hAnsi="Book Antiqua"/>
          <w:b/>
          <w:sz w:val="24"/>
          <w:szCs w:val="24"/>
        </w:rPr>
        <w:t>and</w:t>
      </w:r>
      <w:r w:rsidR="00821A4C" w:rsidRPr="009F45BA">
        <w:rPr>
          <w:rFonts w:ascii="Book Antiqua" w:eastAsia="MS PMincho" w:hAnsi="Book Antiqua"/>
          <w:b/>
          <w:sz w:val="24"/>
          <w:szCs w:val="24"/>
        </w:rPr>
        <w:t xml:space="preserve"> </w:t>
      </w:r>
      <w:proofErr w:type="spellStart"/>
      <w:r w:rsidR="00821A4C" w:rsidRPr="009F45BA">
        <w:rPr>
          <w:rFonts w:ascii="Book Antiqua" w:eastAsia="MS PMincho" w:hAnsi="Book Antiqua"/>
          <w:b/>
          <w:sz w:val="24"/>
          <w:szCs w:val="24"/>
        </w:rPr>
        <w:t>rabeprazole</w:t>
      </w:r>
      <w:proofErr w:type="spellEnd"/>
      <w:r w:rsidR="00821A4C" w:rsidRPr="009F45BA">
        <w:rPr>
          <w:rFonts w:ascii="Book Antiqua" w:eastAsia="MS PMincho" w:hAnsi="Book Antiqua"/>
          <w:b/>
          <w:sz w:val="24"/>
          <w:szCs w:val="24"/>
        </w:rPr>
        <w:t xml:space="preserve"> in non-erosive reflux dis</w:t>
      </w:r>
      <w:r w:rsidR="005E1F3C" w:rsidRPr="009F45BA">
        <w:rPr>
          <w:rFonts w:ascii="Book Antiqua" w:eastAsia="MS PMincho" w:hAnsi="Book Antiqua"/>
          <w:b/>
          <w:sz w:val="24"/>
          <w:szCs w:val="24"/>
        </w:rPr>
        <w:t>ease</w:t>
      </w:r>
      <w:r w:rsidR="00163410" w:rsidRPr="009F45BA">
        <w:rPr>
          <w:rFonts w:ascii="Book Antiqua" w:eastAsia="宋体" w:hAnsi="Book Antiqua" w:hint="eastAsia"/>
          <w:b/>
          <w:sz w:val="24"/>
          <w:szCs w:val="24"/>
          <w:lang w:eastAsia="zh-CN"/>
        </w:rPr>
        <w:t>:</w:t>
      </w:r>
      <w:r w:rsidR="005E1F3C" w:rsidRPr="009F45BA">
        <w:rPr>
          <w:rFonts w:ascii="Book Antiqua" w:eastAsia="MS PMincho" w:hAnsi="Book Antiqua"/>
          <w:b/>
          <w:sz w:val="24"/>
          <w:szCs w:val="24"/>
        </w:rPr>
        <w:t xml:space="preserve"> </w:t>
      </w:r>
      <w:r w:rsidR="00163410" w:rsidRPr="009F45BA">
        <w:rPr>
          <w:rFonts w:ascii="Book Antiqua" w:eastAsia="MS PMincho" w:hAnsi="Book Antiqua"/>
          <w:b/>
          <w:sz w:val="24"/>
          <w:szCs w:val="24"/>
        </w:rPr>
        <w:t xml:space="preserve">A </w:t>
      </w:r>
      <w:r w:rsidR="005E1F3C" w:rsidRPr="009F45BA">
        <w:rPr>
          <w:rFonts w:ascii="Book Antiqua" w:eastAsia="MS PMincho" w:hAnsi="Book Antiqua"/>
          <w:b/>
          <w:sz w:val="24"/>
          <w:szCs w:val="24"/>
        </w:rPr>
        <w:t>double-blind, placebo-</w:t>
      </w:r>
      <w:r w:rsidR="00821A4C" w:rsidRPr="009F45BA">
        <w:rPr>
          <w:rFonts w:ascii="Book Antiqua" w:eastAsia="MS PMincho" w:hAnsi="Book Antiqua"/>
          <w:b/>
          <w:sz w:val="24"/>
          <w:szCs w:val="24"/>
        </w:rPr>
        <w:t>controlled study</w:t>
      </w:r>
    </w:p>
    <w:p w:rsidR="0019588C" w:rsidRPr="009F45BA" w:rsidRDefault="0019588C" w:rsidP="001634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CF390F" w:rsidRPr="009F45BA" w:rsidRDefault="00163410" w:rsidP="0016341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MS PMincho" w:hAnsi="Book Antiqua"/>
          <w:sz w:val="24"/>
          <w:szCs w:val="24"/>
        </w:rPr>
      </w:pPr>
      <w:r w:rsidRPr="009F45BA">
        <w:rPr>
          <w:rFonts w:ascii="Book Antiqua" w:eastAsia="MS PMincho" w:hAnsi="Book Antiqua"/>
          <w:sz w:val="24"/>
          <w:szCs w:val="24"/>
        </w:rPr>
        <w:t xml:space="preserve">Suzuki </w:t>
      </w:r>
      <w:r w:rsidRPr="009F45BA">
        <w:rPr>
          <w:rFonts w:ascii="Book Antiqua" w:eastAsia="宋体" w:hAnsi="Book Antiqua" w:hint="eastAsia"/>
          <w:sz w:val="24"/>
          <w:szCs w:val="24"/>
          <w:lang w:eastAsia="zh-CN"/>
        </w:rPr>
        <w:t xml:space="preserve">T </w:t>
      </w:r>
      <w:r w:rsidRPr="009F45BA">
        <w:rPr>
          <w:rFonts w:ascii="Book Antiqua" w:eastAsia="宋体" w:hAnsi="Book Antiqua" w:hint="eastAsia"/>
          <w:i/>
          <w:sz w:val="24"/>
          <w:szCs w:val="24"/>
          <w:lang w:eastAsia="zh-CN"/>
        </w:rPr>
        <w:t>et al.</w:t>
      </w:r>
      <w:r w:rsidRPr="009F45BA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proofErr w:type="spellStart"/>
      <w:r w:rsidR="00D110CA" w:rsidRPr="009F45BA">
        <w:rPr>
          <w:rFonts w:ascii="Book Antiqua" w:eastAsia="MS PMincho" w:hAnsi="Book Antiqua"/>
          <w:sz w:val="24"/>
          <w:szCs w:val="24"/>
        </w:rPr>
        <w:t>Irsogladine</w:t>
      </w:r>
      <w:proofErr w:type="spellEnd"/>
      <w:r w:rsidR="00D110CA" w:rsidRPr="009F45BA">
        <w:rPr>
          <w:rFonts w:ascii="Book Antiqua" w:eastAsia="MS PMincho" w:hAnsi="Book Antiqua"/>
          <w:sz w:val="24"/>
          <w:szCs w:val="24"/>
        </w:rPr>
        <w:t xml:space="preserve"> maleate and </w:t>
      </w:r>
      <w:proofErr w:type="spellStart"/>
      <w:r w:rsidR="00D110CA" w:rsidRPr="009F45BA">
        <w:rPr>
          <w:rFonts w:ascii="Book Antiqua" w:eastAsia="MS PMincho" w:hAnsi="Book Antiqua"/>
          <w:sz w:val="24"/>
          <w:szCs w:val="24"/>
        </w:rPr>
        <w:t>rabeprazole</w:t>
      </w:r>
      <w:proofErr w:type="spellEnd"/>
      <w:r w:rsidR="00D110CA" w:rsidRPr="009F45BA">
        <w:rPr>
          <w:rFonts w:ascii="Book Antiqua" w:eastAsia="MS PMincho" w:hAnsi="Book Antiqua"/>
          <w:sz w:val="24"/>
          <w:szCs w:val="24"/>
        </w:rPr>
        <w:t xml:space="preserve"> in NERD</w:t>
      </w:r>
    </w:p>
    <w:p w:rsidR="00CF56F8" w:rsidRPr="009F45BA" w:rsidRDefault="00CF56F8" w:rsidP="0016341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MS PMincho" w:hAnsi="Book Antiqua"/>
          <w:sz w:val="24"/>
          <w:szCs w:val="24"/>
        </w:rPr>
      </w:pPr>
    </w:p>
    <w:p w:rsidR="003505DC" w:rsidRPr="009F45BA" w:rsidRDefault="0010029D" w:rsidP="00163410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9F45BA">
        <w:rPr>
          <w:rFonts w:ascii="Book Antiqua" w:eastAsia="MS Gothic" w:hAnsi="Book Antiqua"/>
          <w:sz w:val="24"/>
          <w:szCs w:val="24"/>
        </w:rPr>
        <w:t>Takayoshi Suzuki, Masashi Matsushima</w:t>
      </w:r>
      <w:r w:rsidR="00056708" w:rsidRPr="009F45BA">
        <w:rPr>
          <w:rFonts w:ascii="Book Antiqua" w:eastAsia="MS Gothic" w:hAnsi="Book Antiqua"/>
          <w:sz w:val="24"/>
          <w:szCs w:val="24"/>
        </w:rPr>
        <w:t xml:space="preserve">, </w:t>
      </w:r>
      <w:proofErr w:type="spellStart"/>
      <w:r w:rsidR="00FD1DC2" w:rsidRPr="009F45BA">
        <w:rPr>
          <w:rFonts w:ascii="Book Antiqua" w:eastAsia="MS Gothic" w:hAnsi="Book Antiqua"/>
          <w:sz w:val="24"/>
          <w:szCs w:val="24"/>
        </w:rPr>
        <w:t>Aya</w:t>
      </w:r>
      <w:proofErr w:type="spellEnd"/>
      <w:r w:rsidR="00FD1DC2" w:rsidRPr="009F45BA">
        <w:rPr>
          <w:rFonts w:ascii="Book Antiqua" w:eastAsia="MS Gothic" w:hAnsi="Book Antiqua"/>
          <w:sz w:val="24"/>
          <w:szCs w:val="24"/>
        </w:rPr>
        <w:t xml:space="preserve"> Masui, Shingo </w:t>
      </w:r>
      <w:proofErr w:type="spellStart"/>
      <w:r w:rsidR="00FD1DC2" w:rsidRPr="009F45BA">
        <w:rPr>
          <w:rFonts w:ascii="Book Antiqua" w:eastAsia="MS Gothic" w:hAnsi="Book Antiqua"/>
          <w:sz w:val="24"/>
          <w:szCs w:val="24"/>
        </w:rPr>
        <w:t>Tsuda</w:t>
      </w:r>
      <w:proofErr w:type="spellEnd"/>
      <w:r w:rsidR="00FD1DC2" w:rsidRPr="009F45BA">
        <w:rPr>
          <w:rFonts w:ascii="Book Antiqua" w:eastAsia="MS Gothic" w:hAnsi="Book Antiqua"/>
          <w:sz w:val="24"/>
          <w:szCs w:val="24"/>
        </w:rPr>
        <w:t xml:space="preserve">, </w:t>
      </w:r>
      <w:proofErr w:type="spellStart"/>
      <w:r w:rsidR="00760557" w:rsidRPr="009F45BA">
        <w:rPr>
          <w:rFonts w:ascii="Book Antiqua" w:eastAsia="MS Gothic" w:hAnsi="Book Antiqua"/>
          <w:sz w:val="24"/>
          <w:szCs w:val="24"/>
        </w:rPr>
        <w:t>Jin</w:t>
      </w:r>
      <w:proofErr w:type="spellEnd"/>
      <w:r w:rsidR="00760557" w:rsidRPr="009F45BA">
        <w:rPr>
          <w:rFonts w:ascii="Book Antiqua" w:eastAsia="MS Gothic" w:hAnsi="Book Antiqua"/>
          <w:sz w:val="24"/>
          <w:szCs w:val="24"/>
        </w:rPr>
        <w:t xml:space="preserve"> Imai, </w:t>
      </w:r>
      <w:r w:rsidR="00C46196" w:rsidRPr="009F45BA">
        <w:rPr>
          <w:rFonts w:ascii="Book Antiqua" w:eastAsia="MS Gothic" w:hAnsi="Book Antiqua"/>
          <w:sz w:val="24"/>
          <w:szCs w:val="24"/>
        </w:rPr>
        <w:t xml:space="preserve">Jun Nakamura, Yoko </w:t>
      </w:r>
      <w:proofErr w:type="spellStart"/>
      <w:r w:rsidR="00C46196" w:rsidRPr="009F45BA">
        <w:rPr>
          <w:rFonts w:ascii="Book Antiqua" w:eastAsia="MS Gothic" w:hAnsi="Book Antiqua"/>
          <w:sz w:val="24"/>
          <w:szCs w:val="24"/>
        </w:rPr>
        <w:t>Tsukune</w:t>
      </w:r>
      <w:proofErr w:type="spellEnd"/>
      <w:r w:rsidR="00C46196" w:rsidRPr="009F45BA">
        <w:rPr>
          <w:rFonts w:ascii="Book Antiqua" w:eastAsia="MS Gothic" w:hAnsi="Book Antiqua"/>
          <w:sz w:val="24"/>
          <w:szCs w:val="24"/>
        </w:rPr>
        <w:t xml:space="preserve">, </w:t>
      </w:r>
      <w:proofErr w:type="spellStart"/>
      <w:r w:rsidR="00C46196" w:rsidRPr="009F45BA">
        <w:rPr>
          <w:rFonts w:ascii="Book Antiqua" w:eastAsia="MS Gothic" w:hAnsi="Book Antiqua"/>
          <w:sz w:val="24"/>
          <w:szCs w:val="24"/>
        </w:rPr>
        <w:t>Tetsufumi</w:t>
      </w:r>
      <w:proofErr w:type="spellEnd"/>
      <w:r w:rsidR="00C46196" w:rsidRPr="009F45BA">
        <w:rPr>
          <w:rFonts w:ascii="Book Antiqua" w:eastAsia="MS Gothic" w:hAnsi="Book Antiqua"/>
          <w:sz w:val="24"/>
          <w:szCs w:val="24"/>
        </w:rPr>
        <w:t xml:space="preserve"> Uchida, Hiroki </w:t>
      </w:r>
      <w:proofErr w:type="spellStart"/>
      <w:r w:rsidR="00C46196" w:rsidRPr="009F45BA">
        <w:rPr>
          <w:rFonts w:ascii="Book Antiqua" w:eastAsia="MS Gothic" w:hAnsi="Book Antiqua"/>
          <w:sz w:val="24"/>
          <w:szCs w:val="24"/>
        </w:rPr>
        <w:t>Yuhara</w:t>
      </w:r>
      <w:proofErr w:type="spellEnd"/>
      <w:r w:rsidR="00C46196" w:rsidRPr="009F45BA">
        <w:rPr>
          <w:rFonts w:ascii="Book Antiqua" w:eastAsia="MS Gothic" w:hAnsi="Book Antiqua"/>
          <w:sz w:val="24"/>
          <w:szCs w:val="24"/>
        </w:rPr>
        <w:t>,</w:t>
      </w:r>
      <w:r w:rsidR="00EB113C" w:rsidRPr="009F45BA">
        <w:rPr>
          <w:rFonts w:ascii="Book Antiqua" w:eastAsia="MS Gothic" w:hAnsi="Book Antiqua"/>
          <w:sz w:val="24"/>
          <w:szCs w:val="24"/>
        </w:rPr>
        <w:t xml:space="preserve"> </w:t>
      </w:r>
      <w:proofErr w:type="spellStart"/>
      <w:r w:rsidR="00056708" w:rsidRPr="009F45BA">
        <w:rPr>
          <w:rFonts w:ascii="Book Antiqua" w:eastAsia="MS Gothic" w:hAnsi="Book Antiqua"/>
          <w:sz w:val="24"/>
          <w:szCs w:val="24"/>
        </w:rPr>
        <w:t>Muneki</w:t>
      </w:r>
      <w:proofErr w:type="spellEnd"/>
      <w:r w:rsidR="00056708" w:rsidRPr="009F45BA">
        <w:rPr>
          <w:rFonts w:ascii="Book Antiqua" w:eastAsia="MS Gothic" w:hAnsi="Book Antiqua"/>
          <w:sz w:val="24"/>
          <w:szCs w:val="24"/>
        </w:rPr>
        <w:t xml:space="preserve"> Igarashi,</w:t>
      </w:r>
      <w:r w:rsidR="00163410" w:rsidRPr="009F45BA">
        <w:rPr>
          <w:rFonts w:ascii="Book Antiqua" w:eastAsia="MS Gothic" w:hAnsi="Book Antiqua"/>
          <w:sz w:val="24"/>
          <w:szCs w:val="24"/>
        </w:rPr>
        <w:t xml:space="preserve"> Jun Koike, Tetsuya Mine</w:t>
      </w:r>
    </w:p>
    <w:p w:rsidR="00CF56F8" w:rsidRPr="009F45BA" w:rsidRDefault="00CF56F8" w:rsidP="0016341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:rsidR="0010029D" w:rsidRPr="009F45BA" w:rsidRDefault="00163410" w:rsidP="00163410">
      <w:pPr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9F45BA">
        <w:rPr>
          <w:rFonts w:ascii="Book Antiqua" w:eastAsia="MS Gothic" w:hAnsi="Book Antiqua"/>
          <w:b/>
          <w:sz w:val="24"/>
          <w:szCs w:val="24"/>
        </w:rPr>
        <w:t xml:space="preserve">Takayoshi Suzuki, Masashi Matsushima, </w:t>
      </w:r>
      <w:proofErr w:type="spellStart"/>
      <w:r w:rsidRPr="009F45BA">
        <w:rPr>
          <w:rFonts w:ascii="Book Antiqua" w:eastAsia="MS Gothic" w:hAnsi="Book Antiqua"/>
          <w:b/>
          <w:sz w:val="24"/>
          <w:szCs w:val="24"/>
        </w:rPr>
        <w:t>Aya</w:t>
      </w:r>
      <w:proofErr w:type="spellEnd"/>
      <w:r w:rsidRPr="009F45BA">
        <w:rPr>
          <w:rFonts w:ascii="Book Antiqua" w:eastAsia="MS Gothic" w:hAnsi="Book Antiqua"/>
          <w:b/>
          <w:sz w:val="24"/>
          <w:szCs w:val="24"/>
        </w:rPr>
        <w:t xml:space="preserve"> Masui, Shingo </w:t>
      </w:r>
      <w:proofErr w:type="spellStart"/>
      <w:r w:rsidRPr="009F45BA">
        <w:rPr>
          <w:rFonts w:ascii="Book Antiqua" w:eastAsia="MS Gothic" w:hAnsi="Book Antiqua"/>
          <w:b/>
          <w:sz w:val="24"/>
          <w:szCs w:val="24"/>
        </w:rPr>
        <w:t>Tsuda</w:t>
      </w:r>
      <w:proofErr w:type="spellEnd"/>
      <w:r w:rsidRPr="009F45BA">
        <w:rPr>
          <w:rFonts w:ascii="Book Antiqua" w:eastAsia="MS Gothic" w:hAnsi="Book Antiqua"/>
          <w:b/>
          <w:sz w:val="24"/>
          <w:szCs w:val="24"/>
        </w:rPr>
        <w:t xml:space="preserve">, </w:t>
      </w:r>
      <w:proofErr w:type="spellStart"/>
      <w:r w:rsidRPr="009F45BA">
        <w:rPr>
          <w:rFonts w:ascii="Book Antiqua" w:eastAsia="MS Gothic" w:hAnsi="Book Antiqua"/>
          <w:b/>
          <w:sz w:val="24"/>
          <w:szCs w:val="24"/>
        </w:rPr>
        <w:t>Jin</w:t>
      </w:r>
      <w:proofErr w:type="spellEnd"/>
      <w:r w:rsidRPr="009F45BA">
        <w:rPr>
          <w:rFonts w:ascii="Book Antiqua" w:eastAsia="MS Gothic" w:hAnsi="Book Antiqua"/>
          <w:b/>
          <w:sz w:val="24"/>
          <w:szCs w:val="24"/>
        </w:rPr>
        <w:t xml:space="preserve"> Imai, Jun Nakamura, Yoko </w:t>
      </w:r>
      <w:proofErr w:type="spellStart"/>
      <w:r w:rsidRPr="009F45BA">
        <w:rPr>
          <w:rFonts w:ascii="Book Antiqua" w:eastAsia="MS Gothic" w:hAnsi="Book Antiqua"/>
          <w:b/>
          <w:sz w:val="24"/>
          <w:szCs w:val="24"/>
        </w:rPr>
        <w:t>Tsukune</w:t>
      </w:r>
      <w:proofErr w:type="spellEnd"/>
      <w:r w:rsidRPr="009F45BA">
        <w:rPr>
          <w:rFonts w:ascii="Book Antiqua" w:eastAsia="MS Gothic" w:hAnsi="Book Antiqua"/>
          <w:b/>
          <w:sz w:val="24"/>
          <w:szCs w:val="24"/>
        </w:rPr>
        <w:t xml:space="preserve">, </w:t>
      </w:r>
      <w:proofErr w:type="spellStart"/>
      <w:r w:rsidRPr="009F45BA">
        <w:rPr>
          <w:rFonts w:ascii="Book Antiqua" w:eastAsia="MS Gothic" w:hAnsi="Book Antiqua"/>
          <w:b/>
          <w:sz w:val="24"/>
          <w:szCs w:val="24"/>
        </w:rPr>
        <w:t>Tetsufumi</w:t>
      </w:r>
      <w:proofErr w:type="spellEnd"/>
      <w:r w:rsidRPr="009F45BA">
        <w:rPr>
          <w:rFonts w:ascii="Book Antiqua" w:eastAsia="MS Gothic" w:hAnsi="Book Antiqua"/>
          <w:b/>
          <w:sz w:val="24"/>
          <w:szCs w:val="24"/>
        </w:rPr>
        <w:t xml:space="preserve"> Uchida, Hiroki </w:t>
      </w:r>
      <w:proofErr w:type="spellStart"/>
      <w:r w:rsidRPr="009F45BA">
        <w:rPr>
          <w:rFonts w:ascii="Book Antiqua" w:eastAsia="MS Gothic" w:hAnsi="Book Antiqua"/>
          <w:b/>
          <w:sz w:val="24"/>
          <w:szCs w:val="24"/>
        </w:rPr>
        <w:t>Yuhara</w:t>
      </w:r>
      <w:proofErr w:type="spellEnd"/>
      <w:r w:rsidRPr="009F45BA">
        <w:rPr>
          <w:rFonts w:ascii="Book Antiqua" w:eastAsia="MS Gothic" w:hAnsi="Book Antiqua"/>
          <w:b/>
          <w:sz w:val="24"/>
          <w:szCs w:val="24"/>
        </w:rPr>
        <w:t xml:space="preserve">, </w:t>
      </w:r>
      <w:proofErr w:type="spellStart"/>
      <w:r w:rsidRPr="009F45BA">
        <w:rPr>
          <w:rFonts w:ascii="Book Antiqua" w:eastAsia="MS Gothic" w:hAnsi="Book Antiqua"/>
          <w:b/>
          <w:sz w:val="24"/>
          <w:szCs w:val="24"/>
        </w:rPr>
        <w:t>Muneki</w:t>
      </w:r>
      <w:proofErr w:type="spellEnd"/>
      <w:r w:rsidRPr="009F45BA">
        <w:rPr>
          <w:rFonts w:ascii="Book Antiqua" w:eastAsia="MS Gothic" w:hAnsi="Book Antiqua"/>
          <w:b/>
          <w:sz w:val="24"/>
          <w:szCs w:val="24"/>
        </w:rPr>
        <w:t xml:space="preserve"> Igarashi, Jun Koike, Tetsuya Mine</w:t>
      </w:r>
      <w:r w:rsidRPr="009F45BA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, </w:t>
      </w:r>
      <w:r w:rsidR="003505DC" w:rsidRPr="009F45BA">
        <w:rPr>
          <w:rFonts w:ascii="Book Antiqua" w:hAnsi="Book Antiqua"/>
          <w:sz w:val="24"/>
          <w:szCs w:val="24"/>
        </w:rPr>
        <w:t xml:space="preserve">Division of Gastroenterology </w:t>
      </w:r>
      <w:r w:rsidR="0038129F">
        <w:rPr>
          <w:rFonts w:ascii="Book Antiqua" w:eastAsia="宋体" w:hAnsi="Book Antiqua" w:hint="eastAsia"/>
          <w:sz w:val="24"/>
          <w:szCs w:val="24"/>
          <w:lang w:eastAsia="zh-CN"/>
        </w:rPr>
        <w:t>and</w:t>
      </w:r>
      <w:r w:rsidR="003505DC" w:rsidRPr="009F45B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3505DC" w:rsidRPr="009F45BA">
        <w:rPr>
          <w:rFonts w:ascii="Book Antiqua" w:hAnsi="Book Antiqua"/>
          <w:sz w:val="24"/>
          <w:szCs w:val="24"/>
        </w:rPr>
        <w:t>Hepatology</w:t>
      </w:r>
      <w:proofErr w:type="spellEnd"/>
      <w:r w:rsidR="003505DC" w:rsidRPr="009F45BA">
        <w:rPr>
          <w:rFonts w:ascii="Book Antiqua" w:hAnsi="Book Antiqua"/>
          <w:sz w:val="24"/>
          <w:szCs w:val="24"/>
        </w:rPr>
        <w:t xml:space="preserve">, Department of </w:t>
      </w:r>
      <w:r w:rsidR="003505DC" w:rsidRPr="009F45BA">
        <w:rPr>
          <w:rFonts w:ascii="Book Antiqua" w:eastAsia="MS Gothic" w:hAnsi="Book Antiqua"/>
          <w:sz w:val="24"/>
          <w:szCs w:val="24"/>
        </w:rPr>
        <w:t>Internal Medicine,</w:t>
      </w:r>
      <w:r w:rsidR="003505DC" w:rsidRPr="009F45BA">
        <w:rPr>
          <w:rFonts w:ascii="Book Antiqua" w:hAnsi="Book Antiqua"/>
          <w:sz w:val="24"/>
          <w:szCs w:val="24"/>
        </w:rPr>
        <w:t xml:space="preserve"> </w:t>
      </w:r>
      <w:r w:rsidR="0010029D" w:rsidRPr="009F45BA">
        <w:rPr>
          <w:rFonts w:ascii="Book Antiqua" w:eastAsia="MS Gothic" w:hAnsi="Book Antiqua"/>
          <w:sz w:val="24"/>
          <w:szCs w:val="24"/>
        </w:rPr>
        <w:t xml:space="preserve">Tokai University School of Medicine, </w:t>
      </w:r>
      <w:proofErr w:type="spellStart"/>
      <w:r w:rsidR="0010029D" w:rsidRPr="009F45BA">
        <w:rPr>
          <w:rFonts w:ascii="Book Antiqua" w:eastAsia="MS Gothic" w:hAnsi="Book Antiqua"/>
          <w:sz w:val="24"/>
          <w:szCs w:val="24"/>
        </w:rPr>
        <w:t>Isehara</w:t>
      </w:r>
      <w:proofErr w:type="spellEnd"/>
      <w:r w:rsidR="0010029D" w:rsidRPr="009F45BA">
        <w:rPr>
          <w:rFonts w:ascii="Book Antiqua" w:eastAsia="MS Gothic" w:hAnsi="Book Antiqua"/>
          <w:sz w:val="24"/>
          <w:szCs w:val="24"/>
        </w:rPr>
        <w:t>, Kanagawa</w:t>
      </w:r>
      <w:r w:rsidRPr="009F45BA">
        <w:rPr>
          <w:rFonts w:ascii="Book Antiqua" w:eastAsia="宋体" w:hAnsi="Book Antiqua" w:hint="eastAsia"/>
          <w:sz w:val="24"/>
          <w:szCs w:val="24"/>
          <w:lang w:eastAsia="zh-CN"/>
        </w:rPr>
        <w:t xml:space="preserve"> 259-1193</w:t>
      </w:r>
      <w:r w:rsidR="0010029D" w:rsidRPr="009F45BA">
        <w:rPr>
          <w:rFonts w:ascii="Book Antiqua" w:eastAsia="MS Gothic" w:hAnsi="Book Antiqua"/>
          <w:sz w:val="24"/>
          <w:szCs w:val="24"/>
        </w:rPr>
        <w:t>,</w:t>
      </w:r>
      <w:r w:rsidR="00D110CA" w:rsidRPr="009F45BA">
        <w:rPr>
          <w:rFonts w:ascii="Book Antiqua" w:eastAsia="MS Gothic" w:hAnsi="Book Antiqua"/>
          <w:sz w:val="24"/>
          <w:szCs w:val="24"/>
        </w:rPr>
        <w:t xml:space="preserve"> </w:t>
      </w:r>
      <w:r w:rsidR="0010029D" w:rsidRPr="009F45BA">
        <w:rPr>
          <w:rFonts w:ascii="Book Antiqua" w:eastAsia="MS Gothic" w:hAnsi="Book Antiqua"/>
          <w:sz w:val="24"/>
          <w:szCs w:val="24"/>
        </w:rPr>
        <w:t>Japan</w:t>
      </w:r>
    </w:p>
    <w:p w:rsidR="00CF56F8" w:rsidRPr="009F45BA" w:rsidRDefault="00CF56F8" w:rsidP="00163410">
      <w:pPr>
        <w:adjustRightInd w:val="0"/>
        <w:snapToGrid w:val="0"/>
        <w:spacing w:line="360" w:lineRule="auto"/>
        <w:rPr>
          <w:rFonts w:ascii="Book Antiqua" w:eastAsia="MS Gothic" w:hAnsi="Book Antiqua"/>
          <w:sz w:val="24"/>
          <w:szCs w:val="24"/>
        </w:rPr>
      </w:pPr>
    </w:p>
    <w:p w:rsidR="00D110CA" w:rsidRPr="009F45BA" w:rsidRDefault="00D110CA" w:rsidP="00163410">
      <w:pPr>
        <w:adjustRightInd w:val="0"/>
        <w:snapToGrid w:val="0"/>
        <w:spacing w:line="360" w:lineRule="auto"/>
        <w:rPr>
          <w:rFonts w:ascii="Book Antiqua" w:eastAsia="MS Gothic" w:hAnsi="Book Antiqua"/>
          <w:b/>
          <w:sz w:val="24"/>
          <w:szCs w:val="24"/>
        </w:rPr>
      </w:pPr>
      <w:r w:rsidRPr="009F45BA">
        <w:rPr>
          <w:rFonts w:ascii="Book Antiqua" w:eastAsia="MS Gothic" w:hAnsi="Book Antiqua"/>
          <w:b/>
          <w:sz w:val="24"/>
          <w:szCs w:val="24"/>
        </w:rPr>
        <w:t>Author contributions:</w:t>
      </w:r>
      <w:r w:rsidR="00163410" w:rsidRPr="009F45BA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Pr="009F45BA">
        <w:rPr>
          <w:rFonts w:ascii="Book Antiqua" w:eastAsia="MS Gothic" w:hAnsi="Book Antiqua"/>
          <w:sz w:val="24"/>
          <w:szCs w:val="24"/>
        </w:rPr>
        <w:t xml:space="preserve">Suzuki </w:t>
      </w:r>
      <w:r w:rsidR="00430C53" w:rsidRPr="009F45BA">
        <w:rPr>
          <w:rFonts w:ascii="Book Antiqua" w:eastAsia="MS Gothic" w:hAnsi="Book Antiqua"/>
          <w:sz w:val="24"/>
          <w:szCs w:val="24"/>
        </w:rPr>
        <w:t>T and</w:t>
      </w:r>
      <w:r w:rsidRPr="009F45BA">
        <w:rPr>
          <w:rFonts w:ascii="Book Antiqua" w:eastAsia="MS Gothic" w:hAnsi="Book Antiqua"/>
          <w:sz w:val="24"/>
          <w:szCs w:val="24"/>
        </w:rPr>
        <w:t xml:space="preserve"> Matsushima </w:t>
      </w:r>
      <w:r w:rsidR="00430C53" w:rsidRPr="009F45BA">
        <w:rPr>
          <w:rFonts w:ascii="Book Antiqua" w:eastAsia="MS Gothic" w:hAnsi="Book Antiqua"/>
          <w:sz w:val="24"/>
          <w:szCs w:val="24"/>
        </w:rPr>
        <w:t xml:space="preserve">M </w:t>
      </w:r>
      <w:r w:rsidRPr="009F45BA">
        <w:rPr>
          <w:rFonts w:ascii="Book Antiqua" w:eastAsia="MS Gothic" w:hAnsi="Book Antiqua"/>
          <w:sz w:val="24"/>
          <w:szCs w:val="24"/>
        </w:rPr>
        <w:t xml:space="preserve">designed the research; </w:t>
      </w:r>
      <w:r w:rsidR="007B1FB4" w:rsidRPr="009F45BA">
        <w:rPr>
          <w:rFonts w:ascii="Book Antiqua" w:eastAsia="MS Gothic" w:hAnsi="Book Antiqua"/>
          <w:sz w:val="24"/>
          <w:szCs w:val="24"/>
        </w:rPr>
        <w:t xml:space="preserve">Suzuki </w:t>
      </w:r>
      <w:r w:rsidR="00430C53" w:rsidRPr="009F45BA">
        <w:rPr>
          <w:rFonts w:ascii="Book Antiqua" w:eastAsia="MS Gothic" w:hAnsi="Book Antiqua"/>
          <w:sz w:val="24"/>
          <w:szCs w:val="24"/>
        </w:rPr>
        <w:t xml:space="preserve">T </w:t>
      </w:r>
      <w:r w:rsidR="007B1FB4" w:rsidRPr="009F45BA">
        <w:rPr>
          <w:rFonts w:ascii="Book Antiqua" w:eastAsia="MS Gothic" w:hAnsi="Book Antiqua"/>
          <w:sz w:val="24"/>
          <w:szCs w:val="24"/>
        </w:rPr>
        <w:t xml:space="preserve">and </w:t>
      </w:r>
      <w:r w:rsidRPr="009F45BA">
        <w:rPr>
          <w:rFonts w:ascii="Book Antiqua" w:eastAsia="MS Gothic" w:hAnsi="Book Antiqua"/>
          <w:sz w:val="24"/>
          <w:szCs w:val="24"/>
        </w:rPr>
        <w:t>Masui</w:t>
      </w:r>
      <w:r w:rsidR="007B1FB4" w:rsidRPr="009F45BA">
        <w:rPr>
          <w:rFonts w:ascii="Book Antiqua" w:eastAsia="MS Gothic" w:hAnsi="Book Antiqua"/>
          <w:sz w:val="24"/>
          <w:szCs w:val="24"/>
        </w:rPr>
        <w:t xml:space="preserve"> </w:t>
      </w:r>
      <w:r w:rsidR="00430C53" w:rsidRPr="009F45BA">
        <w:rPr>
          <w:rFonts w:ascii="Book Antiqua" w:eastAsia="MS Gothic" w:hAnsi="Book Antiqua"/>
          <w:sz w:val="24"/>
          <w:szCs w:val="24"/>
        </w:rPr>
        <w:t xml:space="preserve">A analyzed the data; </w:t>
      </w:r>
      <w:r w:rsidR="007B1FB4" w:rsidRPr="009F45BA">
        <w:rPr>
          <w:rFonts w:ascii="Book Antiqua" w:eastAsia="MS Gothic" w:hAnsi="Book Antiqua"/>
          <w:sz w:val="24"/>
          <w:szCs w:val="24"/>
        </w:rPr>
        <w:t>Suzuki</w:t>
      </w:r>
      <w:r w:rsidR="00430C53" w:rsidRPr="009F45BA">
        <w:rPr>
          <w:rFonts w:ascii="Book Antiqua" w:eastAsia="MS Gothic" w:hAnsi="Book Antiqua"/>
          <w:sz w:val="24"/>
          <w:szCs w:val="24"/>
        </w:rPr>
        <w:t xml:space="preserve"> T, </w:t>
      </w:r>
      <w:r w:rsidR="007B1FB4" w:rsidRPr="009F45BA">
        <w:rPr>
          <w:rFonts w:ascii="Book Antiqua" w:eastAsia="MS Gothic" w:hAnsi="Book Antiqua"/>
          <w:sz w:val="24"/>
          <w:szCs w:val="24"/>
        </w:rPr>
        <w:t>Matsushima</w:t>
      </w:r>
      <w:r w:rsidR="00430C53" w:rsidRPr="009F45BA">
        <w:rPr>
          <w:rFonts w:ascii="Book Antiqua" w:eastAsia="MS Gothic" w:hAnsi="Book Antiqua"/>
          <w:sz w:val="24"/>
          <w:szCs w:val="24"/>
        </w:rPr>
        <w:t xml:space="preserve"> M, </w:t>
      </w:r>
      <w:proofErr w:type="spellStart"/>
      <w:r w:rsidR="007B1FB4" w:rsidRPr="009F45BA">
        <w:rPr>
          <w:rFonts w:ascii="Book Antiqua" w:eastAsia="MS Gothic" w:hAnsi="Book Antiqua"/>
          <w:sz w:val="24"/>
          <w:szCs w:val="24"/>
        </w:rPr>
        <w:t>Tsuda</w:t>
      </w:r>
      <w:proofErr w:type="spellEnd"/>
      <w:r w:rsidR="00430C53" w:rsidRPr="009F45BA">
        <w:rPr>
          <w:rFonts w:ascii="Book Antiqua" w:eastAsia="MS Gothic" w:hAnsi="Book Antiqua"/>
          <w:sz w:val="24"/>
          <w:szCs w:val="24"/>
        </w:rPr>
        <w:t xml:space="preserve"> S</w:t>
      </w:r>
      <w:r w:rsidR="007B1FB4" w:rsidRPr="009F45BA">
        <w:rPr>
          <w:rFonts w:ascii="Book Antiqua" w:eastAsia="MS Gothic" w:hAnsi="Book Antiqua"/>
          <w:sz w:val="24"/>
          <w:szCs w:val="24"/>
        </w:rPr>
        <w:t xml:space="preserve">, </w:t>
      </w:r>
      <w:r w:rsidR="00430C53" w:rsidRPr="009F45BA">
        <w:rPr>
          <w:rFonts w:ascii="Book Antiqua" w:eastAsia="MS Gothic" w:hAnsi="Book Antiqua"/>
          <w:sz w:val="24"/>
          <w:szCs w:val="24"/>
        </w:rPr>
        <w:t xml:space="preserve">Imai J, </w:t>
      </w:r>
      <w:r w:rsidR="007B1FB4" w:rsidRPr="009F45BA">
        <w:rPr>
          <w:rFonts w:ascii="Book Antiqua" w:eastAsia="MS Gothic" w:hAnsi="Book Antiqua"/>
          <w:sz w:val="24"/>
          <w:szCs w:val="24"/>
        </w:rPr>
        <w:t>Nakamura</w:t>
      </w:r>
      <w:r w:rsidR="00430C53" w:rsidRPr="009F45BA">
        <w:rPr>
          <w:rFonts w:ascii="Book Antiqua" w:eastAsia="MS Gothic" w:hAnsi="Book Antiqua"/>
          <w:sz w:val="24"/>
          <w:szCs w:val="24"/>
        </w:rPr>
        <w:t xml:space="preserve"> J, </w:t>
      </w:r>
      <w:proofErr w:type="spellStart"/>
      <w:r w:rsidR="007B1FB4" w:rsidRPr="009F45BA">
        <w:rPr>
          <w:rFonts w:ascii="Book Antiqua" w:eastAsia="MS Gothic" w:hAnsi="Book Antiqua"/>
          <w:sz w:val="24"/>
          <w:szCs w:val="24"/>
        </w:rPr>
        <w:t>Tsukune</w:t>
      </w:r>
      <w:proofErr w:type="spellEnd"/>
      <w:r w:rsidR="00430C53" w:rsidRPr="009F45BA">
        <w:rPr>
          <w:rFonts w:ascii="Book Antiqua" w:eastAsia="MS Gothic" w:hAnsi="Book Antiqua"/>
          <w:sz w:val="24"/>
          <w:szCs w:val="24"/>
        </w:rPr>
        <w:t xml:space="preserve"> Y, </w:t>
      </w:r>
      <w:r w:rsidR="007B1FB4" w:rsidRPr="009F45BA">
        <w:rPr>
          <w:rFonts w:ascii="Book Antiqua" w:eastAsia="MS Gothic" w:hAnsi="Book Antiqua"/>
          <w:sz w:val="24"/>
          <w:szCs w:val="24"/>
        </w:rPr>
        <w:t>Uchida</w:t>
      </w:r>
      <w:r w:rsidR="00430C53" w:rsidRPr="009F45BA">
        <w:rPr>
          <w:rFonts w:ascii="Book Antiqua" w:eastAsia="MS Gothic" w:hAnsi="Book Antiqua"/>
          <w:sz w:val="24"/>
          <w:szCs w:val="24"/>
        </w:rPr>
        <w:t xml:space="preserve"> T, </w:t>
      </w:r>
      <w:proofErr w:type="spellStart"/>
      <w:r w:rsidR="007B1FB4" w:rsidRPr="009F45BA">
        <w:rPr>
          <w:rFonts w:ascii="Book Antiqua" w:eastAsia="MS Gothic" w:hAnsi="Book Antiqua"/>
          <w:sz w:val="24"/>
          <w:szCs w:val="24"/>
        </w:rPr>
        <w:t>Yuhara</w:t>
      </w:r>
      <w:proofErr w:type="spellEnd"/>
      <w:r w:rsidR="00430C53" w:rsidRPr="009F45BA">
        <w:rPr>
          <w:rFonts w:ascii="Book Antiqua" w:eastAsia="MS Gothic" w:hAnsi="Book Antiqua"/>
          <w:sz w:val="24"/>
          <w:szCs w:val="24"/>
        </w:rPr>
        <w:t xml:space="preserve"> H</w:t>
      </w:r>
      <w:r w:rsidR="007B1FB4" w:rsidRPr="009F45BA">
        <w:rPr>
          <w:rFonts w:ascii="Book Antiqua" w:eastAsia="MS Gothic" w:hAnsi="Book Antiqua"/>
          <w:sz w:val="24"/>
          <w:szCs w:val="24"/>
        </w:rPr>
        <w:t>, Igarashi</w:t>
      </w:r>
      <w:r w:rsidR="00430C53" w:rsidRPr="009F45BA">
        <w:rPr>
          <w:rFonts w:ascii="Book Antiqua" w:eastAsia="MS Gothic" w:hAnsi="Book Antiqua"/>
          <w:sz w:val="24"/>
          <w:szCs w:val="24"/>
        </w:rPr>
        <w:t xml:space="preserve"> M, </w:t>
      </w:r>
      <w:r w:rsidR="007B1FB4" w:rsidRPr="009F45BA">
        <w:rPr>
          <w:rFonts w:ascii="Book Antiqua" w:eastAsia="MS Gothic" w:hAnsi="Book Antiqua"/>
          <w:sz w:val="24"/>
          <w:szCs w:val="24"/>
        </w:rPr>
        <w:t>Koike</w:t>
      </w:r>
      <w:r w:rsidR="00430C53" w:rsidRPr="009F45BA">
        <w:rPr>
          <w:rFonts w:ascii="Book Antiqua" w:eastAsia="MS Gothic" w:hAnsi="Book Antiqua"/>
          <w:sz w:val="24"/>
          <w:szCs w:val="24"/>
        </w:rPr>
        <w:t xml:space="preserve"> J</w:t>
      </w:r>
      <w:r w:rsidR="005E1F3C" w:rsidRPr="009F45BA">
        <w:rPr>
          <w:rFonts w:ascii="Book Antiqua" w:eastAsia="MS Gothic" w:hAnsi="Book Antiqua"/>
          <w:sz w:val="24"/>
          <w:szCs w:val="24"/>
        </w:rPr>
        <w:t>,</w:t>
      </w:r>
      <w:r w:rsidR="00430C53" w:rsidRPr="009F45BA">
        <w:rPr>
          <w:rFonts w:ascii="Book Antiqua" w:eastAsia="MS Gothic" w:hAnsi="Book Antiqua"/>
          <w:sz w:val="24"/>
          <w:szCs w:val="24"/>
        </w:rPr>
        <w:t xml:space="preserve"> and </w:t>
      </w:r>
      <w:r w:rsidR="007B1FB4" w:rsidRPr="009F45BA">
        <w:rPr>
          <w:rFonts w:ascii="Book Antiqua" w:eastAsia="MS Gothic" w:hAnsi="Book Antiqua"/>
          <w:sz w:val="24"/>
          <w:szCs w:val="24"/>
        </w:rPr>
        <w:t xml:space="preserve">Tetsuya </w:t>
      </w:r>
      <w:r w:rsidR="00430C53" w:rsidRPr="009F45BA">
        <w:rPr>
          <w:rFonts w:ascii="Book Antiqua" w:eastAsia="MS Gothic" w:hAnsi="Book Antiqua"/>
          <w:sz w:val="24"/>
          <w:szCs w:val="24"/>
        </w:rPr>
        <w:t xml:space="preserve">T performed the research; and </w:t>
      </w:r>
      <w:r w:rsidR="007B1FB4" w:rsidRPr="009F45BA">
        <w:rPr>
          <w:rFonts w:ascii="Book Antiqua" w:eastAsia="MS Gothic" w:hAnsi="Book Antiqua"/>
          <w:sz w:val="24"/>
          <w:szCs w:val="24"/>
        </w:rPr>
        <w:t xml:space="preserve">Suzuki </w:t>
      </w:r>
      <w:r w:rsidR="00430C53" w:rsidRPr="009F45BA">
        <w:rPr>
          <w:rFonts w:ascii="Book Antiqua" w:eastAsia="MS Gothic" w:hAnsi="Book Antiqua"/>
          <w:sz w:val="24"/>
          <w:szCs w:val="24"/>
        </w:rPr>
        <w:t xml:space="preserve">T </w:t>
      </w:r>
      <w:r w:rsidR="007B1FB4" w:rsidRPr="009F45BA">
        <w:rPr>
          <w:rFonts w:ascii="Book Antiqua" w:eastAsia="MS Gothic" w:hAnsi="Book Antiqua"/>
          <w:sz w:val="24"/>
          <w:szCs w:val="24"/>
        </w:rPr>
        <w:t xml:space="preserve">wrote the paper. </w:t>
      </w:r>
    </w:p>
    <w:p w:rsidR="00CF56F8" w:rsidRPr="009F45BA" w:rsidRDefault="00CF56F8" w:rsidP="00163410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7A2CDB" w:rsidRPr="009F45BA" w:rsidRDefault="004364F0" w:rsidP="00163410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F45BA">
        <w:rPr>
          <w:rFonts w:ascii="Book Antiqua" w:eastAsia="MS Gothic" w:hAnsi="Book Antiqua"/>
          <w:b/>
          <w:sz w:val="24"/>
          <w:szCs w:val="24"/>
        </w:rPr>
        <w:t xml:space="preserve">Ethics approval: </w:t>
      </w:r>
      <w:r w:rsidR="00163410" w:rsidRPr="009F45BA">
        <w:rPr>
          <w:rFonts w:ascii="Book Antiqua" w:eastAsia="MS Gothic" w:hAnsi="Book Antiqua"/>
          <w:sz w:val="24"/>
          <w:szCs w:val="24"/>
        </w:rPr>
        <w:t>The study was reviewed and approved by the</w:t>
      </w:r>
      <w:r w:rsidR="00163410" w:rsidRPr="009F45BA">
        <w:rPr>
          <w:rFonts w:ascii="Book Antiqua" w:eastAsia="MS Gothic" w:hAnsi="Book Antiqua"/>
          <w:b/>
          <w:sz w:val="24"/>
          <w:szCs w:val="24"/>
        </w:rPr>
        <w:t xml:space="preserve"> </w:t>
      </w:r>
      <w:r w:rsidR="00CF56F8" w:rsidRPr="009F45BA">
        <w:rPr>
          <w:rFonts w:ascii="Book Antiqua" w:hAnsi="Book Antiqua"/>
          <w:sz w:val="24"/>
          <w:szCs w:val="24"/>
        </w:rPr>
        <w:t>Tokai</w:t>
      </w:r>
      <w:r w:rsidRPr="009F45BA">
        <w:rPr>
          <w:rFonts w:ascii="Book Antiqua" w:hAnsi="Book Antiqua"/>
          <w:sz w:val="24"/>
          <w:szCs w:val="24"/>
        </w:rPr>
        <w:t xml:space="preserve"> </w:t>
      </w:r>
      <w:r w:rsidR="006A6FFE" w:rsidRPr="009F45BA">
        <w:rPr>
          <w:rFonts w:ascii="Book Antiqua" w:hAnsi="Book Antiqua"/>
          <w:sz w:val="24"/>
          <w:szCs w:val="24"/>
        </w:rPr>
        <w:t>U</w:t>
      </w:r>
      <w:r w:rsidRPr="009F45BA">
        <w:rPr>
          <w:rFonts w:ascii="Book Antiqua" w:hAnsi="Book Antiqua"/>
          <w:sz w:val="24"/>
          <w:szCs w:val="24"/>
        </w:rPr>
        <w:t xml:space="preserve">niversity’s </w:t>
      </w:r>
      <w:r w:rsidR="00163410" w:rsidRPr="009F45BA">
        <w:rPr>
          <w:rFonts w:ascii="Book Antiqua" w:hAnsi="Book Antiqua"/>
          <w:sz w:val="24"/>
          <w:szCs w:val="24"/>
        </w:rPr>
        <w:t>Ethics Committee</w:t>
      </w:r>
      <w:r w:rsidRPr="009F45BA">
        <w:rPr>
          <w:rFonts w:ascii="Book Antiqua" w:hAnsi="Book Antiqua"/>
          <w:sz w:val="24"/>
          <w:szCs w:val="24"/>
        </w:rPr>
        <w:t>.</w:t>
      </w:r>
      <w:r w:rsidR="00163410" w:rsidRPr="009F45BA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9F45BA">
        <w:rPr>
          <w:rFonts w:ascii="Book Antiqua" w:eastAsiaTheme="minorEastAsia" w:hAnsi="Book Antiqua"/>
          <w:sz w:val="24"/>
          <w:szCs w:val="24"/>
        </w:rPr>
        <w:t>This study was performed in accordance with t</w:t>
      </w:r>
      <w:r w:rsidR="007A2CDB" w:rsidRPr="009F45BA">
        <w:rPr>
          <w:rFonts w:ascii="Book Antiqua" w:eastAsiaTheme="minorEastAsia" w:hAnsi="Book Antiqua"/>
          <w:sz w:val="24"/>
          <w:szCs w:val="24"/>
        </w:rPr>
        <w:t>he principles laid down in the D</w:t>
      </w:r>
      <w:r w:rsidRPr="009F45BA">
        <w:rPr>
          <w:rFonts w:ascii="Book Antiqua" w:eastAsiaTheme="minorEastAsia" w:hAnsi="Book Antiqua"/>
          <w:sz w:val="24"/>
          <w:szCs w:val="24"/>
        </w:rPr>
        <w:t>eclaration of Helsinki</w:t>
      </w:r>
      <w:r w:rsidR="007A2CDB" w:rsidRPr="009F45BA">
        <w:rPr>
          <w:rFonts w:ascii="Book Antiqua" w:eastAsiaTheme="minorEastAsia" w:hAnsi="Book Antiqua"/>
          <w:sz w:val="24"/>
          <w:szCs w:val="24"/>
        </w:rPr>
        <w:t>.</w:t>
      </w:r>
    </w:p>
    <w:p w:rsidR="00163410" w:rsidRPr="009F45BA" w:rsidRDefault="00163410" w:rsidP="0016341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4364F0" w:rsidRPr="009F45BA" w:rsidRDefault="007A2CDB" w:rsidP="0016341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9F45BA">
        <w:rPr>
          <w:rFonts w:ascii="Book Antiqua" w:eastAsiaTheme="minorEastAsia" w:hAnsi="Book Antiqua"/>
          <w:b/>
          <w:sz w:val="24"/>
          <w:szCs w:val="24"/>
        </w:rPr>
        <w:lastRenderedPageBreak/>
        <w:t>Clinical trial registration:</w:t>
      </w:r>
      <w:r w:rsidR="004364F0" w:rsidRPr="009F45BA">
        <w:rPr>
          <w:rFonts w:ascii="Book Antiqua" w:eastAsiaTheme="minorEastAsia" w:hAnsi="Book Antiqua"/>
          <w:sz w:val="24"/>
          <w:szCs w:val="24"/>
        </w:rPr>
        <w:t xml:space="preserve"> </w:t>
      </w:r>
      <w:r w:rsidRPr="009F45BA">
        <w:rPr>
          <w:rFonts w:ascii="Book Antiqua" w:eastAsiaTheme="minorEastAsia" w:hAnsi="Book Antiqua"/>
          <w:sz w:val="24"/>
          <w:szCs w:val="24"/>
        </w:rPr>
        <w:t>This study</w:t>
      </w:r>
      <w:r w:rsidR="004364F0" w:rsidRPr="009F45BA">
        <w:rPr>
          <w:rFonts w:ascii="Book Antiqua" w:eastAsiaTheme="minorEastAsia" w:hAnsi="Book Antiqua"/>
          <w:sz w:val="24"/>
          <w:szCs w:val="24"/>
        </w:rPr>
        <w:t xml:space="preserve"> </w:t>
      </w:r>
      <w:r w:rsidR="00163410" w:rsidRPr="009F45BA">
        <w:rPr>
          <w:rFonts w:ascii="Book Antiqua" w:eastAsia="宋体" w:hAnsi="Book Antiqua" w:hint="eastAsia"/>
          <w:sz w:val="24"/>
          <w:szCs w:val="24"/>
          <w:lang w:eastAsia="zh-CN"/>
        </w:rPr>
        <w:t>was</w:t>
      </w:r>
      <w:r w:rsidR="004364F0" w:rsidRPr="009F45BA">
        <w:rPr>
          <w:rFonts w:ascii="Book Antiqua" w:eastAsiaTheme="minorEastAsia" w:hAnsi="Book Antiqua"/>
          <w:sz w:val="24"/>
          <w:szCs w:val="24"/>
        </w:rPr>
        <w:t xml:space="preserve"> registered in the UMIN Clinica</w:t>
      </w:r>
      <w:r w:rsidRPr="009F45BA">
        <w:rPr>
          <w:rFonts w:ascii="Book Antiqua" w:eastAsiaTheme="minorEastAsia" w:hAnsi="Book Antiqua"/>
          <w:sz w:val="24"/>
          <w:szCs w:val="24"/>
        </w:rPr>
        <w:t>l Trials Registry</w:t>
      </w:r>
      <w:r w:rsidR="00163410" w:rsidRPr="009F45BA">
        <w:rPr>
          <w:rFonts w:ascii="Book Antiqua" w:eastAsia="宋体" w:hAnsi="Book Antiqua" w:hint="eastAsia"/>
          <w:sz w:val="24"/>
          <w:szCs w:val="24"/>
          <w:lang w:eastAsia="zh-CN"/>
        </w:rPr>
        <w:t>.</w:t>
      </w:r>
      <w:r w:rsidRPr="009F45BA">
        <w:rPr>
          <w:rFonts w:ascii="Book Antiqua" w:eastAsiaTheme="minorEastAsia" w:hAnsi="Book Antiqua"/>
          <w:sz w:val="24"/>
          <w:szCs w:val="24"/>
        </w:rPr>
        <w:t xml:space="preserve"> </w:t>
      </w:r>
      <w:r w:rsidR="00163410" w:rsidRPr="009F45BA">
        <w:rPr>
          <w:rFonts w:ascii="Book Antiqua" w:eastAsiaTheme="minorEastAsia" w:hAnsi="Book Antiqua"/>
          <w:sz w:val="24"/>
          <w:szCs w:val="24"/>
        </w:rPr>
        <w:t>The registration identification number is UMIN000015731</w:t>
      </w:r>
      <w:r w:rsidR="004364F0" w:rsidRPr="009F45BA">
        <w:rPr>
          <w:rFonts w:ascii="Book Antiqua" w:eastAsiaTheme="minorEastAsia" w:hAnsi="Book Antiqua"/>
          <w:sz w:val="24"/>
          <w:szCs w:val="24"/>
        </w:rPr>
        <w:t xml:space="preserve">. </w:t>
      </w:r>
    </w:p>
    <w:p w:rsidR="00163410" w:rsidRPr="009F45BA" w:rsidRDefault="00163410" w:rsidP="0016341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宋体" w:hAnsi="Book Antiqua"/>
          <w:szCs w:val="21"/>
          <w:lang w:eastAsia="zh-CN"/>
        </w:rPr>
      </w:pPr>
    </w:p>
    <w:p w:rsidR="004364F0" w:rsidRPr="009F45BA" w:rsidRDefault="004364F0" w:rsidP="0016341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9F45BA">
        <w:rPr>
          <w:rFonts w:ascii="Book Antiqua" w:eastAsiaTheme="minorEastAsia" w:hAnsi="Book Antiqua"/>
          <w:b/>
          <w:sz w:val="24"/>
          <w:szCs w:val="24"/>
        </w:rPr>
        <w:t xml:space="preserve">Informed consent: </w:t>
      </w:r>
      <w:r w:rsidR="00144E7C" w:rsidRPr="009F45BA">
        <w:rPr>
          <w:rFonts w:ascii="Book Antiqua" w:eastAsiaTheme="minorEastAsia" w:hAnsi="Book Antiqua"/>
          <w:sz w:val="24"/>
          <w:szCs w:val="24"/>
        </w:rPr>
        <w:t xml:space="preserve">All study participants provided informed written consent prior to study enrollment. </w:t>
      </w:r>
    </w:p>
    <w:p w:rsidR="00163410" w:rsidRPr="009F45BA" w:rsidRDefault="00163410" w:rsidP="00163410">
      <w:pPr>
        <w:adjustRightInd w:val="0"/>
        <w:snapToGrid w:val="0"/>
        <w:spacing w:line="360" w:lineRule="auto"/>
        <w:rPr>
          <w:rFonts w:ascii="Book Antiqua" w:eastAsia="宋体" w:hAnsi="Book Antiqua" w:cs="Garamond"/>
          <w:kern w:val="0"/>
          <w:szCs w:val="21"/>
          <w:lang w:eastAsia="zh-CN"/>
        </w:rPr>
      </w:pPr>
    </w:p>
    <w:p w:rsidR="00144E7C" w:rsidRPr="009F45BA" w:rsidRDefault="00144E7C" w:rsidP="00163410">
      <w:pPr>
        <w:adjustRightInd w:val="0"/>
        <w:snapToGrid w:val="0"/>
        <w:spacing w:line="360" w:lineRule="auto"/>
        <w:rPr>
          <w:rFonts w:ascii="Book Antiqua" w:eastAsia="MS PMincho" w:hAnsi="Book Antiqua"/>
          <w:sz w:val="24"/>
          <w:szCs w:val="24"/>
        </w:rPr>
      </w:pPr>
      <w:r w:rsidRPr="009F45BA">
        <w:rPr>
          <w:rFonts w:ascii="Book Antiqua" w:eastAsia="MS Gothic" w:hAnsi="Book Antiqua"/>
          <w:b/>
          <w:sz w:val="24"/>
          <w:szCs w:val="24"/>
        </w:rPr>
        <w:t>Conflict</w:t>
      </w:r>
      <w:r w:rsidR="007A2CDB" w:rsidRPr="009F45BA">
        <w:rPr>
          <w:rFonts w:ascii="Book Antiqua" w:eastAsia="MS Gothic" w:hAnsi="Book Antiqua"/>
          <w:b/>
          <w:sz w:val="24"/>
          <w:szCs w:val="24"/>
        </w:rPr>
        <w:t xml:space="preserve">s </w:t>
      </w:r>
      <w:r w:rsidR="005E1F3C" w:rsidRPr="009F45BA">
        <w:rPr>
          <w:rFonts w:ascii="Book Antiqua" w:eastAsia="MS Gothic" w:hAnsi="Book Antiqua"/>
          <w:b/>
          <w:sz w:val="24"/>
          <w:szCs w:val="24"/>
        </w:rPr>
        <w:t>of</w:t>
      </w:r>
      <w:r w:rsidR="007A2CDB" w:rsidRPr="009F45BA">
        <w:rPr>
          <w:rFonts w:ascii="Book Antiqua" w:eastAsia="MS Gothic" w:hAnsi="Book Antiqua"/>
          <w:b/>
          <w:sz w:val="24"/>
          <w:szCs w:val="24"/>
        </w:rPr>
        <w:t xml:space="preserve"> </w:t>
      </w:r>
      <w:r w:rsidRPr="009F45BA">
        <w:rPr>
          <w:rFonts w:ascii="Book Antiqua" w:eastAsia="MS Gothic" w:hAnsi="Book Antiqua"/>
          <w:b/>
          <w:sz w:val="24"/>
          <w:szCs w:val="24"/>
        </w:rPr>
        <w:t xml:space="preserve">interest: </w:t>
      </w:r>
      <w:r w:rsidRPr="009F45BA">
        <w:rPr>
          <w:rFonts w:ascii="Book Antiqua" w:eastAsia="MS PMincho" w:hAnsi="Book Antiqua"/>
          <w:sz w:val="24"/>
          <w:szCs w:val="24"/>
        </w:rPr>
        <w:t>The authors have no conflicts of interest to declare.</w:t>
      </w:r>
    </w:p>
    <w:p w:rsidR="00163410" w:rsidRPr="009F45BA" w:rsidRDefault="00163410" w:rsidP="00163410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C9126E" w:rsidRPr="009F45BA" w:rsidRDefault="00A317BE" w:rsidP="00163410">
      <w:pPr>
        <w:adjustRightInd w:val="0"/>
        <w:snapToGrid w:val="0"/>
        <w:spacing w:line="360" w:lineRule="auto"/>
        <w:rPr>
          <w:rFonts w:ascii="Book Antiqua" w:eastAsia="MS Gothic" w:hAnsi="Book Antiqua"/>
          <w:sz w:val="24"/>
          <w:szCs w:val="24"/>
        </w:rPr>
      </w:pPr>
      <w:r w:rsidRPr="009F45BA">
        <w:rPr>
          <w:rFonts w:ascii="Book Antiqua" w:eastAsia="MS Gothic" w:hAnsi="Book Antiqua"/>
          <w:b/>
          <w:sz w:val="24"/>
          <w:szCs w:val="24"/>
        </w:rPr>
        <w:t>Data sharing:</w:t>
      </w:r>
      <w:r w:rsidRPr="009F45BA">
        <w:rPr>
          <w:rFonts w:ascii="Book Antiqua" w:eastAsia="MS Gothic" w:hAnsi="Book Antiqua"/>
          <w:sz w:val="24"/>
          <w:szCs w:val="24"/>
        </w:rPr>
        <w:t xml:space="preserve"> </w:t>
      </w:r>
      <w:r w:rsidR="005E1F3C" w:rsidRPr="009F45BA">
        <w:rPr>
          <w:rFonts w:ascii="Book Antiqua" w:eastAsia="MS Gothic" w:hAnsi="Book Antiqua"/>
          <w:sz w:val="24"/>
          <w:szCs w:val="24"/>
        </w:rPr>
        <w:t>A</w:t>
      </w:r>
      <w:r w:rsidR="007A2CDB" w:rsidRPr="009F45BA">
        <w:rPr>
          <w:rFonts w:ascii="Book Antiqua" w:eastAsia="MS Gothic" w:hAnsi="Book Antiqua"/>
          <w:sz w:val="24"/>
          <w:szCs w:val="24"/>
        </w:rPr>
        <w:t>ll of the p</w:t>
      </w:r>
      <w:r w:rsidRPr="009F45BA">
        <w:rPr>
          <w:rFonts w:ascii="Book Antiqua" w:eastAsia="MS Gothic" w:hAnsi="Book Antiqua"/>
          <w:sz w:val="24"/>
          <w:szCs w:val="24"/>
        </w:rPr>
        <w:t xml:space="preserve">articipants gave </w:t>
      </w:r>
      <w:r w:rsidR="007A2CDB" w:rsidRPr="009F45BA">
        <w:rPr>
          <w:rFonts w:ascii="Book Antiqua" w:eastAsia="MS Gothic" w:hAnsi="Book Antiqua"/>
          <w:sz w:val="24"/>
          <w:szCs w:val="24"/>
        </w:rPr>
        <w:t xml:space="preserve">their </w:t>
      </w:r>
      <w:r w:rsidRPr="009F45BA">
        <w:rPr>
          <w:rFonts w:ascii="Book Antiqua" w:eastAsia="MS Gothic" w:hAnsi="Book Antiqua"/>
          <w:sz w:val="24"/>
          <w:szCs w:val="24"/>
        </w:rPr>
        <w:t>informed consent for data sharing.</w:t>
      </w:r>
    </w:p>
    <w:p w:rsidR="00CF56F8" w:rsidRPr="009F45BA" w:rsidRDefault="00CF56F8" w:rsidP="001634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9F45BA" w:rsidRPr="009F45BA" w:rsidRDefault="009F45BA" w:rsidP="009F45BA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9F45BA">
        <w:rPr>
          <w:rFonts w:ascii="Book Antiqua" w:eastAsia="宋体" w:hAnsi="Book Antiqua"/>
          <w:b/>
          <w:kern w:val="0"/>
          <w:sz w:val="24"/>
          <w:szCs w:val="24"/>
          <w:lang w:eastAsia="zh-CN"/>
        </w:rPr>
        <w:t xml:space="preserve">Open-Access: </w:t>
      </w:r>
      <w:bookmarkStart w:id="9" w:name="OLE_LINK479"/>
      <w:bookmarkStart w:id="10" w:name="OLE_LINK496"/>
      <w:bookmarkStart w:id="11" w:name="OLE_LINK506"/>
      <w:bookmarkStart w:id="12" w:name="OLE_LINK507"/>
      <w:r w:rsidRPr="009F45BA">
        <w:rPr>
          <w:rFonts w:ascii="Book Antiqua" w:eastAsia="宋体" w:hAnsi="Book Antiqua"/>
          <w:sz w:val="24"/>
          <w:szCs w:val="24"/>
          <w:lang w:eastAsia="zh-CN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9F45BA">
          <w:rPr>
            <w:rFonts w:ascii="Book Antiqua" w:eastAsia="宋体" w:hAnsi="Book Antiqua"/>
            <w:sz w:val="24"/>
            <w:szCs w:val="24"/>
            <w:u w:val="single"/>
            <w:lang w:eastAsia="zh-CN"/>
          </w:rPr>
          <w:t>http://creativecommons.org/licenses/by-nc/4.0/</w:t>
        </w:r>
      </w:hyperlink>
      <w:bookmarkEnd w:id="9"/>
      <w:bookmarkEnd w:id="10"/>
      <w:bookmarkEnd w:id="11"/>
      <w:bookmarkEnd w:id="12"/>
    </w:p>
    <w:p w:rsidR="009F45BA" w:rsidRPr="009F45BA" w:rsidRDefault="009F45BA" w:rsidP="001634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9F45BA" w:rsidRPr="009F45BA" w:rsidRDefault="00B47B16" w:rsidP="001634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9F45BA">
        <w:rPr>
          <w:rFonts w:ascii="Book Antiqua" w:eastAsia="MS Gothic" w:hAnsi="Book Antiqua"/>
          <w:b/>
          <w:sz w:val="24"/>
          <w:szCs w:val="24"/>
        </w:rPr>
        <w:t>Co</w:t>
      </w:r>
      <w:r w:rsidR="00430C53" w:rsidRPr="009F45BA">
        <w:rPr>
          <w:rFonts w:ascii="Book Antiqua" w:eastAsia="MS Gothic" w:hAnsi="Book Antiqua"/>
          <w:b/>
          <w:sz w:val="24"/>
          <w:szCs w:val="24"/>
        </w:rPr>
        <w:t>r</w:t>
      </w:r>
      <w:r w:rsidR="005E1F3C" w:rsidRPr="009F45BA">
        <w:rPr>
          <w:rFonts w:ascii="Book Antiqua" w:eastAsia="MS Gothic" w:hAnsi="Book Antiqua"/>
          <w:b/>
          <w:sz w:val="24"/>
          <w:szCs w:val="24"/>
        </w:rPr>
        <w:t>respondence to: Dr</w:t>
      </w:r>
      <w:r w:rsidR="009F45BA" w:rsidRPr="009F45BA">
        <w:rPr>
          <w:rFonts w:ascii="Book Antiqua" w:eastAsia="宋体" w:hAnsi="Book Antiqua" w:hint="eastAsia"/>
          <w:b/>
          <w:sz w:val="24"/>
          <w:szCs w:val="24"/>
          <w:lang w:eastAsia="zh-CN"/>
        </w:rPr>
        <w:t>.</w:t>
      </w:r>
      <w:r w:rsidR="00430C53" w:rsidRPr="009F45BA">
        <w:rPr>
          <w:rFonts w:ascii="Book Antiqua" w:eastAsia="MS Gothic" w:hAnsi="Book Antiqua"/>
          <w:b/>
          <w:sz w:val="24"/>
          <w:szCs w:val="24"/>
        </w:rPr>
        <w:t xml:space="preserve"> Takayoshi</w:t>
      </w:r>
      <w:r w:rsidR="00947148" w:rsidRPr="009F45BA">
        <w:rPr>
          <w:rFonts w:ascii="Book Antiqua" w:eastAsia="MS Gothic" w:hAnsi="Book Antiqua"/>
          <w:b/>
          <w:sz w:val="24"/>
          <w:szCs w:val="24"/>
        </w:rPr>
        <w:t xml:space="preserve"> </w:t>
      </w:r>
      <w:r w:rsidR="007B1FB4" w:rsidRPr="009F45BA">
        <w:rPr>
          <w:rFonts w:ascii="Book Antiqua" w:eastAsia="MS Gothic" w:hAnsi="Book Antiqua"/>
          <w:b/>
          <w:sz w:val="24"/>
          <w:szCs w:val="24"/>
        </w:rPr>
        <w:t>Suzuki,</w:t>
      </w:r>
      <w:r w:rsidR="007B1FB4" w:rsidRPr="009F45BA">
        <w:rPr>
          <w:rFonts w:ascii="Book Antiqua" w:eastAsia="MS Gothic" w:hAnsi="Book Antiqua"/>
          <w:sz w:val="24"/>
          <w:szCs w:val="24"/>
        </w:rPr>
        <w:t xml:space="preserve"> </w:t>
      </w:r>
      <w:r w:rsidR="0038129F">
        <w:rPr>
          <w:rFonts w:ascii="Book Antiqua" w:hAnsi="Book Antiqua"/>
          <w:sz w:val="24"/>
          <w:szCs w:val="24"/>
        </w:rPr>
        <w:t xml:space="preserve">Division of Gastroenterology </w:t>
      </w:r>
      <w:r w:rsidR="0038129F">
        <w:rPr>
          <w:rFonts w:ascii="Book Antiqua" w:eastAsia="宋体" w:hAnsi="Book Antiqua" w:hint="eastAsia"/>
          <w:sz w:val="24"/>
          <w:szCs w:val="24"/>
          <w:lang w:eastAsia="zh-CN"/>
        </w:rPr>
        <w:t>and</w:t>
      </w:r>
      <w:r w:rsidR="007B1FB4" w:rsidRPr="009F45B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B1FB4" w:rsidRPr="009F45BA">
        <w:rPr>
          <w:rFonts w:ascii="Book Antiqua" w:hAnsi="Book Antiqua"/>
          <w:sz w:val="24"/>
          <w:szCs w:val="24"/>
        </w:rPr>
        <w:t>Hepatology</w:t>
      </w:r>
      <w:proofErr w:type="spellEnd"/>
      <w:r w:rsidR="007B1FB4" w:rsidRPr="009F45BA">
        <w:rPr>
          <w:rFonts w:ascii="Book Antiqua" w:hAnsi="Book Antiqua"/>
          <w:sz w:val="24"/>
          <w:szCs w:val="24"/>
        </w:rPr>
        <w:t xml:space="preserve">, Department of </w:t>
      </w:r>
      <w:r w:rsidR="007B1FB4" w:rsidRPr="009F45BA">
        <w:rPr>
          <w:rFonts w:ascii="Book Antiqua" w:eastAsia="MS Gothic" w:hAnsi="Book Antiqua"/>
          <w:sz w:val="24"/>
          <w:szCs w:val="24"/>
        </w:rPr>
        <w:t>Internal Medicine,</w:t>
      </w:r>
      <w:r w:rsidR="007B1FB4" w:rsidRPr="009F45BA">
        <w:rPr>
          <w:rFonts w:ascii="Book Antiqua" w:hAnsi="Book Antiqua"/>
          <w:sz w:val="24"/>
          <w:szCs w:val="24"/>
        </w:rPr>
        <w:t xml:space="preserve"> </w:t>
      </w:r>
      <w:r w:rsidR="007B1FB4" w:rsidRPr="009F45BA">
        <w:rPr>
          <w:rFonts w:ascii="Book Antiqua" w:eastAsia="MS Gothic" w:hAnsi="Book Antiqua"/>
          <w:sz w:val="24"/>
          <w:szCs w:val="24"/>
        </w:rPr>
        <w:t>Tokai University School</w:t>
      </w:r>
      <w:r w:rsidR="005E1F3C" w:rsidRPr="009F45BA">
        <w:rPr>
          <w:rFonts w:ascii="Book Antiqua" w:eastAsia="MS Gothic" w:hAnsi="Book Antiqua"/>
          <w:sz w:val="24"/>
          <w:szCs w:val="24"/>
        </w:rPr>
        <w:t xml:space="preserve"> of Medicine, </w:t>
      </w:r>
      <w:proofErr w:type="spellStart"/>
      <w:r w:rsidR="005E1F3C" w:rsidRPr="009F45BA">
        <w:rPr>
          <w:rFonts w:ascii="Book Antiqua" w:eastAsia="MS Gothic" w:hAnsi="Book Antiqua"/>
          <w:sz w:val="24"/>
          <w:szCs w:val="24"/>
        </w:rPr>
        <w:t>Isehara</w:t>
      </w:r>
      <w:proofErr w:type="spellEnd"/>
      <w:r w:rsidR="005E1F3C" w:rsidRPr="009F45BA">
        <w:rPr>
          <w:rFonts w:ascii="Book Antiqua" w:eastAsia="MS Gothic" w:hAnsi="Book Antiqua"/>
          <w:sz w:val="24"/>
          <w:szCs w:val="24"/>
        </w:rPr>
        <w:t>, Kanagawa</w:t>
      </w:r>
      <w:r w:rsidR="007B1FB4" w:rsidRPr="009F45BA">
        <w:rPr>
          <w:rFonts w:ascii="Book Antiqua" w:eastAsia="MS Gothic" w:hAnsi="Book Antiqua"/>
          <w:sz w:val="24"/>
          <w:szCs w:val="24"/>
        </w:rPr>
        <w:t xml:space="preserve"> 259-1193</w:t>
      </w:r>
      <w:r w:rsidR="007A2CDB" w:rsidRPr="009F45BA">
        <w:rPr>
          <w:rFonts w:ascii="Book Antiqua" w:eastAsia="MS Gothic" w:hAnsi="Book Antiqua"/>
          <w:sz w:val="24"/>
          <w:szCs w:val="24"/>
        </w:rPr>
        <w:t>,</w:t>
      </w:r>
      <w:r w:rsidR="007B1FB4" w:rsidRPr="009F45BA">
        <w:rPr>
          <w:rFonts w:ascii="Book Antiqua" w:eastAsia="MS Gothic" w:hAnsi="Book Antiqua"/>
          <w:sz w:val="24"/>
          <w:szCs w:val="24"/>
        </w:rPr>
        <w:t xml:space="preserve"> Japan. </w:t>
      </w:r>
      <w:r w:rsidR="007A2CDB" w:rsidRPr="009F45BA">
        <w:rPr>
          <w:rFonts w:ascii="Book Antiqua" w:eastAsia="MS Gothic" w:hAnsi="Book Antiqua"/>
          <w:sz w:val="24"/>
          <w:szCs w:val="24"/>
        </w:rPr>
        <w:t xml:space="preserve">takayosh@is.icc.u-tokai.ac.jp </w:t>
      </w:r>
      <w:hyperlink r:id="rId10" w:history="1">
        <w:r w:rsidR="007B1FB4" w:rsidRPr="00AB33EA">
          <w:rPr>
            <w:rStyle w:val="a7"/>
            <w:rFonts w:ascii="Book Antiqua" w:eastAsia="MS Gothic" w:hAnsi="Book Antiqua"/>
            <w:b/>
            <w:color w:val="auto"/>
            <w:sz w:val="24"/>
            <w:szCs w:val="24"/>
            <w:u w:val="none"/>
          </w:rPr>
          <w:t>Tel</w:t>
        </w:r>
        <w:r w:rsidR="00891D99" w:rsidRPr="00AB33EA">
          <w:rPr>
            <w:rStyle w:val="a7"/>
            <w:rFonts w:ascii="Book Antiqua" w:eastAsia="MS Gothic" w:hAnsi="Book Antiqua"/>
            <w:b/>
            <w:color w:val="auto"/>
            <w:sz w:val="24"/>
            <w:szCs w:val="24"/>
            <w:u w:val="none"/>
          </w:rPr>
          <w:t>e</w:t>
        </w:r>
        <w:r w:rsidR="007A2CDB" w:rsidRPr="00AB33EA">
          <w:rPr>
            <w:rStyle w:val="a7"/>
            <w:rFonts w:ascii="Book Antiqua" w:eastAsia="MS Gothic" w:hAnsi="Book Antiqua"/>
            <w:b/>
            <w:color w:val="auto"/>
            <w:sz w:val="24"/>
            <w:szCs w:val="24"/>
            <w:u w:val="none"/>
          </w:rPr>
          <w:t>phone</w:t>
        </w:r>
        <w:r w:rsidR="007B1FB4" w:rsidRPr="00AB33EA">
          <w:rPr>
            <w:rStyle w:val="a7"/>
            <w:rFonts w:ascii="Book Antiqua" w:eastAsia="MS Gothic" w:hAnsi="Book Antiqua"/>
            <w:b/>
            <w:color w:val="auto"/>
            <w:sz w:val="24"/>
            <w:szCs w:val="24"/>
            <w:u w:val="none"/>
          </w:rPr>
          <w:t>:</w:t>
        </w:r>
        <w:r w:rsidR="007A2CDB" w:rsidRPr="00AB33EA">
          <w:rPr>
            <w:rStyle w:val="a7"/>
            <w:rFonts w:ascii="Book Antiqua" w:eastAsia="MS Gothic" w:hAnsi="Book Antiqua"/>
            <w:b/>
            <w:color w:val="auto"/>
            <w:sz w:val="24"/>
            <w:szCs w:val="24"/>
            <w:u w:val="none"/>
          </w:rPr>
          <w:t xml:space="preserve"> </w:t>
        </w:r>
        <w:r w:rsidR="00AB33EA" w:rsidRPr="00AB33EA">
          <w:rPr>
            <w:rStyle w:val="a7"/>
            <w:rFonts w:ascii="Book Antiqua" w:eastAsia="宋体" w:hAnsi="Book Antiqua" w:hint="eastAsia"/>
            <w:color w:val="auto"/>
            <w:sz w:val="24"/>
            <w:szCs w:val="24"/>
            <w:u w:val="none"/>
            <w:lang w:eastAsia="zh-CN"/>
          </w:rPr>
          <w:t>+</w:t>
        </w:r>
        <w:r w:rsidR="00AB33EA">
          <w:rPr>
            <w:rStyle w:val="a7"/>
            <w:rFonts w:ascii="Book Antiqua" w:eastAsia="MS Gothic" w:hAnsi="Book Antiqua"/>
            <w:color w:val="auto"/>
            <w:sz w:val="24"/>
            <w:szCs w:val="24"/>
            <w:u w:val="none"/>
          </w:rPr>
          <w:t>81-463-93</w:t>
        </w:r>
        <w:r w:rsidR="007B1FB4" w:rsidRPr="00AB33EA">
          <w:rPr>
            <w:rStyle w:val="a7"/>
            <w:rFonts w:ascii="Book Antiqua" w:eastAsia="MS Gothic" w:hAnsi="Book Antiqua"/>
            <w:color w:val="auto"/>
            <w:sz w:val="24"/>
            <w:szCs w:val="24"/>
            <w:u w:val="none"/>
          </w:rPr>
          <w:t>1121</w:t>
        </w:r>
      </w:hyperlink>
      <w:r w:rsidR="007B1FB4" w:rsidRPr="009F45BA">
        <w:rPr>
          <w:rFonts w:ascii="Book Antiqua" w:eastAsia="MS Gothic" w:hAnsi="Book Antiqua"/>
          <w:sz w:val="24"/>
          <w:szCs w:val="24"/>
        </w:rPr>
        <w:t xml:space="preserve"> </w:t>
      </w:r>
    </w:p>
    <w:p w:rsidR="00694FC2" w:rsidRPr="009F45BA" w:rsidRDefault="007B1FB4" w:rsidP="00163410">
      <w:pPr>
        <w:widowControl/>
        <w:adjustRightInd w:val="0"/>
        <w:snapToGrid w:val="0"/>
        <w:spacing w:line="360" w:lineRule="auto"/>
        <w:rPr>
          <w:rFonts w:ascii="Book Antiqua" w:eastAsia="MS Gothic" w:hAnsi="Book Antiqua"/>
          <w:sz w:val="24"/>
          <w:szCs w:val="24"/>
        </w:rPr>
      </w:pPr>
      <w:r w:rsidRPr="00AB33EA">
        <w:rPr>
          <w:rFonts w:ascii="Book Antiqua" w:eastAsia="MS Gothic" w:hAnsi="Book Antiqua"/>
          <w:b/>
          <w:sz w:val="24"/>
          <w:szCs w:val="24"/>
        </w:rPr>
        <w:t>Fax:</w:t>
      </w:r>
      <w:r w:rsidR="007A2CDB" w:rsidRPr="009F45BA">
        <w:rPr>
          <w:rFonts w:ascii="Book Antiqua" w:eastAsia="MS Gothic" w:hAnsi="Book Antiqua"/>
          <w:sz w:val="24"/>
          <w:szCs w:val="24"/>
        </w:rPr>
        <w:t xml:space="preserve"> </w:t>
      </w:r>
      <w:r w:rsidR="00AB33EA" w:rsidRPr="00AB33EA">
        <w:rPr>
          <w:rFonts w:ascii="Book Antiqua" w:eastAsia="宋体" w:hAnsi="Book Antiqua" w:hint="eastAsia"/>
          <w:sz w:val="24"/>
          <w:szCs w:val="24"/>
          <w:lang w:eastAsia="zh-CN"/>
        </w:rPr>
        <w:t>+</w:t>
      </w:r>
      <w:r w:rsidR="00AB33EA">
        <w:rPr>
          <w:rFonts w:ascii="Book Antiqua" w:eastAsia="MS Gothic" w:hAnsi="Book Antiqua"/>
          <w:sz w:val="24"/>
          <w:szCs w:val="24"/>
        </w:rPr>
        <w:t>81-463-93</w:t>
      </w:r>
      <w:r w:rsidRPr="00AB33EA">
        <w:rPr>
          <w:rFonts w:ascii="Book Antiqua" w:eastAsia="MS Gothic" w:hAnsi="Book Antiqua"/>
          <w:sz w:val="24"/>
          <w:szCs w:val="24"/>
        </w:rPr>
        <w:t>7134</w:t>
      </w:r>
    </w:p>
    <w:p w:rsidR="0006365C" w:rsidRPr="0006365C" w:rsidRDefault="0006365C" w:rsidP="0006365C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>
        <w:rPr>
          <w:rFonts w:ascii="Book Antiqua" w:eastAsia="宋体" w:hAnsi="Book Antiqua"/>
          <w:b/>
          <w:sz w:val="24"/>
          <w:szCs w:val="24"/>
          <w:lang w:eastAsia="zh-CN"/>
        </w:rPr>
        <w:t>Received:</w:t>
      </w:r>
      <w:r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Pr="0006365C">
        <w:rPr>
          <w:rFonts w:ascii="Book Antiqua" w:eastAsia="宋体" w:hAnsi="Book Antiqua" w:hint="eastAsia"/>
          <w:sz w:val="24"/>
          <w:szCs w:val="24"/>
          <w:lang w:eastAsia="zh-CN"/>
        </w:rPr>
        <w:t>October 18, 2014</w:t>
      </w:r>
    </w:p>
    <w:p w:rsidR="0006365C" w:rsidRPr="0006365C" w:rsidRDefault="0006365C" w:rsidP="0006365C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06365C">
        <w:rPr>
          <w:rFonts w:ascii="Book Antiqua" w:eastAsia="宋体" w:hAnsi="Book Antiqua" w:hint="eastAsia"/>
          <w:b/>
          <w:sz w:val="24"/>
          <w:szCs w:val="24"/>
          <w:lang w:eastAsia="zh-CN"/>
        </w:rPr>
        <w:t>Peer-review started</w:t>
      </w:r>
      <w:r w:rsidRPr="0006365C">
        <w:rPr>
          <w:rFonts w:ascii="Book Antiqua" w:eastAsia="宋体" w:hAnsi="Book Antiqua"/>
          <w:b/>
          <w:sz w:val="24"/>
          <w:szCs w:val="24"/>
          <w:lang w:eastAsia="zh-CN"/>
        </w:rPr>
        <w:t>:</w:t>
      </w:r>
      <w:r w:rsidRPr="0006365C">
        <w:rPr>
          <w:rFonts w:ascii="Book Antiqua" w:eastAsia="宋体" w:hAnsi="Book Antiqua" w:hint="eastAsia"/>
          <w:sz w:val="24"/>
          <w:szCs w:val="24"/>
          <w:lang w:eastAsia="zh-CN"/>
        </w:rPr>
        <w:t xml:space="preserve"> October 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>21</w:t>
      </w:r>
      <w:r w:rsidRPr="0006365C">
        <w:rPr>
          <w:rFonts w:ascii="Book Antiqua" w:eastAsia="宋体" w:hAnsi="Book Antiqua" w:hint="eastAsia"/>
          <w:sz w:val="24"/>
          <w:szCs w:val="24"/>
          <w:lang w:eastAsia="zh-CN"/>
        </w:rPr>
        <w:t>, 2014</w:t>
      </w:r>
    </w:p>
    <w:p w:rsidR="0006365C" w:rsidRPr="0006365C" w:rsidRDefault="0006365C" w:rsidP="0006365C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06365C">
        <w:rPr>
          <w:rFonts w:ascii="Book Antiqua" w:eastAsia="宋体" w:hAnsi="Book Antiqua"/>
          <w:b/>
          <w:sz w:val="24"/>
          <w:szCs w:val="24"/>
          <w:lang w:eastAsia="zh-CN"/>
        </w:rPr>
        <w:t>First decision:</w:t>
      </w:r>
      <w:r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Pr="0006365C">
        <w:rPr>
          <w:rFonts w:ascii="Book Antiqua" w:eastAsia="宋体" w:hAnsi="Book Antiqua" w:hint="eastAsia"/>
          <w:sz w:val="24"/>
          <w:szCs w:val="24"/>
          <w:lang w:eastAsia="zh-CN"/>
        </w:rPr>
        <w:t>November 14, 2014</w:t>
      </w:r>
    </w:p>
    <w:p w:rsidR="0006365C" w:rsidRPr="0006365C" w:rsidRDefault="0006365C" w:rsidP="0006365C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>
        <w:rPr>
          <w:rFonts w:ascii="Book Antiqua" w:eastAsia="宋体" w:hAnsi="Book Antiqua"/>
          <w:b/>
          <w:sz w:val="24"/>
          <w:szCs w:val="24"/>
          <w:lang w:eastAsia="zh-CN"/>
        </w:rPr>
        <w:lastRenderedPageBreak/>
        <w:t>Revised:</w:t>
      </w:r>
      <w:r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 </w:t>
      </w:r>
      <w:r w:rsidRPr="0006365C">
        <w:rPr>
          <w:rFonts w:ascii="Book Antiqua" w:eastAsia="宋体" w:hAnsi="Book Antiqua" w:hint="eastAsia"/>
          <w:sz w:val="24"/>
          <w:szCs w:val="24"/>
          <w:lang w:eastAsia="zh-CN"/>
        </w:rPr>
        <w:t>December 9, 2014</w:t>
      </w:r>
    </w:p>
    <w:p w:rsidR="00D7713D" w:rsidRPr="000213AF" w:rsidRDefault="0006365C" w:rsidP="00D7713D">
      <w:pPr>
        <w:rPr>
          <w:rFonts w:ascii="Book Antiqua" w:hAnsi="Book Antiqua"/>
          <w:color w:val="000000"/>
          <w:sz w:val="24"/>
        </w:rPr>
      </w:pPr>
      <w:r w:rsidRPr="0006365C">
        <w:rPr>
          <w:rFonts w:ascii="Book Antiqua" w:eastAsia="宋体" w:hAnsi="Book Antiqua"/>
          <w:b/>
          <w:sz w:val="24"/>
          <w:szCs w:val="24"/>
          <w:lang w:eastAsia="zh-CN"/>
        </w:rPr>
        <w:t>Accepted:</w:t>
      </w:r>
      <w:bookmarkStart w:id="13" w:name="OLE_LINK98"/>
      <w:bookmarkStart w:id="14" w:name="OLE_LINK99"/>
      <w:r w:rsidR="00D7713D" w:rsidRPr="00D7713D">
        <w:rPr>
          <w:rFonts w:ascii="Book Antiqua" w:hAnsi="Book Antiqua"/>
          <w:color w:val="000000"/>
          <w:sz w:val="24"/>
        </w:rPr>
        <w:t xml:space="preserve"> </w:t>
      </w:r>
      <w:r w:rsidR="00D7713D">
        <w:rPr>
          <w:rFonts w:ascii="Book Antiqua" w:hAnsi="Book Antiqua"/>
          <w:color w:val="000000"/>
          <w:sz w:val="24"/>
        </w:rPr>
        <w:t>February 1</w:t>
      </w:r>
      <w:r w:rsidR="00D7713D">
        <w:rPr>
          <w:rFonts w:ascii="Book Antiqua" w:hAnsi="Book Antiqua" w:hint="eastAsia"/>
          <w:color w:val="000000"/>
          <w:sz w:val="24"/>
        </w:rPr>
        <w:t>2</w:t>
      </w:r>
      <w:r w:rsidR="00D7713D" w:rsidRPr="000213AF">
        <w:rPr>
          <w:rFonts w:ascii="Book Antiqua" w:hAnsi="Book Antiqua"/>
          <w:color w:val="000000"/>
          <w:sz w:val="24"/>
        </w:rPr>
        <w:t>, 2015</w:t>
      </w:r>
    </w:p>
    <w:p w:rsidR="0006365C" w:rsidRPr="0006365C" w:rsidRDefault="00807A54" w:rsidP="0006365C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bookmarkStart w:id="15" w:name="_GoBack"/>
      <w:bookmarkEnd w:id="13"/>
      <w:bookmarkEnd w:id="14"/>
      <w:bookmarkEnd w:id="15"/>
      <w:r>
        <w:rPr>
          <w:rFonts w:ascii="Book Antiqua" w:eastAsia="宋体" w:hAnsi="Book Antiqua"/>
          <w:b/>
          <w:sz w:val="24"/>
          <w:szCs w:val="24"/>
          <w:lang w:eastAsia="zh-CN"/>
        </w:rPr>
        <w:t xml:space="preserve"> </w:t>
      </w:r>
    </w:p>
    <w:p w:rsidR="0006365C" w:rsidRPr="0006365C" w:rsidRDefault="0006365C" w:rsidP="0006365C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06365C">
        <w:rPr>
          <w:rFonts w:ascii="Book Antiqua" w:eastAsia="宋体" w:hAnsi="Book Antiqua"/>
          <w:b/>
          <w:sz w:val="24"/>
          <w:szCs w:val="24"/>
          <w:lang w:eastAsia="zh-CN"/>
        </w:rPr>
        <w:t>Article in press:</w:t>
      </w:r>
    </w:p>
    <w:p w:rsidR="0006365C" w:rsidRPr="0006365C" w:rsidRDefault="0006365C" w:rsidP="0006365C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06365C">
        <w:rPr>
          <w:rFonts w:ascii="Book Antiqua" w:eastAsia="宋体" w:hAnsi="Book Antiqua"/>
          <w:b/>
          <w:sz w:val="24"/>
          <w:szCs w:val="24"/>
          <w:lang w:eastAsia="zh-CN"/>
        </w:rPr>
        <w:t xml:space="preserve">Published online: </w:t>
      </w:r>
    </w:p>
    <w:p w:rsidR="0006365C" w:rsidRDefault="0006365C" w:rsidP="001634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61583F" w:rsidRPr="0006365C" w:rsidRDefault="0061583F" w:rsidP="001634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9F45BA">
        <w:rPr>
          <w:rFonts w:ascii="Book Antiqua" w:eastAsia="MS PMincho" w:hAnsi="Book Antiqua"/>
          <w:b/>
          <w:sz w:val="24"/>
          <w:szCs w:val="24"/>
        </w:rPr>
        <w:t>Abstract</w:t>
      </w:r>
    </w:p>
    <w:p w:rsidR="007C0FF9" w:rsidRPr="009F45BA" w:rsidRDefault="00305534" w:rsidP="0016341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MS PMincho" w:hAnsi="Book Antiqua"/>
          <w:sz w:val="24"/>
          <w:szCs w:val="24"/>
        </w:rPr>
      </w:pPr>
      <w:r w:rsidRPr="009F45BA">
        <w:rPr>
          <w:rFonts w:ascii="Book Antiqua" w:hAnsi="Book Antiqua"/>
          <w:b/>
          <w:sz w:val="24"/>
          <w:szCs w:val="24"/>
        </w:rPr>
        <w:t>A</w:t>
      </w:r>
      <w:r w:rsidR="00E01A41" w:rsidRPr="009F45BA">
        <w:rPr>
          <w:rFonts w:ascii="Book Antiqua" w:hAnsi="Book Antiqua"/>
          <w:b/>
          <w:sz w:val="24"/>
          <w:szCs w:val="24"/>
        </w:rPr>
        <w:t>IM</w:t>
      </w:r>
      <w:r w:rsidR="00F55CAE" w:rsidRPr="009F45BA">
        <w:rPr>
          <w:rFonts w:ascii="Book Antiqua" w:eastAsia="MS PMincho" w:hAnsi="Book Antiqua"/>
          <w:sz w:val="24"/>
          <w:szCs w:val="24"/>
        </w:rPr>
        <w:t>:</w:t>
      </w:r>
      <w:r w:rsidR="00BD1D8A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BB4609" w:rsidRPr="009F45BA">
        <w:rPr>
          <w:rFonts w:ascii="Book Antiqua" w:eastAsia="MS PMincho" w:hAnsi="Book Antiqua"/>
          <w:sz w:val="24"/>
          <w:szCs w:val="24"/>
        </w:rPr>
        <w:t>T</w:t>
      </w:r>
      <w:r w:rsidR="005C01A3" w:rsidRPr="009F45BA">
        <w:rPr>
          <w:rFonts w:ascii="Book Antiqua" w:eastAsia="MS PMincho" w:hAnsi="Book Antiqua"/>
          <w:sz w:val="24"/>
          <w:szCs w:val="24"/>
        </w:rPr>
        <w:t>o e</w:t>
      </w:r>
      <w:r w:rsidR="00BB4609" w:rsidRPr="009F45BA">
        <w:rPr>
          <w:rFonts w:ascii="Book Antiqua" w:eastAsia="MS PMincho" w:hAnsi="Book Antiqua"/>
          <w:sz w:val="24"/>
          <w:szCs w:val="24"/>
        </w:rPr>
        <w:t>valuate the efficacy of adding</w:t>
      </w:r>
      <w:r w:rsidR="005C01A3" w:rsidRPr="009F45BA">
        <w:rPr>
          <w:rFonts w:ascii="Book Antiqua" w:eastAsia="MS PMincho" w:hAnsi="Book Antiqua"/>
          <w:sz w:val="24"/>
          <w:szCs w:val="24"/>
        </w:rPr>
        <w:t xml:space="preserve"> </w:t>
      </w:r>
      <w:bookmarkStart w:id="16" w:name="OLE_LINK58"/>
      <w:bookmarkStart w:id="17" w:name="OLE_LINK59"/>
      <w:proofErr w:type="spellStart"/>
      <w:r w:rsidR="005C01A3" w:rsidRPr="009F45BA">
        <w:rPr>
          <w:rFonts w:ascii="Book Antiqua" w:eastAsia="MS PMincho" w:hAnsi="Book Antiqua"/>
          <w:sz w:val="24"/>
          <w:szCs w:val="24"/>
        </w:rPr>
        <w:t>irsogladine</w:t>
      </w:r>
      <w:proofErr w:type="spellEnd"/>
      <w:r w:rsidR="005C01A3" w:rsidRPr="009F45BA">
        <w:rPr>
          <w:rFonts w:ascii="Book Antiqua" w:eastAsia="MS PMincho" w:hAnsi="Book Antiqua"/>
          <w:sz w:val="24"/>
          <w:szCs w:val="24"/>
        </w:rPr>
        <w:t xml:space="preserve"> maleate</w:t>
      </w:r>
      <w:bookmarkEnd w:id="16"/>
      <w:bookmarkEnd w:id="17"/>
      <w:r w:rsidR="00D303E0" w:rsidRPr="009F45BA">
        <w:rPr>
          <w:rFonts w:ascii="Book Antiqua" w:eastAsia="MS PMincho" w:hAnsi="Book Antiqua"/>
          <w:sz w:val="24"/>
          <w:szCs w:val="24"/>
        </w:rPr>
        <w:t xml:space="preserve"> (IM)</w:t>
      </w:r>
      <w:r w:rsidR="005C01A3" w:rsidRPr="009F45BA">
        <w:rPr>
          <w:rFonts w:ascii="Book Antiqua" w:eastAsia="MS PMincho" w:hAnsi="Book Antiqua"/>
          <w:sz w:val="24"/>
          <w:szCs w:val="24"/>
        </w:rPr>
        <w:t xml:space="preserve"> to </w:t>
      </w:r>
      <w:r w:rsidR="00BB4609" w:rsidRPr="009F45BA">
        <w:rPr>
          <w:rFonts w:ascii="Book Antiqua" w:eastAsia="MS PMincho" w:hAnsi="Book Antiqua"/>
          <w:sz w:val="24"/>
          <w:szCs w:val="24"/>
        </w:rPr>
        <w:t>proton-pump inhibitor (</w:t>
      </w:r>
      <w:r w:rsidR="00941EE4" w:rsidRPr="009F45BA">
        <w:rPr>
          <w:rFonts w:ascii="Book Antiqua" w:eastAsia="MS PMincho" w:hAnsi="Book Antiqua"/>
          <w:sz w:val="24"/>
          <w:szCs w:val="24"/>
        </w:rPr>
        <w:t>PPI</w:t>
      </w:r>
      <w:r w:rsidR="00BB4609" w:rsidRPr="009F45BA">
        <w:rPr>
          <w:rFonts w:ascii="Book Antiqua" w:eastAsia="MS PMincho" w:hAnsi="Book Antiqua"/>
          <w:sz w:val="24"/>
          <w:szCs w:val="24"/>
        </w:rPr>
        <w:t>)</w:t>
      </w:r>
      <w:r w:rsidR="005C01A3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BB4609" w:rsidRPr="009F45BA">
        <w:rPr>
          <w:rFonts w:ascii="Book Antiqua" w:eastAsia="MS PMincho" w:hAnsi="Book Antiqua"/>
          <w:sz w:val="24"/>
          <w:szCs w:val="24"/>
        </w:rPr>
        <w:t xml:space="preserve">therapy </w:t>
      </w:r>
      <w:r w:rsidR="005C01A3" w:rsidRPr="009F45BA">
        <w:rPr>
          <w:rFonts w:ascii="Book Antiqua" w:eastAsia="MS PMincho" w:hAnsi="Book Antiqua"/>
          <w:sz w:val="24"/>
          <w:szCs w:val="24"/>
        </w:rPr>
        <w:t xml:space="preserve">in </w:t>
      </w:r>
      <w:r w:rsidR="00BB4609" w:rsidRPr="009F45BA">
        <w:rPr>
          <w:rFonts w:ascii="Book Antiqua" w:eastAsia="MS PMincho" w:hAnsi="Book Antiqua"/>
          <w:sz w:val="24"/>
          <w:szCs w:val="24"/>
        </w:rPr>
        <w:t>non-erosive reflux disease (NERD) treatment</w:t>
      </w:r>
      <w:r w:rsidR="005C01A3" w:rsidRPr="009F45BA">
        <w:rPr>
          <w:rFonts w:ascii="Book Antiqua" w:eastAsia="MS PMincho" w:hAnsi="Book Antiqua"/>
          <w:sz w:val="24"/>
          <w:szCs w:val="24"/>
        </w:rPr>
        <w:t xml:space="preserve">. </w:t>
      </w:r>
    </w:p>
    <w:p w:rsidR="00AB33EA" w:rsidRDefault="00AB33EA" w:rsidP="0016341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7C0FF9" w:rsidRPr="009F45BA" w:rsidRDefault="008D5CBA" w:rsidP="0016341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MS PMincho" w:hAnsi="Book Antiqua"/>
          <w:sz w:val="24"/>
          <w:szCs w:val="24"/>
        </w:rPr>
      </w:pPr>
      <w:r w:rsidRPr="009F45BA">
        <w:rPr>
          <w:rFonts w:ascii="Book Antiqua" w:hAnsi="Book Antiqua"/>
          <w:b/>
          <w:sz w:val="24"/>
          <w:szCs w:val="24"/>
        </w:rPr>
        <w:t>M</w:t>
      </w:r>
      <w:r w:rsidR="00E01A41" w:rsidRPr="009F45BA">
        <w:rPr>
          <w:rFonts w:ascii="Book Antiqua" w:hAnsi="Book Antiqua"/>
          <w:b/>
          <w:sz w:val="24"/>
          <w:szCs w:val="24"/>
        </w:rPr>
        <w:t>ETHODS</w:t>
      </w:r>
      <w:r w:rsidR="00F55CAE" w:rsidRPr="009F45BA">
        <w:rPr>
          <w:rFonts w:ascii="Book Antiqua" w:eastAsia="MS PMincho" w:hAnsi="Book Antiqua"/>
          <w:b/>
          <w:sz w:val="24"/>
          <w:szCs w:val="24"/>
        </w:rPr>
        <w:t>:</w:t>
      </w:r>
      <w:r w:rsidR="00F55CAE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Pr="009F45BA">
        <w:rPr>
          <w:rFonts w:ascii="Book Antiqua" w:eastAsia="MS PMincho" w:hAnsi="Book Antiqua"/>
          <w:sz w:val="24"/>
          <w:szCs w:val="24"/>
        </w:rPr>
        <w:t xml:space="preserve">One hundred patients with </w:t>
      </w:r>
      <w:r w:rsidR="00E60DD2" w:rsidRPr="009F45BA">
        <w:rPr>
          <w:rFonts w:ascii="Book Antiqua" w:eastAsia="MS PMincho" w:hAnsi="Book Antiqua"/>
          <w:sz w:val="24"/>
          <w:szCs w:val="24"/>
        </w:rPr>
        <w:t xml:space="preserve">NERD were </w:t>
      </w:r>
      <w:r w:rsidR="00F72A74" w:rsidRPr="009F45BA">
        <w:rPr>
          <w:rFonts w:ascii="Book Antiqua" w:eastAsia="MS PMincho" w:hAnsi="Book Antiqua"/>
          <w:sz w:val="24"/>
          <w:szCs w:val="24"/>
        </w:rPr>
        <w:t xml:space="preserve">recruited and </w:t>
      </w:r>
      <w:r w:rsidR="00E60DD2" w:rsidRPr="009F45BA">
        <w:rPr>
          <w:rFonts w:ascii="Book Antiqua" w:eastAsia="MS PMincho" w:hAnsi="Book Antiqua"/>
          <w:sz w:val="24"/>
          <w:szCs w:val="24"/>
        </w:rPr>
        <w:t xml:space="preserve">randomized to </w:t>
      </w:r>
      <w:r w:rsidR="00E01A41" w:rsidRPr="009F45BA">
        <w:rPr>
          <w:rFonts w:ascii="Book Antiqua" w:eastAsia="MS PMincho" w:hAnsi="Book Antiqua"/>
          <w:sz w:val="24"/>
          <w:szCs w:val="24"/>
        </w:rPr>
        <w:t xml:space="preserve">receive </w:t>
      </w:r>
      <w:proofErr w:type="spellStart"/>
      <w:r w:rsidR="00780CAF" w:rsidRPr="009F45BA">
        <w:rPr>
          <w:rFonts w:ascii="Book Antiqua" w:eastAsia="MS PMincho" w:hAnsi="Book Antiqua"/>
          <w:sz w:val="24"/>
          <w:szCs w:val="24"/>
        </w:rPr>
        <w:t>rabeprazole</w:t>
      </w:r>
      <w:proofErr w:type="spellEnd"/>
      <w:r w:rsidR="00780CAF" w:rsidRPr="009F45BA">
        <w:rPr>
          <w:rFonts w:ascii="Book Antiqua" w:eastAsia="MS PMincho" w:hAnsi="Book Antiqua"/>
          <w:sz w:val="24"/>
          <w:szCs w:val="24"/>
        </w:rPr>
        <w:t xml:space="preserve"> plus </w:t>
      </w:r>
      <w:r w:rsidR="00D303E0" w:rsidRPr="009F45BA">
        <w:rPr>
          <w:rFonts w:ascii="Book Antiqua" w:eastAsia="MS PMincho" w:hAnsi="Book Antiqua"/>
          <w:sz w:val="24"/>
          <w:szCs w:val="24"/>
        </w:rPr>
        <w:t>IM</w:t>
      </w:r>
      <w:r w:rsidR="00780CAF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B809BF" w:rsidRPr="009F45BA">
        <w:rPr>
          <w:rFonts w:ascii="Book Antiqua" w:eastAsia="MS PMincho" w:hAnsi="Book Antiqua"/>
          <w:sz w:val="24"/>
          <w:szCs w:val="24"/>
        </w:rPr>
        <w:t>(</w:t>
      </w:r>
      <w:r w:rsidR="00780CAF" w:rsidRPr="009F45BA">
        <w:rPr>
          <w:rFonts w:ascii="Book Antiqua" w:eastAsia="MS PMincho" w:hAnsi="Book Antiqua"/>
          <w:sz w:val="24"/>
          <w:szCs w:val="24"/>
        </w:rPr>
        <w:t>group</w:t>
      </w:r>
      <w:r w:rsidR="00D303E0" w:rsidRPr="009F45BA">
        <w:rPr>
          <w:rFonts w:ascii="Book Antiqua" w:eastAsia="MS PMincho" w:hAnsi="Book Antiqua"/>
          <w:sz w:val="24"/>
          <w:szCs w:val="24"/>
        </w:rPr>
        <w:t xml:space="preserve"> I</w:t>
      </w:r>
      <w:r w:rsidR="00B809BF" w:rsidRPr="009F45BA">
        <w:rPr>
          <w:rFonts w:ascii="Book Antiqua" w:eastAsia="MS PMincho" w:hAnsi="Book Antiqua"/>
          <w:sz w:val="24"/>
          <w:szCs w:val="24"/>
        </w:rPr>
        <w:t>)</w:t>
      </w:r>
      <w:r w:rsidR="00E01A41" w:rsidRPr="009F45BA">
        <w:rPr>
          <w:rFonts w:ascii="Book Antiqua" w:eastAsia="MS PMincho" w:hAnsi="Book Antiqua"/>
          <w:sz w:val="24"/>
          <w:szCs w:val="24"/>
        </w:rPr>
        <w:t xml:space="preserve"> or</w:t>
      </w:r>
      <w:r w:rsidR="00780CAF" w:rsidRPr="009F45BA">
        <w:rPr>
          <w:rFonts w:ascii="Book Antiqua" w:eastAsia="MS PMincho" w:hAnsi="Book Antiqua"/>
          <w:sz w:val="24"/>
          <w:szCs w:val="24"/>
        </w:rPr>
        <w:t xml:space="preserve"> </w:t>
      </w:r>
      <w:proofErr w:type="spellStart"/>
      <w:r w:rsidR="00E60DD2" w:rsidRPr="009F45BA">
        <w:rPr>
          <w:rFonts w:ascii="Book Antiqua" w:eastAsia="MS PMincho" w:hAnsi="Book Antiqua"/>
          <w:sz w:val="24"/>
          <w:szCs w:val="24"/>
        </w:rPr>
        <w:t>rabeprazole</w:t>
      </w:r>
      <w:proofErr w:type="spellEnd"/>
      <w:r w:rsidR="00E60DD2" w:rsidRPr="009F45BA">
        <w:rPr>
          <w:rFonts w:ascii="Book Antiqua" w:eastAsia="MS PMincho" w:hAnsi="Book Antiqua"/>
          <w:sz w:val="24"/>
          <w:szCs w:val="24"/>
        </w:rPr>
        <w:t xml:space="preserve"> plus placebo </w:t>
      </w:r>
      <w:r w:rsidR="00B809BF" w:rsidRPr="009F45BA">
        <w:rPr>
          <w:rFonts w:ascii="Book Antiqua" w:eastAsia="MS PMincho" w:hAnsi="Book Antiqua"/>
          <w:sz w:val="24"/>
          <w:szCs w:val="24"/>
        </w:rPr>
        <w:t>(</w:t>
      </w:r>
      <w:r w:rsidR="00780CAF" w:rsidRPr="009F45BA">
        <w:rPr>
          <w:rFonts w:ascii="Book Antiqua" w:eastAsia="MS PMincho" w:hAnsi="Book Antiqua"/>
          <w:sz w:val="24"/>
          <w:szCs w:val="24"/>
        </w:rPr>
        <w:t>group</w:t>
      </w:r>
      <w:r w:rsidR="00D303E0" w:rsidRPr="009F45BA">
        <w:rPr>
          <w:rFonts w:ascii="Book Antiqua" w:eastAsia="MS PMincho" w:hAnsi="Book Antiqua"/>
          <w:sz w:val="24"/>
          <w:szCs w:val="24"/>
        </w:rPr>
        <w:t xml:space="preserve"> P</w:t>
      </w:r>
      <w:r w:rsidR="00B809BF" w:rsidRPr="009F45BA">
        <w:rPr>
          <w:rFonts w:ascii="Book Antiqua" w:eastAsia="MS PMincho" w:hAnsi="Book Antiqua"/>
          <w:sz w:val="24"/>
          <w:szCs w:val="24"/>
        </w:rPr>
        <w:t>)</w:t>
      </w:r>
      <w:r w:rsidR="00E60DD2" w:rsidRPr="009F45BA">
        <w:rPr>
          <w:rFonts w:ascii="Book Antiqua" w:eastAsia="MS PMincho" w:hAnsi="Book Antiqua"/>
          <w:sz w:val="24"/>
          <w:szCs w:val="24"/>
        </w:rPr>
        <w:t xml:space="preserve">. </w:t>
      </w:r>
      <w:r w:rsidR="00E01A41" w:rsidRPr="009F45BA">
        <w:rPr>
          <w:rFonts w:ascii="Book Antiqua" w:eastAsia="MS PMincho" w:hAnsi="Book Antiqua"/>
          <w:sz w:val="24"/>
          <w:szCs w:val="24"/>
        </w:rPr>
        <w:t>The e</w:t>
      </w:r>
      <w:r w:rsidR="00DB4798" w:rsidRPr="009F45BA">
        <w:rPr>
          <w:rFonts w:ascii="Book Antiqua" w:eastAsia="MS PMincho" w:hAnsi="Book Antiqua"/>
          <w:sz w:val="24"/>
          <w:szCs w:val="24"/>
        </w:rPr>
        <w:t>fficacy</w:t>
      </w:r>
      <w:r w:rsidR="00E01A41" w:rsidRPr="009F45BA">
        <w:rPr>
          <w:rFonts w:ascii="Book Antiqua" w:eastAsia="MS PMincho" w:hAnsi="Book Antiqua"/>
          <w:sz w:val="24"/>
          <w:szCs w:val="24"/>
        </w:rPr>
        <w:t xml:space="preserve"> of the treatment</w:t>
      </w:r>
      <w:r w:rsidR="00DB4798" w:rsidRPr="009F45BA">
        <w:rPr>
          <w:rFonts w:ascii="Book Antiqua" w:eastAsia="MS PMincho" w:hAnsi="Book Antiqua"/>
          <w:sz w:val="24"/>
          <w:szCs w:val="24"/>
        </w:rPr>
        <w:t xml:space="preserve"> was assessed using </w:t>
      </w:r>
      <w:r w:rsidR="00E01A41" w:rsidRPr="009F45BA">
        <w:rPr>
          <w:rFonts w:ascii="Book Antiqua" w:eastAsia="MS PMincho" w:hAnsi="Book Antiqua"/>
          <w:sz w:val="24"/>
          <w:szCs w:val="24"/>
        </w:rPr>
        <w:t>the</w:t>
      </w:r>
      <w:r w:rsidR="00D257F4" w:rsidRPr="009F45BA">
        <w:rPr>
          <w:rFonts w:ascii="Book Antiqua" w:eastAsia="MS PMincho" w:hAnsi="Book Antiqua"/>
          <w:sz w:val="24"/>
          <w:szCs w:val="24"/>
        </w:rPr>
        <w:t xml:space="preserve"> Frequency Scale </w:t>
      </w:r>
      <w:r w:rsidR="00E01A41" w:rsidRPr="009F45BA">
        <w:rPr>
          <w:rFonts w:ascii="Book Antiqua" w:eastAsia="MS PMincho" w:hAnsi="Book Antiqua"/>
          <w:sz w:val="24"/>
          <w:szCs w:val="24"/>
        </w:rPr>
        <w:t xml:space="preserve">for the </w:t>
      </w:r>
      <w:r w:rsidR="00D257F4" w:rsidRPr="009F45BA">
        <w:rPr>
          <w:rFonts w:ascii="Book Antiqua" w:eastAsia="MS PMincho" w:hAnsi="Book Antiqua"/>
          <w:sz w:val="24"/>
          <w:szCs w:val="24"/>
        </w:rPr>
        <w:t xml:space="preserve">Symptoms </w:t>
      </w:r>
      <w:r w:rsidR="00AB33EA" w:rsidRPr="009F45BA">
        <w:rPr>
          <w:rFonts w:ascii="Book Antiqua" w:eastAsia="MS PMincho" w:hAnsi="Book Antiqua"/>
          <w:sz w:val="24"/>
          <w:szCs w:val="24"/>
        </w:rPr>
        <w:t xml:space="preserve">of </w:t>
      </w:r>
      <w:proofErr w:type="spellStart"/>
      <w:r w:rsidR="00AB33EA" w:rsidRPr="009F45BA">
        <w:rPr>
          <w:rFonts w:ascii="Book Antiqua" w:eastAsia="MS PMincho" w:hAnsi="Book Antiqua"/>
          <w:sz w:val="24"/>
          <w:szCs w:val="24"/>
        </w:rPr>
        <w:t>gastroesophageal</w:t>
      </w:r>
      <w:proofErr w:type="spellEnd"/>
      <w:r w:rsidR="00AB33EA" w:rsidRPr="009F45BA">
        <w:rPr>
          <w:rFonts w:ascii="Book Antiqua" w:eastAsia="MS PMincho" w:hAnsi="Book Antiqua"/>
          <w:sz w:val="24"/>
          <w:szCs w:val="24"/>
        </w:rPr>
        <w:t xml:space="preserve"> reflux disease</w:t>
      </w:r>
      <w:r w:rsidR="00F72A74" w:rsidRPr="009F45BA">
        <w:rPr>
          <w:rFonts w:ascii="Book Antiqua" w:eastAsia="MS PMincho" w:hAnsi="Book Antiqua"/>
          <w:sz w:val="24"/>
          <w:szCs w:val="24"/>
        </w:rPr>
        <w:t xml:space="preserve"> (FSSG)</w:t>
      </w:r>
      <w:r w:rsidR="005D3FF3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49638B" w:rsidRPr="009F45BA">
        <w:rPr>
          <w:rFonts w:ascii="Book Antiqua" w:eastAsia="MS PMincho" w:hAnsi="Book Antiqua"/>
          <w:sz w:val="24"/>
          <w:szCs w:val="24"/>
        </w:rPr>
        <w:t xml:space="preserve">and the </w:t>
      </w:r>
      <w:r w:rsidR="00AB33EA" w:rsidRPr="009F45BA">
        <w:rPr>
          <w:rFonts w:ascii="Book Antiqua" w:eastAsia="MS PMincho" w:hAnsi="Book Antiqua"/>
          <w:sz w:val="24"/>
          <w:szCs w:val="24"/>
        </w:rPr>
        <w:t xml:space="preserve">short form </w:t>
      </w:r>
      <w:r w:rsidR="00E01A41" w:rsidRPr="009F45BA">
        <w:rPr>
          <w:rFonts w:ascii="Book Antiqua" w:eastAsia="MS PMincho" w:hAnsi="Book Antiqua"/>
          <w:sz w:val="24"/>
          <w:szCs w:val="24"/>
        </w:rPr>
        <w:t>(</w:t>
      </w:r>
      <w:r w:rsidR="0049638B" w:rsidRPr="009F45BA">
        <w:rPr>
          <w:rFonts w:ascii="Book Antiqua" w:eastAsia="MS PMincho" w:hAnsi="Book Antiqua"/>
          <w:sz w:val="24"/>
          <w:szCs w:val="24"/>
        </w:rPr>
        <w:t>SF</w:t>
      </w:r>
      <w:r w:rsidR="00E01A41" w:rsidRPr="009F45BA">
        <w:rPr>
          <w:rFonts w:ascii="Book Antiqua" w:eastAsia="MS PMincho" w:hAnsi="Book Antiqua"/>
          <w:sz w:val="24"/>
          <w:szCs w:val="24"/>
        </w:rPr>
        <w:t>)-36 quality of life</w:t>
      </w:r>
      <w:r w:rsidR="0049638B" w:rsidRPr="009F45BA">
        <w:rPr>
          <w:rFonts w:ascii="Book Antiqua" w:eastAsia="MS PMincho" w:hAnsi="Book Antiqua"/>
          <w:sz w:val="24"/>
          <w:szCs w:val="24"/>
        </w:rPr>
        <w:t xml:space="preserve"> questionnaires </w:t>
      </w:r>
      <w:r w:rsidR="00E01A41" w:rsidRPr="009F45BA">
        <w:rPr>
          <w:rFonts w:ascii="Book Antiqua" w:eastAsia="MS PMincho" w:hAnsi="Book Antiqua"/>
          <w:sz w:val="24"/>
          <w:szCs w:val="24"/>
        </w:rPr>
        <w:t>after four</w:t>
      </w:r>
      <w:r w:rsidR="005D3FF3" w:rsidRPr="009F45BA">
        <w:rPr>
          <w:rFonts w:ascii="Book Antiqua" w:eastAsia="MS PMincho" w:hAnsi="Book Antiqua"/>
          <w:sz w:val="24"/>
          <w:szCs w:val="24"/>
        </w:rPr>
        <w:t xml:space="preserve"> weeks </w:t>
      </w:r>
      <w:r w:rsidR="00E01A41" w:rsidRPr="009F45BA">
        <w:rPr>
          <w:rFonts w:ascii="Book Antiqua" w:eastAsia="MS PMincho" w:hAnsi="Book Antiqua"/>
          <w:sz w:val="24"/>
          <w:szCs w:val="24"/>
        </w:rPr>
        <w:t xml:space="preserve">of </w:t>
      </w:r>
      <w:r w:rsidR="005D3FF3" w:rsidRPr="009F45BA">
        <w:rPr>
          <w:rFonts w:ascii="Book Antiqua" w:eastAsia="MS PMincho" w:hAnsi="Book Antiqua"/>
          <w:sz w:val="24"/>
          <w:szCs w:val="24"/>
        </w:rPr>
        <w:t>treatment</w:t>
      </w:r>
      <w:r w:rsidR="00F72A74" w:rsidRPr="009F45BA">
        <w:rPr>
          <w:rFonts w:ascii="Book Antiqua" w:eastAsia="MS PMincho" w:hAnsi="Book Antiqua"/>
          <w:sz w:val="24"/>
          <w:szCs w:val="24"/>
        </w:rPr>
        <w:t xml:space="preserve">. </w:t>
      </w:r>
      <w:r w:rsidR="00E01A41" w:rsidRPr="009F45BA">
        <w:rPr>
          <w:rFonts w:ascii="Book Antiqua" w:eastAsia="MS PMincho" w:hAnsi="Book Antiqua"/>
          <w:sz w:val="24"/>
          <w:szCs w:val="24"/>
        </w:rPr>
        <w:t xml:space="preserve">We also assessed whether patients with NERD with minimal changes (grade M) had different responses to the therapies compared with patients who did not have minimal changes (grade N). </w:t>
      </w:r>
    </w:p>
    <w:p w:rsidR="00AB33EA" w:rsidRDefault="00AB33EA" w:rsidP="0016341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AB33EA" w:rsidRDefault="00780CAF" w:rsidP="0016341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9F45BA">
        <w:rPr>
          <w:rFonts w:ascii="Book Antiqua" w:hAnsi="Book Antiqua"/>
          <w:b/>
          <w:sz w:val="24"/>
          <w:szCs w:val="24"/>
        </w:rPr>
        <w:t>R</w:t>
      </w:r>
      <w:r w:rsidR="00826040" w:rsidRPr="009F45BA">
        <w:rPr>
          <w:rFonts w:ascii="Book Antiqua" w:hAnsi="Book Antiqua"/>
          <w:b/>
          <w:sz w:val="24"/>
          <w:szCs w:val="24"/>
        </w:rPr>
        <w:t>ESULTS</w:t>
      </w:r>
      <w:r w:rsidR="00F55CAE" w:rsidRPr="009F45BA">
        <w:rPr>
          <w:rFonts w:ascii="Book Antiqua" w:eastAsia="MS PMincho" w:hAnsi="Book Antiqua"/>
          <w:b/>
          <w:sz w:val="24"/>
          <w:szCs w:val="24"/>
        </w:rPr>
        <w:t>:</w:t>
      </w:r>
      <w:r w:rsidRPr="009F45BA">
        <w:rPr>
          <w:rFonts w:ascii="Book Antiqua" w:eastAsia="MS PMincho" w:hAnsi="Book Antiqua"/>
          <w:b/>
          <w:sz w:val="24"/>
          <w:szCs w:val="24"/>
        </w:rPr>
        <w:t xml:space="preserve"> </w:t>
      </w:r>
      <w:r w:rsidR="00D070F7" w:rsidRPr="009F45BA">
        <w:rPr>
          <w:rFonts w:ascii="Book Antiqua" w:eastAsia="MS PMincho" w:hAnsi="Book Antiqua"/>
          <w:sz w:val="24"/>
          <w:szCs w:val="24"/>
        </w:rPr>
        <w:t xml:space="preserve">Group I and group P showed </w:t>
      </w:r>
      <w:r w:rsidR="00AF2A7F" w:rsidRPr="009F45BA">
        <w:rPr>
          <w:rFonts w:ascii="Book Antiqua" w:eastAsia="MS PMincho" w:hAnsi="Book Antiqua"/>
          <w:sz w:val="24"/>
          <w:szCs w:val="24"/>
        </w:rPr>
        <w:t>s</w:t>
      </w:r>
      <w:r w:rsidR="00C435B5" w:rsidRPr="009F45BA">
        <w:rPr>
          <w:rFonts w:ascii="Book Antiqua" w:eastAsia="MS PMincho" w:hAnsi="Book Antiqua"/>
          <w:sz w:val="24"/>
          <w:szCs w:val="24"/>
        </w:rPr>
        <w:t xml:space="preserve">ignificant improvements in </w:t>
      </w:r>
      <w:r w:rsidR="00D070F7" w:rsidRPr="009F45BA">
        <w:rPr>
          <w:rFonts w:ascii="Book Antiqua" w:eastAsia="MS PMincho" w:hAnsi="Book Antiqua"/>
          <w:sz w:val="24"/>
          <w:szCs w:val="24"/>
        </w:rPr>
        <w:t xml:space="preserve">their </w:t>
      </w:r>
      <w:r w:rsidR="00C435B5" w:rsidRPr="009F45BA">
        <w:rPr>
          <w:rFonts w:ascii="Book Antiqua" w:eastAsia="MS PMincho" w:hAnsi="Book Antiqua"/>
          <w:sz w:val="24"/>
          <w:szCs w:val="24"/>
        </w:rPr>
        <w:t xml:space="preserve">FSSG </w:t>
      </w:r>
      <w:r w:rsidR="00D070F7" w:rsidRPr="009F45BA">
        <w:rPr>
          <w:rFonts w:ascii="Book Antiqua" w:eastAsia="MS PMincho" w:hAnsi="Book Antiqua"/>
          <w:sz w:val="24"/>
          <w:szCs w:val="24"/>
        </w:rPr>
        <w:t xml:space="preserve">scores </w:t>
      </w:r>
      <w:r w:rsidR="00D303E0" w:rsidRPr="009F45BA">
        <w:rPr>
          <w:rFonts w:ascii="Book Antiqua" w:eastAsia="MS PMincho" w:hAnsi="Book Antiqua"/>
          <w:sz w:val="24"/>
          <w:szCs w:val="24"/>
        </w:rPr>
        <w:t xml:space="preserve">after </w:t>
      </w:r>
      <w:r w:rsidR="00A265C7" w:rsidRPr="009F45BA">
        <w:rPr>
          <w:rFonts w:ascii="Book Antiqua" w:eastAsia="MS PMincho" w:hAnsi="Book Antiqua"/>
          <w:sz w:val="24"/>
          <w:szCs w:val="24"/>
        </w:rPr>
        <w:t>the</w:t>
      </w:r>
      <w:r w:rsidR="00D070F7" w:rsidRPr="009F45BA">
        <w:rPr>
          <w:rFonts w:ascii="Book Antiqua" w:eastAsia="MS PMincho" w:hAnsi="Book Antiqua"/>
          <w:sz w:val="24"/>
          <w:szCs w:val="24"/>
        </w:rPr>
        <w:t xml:space="preserve"> treatment</w:t>
      </w:r>
      <w:r w:rsidR="00C435B5" w:rsidRPr="009F45BA">
        <w:rPr>
          <w:rFonts w:ascii="Book Antiqua" w:eastAsia="MS PMincho" w:hAnsi="Book Antiqua"/>
          <w:sz w:val="24"/>
          <w:szCs w:val="24"/>
        </w:rPr>
        <w:t xml:space="preserve"> (</w:t>
      </w:r>
      <w:r w:rsidR="00C17BFB" w:rsidRPr="009F45BA">
        <w:rPr>
          <w:rFonts w:ascii="Book Antiqua" w:eastAsia="MS PMincho" w:hAnsi="Book Antiqua"/>
          <w:sz w:val="24"/>
          <w:szCs w:val="24"/>
        </w:rPr>
        <w:t xml:space="preserve">from </w:t>
      </w:r>
      <w:r w:rsidR="0064791A" w:rsidRPr="009F45BA">
        <w:rPr>
          <w:rFonts w:ascii="Book Antiqua" w:hAnsi="Book Antiqua"/>
          <w:sz w:val="24"/>
          <w:szCs w:val="24"/>
        </w:rPr>
        <w:t>17.9 ± 7.9 to 9.0 ± 7.6</w:t>
      </w:r>
      <w:r w:rsidR="00A265C7" w:rsidRPr="009F45BA">
        <w:rPr>
          <w:rFonts w:ascii="Book Antiqua" w:hAnsi="Book Antiqua"/>
          <w:sz w:val="24"/>
          <w:szCs w:val="24"/>
        </w:rPr>
        <w:t>,</w:t>
      </w:r>
      <w:r w:rsidR="0064791A" w:rsidRPr="009F45BA">
        <w:rPr>
          <w:rFonts w:ascii="Book Antiqua" w:hAnsi="Book Antiqua"/>
          <w:sz w:val="24"/>
          <w:szCs w:val="24"/>
        </w:rPr>
        <w:t xml:space="preserve"> and </w:t>
      </w:r>
      <w:r w:rsidR="00A265C7" w:rsidRPr="009F45BA">
        <w:rPr>
          <w:rFonts w:ascii="Book Antiqua" w:hAnsi="Book Antiqua"/>
          <w:sz w:val="24"/>
          <w:szCs w:val="24"/>
        </w:rPr>
        <w:t xml:space="preserve">from </w:t>
      </w:r>
      <w:r w:rsidR="0064791A" w:rsidRPr="009F45BA">
        <w:rPr>
          <w:rFonts w:ascii="Book Antiqua" w:hAnsi="Book Antiqua"/>
          <w:sz w:val="24"/>
          <w:szCs w:val="24"/>
        </w:rPr>
        <w:t xml:space="preserve">17.7 ± 7.3 to 11.2 ± 7.9, </w:t>
      </w:r>
      <w:r w:rsidR="00A265C7" w:rsidRPr="009F45BA">
        <w:rPr>
          <w:rFonts w:ascii="Book Antiqua" w:hAnsi="Book Antiqua"/>
          <w:sz w:val="24"/>
          <w:szCs w:val="24"/>
        </w:rPr>
        <w:t>respectively,</w:t>
      </w:r>
      <w:r w:rsidR="00A265C7" w:rsidRPr="009F45BA">
        <w:rPr>
          <w:rFonts w:ascii="Book Antiqua" w:eastAsia="MS PMincho" w:hAnsi="Book Antiqua"/>
          <w:i/>
          <w:sz w:val="24"/>
          <w:szCs w:val="24"/>
        </w:rPr>
        <w:t xml:space="preserve"> </w:t>
      </w:r>
      <w:r w:rsidR="00D070F7" w:rsidRPr="009F45BA">
        <w:rPr>
          <w:rFonts w:ascii="Book Antiqua" w:eastAsia="MS PMincho" w:hAnsi="Book Antiqua"/>
          <w:i/>
          <w:sz w:val="24"/>
          <w:szCs w:val="24"/>
        </w:rPr>
        <w:t>P</w:t>
      </w:r>
      <w:r w:rsidR="00947148" w:rsidRPr="009F45BA">
        <w:rPr>
          <w:rFonts w:ascii="Book Antiqua" w:eastAsia="MS PMincho" w:hAnsi="Book Antiqua"/>
          <w:i/>
          <w:sz w:val="24"/>
          <w:szCs w:val="24"/>
        </w:rPr>
        <w:t xml:space="preserve"> </w:t>
      </w:r>
      <w:r w:rsidR="00126552" w:rsidRPr="009F45BA">
        <w:rPr>
          <w:rFonts w:ascii="Book Antiqua" w:eastAsia="MS PMincho" w:hAnsi="Book Antiqua"/>
          <w:sz w:val="24"/>
          <w:szCs w:val="24"/>
        </w:rPr>
        <w:t>=</w:t>
      </w:r>
      <w:r w:rsidR="00A265C7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126552" w:rsidRPr="009F45BA">
        <w:rPr>
          <w:rFonts w:ascii="Book Antiqua" w:eastAsia="MS PMincho" w:hAnsi="Book Antiqua"/>
          <w:sz w:val="24"/>
          <w:szCs w:val="24"/>
        </w:rPr>
        <w:t>0.0001)</w:t>
      </w:r>
      <w:r w:rsidR="00B809BF" w:rsidRPr="009F45BA">
        <w:rPr>
          <w:rFonts w:ascii="Book Antiqua" w:eastAsia="MS PMincho" w:hAnsi="Book Antiqua"/>
          <w:sz w:val="24"/>
          <w:szCs w:val="24"/>
        </w:rPr>
        <w:t xml:space="preserve">, </w:t>
      </w:r>
      <w:r w:rsidR="00D070F7" w:rsidRPr="009F45BA">
        <w:rPr>
          <w:rFonts w:ascii="Book Antiqua" w:eastAsia="MS PMincho" w:hAnsi="Book Antiqua"/>
          <w:sz w:val="24"/>
          <w:szCs w:val="24"/>
        </w:rPr>
        <w:t xml:space="preserve">but </w:t>
      </w:r>
      <w:r w:rsidR="00B809BF" w:rsidRPr="009F45BA">
        <w:rPr>
          <w:rFonts w:ascii="Book Antiqua" w:eastAsia="MS PMincho" w:hAnsi="Book Antiqua"/>
          <w:sz w:val="24"/>
          <w:szCs w:val="24"/>
        </w:rPr>
        <w:t>there was no</w:t>
      </w:r>
      <w:r w:rsidR="00FF5F79" w:rsidRPr="009F45BA">
        <w:rPr>
          <w:rFonts w:ascii="Book Antiqua" w:eastAsia="MS PMincho" w:hAnsi="Book Antiqua"/>
          <w:sz w:val="24"/>
          <w:szCs w:val="24"/>
        </w:rPr>
        <w:t xml:space="preserve"> statistically significant</w:t>
      </w:r>
      <w:r w:rsidR="00AF2A7F" w:rsidRPr="009F45BA">
        <w:rPr>
          <w:rFonts w:ascii="Book Antiqua" w:eastAsia="MS PMincho" w:hAnsi="Book Antiqua"/>
          <w:sz w:val="24"/>
          <w:szCs w:val="24"/>
        </w:rPr>
        <w:t xml:space="preserve"> differenc</w:t>
      </w:r>
      <w:r w:rsidR="00AE00E5" w:rsidRPr="009F45BA">
        <w:rPr>
          <w:rFonts w:ascii="Book Antiqua" w:eastAsia="MS PMincho" w:hAnsi="Book Antiqua"/>
          <w:sz w:val="24"/>
          <w:szCs w:val="24"/>
        </w:rPr>
        <w:t xml:space="preserve">e between </w:t>
      </w:r>
      <w:r w:rsidR="00D070F7" w:rsidRPr="009F45BA">
        <w:rPr>
          <w:rFonts w:ascii="Book Antiqua" w:eastAsia="MS PMincho" w:hAnsi="Book Antiqua"/>
          <w:sz w:val="24"/>
          <w:szCs w:val="24"/>
        </w:rPr>
        <w:t xml:space="preserve">the </w:t>
      </w:r>
      <w:r w:rsidR="00AE00E5" w:rsidRPr="009F45BA">
        <w:rPr>
          <w:rFonts w:ascii="Book Antiqua" w:eastAsia="MS PMincho" w:hAnsi="Book Antiqua"/>
          <w:sz w:val="24"/>
          <w:szCs w:val="24"/>
        </w:rPr>
        <w:t>FSSG scores in group I</w:t>
      </w:r>
      <w:r w:rsidR="00AF2A7F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F55CAE" w:rsidRPr="009F45BA">
        <w:rPr>
          <w:rFonts w:ascii="Book Antiqua" w:eastAsia="MS PMincho" w:hAnsi="Book Antiqua"/>
          <w:sz w:val="24"/>
          <w:szCs w:val="24"/>
        </w:rPr>
        <w:t>and</w:t>
      </w:r>
      <w:r w:rsidR="00AE00E5" w:rsidRPr="009F45BA">
        <w:rPr>
          <w:rFonts w:ascii="Book Antiqua" w:eastAsia="MS PMincho" w:hAnsi="Book Antiqua"/>
          <w:sz w:val="24"/>
          <w:szCs w:val="24"/>
        </w:rPr>
        <w:t xml:space="preserve"> those in group P</w:t>
      </w:r>
      <w:r w:rsidR="00FF5F79" w:rsidRPr="009F45BA">
        <w:rPr>
          <w:rFonts w:ascii="Book Antiqua" w:eastAsia="MS PMincho" w:hAnsi="Book Antiqua"/>
          <w:sz w:val="24"/>
          <w:szCs w:val="24"/>
        </w:rPr>
        <w:t>.</w:t>
      </w:r>
      <w:r w:rsidR="00AF2A7F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D070F7" w:rsidRPr="009F45BA">
        <w:rPr>
          <w:rFonts w:ascii="Book Antiqua" w:eastAsia="MS PMincho" w:hAnsi="Book Antiqua"/>
          <w:sz w:val="24"/>
          <w:szCs w:val="24"/>
        </w:rPr>
        <w:t>S</w:t>
      </w:r>
      <w:r w:rsidR="00E372F1" w:rsidRPr="009F45BA">
        <w:rPr>
          <w:rFonts w:ascii="Book Antiqua" w:eastAsia="MS PMincho" w:hAnsi="Book Antiqua"/>
          <w:sz w:val="24"/>
          <w:szCs w:val="24"/>
        </w:rPr>
        <w:t xml:space="preserve">ubgroup analysis showed that </w:t>
      </w:r>
      <w:r w:rsidR="00AE00E5" w:rsidRPr="009F45BA">
        <w:rPr>
          <w:rFonts w:ascii="Book Antiqua" w:eastAsia="MS PMincho" w:hAnsi="Book Antiqua"/>
          <w:sz w:val="24"/>
          <w:szCs w:val="24"/>
        </w:rPr>
        <w:t xml:space="preserve">significant improvements in </w:t>
      </w:r>
      <w:r w:rsidR="00D070F7" w:rsidRPr="009F45BA">
        <w:rPr>
          <w:rFonts w:ascii="Book Antiqua" w:eastAsia="MS PMincho" w:hAnsi="Book Antiqua"/>
          <w:sz w:val="24"/>
          <w:szCs w:val="24"/>
        </w:rPr>
        <w:t xml:space="preserve">the </w:t>
      </w:r>
      <w:r w:rsidR="00AE00E5" w:rsidRPr="009F45BA">
        <w:rPr>
          <w:rFonts w:ascii="Book Antiqua" w:eastAsia="MS PMincho" w:hAnsi="Book Antiqua"/>
          <w:sz w:val="24"/>
          <w:szCs w:val="24"/>
        </w:rPr>
        <w:t xml:space="preserve">FSSG scores </w:t>
      </w:r>
      <w:r w:rsidR="00D070F7" w:rsidRPr="009F45BA">
        <w:rPr>
          <w:rFonts w:ascii="Book Antiqua" w:eastAsia="MS PMincho" w:hAnsi="Book Antiqua"/>
          <w:sz w:val="24"/>
          <w:szCs w:val="24"/>
        </w:rPr>
        <w:t>had occurred</w:t>
      </w:r>
      <w:r w:rsidR="00E372F1" w:rsidRPr="009F45BA">
        <w:rPr>
          <w:rFonts w:ascii="Book Antiqua" w:eastAsia="MS PMincho" w:hAnsi="Book Antiqua"/>
          <w:sz w:val="24"/>
          <w:szCs w:val="24"/>
        </w:rPr>
        <w:t xml:space="preserve"> in </w:t>
      </w:r>
      <w:r w:rsidR="00D070F7" w:rsidRPr="009F45BA">
        <w:rPr>
          <w:rFonts w:ascii="Book Antiqua" w:eastAsia="MS PMincho" w:hAnsi="Book Antiqua"/>
          <w:sz w:val="24"/>
          <w:szCs w:val="24"/>
        </w:rPr>
        <w:t xml:space="preserve">the patients in </w:t>
      </w:r>
      <w:r w:rsidR="00E372F1" w:rsidRPr="009F45BA">
        <w:rPr>
          <w:rFonts w:ascii="Book Antiqua" w:eastAsia="MS PMincho" w:hAnsi="Book Antiqua"/>
          <w:sz w:val="24"/>
          <w:szCs w:val="24"/>
        </w:rPr>
        <w:t xml:space="preserve">group </w:t>
      </w:r>
      <w:r w:rsidR="0057081E" w:rsidRPr="009F45BA">
        <w:rPr>
          <w:rFonts w:ascii="Book Antiqua" w:eastAsia="MS PMincho" w:hAnsi="Book Antiqua"/>
          <w:sz w:val="24"/>
          <w:szCs w:val="24"/>
        </w:rPr>
        <w:t>I</w:t>
      </w:r>
      <w:r w:rsidR="00E372F1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D070F7" w:rsidRPr="009F45BA">
        <w:rPr>
          <w:rFonts w:ascii="Book Antiqua" w:eastAsia="MS PMincho" w:hAnsi="Book Antiqua"/>
          <w:sz w:val="24"/>
          <w:szCs w:val="24"/>
        </w:rPr>
        <w:t>who had</w:t>
      </w:r>
      <w:r w:rsidR="00E372F1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F458AC" w:rsidRPr="009F45BA">
        <w:rPr>
          <w:rFonts w:ascii="Book Antiqua" w:eastAsia="MS PMincho" w:hAnsi="Book Antiqua"/>
          <w:sz w:val="24"/>
          <w:szCs w:val="24"/>
        </w:rPr>
        <w:t xml:space="preserve">NERD </w:t>
      </w:r>
      <w:r w:rsidR="00E372F1" w:rsidRPr="009F45BA">
        <w:rPr>
          <w:rFonts w:ascii="Book Antiqua" w:eastAsia="MS PMincho" w:hAnsi="Book Antiqua"/>
          <w:sz w:val="24"/>
          <w:szCs w:val="24"/>
        </w:rPr>
        <w:t>grade N</w:t>
      </w:r>
      <w:r w:rsidR="00A7594C" w:rsidRPr="009F45BA">
        <w:rPr>
          <w:rFonts w:ascii="Book Antiqua" w:eastAsia="MS PMincho" w:hAnsi="Book Antiqua"/>
          <w:sz w:val="24"/>
          <w:szCs w:val="24"/>
        </w:rPr>
        <w:t xml:space="preserve"> (modified L</w:t>
      </w:r>
      <w:r w:rsidR="00D070F7" w:rsidRPr="009F45BA">
        <w:rPr>
          <w:rFonts w:ascii="Book Antiqua" w:eastAsia="MS PMincho" w:hAnsi="Book Antiqua"/>
          <w:sz w:val="24"/>
          <w:szCs w:val="24"/>
        </w:rPr>
        <w:t xml:space="preserve">os </w:t>
      </w:r>
      <w:r w:rsidR="00A7594C" w:rsidRPr="009F45BA">
        <w:rPr>
          <w:rFonts w:ascii="Book Antiqua" w:eastAsia="MS PMincho" w:hAnsi="Book Antiqua"/>
          <w:sz w:val="24"/>
          <w:szCs w:val="24"/>
        </w:rPr>
        <w:t>A</w:t>
      </w:r>
      <w:r w:rsidR="00D070F7" w:rsidRPr="009F45BA">
        <w:rPr>
          <w:rFonts w:ascii="Book Antiqua" w:eastAsia="MS PMincho" w:hAnsi="Book Antiqua"/>
          <w:sz w:val="24"/>
          <w:szCs w:val="24"/>
        </w:rPr>
        <w:t>ngeles</w:t>
      </w:r>
      <w:r w:rsidR="00A7594C" w:rsidRPr="009F45BA">
        <w:rPr>
          <w:rFonts w:ascii="Book Antiqua" w:eastAsia="MS PMincho" w:hAnsi="Book Antiqua"/>
          <w:sz w:val="24"/>
          <w:szCs w:val="24"/>
        </w:rPr>
        <w:t xml:space="preserve"> classification)</w:t>
      </w:r>
      <w:r w:rsidR="00E41E87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D070F7" w:rsidRPr="009F45BA">
        <w:rPr>
          <w:rFonts w:ascii="Book Antiqua" w:eastAsia="MS PMincho" w:hAnsi="Book Antiqua"/>
          <w:sz w:val="24"/>
          <w:szCs w:val="24"/>
        </w:rPr>
        <w:t>(</w:t>
      </w:r>
      <w:r w:rsidR="0064791A" w:rsidRPr="009F45BA">
        <w:rPr>
          <w:rFonts w:ascii="Book Antiqua" w:hAnsi="Book Antiqua"/>
          <w:sz w:val="24"/>
          <w:szCs w:val="24"/>
        </w:rPr>
        <w:t xml:space="preserve">7.8 </w:t>
      </w:r>
      <w:r w:rsidR="0064791A" w:rsidRPr="009F45BA">
        <w:rPr>
          <w:rFonts w:ascii="Book Antiqua" w:eastAsia="MS PGothic" w:hAnsi="Book Antiqua"/>
          <w:sz w:val="24"/>
          <w:szCs w:val="24"/>
        </w:rPr>
        <w:t xml:space="preserve">± </w:t>
      </w:r>
      <w:r w:rsidR="0064791A" w:rsidRPr="009F45BA">
        <w:rPr>
          <w:rFonts w:ascii="Book Antiqua" w:hAnsi="Book Antiqua"/>
          <w:sz w:val="24"/>
          <w:szCs w:val="24"/>
        </w:rPr>
        <w:t xml:space="preserve">7.4 </w:t>
      </w:r>
      <w:r w:rsidR="0064791A" w:rsidRPr="009F45BA">
        <w:rPr>
          <w:rFonts w:ascii="Book Antiqua" w:hAnsi="Book Antiqua"/>
          <w:i/>
          <w:sz w:val="24"/>
          <w:szCs w:val="24"/>
        </w:rPr>
        <w:t>vs</w:t>
      </w:r>
      <w:r w:rsidR="0064791A" w:rsidRPr="009F45BA">
        <w:rPr>
          <w:rFonts w:ascii="Book Antiqua" w:hAnsi="Book Antiqua"/>
          <w:sz w:val="24"/>
          <w:szCs w:val="24"/>
        </w:rPr>
        <w:t xml:space="preserve"> 12.5 </w:t>
      </w:r>
      <w:r w:rsidR="0064791A" w:rsidRPr="009F45BA">
        <w:rPr>
          <w:rFonts w:ascii="Book Antiqua" w:eastAsia="MS PGothic" w:hAnsi="Book Antiqua"/>
          <w:sz w:val="24"/>
          <w:szCs w:val="24"/>
        </w:rPr>
        <w:t xml:space="preserve">± </w:t>
      </w:r>
      <w:r w:rsidR="0064791A" w:rsidRPr="009F45BA">
        <w:rPr>
          <w:rFonts w:ascii="Book Antiqua" w:hAnsi="Book Antiqua"/>
          <w:sz w:val="24"/>
          <w:szCs w:val="24"/>
        </w:rPr>
        <w:t xml:space="preserve">9.8, </w:t>
      </w:r>
      <w:r w:rsidR="00D070F7" w:rsidRPr="009F45BA">
        <w:rPr>
          <w:rFonts w:ascii="Book Antiqua" w:eastAsia="MS PMincho" w:hAnsi="Book Antiqua"/>
          <w:i/>
          <w:sz w:val="24"/>
          <w:szCs w:val="24"/>
        </w:rPr>
        <w:t>P</w:t>
      </w:r>
      <w:r w:rsidR="00947148" w:rsidRPr="009F45BA">
        <w:rPr>
          <w:rFonts w:ascii="Book Antiqua" w:eastAsia="MS PMincho" w:hAnsi="Book Antiqua"/>
          <w:i/>
          <w:sz w:val="24"/>
          <w:szCs w:val="24"/>
        </w:rPr>
        <w:t xml:space="preserve"> </w:t>
      </w:r>
      <w:r w:rsidR="00D070F7" w:rsidRPr="009F45BA">
        <w:rPr>
          <w:rFonts w:ascii="Book Antiqua" w:eastAsia="MS PMincho" w:hAnsi="Book Antiqua"/>
          <w:sz w:val="24"/>
          <w:szCs w:val="24"/>
        </w:rPr>
        <w:t>= 0.041</w:t>
      </w:r>
      <w:r w:rsidR="0057081E" w:rsidRPr="009F45BA">
        <w:rPr>
          <w:rFonts w:ascii="Book Antiqua" w:eastAsia="MS PMincho" w:hAnsi="Book Antiqua"/>
          <w:sz w:val="24"/>
          <w:szCs w:val="24"/>
        </w:rPr>
        <w:t>)</w:t>
      </w:r>
      <w:r w:rsidR="00E372F1" w:rsidRPr="009F45BA">
        <w:rPr>
          <w:rFonts w:ascii="Book Antiqua" w:eastAsia="MS PMincho" w:hAnsi="Book Antiqua"/>
          <w:sz w:val="24"/>
          <w:szCs w:val="24"/>
        </w:rPr>
        <w:t xml:space="preserve">. </w:t>
      </w:r>
      <w:r w:rsidR="00E41E87" w:rsidRPr="009F45BA">
        <w:rPr>
          <w:rFonts w:ascii="Book Antiqua" w:eastAsia="MS PMincho" w:hAnsi="Book Antiqua"/>
          <w:sz w:val="24"/>
          <w:szCs w:val="24"/>
        </w:rPr>
        <w:t xml:space="preserve">The </w:t>
      </w:r>
      <w:r w:rsidR="00F458AC" w:rsidRPr="009F45BA">
        <w:rPr>
          <w:rFonts w:ascii="Book Antiqua" w:eastAsia="MS PMincho" w:hAnsi="Book Antiqua"/>
          <w:sz w:val="24"/>
          <w:szCs w:val="24"/>
        </w:rPr>
        <w:t>SF</w:t>
      </w:r>
      <w:r w:rsidR="00E41E87" w:rsidRPr="009F45BA">
        <w:rPr>
          <w:rFonts w:ascii="Book Antiqua" w:eastAsia="MS PMincho" w:hAnsi="Book Antiqua"/>
          <w:sz w:val="24"/>
          <w:szCs w:val="24"/>
        </w:rPr>
        <w:t>-</w:t>
      </w:r>
      <w:r w:rsidR="00F458AC" w:rsidRPr="009F45BA">
        <w:rPr>
          <w:rFonts w:ascii="Book Antiqua" w:eastAsia="MS PMincho" w:hAnsi="Book Antiqua"/>
          <w:sz w:val="24"/>
          <w:szCs w:val="24"/>
        </w:rPr>
        <w:t xml:space="preserve">36 scores for </w:t>
      </w:r>
      <w:r w:rsidR="00E41E87" w:rsidRPr="009F45BA">
        <w:rPr>
          <w:rFonts w:ascii="Book Antiqua" w:eastAsia="MS PMincho" w:hAnsi="Book Antiqua"/>
          <w:sz w:val="24"/>
          <w:szCs w:val="24"/>
        </w:rPr>
        <w:t xml:space="preserve">patients with </w:t>
      </w:r>
      <w:r w:rsidR="00F458AC" w:rsidRPr="009F45BA">
        <w:rPr>
          <w:rFonts w:ascii="Book Antiqua" w:eastAsia="MS PMincho" w:hAnsi="Book Antiqua"/>
          <w:sz w:val="24"/>
          <w:szCs w:val="24"/>
        </w:rPr>
        <w:t xml:space="preserve">NERD </w:t>
      </w:r>
      <w:r w:rsidR="00D303E0" w:rsidRPr="009F45BA">
        <w:rPr>
          <w:rFonts w:ascii="Book Antiqua" w:eastAsia="MS PMincho" w:hAnsi="Book Antiqua"/>
          <w:sz w:val="24"/>
          <w:szCs w:val="24"/>
        </w:rPr>
        <w:t xml:space="preserve">grade N </w:t>
      </w:r>
      <w:r w:rsidR="00E41E87" w:rsidRPr="009F45BA">
        <w:rPr>
          <w:rFonts w:ascii="Book Antiqua" w:eastAsia="MS PMincho" w:hAnsi="Book Antiqua"/>
          <w:sz w:val="24"/>
          <w:szCs w:val="24"/>
        </w:rPr>
        <w:t xml:space="preserve">who had received IM and </w:t>
      </w:r>
      <w:proofErr w:type="spellStart"/>
      <w:r w:rsidR="00E41E87" w:rsidRPr="009F45BA">
        <w:rPr>
          <w:rFonts w:ascii="Book Antiqua" w:eastAsia="MS PMincho" w:hAnsi="Book Antiqua"/>
          <w:sz w:val="24"/>
          <w:szCs w:val="24"/>
        </w:rPr>
        <w:t>rabeprazole</w:t>
      </w:r>
      <w:proofErr w:type="spellEnd"/>
      <w:r w:rsidR="00E41E87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D303E0" w:rsidRPr="009F45BA">
        <w:rPr>
          <w:rFonts w:ascii="Book Antiqua" w:eastAsia="MS PMincho" w:hAnsi="Book Antiqua"/>
          <w:sz w:val="24"/>
          <w:szCs w:val="24"/>
        </w:rPr>
        <w:t xml:space="preserve">were significantly improved in </w:t>
      </w:r>
      <w:r w:rsidR="00E41E87" w:rsidRPr="009F45BA">
        <w:rPr>
          <w:rFonts w:ascii="Book Antiqua" w:eastAsia="MS PMincho" w:hAnsi="Book Antiqua"/>
          <w:sz w:val="24"/>
          <w:szCs w:val="24"/>
        </w:rPr>
        <w:t xml:space="preserve">relation to their </w:t>
      </w:r>
      <w:r w:rsidR="00D303E0" w:rsidRPr="009F45BA">
        <w:rPr>
          <w:rFonts w:ascii="Book Antiqua" w:eastAsia="MS PMincho" w:hAnsi="Book Antiqua"/>
          <w:sz w:val="24"/>
          <w:szCs w:val="24"/>
        </w:rPr>
        <w:t>vitality and mental health scores.</w:t>
      </w:r>
      <w:r w:rsidR="00E41E87" w:rsidRPr="009F45BA">
        <w:rPr>
          <w:rFonts w:ascii="Book Antiqua" w:eastAsia="MS PMincho" w:hAnsi="Book Antiqua"/>
          <w:sz w:val="24"/>
          <w:szCs w:val="24"/>
        </w:rPr>
        <w:t xml:space="preserve"> </w:t>
      </w:r>
    </w:p>
    <w:p w:rsidR="00AB33EA" w:rsidRDefault="00AB33EA" w:rsidP="0016341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EB113C" w:rsidRPr="009F45BA" w:rsidRDefault="00E41E87" w:rsidP="0016341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MS PMincho" w:hAnsi="Book Antiqua"/>
          <w:sz w:val="24"/>
          <w:szCs w:val="24"/>
        </w:rPr>
      </w:pPr>
      <w:r w:rsidRPr="00AB33EA">
        <w:rPr>
          <w:rFonts w:ascii="Book Antiqua" w:hAnsi="Book Antiqua"/>
          <w:b/>
          <w:sz w:val="24"/>
          <w:szCs w:val="24"/>
        </w:rPr>
        <w:t>CONCLUSIO</w:t>
      </w:r>
      <w:r w:rsidRPr="00554C25">
        <w:rPr>
          <w:rFonts w:ascii="Book Antiqua" w:hAnsi="Book Antiqua"/>
          <w:b/>
          <w:sz w:val="24"/>
          <w:szCs w:val="24"/>
        </w:rPr>
        <w:t>N</w:t>
      </w:r>
      <w:r w:rsidR="00F55CAE" w:rsidRPr="00554C25">
        <w:rPr>
          <w:rFonts w:ascii="Book Antiqua" w:eastAsia="MS PMincho" w:hAnsi="Book Antiqua"/>
          <w:b/>
          <w:sz w:val="24"/>
          <w:szCs w:val="24"/>
        </w:rPr>
        <w:t>:</w:t>
      </w:r>
      <w:r w:rsidR="00D303E0" w:rsidRPr="009F45BA">
        <w:rPr>
          <w:rFonts w:ascii="Book Antiqua" w:eastAsia="MS PMincho" w:hAnsi="Book Antiqua"/>
          <w:b/>
          <w:i/>
          <w:sz w:val="24"/>
          <w:szCs w:val="24"/>
        </w:rPr>
        <w:t xml:space="preserve"> </w:t>
      </w:r>
      <w:r w:rsidR="00FF5F79" w:rsidRPr="009F45BA">
        <w:rPr>
          <w:rFonts w:ascii="Book Antiqua" w:eastAsia="MS PMincho" w:hAnsi="Book Antiqua"/>
          <w:sz w:val="24"/>
          <w:szCs w:val="24"/>
        </w:rPr>
        <w:t xml:space="preserve">The addition of </w:t>
      </w:r>
      <w:r w:rsidR="00D303E0" w:rsidRPr="009F45BA">
        <w:rPr>
          <w:rFonts w:ascii="Book Antiqua" w:eastAsia="MS PMincho" w:hAnsi="Book Antiqua"/>
          <w:sz w:val="24"/>
          <w:szCs w:val="24"/>
        </w:rPr>
        <w:t>IM</w:t>
      </w:r>
      <w:r w:rsidR="00F458AC" w:rsidRPr="009F45BA">
        <w:rPr>
          <w:rFonts w:ascii="Book Antiqua" w:eastAsia="MS PMincho" w:hAnsi="Book Antiqua"/>
          <w:sz w:val="24"/>
          <w:szCs w:val="24"/>
        </w:rPr>
        <w:t xml:space="preserve"> to </w:t>
      </w:r>
      <w:proofErr w:type="spellStart"/>
      <w:r w:rsidR="00F458AC" w:rsidRPr="009F45BA">
        <w:rPr>
          <w:rFonts w:ascii="Book Antiqua" w:eastAsia="MS PMincho" w:hAnsi="Book Antiqua"/>
          <w:sz w:val="24"/>
          <w:szCs w:val="24"/>
        </w:rPr>
        <w:t>rabeprazole</w:t>
      </w:r>
      <w:proofErr w:type="spellEnd"/>
      <w:r w:rsidR="00F458AC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Pr="009F45BA">
        <w:rPr>
          <w:rFonts w:ascii="Book Antiqua" w:eastAsia="MS PMincho" w:hAnsi="Book Antiqua"/>
          <w:sz w:val="24"/>
          <w:szCs w:val="24"/>
        </w:rPr>
        <w:t xml:space="preserve">significantly improves </w:t>
      </w:r>
      <w:proofErr w:type="spellStart"/>
      <w:r w:rsidR="0006365C" w:rsidRPr="0006365C">
        <w:rPr>
          <w:rFonts w:ascii="Book Antiqua" w:eastAsia="MS PMincho" w:hAnsi="Book Antiqua"/>
          <w:sz w:val="24"/>
          <w:szCs w:val="24"/>
        </w:rPr>
        <w:t>gastroesophageal</w:t>
      </w:r>
      <w:proofErr w:type="spellEnd"/>
      <w:r w:rsidR="0006365C" w:rsidRPr="0006365C">
        <w:rPr>
          <w:rFonts w:ascii="Book Antiqua" w:eastAsia="MS PMincho" w:hAnsi="Book Antiqua"/>
          <w:sz w:val="24"/>
          <w:szCs w:val="24"/>
        </w:rPr>
        <w:t xml:space="preserve"> reflux disease</w:t>
      </w:r>
      <w:r w:rsidRPr="009F45BA">
        <w:rPr>
          <w:rFonts w:ascii="Book Antiqua" w:eastAsia="MS PMincho" w:hAnsi="Book Antiqua"/>
          <w:sz w:val="24"/>
          <w:szCs w:val="24"/>
        </w:rPr>
        <w:t xml:space="preserve"> symptoms and</w:t>
      </w:r>
      <w:r w:rsidR="00FF5F79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Pr="009F45BA">
        <w:rPr>
          <w:rFonts w:ascii="Book Antiqua" w:eastAsia="MS PMincho" w:hAnsi="Book Antiqua"/>
          <w:sz w:val="24"/>
          <w:szCs w:val="24"/>
        </w:rPr>
        <w:t>the</w:t>
      </w:r>
      <w:r w:rsidR="00F458AC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Pr="009F45BA">
        <w:rPr>
          <w:rFonts w:ascii="Book Antiqua" w:eastAsia="MS PMincho" w:hAnsi="Book Antiqua"/>
          <w:sz w:val="24"/>
          <w:szCs w:val="24"/>
        </w:rPr>
        <w:t>quality of the lives of</w:t>
      </w:r>
      <w:r w:rsidR="00FF5F79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F458AC" w:rsidRPr="009F45BA">
        <w:rPr>
          <w:rFonts w:ascii="Book Antiqua" w:eastAsia="MS PMincho" w:hAnsi="Book Antiqua"/>
          <w:sz w:val="24"/>
          <w:szCs w:val="24"/>
        </w:rPr>
        <w:t xml:space="preserve">patients with </w:t>
      </w:r>
      <w:r w:rsidR="00FF5F79" w:rsidRPr="009F45BA">
        <w:rPr>
          <w:rFonts w:ascii="Book Antiqua" w:eastAsia="MS PMincho" w:hAnsi="Book Antiqua"/>
          <w:sz w:val="24"/>
          <w:szCs w:val="24"/>
        </w:rPr>
        <w:t xml:space="preserve">NERD </w:t>
      </w:r>
      <w:r w:rsidR="00F458AC" w:rsidRPr="009F45BA">
        <w:rPr>
          <w:rFonts w:ascii="Book Antiqua" w:eastAsia="MS PMincho" w:hAnsi="Book Antiqua"/>
          <w:sz w:val="24"/>
          <w:szCs w:val="24"/>
        </w:rPr>
        <w:t>grade N</w:t>
      </w:r>
      <w:r w:rsidR="00FF5F79" w:rsidRPr="009F45BA">
        <w:rPr>
          <w:rFonts w:ascii="Book Antiqua" w:eastAsia="MS PMincho" w:hAnsi="Book Antiqua"/>
          <w:sz w:val="24"/>
          <w:szCs w:val="24"/>
        </w:rPr>
        <w:t>.</w:t>
      </w:r>
      <w:r w:rsidR="00BD2C2A" w:rsidRPr="009F45BA">
        <w:rPr>
          <w:rFonts w:ascii="Book Antiqua" w:eastAsia="MS PMincho" w:hAnsi="Book Antiqua"/>
          <w:sz w:val="24"/>
          <w:szCs w:val="24"/>
        </w:rPr>
        <w:t xml:space="preserve"> </w:t>
      </w:r>
    </w:p>
    <w:p w:rsidR="00E41E87" w:rsidRPr="009F45BA" w:rsidRDefault="00E41E87" w:rsidP="0016341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MS PMincho" w:hAnsi="Book Antiqua"/>
          <w:sz w:val="24"/>
          <w:szCs w:val="24"/>
        </w:rPr>
      </w:pPr>
    </w:p>
    <w:p w:rsidR="007B1FB4" w:rsidRPr="009F45BA" w:rsidRDefault="007B1FB4" w:rsidP="00163410">
      <w:pPr>
        <w:widowControl/>
        <w:adjustRightInd w:val="0"/>
        <w:snapToGrid w:val="0"/>
        <w:spacing w:line="360" w:lineRule="auto"/>
        <w:rPr>
          <w:rFonts w:ascii="Book Antiqua" w:eastAsia="MS PMincho" w:hAnsi="Book Antiqua"/>
          <w:sz w:val="24"/>
          <w:szCs w:val="24"/>
        </w:rPr>
      </w:pPr>
      <w:r w:rsidRPr="0006365C">
        <w:rPr>
          <w:rFonts w:ascii="Book Antiqua" w:eastAsia="MS PMincho" w:hAnsi="Book Antiqua"/>
          <w:b/>
          <w:sz w:val="24"/>
          <w:szCs w:val="24"/>
        </w:rPr>
        <w:t xml:space="preserve">Key words: </w:t>
      </w:r>
      <w:proofErr w:type="spellStart"/>
      <w:r w:rsidR="00EC3326" w:rsidRPr="009F45BA">
        <w:rPr>
          <w:rFonts w:ascii="Book Antiqua" w:eastAsia="MS PMincho" w:hAnsi="Book Antiqua"/>
          <w:sz w:val="24"/>
          <w:szCs w:val="24"/>
        </w:rPr>
        <w:t>I</w:t>
      </w:r>
      <w:r w:rsidRPr="009F45BA">
        <w:rPr>
          <w:rFonts w:ascii="Book Antiqua" w:eastAsia="MS PMincho" w:hAnsi="Book Antiqua"/>
          <w:sz w:val="24"/>
          <w:szCs w:val="24"/>
        </w:rPr>
        <w:t>rsogladine</w:t>
      </w:r>
      <w:proofErr w:type="spellEnd"/>
      <w:r w:rsidRPr="009F45BA">
        <w:rPr>
          <w:rFonts w:ascii="Book Antiqua" w:eastAsia="MS PMincho" w:hAnsi="Book Antiqua"/>
          <w:sz w:val="24"/>
          <w:szCs w:val="24"/>
        </w:rPr>
        <w:t xml:space="preserve"> maleate</w:t>
      </w:r>
      <w:r w:rsidR="00EC3326" w:rsidRPr="009F45BA">
        <w:rPr>
          <w:rFonts w:ascii="Book Antiqua" w:eastAsia="MS PMincho" w:hAnsi="Book Antiqua"/>
          <w:sz w:val="24"/>
          <w:szCs w:val="24"/>
        </w:rPr>
        <w:t>;</w:t>
      </w:r>
      <w:r w:rsidRPr="009F45BA">
        <w:rPr>
          <w:rFonts w:ascii="Book Antiqua" w:eastAsia="MS PMincho" w:hAnsi="Book Antiqua"/>
          <w:sz w:val="24"/>
          <w:szCs w:val="24"/>
        </w:rPr>
        <w:t xml:space="preserve"> </w:t>
      </w:r>
      <w:proofErr w:type="spellStart"/>
      <w:r w:rsidR="0006365C" w:rsidRPr="009F45BA">
        <w:rPr>
          <w:rFonts w:ascii="Book Antiqua" w:eastAsia="MS PMincho" w:hAnsi="Book Antiqua"/>
          <w:sz w:val="24"/>
          <w:szCs w:val="24"/>
        </w:rPr>
        <w:t>Rabeprazole</w:t>
      </w:r>
      <w:proofErr w:type="spellEnd"/>
      <w:r w:rsidR="00EC3326" w:rsidRPr="009F45BA">
        <w:rPr>
          <w:rFonts w:ascii="Book Antiqua" w:eastAsia="MS PMincho" w:hAnsi="Book Antiqua"/>
          <w:sz w:val="24"/>
          <w:szCs w:val="24"/>
        </w:rPr>
        <w:t>;</w:t>
      </w:r>
      <w:r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EC3326" w:rsidRPr="009F45BA">
        <w:rPr>
          <w:rFonts w:ascii="Book Antiqua" w:eastAsia="MS PMincho" w:hAnsi="Book Antiqua"/>
          <w:sz w:val="24"/>
          <w:szCs w:val="24"/>
        </w:rPr>
        <w:t>Non-erosive reflux disease</w:t>
      </w:r>
      <w:r w:rsidR="00A912AF" w:rsidRPr="009F45BA">
        <w:rPr>
          <w:rFonts w:ascii="Book Antiqua" w:eastAsia="MS PMincho" w:hAnsi="Book Antiqua"/>
          <w:sz w:val="24"/>
          <w:szCs w:val="24"/>
        </w:rPr>
        <w:t>;</w:t>
      </w:r>
      <w:r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EC3326" w:rsidRPr="009F45BA">
        <w:rPr>
          <w:rFonts w:ascii="Book Antiqua" w:eastAsia="MS PMincho" w:hAnsi="Book Antiqua"/>
          <w:sz w:val="24"/>
          <w:szCs w:val="24"/>
        </w:rPr>
        <w:t xml:space="preserve">Randomized controlled trial; </w:t>
      </w:r>
      <w:r w:rsidRPr="009F45BA">
        <w:rPr>
          <w:rFonts w:ascii="Book Antiqua" w:eastAsia="MS PMincho" w:hAnsi="Book Antiqua"/>
          <w:sz w:val="24"/>
          <w:szCs w:val="24"/>
        </w:rPr>
        <w:t>F</w:t>
      </w:r>
      <w:r w:rsidR="00A912AF" w:rsidRPr="009F45BA">
        <w:rPr>
          <w:rFonts w:ascii="Book Antiqua" w:eastAsia="MS PMincho" w:hAnsi="Book Antiqua"/>
          <w:sz w:val="24"/>
          <w:szCs w:val="24"/>
        </w:rPr>
        <w:t>requency</w:t>
      </w:r>
      <w:r w:rsidR="0006365C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D257F4" w:rsidRPr="009F45BA">
        <w:rPr>
          <w:rFonts w:ascii="Book Antiqua" w:eastAsia="MS PMincho" w:hAnsi="Book Antiqua"/>
          <w:sz w:val="24"/>
          <w:szCs w:val="24"/>
        </w:rPr>
        <w:t xml:space="preserve">scale for the symptoms </w:t>
      </w:r>
      <w:r w:rsidR="0006365C" w:rsidRPr="009F45BA">
        <w:rPr>
          <w:rFonts w:ascii="Book Antiqua" w:eastAsia="MS PMincho" w:hAnsi="Book Antiqua"/>
          <w:sz w:val="24"/>
          <w:szCs w:val="24"/>
        </w:rPr>
        <w:t xml:space="preserve">of </w:t>
      </w:r>
      <w:proofErr w:type="spellStart"/>
      <w:r w:rsidR="0006365C" w:rsidRPr="0006365C">
        <w:rPr>
          <w:rFonts w:ascii="Book Antiqua" w:eastAsia="MS PMincho" w:hAnsi="Book Antiqua"/>
          <w:sz w:val="24"/>
          <w:szCs w:val="24"/>
        </w:rPr>
        <w:t>gastroesophageal</w:t>
      </w:r>
      <w:proofErr w:type="spellEnd"/>
      <w:r w:rsidR="0006365C" w:rsidRPr="0006365C">
        <w:rPr>
          <w:rFonts w:ascii="Book Antiqua" w:eastAsia="MS PMincho" w:hAnsi="Book Antiqua"/>
          <w:sz w:val="24"/>
          <w:szCs w:val="24"/>
        </w:rPr>
        <w:t xml:space="preserve"> reflux disease</w:t>
      </w:r>
      <w:r w:rsidR="00EC3326" w:rsidRPr="009F45BA">
        <w:rPr>
          <w:rFonts w:ascii="Book Antiqua" w:eastAsia="MS PMincho" w:hAnsi="Book Antiqua"/>
          <w:sz w:val="24"/>
          <w:szCs w:val="24"/>
        </w:rPr>
        <w:t>; Quality of life</w:t>
      </w:r>
    </w:p>
    <w:p w:rsidR="0006365C" w:rsidRPr="0006365C" w:rsidRDefault="0006365C" w:rsidP="001634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7B1FB4" w:rsidRPr="0006365C" w:rsidRDefault="007B1FB4" w:rsidP="0006365C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06365C">
        <w:rPr>
          <w:rFonts w:ascii="Book Antiqua" w:eastAsia="MS PMincho" w:hAnsi="Book Antiqua"/>
          <w:b/>
          <w:sz w:val="24"/>
          <w:szCs w:val="24"/>
        </w:rPr>
        <w:t>Core tip</w:t>
      </w:r>
      <w:r w:rsidR="0006365C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: </w:t>
      </w:r>
      <w:r w:rsidRPr="009F45BA">
        <w:rPr>
          <w:rFonts w:ascii="Book Antiqua" w:eastAsia="MS PMincho" w:hAnsi="Book Antiqua"/>
          <w:sz w:val="24"/>
          <w:szCs w:val="24"/>
        </w:rPr>
        <w:t xml:space="preserve">Proton pump inhibitor (PPI) therapy is considered the mainstay for the treatment of non-erosive reflux disease (NERD). However, it is less effective in NERD than </w:t>
      </w:r>
      <w:r w:rsidR="00EC3326" w:rsidRPr="009F45BA">
        <w:rPr>
          <w:rFonts w:ascii="Book Antiqua" w:eastAsia="MS PMincho" w:hAnsi="Book Antiqua"/>
          <w:sz w:val="24"/>
          <w:szCs w:val="24"/>
        </w:rPr>
        <w:t xml:space="preserve">it is </w:t>
      </w:r>
      <w:r w:rsidRPr="009F45BA">
        <w:rPr>
          <w:rFonts w:ascii="Book Antiqua" w:eastAsia="MS PMincho" w:hAnsi="Book Antiqua"/>
          <w:sz w:val="24"/>
          <w:szCs w:val="24"/>
        </w:rPr>
        <w:t xml:space="preserve">in reflux esophagitis. </w:t>
      </w:r>
      <w:r w:rsidR="00EC3326" w:rsidRPr="009F45BA">
        <w:rPr>
          <w:rFonts w:ascii="Book Antiqua" w:eastAsia="MS PMincho" w:hAnsi="Book Antiqua"/>
          <w:sz w:val="24"/>
          <w:szCs w:val="24"/>
        </w:rPr>
        <w:t>This study</w:t>
      </w:r>
      <w:r w:rsidRPr="009F45BA">
        <w:rPr>
          <w:rFonts w:ascii="Book Antiqua" w:eastAsia="MS PMincho" w:hAnsi="Book Antiqua"/>
          <w:sz w:val="24"/>
          <w:szCs w:val="24"/>
        </w:rPr>
        <w:t xml:space="preserve"> evaluate</w:t>
      </w:r>
      <w:r w:rsidR="00EC3326" w:rsidRPr="009F45BA">
        <w:rPr>
          <w:rFonts w:ascii="Book Antiqua" w:eastAsia="MS PMincho" w:hAnsi="Book Antiqua"/>
          <w:sz w:val="24"/>
          <w:szCs w:val="24"/>
        </w:rPr>
        <w:t>d the efficacy of adding</w:t>
      </w:r>
      <w:r w:rsidRPr="009F45BA">
        <w:rPr>
          <w:rFonts w:ascii="Book Antiqua" w:eastAsia="MS PMincho" w:hAnsi="Book Antiqua"/>
          <w:sz w:val="24"/>
          <w:szCs w:val="24"/>
        </w:rPr>
        <w:t xml:space="preserve"> </w:t>
      </w:r>
      <w:proofErr w:type="spellStart"/>
      <w:r w:rsidRPr="009F45BA">
        <w:rPr>
          <w:rFonts w:ascii="Book Antiqua" w:eastAsia="MS PMincho" w:hAnsi="Book Antiqua"/>
          <w:sz w:val="24"/>
          <w:szCs w:val="24"/>
        </w:rPr>
        <w:t>irsogladine</w:t>
      </w:r>
      <w:proofErr w:type="spellEnd"/>
      <w:r w:rsidRPr="009F45BA">
        <w:rPr>
          <w:rFonts w:ascii="Book Antiqua" w:eastAsia="MS PMincho" w:hAnsi="Book Antiqua"/>
          <w:sz w:val="24"/>
          <w:szCs w:val="24"/>
        </w:rPr>
        <w:t xml:space="preserve"> maleate (IM) to PPI </w:t>
      </w:r>
      <w:r w:rsidR="00EC3326" w:rsidRPr="009F45BA">
        <w:rPr>
          <w:rFonts w:ascii="Book Antiqua" w:eastAsia="MS PMincho" w:hAnsi="Book Antiqua"/>
          <w:sz w:val="24"/>
          <w:szCs w:val="24"/>
        </w:rPr>
        <w:t xml:space="preserve">therapy </w:t>
      </w:r>
      <w:r w:rsidRPr="009F45BA">
        <w:rPr>
          <w:rFonts w:ascii="Book Antiqua" w:eastAsia="MS PMincho" w:hAnsi="Book Antiqua"/>
          <w:sz w:val="24"/>
          <w:szCs w:val="24"/>
        </w:rPr>
        <w:t xml:space="preserve">in the treatment of NERD. </w:t>
      </w:r>
      <w:r w:rsidR="00EC3326" w:rsidRPr="009F45BA">
        <w:rPr>
          <w:rFonts w:ascii="Book Antiqua" w:eastAsia="MS PMincho" w:hAnsi="Book Antiqua"/>
          <w:sz w:val="24"/>
          <w:szCs w:val="24"/>
        </w:rPr>
        <w:t>Adding</w:t>
      </w:r>
      <w:r w:rsidRPr="009F45BA">
        <w:rPr>
          <w:rFonts w:ascii="Book Antiqua" w:eastAsia="MS PMincho" w:hAnsi="Book Antiqua"/>
          <w:sz w:val="24"/>
          <w:szCs w:val="24"/>
        </w:rPr>
        <w:t xml:space="preserve"> IM to </w:t>
      </w:r>
      <w:proofErr w:type="spellStart"/>
      <w:r w:rsidRPr="009F45BA">
        <w:rPr>
          <w:rFonts w:ascii="Book Antiqua" w:eastAsia="MS PMincho" w:hAnsi="Book Antiqua"/>
          <w:sz w:val="24"/>
          <w:szCs w:val="24"/>
        </w:rPr>
        <w:t>rabeprazole</w:t>
      </w:r>
      <w:proofErr w:type="spellEnd"/>
      <w:r w:rsidRPr="009F45BA">
        <w:rPr>
          <w:rFonts w:ascii="Book Antiqua" w:eastAsia="MS PMincho" w:hAnsi="Book Antiqua"/>
          <w:sz w:val="24"/>
          <w:szCs w:val="24"/>
        </w:rPr>
        <w:t xml:space="preserve"> improved both </w:t>
      </w:r>
      <w:r w:rsidR="00EC3326" w:rsidRPr="009F45BA">
        <w:rPr>
          <w:rFonts w:ascii="Book Antiqua" w:eastAsia="MS PMincho" w:hAnsi="Book Antiqua"/>
          <w:sz w:val="24"/>
          <w:szCs w:val="24"/>
        </w:rPr>
        <w:t xml:space="preserve">the </w:t>
      </w:r>
      <w:proofErr w:type="spellStart"/>
      <w:r w:rsidR="00EC3326" w:rsidRPr="009F45BA">
        <w:rPr>
          <w:rFonts w:ascii="Book Antiqua" w:eastAsia="MS PMincho" w:hAnsi="Book Antiqua"/>
          <w:sz w:val="24"/>
          <w:szCs w:val="24"/>
        </w:rPr>
        <w:t>gastroesophageal</w:t>
      </w:r>
      <w:proofErr w:type="spellEnd"/>
      <w:r w:rsidR="00EC3326" w:rsidRPr="009F45BA">
        <w:rPr>
          <w:rFonts w:ascii="Book Antiqua" w:eastAsia="MS PMincho" w:hAnsi="Book Antiqua"/>
          <w:sz w:val="24"/>
          <w:szCs w:val="24"/>
        </w:rPr>
        <w:t xml:space="preserve"> reflux disease</w:t>
      </w:r>
      <w:r w:rsidRPr="009F45BA">
        <w:rPr>
          <w:rFonts w:ascii="Book Antiqua" w:eastAsia="MS PMincho" w:hAnsi="Book Antiqua"/>
          <w:sz w:val="24"/>
          <w:szCs w:val="24"/>
        </w:rPr>
        <w:t xml:space="preserve"> symptoms and</w:t>
      </w:r>
      <w:r w:rsidR="00EC3326" w:rsidRPr="009F45BA">
        <w:rPr>
          <w:rFonts w:ascii="Book Antiqua" w:eastAsia="MS PMincho" w:hAnsi="Book Antiqua"/>
          <w:sz w:val="24"/>
          <w:szCs w:val="24"/>
        </w:rPr>
        <w:t xml:space="preserve"> the</w:t>
      </w:r>
      <w:r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EC3326" w:rsidRPr="009F45BA">
        <w:rPr>
          <w:rFonts w:ascii="Book Antiqua" w:eastAsia="MS PMincho" w:hAnsi="Book Antiqua"/>
          <w:sz w:val="24"/>
          <w:szCs w:val="24"/>
        </w:rPr>
        <w:t xml:space="preserve">quality of the lives of </w:t>
      </w:r>
      <w:r w:rsidRPr="009F45BA">
        <w:rPr>
          <w:rFonts w:ascii="Book Antiqua" w:eastAsia="MS PMincho" w:hAnsi="Book Antiqua"/>
          <w:sz w:val="24"/>
          <w:szCs w:val="24"/>
        </w:rPr>
        <w:t xml:space="preserve">patients with NERD </w:t>
      </w:r>
      <w:r w:rsidR="00543E27" w:rsidRPr="00543E27">
        <w:rPr>
          <w:rFonts w:ascii="Book Antiqua" w:eastAsia="MS PMincho" w:hAnsi="Book Antiqua" w:hint="eastAsia"/>
          <w:sz w:val="24"/>
          <w:szCs w:val="24"/>
        </w:rPr>
        <w:t>showing</w:t>
      </w:r>
      <w:r w:rsidR="00543E27" w:rsidRPr="00543E27">
        <w:rPr>
          <w:rFonts w:ascii="Book Antiqua" w:eastAsia="MS PMincho" w:hAnsi="Book Antiqua"/>
          <w:sz w:val="24"/>
          <w:szCs w:val="24"/>
        </w:rPr>
        <w:t xml:space="preserve"> no endoscopic abnormalities</w:t>
      </w:r>
      <w:r w:rsidR="00A912AF" w:rsidRPr="009F45BA">
        <w:rPr>
          <w:rFonts w:ascii="Book Antiqua" w:eastAsia="MS PMincho" w:hAnsi="Book Antiqua"/>
          <w:sz w:val="24"/>
          <w:szCs w:val="24"/>
        </w:rPr>
        <w:t xml:space="preserve">, a categorization that was based on the </w:t>
      </w:r>
      <w:r w:rsidRPr="009F45BA">
        <w:rPr>
          <w:rFonts w:ascii="Book Antiqua" w:eastAsia="MS PMincho" w:hAnsi="Book Antiqua"/>
          <w:sz w:val="24"/>
          <w:szCs w:val="24"/>
        </w:rPr>
        <w:t>modified L</w:t>
      </w:r>
      <w:r w:rsidR="00EC3326" w:rsidRPr="009F45BA">
        <w:rPr>
          <w:rFonts w:ascii="Book Antiqua" w:eastAsia="MS PMincho" w:hAnsi="Book Antiqua"/>
          <w:sz w:val="24"/>
          <w:szCs w:val="24"/>
        </w:rPr>
        <w:t xml:space="preserve">os </w:t>
      </w:r>
      <w:r w:rsidRPr="009F45BA">
        <w:rPr>
          <w:rFonts w:ascii="Book Antiqua" w:eastAsia="MS PMincho" w:hAnsi="Book Antiqua"/>
          <w:sz w:val="24"/>
          <w:szCs w:val="24"/>
        </w:rPr>
        <w:t>A</w:t>
      </w:r>
      <w:r w:rsidR="00EC3326" w:rsidRPr="009F45BA">
        <w:rPr>
          <w:rFonts w:ascii="Book Antiqua" w:eastAsia="MS PMincho" w:hAnsi="Book Antiqua"/>
          <w:sz w:val="24"/>
          <w:szCs w:val="24"/>
        </w:rPr>
        <w:t>ngeles</w:t>
      </w:r>
      <w:r w:rsidR="00A912AF" w:rsidRPr="009F45BA">
        <w:rPr>
          <w:rFonts w:ascii="Book Antiqua" w:eastAsia="MS PMincho" w:hAnsi="Book Antiqua"/>
          <w:sz w:val="24"/>
          <w:szCs w:val="24"/>
        </w:rPr>
        <w:t xml:space="preserve"> classification</w:t>
      </w:r>
      <w:r w:rsidRPr="009F45BA">
        <w:rPr>
          <w:rFonts w:ascii="Book Antiqua" w:eastAsia="MS PMincho" w:hAnsi="Book Antiqua"/>
          <w:sz w:val="24"/>
          <w:szCs w:val="24"/>
        </w:rPr>
        <w:t xml:space="preserve">. </w:t>
      </w:r>
    </w:p>
    <w:p w:rsidR="0063649D" w:rsidRPr="009F45BA" w:rsidRDefault="0063649D" w:rsidP="00163410">
      <w:pPr>
        <w:widowControl/>
        <w:adjustRightInd w:val="0"/>
        <w:snapToGrid w:val="0"/>
        <w:spacing w:line="360" w:lineRule="auto"/>
        <w:rPr>
          <w:rFonts w:ascii="Book Antiqua" w:eastAsia="MS PMincho" w:hAnsi="Book Antiqua"/>
          <w:sz w:val="24"/>
          <w:szCs w:val="24"/>
        </w:rPr>
      </w:pPr>
    </w:p>
    <w:p w:rsidR="00B80408" w:rsidRPr="0006365C" w:rsidRDefault="00F37E39" w:rsidP="001634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9F45BA">
        <w:rPr>
          <w:rFonts w:ascii="Book Antiqua" w:eastAsia="MS Gothic" w:hAnsi="Book Antiqua"/>
          <w:sz w:val="24"/>
          <w:szCs w:val="24"/>
        </w:rPr>
        <w:t>Suzuki T</w:t>
      </w:r>
      <w:r w:rsidR="00B80408" w:rsidRPr="009F45BA">
        <w:rPr>
          <w:rFonts w:ascii="Book Antiqua" w:eastAsia="MS Gothic" w:hAnsi="Book Antiqua"/>
          <w:sz w:val="24"/>
          <w:szCs w:val="24"/>
        </w:rPr>
        <w:t>,</w:t>
      </w:r>
      <w:r w:rsidRPr="009F45BA">
        <w:rPr>
          <w:rFonts w:ascii="Book Antiqua" w:eastAsia="MS Gothic" w:hAnsi="Book Antiqua"/>
          <w:sz w:val="24"/>
          <w:szCs w:val="24"/>
        </w:rPr>
        <w:t xml:space="preserve"> Matsushima M</w:t>
      </w:r>
      <w:r w:rsidR="00B80408" w:rsidRPr="009F45BA">
        <w:rPr>
          <w:rFonts w:ascii="Book Antiqua" w:eastAsia="MS Gothic" w:hAnsi="Book Antiqua"/>
          <w:sz w:val="24"/>
          <w:szCs w:val="24"/>
        </w:rPr>
        <w:t xml:space="preserve">, </w:t>
      </w:r>
      <w:r w:rsidRPr="009F45BA">
        <w:rPr>
          <w:rFonts w:ascii="Book Antiqua" w:eastAsia="MS Gothic" w:hAnsi="Book Antiqua"/>
          <w:sz w:val="24"/>
          <w:szCs w:val="24"/>
        </w:rPr>
        <w:t>Masui A</w:t>
      </w:r>
      <w:r w:rsidR="00B80408" w:rsidRPr="009F45BA">
        <w:rPr>
          <w:rFonts w:ascii="Book Antiqua" w:eastAsia="MS Gothic" w:hAnsi="Book Antiqua"/>
          <w:sz w:val="24"/>
          <w:szCs w:val="24"/>
        </w:rPr>
        <w:t>,</w:t>
      </w:r>
      <w:r w:rsidRPr="009F45BA">
        <w:rPr>
          <w:rFonts w:ascii="Book Antiqua" w:eastAsia="MS Gothic" w:hAnsi="Book Antiqua"/>
          <w:sz w:val="24"/>
          <w:szCs w:val="24"/>
        </w:rPr>
        <w:t xml:space="preserve"> </w:t>
      </w:r>
      <w:proofErr w:type="spellStart"/>
      <w:r w:rsidRPr="009F45BA">
        <w:rPr>
          <w:rFonts w:ascii="Book Antiqua" w:eastAsia="MS Gothic" w:hAnsi="Book Antiqua"/>
          <w:sz w:val="24"/>
          <w:szCs w:val="24"/>
        </w:rPr>
        <w:t>Tsuda</w:t>
      </w:r>
      <w:proofErr w:type="spellEnd"/>
      <w:r w:rsidRPr="009F45BA">
        <w:rPr>
          <w:rFonts w:ascii="Book Antiqua" w:eastAsia="MS Gothic" w:hAnsi="Book Antiqua"/>
          <w:sz w:val="24"/>
          <w:szCs w:val="24"/>
        </w:rPr>
        <w:t xml:space="preserve"> S, Imai J, </w:t>
      </w:r>
      <w:r w:rsidR="00B80408" w:rsidRPr="009F45BA">
        <w:rPr>
          <w:rFonts w:ascii="Book Antiqua" w:eastAsia="MS Gothic" w:hAnsi="Book Antiqua"/>
          <w:sz w:val="24"/>
          <w:szCs w:val="24"/>
        </w:rPr>
        <w:t>Nakamura</w:t>
      </w:r>
      <w:r w:rsidRPr="009F45BA">
        <w:rPr>
          <w:rFonts w:ascii="Book Antiqua" w:eastAsia="MS Gothic" w:hAnsi="Book Antiqua"/>
          <w:sz w:val="24"/>
          <w:szCs w:val="24"/>
        </w:rPr>
        <w:t xml:space="preserve"> J, </w:t>
      </w:r>
      <w:proofErr w:type="spellStart"/>
      <w:r w:rsidRPr="009F45BA">
        <w:rPr>
          <w:rFonts w:ascii="Book Antiqua" w:eastAsia="MS Gothic" w:hAnsi="Book Antiqua"/>
          <w:sz w:val="24"/>
          <w:szCs w:val="24"/>
        </w:rPr>
        <w:t>Tsukune</w:t>
      </w:r>
      <w:proofErr w:type="spellEnd"/>
      <w:r w:rsidRPr="009F45BA">
        <w:rPr>
          <w:rFonts w:ascii="Book Antiqua" w:eastAsia="MS Gothic" w:hAnsi="Book Antiqua"/>
          <w:sz w:val="24"/>
          <w:szCs w:val="24"/>
        </w:rPr>
        <w:t xml:space="preserve"> Y, Uchida T, </w:t>
      </w:r>
      <w:proofErr w:type="spellStart"/>
      <w:r w:rsidRPr="009F45BA">
        <w:rPr>
          <w:rFonts w:ascii="Book Antiqua" w:eastAsia="MS Gothic" w:hAnsi="Book Antiqua"/>
          <w:sz w:val="24"/>
          <w:szCs w:val="24"/>
        </w:rPr>
        <w:t>Yuhara</w:t>
      </w:r>
      <w:proofErr w:type="spellEnd"/>
      <w:r w:rsidRPr="009F45BA">
        <w:rPr>
          <w:rFonts w:ascii="Book Antiqua" w:eastAsia="MS Gothic" w:hAnsi="Book Antiqua"/>
          <w:sz w:val="24"/>
          <w:szCs w:val="24"/>
        </w:rPr>
        <w:t xml:space="preserve"> H, Igarashi M, Koike J and Tetsuya T</w:t>
      </w:r>
      <w:r w:rsidR="0006365C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proofErr w:type="spellStart"/>
      <w:r w:rsidR="00B80408" w:rsidRPr="009F45BA">
        <w:rPr>
          <w:rFonts w:ascii="Book Antiqua" w:eastAsia="MS PMincho" w:hAnsi="Book Antiqua"/>
          <w:sz w:val="24"/>
          <w:szCs w:val="24"/>
        </w:rPr>
        <w:t>Irsogladine</w:t>
      </w:r>
      <w:proofErr w:type="spellEnd"/>
      <w:r w:rsidR="00B80408" w:rsidRPr="009F45BA">
        <w:rPr>
          <w:rFonts w:ascii="Book Antiqua" w:eastAsia="MS PMincho" w:hAnsi="Book Antiqua"/>
          <w:sz w:val="24"/>
          <w:szCs w:val="24"/>
        </w:rPr>
        <w:t xml:space="preserve"> maleate and </w:t>
      </w:r>
      <w:proofErr w:type="spellStart"/>
      <w:r w:rsidR="00B80408" w:rsidRPr="009F45BA">
        <w:rPr>
          <w:rFonts w:ascii="Book Antiqua" w:eastAsia="MS PMincho" w:hAnsi="Book Antiqua"/>
          <w:sz w:val="24"/>
          <w:szCs w:val="24"/>
        </w:rPr>
        <w:t>rabeprazole</w:t>
      </w:r>
      <w:proofErr w:type="spellEnd"/>
      <w:r w:rsidR="00B80408" w:rsidRPr="009F45BA">
        <w:rPr>
          <w:rFonts w:ascii="Book Antiqua" w:eastAsia="MS PMincho" w:hAnsi="Book Antiqua"/>
          <w:sz w:val="24"/>
          <w:szCs w:val="24"/>
        </w:rPr>
        <w:t xml:space="preserve"> in non-erosive reflux dis</w:t>
      </w:r>
      <w:r w:rsidR="007C0FF9" w:rsidRPr="009F45BA">
        <w:rPr>
          <w:rFonts w:ascii="Book Antiqua" w:eastAsia="MS PMincho" w:hAnsi="Book Antiqua"/>
          <w:sz w:val="24"/>
          <w:szCs w:val="24"/>
        </w:rPr>
        <w:t>ease</w:t>
      </w:r>
      <w:r w:rsidR="0006365C">
        <w:rPr>
          <w:rFonts w:ascii="Book Antiqua" w:eastAsia="宋体" w:hAnsi="Book Antiqua" w:hint="eastAsia"/>
          <w:sz w:val="24"/>
          <w:szCs w:val="24"/>
          <w:lang w:eastAsia="zh-CN"/>
        </w:rPr>
        <w:t>:</w:t>
      </w:r>
      <w:r w:rsidR="007C0FF9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06365C">
        <w:rPr>
          <w:rFonts w:ascii="Book Antiqua" w:eastAsia="宋体" w:hAnsi="Book Antiqua" w:hint="eastAsia"/>
          <w:sz w:val="24"/>
          <w:szCs w:val="24"/>
          <w:lang w:eastAsia="zh-CN"/>
        </w:rPr>
        <w:t>A</w:t>
      </w:r>
      <w:r w:rsidR="007C0FF9" w:rsidRPr="009F45BA">
        <w:rPr>
          <w:rFonts w:ascii="Book Antiqua" w:eastAsia="MS PMincho" w:hAnsi="Book Antiqua"/>
          <w:sz w:val="24"/>
          <w:szCs w:val="24"/>
        </w:rPr>
        <w:t xml:space="preserve"> double-blind, placebo-</w:t>
      </w:r>
      <w:r w:rsidR="00B80408" w:rsidRPr="009F45BA">
        <w:rPr>
          <w:rFonts w:ascii="Book Antiqua" w:eastAsia="MS PMincho" w:hAnsi="Book Antiqua"/>
          <w:sz w:val="24"/>
          <w:szCs w:val="24"/>
        </w:rPr>
        <w:t>controlled study</w:t>
      </w:r>
      <w:r w:rsidR="0006365C">
        <w:rPr>
          <w:rFonts w:ascii="Book Antiqua" w:eastAsia="宋体" w:hAnsi="Book Antiqua" w:hint="eastAsia"/>
          <w:sz w:val="24"/>
          <w:szCs w:val="24"/>
          <w:lang w:eastAsia="zh-CN"/>
        </w:rPr>
        <w:t xml:space="preserve">. </w:t>
      </w:r>
      <w:r w:rsidR="00B80408" w:rsidRPr="009F45BA">
        <w:rPr>
          <w:rFonts w:ascii="Book Antiqua" w:eastAsia="MS PMincho" w:hAnsi="Book Antiqua"/>
          <w:i/>
          <w:sz w:val="24"/>
          <w:szCs w:val="24"/>
        </w:rPr>
        <w:t xml:space="preserve">World J Gastroenterology </w:t>
      </w:r>
      <w:r w:rsidR="00B80408" w:rsidRPr="009F45BA">
        <w:rPr>
          <w:rFonts w:ascii="Book Antiqua" w:eastAsia="MS PMincho" w:hAnsi="Book Antiqua"/>
          <w:sz w:val="24"/>
          <w:szCs w:val="24"/>
        </w:rPr>
        <w:t>201</w:t>
      </w:r>
      <w:r w:rsidR="0006365C">
        <w:rPr>
          <w:rFonts w:ascii="Book Antiqua" w:eastAsia="宋体" w:hAnsi="Book Antiqua" w:hint="eastAsia"/>
          <w:sz w:val="24"/>
          <w:szCs w:val="24"/>
          <w:lang w:eastAsia="zh-CN"/>
        </w:rPr>
        <w:t>5</w:t>
      </w:r>
      <w:r w:rsidR="00B80408" w:rsidRPr="009F45BA">
        <w:rPr>
          <w:rFonts w:ascii="Book Antiqua" w:eastAsia="MS PMincho" w:hAnsi="Book Antiqua"/>
          <w:sz w:val="24"/>
          <w:szCs w:val="24"/>
        </w:rPr>
        <w:t xml:space="preserve">; </w:t>
      </w:r>
      <w:proofErr w:type="gramStart"/>
      <w:r w:rsidR="00B80408" w:rsidRPr="009F45BA">
        <w:rPr>
          <w:rFonts w:ascii="Book Antiqua" w:eastAsia="MS PMincho" w:hAnsi="Book Antiqua"/>
          <w:sz w:val="24"/>
          <w:szCs w:val="24"/>
        </w:rPr>
        <w:t>In</w:t>
      </w:r>
      <w:proofErr w:type="gramEnd"/>
      <w:r w:rsidR="00B80408" w:rsidRPr="009F45BA">
        <w:rPr>
          <w:rFonts w:ascii="Book Antiqua" w:eastAsia="MS PMincho" w:hAnsi="Book Antiqua"/>
          <w:sz w:val="24"/>
          <w:szCs w:val="24"/>
        </w:rPr>
        <w:t xml:space="preserve"> press</w:t>
      </w:r>
    </w:p>
    <w:p w:rsidR="0006365C" w:rsidRDefault="0006365C" w:rsidP="0006365C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1D2EF0" w:rsidRDefault="001D2EF0" w:rsidP="0006365C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AF2A7F" w:rsidRPr="0006365C" w:rsidRDefault="0006365C" w:rsidP="0006365C">
      <w:pPr>
        <w:widowControl/>
        <w:adjustRightInd w:val="0"/>
        <w:snapToGrid w:val="0"/>
        <w:spacing w:line="360" w:lineRule="auto"/>
        <w:rPr>
          <w:rFonts w:ascii="Book Antiqua" w:eastAsia="MS PMincho" w:hAnsi="Book Antiqua"/>
          <w:sz w:val="24"/>
          <w:szCs w:val="24"/>
        </w:rPr>
      </w:pPr>
      <w:r w:rsidRPr="009F45BA">
        <w:rPr>
          <w:rFonts w:ascii="Book Antiqua" w:eastAsia="MS PMincho" w:hAnsi="Book Antiqua"/>
          <w:b/>
          <w:sz w:val="24"/>
          <w:szCs w:val="24"/>
        </w:rPr>
        <w:t>INTRODUCTION</w:t>
      </w:r>
    </w:p>
    <w:p w:rsidR="00B8110F" w:rsidRPr="009F45BA" w:rsidRDefault="00E85D18" w:rsidP="0016341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MS PMincho" w:hAnsi="Book Antiqua"/>
          <w:sz w:val="24"/>
          <w:szCs w:val="24"/>
        </w:rPr>
      </w:pPr>
      <w:proofErr w:type="spellStart"/>
      <w:r w:rsidRPr="009F45BA">
        <w:rPr>
          <w:rFonts w:ascii="Book Antiqua" w:eastAsia="MS PMincho" w:hAnsi="Book Antiqua"/>
          <w:sz w:val="24"/>
          <w:szCs w:val="24"/>
        </w:rPr>
        <w:t>Gastroesophageal</w:t>
      </w:r>
      <w:proofErr w:type="spellEnd"/>
      <w:r w:rsidRPr="009F45BA">
        <w:rPr>
          <w:rFonts w:ascii="Book Antiqua" w:eastAsia="MS PMincho" w:hAnsi="Book Antiqua"/>
          <w:sz w:val="24"/>
          <w:szCs w:val="24"/>
        </w:rPr>
        <w:t xml:space="preserve"> reflux disease </w:t>
      </w:r>
      <w:r w:rsidR="00172709" w:rsidRPr="009F45BA">
        <w:rPr>
          <w:rFonts w:ascii="Book Antiqua" w:eastAsia="MS PMincho" w:hAnsi="Book Antiqua"/>
          <w:sz w:val="24"/>
          <w:szCs w:val="24"/>
        </w:rPr>
        <w:t>(</w:t>
      </w:r>
      <w:r w:rsidRPr="009F45BA">
        <w:rPr>
          <w:rFonts w:ascii="Book Antiqua" w:eastAsia="MS PMincho" w:hAnsi="Book Antiqua"/>
          <w:sz w:val="24"/>
          <w:szCs w:val="24"/>
        </w:rPr>
        <w:t>GERD</w:t>
      </w:r>
      <w:r w:rsidR="00172709" w:rsidRPr="009F45BA">
        <w:rPr>
          <w:rFonts w:ascii="Book Antiqua" w:eastAsia="MS PMincho" w:hAnsi="Book Antiqua"/>
          <w:sz w:val="24"/>
          <w:szCs w:val="24"/>
        </w:rPr>
        <w:t>)</w:t>
      </w:r>
      <w:r w:rsidRPr="009F45BA">
        <w:rPr>
          <w:rFonts w:ascii="Book Antiqua" w:eastAsia="MS PMincho" w:hAnsi="Book Antiqua"/>
          <w:sz w:val="24"/>
          <w:szCs w:val="24"/>
        </w:rPr>
        <w:t xml:space="preserve"> is a chronic disorder characterized by unpleasant reflux symptoms </w:t>
      </w:r>
      <w:r w:rsidR="006B198D" w:rsidRPr="009F45BA">
        <w:rPr>
          <w:rFonts w:ascii="Book Antiqua" w:eastAsia="MS PMincho" w:hAnsi="Book Antiqua"/>
          <w:sz w:val="24"/>
          <w:szCs w:val="24"/>
        </w:rPr>
        <w:t>that include</w:t>
      </w:r>
      <w:r w:rsidRPr="009F45BA">
        <w:rPr>
          <w:rFonts w:ascii="Book Antiqua" w:eastAsia="MS PMincho" w:hAnsi="Book Antiqua"/>
          <w:sz w:val="24"/>
          <w:szCs w:val="24"/>
        </w:rPr>
        <w:t xml:space="preserve"> heartburn, sore throat, </w:t>
      </w:r>
      <w:r w:rsidR="00016C2C" w:rsidRPr="009F45BA">
        <w:rPr>
          <w:rFonts w:ascii="Book Antiqua" w:eastAsia="MS PMincho" w:hAnsi="Book Antiqua"/>
          <w:sz w:val="24"/>
          <w:szCs w:val="24"/>
        </w:rPr>
        <w:t xml:space="preserve">belching, nausea, voice changes, </w:t>
      </w:r>
      <w:r w:rsidRPr="009F45BA">
        <w:rPr>
          <w:rFonts w:ascii="Book Antiqua" w:eastAsia="MS PMincho" w:hAnsi="Book Antiqua"/>
          <w:sz w:val="24"/>
          <w:szCs w:val="24"/>
        </w:rPr>
        <w:t>chest pain</w:t>
      </w:r>
      <w:r w:rsidR="006B198D" w:rsidRPr="009F45BA">
        <w:rPr>
          <w:rFonts w:ascii="Book Antiqua" w:eastAsia="MS PMincho" w:hAnsi="Book Antiqua"/>
          <w:sz w:val="24"/>
          <w:szCs w:val="24"/>
        </w:rPr>
        <w:t>, cough</w:t>
      </w:r>
      <w:r w:rsidR="00A7447C" w:rsidRPr="009F45BA">
        <w:rPr>
          <w:rFonts w:ascii="Book Antiqua" w:eastAsia="MS PMincho" w:hAnsi="Book Antiqua"/>
          <w:sz w:val="24"/>
          <w:szCs w:val="24"/>
        </w:rPr>
        <w:t>,</w:t>
      </w:r>
      <w:r w:rsidR="006B198D" w:rsidRPr="009F45BA">
        <w:rPr>
          <w:rFonts w:ascii="Book Antiqua" w:eastAsia="MS PMincho" w:hAnsi="Book Antiqua"/>
          <w:sz w:val="24"/>
          <w:szCs w:val="24"/>
        </w:rPr>
        <w:t xml:space="preserve"> and acid </w:t>
      </w:r>
      <w:proofErr w:type="gramStart"/>
      <w:r w:rsidR="006B198D" w:rsidRPr="009F45BA">
        <w:rPr>
          <w:rFonts w:ascii="Book Antiqua" w:eastAsia="MS PMincho" w:hAnsi="Book Antiqua"/>
          <w:sz w:val="24"/>
          <w:szCs w:val="24"/>
        </w:rPr>
        <w:t>regurgitation</w:t>
      </w:r>
      <w:r w:rsidR="006B198D" w:rsidRPr="009F45BA">
        <w:rPr>
          <w:rFonts w:ascii="Book Antiqua" w:eastAsia="MS PMincho" w:hAnsi="Book Antiqua"/>
          <w:sz w:val="24"/>
          <w:szCs w:val="24"/>
          <w:vertAlign w:val="superscript"/>
        </w:rPr>
        <w:t>[</w:t>
      </w:r>
      <w:proofErr w:type="gramEnd"/>
      <w:r w:rsidR="006B198D" w:rsidRPr="009F45BA">
        <w:rPr>
          <w:rFonts w:ascii="Book Antiqua" w:eastAsia="MS PMincho" w:hAnsi="Book Antiqua"/>
          <w:sz w:val="24"/>
          <w:szCs w:val="24"/>
          <w:vertAlign w:val="superscript"/>
        </w:rPr>
        <w:t>1]</w:t>
      </w:r>
      <w:r w:rsidRPr="009F45BA">
        <w:rPr>
          <w:rFonts w:ascii="Book Antiqua" w:eastAsia="MS PMincho" w:hAnsi="Book Antiqua"/>
          <w:sz w:val="24"/>
          <w:szCs w:val="24"/>
        </w:rPr>
        <w:t>.</w:t>
      </w:r>
      <w:r w:rsidR="007E0DB1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6B198D" w:rsidRPr="009F45BA">
        <w:rPr>
          <w:rFonts w:ascii="Book Antiqua" w:eastAsia="MS PMincho" w:hAnsi="Book Antiqua"/>
          <w:sz w:val="24"/>
          <w:szCs w:val="24"/>
        </w:rPr>
        <w:t>GERD includes b</w:t>
      </w:r>
      <w:r w:rsidR="00FB5415" w:rsidRPr="009F45BA">
        <w:rPr>
          <w:rFonts w:ascii="Book Antiqua" w:eastAsia="MS PMincho" w:hAnsi="Book Antiqua"/>
          <w:sz w:val="24"/>
          <w:szCs w:val="24"/>
        </w:rPr>
        <w:t xml:space="preserve">oth reflux esophagitis </w:t>
      </w:r>
      <w:r w:rsidR="00016C2C" w:rsidRPr="009F45BA">
        <w:rPr>
          <w:rFonts w:ascii="Book Antiqua" w:eastAsia="MS PMincho" w:hAnsi="Book Antiqua"/>
          <w:sz w:val="24"/>
          <w:szCs w:val="24"/>
        </w:rPr>
        <w:t>(RE) and</w:t>
      </w:r>
      <w:r w:rsidR="00FB5415" w:rsidRPr="009F45BA">
        <w:rPr>
          <w:rFonts w:ascii="Book Antiqua" w:eastAsia="MS PMincho" w:hAnsi="Book Antiqua"/>
          <w:sz w:val="24"/>
          <w:szCs w:val="24"/>
        </w:rPr>
        <w:t xml:space="preserve"> non-erosive reflux disease (NERD)</w:t>
      </w:r>
      <w:r w:rsidR="006B198D" w:rsidRPr="009F45BA">
        <w:rPr>
          <w:rFonts w:ascii="Book Antiqua" w:eastAsia="MS PMincho" w:hAnsi="Book Antiqua"/>
          <w:sz w:val="24"/>
          <w:szCs w:val="24"/>
        </w:rPr>
        <w:t>.</w:t>
      </w:r>
      <w:r w:rsidR="00016C2C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6B198D" w:rsidRPr="009F45BA">
        <w:rPr>
          <w:rFonts w:ascii="Book Antiqua" w:eastAsia="MS PMincho" w:hAnsi="Book Antiqua"/>
          <w:sz w:val="24"/>
          <w:szCs w:val="24"/>
        </w:rPr>
        <w:lastRenderedPageBreak/>
        <w:t xml:space="preserve">According to the Montreal consensus </w:t>
      </w:r>
      <w:proofErr w:type="gramStart"/>
      <w:r w:rsidR="006B198D" w:rsidRPr="009F45BA">
        <w:rPr>
          <w:rFonts w:ascii="Book Antiqua" w:eastAsia="MS PMincho" w:hAnsi="Book Antiqua"/>
          <w:sz w:val="24"/>
          <w:szCs w:val="24"/>
        </w:rPr>
        <w:t>conference</w:t>
      </w:r>
      <w:r w:rsidR="006B198D" w:rsidRPr="009F45BA">
        <w:rPr>
          <w:rFonts w:ascii="Book Antiqua" w:eastAsia="MS PMincho" w:hAnsi="Book Antiqua"/>
          <w:sz w:val="24"/>
          <w:szCs w:val="24"/>
          <w:vertAlign w:val="superscript"/>
        </w:rPr>
        <w:t>[</w:t>
      </w:r>
      <w:proofErr w:type="gramEnd"/>
      <w:r w:rsidR="006B198D" w:rsidRPr="009F45BA">
        <w:rPr>
          <w:rFonts w:ascii="Book Antiqua" w:eastAsia="MS PMincho" w:hAnsi="Book Antiqua"/>
          <w:sz w:val="24"/>
          <w:szCs w:val="24"/>
          <w:vertAlign w:val="superscript"/>
        </w:rPr>
        <w:t>2]</w:t>
      </w:r>
      <w:r w:rsidR="006B198D" w:rsidRPr="009F45BA">
        <w:rPr>
          <w:rFonts w:ascii="Book Antiqua" w:eastAsia="MS PMincho" w:hAnsi="Book Antiqua"/>
          <w:sz w:val="24"/>
          <w:szCs w:val="24"/>
        </w:rPr>
        <w:t xml:space="preserve">, </w:t>
      </w:r>
      <w:r w:rsidR="00016C2C" w:rsidRPr="009F45BA">
        <w:rPr>
          <w:rFonts w:ascii="Book Antiqua" w:eastAsia="MS PMincho" w:hAnsi="Book Antiqua"/>
          <w:sz w:val="24"/>
          <w:szCs w:val="24"/>
        </w:rPr>
        <w:t xml:space="preserve">RE is characterized by mucosal damage </w:t>
      </w:r>
      <w:r w:rsidR="006B198D" w:rsidRPr="009F45BA">
        <w:rPr>
          <w:rFonts w:ascii="Book Antiqua" w:eastAsia="MS PMincho" w:hAnsi="Book Antiqua"/>
          <w:sz w:val="24"/>
          <w:szCs w:val="24"/>
        </w:rPr>
        <w:t>with</w:t>
      </w:r>
      <w:r w:rsidR="00016C2C" w:rsidRPr="009F45BA">
        <w:rPr>
          <w:rFonts w:ascii="Book Antiqua" w:eastAsia="MS PMincho" w:hAnsi="Book Antiqua"/>
          <w:sz w:val="24"/>
          <w:szCs w:val="24"/>
        </w:rPr>
        <w:t xml:space="preserve">in the esophagus </w:t>
      </w:r>
      <w:r w:rsidR="006B198D" w:rsidRPr="009F45BA">
        <w:rPr>
          <w:rFonts w:ascii="Book Antiqua" w:eastAsia="MS PMincho" w:hAnsi="Book Antiqua"/>
          <w:sz w:val="24"/>
          <w:szCs w:val="24"/>
        </w:rPr>
        <w:t>that can be visualized during</w:t>
      </w:r>
      <w:r w:rsidR="00016C2C" w:rsidRPr="009F45BA">
        <w:rPr>
          <w:rFonts w:ascii="Book Antiqua" w:eastAsia="MS PMincho" w:hAnsi="Book Antiqua"/>
          <w:sz w:val="24"/>
          <w:szCs w:val="24"/>
        </w:rPr>
        <w:t xml:space="preserve"> endoscopy, whereas mucos</w:t>
      </w:r>
      <w:r w:rsidR="006B198D" w:rsidRPr="009F45BA">
        <w:rPr>
          <w:rFonts w:ascii="Book Antiqua" w:eastAsia="MS PMincho" w:hAnsi="Book Antiqua"/>
          <w:sz w:val="24"/>
          <w:szCs w:val="24"/>
        </w:rPr>
        <w:t>al breaks are not seen in NERD</w:t>
      </w:r>
      <w:r w:rsidR="00016C2C" w:rsidRPr="009F45BA">
        <w:rPr>
          <w:rFonts w:ascii="Book Antiqua" w:eastAsia="MS PMincho" w:hAnsi="Book Antiqua"/>
          <w:sz w:val="24"/>
          <w:szCs w:val="24"/>
        </w:rPr>
        <w:t xml:space="preserve">. </w:t>
      </w:r>
      <w:r w:rsidR="006B198D" w:rsidRPr="009F45BA">
        <w:rPr>
          <w:rFonts w:ascii="Book Antiqua" w:eastAsia="MS PMincho" w:hAnsi="Book Antiqua"/>
          <w:sz w:val="24"/>
          <w:szCs w:val="24"/>
        </w:rPr>
        <w:t>Endoscopic examinations indicate that a</w:t>
      </w:r>
      <w:r w:rsidR="00016C2C" w:rsidRPr="009F45BA">
        <w:rPr>
          <w:rFonts w:ascii="Book Antiqua" w:eastAsia="MS PMincho" w:hAnsi="Book Antiqua"/>
          <w:sz w:val="24"/>
          <w:szCs w:val="24"/>
        </w:rPr>
        <w:t xml:space="preserve">bout two-thirds of patients with GERD symptoms have no erosive </w:t>
      </w:r>
      <w:proofErr w:type="gramStart"/>
      <w:r w:rsidR="00016C2C" w:rsidRPr="009F45BA">
        <w:rPr>
          <w:rFonts w:ascii="Book Antiqua" w:eastAsia="MS PMincho" w:hAnsi="Book Antiqua"/>
          <w:sz w:val="24"/>
          <w:szCs w:val="24"/>
        </w:rPr>
        <w:t>changes</w:t>
      </w:r>
      <w:r w:rsidR="006B198D" w:rsidRPr="009F45BA">
        <w:rPr>
          <w:rFonts w:ascii="Book Antiqua" w:eastAsia="MS PMincho" w:hAnsi="Book Antiqua"/>
          <w:sz w:val="24"/>
          <w:szCs w:val="24"/>
          <w:vertAlign w:val="superscript"/>
        </w:rPr>
        <w:t>[</w:t>
      </w:r>
      <w:proofErr w:type="gramEnd"/>
      <w:r w:rsidR="00531920" w:rsidRPr="009F45BA">
        <w:rPr>
          <w:rFonts w:ascii="Book Antiqua" w:eastAsia="MS PMincho" w:hAnsi="Book Antiqua"/>
          <w:sz w:val="24"/>
          <w:szCs w:val="24"/>
          <w:vertAlign w:val="superscript"/>
        </w:rPr>
        <w:t>3</w:t>
      </w:r>
      <w:r w:rsidR="006B198D" w:rsidRPr="009F45BA">
        <w:rPr>
          <w:rFonts w:ascii="Book Antiqua" w:eastAsia="MS PMincho" w:hAnsi="Book Antiqua"/>
          <w:sz w:val="24"/>
          <w:szCs w:val="24"/>
          <w:vertAlign w:val="superscript"/>
        </w:rPr>
        <w:t>]</w:t>
      </w:r>
      <w:r w:rsidR="006245ED" w:rsidRPr="009F45BA">
        <w:rPr>
          <w:rFonts w:ascii="Book Antiqua" w:eastAsia="MS PMincho" w:hAnsi="Book Antiqua"/>
          <w:sz w:val="24"/>
          <w:szCs w:val="24"/>
        </w:rPr>
        <w:t>.</w:t>
      </w:r>
      <w:r w:rsidR="00741DBE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6245ED" w:rsidRPr="009F45BA">
        <w:rPr>
          <w:rFonts w:ascii="Book Antiqua" w:eastAsia="MS PMincho" w:hAnsi="Book Antiqua"/>
          <w:sz w:val="24"/>
          <w:szCs w:val="24"/>
        </w:rPr>
        <w:t>The</w:t>
      </w:r>
      <w:r w:rsidR="00FB5415" w:rsidRPr="009F45BA">
        <w:rPr>
          <w:rFonts w:ascii="Book Antiqua" w:eastAsia="MS PMincho" w:hAnsi="Book Antiqua"/>
          <w:sz w:val="24"/>
          <w:szCs w:val="24"/>
        </w:rPr>
        <w:t xml:space="preserve"> detail</w:t>
      </w:r>
      <w:r w:rsidR="006245ED" w:rsidRPr="009F45BA">
        <w:rPr>
          <w:rFonts w:ascii="Book Antiqua" w:eastAsia="MS PMincho" w:hAnsi="Book Antiqua"/>
          <w:sz w:val="24"/>
          <w:szCs w:val="24"/>
        </w:rPr>
        <w:t>ed</w:t>
      </w:r>
      <w:r w:rsidR="00FB5415" w:rsidRPr="009F45BA">
        <w:rPr>
          <w:rFonts w:ascii="Book Antiqua" w:eastAsia="MS PMincho" w:hAnsi="Book Antiqua"/>
          <w:sz w:val="24"/>
          <w:szCs w:val="24"/>
        </w:rPr>
        <w:t xml:space="preserve"> endoscopic findings</w:t>
      </w:r>
      <w:r w:rsidR="006245ED" w:rsidRPr="009F45BA">
        <w:rPr>
          <w:rFonts w:ascii="Book Antiqua" w:eastAsia="MS PMincho" w:hAnsi="Book Antiqua"/>
          <w:sz w:val="24"/>
          <w:szCs w:val="24"/>
        </w:rPr>
        <w:t xml:space="preserve"> from patients with</w:t>
      </w:r>
      <w:r w:rsidR="00FB5415" w:rsidRPr="009F45BA">
        <w:rPr>
          <w:rFonts w:ascii="Book Antiqua" w:eastAsia="MS PMincho" w:hAnsi="Book Antiqua"/>
          <w:sz w:val="24"/>
          <w:szCs w:val="24"/>
        </w:rPr>
        <w:t xml:space="preserve"> NERD </w:t>
      </w:r>
      <w:r w:rsidR="00741DBE" w:rsidRPr="009F45BA">
        <w:rPr>
          <w:rFonts w:ascii="Book Antiqua" w:eastAsia="MS PMincho" w:hAnsi="Book Antiqua"/>
          <w:sz w:val="24"/>
          <w:szCs w:val="24"/>
        </w:rPr>
        <w:t>can be divided into t</w:t>
      </w:r>
      <w:r w:rsidR="007B317F" w:rsidRPr="009F45BA">
        <w:rPr>
          <w:rFonts w:ascii="Book Antiqua" w:eastAsia="MS PMincho" w:hAnsi="Book Antiqua"/>
          <w:sz w:val="24"/>
          <w:szCs w:val="24"/>
        </w:rPr>
        <w:t>wo groups</w:t>
      </w:r>
      <w:r w:rsidR="006245ED" w:rsidRPr="009F45BA">
        <w:rPr>
          <w:rFonts w:ascii="Book Antiqua" w:eastAsia="MS PMincho" w:hAnsi="Book Antiqua"/>
          <w:sz w:val="24"/>
          <w:szCs w:val="24"/>
        </w:rPr>
        <w:t xml:space="preserve"> that can</w:t>
      </w:r>
      <w:r w:rsidR="002C3C2E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6245ED" w:rsidRPr="009F45BA">
        <w:rPr>
          <w:rFonts w:ascii="Book Antiqua" w:eastAsia="MS PMincho" w:hAnsi="Book Antiqua"/>
          <w:sz w:val="24"/>
          <w:szCs w:val="24"/>
        </w:rPr>
        <w:t>be defined using</w:t>
      </w:r>
      <w:r w:rsidR="002C3C2E" w:rsidRPr="009F45BA">
        <w:rPr>
          <w:rFonts w:ascii="Book Antiqua" w:eastAsia="MS PMincho" w:hAnsi="Book Antiqua"/>
          <w:sz w:val="24"/>
          <w:szCs w:val="24"/>
        </w:rPr>
        <w:t xml:space="preserve"> a </w:t>
      </w:r>
      <w:r w:rsidR="006245ED" w:rsidRPr="009F45BA">
        <w:rPr>
          <w:rFonts w:ascii="Book Antiqua" w:eastAsia="MS PMincho" w:hAnsi="Book Antiqua"/>
          <w:sz w:val="24"/>
          <w:szCs w:val="24"/>
        </w:rPr>
        <w:t xml:space="preserve">modification of the </w:t>
      </w:r>
      <w:r w:rsidR="002C3C2E" w:rsidRPr="009F45BA">
        <w:rPr>
          <w:rFonts w:ascii="Book Antiqua" w:eastAsia="MS PMincho" w:hAnsi="Book Antiqua"/>
          <w:sz w:val="24"/>
          <w:szCs w:val="24"/>
        </w:rPr>
        <w:t>L</w:t>
      </w:r>
      <w:r w:rsidR="006245ED" w:rsidRPr="009F45BA">
        <w:rPr>
          <w:rFonts w:ascii="Book Antiqua" w:eastAsia="MS PMincho" w:hAnsi="Book Antiqua"/>
          <w:sz w:val="24"/>
          <w:szCs w:val="24"/>
        </w:rPr>
        <w:t xml:space="preserve">os </w:t>
      </w:r>
      <w:r w:rsidR="002C3C2E" w:rsidRPr="009F45BA">
        <w:rPr>
          <w:rFonts w:ascii="Book Antiqua" w:eastAsia="MS PMincho" w:hAnsi="Book Antiqua"/>
          <w:sz w:val="24"/>
          <w:szCs w:val="24"/>
        </w:rPr>
        <w:t>A</w:t>
      </w:r>
      <w:r w:rsidR="006245ED" w:rsidRPr="009F45BA">
        <w:rPr>
          <w:rFonts w:ascii="Book Antiqua" w:eastAsia="MS PMincho" w:hAnsi="Book Antiqua"/>
          <w:sz w:val="24"/>
          <w:szCs w:val="24"/>
        </w:rPr>
        <w:t>ngeles</w:t>
      </w:r>
      <w:r w:rsidR="002C3C2E" w:rsidRPr="009F45BA">
        <w:rPr>
          <w:rFonts w:ascii="Book Antiqua" w:eastAsia="MS PMincho" w:hAnsi="Book Antiqua"/>
          <w:sz w:val="24"/>
          <w:szCs w:val="24"/>
        </w:rPr>
        <w:t xml:space="preserve"> classification</w:t>
      </w:r>
      <w:r w:rsidR="001A471B" w:rsidRPr="009F45BA">
        <w:rPr>
          <w:rFonts w:ascii="Book Antiqua" w:eastAsia="MS PMincho" w:hAnsi="Book Antiqua"/>
          <w:sz w:val="24"/>
          <w:szCs w:val="24"/>
        </w:rPr>
        <w:t>,</w:t>
      </w:r>
      <w:r w:rsidR="007B317F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6245ED" w:rsidRPr="009F45BA">
        <w:rPr>
          <w:rFonts w:ascii="Book Antiqua" w:eastAsia="MS PMincho" w:hAnsi="Book Antiqua"/>
          <w:sz w:val="24"/>
          <w:szCs w:val="24"/>
        </w:rPr>
        <w:t xml:space="preserve">with </w:t>
      </w:r>
      <w:r w:rsidR="007B317F" w:rsidRPr="009F45BA">
        <w:rPr>
          <w:rFonts w:ascii="Book Antiqua" w:eastAsia="MS PMincho" w:hAnsi="Book Antiqua"/>
          <w:sz w:val="24"/>
          <w:szCs w:val="24"/>
        </w:rPr>
        <w:t xml:space="preserve">one </w:t>
      </w:r>
      <w:r w:rsidR="006245ED" w:rsidRPr="009F45BA">
        <w:rPr>
          <w:rFonts w:ascii="Book Antiqua" w:eastAsia="MS PMincho" w:hAnsi="Book Antiqua"/>
          <w:sz w:val="24"/>
          <w:szCs w:val="24"/>
        </w:rPr>
        <w:t>group showing</w:t>
      </w:r>
      <w:r w:rsidR="00741DBE" w:rsidRPr="009F45BA">
        <w:rPr>
          <w:rFonts w:ascii="Book Antiqua" w:eastAsia="MS PMincho" w:hAnsi="Book Antiqua"/>
          <w:sz w:val="24"/>
          <w:szCs w:val="24"/>
        </w:rPr>
        <w:t xml:space="preserve"> no endoscopic </w:t>
      </w:r>
      <w:r w:rsidR="007B317F" w:rsidRPr="009F45BA">
        <w:rPr>
          <w:rFonts w:ascii="Book Antiqua" w:eastAsia="MS PMincho" w:hAnsi="Book Antiqua"/>
          <w:sz w:val="24"/>
          <w:szCs w:val="24"/>
        </w:rPr>
        <w:t xml:space="preserve">abnormalities </w:t>
      </w:r>
      <w:r w:rsidR="002C3C2E" w:rsidRPr="009F45BA">
        <w:rPr>
          <w:rFonts w:ascii="Book Antiqua" w:eastAsia="MS PMincho" w:hAnsi="Book Antiqua"/>
          <w:sz w:val="24"/>
          <w:szCs w:val="24"/>
        </w:rPr>
        <w:t>(grade N)</w:t>
      </w:r>
      <w:r w:rsidR="00277FBD" w:rsidRPr="009F45BA">
        <w:rPr>
          <w:rFonts w:ascii="Book Antiqua" w:eastAsia="MS PMincho" w:hAnsi="Book Antiqua"/>
          <w:sz w:val="24"/>
          <w:szCs w:val="24"/>
        </w:rPr>
        <w:t>,</w:t>
      </w:r>
      <w:r w:rsidR="002C3C2E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277FBD" w:rsidRPr="009F45BA">
        <w:rPr>
          <w:rFonts w:ascii="Book Antiqua" w:eastAsia="MS PMincho" w:hAnsi="Book Antiqua"/>
          <w:sz w:val="24"/>
          <w:szCs w:val="24"/>
        </w:rPr>
        <w:t>and the other group</w:t>
      </w:r>
      <w:r w:rsidR="00741DBE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277FBD" w:rsidRPr="009F45BA">
        <w:rPr>
          <w:rFonts w:ascii="Book Antiqua" w:eastAsia="MS PMincho" w:hAnsi="Book Antiqua"/>
          <w:sz w:val="24"/>
          <w:szCs w:val="24"/>
        </w:rPr>
        <w:t>showing</w:t>
      </w:r>
      <w:r w:rsidR="00741DBE" w:rsidRPr="009F45BA">
        <w:rPr>
          <w:rFonts w:ascii="Book Antiqua" w:eastAsia="MS PMincho" w:hAnsi="Book Antiqua"/>
          <w:sz w:val="24"/>
          <w:szCs w:val="24"/>
        </w:rPr>
        <w:t xml:space="preserve"> minimal </w:t>
      </w:r>
      <w:r w:rsidR="00277FBD" w:rsidRPr="009F45BA">
        <w:rPr>
          <w:rFonts w:ascii="Book Antiqua" w:eastAsia="MS PMincho" w:hAnsi="Book Antiqua"/>
          <w:sz w:val="24"/>
          <w:szCs w:val="24"/>
        </w:rPr>
        <w:t xml:space="preserve">endoscopic </w:t>
      </w:r>
      <w:r w:rsidR="00741DBE" w:rsidRPr="009F45BA">
        <w:rPr>
          <w:rFonts w:ascii="Book Antiqua" w:eastAsia="MS PMincho" w:hAnsi="Book Antiqua"/>
          <w:sz w:val="24"/>
          <w:szCs w:val="24"/>
        </w:rPr>
        <w:t>change</w:t>
      </w:r>
      <w:r w:rsidR="00277FBD" w:rsidRPr="009F45BA">
        <w:rPr>
          <w:rFonts w:ascii="Book Antiqua" w:eastAsia="MS PMincho" w:hAnsi="Book Antiqua"/>
          <w:sz w:val="24"/>
          <w:szCs w:val="24"/>
        </w:rPr>
        <w:t>s</w:t>
      </w:r>
      <w:r w:rsidR="00741DBE" w:rsidRPr="009F45BA">
        <w:rPr>
          <w:rFonts w:ascii="Book Antiqua" w:eastAsia="MS PMincho" w:hAnsi="Book Antiqua"/>
          <w:sz w:val="24"/>
          <w:szCs w:val="24"/>
        </w:rPr>
        <w:t xml:space="preserve">, </w:t>
      </w:r>
      <w:r w:rsidR="00277FBD" w:rsidRPr="009F45BA">
        <w:rPr>
          <w:rFonts w:ascii="Book Antiqua" w:eastAsia="MS PMincho" w:hAnsi="Book Antiqua"/>
          <w:sz w:val="24"/>
          <w:szCs w:val="24"/>
        </w:rPr>
        <w:t>for example,</w:t>
      </w:r>
      <w:r w:rsidR="00741DBE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277FBD" w:rsidRPr="009F45BA">
        <w:rPr>
          <w:rFonts w:ascii="Book Antiqua" w:eastAsia="MS PMincho" w:hAnsi="Book Antiqua"/>
          <w:sz w:val="24"/>
          <w:szCs w:val="24"/>
        </w:rPr>
        <w:t>whitish</w:t>
      </w:r>
      <w:r w:rsidR="001A471B" w:rsidRPr="009F45BA">
        <w:rPr>
          <w:rFonts w:ascii="Book Antiqua" w:eastAsia="MS PMincho" w:hAnsi="Book Antiqua"/>
          <w:sz w:val="24"/>
          <w:szCs w:val="24"/>
        </w:rPr>
        <w:t xml:space="preserve"> or</w:t>
      </w:r>
      <w:r w:rsidR="007B317F" w:rsidRPr="009F45BA">
        <w:rPr>
          <w:rFonts w:ascii="Book Antiqua" w:eastAsia="MS PMincho" w:hAnsi="Book Antiqua"/>
          <w:sz w:val="24"/>
          <w:szCs w:val="24"/>
        </w:rPr>
        <w:t xml:space="preserve"> reddi</w:t>
      </w:r>
      <w:r w:rsidR="00277FBD" w:rsidRPr="009F45BA">
        <w:rPr>
          <w:rFonts w:ascii="Book Antiqua" w:eastAsia="MS PMincho" w:hAnsi="Book Antiqua"/>
          <w:sz w:val="24"/>
          <w:szCs w:val="24"/>
        </w:rPr>
        <w:t>sh</w:t>
      </w:r>
      <w:r w:rsidR="001A471B" w:rsidRPr="009F45BA">
        <w:rPr>
          <w:rFonts w:ascii="Book Antiqua" w:eastAsia="MS PMincho" w:hAnsi="Book Antiqua"/>
          <w:sz w:val="24"/>
          <w:szCs w:val="24"/>
        </w:rPr>
        <w:t>,</w:t>
      </w:r>
      <w:r w:rsidR="007C61D0" w:rsidRPr="009F45BA">
        <w:rPr>
          <w:rFonts w:ascii="Book Antiqua" w:eastAsia="MS PMincho" w:hAnsi="Book Antiqua"/>
          <w:sz w:val="24"/>
          <w:szCs w:val="24"/>
        </w:rPr>
        <w:t xml:space="preserve"> edematous change</w:t>
      </w:r>
      <w:r w:rsidR="00277FBD" w:rsidRPr="009F45BA">
        <w:rPr>
          <w:rFonts w:ascii="Book Antiqua" w:eastAsia="MS PMincho" w:hAnsi="Book Antiqua"/>
          <w:sz w:val="24"/>
          <w:szCs w:val="24"/>
        </w:rPr>
        <w:t>s</w:t>
      </w:r>
      <w:r w:rsidR="002C3C2E" w:rsidRPr="009F45BA">
        <w:rPr>
          <w:rFonts w:ascii="Book Antiqua" w:eastAsia="MS PMincho" w:hAnsi="Book Antiqua"/>
          <w:sz w:val="24"/>
          <w:szCs w:val="24"/>
        </w:rPr>
        <w:t xml:space="preserve"> (grade M)</w:t>
      </w:r>
      <w:r w:rsidR="00277FBD" w:rsidRPr="009F45BA">
        <w:rPr>
          <w:rFonts w:ascii="Book Antiqua" w:eastAsia="MS PMincho" w:hAnsi="Book Antiqua"/>
          <w:sz w:val="24"/>
          <w:szCs w:val="24"/>
          <w:vertAlign w:val="superscript"/>
        </w:rPr>
        <w:t>[4]</w:t>
      </w:r>
      <w:r w:rsidR="007C61D0" w:rsidRPr="009F45BA">
        <w:rPr>
          <w:rFonts w:ascii="Book Antiqua" w:eastAsia="MS PMincho" w:hAnsi="Book Antiqua"/>
          <w:sz w:val="24"/>
          <w:szCs w:val="24"/>
        </w:rPr>
        <w:t xml:space="preserve">. </w:t>
      </w:r>
      <w:r w:rsidR="002C3C2E" w:rsidRPr="009F45BA">
        <w:rPr>
          <w:rFonts w:ascii="Book Antiqua" w:eastAsia="MS PMincho" w:hAnsi="Book Antiqua"/>
          <w:sz w:val="24"/>
          <w:szCs w:val="24"/>
        </w:rPr>
        <w:t>However, l</w:t>
      </w:r>
      <w:r w:rsidR="00D20C3B" w:rsidRPr="009F45BA">
        <w:rPr>
          <w:rFonts w:ascii="Book Antiqua" w:eastAsia="MS PMincho" w:hAnsi="Book Antiqua"/>
          <w:sz w:val="24"/>
          <w:szCs w:val="24"/>
        </w:rPr>
        <w:t xml:space="preserve">ittle is known about clinical utility of </w:t>
      </w:r>
      <w:r w:rsidR="002C3C2E" w:rsidRPr="009F45BA">
        <w:rPr>
          <w:rFonts w:ascii="Book Antiqua" w:eastAsia="MS PMincho" w:hAnsi="Book Antiqua"/>
          <w:sz w:val="24"/>
          <w:szCs w:val="24"/>
        </w:rPr>
        <w:t xml:space="preserve">endoscopic </w:t>
      </w:r>
      <w:r w:rsidR="00EA18D6" w:rsidRPr="009F45BA">
        <w:rPr>
          <w:rFonts w:ascii="Book Antiqua" w:eastAsia="MS PMincho" w:hAnsi="Book Antiqua"/>
          <w:sz w:val="24"/>
          <w:szCs w:val="24"/>
        </w:rPr>
        <w:t xml:space="preserve">classification </w:t>
      </w:r>
      <w:r w:rsidR="002C3C2E" w:rsidRPr="009F45BA">
        <w:rPr>
          <w:rFonts w:ascii="Book Antiqua" w:eastAsia="MS PMincho" w:hAnsi="Book Antiqua"/>
          <w:sz w:val="24"/>
          <w:szCs w:val="24"/>
        </w:rPr>
        <w:t>in NERD</w:t>
      </w:r>
      <w:r w:rsidR="00EA18D6" w:rsidRPr="009F45BA">
        <w:rPr>
          <w:rFonts w:ascii="Book Antiqua" w:eastAsia="MS PMincho" w:hAnsi="Book Antiqua"/>
          <w:sz w:val="24"/>
          <w:szCs w:val="24"/>
        </w:rPr>
        <w:t xml:space="preserve">. </w:t>
      </w:r>
    </w:p>
    <w:p w:rsidR="008E0F00" w:rsidRPr="009F45BA" w:rsidRDefault="00277FBD" w:rsidP="0006365C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9F45BA">
        <w:rPr>
          <w:rFonts w:ascii="Book Antiqua" w:eastAsia="MS PMincho" w:hAnsi="Book Antiqua"/>
          <w:sz w:val="24"/>
          <w:szCs w:val="24"/>
        </w:rPr>
        <w:t>Most GERD patients are treated with</w:t>
      </w:r>
      <w:r w:rsidR="00A85F03" w:rsidRPr="009F45BA">
        <w:rPr>
          <w:rFonts w:ascii="Book Antiqua" w:eastAsia="MS PMincho" w:hAnsi="Book Antiqua"/>
          <w:sz w:val="24"/>
          <w:szCs w:val="24"/>
        </w:rPr>
        <w:t xml:space="preserve"> proton pump inhibitors</w:t>
      </w:r>
      <w:r w:rsidR="00517FE6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Pr="009F45BA">
        <w:rPr>
          <w:rFonts w:ascii="Book Antiqua" w:eastAsia="MS PMincho" w:hAnsi="Book Antiqua"/>
          <w:sz w:val="24"/>
          <w:szCs w:val="24"/>
        </w:rPr>
        <w:t xml:space="preserve">(PPI) </w:t>
      </w:r>
      <w:r w:rsidR="00517FE6" w:rsidRPr="009F45BA">
        <w:rPr>
          <w:rFonts w:ascii="Book Antiqua" w:eastAsia="MS PMincho" w:hAnsi="Book Antiqua"/>
          <w:sz w:val="24"/>
          <w:szCs w:val="24"/>
        </w:rPr>
        <w:t>to control their symptoms</w:t>
      </w:r>
      <w:r w:rsidR="004A05C1" w:rsidRPr="009F45BA">
        <w:rPr>
          <w:rFonts w:ascii="Book Antiqua" w:eastAsia="MS PMincho" w:hAnsi="Book Antiqua"/>
          <w:sz w:val="24"/>
          <w:szCs w:val="24"/>
        </w:rPr>
        <w:t xml:space="preserve">. </w:t>
      </w:r>
      <w:r w:rsidR="006A6FFE" w:rsidRPr="009F45BA">
        <w:rPr>
          <w:rFonts w:ascii="Book Antiqua" w:eastAsia="MS PMincho" w:hAnsi="Book Antiqua"/>
          <w:sz w:val="24"/>
          <w:szCs w:val="24"/>
        </w:rPr>
        <w:t>R</w:t>
      </w:r>
      <w:r w:rsidR="00A85F03" w:rsidRPr="009F45BA">
        <w:rPr>
          <w:rFonts w:ascii="Book Antiqua" w:eastAsia="MS PMincho" w:hAnsi="Book Antiqua"/>
          <w:sz w:val="24"/>
          <w:szCs w:val="24"/>
        </w:rPr>
        <w:t xml:space="preserve">eports </w:t>
      </w:r>
      <w:r w:rsidRPr="009F45BA">
        <w:rPr>
          <w:rFonts w:ascii="Book Antiqua" w:eastAsia="MS PMincho" w:hAnsi="Book Antiqua"/>
          <w:sz w:val="24"/>
          <w:szCs w:val="24"/>
        </w:rPr>
        <w:t xml:space="preserve">have </w:t>
      </w:r>
      <w:r w:rsidR="00A85F03" w:rsidRPr="009F45BA">
        <w:rPr>
          <w:rFonts w:ascii="Book Antiqua" w:eastAsia="MS PMincho" w:hAnsi="Book Antiqua"/>
          <w:sz w:val="24"/>
          <w:szCs w:val="24"/>
        </w:rPr>
        <w:t xml:space="preserve">suggested that </w:t>
      </w:r>
      <w:r w:rsidRPr="009F45BA">
        <w:rPr>
          <w:rFonts w:ascii="Book Antiqua" w:eastAsia="MS PMincho" w:hAnsi="Book Antiqua"/>
          <w:sz w:val="24"/>
          <w:szCs w:val="24"/>
        </w:rPr>
        <w:t xml:space="preserve">compared with patients with RE, those </w:t>
      </w:r>
      <w:r w:rsidR="00A85F03" w:rsidRPr="009F45BA">
        <w:rPr>
          <w:rFonts w:ascii="Book Antiqua" w:eastAsia="MS PMincho" w:hAnsi="Book Antiqua"/>
          <w:sz w:val="24"/>
          <w:szCs w:val="24"/>
        </w:rPr>
        <w:t xml:space="preserve">with NERD </w:t>
      </w:r>
      <w:r w:rsidR="004A05C1" w:rsidRPr="009F45BA">
        <w:rPr>
          <w:rFonts w:ascii="Book Antiqua" w:eastAsia="MS PMincho" w:hAnsi="Book Antiqua"/>
          <w:sz w:val="24"/>
          <w:szCs w:val="24"/>
        </w:rPr>
        <w:t>had</w:t>
      </w:r>
      <w:r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517FE6" w:rsidRPr="009F45BA">
        <w:rPr>
          <w:rFonts w:ascii="Book Antiqua" w:eastAsia="MS PMincho" w:hAnsi="Book Antiqua"/>
          <w:sz w:val="24"/>
          <w:szCs w:val="24"/>
        </w:rPr>
        <w:t>lower response</w:t>
      </w:r>
      <w:r w:rsidR="00A85F03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517FE6" w:rsidRPr="009F45BA">
        <w:rPr>
          <w:rFonts w:ascii="Book Antiqua" w:eastAsia="MS PMincho" w:hAnsi="Book Antiqua"/>
          <w:sz w:val="24"/>
          <w:szCs w:val="24"/>
        </w:rPr>
        <w:t>rate</w:t>
      </w:r>
      <w:r w:rsidRPr="009F45BA">
        <w:rPr>
          <w:rFonts w:ascii="Book Antiqua" w:eastAsia="MS PMincho" w:hAnsi="Book Antiqua"/>
          <w:sz w:val="24"/>
          <w:szCs w:val="24"/>
        </w:rPr>
        <w:t>s</w:t>
      </w:r>
      <w:r w:rsidR="00A85F03" w:rsidRPr="009F45BA">
        <w:rPr>
          <w:rFonts w:ascii="Book Antiqua" w:eastAsia="MS PMincho" w:hAnsi="Book Antiqua"/>
          <w:sz w:val="24"/>
          <w:szCs w:val="24"/>
        </w:rPr>
        <w:t xml:space="preserve"> to acid suppression therapy</w:t>
      </w:r>
      <w:r w:rsidR="004A05C1" w:rsidRPr="009F45BA">
        <w:rPr>
          <w:rFonts w:ascii="Book Antiqua" w:eastAsia="MS PMincho" w:hAnsi="Book Antiqua"/>
          <w:sz w:val="24"/>
          <w:szCs w:val="24"/>
        </w:rPr>
        <w:t>, and</w:t>
      </w:r>
      <w:r w:rsidR="00A85F03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4A05C1" w:rsidRPr="009F45BA">
        <w:rPr>
          <w:rFonts w:ascii="Book Antiqua" w:eastAsia="MS PMincho" w:hAnsi="Book Antiqua"/>
          <w:sz w:val="24"/>
          <w:szCs w:val="24"/>
        </w:rPr>
        <w:t>a</w:t>
      </w:r>
      <w:r w:rsidR="00517FE6" w:rsidRPr="009F45BA">
        <w:rPr>
          <w:rFonts w:ascii="Book Antiqua" w:eastAsia="MS PMincho" w:hAnsi="Book Antiqua"/>
          <w:sz w:val="24"/>
          <w:szCs w:val="24"/>
        </w:rPr>
        <w:t xml:space="preserve">bout half of </w:t>
      </w:r>
      <w:r w:rsidRPr="009F45BA">
        <w:rPr>
          <w:rFonts w:ascii="Book Antiqua" w:eastAsia="MS PMincho" w:hAnsi="Book Antiqua"/>
          <w:sz w:val="24"/>
          <w:szCs w:val="24"/>
        </w:rPr>
        <w:t xml:space="preserve">the patients with </w:t>
      </w:r>
      <w:r w:rsidR="00517FE6" w:rsidRPr="009F45BA">
        <w:rPr>
          <w:rFonts w:ascii="Book Antiqua" w:eastAsia="MS PMincho" w:hAnsi="Book Antiqua"/>
          <w:sz w:val="24"/>
          <w:szCs w:val="24"/>
        </w:rPr>
        <w:t xml:space="preserve">NERD </w:t>
      </w:r>
      <w:r w:rsidRPr="009F45BA">
        <w:rPr>
          <w:rFonts w:ascii="Book Antiqua" w:eastAsia="MS PMincho" w:hAnsi="Book Antiqua"/>
          <w:sz w:val="24"/>
          <w:szCs w:val="24"/>
        </w:rPr>
        <w:t xml:space="preserve">did not show </w:t>
      </w:r>
      <w:r w:rsidR="004C03F4" w:rsidRPr="009F45BA">
        <w:rPr>
          <w:rFonts w:ascii="Book Antiqua" w:eastAsia="MS PMincho" w:hAnsi="Book Antiqua"/>
          <w:sz w:val="24"/>
          <w:szCs w:val="24"/>
        </w:rPr>
        <w:t>adequate improvement</w:t>
      </w:r>
      <w:r w:rsidRPr="009F45BA">
        <w:rPr>
          <w:rFonts w:ascii="Book Antiqua" w:eastAsia="MS PMincho" w:hAnsi="Book Antiqua"/>
          <w:sz w:val="24"/>
          <w:szCs w:val="24"/>
        </w:rPr>
        <w:t>s in their</w:t>
      </w:r>
      <w:r w:rsidR="004C03F4" w:rsidRPr="009F45BA">
        <w:rPr>
          <w:rFonts w:ascii="Book Antiqua" w:eastAsia="MS PMincho" w:hAnsi="Book Antiqua"/>
          <w:sz w:val="24"/>
          <w:szCs w:val="24"/>
        </w:rPr>
        <w:t xml:space="preserve"> reflux symptoms</w:t>
      </w:r>
      <w:r w:rsidRPr="009F45BA">
        <w:rPr>
          <w:rFonts w:ascii="Book Antiqua" w:eastAsia="MS PMincho" w:hAnsi="Book Antiqua"/>
          <w:sz w:val="24"/>
          <w:szCs w:val="24"/>
        </w:rPr>
        <w:t xml:space="preserve"> when a</w:t>
      </w:r>
      <w:r w:rsidR="004C03F4" w:rsidRPr="009F45BA">
        <w:rPr>
          <w:rFonts w:ascii="Book Antiqua" w:eastAsia="MS PMincho" w:hAnsi="Book Antiqua"/>
          <w:sz w:val="24"/>
          <w:szCs w:val="24"/>
        </w:rPr>
        <w:t xml:space="preserve"> standard dose of PPI</w:t>
      </w:r>
      <w:r w:rsidR="004A05C1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Pr="009F45BA">
        <w:rPr>
          <w:rFonts w:ascii="Book Antiqua" w:eastAsia="MS PMincho" w:hAnsi="Book Antiqua"/>
          <w:sz w:val="24"/>
          <w:szCs w:val="24"/>
        </w:rPr>
        <w:t>was administered</w:t>
      </w:r>
      <w:r w:rsidR="00A7447C" w:rsidRPr="009F45BA">
        <w:rPr>
          <w:rFonts w:ascii="Book Antiqua" w:eastAsia="MS PMincho" w:hAnsi="Book Antiqua"/>
          <w:sz w:val="24"/>
          <w:szCs w:val="24"/>
          <w:vertAlign w:val="superscript"/>
        </w:rPr>
        <w:t>[3,</w:t>
      </w:r>
      <w:r w:rsidRPr="009F45BA">
        <w:rPr>
          <w:rFonts w:ascii="Book Antiqua" w:eastAsia="MS PMincho" w:hAnsi="Book Antiqua"/>
          <w:sz w:val="24"/>
          <w:szCs w:val="24"/>
          <w:vertAlign w:val="superscript"/>
        </w:rPr>
        <w:t>5]</w:t>
      </w:r>
      <w:r w:rsidR="00BB49BD" w:rsidRPr="009F45BA">
        <w:rPr>
          <w:rFonts w:ascii="Book Antiqua" w:eastAsia="MS PMincho" w:hAnsi="Book Antiqua"/>
          <w:sz w:val="24"/>
          <w:szCs w:val="24"/>
        </w:rPr>
        <w:t>.</w:t>
      </w:r>
      <w:r w:rsidR="00517FE6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4C03F4" w:rsidRPr="009F45BA">
        <w:rPr>
          <w:rFonts w:ascii="Book Antiqua" w:eastAsia="MS PMincho" w:hAnsi="Book Antiqua"/>
          <w:sz w:val="24"/>
          <w:szCs w:val="24"/>
        </w:rPr>
        <w:t>Never</w:t>
      </w:r>
      <w:r w:rsidR="00BB49BD" w:rsidRPr="009F45BA">
        <w:rPr>
          <w:rFonts w:ascii="Book Antiqua" w:eastAsia="MS PMincho" w:hAnsi="Book Antiqua"/>
          <w:sz w:val="24"/>
          <w:szCs w:val="24"/>
        </w:rPr>
        <w:t xml:space="preserve">theless, </w:t>
      </w:r>
      <w:r w:rsidRPr="009F45BA">
        <w:rPr>
          <w:rFonts w:ascii="Book Antiqua" w:eastAsia="MS PMincho" w:hAnsi="Book Antiqua"/>
          <w:sz w:val="24"/>
          <w:szCs w:val="24"/>
        </w:rPr>
        <w:t xml:space="preserve">the </w:t>
      </w:r>
      <w:r w:rsidR="00BB49BD" w:rsidRPr="009F45BA">
        <w:rPr>
          <w:rFonts w:ascii="Book Antiqua" w:eastAsia="MS PMincho" w:hAnsi="Book Antiqua"/>
          <w:sz w:val="24"/>
          <w:szCs w:val="24"/>
        </w:rPr>
        <w:t xml:space="preserve">initial management of NERD is </w:t>
      </w:r>
      <w:r w:rsidRPr="009F45BA">
        <w:rPr>
          <w:rFonts w:ascii="Book Antiqua" w:eastAsia="MS PMincho" w:hAnsi="Book Antiqua"/>
          <w:sz w:val="24"/>
          <w:szCs w:val="24"/>
        </w:rPr>
        <w:t xml:space="preserve">the </w:t>
      </w:r>
      <w:r w:rsidR="002C3C2E" w:rsidRPr="009F45BA">
        <w:rPr>
          <w:rFonts w:ascii="Book Antiqua" w:eastAsia="MS PMincho" w:hAnsi="Book Antiqua"/>
          <w:sz w:val="24"/>
          <w:szCs w:val="24"/>
        </w:rPr>
        <w:t>same as</w:t>
      </w:r>
      <w:r w:rsidR="00BB49BD" w:rsidRPr="009F45BA">
        <w:rPr>
          <w:rFonts w:ascii="Book Antiqua" w:eastAsia="MS PMincho" w:hAnsi="Book Antiqua"/>
          <w:sz w:val="24"/>
          <w:szCs w:val="24"/>
        </w:rPr>
        <w:t xml:space="preserve"> that of RE</w:t>
      </w:r>
      <w:r w:rsidR="000C1170" w:rsidRPr="009F45BA">
        <w:rPr>
          <w:rFonts w:ascii="Book Antiqua" w:eastAsia="MS PMincho" w:hAnsi="Book Antiqua"/>
          <w:sz w:val="24"/>
          <w:szCs w:val="24"/>
        </w:rPr>
        <w:t>, and it comprises</w:t>
      </w:r>
      <w:r w:rsidR="004C03F4" w:rsidRPr="009F45BA">
        <w:rPr>
          <w:rFonts w:ascii="Book Antiqua" w:eastAsia="MS PMincho" w:hAnsi="Book Antiqua"/>
          <w:sz w:val="24"/>
          <w:szCs w:val="24"/>
        </w:rPr>
        <w:t xml:space="preserve"> PPI mono-therapy</w:t>
      </w:r>
      <w:r w:rsidR="00BB49BD" w:rsidRPr="009F45BA">
        <w:rPr>
          <w:rFonts w:ascii="Book Antiqua" w:eastAsia="MS PMincho" w:hAnsi="Book Antiqua"/>
          <w:sz w:val="24"/>
          <w:szCs w:val="24"/>
        </w:rPr>
        <w:t xml:space="preserve">. </w:t>
      </w:r>
    </w:p>
    <w:p w:rsidR="00291D45" w:rsidRPr="009F45BA" w:rsidRDefault="008E0F00" w:rsidP="00543E27">
      <w:pPr>
        <w:adjustRightInd w:val="0"/>
        <w:snapToGrid w:val="0"/>
        <w:spacing w:line="360" w:lineRule="auto"/>
        <w:ind w:firstLineChars="100" w:firstLine="240"/>
        <w:rPr>
          <w:rFonts w:ascii="Book Antiqua" w:eastAsia="MS PMincho" w:hAnsi="Book Antiqua"/>
          <w:sz w:val="24"/>
          <w:szCs w:val="24"/>
        </w:rPr>
      </w:pPr>
      <w:r w:rsidRPr="009F45BA">
        <w:rPr>
          <w:rFonts w:ascii="Book Antiqua" w:hAnsi="Book Antiqua"/>
          <w:sz w:val="24"/>
          <w:szCs w:val="24"/>
        </w:rPr>
        <w:t>However, recent studies revealed that t</w:t>
      </w:r>
      <w:r w:rsidR="00873D0D" w:rsidRPr="009F45BA">
        <w:rPr>
          <w:rFonts w:ascii="Book Antiqua" w:hAnsi="Book Antiqua"/>
          <w:sz w:val="24"/>
          <w:szCs w:val="24"/>
        </w:rPr>
        <w:t>hese endoscopy-negative</w:t>
      </w:r>
      <w:r w:rsidRPr="009F45BA">
        <w:rPr>
          <w:rFonts w:ascii="Book Antiqua" w:hAnsi="Book Antiqua"/>
          <w:sz w:val="24"/>
          <w:szCs w:val="24"/>
        </w:rPr>
        <w:t xml:space="preserve"> patients</w:t>
      </w:r>
      <w:r w:rsidR="00873D0D" w:rsidRPr="009F45BA">
        <w:rPr>
          <w:rFonts w:ascii="Book Antiqua" w:hAnsi="Book Antiqua"/>
          <w:sz w:val="24"/>
          <w:szCs w:val="24"/>
        </w:rPr>
        <w:t xml:space="preserve"> with reflux symptom</w:t>
      </w:r>
      <w:r w:rsidRPr="009F45BA">
        <w:rPr>
          <w:rFonts w:ascii="Book Antiqua" w:hAnsi="Book Antiqua"/>
          <w:sz w:val="24"/>
          <w:szCs w:val="24"/>
        </w:rPr>
        <w:t xml:space="preserve"> include different pathophysiological mechanisms. On the basis of esophageal 24-h multichannel intraluminal impedance combined with pH </w:t>
      </w:r>
      <w:r w:rsidR="00A912AF" w:rsidRPr="009F45BA">
        <w:rPr>
          <w:rFonts w:ascii="Book Antiqua" w:hAnsi="Book Antiqua"/>
          <w:sz w:val="24"/>
          <w:szCs w:val="24"/>
        </w:rPr>
        <w:t>measurements</w:t>
      </w:r>
      <w:r w:rsidRPr="009F45BA">
        <w:rPr>
          <w:rFonts w:ascii="Book Antiqua" w:hAnsi="Book Antiqua"/>
          <w:sz w:val="24"/>
          <w:szCs w:val="24"/>
        </w:rPr>
        <w:t>, NERD patients can be classified into three groups</w:t>
      </w:r>
      <w:r w:rsidR="00A912AF" w:rsidRPr="009F45BA">
        <w:rPr>
          <w:rFonts w:ascii="Book Antiqua" w:hAnsi="Book Antiqua"/>
          <w:sz w:val="24"/>
          <w:szCs w:val="24"/>
        </w:rPr>
        <w:t>, as follows</w:t>
      </w:r>
      <w:r w:rsidRPr="009F45BA">
        <w:rPr>
          <w:rFonts w:ascii="Book Antiqua" w:hAnsi="Book Antiqua"/>
          <w:sz w:val="24"/>
          <w:szCs w:val="24"/>
        </w:rPr>
        <w:t>: (</w:t>
      </w:r>
      <w:r w:rsidR="00543E27">
        <w:rPr>
          <w:rFonts w:ascii="Book Antiqua" w:eastAsia="宋体" w:hAnsi="Book Antiqua" w:hint="eastAsia"/>
          <w:sz w:val="24"/>
          <w:szCs w:val="24"/>
          <w:lang w:eastAsia="zh-CN"/>
        </w:rPr>
        <w:t>1</w:t>
      </w:r>
      <w:r w:rsidRPr="009F45BA">
        <w:rPr>
          <w:rFonts w:ascii="Book Antiqua" w:hAnsi="Book Antiqua"/>
          <w:sz w:val="24"/>
          <w:szCs w:val="24"/>
        </w:rPr>
        <w:t>) patients with abnormal distal esophageal acid expos</w:t>
      </w:r>
      <w:r w:rsidR="00A912AF" w:rsidRPr="009F45BA">
        <w:rPr>
          <w:rFonts w:ascii="Book Antiqua" w:hAnsi="Book Antiqua"/>
          <w:sz w:val="24"/>
          <w:szCs w:val="24"/>
        </w:rPr>
        <w:t>ure;</w:t>
      </w:r>
      <w:r w:rsidRPr="009F45BA">
        <w:rPr>
          <w:rFonts w:ascii="Book Antiqua" w:hAnsi="Book Antiqua"/>
          <w:sz w:val="24"/>
          <w:szCs w:val="24"/>
        </w:rPr>
        <w:t xml:space="preserve"> (</w:t>
      </w:r>
      <w:r w:rsidR="00543E27">
        <w:rPr>
          <w:rFonts w:ascii="Book Antiqua" w:eastAsia="宋体" w:hAnsi="Book Antiqua" w:hint="eastAsia"/>
          <w:sz w:val="24"/>
          <w:szCs w:val="24"/>
          <w:lang w:eastAsia="zh-CN"/>
        </w:rPr>
        <w:t>2</w:t>
      </w:r>
      <w:r w:rsidRPr="009F45BA">
        <w:rPr>
          <w:rFonts w:ascii="Book Antiqua" w:hAnsi="Book Antiqua"/>
          <w:sz w:val="24"/>
          <w:szCs w:val="24"/>
        </w:rPr>
        <w:t>) patients with normal distal esophageal acid exposure and positive symptom association</w:t>
      </w:r>
      <w:r w:rsidR="00A912AF" w:rsidRPr="009F45BA">
        <w:rPr>
          <w:rFonts w:ascii="Book Antiqua" w:hAnsi="Book Antiqua"/>
          <w:sz w:val="24"/>
          <w:szCs w:val="24"/>
        </w:rPr>
        <w:t>s</w:t>
      </w:r>
      <w:r w:rsidRPr="009F45BA">
        <w:rPr>
          <w:rFonts w:ascii="Book Antiqua" w:hAnsi="Book Antiqua"/>
          <w:sz w:val="24"/>
          <w:szCs w:val="24"/>
        </w:rPr>
        <w:t xml:space="preserve"> for either acid and/or non-acid re</w:t>
      </w:r>
      <w:r w:rsidR="00A912AF" w:rsidRPr="009F45BA">
        <w:rPr>
          <w:rFonts w:ascii="Book Antiqua" w:hAnsi="Book Antiqua"/>
          <w:sz w:val="24"/>
          <w:szCs w:val="24"/>
        </w:rPr>
        <w:t>flux (hypersensitive esophagus);</w:t>
      </w:r>
      <w:r w:rsidRPr="009F45BA">
        <w:rPr>
          <w:rFonts w:ascii="Book Antiqua" w:hAnsi="Book Antiqua"/>
          <w:sz w:val="24"/>
          <w:szCs w:val="24"/>
        </w:rPr>
        <w:t xml:space="preserve"> </w:t>
      </w:r>
      <w:r w:rsidR="00A912AF" w:rsidRPr="009F45BA">
        <w:rPr>
          <w:rFonts w:ascii="Book Antiqua" w:hAnsi="Book Antiqua"/>
          <w:sz w:val="24"/>
          <w:szCs w:val="24"/>
        </w:rPr>
        <w:t xml:space="preserve">and </w:t>
      </w:r>
      <w:r w:rsidRPr="009F45BA">
        <w:rPr>
          <w:rFonts w:ascii="Book Antiqua" w:hAnsi="Book Antiqua"/>
          <w:sz w:val="24"/>
          <w:szCs w:val="24"/>
        </w:rPr>
        <w:t>(</w:t>
      </w:r>
      <w:r w:rsidR="00543E27">
        <w:rPr>
          <w:rFonts w:ascii="Book Antiqua" w:eastAsia="宋体" w:hAnsi="Book Antiqua" w:hint="eastAsia"/>
          <w:sz w:val="24"/>
          <w:szCs w:val="24"/>
          <w:lang w:eastAsia="zh-CN"/>
        </w:rPr>
        <w:t>3</w:t>
      </w:r>
      <w:r w:rsidRPr="009F45BA">
        <w:rPr>
          <w:rFonts w:ascii="Book Antiqua" w:hAnsi="Book Antiqua"/>
          <w:sz w:val="24"/>
          <w:szCs w:val="24"/>
        </w:rPr>
        <w:t>) patients with normal distal esophageal acid exposure and negative symptom association</w:t>
      </w:r>
      <w:r w:rsidR="00A912AF" w:rsidRPr="009F45BA">
        <w:rPr>
          <w:rFonts w:ascii="Book Antiqua" w:hAnsi="Book Antiqua"/>
          <w:sz w:val="24"/>
          <w:szCs w:val="24"/>
        </w:rPr>
        <w:t>s</w:t>
      </w:r>
      <w:r w:rsidRPr="009F45BA">
        <w:rPr>
          <w:rFonts w:ascii="Book Antiqua" w:hAnsi="Book Antiqua"/>
          <w:sz w:val="24"/>
          <w:szCs w:val="24"/>
        </w:rPr>
        <w:t xml:space="preserve"> (functional heartburn)</w:t>
      </w:r>
      <w:r w:rsidR="0066298A" w:rsidRPr="009F45BA">
        <w:rPr>
          <w:rFonts w:ascii="Book Antiqua" w:eastAsia="MS PMincho" w:hAnsi="Book Antiqua"/>
          <w:sz w:val="24"/>
          <w:szCs w:val="24"/>
          <w:vertAlign w:val="superscript"/>
        </w:rPr>
        <w:t>[</w:t>
      </w:r>
      <w:r w:rsidR="00A912AF" w:rsidRPr="009F45BA">
        <w:rPr>
          <w:rFonts w:ascii="Book Antiqua" w:eastAsia="MS PMincho" w:hAnsi="Book Antiqua"/>
          <w:sz w:val="24"/>
          <w:szCs w:val="24"/>
          <w:vertAlign w:val="superscript"/>
        </w:rPr>
        <w:t>6,</w:t>
      </w:r>
      <w:r w:rsidR="0040669F" w:rsidRPr="009F45BA">
        <w:rPr>
          <w:rFonts w:ascii="Book Antiqua" w:eastAsia="MS PMincho" w:hAnsi="Book Antiqua"/>
          <w:sz w:val="24"/>
          <w:szCs w:val="24"/>
          <w:vertAlign w:val="superscript"/>
        </w:rPr>
        <w:t>7</w:t>
      </w:r>
      <w:r w:rsidR="0066298A" w:rsidRPr="009F45BA">
        <w:rPr>
          <w:rFonts w:ascii="Book Antiqua" w:eastAsia="MS PMincho" w:hAnsi="Book Antiqua"/>
          <w:sz w:val="24"/>
          <w:szCs w:val="24"/>
          <w:vertAlign w:val="superscript"/>
        </w:rPr>
        <w:t>]</w:t>
      </w:r>
      <w:r w:rsidRPr="009F45BA">
        <w:rPr>
          <w:rFonts w:ascii="Book Antiqua" w:hAnsi="Book Antiqua"/>
          <w:sz w:val="24"/>
          <w:szCs w:val="24"/>
        </w:rPr>
        <w:t>. Further</w:t>
      </w:r>
      <w:r w:rsidR="00A912AF" w:rsidRPr="009F45BA">
        <w:rPr>
          <w:rFonts w:ascii="Book Antiqua" w:hAnsi="Book Antiqua"/>
          <w:sz w:val="24"/>
          <w:szCs w:val="24"/>
        </w:rPr>
        <w:t>more, a meta-analysis emphasized that well-</w:t>
      </w:r>
      <w:r w:rsidRPr="009F45BA">
        <w:rPr>
          <w:rFonts w:ascii="Book Antiqua" w:hAnsi="Book Antiqua"/>
          <w:sz w:val="24"/>
          <w:szCs w:val="24"/>
        </w:rPr>
        <w:t xml:space="preserve">defined </w:t>
      </w:r>
      <w:r w:rsidR="00A912AF" w:rsidRPr="009F45BA">
        <w:rPr>
          <w:rFonts w:ascii="Book Antiqua" w:hAnsi="Book Antiqua"/>
          <w:sz w:val="24"/>
          <w:szCs w:val="24"/>
        </w:rPr>
        <w:t>NERD patients</w:t>
      </w:r>
      <w:r w:rsidRPr="009F45BA">
        <w:rPr>
          <w:rFonts w:ascii="Book Antiqua" w:hAnsi="Book Antiqua"/>
          <w:sz w:val="24"/>
          <w:szCs w:val="24"/>
        </w:rPr>
        <w:t xml:space="preserve">, </w:t>
      </w:r>
      <w:r w:rsidR="00A912AF" w:rsidRPr="009F45BA">
        <w:rPr>
          <w:rFonts w:ascii="Book Antiqua" w:hAnsi="Book Antiqua"/>
          <w:sz w:val="24"/>
          <w:szCs w:val="24"/>
        </w:rPr>
        <w:t>including those in the aforementioned groups (</w:t>
      </w:r>
      <w:r w:rsidR="00543E27">
        <w:rPr>
          <w:rFonts w:ascii="Book Antiqua" w:eastAsia="宋体" w:hAnsi="Book Antiqua" w:hint="eastAsia"/>
          <w:sz w:val="24"/>
          <w:szCs w:val="24"/>
          <w:lang w:eastAsia="zh-CN"/>
        </w:rPr>
        <w:t>1</w:t>
      </w:r>
      <w:r w:rsidR="00A912AF" w:rsidRPr="009F45BA">
        <w:rPr>
          <w:rFonts w:ascii="Book Antiqua" w:hAnsi="Book Antiqua"/>
          <w:sz w:val="24"/>
          <w:szCs w:val="24"/>
        </w:rPr>
        <w:t>) and (</w:t>
      </w:r>
      <w:r w:rsidR="00543E27">
        <w:rPr>
          <w:rFonts w:ascii="Book Antiqua" w:eastAsia="宋体" w:hAnsi="Book Antiqua" w:hint="eastAsia"/>
          <w:sz w:val="24"/>
          <w:szCs w:val="24"/>
          <w:lang w:eastAsia="zh-CN"/>
        </w:rPr>
        <w:t>2</w:t>
      </w:r>
      <w:r w:rsidR="00A912AF" w:rsidRPr="009F45BA">
        <w:rPr>
          <w:rFonts w:ascii="Book Antiqua" w:hAnsi="Book Antiqua"/>
          <w:sz w:val="24"/>
          <w:szCs w:val="24"/>
        </w:rPr>
        <w:t>)</w:t>
      </w:r>
      <w:r w:rsidR="00A7447C" w:rsidRPr="009F45BA">
        <w:rPr>
          <w:rFonts w:ascii="Book Antiqua" w:hAnsi="Book Antiqua"/>
          <w:sz w:val="24"/>
          <w:szCs w:val="24"/>
        </w:rPr>
        <w:t>,</w:t>
      </w:r>
      <w:r w:rsidR="00A912AF" w:rsidRPr="009F45BA">
        <w:rPr>
          <w:rFonts w:ascii="Book Antiqua" w:hAnsi="Book Antiqua"/>
          <w:sz w:val="24"/>
          <w:szCs w:val="24"/>
        </w:rPr>
        <w:t xml:space="preserve"> have</w:t>
      </w:r>
      <w:r w:rsidR="00072183" w:rsidRPr="009F45BA">
        <w:rPr>
          <w:rFonts w:ascii="Book Antiqua" w:hAnsi="Book Antiqua"/>
          <w:sz w:val="24"/>
          <w:szCs w:val="24"/>
        </w:rPr>
        <w:t xml:space="preserve"> </w:t>
      </w:r>
      <w:r w:rsidRPr="009F45BA">
        <w:rPr>
          <w:rFonts w:ascii="Book Antiqua" w:hAnsi="Book Antiqua"/>
          <w:sz w:val="24"/>
          <w:szCs w:val="24"/>
        </w:rPr>
        <w:t>response</w:t>
      </w:r>
      <w:r w:rsidR="00A7447C" w:rsidRPr="009F45BA">
        <w:rPr>
          <w:rFonts w:ascii="Book Antiqua" w:hAnsi="Book Antiqua"/>
          <w:sz w:val="24"/>
          <w:szCs w:val="24"/>
        </w:rPr>
        <w:t>s</w:t>
      </w:r>
      <w:r w:rsidRPr="009F45BA">
        <w:rPr>
          <w:rFonts w:ascii="Book Antiqua" w:hAnsi="Book Antiqua"/>
          <w:sz w:val="24"/>
          <w:szCs w:val="24"/>
        </w:rPr>
        <w:t xml:space="preserve"> to PPI</w:t>
      </w:r>
      <w:r w:rsidR="00873D0D" w:rsidRPr="009F45BA">
        <w:rPr>
          <w:rFonts w:ascii="Book Antiqua" w:hAnsi="Book Antiqua"/>
          <w:sz w:val="24"/>
          <w:szCs w:val="24"/>
        </w:rPr>
        <w:t xml:space="preserve"> therapy</w:t>
      </w:r>
      <w:r w:rsidRPr="009F45BA">
        <w:rPr>
          <w:rFonts w:ascii="Book Antiqua" w:hAnsi="Book Antiqua"/>
          <w:sz w:val="24"/>
          <w:szCs w:val="24"/>
        </w:rPr>
        <w:t xml:space="preserve"> </w:t>
      </w:r>
      <w:r w:rsidR="00A912AF" w:rsidRPr="009F45BA">
        <w:rPr>
          <w:rFonts w:ascii="Book Antiqua" w:hAnsi="Book Antiqua"/>
          <w:sz w:val="24"/>
          <w:szCs w:val="24"/>
        </w:rPr>
        <w:t xml:space="preserve">that are </w:t>
      </w:r>
      <w:r w:rsidR="00A912AF" w:rsidRPr="009F45BA">
        <w:rPr>
          <w:rFonts w:ascii="Book Antiqua" w:hAnsi="Book Antiqua"/>
          <w:sz w:val="24"/>
          <w:szCs w:val="24"/>
        </w:rPr>
        <w:lastRenderedPageBreak/>
        <w:t xml:space="preserve">similar </w:t>
      </w:r>
      <w:r w:rsidR="00072183" w:rsidRPr="009F45BA">
        <w:rPr>
          <w:rFonts w:ascii="Book Antiqua" w:hAnsi="Book Antiqua"/>
          <w:sz w:val="24"/>
          <w:szCs w:val="24"/>
        </w:rPr>
        <w:t>to</w:t>
      </w:r>
      <w:r w:rsidR="00873D0D" w:rsidRPr="009F45BA">
        <w:rPr>
          <w:rFonts w:ascii="Book Antiqua" w:hAnsi="Book Antiqua"/>
          <w:sz w:val="24"/>
          <w:szCs w:val="24"/>
        </w:rPr>
        <w:t xml:space="preserve"> </w:t>
      </w:r>
      <w:r w:rsidR="00A912AF" w:rsidRPr="009F45BA">
        <w:rPr>
          <w:rFonts w:ascii="Book Antiqua" w:hAnsi="Book Antiqua"/>
          <w:sz w:val="24"/>
          <w:szCs w:val="24"/>
        </w:rPr>
        <w:t xml:space="preserve">those seen in </w:t>
      </w:r>
      <w:r w:rsidR="00873D0D" w:rsidRPr="009F45BA">
        <w:rPr>
          <w:rFonts w:ascii="Book Antiqua" w:hAnsi="Book Antiqua"/>
          <w:sz w:val="24"/>
          <w:szCs w:val="24"/>
        </w:rPr>
        <w:t>patients with</w:t>
      </w:r>
      <w:r w:rsidRPr="009F45BA">
        <w:rPr>
          <w:rFonts w:ascii="Book Antiqua" w:hAnsi="Book Antiqua"/>
          <w:sz w:val="24"/>
          <w:szCs w:val="24"/>
        </w:rPr>
        <w:t xml:space="preserve"> RE</w:t>
      </w:r>
      <w:r w:rsidR="00A912AF" w:rsidRPr="009F45BA">
        <w:rPr>
          <w:rFonts w:ascii="Book Antiqua" w:hAnsi="Book Antiqua"/>
          <w:sz w:val="24"/>
          <w:szCs w:val="24"/>
        </w:rPr>
        <w:t>,</w:t>
      </w:r>
      <w:r w:rsidRPr="009F45BA">
        <w:rPr>
          <w:rFonts w:ascii="Book Antiqua" w:hAnsi="Book Antiqua"/>
          <w:sz w:val="24"/>
          <w:szCs w:val="24"/>
        </w:rPr>
        <w:t xml:space="preserve"> and </w:t>
      </w:r>
      <w:r w:rsidR="00A912AF" w:rsidRPr="009F45BA">
        <w:rPr>
          <w:rFonts w:ascii="Book Antiqua" w:hAnsi="Book Antiqua"/>
          <w:sz w:val="24"/>
          <w:szCs w:val="24"/>
        </w:rPr>
        <w:t xml:space="preserve">that </w:t>
      </w:r>
      <w:r w:rsidR="00873D0D" w:rsidRPr="009F45BA">
        <w:rPr>
          <w:rFonts w:ascii="Book Antiqua" w:hAnsi="Book Antiqua"/>
          <w:sz w:val="24"/>
          <w:szCs w:val="24"/>
        </w:rPr>
        <w:t xml:space="preserve">patients with </w:t>
      </w:r>
      <w:r w:rsidRPr="009F45BA">
        <w:rPr>
          <w:rFonts w:ascii="Book Antiqua" w:hAnsi="Book Antiqua"/>
          <w:sz w:val="24"/>
          <w:szCs w:val="24"/>
        </w:rPr>
        <w:t xml:space="preserve">functional heartburn </w:t>
      </w:r>
      <w:r w:rsidR="00873D0D" w:rsidRPr="009F45BA">
        <w:rPr>
          <w:rFonts w:ascii="Book Antiqua" w:hAnsi="Book Antiqua"/>
          <w:sz w:val="24"/>
          <w:szCs w:val="24"/>
        </w:rPr>
        <w:t>do not respond to PPI therapy</w:t>
      </w:r>
      <w:r w:rsidR="0040669F" w:rsidRPr="009F45BA">
        <w:rPr>
          <w:rFonts w:ascii="Book Antiqua" w:eastAsia="MS PMincho" w:hAnsi="Book Antiqua"/>
          <w:sz w:val="24"/>
          <w:szCs w:val="24"/>
          <w:vertAlign w:val="superscript"/>
        </w:rPr>
        <w:t>[</w:t>
      </w:r>
      <w:r w:rsidR="00003889" w:rsidRPr="009F45BA">
        <w:rPr>
          <w:rFonts w:ascii="Book Antiqua" w:eastAsia="MS PMincho" w:hAnsi="Book Antiqua"/>
          <w:sz w:val="24"/>
          <w:szCs w:val="24"/>
          <w:vertAlign w:val="superscript"/>
        </w:rPr>
        <w:t>8]</w:t>
      </w:r>
      <w:r w:rsidR="000305E8" w:rsidRPr="009F45BA">
        <w:rPr>
          <w:rFonts w:ascii="Book Antiqua" w:hAnsi="Book Antiqua"/>
          <w:sz w:val="24"/>
          <w:szCs w:val="24"/>
        </w:rPr>
        <w:t>.</w:t>
      </w:r>
      <w:r w:rsidR="0066298A" w:rsidRPr="009F45BA">
        <w:rPr>
          <w:rFonts w:ascii="Book Antiqua" w:hAnsi="Book Antiqua"/>
          <w:sz w:val="24"/>
          <w:szCs w:val="24"/>
        </w:rPr>
        <w:t xml:space="preserve"> </w:t>
      </w:r>
      <w:r w:rsidR="00072183" w:rsidRPr="009F45BA">
        <w:rPr>
          <w:rFonts w:ascii="Book Antiqua" w:hAnsi="Book Antiqua"/>
          <w:sz w:val="24"/>
          <w:szCs w:val="24"/>
        </w:rPr>
        <w:t xml:space="preserve">However, </w:t>
      </w:r>
      <w:r w:rsidR="00BA0793" w:rsidRPr="009F45BA">
        <w:rPr>
          <w:rFonts w:ascii="Book Antiqua" w:hAnsi="Book Antiqua"/>
          <w:sz w:val="24"/>
          <w:szCs w:val="24"/>
        </w:rPr>
        <w:t xml:space="preserve">NERD </w:t>
      </w:r>
      <w:r w:rsidR="000305E8" w:rsidRPr="009F45BA">
        <w:rPr>
          <w:rFonts w:ascii="Book Antiqua" w:hAnsi="Book Antiqua"/>
          <w:sz w:val="24"/>
          <w:szCs w:val="24"/>
        </w:rPr>
        <w:t xml:space="preserve">that is </w:t>
      </w:r>
      <w:r w:rsidR="00BA0793" w:rsidRPr="009F45BA">
        <w:rPr>
          <w:rFonts w:ascii="Book Antiqua" w:hAnsi="Book Antiqua"/>
          <w:sz w:val="24"/>
          <w:szCs w:val="24"/>
        </w:rPr>
        <w:t xml:space="preserve">diagnosed </w:t>
      </w:r>
      <w:r w:rsidR="000305E8" w:rsidRPr="009F45BA">
        <w:rPr>
          <w:rFonts w:ascii="Book Antiqua" w:hAnsi="Book Antiqua"/>
          <w:sz w:val="24"/>
          <w:szCs w:val="24"/>
        </w:rPr>
        <w:t>on the basis of</w:t>
      </w:r>
      <w:r w:rsidR="00BA0793" w:rsidRPr="009F45BA">
        <w:rPr>
          <w:rFonts w:ascii="Book Antiqua" w:hAnsi="Book Antiqua"/>
          <w:sz w:val="24"/>
          <w:szCs w:val="24"/>
        </w:rPr>
        <w:t xml:space="preserve"> </w:t>
      </w:r>
      <w:r w:rsidR="00003329" w:rsidRPr="009F45BA">
        <w:rPr>
          <w:rFonts w:ascii="Book Antiqua" w:hAnsi="Book Antiqua"/>
          <w:sz w:val="24"/>
          <w:szCs w:val="24"/>
        </w:rPr>
        <w:t xml:space="preserve">endoscopic findings </w:t>
      </w:r>
      <w:r w:rsidR="000305E8" w:rsidRPr="009F45BA">
        <w:rPr>
          <w:rFonts w:ascii="Book Antiqua" w:hAnsi="Book Antiqua"/>
          <w:sz w:val="24"/>
          <w:szCs w:val="24"/>
        </w:rPr>
        <w:t xml:space="preserve">alone </w:t>
      </w:r>
      <w:r w:rsidR="00072183" w:rsidRPr="009F45BA">
        <w:rPr>
          <w:rFonts w:ascii="Book Antiqua" w:hAnsi="Book Antiqua"/>
          <w:sz w:val="24"/>
          <w:szCs w:val="24"/>
        </w:rPr>
        <w:t>can</w:t>
      </w:r>
      <w:r w:rsidR="00BA0793" w:rsidRPr="009F45BA">
        <w:rPr>
          <w:rFonts w:ascii="Book Antiqua" w:hAnsi="Book Antiqua"/>
          <w:sz w:val="24"/>
          <w:szCs w:val="24"/>
        </w:rPr>
        <w:t>not exclude some</w:t>
      </w:r>
      <w:r w:rsidR="00003329" w:rsidRPr="009F45BA">
        <w:rPr>
          <w:rFonts w:ascii="Book Antiqua" w:hAnsi="Book Antiqua"/>
          <w:sz w:val="24"/>
          <w:szCs w:val="24"/>
        </w:rPr>
        <w:t xml:space="preserve"> patients </w:t>
      </w:r>
      <w:r w:rsidR="000305E8" w:rsidRPr="009F45BA">
        <w:rPr>
          <w:rFonts w:ascii="Book Antiqua" w:hAnsi="Book Antiqua"/>
          <w:sz w:val="24"/>
          <w:szCs w:val="24"/>
        </w:rPr>
        <w:t>who have functional heartburn.</w:t>
      </w:r>
    </w:p>
    <w:p w:rsidR="00BB49BD" w:rsidRPr="009F45BA" w:rsidRDefault="00BB49BD" w:rsidP="00543E27">
      <w:pPr>
        <w:tabs>
          <w:tab w:val="left" w:pos="7797"/>
        </w:tabs>
        <w:adjustRightInd w:val="0"/>
        <w:snapToGrid w:val="0"/>
        <w:spacing w:line="360" w:lineRule="auto"/>
        <w:ind w:firstLineChars="100" w:firstLine="240"/>
        <w:rPr>
          <w:rFonts w:ascii="Book Antiqua" w:eastAsia="MS PMincho" w:hAnsi="Book Antiqua"/>
          <w:sz w:val="24"/>
          <w:szCs w:val="24"/>
        </w:rPr>
      </w:pPr>
      <w:r w:rsidRPr="009F45BA">
        <w:rPr>
          <w:rFonts w:ascii="Book Antiqua" w:eastAsia="MS PMincho" w:hAnsi="Book Antiqua"/>
          <w:sz w:val="24"/>
          <w:szCs w:val="24"/>
        </w:rPr>
        <w:t xml:space="preserve">Although the pathophysiology of NERD remains unclear, </w:t>
      </w:r>
      <w:r w:rsidR="000C1170" w:rsidRPr="009F45BA">
        <w:rPr>
          <w:rFonts w:ascii="Book Antiqua" w:eastAsia="MS PMincho" w:hAnsi="Book Antiqua"/>
          <w:sz w:val="24"/>
          <w:szCs w:val="24"/>
        </w:rPr>
        <w:t xml:space="preserve">electron microscopy and light microscopy have revealed </w:t>
      </w:r>
      <w:r w:rsidRPr="009F45BA">
        <w:rPr>
          <w:rFonts w:ascii="Book Antiqua" w:eastAsia="MS PMincho" w:hAnsi="Book Antiqua"/>
          <w:sz w:val="24"/>
          <w:szCs w:val="24"/>
        </w:rPr>
        <w:t xml:space="preserve">esophageal mucosal dilated intercellular spaces (DIS) in </w:t>
      </w:r>
      <w:r w:rsidR="000C1170" w:rsidRPr="009F45BA">
        <w:rPr>
          <w:rFonts w:ascii="Book Antiqua" w:eastAsia="MS PMincho" w:hAnsi="Book Antiqua"/>
          <w:sz w:val="24"/>
          <w:szCs w:val="24"/>
        </w:rPr>
        <w:t xml:space="preserve">patients with </w:t>
      </w:r>
      <w:r w:rsidRPr="009F45BA">
        <w:rPr>
          <w:rFonts w:ascii="Book Antiqua" w:eastAsia="MS PMincho" w:hAnsi="Book Antiqua"/>
          <w:sz w:val="24"/>
          <w:szCs w:val="24"/>
        </w:rPr>
        <w:t xml:space="preserve">NERD. </w:t>
      </w:r>
      <w:r w:rsidR="000C1170" w:rsidRPr="009F45BA">
        <w:rPr>
          <w:rFonts w:ascii="Book Antiqua" w:eastAsia="MS PMincho" w:hAnsi="Book Antiqua"/>
          <w:sz w:val="24"/>
          <w:szCs w:val="24"/>
        </w:rPr>
        <w:t>E</w:t>
      </w:r>
      <w:r w:rsidR="002D05A4" w:rsidRPr="009F45BA">
        <w:rPr>
          <w:rFonts w:ascii="Book Antiqua" w:eastAsia="MS PMincho" w:hAnsi="Book Antiqua"/>
          <w:sz w:val="24"/>
          <w:szCs w:val="24"/>
        </w:rPr>
        <w:t xml:space="preserve">xposure </w:t>
      </w:r>
      <w:r w:rsidR="000C1170" w:rsidRPr="009F45BA">
        <w:rPr>
          <w:rFonts w:ascii="Book Antiqua" w:eastAsia="MS PMincho" w:hAnsi="Book Antiqua"/>
          <w:sz w:val="24"/>
          <w:szCs w:val="24"/>
        </w:rPr>
        <w:t>to excessive amounts of acid could cause the development of DIS, which</w:t>
      </w:r>
      <w:r w:rsidR="00994998" w:rsidRPr="009F45BA">
        <w:rPr>
          <w:rFonts w:ascii="Book Antiqua" w:eastAsia="MS PMincho" w:hAnsi="Book Antiqua"/>
          <w:sz w:val="24"/>
          <w:szCs w:val="24"/>
        </w:rPr>
        <w:t xml:space="preserve"> correlates well </w:t>
      </w:r>
      <w:r w:rsidR="009225C1" w:rsidRPr="009F45BA">
        <w:rPr>
          <w:rFonts w:ascii="Book Antiqua" w:eastAsia="MS PMincho" w:hAnsi="Book Antiqua"/>
          <w:sz w:val="24"/>
          <w:szCs w:val="24"/>
        </w:rPr>
        <w:t xml:space="preserve">with the symptom of heartburn, and </w:t>
      </w:r>
      <w:r w:rsidR="000C1170" w:rsidRPr="009F45BA">
        <w:rPr>
          <w:rFonts w:ascii="Book Antiqua" w:eastAsia="MS PMincho" w:hAnsi="Book Antiqua"/>
          <w:sz w:val="24"/>
          <w:szCs w:val="24"/>
        </w:rPr>
        <w:t xml:space="preserve">DIS </w:t>
      </w:r>
      <w:r w:rsidR="00672B0E" w:rsidRPr="009F45BA">
        <w:rPr>
          <w:rFonts w:ascii="Book Antiqua" w:eastAsia="MS PMincho" w:hAnsi="Book Antiqua"/>
          <w:sz w:val="24"/>
          <w:szCs w:val="24"/>
        </w:rPr>
        <w:t>could be useful marker</w:t>
      </w:r>
      <w:r w:rsidR="000C1170" w:rsidRPr="009F45BA">
        <w:rPr>
          <w:rFonts w:ascii="Book Antiqua" w:eastAsia="MS PMincho" w:hAnsi="Book Antiqua"/>
          <w:sz w:val="24"/>
          <w:szCs w:val="24"/>
        </w:rPr>
        <w:t>s</w:t>
      </w:r>
      <w:r w:rsidR="00672B0E" w:rsidRPr="009F45BA">
        <w:rPr>
          <w:rFonts w:ascii="Book Antiqua" w:eastAsia="MS PMincho" w:hAnsi="Book Antiqua"/>
          <w:sz w:val="24"/>
          <w:szCs w:val="24"/>
        </w:rPr>
        <w:t xml:space="preserve"> for the break</w:t>
      </w:r>
      <w:r w:rsidR="000C1170" w:rsidRPr="009F45BA">
        <w:rPr>
          <w:rFonts w:ascii="Book Antiqua" w:eastAsia="MS PMincho" w:hAnsi="Book Antiqua"/>
          <w:sz w:val="24"/>
          <w:szCs w:val="24"/>
        </w:rPr>
        <w:t>s</w:t>
      </w:r>
      <w:r w:rsidR="00672B0E" w:rsidRPr="009F45BA">
        <w:rPr>
          <w:rFonts w:ascii="Book Antiqua" w:eastAsia="MS PMincho" w:hAnsi="Book Antiqua"/>
          <w:sz w:val="24"/>
          <w:szCs w:val="24"/>
        </w:rPr>
        <w:t xml:space="preserve"> in the epithelial barrier </w:t>
      </w:r>
      <w:r w:rsidR="00714DBC" w:rsidRPr="009F45BA">
        <w:rPr>
          <w:rFonts w:ascii="Book Antiqua" w:eastAsia="MS PMincho" w:hAnsi="Book Antiqua"/>
          <w:sz w:val="24"/>
          <w:szCs w:val="24"/>
        </w:rPr>
        <w:t xml:space="preserve">that reflect an increase in </w:t>
      </w:r>
      <w:proofErr w:type="spellStart"/>
      <w:r w:rsidR="00672B0E" w:rsidRPr="009F45BA">
        <w:rPr>
          <w:rFonts w:ascii="Book Antiqua" w:eastAsia="MS PMincho" w:hAnsi="Book Antiqua"/>
          <w:sz w:val="24"/>
          <w:szCs w:val="24"/>
        </w:rPr>
        <w:t>paracellular</w:t>
      </w:r>
      <w:proofErr w:type="spellEnd"/>
      <w:r w:rsidR="00672B0E" w:rsidRPr="009F45BA">
        <w:rPr>
          <w:rFonts w:ascii="Book Antiqua" w:eastAsia="MS PMincho" w:hAnsi="Book Antiqua"/>
          <w:sz w:val="24"/>
          <w:szCs w:val="24"/>
        </w:rPr>
        <w:t xml:space="preserve"> permeability</w:t>
      </w:r>
      <w:r w:rsidR="00714DBC" w:rsidRPr="009F45BA">
        <w:rPr>
          <w:rFonts w:ascii="Book Antiqua" w:eastAsia="MS PMincho" w:hAnsi="Book Antiqua"/>
          <w:sz w:val="24"/>
          <w:szCs w:val="24"/>
          <w:vertAlign w:val="superscript"/>
        </w:rPr>
        <w:t>[</w:t>
      </w:r>
      <w:r w:rsidR="0040669F" w:rsidRPr="009F45BA">
        <w:rPr>
          <w:rFonts w:ascii="Book Antiqua" w:eastAsia="MS PMincho" w:hAnsi="Book Antiqua"/>
          <w:sz w:val="24"/>
          <w:szCs w:val="24"/>
          <w:vertAlign w:val="superscript"/>
        </w:rPr>
        <w:t>9</w:t>
      </w:r>
      <w:r w:rsidR="000305E8" w:rsidRPr="009F45BA">
        <w:rPr>
          <w:rFonts w:ascii="Book Antiqua" w:eastAsia="MS PMincho" w:hAnsi="Book Antiqua"/>
          <w:sz w:val="24"/>
          <w:szCs w:val="24"/>
          <w:vertAlign w:val="superscript"/>
        </w:rPr>
        <w:t>,</w:t>
      </w:r>
      <w:r w:rsidR="0040669F" w:rsidRPr="009F45BA">
        <w:rPr>
          <w:rFonts w:ascii="Book Antiqua" w:eastAsia="MS PMincho" w:hAnsi="Book Antiqua"/>
          <w:sz w:val="24"/>
          <w:szCs w:val="24"/>
          <w:vertAlign w:val="superscript"/>
        </w:rPr>
        <w:t>10</w:t>
      </w:r>
      <w:r w:rsidR="00714DBC" w:rsidRPr="009F45BA">
        <w:rPr>
          <w:rFonts w:ascii="Book Antiqua" w:eastAsia="MS PMincho" w:hAnsi="Book Antiqua"/>
          <w:sz w:val="24"/>
          <w:szCs w:val="24"/>
          <w:vertAlign w:val="superscript"/>
        </w:rPr>
        <w:t>]</w:t>
      </w:r>
      <w:r w:rsidR="00053944" w:rsidRPr="009F45BA">
        <w:rPr>
          <w:rFonts w:ascii="Book Antiqua" w:eastAsia="MS PMincho" w:hAnsi="Book Antiqua"/>
          <w:sz w:val="24"/>
          <w:szCs w:val="24"/>
        </w:rPr>
        <w:t>.</w:t>
      </w:r>
      <w:r w:rsidR="00807A54">
        <w:rPr>
          <w:rFonts w:ascii="Book Antiqua" w:eastAsia="MS PMincho" w:hAnsi="Book Antiqua"/>
          <w:sz w:val="24"/>
          <w:szCs w:val="24"/>
        </w:rPr>
        <w:t xml:space="preserve"> </w:t>
      </w:r>
    </w:p>
    <w:p w:rsidR="00E542C6" w:rsidRPr="00543E27" w:rsidRDefault="00BB49BD" w:rsidP="00543E27">
      <w:pPr>
        <w:tabs>
          <w:tab w:val="left" w:pos="7797"/>
        </w:tabs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/>
          <w:sz w:val="24"/>
          <w:szCs w:val="24"/>
          <w:lang w:eastAsia="zh-CN"/>
        </w:rPr>
        <w:sectPr w:rsidR="00E542C6" w:rsidRPr="00543E27" w:rsidSect="00B02044">
          <w:footerReference w:type="default" r:id="rId11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proofErr w:type="spellStart"/>
      <w:r w:rsidRPr="009F45BA">
        <w:rPr>
          <w:rFonts w:ascii="Book Antiqua" w:eastAsia="MS PMincho" w:hAnsi="Book Antiqua"/>
          <w:sz w:val="24"/>
          <w:szCs w:val="24"/>
        </w:rPr>
        <w:t>Irsogladine</w:t>
      </w:r>
      <w:proofErr w:type="spellEnd"/>
      <w:r w:rsidRPr="009F45BA">
        <w:rPr>
          <w:rFonts w:ascii="Book Antiqua" w:eastAsia="MS PMincho" w:hAnsi="Book Antiqua"/>
          <w:sz w:val="24"/>
          <w:szCs w:val="24"/>
        </w:rPr>
        <w:t xml:space="preserve"> maleate</w:t>
      </w:r>
      <w:r w:rsidR="00D57580" w:rsidRPr="009F45BA">
        <w:rPr>
          <w:rFonts w:ascii="Book Antiqua" w:eastAsia="MS PMincho" w:hAnsi="Book Antiqua"/>
          <w:sz w:val="24"/>
          <w:szCs w:val="24"/>
        </w:rPr>
        <w:t xml:space="preserve"> (IM)</w:t>
      </w:r>
      <w:r w:rsidRPr="009F45BA">
        <w:rPr>
          <w:rFonts w:ascii="Book Antiqua" w:eastAsia="MS PMincho" w:hAnsi="Book Antiqua"/>
          <w:sz w:val="24"/>
          <w:szCs w:val="24"/>
        </w:rPr>
        <w:t xml:space="preserve"> activates </w:t>
      </w:r>
      <w:r w:rsidR="00C8539F" w:rsidRPr="009F45BA">
        <w:rPr>
          <w:rFonts w:ascii="Book Antiqua" w:eastAsia="MS PMincho" w:hAnsi="Book Antiqua"/>
          <w:sz w:val="24"/>
          <w:szCs w:val="24"/>
        </w:rPr>
        <w:t xml:space="preserve">gap </w:t>
      </w:r>
      <w:r w:rsidR="00D57580" w:rsidRPr="009F45BA">
        <w:rPr>
          <w:rFonts w:ascii="Book Antiqua" w:eastAsia="MS PMincho" w:hAnsi="Book Antiqua"/>
          <w:sz w:val="24"/>
          <w:szCs w:val="24"/>
        </w:rPr>
        <w:t xml:space="preserve">junctional </w:t>
      </w:r>
      <w:r w:rsidR="004A05C1" w:rsidRPr="009F45BA">
        <w:rPr>
          <w:rFonts w:ascii="Book Antiqua" w:eastAsia="MS PMincho" w:hAnsi="Book Antiqua"/>
          <w:sz w:val="24"/>
          <w:szCs w:val="24"/>
        </w:rPr>
        <w:t>inter</w:t>
      </w:r>
      <w:r w:rsidRPr="009F45BA">
        <w:rPr>
          <w:rFonts w:ascii="Book Antiqua" w:eastAsia="MS PMincho" w:hAnsi="Book Antiqua"/>
          <w:sz w:val="24"/>
          <w:szCs w:val="24"/>
        </w:rPr>
        <w:t>cellular communication</w:t>
      </w:r>
      <w:r w:rsidR="00714DBC" w:rsidRPr="009F45BA">
        <w:rPr>
          <w:rFonts w:ascii="Book Antiqua" w:eastAsia="MS PMincho" w:hAnsi="Book Antiqua"/>
          <w:sz w:val="24"/>
          <w:szCs w:val="24"/>
        </w:rPr>
        <w:t>,</w:t>
      </w:r>
      <w:r w:rsidRPr="009F45BA">
        <w:rPr>
          <w:rFonts w:ascii="Book Antiqua" w:eastAsia="MS PMincho" w:hAnsi="Book Antiqua"/>
          <w:sz w:val="24"/>
          <w:szCs w:val="24"/>
        </w:rPr>
        <w:t xml:space="preserve"> and </w:t>
      </w:r>
      <w:r w:rsidR="00714DBC" w:rsidRPr="009F45BA">
        <w:rPr>
          <w:rFonts w:ascii="Book Antiqua" w:eastAsia="MS PMincho" w:hAnsi="Book Antiqua"/>
          <w:sz w:val="24"/>
          <w:szCs w:val="24"/>
        </w:rPr>
        <w:t xml:space="preserve">it </w:t>
      </w:r>
      <w:r w:rsidRPr="009F45BA">
        <w:rPr>
          <w:rFonts w:ascii="Book Antiqua" w:eastAsia="MS PMincho" w:hAnsi="Book Antiqua"/>
          <w:sz w:val="24"/>
          <w:szCs w:val="24"/>
        </w:rPr>
        <w:t>has been widely used as an anti</w:t>
      </w:r>
      <w:r w:rsidR="00A0042E" w:rsidRPr="009F45BA">
        <w:rPr>
          <w:rFonts w:ascii="Book Antiqua" w:eastAsia="MS PMincho" w:hAnsi="Book Antiqua"/>
          <w:sz w:val="24"/>
          <w:szCs w:val="24"/>
        </w:rPr>
        <w:t>-</w:t>
      </w:r>
      <w:r w:rsidR="00714DBC" w:rsidRPr="009F45BA">
        <w:rPr>
          <w:rFonts w:ascii="Book Antiqua" w:eastAsia="MS PMincho" w:hAnsi="Book Antiqua"/>
          <w:sz w:val="24"/>
          <w:szCs w:val="24"/>
        </w:rPr>
        <w:t>ulcer treatment in Japan, Korea</w:t>
      </w:r>
      <w:r w:rsidR="000305E8" w:rsidRPr="009F45BA">
        <w:rPr>
          <w:rFonts w:ascii="Book Antiqua" w:eastAsia="MS PMincho" w:hAnsi="Book Antiqua"/>
          <w:sz w:val="24"/>
          <w:szCs w:val="24"/>
        </w:rPr>
        <w:t>,</w:t>
      </w:r>
      <w:r w:rsidR="00714DBC" w:rsidRPr="009F45BA">
        <w:rPr>
          <w:rFonts w:ascii="Book Antiqua" w:eastAsia="MS PMincho" w:hAnsi="Book Antiqua"/>
          <w:sz w:val="24"/>
          <w:szCs w:val="24"/>
        </w:rPr>
        <w:t xml:space="preserve"> and China; h</w:t>
      </w:r>
      <w:r w:rsidR="0096444B" w:rsidRPr="009F45BA">
        <w:rPr>
          <w:rFonts w:ascii="Book Antiqua" w:eastAsia="MS PMincho" w:hAnsi="Book Antiqua"/>
          <w:sz w:val="24"/>
          <w:szCs w:val="24"/>
        </w:rPr>
        <w:t>owever, l</w:t>
      </w:r>
      <w:r w:rsidR="00714DBC" w:rsidRPr="009F45BA">
        <w:rPr>
          <w:rFonts w:ascii="Book Antiqua" w:eastAsia="MS PMincho" w:hAnsi="Book Antiqua"/>
          <w:sz w:val="24"/>
          <w:szCs w:val="24"/>
        </w:rPr>
        <w:t>ittle is known about its</w:t>
      </w:r>
      <w:r w:rsidR="00D57580" w:rsidRPr="009F45BA">
        <w:rPr>
          <w:rFonts w:ascii="Book Antiqua" w:eastAsia="MS PMincho" w:hAnsi="Book Antiqua"/>
          <w:sz w:val="24"/>
          <w:szCs w:val="24"/>
        </w:rPr>
        <w:t xml:space="preserve"> effect</w:t>
      </w:r>
      <w:r w:rsidR="00714DBC" w:rsidRPr="009F45BA">
        <w:rPr>
          <w:rFonts w:ascii="Book Antiqua" w:eastAsia="MS PMincho" w:hAnsi="Book Antiqua"/>
          <w:sz w:val="24"/>
          <w:szCs w:val="24"/>
        </w:rPr>
        <w:t xml:space="preserve">s </w:t>
      </w:r>
      <w:r w:rsidR="00307268" w:rsidRPr="009F45BA">
        <w:rPr>
          <w:rFonts w:ascii="Book Antiqua" w:eastAsia="MS PMincho" w:hAnsi="Book Antiqua"/>
          <w:sz w:val="24"/>
          <w:szCs w:val="24"/>
        </w:rPr>
        <w:t xml:space="preserve">on </w:t>
      </w:r>
      <w:r w:rsidR="00714DBC" w:rsidRPr="009F45BA">
        <w:rPr>
          <w:rFonts w:ascii="Book Antiqua" w:eastAsia="MS PMincho" w:hAnsi="Book Antiqua"/>
          <w:sz w:val="24"/>
          <w:szCs w:val="24"/>
        </w:rPr>
        <w:t xml:space="preserve">patients with </w:t>
      </w:r>
      <w:r w:rsidR="00307268" w:rsidRPr="009F45BA">
        <w:rPr>
          <w:rFonts w:ascii="Book Antiqua" w:eastAsia="MS PMincho" w:hAnsi="Book Antiqua"/>
          <w:sz w:val="24"/>
          <w:szCs w:val="24"/>
        </w:rPr>
        <w:t>NERD</w:t>
      </w:r>
      <w:r w:rsidR="00714DBC" w:rsidRPr="009F45BA">
        <w:rPr>
          <w:rFonts w:ascii="Book Antiqua" w:eastAsia="MS PMincho" w:hAnsi="Book Antiqua"/>
          <w:sz w:val="24"/>
          <w:szCs w:val="24"/>
        </w:rPr>
        <w:t>. T</w:t>
      </w:r>
      <w:r w:rsidR="00D57580" w:rsidRPr="009F45BA">
        <w:rPr>
          <w:rFonts w:ascii="Book Antiqua" w:eastAsia="MS PMincho" w:hAnsi="Book Antiqua"/>
          <w:sz w:val="24"/>
          <w:szCs w:val="24"/>
        </w:rPr>
        <w:t>his study aimed to e</w:t>
      </w:r>
      <w:r w:rsidR="00714DBC" w:rsidRPr="009F45BA">
        <w:rPr>
          <w:rFonts w:ascii="Book Antiqua" w:eastAsia="MS PMincho" w:hAnsi="Book Antiqua"/>
          <w:sz w:val="24"/>
          <w:szCs w:val="24"/>
        </w:rPr>
        <w:t xml:space="preserve">valuate the efficacy of adding </w:t>
      </w:r>
      <w:r w:rsidR="000F7413" w:rsidRPr="009F45BA">
        <w:rPr>
          <w:rFonts w:ascii="Book Antiqua" w:eastAsia="MS PMincho" w:hAnsi="Book Antiqua"/>
          <w:sz w:val="24"/>
          <w:szCs w:val="24"/>
        </w:rPr>
        <w:t>IM</w:t>
      </w:r>
      <w:r w:rsidR="00D57580" w:rsidRPr="009F45BA">
        <w:rPr>
          <w:rFonts w:ascii="Book Antiqua" w:eastAsia="MS PMincho" w:hAnsi="Book Antiqua"/>
          <w:sz w:val="24"/>
          <w:szCs w:val="24"/>
        </w:rPr>
        <w:t xml:space="preserve"> to PPI </w:t>
      </w:r>
      <w:r w:rsidR="00714DBC" w:rsidRPr="009F45BA">
        <w:rPr>
          <w:rFonts w:ascii="Book Antiqua" w:eastAsia="MS PMincho" w:hAnsi="Book Antiqua"/>
          <w:sz w:val="24"/>
          <w:szCs w:val="24"/>
        </w:rPr>
        <w:t xml:space="preserve">therapy </w:t>
      </w:r>
      <w:r w:rsidR="00D57580" w:rsidRPr="009F45BA">
        <w:rPr>
          <w:rFonts w:ascii="Book Antiqua" w:eastAsia="MS PMincho" w:hAnsi="Book Antiqua"/>
          <w:sz w:val="24"/>
          <w:szCs w:val="24"/>
        </w:rPr>
        <w:t xml:space="preserve">in the treatment of </w:t>
      </w:r>
      <w:r w:rsidR="00714DBC" w:rsidRPr="009F45BA">
        <w:rPr>
          <w:rFonts w:ascii="Book Antiqua" w:eastAsia="MS PMincho" w:hAnsi="Book Antiqua"/>
          <w:sz w:val="24"/>
          <w:szCs w:val="24"/>
        </w:rPr>
        <w:t xml:space="preserve">patients with </w:t>
      </w:r>
      <w:r w:rsidR="00D57580" w:rsidRPr="009F45BA">
        <w:rPr>
          <w:rFonts w:ascii="Book Antiqua" w:eastAsia="MS PMincho" w:hAnsi="Book Antiqua"/>
          <w:sz w:val="24"/>
          <w:szCs w:val="24"/>
        </w:rPr>
        <w:t>NERD</w:t>
      </w:r>
      <w:r w:rsidR="00172709" w:rsidRPr="009F45BA">
        <w:rPr>
          <w:rFonts w:ascii="Book Antiqua" w:eastAsia="MS PMincho" w:hAnsi="Book Antiqua"/>
          <w:sz w:val="24"/>
          <w:szCs w:val="24"/>
        </w:rPr>
        <w:t xml:space="preserve"> in </w:t>
      </w:r>
      <w:r w:rsidR="00714DBC" w:rsidRPr="009F45BA">
        <w:rPr>
          <w:rFonts w:ascii="Book Antiqua" w:eastAsia="MS PMincho" w:hAnsi="Book Antiqua"/>
          <w:sz w:val="24"/>
          <w:szCs w:val="24"/>
        </w:rPr>
        <w:t xml:space="preserve">a </w:t>
      </w:r>
      <w:r w:rsidR="00172709" w:rsidRPr="009F45BA">
        <w:rPr>
          <w:rFonts w:ascii="Book Antiqua" w:eastAsia="MS PMincho" w:hAnsi="Book Antiqua"/>
          <w:sz w:val="24"/>
          <w:szCs w:val="24"/>
        </w:rPr>
        <w:t>prospective</w:t>
      </w:r>
      <w:r w:rsidR="00714DBC" w:rsidRPr="009F45BA">
        <w:rPr>
          <w:rFonts w:ascii="Book Antiqua" w:eastAsia="MS PMincho" w:hAnsi="Book Antiqua"/>
          <w:sz w:val="24"/>
          <w:szCs w:val="24"/>
        </w:rPr>
        <w:t>,</w:t>
      </w:r>
      <w:r w:rsidR="00172709" w:rsidRPr="009F45BA">
        <w:rPr>
          <w:rFonts w:ascii="Book Antiqua" w:eastAsia="MS PMincho" w:hAnsi="Book Antiqua"/>
          <w:sz w:val="24"/>
          <w:szCs w:val="24"/>
        </w:rPr>
        <w:t xml:space="preserve"> ran</w:t>
      </w:r>
      <w:r w:rsidR="000305E8" w:rsidRPr="009F45BA">
        <w:rPr>
          <w:rFonts w:ascii="Book Antiqua" w:eastAsia="MS PMincho" w:hAnsi="Book Antiqua"/>
          <w:sz w:val="24"/>
          <w:szCs w:val="24"/>
        </w:rPr>
        <w:t>domized, double-blind, placebo-</w:t>
      </w:r>
      <w:r w:rsidR="00172709" w:rsidRPr="009F45BA">
        <w:rPr>
          <w:rFonts w:ascii="Book Antiqua" w:eastAsia="MS PMincho" w:hAnsi="Book Antiqua"/>
          <w:sz w:val="24"/>
          <w:szCs w:val="24"/>
        </w:rPr>
        <w:t>controlled</w:t>
      </w:r>
      <w:r w:rsidR="00714DBC" w:rsidRPr="009F45BA">
        <w:rPr>
          <w:rFonts w:ascii="Book Antiqua" w:eastAsia="MS PMincho" w:hAnsi="Book Antiqua"/>
          <w:sz w:val="24"/>
          <w:szCs w:val="24"/>
        </w:rPr>
        <w:t xml:space="preserve"> trial</w:t>
      </w:r>
      <w:r w:rsidR="00543E27">
        <w:rPr>
          <w:rFonts w:ascii="Book Antiqua" w:eastAsia="宋体" w:hAnsi="Book Antiqua" w:hint="eastAsia"/>
          <w:sz w:val="24"/>
          <w:szCs w:val="24"/>
          <w:lang w:eastAsia="zh-CN"/>
        </w:rPr>
        <w:t>.</w:t>
      </w:r>
    </w:p>
    <w:p w:rsidR="0049638B" w:rsidRPr="009F45BA" w:rsidRDefault="00543E27" w:rsidP="00543E27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MS PMincho" w:hAnsi="Book Antiqua"/>
          <w:b/>
          <w:sz w:val="24"/>
          <w:szCs w:val="24"/>
        </w:rPr>
      </w:pPr>
      <w:r w:rsidRPr="009F45BA">
        <w:rPr>
          <w:rFonts w:ascii="Book Antiqua" w:eastAsia="MS PMincho" w:hAnsi="Book Antiqua"/>
          <w:b/>
          <w:sz w:val="24"/>
          <w:szCs w:val="24"/>
        </w:rPr>
        <w:lastRenderedPageBreak/>
        <w:t>MATERIALS AND METHODS</w:t>
      </w:r>
    </w:p>
    <w:p w:rsidR="000F7029" w:rsidRPr="009F45BA" w:rsidRDefault="00714DBC" w:rsidP="0016341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MS PMincho" w:hAnsi="Book Antiqua"/>
          <w:sz w:val="24"/>
          <w:szCs w:val="24"/>
        </w:rPr>
      </w:pPr>
      <w:r w:rsidRPr="009F45BA">
        <w:rPr>
          <w:rFonts w:ascii="Book Antiqua" w:eastAsia="MS PMincho" w:hAnsi="Book Antiqua"/>
          <w:sz w:val="24"/>
          <w:szCs w:val="24"/>
        </w:rPr>
        <w:t xml:space="preserve">Patients who presented to </w:t>
      </w:r>
      <w:r w:rsidR="00D27935" w:rsidRPr="009F45BA">
        <w:rPr>
          <w:rFonts w:ascii="Book Antiqua" w:eastAsia="MS PMincho" w:hAnsi="Book Antiqua"/>
          <w:sz w:val="24"/>
          <w:szCs w:val="24"/>
        </w:rPr>
        <w:t xml:space="preserve">Tokai University Hospital </w:t>
      </w:r>
      <w:r w:rsidRPr="009F45BA">
        <w:rPr>
          <w:rFonts w:ascii="Book Antiqua" w:eastAsia="MS PMincho" w:hAnsi="Book Antiqua"/>
          <w:sz w:val="24"/>
          <w:szCs w:val="24"/>
        </w:rPr>
        <w:t xml:space="preserve">from August 2008 to July 2012 </w:t>
      </w:r>
      <w:r w:rsidR="00D27935" w:rsidRPr="009F45BA">
        <w:rPr>
          <w:rFonts w:ascii="Book Antiqua" w:eastAsia="MS PMincho" w:hAnsi="Book Antiqua"/>
          <w:sz w:val="24"/>
          <w:szCs w:val="24"/>
        </w:rPr>
        <w:t>with persistent GERD symptoms</w:t>
      </w:r>
      <w:r w:rsidRPr="009F45BA">
        <w:rPr>
          <w:rFonts w:ascii="Book Antiqua" w:eastAsia="MS PMincho" w:hAnsi="Book Antiqua"/>
          <w:sz w:val="24"/>
          <w:szCs w:val="24"/>
        </w:rPr>
        <w:t xml:space="preserve"> were enrolled</w:t>
      </w:r>
      <w:r w:rsidR="007A2444" w:rsidRPr="009F45BA">
        <w:rPr>
          <w:rFonts w:ascii="Book Antiqua" w:eastAsia="MS PMincho" w:hAnsi="Book Antiqua"/>
          <w:sz w:val="24"/>
          <w:szCs w:val="24"/>
        </w:rPr>
        <w:t xml:space="preserve"> to participate</w:t>
      </w:r>
      <w:r w:rsidR="00D27935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7A2444" w:rsidRPr="009F45BA">
        <w:rPr>
          <w:rFonts w:ascii="Book Antiqua" w:eastAsia="MS PMincho" w:hAnsi="Book Antiqua"/>
          <w:sz w:val="24"/>
          <w:szCs w:val="24"/>
        </w:rPr>
        <w:t>in the study if they did not have</w:t>
      </w:r>
      <w:r w:rsidR="00D27935" w:rsidRPr="009F45BA">
        <w:rPr>
          <w:rFonts w:ascii="Book Antiqua" w:eastAsia="MS PMincho" w:hAnsi="Book Antiqua"/>
          <w:sz w:val="24"/>
          <w:szCs w:val="24"/>
        </w:rPr>
        <w:t xml:space="preserve"> mucosal break</w:t>
      </w:r>
      <w:r w:rsidR="007A2444" w:rsidRPr="009F45BA">
        <w:rPr>
          <w:rFonts w:ascii="Book Antiqua" w:eastAsia="MS PMincho" w:hAnsi="Book Antiqua"/>
          <w:sz w:val="24"/>
          <w:szCs w:val="24"/>
        </w:rPr>
        <w:t>s</w:t>
      </w:r>
      <w:r w:rsidR="00D27935" w:rsidRPr="009F45BA">
        <w:rPr>
          <w:rFonts w:ascii="Book Antiqua" w:eastAsia="MS PMincho" w:hAnsi="Book Antiqua"/>
          <w:sz w:val="24"/>
          <w:szCs w:val="24"/>
        </w:rPr>
        <w:t xml:space="preserve"> in the</w:t>
      </w:r>
      <w:r w:rsidR="007A2444" w:rsidRPr="009F45BA">
        <w:rPr>
          <w:rFonts w:ascii="Book Antiqua" w:eastAsia="MS PMincho" w:hAnsi="Book Antiqua"/>
          <w:sz w:val="24"/>
          <w:szCs w:val="24"/>
        </w:rPr>
        <w:t>ir esophagi</w:t>
      </w:r>
      <w:r w:rsidR="00D27935" w:rsidRPr="009F45BA">
        <w:rPr>
          <w:rFonts w:ascii="Book Antiqua" w:eastAsia="MS PMincho" w:hAnsi="Book Antiqua"/>
          <w:sz w:val="24"/>
          <w:szCs w:val="24"/>
        </w:rPr>
        <w:t xml:space="preserve">, and </w:t>
      </w:r>
      <w:r w:rsidR="007A2444" w:rsidRPr="009F45BA">
        <w:rPr>
          <w:rFonts w:ascii="Book Antiqua" w:eastAsia="MS PMincho" w:hAnsi="Book Antiqua"/>
          <w:sz w:val="24"/>
          <w:szCs w:val="24"/>
        </w:rPr>
        <w:t xml:space="preserve">if they had </w:t>
      </w:r>
      <w:r w:rsidR="00D257F4" w:rsidRPr="009F45BA">
        <w:rPr>
          <w:rFonts w:ascii="Book Antiqua" w:eastAsia="MS PMincho" w:hAnsi="Book Antiqua"/>
          <w:sz w:val="24"/>
          <w:szCs w:val="24"/>
        </w:rPr>
        <w:t>Frequency Scale</w:t>
      </w:r>
      <w:r w:rsidR="00543E27" w:rsidRPr="009F45BA">
        <w:rPr>
          <w:rFonts w:ascii="Book Antiqua" w:eastAsia="MS PMincho" w:hAnsi="Book Antiqua"/>
          <w:sz w:val="24"/>
          <w:szCs w:val="24"/>
        </w:rPr>
        <w:t xml:space="preserve"> for the </w:t>
      </w:r>
      <w:r w:rsidR="00D257F4" w:rsidRPr="009F45BA">
        <w:rPr>
          <w:rFonts w:ascii="Book Antiqua" w:eastAsia="MS PMincho" w:hAnsi="Book Antiqua"/>
          <w:sz w:val="24"/>
          <w:szCs w:val="24"/>
        </w:rPr>
        <w:t xml:space="preserve">Symptoms </w:t>
      </w:r>
      <w:r w:rsidR="00543E27" w:rsidRPr="009F45BA">
        <w:rPr>
          <w:rFonts w:ascii="Book Antiqua" w:eastAsia="MS PMincho" w:hAnsi="Book Antiqua"/>
          <w:sz w:val="24"/>
          <w:szCs w:val="24"/>
        </w:rPr>
        <w:t xml:space="preserve">of </w:t>
      </w:r>
      <w:r w:rsidR="007A2444" w:rsidRPr="009F45BA">
        <w:rPr>
          <w:rFonts w:ascii="Book Antiqua" w:eastAsia="MS PMincho" w:hAnsi="Book Antiqua"/>
          <w:sz w:val="24"/>
          <w:szCs w:val="24"/>
        </w:rPr>
        <w:t>GERD (FSSG) scores of</w:t>
      </w:r>
      <w:r w:rsidR="00543E27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543E27">
        <w:rPr>
          <w:rFonts w:ascii="Book Antiqua" w:eastAsia="宋体" w:hAnsi="Book Antiqua" w:cs="宋体"/>
          <w:sz w:val="24"/>
          <w:szCs w:val="24"/>
        </w:rPr>
        <w:t>≥</w:t>
      </w:r>
      <w:r w:rsidR="00543E27">
        <w:rPr>
          <w:rFonts w:ascii="宋体" w:eastAsia="宋体" w:hAnsi="宋体" w:cs="宋体" w:hint="eastAsia"/>
          <w:sz w:val="24"/>
          <w:szCs w:val="24"/>
          <w:lang w:eastAsia="zh-CN"/>
        </w:rPr>
        <w:t xml:space="preserve"> </w:t>
      </w:r>
      <w:r w:rsidR="007A2444" w:rsidRPr="009F45BA">
        <w:rPr>
          <w:rFonts w:ascii="Book Antiqua" w:eastAsia="MS PMincho" w:hAnsi="Book Antiqua"/>
          <w:sz w:val="24"/>
          <w:szCs w:val="24"/>
        </w:rPr>
        <w:t>8</w:t>
      </w:r>
      <w:r w:rsidR="00D27935" w:rsidRPr="009F45BA">
        <w:rPr>
          <w:rFonts w:ascii="Book Antiqua" w:eastAsia="MS PMincho" w:hAnsi="Book Antiqua"/>
          <w:sz w:val="24"/>
          <w:szCs w:val="24"/>
        </w:rPr>
        <w:t xml:space="preserve">. </w:t>
      </w:r>
      <w:r w:rsidR="007A2444" w:rsidRPr="009F45BA">
        <w:rPr>
          <w:rFonts w:ascii="Book Antiqua" w:eastAsia="MS PMincho" w:hAnsi="Book Antiqua"/>
          <w:sz w:val="24"/>
          <w:szCs w:val="24"/>
        </w:rPr>
        <w:t>The FSSG is used to diagnose</w:t>
      </w:r>
      <w:r w:rsidR="00696685" w:rsidRPr="009F45BA">
        <w:rPr>
          <w:rFonts w:ascii="Book Antiqua" w:eastAsia="MS PMincho" w:hAnsi="Book Antiqua"/>
          <w:sz w:val="24"/>
          <w:szCs w:val="24"/>
        </w:rPr>
        <w:t xml:space="preserve"> GERD and </w:t>
      </w:r>
      <w:r w:rsidR="007A2444" w:rsidRPr="009F45BA">
        <w:rPr>
          <w:rFonts w:ascii="Book Antiqua" w:eastAsia="MS PMincho" w:hAnsi="Book Antiqua"/>
          <w:sz w:val="24"/>
          <w:szCs w:val="24"/>
        </w:rPr>
        <w:t xml:space="preserve">to determine </w:t>
      </w:r>
      <w:r w:rsidR="00696685" w:rsidRPr="009F45BA">
        <w:rPr>
          <w:rFonts w:ascii="Book Antiqua" w:eastAsia="MS PMincho" w:hAnsi="Book Antiqua"/>
          <w:sz w:val="24"/>
          <w:szCs w:val="24"/>
        </w:rPr>
        <w:t>t</w:t>
      </w:r>
      <w:r w:rsidR="007A2444" w:rsidRPr="009F45BA">
        <w:rPr>
          <w:rFonts w:ascii="Book Antiqua" w:eastAsia="MS PMincho" w:hAnsi="Book Antiqua"/>
          <w:sz w:val="24"/>
          <w:szCs w:val="24"/>
        </w:rPr>
        <w:t>he efficacy of</w:t>
      </w:r>
      <w:r w:rsidR="00696685" w:rsidRPr="009F45BA">
        <w:rPr>
          <w:rFonts w:ascii="Book Antiqua" w:eastAsia="MS PMincho" w:hAnsi="Book Antiqua"/>
          <w:sz w:val="24"/>
          <w:szCs w:val="24"/>
        </w:rPr>
        <w:t xml:space="preserve"> GERD</w:t>
      </w:r>
      <w:r w:rsidR="007A2444" w:rsidRPr="009F45BA">
        <w:rPr>
          <w:rFonts w:ascii="Book Antiqua" w:eastAsia="MS PMincho" w:hAnsi="Book Antiqua"/>
          <w:sz w:val="24"/>
          <w:szCs w:val="24"/>
        </w:rPr>
        <w:t xml:space="preserve"> treatment</w:t>
      </w:r>
      <w:r w:rsidR="00696685" w:rsidRPr="009F45BA">
        <w:rPr>
          <w:rFonts w:ascii="Book Antiqua" w:eastAsia="MS PMincho" w:hAnsi="Book Antiqua"/>
          <w:sz w:val="24"/>
          <w:szCs w:val="24"/>
        </w:rPr>
        <w:t xml:space="preserve">. </w:t>
      </w:r>
      <w:r w:rsidR="00BB0F96" w:rsidRPr="009F45BA">
        <w:rPr>
          <w:rFonts w:ascii="Book Antiqua" w:eastAsia="MS PMincho" w:hAnsi="Book Antiqua"/>
          <w:sz w:val="24"/>
          <w:szCs w:val="24"/>
        </w:rPr>
        <w:t>The FSSG que</w:t>
      </w:r>
      <w:r w:rsidR="000F7029" w:rsidRPr="009F45BA">
        <w:rPr>
          <w:rFonts w:ascii="Book Antiqua" w:eastAsia="MS PMincho" w:hAnsi="Book Antiqua"/>
          <w:sz w:val="24"/>
          <w:szCs w:val="24"/>
        </w:rPr>
        <w:t>stionnaire consist</w:t>
      </w:r>
      <w:r w:rsidR="007A2444" w:rsidRPr="009F45BA">
        <w:rPr>
          <w:rFonts w:ascii="Book Antiqua" w:eastAsia="MS PMincho" w:hAnsi="Book Antiqua"/>
          <w:sz w:val="24"/>
          <w:szCs w:val="24"/>
        </w:rPr>
        <w:t>s of seven</w:t>
      </w:r>
      <w:r w:rsidR="007B23FD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9B5344" w:rsidRPr="009F45BA">
        <w:rPr>
          <w:rFonts w:ascii="Book Antiqua" w:eastAsia="MS PMincho" w:hAnsi="Book Antiqua"/>
          <w:sz w:val="24"/>
          <w:szCs w:val="24"/>
        </w:rPr>
        <w:t>questions that relate</w:t>
      </w:r>
      <w:r w:rsidR="007A2444" w:rsidRPr="009F45BA">
        <w:rPr>
          <w:rFonts w:ascii="Book Antiqua" w:eastAsia="MS PMincho" w:hAnsi="Book Antiqua"/>
          <w:sz w:val="24"/>
          <w:szCs w:val="24"/>
        </w:rPr>
        <w:t xml:space="preserve"> to reflux (questions </w:t>
      </w:r>
      <w:r w:rsidR="00AD7047" w:rsidRPr="009F45BA">
        <w:rPr>
          <w:rFonts w:ascii="Book Antiqua" w:eastAsia="MS PMincho" w:hAnsi="Book Antiqua"/>
          <w:sz w:val="24"/>
          <w:szCs w:val="24"/>
        </w:rPr>
        <w:t>1, 4, 6, 7, 9, 10, 12) and five questions</w:t>
      </w:r>
      <w:r w:rsidR="007B23FD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9B5344" w:rsidRPr="009F45BA">
        <w:rPr>
          <w:rFonts w:ascii="Book Antiqua" w:eastAsia="MS PMincho" w:hAnsi="Book Antiqua"/>
          <w:sz w:val="24"/>
          <w:szCs w:val="24"/>
        </w:rPr>
        <w:t>that relate</w:t>
      </w:r>
      <w:r w:rsidR="00AD7047" w:rsidRPr="009F45BA">
        <w:rPr>
          <w:rFonts w:ascii="Book Antiqua" w:eastAsia="MS PMincho" w:hAnsi="Book Antiqua"/>
          <w:sz w:val="24"/>
          <w:szCs w:val="24"/>
        </w:rPr>
        <w:t xml:space="preserve"> to </w:t>
      </w:r>
      <w:r w:rsidR="00AD7047" w:rsidRPr="009F45BA">
        <w:rPr>
          <w:rFonts w:ascii="Book Antiqua" w:hAnsi="Book Antiqua"/>
          <w:sz w:val="24"/>
          <w:szCs w:val="24"/>
        </w:rPr>
        <w:t>acid</w:t>
      </w:r>
      <w:r w:rsidR="009B5344" w:rsidRPr="009F45BA">
        <w:rPr>
          <w:rFonts w:ascii="Book Antiqua" w:hAnsi="Book Antiqua"/>
          <w:sz w:val="24"/>
          <w:szCs w:val="24"/>
        </w:rPr>
        <w:t>-</w:t>
      </w:r>
      <w:r w:rsidR="007B23FD" w:rsidRPr="009F45BA">
        <w:rPr>
          <w:rFonts w:ascii="Book Antiqua" w:hAnsi="Book Antiqua"/>
          <w:sz w:val="24"/>
          <w:szCs w:val="24"/>
        </w:rPr>
        <w:t xml:space="preserve">related </w:t>
      </w:r>
      <w:proofErr w:type="spellStart"/>
      <w:r w:rsidR="007B23FD" w:rsidRPr="009F45BA">
        <w:rPr>
          <w:rFonts w:ascii="Book Antiqua" w:hAnsi="Book Antiqua"/>
          <w:sz w:val="24"/>
          <w:szCs w:val="24"/>
        </w:rPr>
        <w:t>dysmotility</w:t>
      </w:r>
      <w:proofErr w:type="spellEnd"/>
      <w:r w:rsidR="007B23FD" w:rsidRPr="009F45BA">
        <w:rPr>
          <w:rFonts w:ascii="Book Antiqua" w:hAnsi="Book Antiqua"/>
          <w:sz w:val="24"/>
          <w:szCs w:val="24"/>
        </w:rPr>
        <w:t xml:space="preserve"> symptom</w:t>
      </w:r>
      <w:r w:rsidR="00AD7047" w:rsidRPr="009F45BA">
        <w:rPr>
          <w:rFonts w:ascii="Book Antiqua" w:hAnsi="Book Antiqua"/>
          <w:sz w:val="24"/>
          <w:szCs w:val="24"/>
        </w:rPr>
        <w:t>s (questions 2, 3, 5, 8, 11) that</w:t>
      </w:r>
      <w:r w:rsidR="007B23FD" w:rsidRPr="009F45BA">
        <w:rPr>
          <w:rFonts w:ascii="Book Antiqua" w:hAnsi="Book Antiqua"/>
          <w:sz w:val="24"/>
          <w:szCs w:val="24"/>
        </w:rPr>
        <w:t xml:space="preserve"> </w:t>
      </w:r>
      <w:r w:rsidR="00AD7047" w:rsidRPr="009F45BA">
        <w:rPr>
          <w:rFonts w:ascii="Book Antiqua" w:hAnsi="Book Antiqua"/>
          <w:sz w:val="24"/>
          <w:szCs w:val="24"/>
        </w:rPr>
        <w:t xml:space="preserve">were </w:t>
      </w:r>
      <w:r w:rsidR="009F6D0C" w:rsidRPr="009F45BA">
        <w:rPr>
          <w:rFonts w:ascii="Book Antiqua" w:hAnsi="Book Antiqua"/>
          <w:sz w:val="24"/>
          <w:szCs w:val="24"/>
        </w:rPr>
        <w:t>generated</w:t>
      </w:r>
      <w:r w:rsidR="007521FA" w:rsidRPr="009F45BA">
        <w:rPr>
          <w:rFonts w:ascii="Book Antiqua" w:hAnsi="Book Antiqua"/>
          <w:sz w:val="24"/>
          <w:szCs w:val="24"/>
        </w:rPr>
        <w:t xml:space="preserve"> by </w:t>
      </w:r>
      <w:proofErr w:type="spellStart"/>
      <w:r w:rsidR="007521FA" w:rsidRPr="009F45BA">
        <w:rPr>
          <w:rFonts w:ascii="Book Antiqua" w:hAnsi="Book Antiqua"/>
          <w:sz w:val="24"/>
          <w:szCs w:val="24"/>
        </w:rPr>
        <w:t>Kusano</w:t>
      </w:r>
      <w:proofErr w:type="spellEnd"/>
      <w:r w:rsidR="007521FA" w:rsidRPr="009F45BA">
        <w:rPr>
          <w:rFonts w:ascii="Book Antiqua" w:hAnsi="Book Antiqua"/>
          <w:sz w:val="24"/>
          <w:szCs w:val="24"/>
        </w:rPr>
        <w:t xml:space="preserve"> </w:t>
      </w:r>
      <w:r w:rsidR="007521FA" w:rsidRPr="009F45BA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7521FA" w:rsidRPr="009F45BA">
        <w:rPr>
          <w:rFonts w:ascii="Book Antiqua" w:hAnsi="Book Antiqua"/>
          <w:i/>
          <w:sz w:val="24"/>
          <w:szCs w:val="24"/>
        </w:rPr>
        <w:t>al</w:t>
      </w:r>
      <w:r w:rsidR="00AD7047" w:rsidRPr="009F45B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0669F" w:rsidRPr="009F45BA">
        <w:rPr>
          <w:rFonts w:ascii="Book Antiqua" w:hAnsi="Book Antiqua"/>
          <w:sz w:val="24"/>
          <w:szCs w:val="24"/>
          <w:vertAlign w:val="superscript"/>
        </w:rPr>
        <w:t>11-13</w:t>
      </w:r>
      <w:r w:rsidR="00AD7047" w:rsidRPr="009F45BA">
        <w:rPr>
          <w:rFonts w:ascii="Book Antiqua" w:hAnsi="Book Antiqua"/>
          <w:sz w:val="24"/>
          <w:szCs w:val="24"/>
          <w:vertAlign w:val="superscript"/>
        </w:rPr>
        <w:t>]</w:t>
      </w:r>
      <w:r w:rsidR="000F7029" w:rsidRPr="009F45BA">
        <w:rPr>
          <w:rFonts w:ascii="Book Antiqua" w:eastAsia="MS PMincho" w:hAnsi="Book Antiqua"/>
          <w:sz w:val="24"/>
          <w:szCs w:val="24"/>
        </w:rPr>
        <w:t>.</w:t>
      </w:r>
    </w:p>
    <w:p w:rsidR="00045EB3" w:rsidRPr="009F45BA" w:rsidRDefault="00394872" w:rsidP="00543E27">
      <w:pPr>
        <w:tabs>
          <w:tab w:val="left" w:pos="7797"/>
        </w:tabs>
        <w:adjustRightInd w:val="0"/>
        <w:snapToGrid w:val="0"/>
        <w:spacing w:line="360" w:lineRule="auto"/>
        <w:ind w:firstLineChars="100" w:firstLine="240"/>
        <w:rPr>
          <w:rFonts w:ascii="Book Antiqua" w:eastAsia="MS PMincho" w:hAnsi="Book Antiqua"/>
          <w:sz w:val="24"/>
          <w:szCs w:val="24"/>
        </w:rPr>
      </w:pPr>
      <w:r w:rsidRPr="009F45BA">
        <w:rPr>
          <w:rFonts w:ascii="Book Antiqua" w:eastAsia="MS PMincho" w:hAnsi="Book Antiqua"/>
          <w:sz w:val="24"/>
          <w:szCs w:val="24"/>
        </w:rPr>
        <w:t>Patients were excluded from the study</w:t>
      </w:r>
      <w:r w:rsidR="00184AF1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Pr="009F45BA">
        <w:rPr>
          <w:rFonts w:ascii="Book Antiqua" w:eastAsia="MS PMincho" w:hAnsi="Book Antiqua"/>
          <w:sz w:val="24"/>
          <w:szCs w:val="24"/>
        </w:rPr>
        <w:t>if they were younger than</w:t>
      </w:r>
      <w:r w:rsidR="00184AF1" w:rsidRPr="009F45BA">
        <w:rPr>
          <w:rFonts w:ascii="Book Antiqua" w:eastAsia="MS PMincho" w:hAnsi="Book Antiqua"/>
          <w:sz w:val="24"/>
          <w:szCs w:val="24"/>
        </w:rPr>
        <w:t xml:space="preserve"> 20 years, </w:t>
      </w:r>
      <w:r w:rsidRPr="009F45BA">
        <w:rPr>
          <w:rFonts w:ascii="Book Antiqua" w:eastAsia="MS PMincho" w:hAnsi="Book Antiqua"/>
          <w:sz w:val="24"/>
          <w:szCs w:val="24"/>
        </w:rPr>
        <w:t>were allergic</w:t>
      </w:r>
      <w:r w:rsidR="00184AF1" w:rsidRPr="009F45BA">
        <w:rPr>
          <w:rFonts w:ascii="Book Antiqua" w:eastAsia="MS PMincho" w:hAnsi="Book Antiqua"/>
          <w:sz w:val="24"/>
          <w:szCs w:val="24"/>
        </w:rPr>
        <w:t xml:space="preserve"> to </w:t>
      </w:r>
      <w:proofErr w:type="spellStart"/>
      <w:r w:rsidR="00184AF1" w:rsidRPr="009F45BA">
        <w:rPr>
          <w:rFonts w:ascii="Book Antiqua" w:eastAsia="MS PMincho" w:hAnsi="Book Antiqua"/>
          <w:sz w:val="24"/>
          <w:szCs w:val="24"/>
        </w:rPr>
        <w:t>rabeprazole</w:t>
      </w:r>
      <w:proofErr w:type="spellEnd"/>
      <w:r w:rsidR="00184AF1" w:rsidRPr="009F45BA">
        <w:rPr>
          <w:rFonts w:ascii="Book Antiqua" w:eastAsia="MS PMincho" w:hAnsi="Book Antiqua"/>
          <w:sz w:val="24"/>
          <w:szCs w:val="24"/>
        </w:rPr>
        <w:t xml:space="preserve"> or </w:t>
      </w:r>
      <w:r w:rsidR="00246725" w:rsidRPr="009F45BA">
        <w:rPr>
          <w:rFonts w:ascii="Book Antiqua" w:eastAsia="MS PMincho" w:hAnsi="Book Antiqua"/>
          <w:sz w:val="24"/>
          <w:szCs w:val="24"/>
        </w:rPr>
        <w:t>IM</w:t>
      </w:r>
      <w:r w:rsidR="00184AF1" w:rsidRPr="009F45BA">
        <w:rPr>
          <w:rFonts w:ascii="Book Antiqua" w:eastAsia="MS PMincho" w:hAnsi="Book Antiqua"/>
          <w:sz w:val="24"/>
          <w:szCs w:val="24"/>
        </w:rPr>
        <w:t xml:space="preserve">, </w:t>
      </w:r>
      <w:r w:rsidRPr="009F45BA">
        <w:rPr>
          <w:rFonts w:ascii="Book Antiqua" w:eastAsia="MS PMincho" w:hAnsi="Book Antiqua"/>
          <w:sz w:val="24"/>
          <w:szCs w:val="24"/>
        </w:rPr>
        <w:t xml:space="preserve">had </w:t>
      </w:r>
      <w:r w:rsidR="00184AF1" w:rsidRPr="009F45BA">
        <w:rPr>
          <w:rFonts w:ascii="Book Antiqua" w:eastAsia="MS PMincho" w:hAnsi="Book Antiqua"/>
          <w:sz w:val="24"/>
          <w:szCs w:val="24"/>
        </w:rPr>
        <w:t xml:space="preserve">any </w:t>
      </w:r>
      <w:r w:rsidRPr="009F45BA">
        <w:rPr>
          <w:rFonts w:ascii="Book Antiqua" w:eastAsia="MS PMincho" w:hAnsi="Book Antiqua"/>
          <w:sz w:val="24"/>
          <w:szCs w:val="24"/>
        </w:rPr>
        <w:t>level</w:t>
      </w:r>
      <w:r w:rsidR="00184AF1" w:rsidRPr="009F45BA">
        <w:rPr>
          <w:rFonts w:ascii="Book Antiqua" w:eastAsia="MS PMincho" w:hAnsi="Book Antiqua"/>
          <w:sz w:val="24"/>
          <w:szCs w:val="24"/>
        </w:rPr>
        <w:t xml:space="preserve"> of esophagitis </w:t>
      </w:r>
      <w:r w:rsidRPr="009F45BA">
        <w:rPr>
          <w:rFonts w:ascii="Book Antiqua" w:eastAsia="MS PMincho" w:hAnsi="Book Antiqua"/>
          <w:sz w:val="24"/>
          <w:szCs w:val="24"/>
        </w:rPr>
        <w:t>determined by</w:t>
      </w:r>
      <w:r w:rsidR="00184AF1" w:rsidRPr="009F45BA">
        <w:rPr>
          <w:rFonts w:ascii="Book Antiqua" w:eastAsia="MS PMincho" w:hAnsi="Book Antiqua"/>
          <w:sz w:val="24"/>
          <w:szCs w:val="24"/>
        </w:rPr>
        <w:t xml:space="preserve"> gastrointestinal endoscopy, </w:t>
      </w:r>
      <w:r w:rsidRPr="009F45BA">
        <w:rPr>
          <w:rFonts w:ascii="Book Antiqua" w:eastAsia="MS PMincho" w:hAnsi="Book Antiqua"/>
          <w:sz w:val="24"/>
          <w:szCs w:val="24"/>
        </w:rPr>
        <w:t>were pregnant</w:t>
      </w:r>
      <w:r w:rsidR="00184AF1" w:rsidRPr="009F45BA">
        <w:rPr>
          <w:rFonts w:ascii="Book Antiqua" w:eastAsia="MS PMincho" w:hAnsi="Book Antiqua"/>
          <w:sz w:val="24"/>
          <w:szCs w:val="24"/>
        </w:rPr>
        <w:t xml:space="preserve">, </w:t>
      </w:r>
      <w:r w:rsidRPr="009F45BA">
        <w:rPr>
          <w:rFonts w:ascii="Book Antiqua" w:eastAsia="MS PMincho" w:hAnsi="Book Antiqua"/>
          <w:sz w:val="24"/>
          <w:szCs w:val="24"/>
        </w:rPr>
        <w:t>were taking</w:t>
      </w:r>
      <w:r w:rsidR="00184AF1" w:rsidRPr="009F45BA">
        <w:rPr>
          <w:rFonts w:ascii="Book Antiqua" w:eastAsia="MS PMincho" w:hAnsi="Book Antiqua"/>
          <w:sz w:val="24"/>
          <w:szCs w:val="24"/>
        </w:rPr>
        <w:t xml:space="preserve"> </w:t>
      </w:r>
      <w:proofErr w:type="spellStart"/>
      <w:r w:rsidR="00FB2C8B" w:rsidRPr="009F45BA">
        <w:rPr>
          <w:rFonts w:ascii="Book Antiqua" w:eastAsia="MS PMincho" w:hAnsi="Book Antiqua"/>
          <w:sz w:val="24"/>
          <w:szCs w:val="24"/>
        </w:rPr>
        <w:t>atazanavir</w:t>
      </w:r>
      <w:proofErr w:type="spellEnd"/>
      <w:r w:rsidR="00FB2C8B" w:rsidRPr="009F45BA">
        <w:rPr>
          <w:rFonts w:ascii="Book Antiqua" w:eastAsia="MS PMincho" w:hAnsi="Book Antiqua"/>
          <w:sz w:val="24"/>
          <w:szCs w:val="24"/>
        </w:rPr>
        <w:t xml:space="preserve"> sulfate, </w:t>
      </w:r>
      <w:r w:rsidR="009B5344" w:rsidRPr="009F45BA">
        <w:rPr>
          <w:rFonts w:ascii="Book Antiqua" w:eastAsia="MS PMincho" w:hAnsi="Book Antiqua"/>
          <w:sz w:val="24"/>
          <w:szCs w:val="24"/>
        </w:rPr>
        <w:t xml:space="preserve">or </w:t>
      </w:r>
      <w:r w:rsidR="00184AF1" w:rsidRPr="009F45BA">
        <w:rPr>
          <w:rFonts w:ascii="Book Antiqua" w:eastAsia="MS PMincho" w:hAnsi="Book Antiqua"/>
          <w:sz w:val="24"/>
          <w:szCs w:val="24"/>
        </w:rPr>
        <w:t>anti</w:t>
      </w:r>
      <w:r w:rsidR="00D27935" w:rsidRPr="009F45BA">
        <w:rPr>
          <w:rFonts w:ascii="Book Antiqua" w:eastAsia="MS PMincho" w:hAnsi="Book Antiqua"/>
          <w:sz w:val="24"/>
          <w:szCs w:val="24"/>
        </w:rPr>
        <w:t>-</w:t>
      </w:r>
      <w:r w:rsidR="004B6F74" w:rsidRPr="009F45BA">
        <w:rPr>
          <w:rFonts w:ascii="Book Antiqua" w:eastAsia="MS PMincho" w:hAnsi="Book Antiqua"/>
          <w:sz w:val="24"/>
          <w:szCs w:val="24"/>
        </w:rPr>
        <w:t>coagulant,</w:t>
      </w:r>
      <w:r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184AF1" w:rsidRPr="009F45BA">
        <w:rPr>
          <w:rFonts w:ascii="Book Antiqua" w:eastAsia="MS PMincho" w:hAnsi="Book Antiqua"/>
          <w:sz w:val="24"/>
          <w:szCs w:val="24"/>
        </w:rPr>
        <w:t>anti</w:t>
      </w:r>
      <w:r w:rsidR="00D27935" w:rsidRPr="009F45BA">
        <w:rPr>
          <w:rFonts w:ascii="Book Antiqua" w:eastAsia="MS PMincho" w:hAnsi="Book Antiqua"/>
          <w:sz w:val="24"/>
          <w:szCs w:val="24"/>
        </w:rPr>
        <w:t>-</w:t>
      </w:r>
      <w:r w:rsidR="00184AF1" w:rsidRPr="009F45BA">
        <w:rPr>
          <w:rFonts w:ascii="Book Antiqua" w:eastAsia="MS PMincho" w:hAnsi="Book Antiqua"/>
          <w:sz w:val="24"/>
          <w:szCs w:val="24"/>
        </w:rPr>
        <w:t>platelet</w:t>
      </w:r>
      <w:r w:rsidR="009B5344" w:rsidRPr="009F45BA">
        <w:rPr>
          <w:rFonts w:ascii="Book Antiqua" w:eastAsia="MS PMincho" w:hAnsi="Book Antiqua"/>
          <w:sz w:val="24"/>
          <w:szCs w:val="24"/>
        </w:rPr>
        <w:t>,</w:t>
      </w:r>
      <w:r w:rsidR="00184AF1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F708A4" w:rsidRPr="009F45BA">
        <w:rPr>
          <w:rFonts w:ascii="Book Antiqua" w:eastAsia="MS PMincho" w:hAnsi="Book Antiqua"/>
          <w:sz w:val="24"/>
          <w:szCs w:val="24"/>
        </w:rPr>
        <w:t>or pro-kinetic agents,</w:t>
      </w:r>
      <w:r w:rsidR="004B6F74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Pr="009F45BA">
        <w:rPr>
          <w:rFonts w:ascii="Book Antiqua" w:eastAsia="MS PMincho" w:hAnsi="Book Antiqua"/>
          <w:sz w:val="24"/>
          <w:szCs w:val="24"/>
        </w:rPr>
        <w:t xml:space="preserve">had a </w:t>
      </w:r>
      <w:r w:rsidR="00184AF1" w:rsidRPr="009F45BA">
        <w:rPr>
          <w:rFonts w:ascii="Book Antiqua" w:eastAsia="MS PMincho" w:hAnsi="Book Antiqua"/>
          <w:sz w:val="24"/>
          <w:szCs w:val="24"/>
        </w:rPr>
        <w:t>history of gastrointestinal malignancy</w:t>
      </w:r>
      <w:r w:rsidRPr="009F45BA">
        <w:rPr>
          <w:rFonts w:ascii="Book Antiqua" w:eastAsia="MS PMincho" w:hAnsi="Book Antiqua"/>
          <w:sz w:val="24"/>
          <w:szCs w:val="24"/>
        </w:rPr>
        <w:t xml:space="preserve">, </w:t>
      </w:r>
      <w:r w:rsidR="00184AF1" w:rsidRPr="009F45BA">
        <w:rPr>
          <w:rFonts w:ascii="Book Antiqua" w:eastAsia="MS PMincho" w:hAnsi="Book Antiqua"/>
          <w:sz w:val="24"/>
          <w:szCs w:val="24"/>
        </w:rPr>
        <w:t>peptic ulcer</w:t>
      </w:r>
      <w:r w:rsidRPr="009F45BA">
        <w:rPr>
          <w:rFonts w:ascii="Book Antiqua" w:eastAsia="MS PMincho" w:hAnsi="Book Antiqua"/>
          <w:sz w:val="24"/>
          <w:szCs w:val="24"/>
        </w:rPr>
        <w:t>s, or</w:t>
      </w:r>
      <w:r w:rsidR="00422564" w:rsidRPr="009F45BA">
        <w:rPr>
          <w:rFonts w:ascii="Book Antiqua" w:eastAsia="MS PMincho" w:hAnsi="Book Antiqua"/>
          <w:sz w:val="24"/>
          <w:szCs w:val="24"/>
        </w:rPr>
        <w:t xml:space="preserve"> gastrointestinal tract </w:t>
      </w:r>
      <w:r w:rsidRPr="009F45BA">
        <w:rPr>
          <w:rFonts w:ascii="Book Antiqua" w:eastAsia="MS PMincho" w:hAnsi="Book Antiqua"/>
          <w:sz w:val="24"/>
          <w:szCs w:val="24"/>
        </w:rPr>
        <w:t>surgery, or if they had used any</w:t>
      </w:r>
      <w:r w:rsidR="004A05C1" w:rsidRPr="009F45BA">
        <w:rPr>
          <w:rFonts w:ascii="Book Antiqua" w:eastAsia="MS PMincho" w:hAnsi="Book Antiqua"/>
          <w:sz w:val="24"/>
          <w:szCs w:val="24"/>
        </w:rPr>
        <w:t xml:space="preserve"> PPI </w:t>
      </w:r>
      <w:r w:rsidRPr="009F45BA">
        <w:rPr>
          <w:rFonts w:ascii="Book Antiqua" w:eastAsia="MS PMincho" w:hAnsi="Book Antiqua"/>
          <w:sz w:val="24"/>
          <w:szCs w:val="24"/>
        </w:rPr>
        <w:t>therapy within four</w:t>
      </w:r>
      <w:r w:rsidR="004A05C1" w:rsidRPr="009F45BA">
        <w:rPr>
          <w:rFonts w:ascii="Book Antiqua" w:eastAsia="MS PMincho" w:hAnsi="Book Antiqua"/>
          <w:sz w:val="24"/>
          <w:szCs w:val="24"/>
        </w:rPr>
        <w:t xml:space="preserve"> weeks</w:t>
      </w:r>
      <w:r w:rsidRPr="009F45BA">
        <w:rPr>
          <w:rFonts w:ascii="Book Antiqua" w:eastAsia="MS PMincho" w:hAnsi="Book Antiqua"/>
          <w:sz w:val="24"/>
          <w:szCs w:val="24"/>
        </w:rPr>
        <w:t xml:space="preserve"> of enrolling in</w:t>
      </w:r>
      <w:r w:rsidR="00422564" w:rsidRPr="009F45BA">
        <w:rPr>
          <w:rFonts w:ascii="Book Antiqua" w:eastAsia="MS PMincho" w:hAnsi="Book Antiqua"/>
          <w:sz w:val="24"/>
          <w:szCs w:val="24"/>
        </w:rPr>
        <w:t xml:space="preserve"> the study.</w:t>
      </w:r>
      <w:r w:rsidR="00045EB3" w:rsidRPr="009F45BA">
        <w:rPr>
          <w:rFonts w:ascii="Book Antiqua" w:eastAsia="MS PMincho" w:hAnsi="Book Antiqua"/>
          <w:sz w:val="24"/>
          <w:szCs w:val="24"/>
        </w:rPr>
        <w:t xml:space="preserve"> </w:t>
      </w:r>
    </w:p>
    <w:p w:rsidR="00C94C98" w:rsidRPr="009F45BA" w:rsidRDefault="00394872" w:rsidP="00543E27">
      <w:pPr>
        <w:tabs>
          <w:tab w:val="left" w:pos="7797"/>
        </w:tabs>
        <w:adjustRightInd w:val="0"/>
        <w:snapToGrid w:val="0"/>
        <w:spacing w:line="360" w:lineRule="auto"/>
        <w:ind w:firstLineChars="100" w:firstLine="240"/>
        <w:rPr>
          <w:rFonts w:ascii="Book Antiqua" w:eastAsia="MS PMincho" w:hAnsi="Book Antiqua"/>
          <w:sz w:val="24"/>
          <w:szCs w:val="24"/>
        </w:rPr>
      </w:pPr>
      <w:r w:rsidRPr="009F45BA">
        <w:rPr>
          <w:rFonts w:ascii="Book Antiqua" w:eastAsia="MS PMincho" w:hAnsi="Book Antiqua"/>
          <w:sz w:val="24"/>
          <w:szCs w:val="24"/>
        </w:rPr>
        <w:t>After providing</w:t>
      </w:r>
      <w:r w:rsidR="00520A27" w:rsidRPr="009F45BA">
        <w:rPr>
          <w:rFonts w:ascii="Book Antiqua" w:eastAsia="MS PMincho" w:hAnsi="Book Antiqua"/>
          <w:sz w:val="24"/>
          <w:szCs w:val="24"/>
        </w:rPr>
        <w:t xml:space="preserve"> written informed consent,</w:t>
      </w:r>
      <w:r w:rsidR="00F403C6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Pr="009F45BA">
        <w:rPr>
          <w:rFonts w:ascii="Book Antiqua" w:eastAsia="MS PMincho" w:hAnsi="Book Antiqua"/>
          <w:sz w:val="24"/>
          <w:szCs w:val="24"/>
        </w:rPr>
        <w:t xml:space="preserve">the </w:t>
      </w:r>
      <w:r w:rsidR="00520A27" w:rsidRPr="009F45BA">
        <w:rPr>
          <w:rFonts w:ascii="Book Antiqua" w:eastAsia="MS PMincho" w:hAnsi="Book Antiqua"/>
          <w:sz w:val="24"/>
          <w:szCs w:val="24"/>
        </w:rPr>
        <w:t>patients w</w:t>
      </w:r>
      <w:r w:rsidRPr="009F45BA">
        <w:rPr>
          <w:rFonts w:ascii="Book Antiqua" w:eastAsia="MS PMincho" w:hAnsi="Book Antiqua"/>
          <w:sz w:val="24"/>
          <w:szCs w:val="24"/>
        </w:rPr>
        <w:t xml:space="preserve">ere asked to complete a </w:t>
      </w:r>
      <w:r w:rsidR="00543E27" w:rsidRPr="009F45BA">
        <w:rPr>
          <w:rFonts w:ascii="Book Antiqua" w:eastAsia="MS PMincho" w:hAnsi="Book Antiqua"/>
          <w:sz w:val="24"/>
          <w:szCs w:val="24"/>
        </w:rPr>
        <w:t xml:space="preserve">short form </w:t>
      </w:r>
      <w:r w:rsidRPr="009F45BA">
        <w:rPr>
          <w:rFonts w:ascii="Book Antiqua" w:eastAsia="MS PMincho" w:hAnsi="Book Antiqua"/>
          <w:sz w:val="24"/>
          <w:szCs w:val="24"/>
        </w:rPr>
        <w:t>(</w:t>
      </w:r>
      <w:r w:rsidR="00520A27" w:rsidRPr="009F45BA">
        <w:rPr>
          <w:rFonts w:ascii="Book Antiqua" w:eastAsia="MS PMincho" w:hAnsi="Book Antiqua"/>
          <w:sz w:val="24"/>
          <w:szCs w:val="24"/>
        </w:rPr>
        <w:t>SF</w:t>
      </w:r>
      <w:r w:rsidRPr="009F45BA">
        <w:rPr>
          <w:rFonts w:ascii="Book Antiqua" w:eastAsia="MS PMincho" w:hAnsi="Book Antiqua"/>
          <w:sz w:val="24"/>
          <w:szCs w:val="24"/>
        </w:rPr>
        <w:t>)</w:t>
      </w:r>
      <w:r w:rsidR="00520A27" w:rsidRPr="009F45BA">
        <w:rPr>
          <w:rFonts w:ascii="Book Antiqua" w:eastAsia="MS PMincho" w:hAnsi="Book Antiqua"/>
          <w:sz w:val="24"/>
          <w:szCs w:val="24"/>
        </w:rPr>
        <w:t xml:space="preserve">-36 </w:t>
      </w:r>
      <w:r w:rsidR="009B5344" w:rsidRPr="009F45BA">
        <w:rPr>
          <w:rFonts w:ascii="Book Antiqua" w:eastAsia="MS PMincho" w:hAnsi="Book Antiqua"/>
          <w:sz w:val="24"/>
          <w:szCs w:val="24"/>
        </w:rPr>
        <w:t>quality of life (</w:t>
      </w:r>
      <w:r w:rsidRPr="009F45BA">
        <w:rPr>
          <w:rFonts w:ascii="Book Antiqua" w:eastAsia="MS PMincho" w:hAnsi="Book Antiqua"/>
          <w:sz w:val="24"/>
          <w:szCs w:val="24"/>
        </w:rPr>
        <w:t>QOL)</w:t>
      </w:r>
      <w:r w:rsidR="00520A27" w:rsidRPr="009F45BA">
        <w:rPr>
          <w:rFonts w:ascii="Book Antiqua" w:eastAsia="MS PMincho" w:hAnsi="Book Antiqua"/>
          <w:sz w:val="24"/>
          <w:szCs w:val="24"/>
        </w:rPr>
        <w:t xml:space="preserve"> </w:t>
      </w:r>
      <w:proofErr w:type="gramStart"/>
      <w:r w:rsidR="00520A27" w:rsidRPr="009F45BA">
        <w:rPr>
          <w:rFonts w:ascii="Book Antiqua" w:eastAsia="MS PMincho" w:hAnsi="Book Antiqua"/>
          <w:sz w:val="24"/>
          <w:szCs w:val="24"/>
        </w:rPr>
        <w:t>questionnaire</w:t>
      </w:r>
      <w:proofErr w:type="gramEnd"/>
      <w:r w:rsidR="00520A27" w:rsidRPr="009F45BA">
        <w:rPr>
          <w:rFonts w:ascii="Book Antiqua" w:eastAsia="MS PMincho" w:hAnsi="Book Antiqua"/>
          <w:sz w:val="24"/>
          <w:szCs w:val="24"/>
        </w:rPr>
        <w:t xml:space="preserve">. </w:t>
      </w:r>
      <w:r w:rsidR="00C94C98" w:rsidRPr="009F45BA">
        <w:rPr>
          <w:rFonts w:ascii="Book Antiqua" w:eastAsia="MS PMincho" w:hAnsi="Book Antiqua"/>
          <w:sz w:val="24"/>
          <w:szCs w:val="24"/>
        </w:rPr>
        <w:t xml:space="preserve">They were randomized by an independent investigator </w:t>
      </w:r>
      <w:r w:rsidR="00BF4F57" w:rsidRPr="009F45BA">
        <w:rPr>
          <w:rFonts w:ascii="Book Antiqua" w:eastAsia="MS PMincho" w:hAnsi="Book Antiqua"/>
          <w:sz w:val="24"/>
          <w:szCs w:val="24"/>
        </w:rPr>
        <w:t>who used a</w:t>
      </w:r>
      <w:r w:rsidR="00C94C98" w:rsidRPr="009F45BA">
        <w:rPr>
          <w:rFonts w:ascii="Book Antiqua" w:eastAsia="MS PMincho" w:hAnsi="Book Antiqua"/>
          <w:sz w:val="24"/>
          <w:szCs w:val="24"/>
        </w:rPr>
        <w:t xml:space="preserve"> random number </w:t>
      </w:r>
      <w:r w:rsidR="00BF4F57" w:rsidRPr="009F45BA">
        <w:rPr>
          <w:rFonts w:ascii="Book Antiqua" w:eastAsia="MS PMincho" w:hAnsi="Book Antiqua"/>
          <w:sz w:val="24"/>
          <w:szCs w:val="24"/>
        </w:rPr>
        <w:t xml:space="preserve">generated by a computer </w:t>
      </w:r>
      <w:r w:rsidR="00C94C98" w:rsidRPr="009F45BA">
        <w:rPr>
          <w:rFonts w:ascii="Book Antiqua" w:eastAsia="MS PMincho" w:hAnsi="Book Antiqua"/>
          <w:sz w:val="24"/>
          <w:szCs w:val="24"/>
        </w:rPr>
        <w:t xml:space="preserve">to </w:t>
      </w:r>
      <w:r w:rsidR="00BF4F57" w:rsidRPr="009F45BA">
        <w:rPr>
          <w:rFonts w:ascii="Book Antiqua" w:eastAsia="MS PMincho" w:hAnsi="Book Antiqua"/>
          <w:sz w:val="24"/>
          <w:szCs w:val="24"/>
        </w:rPr>
        <w:t>assign the patients to one of two groups, as follow</w:t>
      </w:r>
      <w:r w:rsidR="009B5344" w:rsidRPr="009F45BA">
        <w:rPr>
          <w:rFonts w:ascii="Book Antiqua" w:eastAsia="MS PMincho" w:hAnsi="Book Antiqua"/>
          <w:sz w:val="24"/>
          <w:szCs w:val="24"/>
        </w:rPr>
        <w:t>s</w:t>
      </w:r>
      <w:r w:rsidR="00BF4F57" w:rsidRPr="009F45BA">
        <w:rPr>
          <w:rFonts w:ascii="Book Antiqua" w:eastAsia="MS PMincho" w:hAnsi="Book Antiqua"/>
          <w:sz w:val="24"/>
          <w:szCs w:val="24"/>
        </w:rPr>
        <w:t>:</w:t>
      </w:r>
      <w:r w:rsidR="00C94C98" w:rsidRPr="009F45BA">
        <w:rPr>
          <w:rFonts w:ascii="Book Antiqua" w:eastAsia="MS PMincho" w:hAnsi="Book Antiqua"/>
          <w:sz w:val="24"/>
          <w:szCs w:val="24"/>
        </w:rPr>
        <w:t xml:space="preserve"> those </w:t>
      </w:r>
      <w:r w:rsidR="00BF4F57" w:rsidRPr="009F45BA">
        <w:rPr>
          <w:rFonts w:ascii="Book Antiqua" w:eastAsia="MS PMincho" w:hAnsi="Book Antiqua"/>
          <w:sz w:val="24"/>
          <w:szCs w:val="24"/>
        </w:rPr>
        <w:t xml:space="preserve">who were </w:t>
      </w:r>
      <w:r w:rsidR="00C94C98" w:rsidRPr="009F45BA">
        <w:rPr>
          <w:rFonts w:ascii="Book Antiqua" w:eastAsia="MS PMincho" w:hAnsi="Book Antiqua"/>
          <w:sz w:val="24"/>
          <w:szCs w:val="24"/>
        </w:rPr>
        <w:t xml:space="preserve">to receive </w:t>
      </w:r>
      <w:proofErr w:type="spellStart"/>
      <w:r w:rsidR="00C94C98" w:rsidRPr="009F45BA">
        <w:rPr>
          <w:rFonts w:ascii="Book Antiqua" w:eastAsia="MS PMincho" w:hAnsi="Book Antiqua"/>
          <w:sz w:val="24"/>
          <w:szCs w:val="24"/>
        </w:rPr>
        <w:t>rabeprazole</w:t>
      </w:r>
      <w:proofErr w:type="spellEnd"/>
      <w:r w:rsidR="00C94C98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7C51ED" w:rsidRPr="009F45BA">
        <w:rPr>
          <w:rFonts w:ascii="Book Antiqua" w:eastAsia="MS PMincho" w:hAnsi="Book Antiqua"/>
          <w:sz w:val="24"/>
          <w:szCs w:val="24"/>
        </w:rPr>
        <w:t xml:space="preserve">and </w:t>
      </w:r>
      <w:r w:rsidR="00246725" w:rsidRPr="009F45BA">
        <w:rPr>
          <w:rFonts w:ascii="Book Antiqua" w:eastAsia="MS PMincho" w:hAnsi="Book Antiqua"/>
          <w:sz w:val="24"/>
          <w:szCs w:val="24"/>
        </w:rPr>
        <w:t>IM</w:t>
      </w:r>
      <w:r w:rsidR="007C51ED" w:rsidRPr="009F45BA">
        <w:rPr>
          <w:rFonts w:ascii="Book Antiqua" w:eastAsia="MS PMincho" w:hAnsi="Book Antiqua"/>
          <w:sz w:val="24"/>
          <w:szCs w:val="24"/>
        </w:rPr>
        <w:t xml:space="preserve"> (group I</w:t>
      </w:r>
      <w:r w:rsidR="00C94C98" w:rsidRPr="009F45BA">
        <w:rPr>
          <w:rFonts w:ascii="Book Antiqua" w:eastAsia="MS PMincho" w:hAnsi="Book Antiqua"/>
          <w:sz w:val="24"/>
          <w:szCs w:val="24"/>
        </w:rPr>
        <w:t xml:space="preserve">) and those </w:t>
      </w:r>
      <w:r w:rsidR="00BF4F57" w:rsidRPr="009F45BA">
        <w:rPr>
          <w:rFonts w:ascii="Book Antiqua" w:eastAsia="MS PMincho" w:hAnsi="Book Antiqua"/>
          <w:sz w:val="24"/>
          <w:szCs w:val="24"/>
        </w:rPr>
        <w:t xml:space="preserve">who were </w:t>
      </w:r>
      <w:r w:rsidR="00C94C98" w:rsidRPr="009F45BA">
        <w:rPr>
          <w:rFonts w:ascii="Book Antiqua" w:eastAsia="MS PMincho" w:hAnsi="Book Antiqua"/>
          <w:sz w:val="24"/>
          <w:szCs w:val="24"/>
        </w:rPr>
        <w:t xml:space="preserve">to receive </w:t>
      </w:r>
      <w:proofErr w:type="spellStart"/>
      <w:r w:rsidR="00C94C98" w:rsidRPr="009F45BA">
        <w:rPr>
          <w:rFonts w:ascii="Book Antiqua" w:eastAsia="MS PMincho" w:hAnsi="Book Antiqua"/>
          <w:sz w:val="24"/>
          <w:szCs w:val="24"/>
        </w:rPr>
        <w:t>rabeprazole</w:t>
      </w:r>
      <w:proofErr w:type="spellEnd"/>
      <w:r w:rsidR="00C94C98" w:rsidRPr="009F45BA">
        <w:rPr>
          <w:rFonts w:ascii="Book Antiqua" w:eastAsia="MS PMincho" w:hAnsi="Book Antiqua"/>
          <w:sz w:val="24"/>
          <w:szCs w:val="24"/>
        </w:rPr>
        <w:t xml:space="preserve"> and place</w:t>
      </w:r>
      <w:r w:rsidR="007C51ED" w:rsidRPr="009F45BA">
        <w:rPr>
          <w:rFonts w:ascii="Book Antiqua" w:eastAsia="MS PMincho" w:hAnsi="Book Antiqua"/>
          <w:sz w:val="24"/>
          <w:szCs w:val="24"/>
        </w:rPr>
        <w:t>bo (group P</w:t>
      </w:r>
      <w:r w:rsidR="00BF4F57" w:rsidRPr="009F45BA">
        <w:rPr>
          <w:rFonts w:ascii="Book Antiqua" w:eastAsia="MS PMincho" w:hAnsi="Book Antiqua"/>
          <w:sz w:val="24"/>
          <w:szCs w:val="24"/>
        </w:rPr>
        <w:t xml:space="preserve">). At the end of the </w:t>
      </w:r>
      <w:r w:rsidR="00947148" w:rsidRPr="009F45BA">
        <w:rPr>
          <w:rFonts w:ascii="Book Antiqua" w:eastAsia="MS PMincho" w:hAnsi="Book Antiqua"/>
          <w:sz w:val="24"/>
          <w:szCs w:val="24"/>
        </w:rPr>
        <w:t>four-</w:t>
      </w:r>
      <w:r w:rsidR="00C94C98" w:rsidRPr="009F45BA">
        <w:rPr>
          <w:rFonts w:ascii="Book Antiqua" w:eastAsia="MS PMincho" w:hAnsi="Book Antiqua"/>
          <w:sz w:val="24"/>
          <w:szCs w:val="24"/>
        </w:rPr>
        <w:t>wee</w:t>
      </w:r>
      <w:r w:rsidR="00BF4F57" w:rsidRPr="009F45BA">
        <w:rPr>
          <w:rFonts w:ascii="Book Antiqua" w:eastAsia="MS PMincho" w:hAnsi="Book Antiqua"/>
          <w:sz w:val="24"/>
          <w:szCs w:val="24"/>
        </w:rPr>
        <w:t>k study period</w:t>
      </w:r>
      <w:r w:rsidR="00571248" w:rsidRPr="009F45BA">
        <w:rPr>
          <w:rFonts w:ascii="Book Antiqua" w:eastAsia="MS PMincho" w:hAnsi="Book Antiqua"/>
          <w:sz w:val="24"/>
          <w:szCs w:val="24"/>
        </w:rPr>
        <w:t xml:space="preserve">, </w:t>
      </w:r>
      <w:r w:rsidR="00BF4F57" w:rsidRPr="009F45BA">
        <w:rPr>
          <w:rFonts w:ascii="Book Antiqua" w:eastAsia="MS PMincho" w:hAnsi="Book Antiqua"/>
          <w:sz w:val="24"/>
          <w:szCs w:val="24"/>
        </w:rPr>
        <w:t xml:space="preserve">the </w:t>
      </w:r>
      <w:r w:rsidR="00571248" w:rsidRPr="009F45BA">
        <w:rPr>
          <w:rFonts w:ascii="Book Antiqua" w:eastAsia="MS PMincho" w:hAnsi="Book Antiqua"/>
          <w:sz w:val="24"/>
          <w:szCs w:val="24"/>
        </w:rPr>
        <w:t xml:space="preserve">patients were </w:t>
      </w:r>
      <w:r w:rsidR="00BF4F57" w:rsidRPr="009F45BA">
        <w:rPr>
          <w:rFonts w:ascii="Book Antiqua" w:eastAsia="MS PMincho" w:hAnsi="Book Antiqua"/>
          <w:sz w:val="24"/>
          <w:szCs w:val="24"/>
        </w:rPr>
        <w:t>asked</w:t>
      </w:r>
      <w:r w:rsidR="00571248" w:rsidRPr="009F45BA">
        <w:rPr>
          <w:rFonts w:ascii="Book Antiqua" w:eastAsia="MS PMincho" w:hAnsi="Book Antiqua"/>
          <w:sz w:val="24"/>
          <w:szCs w:val="24"/>
        </w:rPr>
        <w:t xml:space="preserve"> to </w:t>
      </w:r>
      <w:r w:rsidR="00BF4F57" w:rsidRPr="009F45BA">
        <w:rPr>
          <w:rFonts w:ascii="Book Antiqua" w:eastAsia="MS PMincho" w:hAnsi="Book Antiqua"/>
          <w:sz w:val="24"/>
          <w:szCs w:val="24"/>
        </w:rPr>
        <w:t>complete</w:t>
      </w:r>
      <w:r w:rsidR="00C94C98" w:rsidRPr="009F45BA">
        <w:rPr>
          <w:rFonts w:ascii="Book Antiqua" w:eastAsia="MS PMincho" w:hAnsi="Book Antiqua"/>
          <w:sz w:val="24"/>
          <w:szCs w:val="24"/>
        </w:rPr>
        <w:t xml:space="preserve"> post-t</w:t>
      </w:r>
      <w:r w:rsidR="00BF4F57" w:rsidRPr="009F45BA">
        <w:rPr>
          <w:rFonts w:ascii="Book Antiqua" w:eastAsia="MS PMincho" w:hAnsi="Book Antiqua"/>
          <w:sz w:val="24"/>
          <w:szCs w:val="24"/>
        </w:rPr>
        <w:t>reatment FSSG and SF</w:t>
      </w:r>
      <w:r w:rsidR="00571248" w:rsidRPr="009F45BA">
        <w:rPr>
          <w:rFonts w:ascii="Book Antiqua" w:eastAsia="MS PMincho" w:hAnsi="Book Antiqua"/>
          <w:sz w:val="24"/>
          <w:szCs w:val="24"/>
        </w:rPr>
        <w:t>-36 QOL que</w:t>
      </w:r>
      <w:r w:rsidR="00C94C98" w:rsidRPr="009F45BA">
        <w:rPr>
          <w:rFonts w:ascii="Book Antiqua" w:eastAsia="MS PMincho" w:hAnsi="Book Antiqua"/>
          <w:sz w:val="24"/>
          <w:szCs w:val="24"/>
        </w:rPr>
        <w:t>stionnaire</w:t>
      </w:r>
      <w:r w:rsidR="00BF4F57" w:rsidRPr="009F45BA">
        <w:rPr>
          <w:rFonts w:ascii="Book Antiqua" w:eastAsia="MS PMincho" w:hAnsi="Book Antiqua"/>
          <w:sz w:val="24"/>
          <w:szCs w:val="24"/>
        </w:rPr>
        <w:t>s</w:t>
      </w:r>
      <w:r w:rsidR="00C94C98" w:rsidRPr="009F45BA">
        <w:rPr>
          <w:rFonts w:ascii="Book Antiqua" w:eastAsia="MS PMincho" w:hAnsi="Book Antiqua"/>
          <w:sz w:val="24"/>
          <w:szCs w:val="24"/>
        </w:rPr>
        <w:t xml:space="preserve">. </w:t>
      </w:r>
      <w:r w:rsidR="00BF4F57" w:rsidRPr="009F45BA">
        <w:rPr>
          <w:rFonts w:ascii="Book Antiqua" w:eastAsia="MS PMincho" w:hAnsi="Book Antiqua"/>
          <w:sz w:val="24"/>
          <w:szCs w:val="24"/>
        </w:rPr>
        <w:t xml:space="preserve">The </w:t>
      </w:r>
      <w:r w:rsidR="006F6513" w:rsidRPr="009F45BA">
        <w:rPr>
          <w:rFonts w:ascii="Book Antiqua" w:eastAsia="MS PMincho" w:hAnsi="Book Antiqua"/>
          <w:sz w:val="24"/>
          <w:szCs w:val="24"/>
        </w:rPr>
        <w:t>FSSG results were considered in term</w:t>
      </w:r>
      <w:r w:rsidR="00BF4F57" w:rsidRPr="009F45BA">
        <w:rPr>
          <w:rFonts w:ascii="Book Antiqua" w:eastAsia="MS PMincho" w:hAnsi="Book Antiqua"/>
          <w:sz w:val="24"/>
          <w:szCs w:val="24"/>
        </w:rPr>
        <w:t>s</w:t>
      </w:r>
      <w:r w:rsidR="006F6513" w:rsidRPr="009F45BA">
        <w:rPr>
          <w:rFonts w:ascii="Book Antiqua" w:eastAsia="MS PMincho" w:hAnsi="Book Antiqua"/>
          <w:sz w:val="24"/>
          <w:szCs w:val="24"/>
        </w:rPr>
        <w:t xml:space="preserve"> of </w:t>
      </w:r>
      <w:r w:rsidR="00BF4F57" w:rsidRPr="009F45BA">
        <w:rPr>
          <w:rFonts w:ascii="Book Antiqua" w:eastAsia="MS PMincho" w:hAnsi="Book Antiqua"/>
          <w:sz w:val="24"/>
          <w:szCs w:val="24"/>
        </w:rPr>
        <w:t>the total score</w:t>
      </w:r>
      <w:r w:rsidR="006F6513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0F7029" w:rsidRPr="009F45BA">
        <w:rPr>
          <w:rFonts w:ascii="Book Antiqua" w:eastAsia="MS PMincho" w:hAnsi="Book Antiqua"/>
          <w:sz w:val="24"/>
          <w:szCs w:val="24"/>
        </w:rPr>
        <w:t xml:space="preserve">and each </w:t>
      </w:r>
      <w:r w:rsidR="000F7029" w:rsidRPr="009F45BA">
        <w:rPr>
          <w:rFonts w:ascii="Book Antiqua" w:hAnsi="Book Antiqua"/>
          <w:sz w:val="24"/>
          <w:szCs w:val="24"/>
        </w:rPr>
        <w:t>symptom</w:t>
      </w:r>
      <w:r w:rsidR="000F7029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6F6513" w:rsidRPr="009F45BA">
        <w:rPr>
          <w:rFonts w:ascii="Book Antiqua" w:eastAsia="MS PMincho" w:hAnsi="Book Antiqua"/>
          <w:sz w:val="24"/>
          <w:szCs w:val="24"/>
        </w:rPr>
        <w:t xml:space="preserve">score. </w:t>
      </w:r>
      <w:r w:rsidR="009B5344" w:rsidRPr="009F45BA">
        <w:rPr>
          <w:rFonts w:ascii="Book Antiqua" w:eastAsiaTheme="minorEastAsia" w:hAnsi="Book Antiqua"/>
          <w:sz w:val="24"/>
          <w:szCs w:val="24"/>
        </w:rPr>
        <w:t>Patients were</w:t>
      </w:r>
      <w:r w:rsidR="004B6F74" w:rsidRPr="009F45BA">
        <w:rPr>
          <w:rFonts w:ascii="Book Antiqua" w:eastAsiaTheme="minorEastAsia" w:hAnsi="Book Antiqua"/>
          <w:sz w:val="24"/>
          <w:szCs w:val="24"/>
        </w:rPr>
        <w:t xml:space="preserve"> </w:t>
      </w:r>
      <w:r w:rsidR="009B5344" w:rsidRPr="009F45BA">
        <w:rPr>
          <w:rFonts w:ascii="Book Antiqua" w:eastAsiaTheme="minorEastAsia" w:hAnsi="Book Antiqua"/>
          <w:sz w:val="24"/>
          <w:szCs w:val="24"/>
        </w:rPr>
        <w:t>asked whether they had experienced</w:t>
      </w:r>
      <w:r w:rsidR="004B6F74" w:rsidRPr="009F45BA">
        <w:rPr>
          <w:rFonts w:ascii="Book Antiqua" w:eastAsiaTheme="minorEastAsia" w:hAnsi="Book Antiqua"/>
          <w:sz w:val="24"/>
          <w:szCs w:val="24"/>
        </w:rPr>
        <w:t xml:space="preserve"> </w:t>
      </w:r>
      <w:r w:rsidR="009B5344" w:rsidRPr="009F45BA">
        <w:rPr>
          <w:rFonts w:ascii="Book Antiqua" w:eastAsiaTheme="minorEastAsia" w:hAnsi="Book Antiqua"/>
          <w:sz w:val="24"/>
          <w:szCs w:val="24"/>
        </w:rPr>
        <w:t xml:space="preserve">any </w:t>
      </w:r>
      <w:r w:rsidR="004B6F74" w:rsidRPr="009F45BA">
        <w:rPr>
          <w:rFonts w:ascii="Book Antiqua" w:eastAsiaTheme="minorEastAsia" w:hAnsi="Book Antiqua"/>
          <w:sz w:val="24"/>
          <w:szCs w:val="24"/>
        </w:rPr>
        <w:t xml:space="preserve">adverse events </w:t>
      </w:r>
      <w:r w:rsidR="004364F0" w:rsidRPr="009F45BA">
        <w:rPr>
          <w:rFonts w:ascii="Book Antiqua" w:eastAsiaTheme="minorEastAsia" w:hAnsi="Book Antiqua"/>
          <w:sz w:val="24"/>
          <w:szCs w:val="24"/>
        </w:rPr>
        <w:t>at the end of the study</w:t>
      </w:r>
      <w:r w:rsidR="004B6F74" w:rsidRPr="009F45BA">
        <w:rPr>
          <w:rFonts w:ascii="Book Antiqua" w:eastAsiaTheme="minorEastAsia" w:hAnsi="Book Antiqua"/>
          <w:sz w:val="24"/>
          <w:szCs w:val="24"/>
        </w:rPr>
        <w:t>.</w:t>
      </w:r>
      <w:r w:rsidR="00807A54">
        <w:rPr>
          <w:rFonts w:ascii="Book Antiqua" w:eastAsiaTheme="minorEastAsia" w:hAnsi="Book Antiqua"/>
          <w:sz w:val="24"/>
          <w:szCs w:val="24"/>
        </w:rPr>
        <w:t xml:space="preserve"> </w:t>
      </w:r>
    </w:p>
    <w:p w:rsidR="00FE74FB" w:rsidRPr="009F45BA" w:rsidRDefault="00BF4F57" w:rsidP="00826736">
      <w:pPr>
        <w:tabs>
          <w:tab w:val="left" w:pos="7797"/>
        </w:tabs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9F45BA">
        <w:rPr>
          <w:rFonts w:ascii="Book Antiqua" w:eastAsia="MS PMincho" w:hAnsi="Book Antiqua"/>
          <w:sz w:val="24"/>
          <w:szCs w:val="24"/>
        </w:rPr>
        <w:t>The p</w:t>
      </w:r>
      <w:r w:rsidR="00571248" w:rsidRPr="009F45BA">
        <w:rPr>
          <w:rFonts w:ascii="Book Antiqua" w:eastAsia="MS PMincho" w:hAnsi="Book Antiqua"/>
          <w:sz w:val="24"/>
          <w:szCs w:val="24"/>
        </w:rPr>
        <w:t xml:space="preserve">rimary endpoint </w:t>
      </w:r>
      <w:r w:rsidR="00EA18D6" w:rsidRPr="009F45BA">
        <w:rPr>
          <w:rFonts w:ascii="Book Antiqua" w:eastAsia="MS PMincho" w:hAnsi="Book Antiqua"/>
          <w:sz w:val="24"/>
          <w:szCs w:val="24"/>
        </w:rPr>
        <w:t xml:space="preserve">of this study </w:t>
      </w:r>
      <w:r w:rsidR="00571248" w:rsidRPr="009F45BA">
        <w:rPr>
          <w:rFonts w:ascii="Book Antiqua" w:eastAsia="MS PMincho" w:hAnsi="Book Antiqua"/>
          <w:sz w:val="24"/>
          <w:szCs w:val="24"/>
        </w:rPr>
        <w:t>was</w:t>
      </w:r>
      <w:r w:rsidRPr="009F45BA">
        <w:rPr>
          <w:rFonts w:ascii="Book Antiqua" w:eastAsia="MS PMincho" w:hAnsi="Book Antiqua"/>
          <w:sz w:val="24"/>
          <w:szCs w:val="24"/>
        </w:rPr>
        <w:t xml:space="preserve"> an</w:t>
      </w:r>
      <w:r w:rsidR="00C94C98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Pr="009F45BA">
        <w:rPr>
          <w:rFonts w:ascii="Book Antiqua" w:eastAsia="MS PMincho" w:hAnsi="Book Antiqua"/>
          <w:sz w:val="24"/>
          <w:szCs w:val="24"/>
        </w:rPr>
        <w:t>improvement in the</w:t>
      </w:r>
      <w:r w:rsidR="00571248" w:rsidRPr="009F45BA">
        <w:rPr>
          <w:rFonts w:ascii="Book Antiqua" w:eastAsia="MS PMincho" w:hAnsi="Book Antiqua"/>
          <w:sz w:val="24"/>
          <w:szCs w:val="24"/>
        </w:rPr>
        <w:t xml:space="preserve"> FSSG score</w:t>
      </w:r>
      <w:r w:rsidRPr="009F45BA">
        <w:rPr>
          <w:rFonts w:ascii="Book Antiqua" w:eastAsia="MS PMincho" w:hAnsi="Book Antiqua"/>
          <w:sz w:val="24"/>
          <w:szCs w:val="24"/>
        </w:rPr>
        <w:t>, and determining</w:t>
      </w:r>
      <w:r w:rsidR="00EA18D6" w:rsidRPr="009F45BA">
        <w:rPr>
          <w:rFonts w:ascii="Book Antiqua" w:eastAsia="MS PMincho" w:hAnsi="Book Antiqua"/>
          <w:sz w:val="24"/>
          <w:szCs w:val="24"/>
        </w:rPr>
        <w:t xml:space="preserve"> whether </w:t>
      </w:r>
      <w:r w:rsidR="000E17B6" w:rsidRPr="009F45BA">
        <w:rPr>
          <w:rFonts w:ascii="Book Antiqua" w:eastAsia="MS PMincho" w:hAnsi="Book Antiqua"/>
          <w:sz w:val="24"/>
          <w:szCs w:val="24"/>
        </w:rPr>
        <w:t xml:space="preserve">patients with </w:t>
      </w:r>
      <w:r w:rsidR="00EA18D6" w:rsidRPr="009F45BA">
        <w:rPr>
          <w:rFonts w:ascii="Book Antiqua" w:eastAsia="MS PMincho" w:hAnsi="Book Antiqua"/>
          <w:sz w:val="24"/>
          <w:szCs w:val="24"/>
        </w:rPr>
        <w:t>NERD with minimal change</w:t>
      </w:r>
      <w:r w:rsidR="009B5344" w:rsidRPr="009F45BA">
        <w:rPr>
          <w:rFonts w:ascii="Book Antiqua" w:eastAsia="MS PMincho" w:hAnsi="Book Antiqua"/>
          <w:sz w:val="24"/>
          <w:szCs w:val="24"/>
        </w:rPr>
        <w:t>s</w:t>
      </w:r>
      <w:r w:rsidR="00EA18D6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Pr="009F45BA">
        <w:rPr>
          <w:rFonts w:ascii="Book Antiqua" w:eastAsia="MS PMincho" w:hAnsi="Book Antiqua"/>
          <w:sz w:val="24"/>
          <w:szCs w:val="24"/>
        </w:rPr>
        <w:t xml:space="preserve">(grade M) </w:t>
      </w:r>
      <w:r w:rsidR="000E17B6" w:rsidRPr="009F45BA">
        <w:rPr>
          <w:rFonts w:ascii="Book Antiqua" w:eastAsia="MS PMincho" w:hAnsi="Book Antiqua"/>
          <w:sz w:val="24"/>
          <w:szCs w:val="24"/>
        </w:rPr>
        <w:t>had different response to the therapies</w:t>
      </w:r>
      <w:r w:rsidR="009D399D" w:rsidRPr="009F45BA">
        <w:rPr>
          <w:rFonts w:ascii="Book Antiqua" w:eastAsia="MS PMincho" w:hAnsi="Book Antiqua"/>
          <w:sz w:val="24"/>
          <w:szCs w:val="24"/>
        </w:rPr>
        <w:t xml:space="preserve"> compared with those without minimal change</w:t>
      </w:r>
      <w:r w:rsidR="00867693" w:rsidRPr="009F45BA">
        <w:rPr>
          <w:rFonts w:ascii="Book Antiqua" w:eastAsia="MS PMincho" w:hAnsi="Book Antiqua"/>
          <w:sz w:val="24"/>
          <w:szCs w:val="24"/>
        </w:rPr>
        <w:t>s</w:t>
      </w:r>
      <w:r w:rsidR="00383435" w:rsidRPr="009F45BA">
        <w:rPr>
          <w:rFonts w:ascii="Book Antiqua" w:eastAsia="MS PMincho" w:hAnsi="Book Antiqua"/>
          <w:sz w:val="24"/>
          <w:szCs w:val="24"/>
        </w:rPr>
        <w:t xml:space="preserve"> (grade N)</w:t>
      </w:r>
      <w:r w:rsidR="009D399D" w:rsidRPr="009F45BA">
        <w:rPr>
          <w:rFonts w:ascii="Book Antiqua" w:eastAsia="MS PMincho" w:hAnsi="Book Antiqua"/>
          <w:sz w:val="24"/>
          <w:szCs w:val="24"/>
        </w:rPr>
        <w:t>.</w:t>
      </w:r>
      <w:r w:rsidR="00EA18D6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383435" w:rsidRPr="009F45BA">
        <w:rPr>
          <w:rFonts w:ascii="Book Antiqua" w:eastAsia="MS PMincho" w:hAnsi="Book Antiqua"/>
          <w:sz w:val="24"/>
          <w:szCs w:val="24"/>
        </w:rPr>
        <w:t>The study’s s</w:t>
      </w:r>
      <w:r w:rsidR="00571248" w:rsidRPr="009F45BA">
        <w:rPr>
          <w:rFonts w:ascii="Book Antiqua" w:eastAsia="MS PMincho" w:hAnsi="Book Antiqua"/>
          <w:sz w:val="24"/>
          <w:szCs w:val="24"/>
        </w:rPr>
        <w:t xml:space="preserve">econdary </w:t>
      </w:r>
      <w:r w:rsidR="00383435" w:rsidRPr="009F45BA">
        <w:rPr>
          <w:rFonts w:ascii="Book Antiqua" w:eastAsia="MS PMincho" w:hAnsi="Book Antiqua"/>
          <w:sz w:val="24"/>
          <w:szCs w:val="24"/>
        </w:rPr>
        <w:t>endpoints included the SF-36 scores</w:t>
      </w:r>
      <w:r w:rsidR="00571248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571248" w:rsidRPr="009F45BA">
        <w:rPr>
          <w:rFonts w:ascii="Book Antiqua" w:eastAsia="MS PMincho" w:hAnsi="Book Antiqua"/>
          <w:sz w:val="24"/>
          <w:szCs w:val="24"/>
        </w:rPr>
        <w:lastRenderedPageBreak/>
        <w:t>and</w:t>
      </w:r>
      <w:r w:rsidR="006F6513" w:rsidRPr="009F45BA">
        <w:rPr>
          <w:rFonts w:ascii="Book Antiqua" w:eastAsia="MS PMincho" w:hAnsi="Book Antiqua"/>
          <w:sz w:val="24"/>
          <w:szCs w:val="24"/>
        </w:rPr>
        <w:t xml:space="preserve"> the occurrence of side effects. </w:t>
      </w:r>
      <w:r w:rsidR="00B72800" w:rsidRPr="009F45BA">
        <w:rPr>
          <w:rFonts w:ascii="Book Antiqua" w:hAnsi="Book Antiqua"/>
          <w:sz w:val="24"/>
          <w:szCs w:val="24"/>
        </w:rPr>
        <w:t xml:space="preserve">The </w:t>
      </w:r>
      <w:r w:rsidR="00867693" w:rsidRPr="009F45BA">
        <w:rPr>
          <w:rFonts w:ascii="Book Antiqua" w:hAnsi="Book Antiqua"/>
          <w:sz w:val="24"/>
          <w:szCs w:val="24"/>
        </w:rPr>
        <w:t>u</w:t>
      </w:r>
      <w:r w:rsidR="00383435" w:rsidRPr="009F45BA">
        <w:rPr>
          <w:rFonts w:ascii="Book Antiqua" w:hAnsi="Book Antiqua"/>
          <w:sz w:val="24"/>
          <w:szCs w:val="24"/>
        </w:rPr>
        <w:t xml:space="preserve">niversity’s ethics committee </w:t>
      </w:r>
      <w:r w:rsidR="00B72800" w:rsidRPr="009F45BA">
        <w:rPr>
          <w:rFonts w:ascii="Book Antiqua" w:hAnsi="Book Antiqua"/>
          <w:sz w:val="24"/>
          <w:szCs w:val="24"/>
        </w:rPr>
        <w:t xml:space="preserve">approved </w:t>
      </w:r>
      <w:r w:rsidR="00383435" w:rsidRPr="009F45BA">
        <w:rPr>
          <w:rFonts w:ascii="Book Antiqua" w:hAnsi="Book Antiqua"/>
          <w:sz w:val="24"/>
          <w:szCs w:val="24"/>
        </w:rPr>
        <w:t>the study protocol</w:t>
      </w:r>
      <w:r w:rsidR="00B72800" w:rsidRPr="009F45BA">
        <w:rPr>
          <w:rFonts w:ascii="Book Antiqua" w:hAnsi="Book Antiqua"/>
          <w:sz w:val="24"/>
          <w:szCs w:val="24"/>
        </w:rPr>
        <w:t xml:space="preserve">. </w:t>
      </w:r>
      <w:r w:rsidR="00DC7B1C" w:rsidRPr="009F45BA">
        <w:rPr>
          <w:rFonts w:ascii="Book Antiqua" w:eastAsiaTheme="minorEastAsia" w:hAnsi="Book Antiqua"/>
          <w:sz w:val="24"/>
          <w:szCs w:val="24"/>
        </w:rPr>
        <w:t>This study was performed in accordance with t</w:t>
      </w:r>
      <w:r w:rsidR="00867693" w:rsidRPr="009F45BA">
        <w:rPr>
          <w:rFonts w:ascii="Book Antiqua" w:eastAsiaTheme="minorEastAsia" w:hAnsi="Book Antiqua"/>
          <w:sz w:val="24"/>
          <w:szCs w:val="24"/>
        </w:rPr>
        <w:t>he principles laid down in the D</w:t>
      </w:r>
      <w:r w:rsidR="00DC7B1C" w:rsidRPr="009F45BA">
        <w:rPr>
          <w:rFonts w:ascii="Book Antiqua" w:eastAsiaTheme="minorEastAsia" w:hAnsi="Book Antiqua"/>
          <w:sz w:val="24"/>
          <w:szCs w:val="24"/>
        </w:rPr>
        <w:t>eclaration of Helsinki</w:t>
      </w:r>
      <w:r w:rsidR="00867693" w:rsidRPr="009F45BA">
        <w:rPr>
          <w:rFonts w:ascii="Book Antiqua" w:eastAsiaTheme="minorEastAsia" w:hAnsi="Book Antiqua"/>
          <w:sz w:val="24"/>
          <w:szCs w:val="24"/>
        </w:rPr>
        <w:t>. The study</w:t>
      </w:r>
      <w:r w:rsidR="00DC7B1C" w:rsidRPr="009F45BA">
        <w:rPr>
          <w:rFonts w:ascii="Book Antiqua" w:eastAsiaTheme="minorEastAsia" w:hAnsi="Book Antiqua"/>
          <w:sz w:val="24"/>
          <w:szCs w:val="24"/>
        </w:rPr>
        <w:t xml:space="preserve"> was registered in the UMIN Clinica</w:t>
      </w:r>
      <w:r w:rsidR="00867693" w:rsidRPr="009F45BA">
        <w:rPr>
          <w:rFonts w:ascii="Book Antiqua" w:eastAsiaTheme="minorEastAsia" w:hAnsi="Book Antiqua"/>
          <w:sz w:val="24"/>
          <w:szCs w:val="24"/>
        </w:rPr>
        <w:t>l Trials Registry (Registry ID Number:</w:t>
      </w:r>
      <w:r w:rsidR="00DC7B1C" w:rsidRPr="009F45BA">
        <w:rPr>
          <w:rFonts w:ascii="Book Antiqua" w:eastAsiaTheme="minorEastAsia" w:hAnsi="Book Antiqua"/>
          <w:sz w:val="24"/>
          <w:szCs w:val="24"/>
        </w:rPr>
        <w:t xml:space="preserve"> UMIN000015731). </w:t>
      </w:r>
    </w:p>
    <w:p w:rsidR="007C51ED" w:rsidRPr="009F45BA" w:rsidRDefault="00807A54" w:rsidP="0016341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MS PMincho" w:hAnsi="Book Antiqua"/>
          <w:sz w:val="24"/>
          <w:szCs w:val="24"/>
        </w:rPr>
      </w:pPr>
      <w:r>
        <w:rPr>
          <w:rFonts w:ascii="Book Antiqua" w:eastAsia="MS PMincho" w:hAnsi="Book Antiqua"/>
          <w:sz w:val="24"/>
          <w:szCs w:val="24"/>
        </w:rPr>
        <w:t xml:space="preserve"> </w:t>
      </w:r>
      <w:r w:rsidR="00383435" w:rsidRPr="009F45BA">
        <w:rPr>
          <w:rFonts w:ascii="Book Antiqua" w:eastAsia="MS PMincho" w:hAnsi="Book Antiqua"/>
          <w:sz w:val="24"/>
          <w:szCs w:val="24"/>
        </w:rPr>
        <w:t xml:space="preserve">The </w:t>
      </w:r>
      <w:r w:rsidR="00383435" w:rsidRPr="009F45BA">
        <w:rPr>
          <w:rFonts w:ascii="Book Antiqua" w:hAnsi="Book Antiqua"/>
          <w:sz w:val="24"/>
          <w:szCs w:val="24"/>
        </w:rPr>
        <w:t>s</w:t>
      </w:r>
      <w:r w:rsidR="007C51ED" w:rsidRPr="009F45BA">
        <w:rPr>
          <w:rFonts w:ascii="Book Antiqua" w:hAnsi="Book Antiqua"/>
          <w:sz w:val="24"/>
          <w:szCs w:val="24"/>
        </w:rPr>
        <w:t xml:space="preserve">ample size was estimated based on </w:t>
      </w:r>
      <w:r w:rsidR="00383435" w:rsidRPr="009F45BA">
        <w:rPr>
          <w:rFonts w:ascii="Book Antiqua" w:hAnsi="Book Antiqua"/>
          <w:sz w:val="24"/>
          <w:szCs w:val="24"/>
        </w:rPr>
        <w:t xml:space="preserve">the </w:t>
      </w:r>
      <w:r w:rsidR="007C51ED" w:rsidRPr="009F45BA">
        <w:rPr>
          <w:rFonts w:ascii="Book Antiqua" w:hAnsi="Book Antiqua"/>
          <w:sz w:val="24"/>
          <w:szCs w:val="24"/>
        </w:rPr>
        <w:t xml:space="preserve">statistical analysis of </w:t>
      </w:r>
      <w:r w:rsidR="00383435" w:rsidRPr="009F45BA">
        <w:rPr>
          <w:rFonts w:ascii="Book Antiqua" w:hAnsi="Book Antiqua"/>
          <w:sz w:val="24"/>
          <w:szCs w:val="24"/>
        </w:rPr>
        <w:t xml:space="preserve">the </w:t>
      </w:r>
      <w:r w:rsidR="00FE74FB" w:rsidRPr="009F45BA">
        <w:rPr>
          <w:rFonts w:ascii="Book Antiqua" w:eastAsia="MS PMincho" w:hAnsi="Book Antiqua"/>
          <w:sz w:val="24"/>
          <w:szCs w:val="24"/>
        </w:rPr>
        <w:t>improvement</w:t>
      </w:r>
      <w:r w:rsidR="00383435" w:rsidRPr="009F45BA">
        <w:rPr>
          <w:rFonts w:ascii="Book Antiqua" w:eastAsia="MS PMincho" w:hAnsi="Book Antiqua"/>
          <w:sz w:val="24"/>
          <w:szCs w:val="24"/>
        </w:rPr>
        <w:t>s in the</w:t>
      </w:r>
      <w:r w:rsidR="00FE74FB" w:rsidRPr="009F45BA">
        <w:rPr>
          <w:rFonts w:ascii="Book Antiqua" w:eastAsia="MS PMincho" w:hAnsi="Book Antiqua"/>
          <w:sz w:val="24"/>
          <w:szCs w:val="24"/>
        </w:rPr>
        <w:t xml:space="preserve"> FSSG score</w:t>
      </w:r>
      <w:r w:rsidR="00383435" w:rsidRPr="009F45BA">
        <w:rPr>
          <w:rFonts w:ascii="Book Antiqua" w:eastAsia="MS PMincho" w:hAnsi="Book Antiqua"/>
          <w:sz w:val="24"/>
          <w:szCs w:val="24"/>
        </w:rPr>
        <w:t>s</w:t>
      </w:r>
      <w:r w:rsidR="00FE74FB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7C51ED" w:rsidRPr="009F45BA">
        <w:rPr>
          <w:rFonts w:ascii="Book Antiqua" w:hAnsi="Book Antiqua"/>
          <w:sz w:val="24"/>
          <w:szCs w:val="24"/>
        </w:rPr>
        <w:t xml:space="preserve">in each group. Previous data </w:t>
      </w:r>
      <w:r w:rsidR="00383435" w:rsidRPr="009F45BA">
        <w:rPr>
          <w:rFonts w:ascii="Book Antiqua" w:hAnsi="Book Antiqua"/>
          <w:sz w:val="24"/>
          <w:szCs w:val="24"/>
        </w:rPr>
        <w:t>have shown</w:t>
      </w:r>
      <w:r w:rsidR="007C51ED" w:rsidRPr="009F45BA">
        <w:rPr>
          <w:rFonts w:ascii="Book Antiqua" w:hAnsi="Book Antiqua"/>
          <w:sz w:val="24"/>
          <w:szCs w:val="24"/>
        </w:rPr>
        <w:t xml:space="preserve"> that </w:t>
      </w:r>
      <w:r w:rsidR="00FE74FB" w:rsidRPr="009F45BA">
        <w:rPr>
          <w:rFonts w:ascii="Book Antiqua" w:eastAsia="MS PMincho" w:hAnsi="Book Antiqua"/>
          <w:sz w:val="24"/>
          <w:szCs w:val="24"/>
        </w:rPr>
        <w:t xml:space="preserve">about half of </w:t>
      </w:r>
      <w:r w:rsidR="00383435" w:rsidRPr="009F45BA">
        <w:rPr>
          <w:rFonts w:ascii="Book Antiqua" w:eastAsia="MS PMincho" w:hAnsi="Book Antiqua"/>
          <w:sz w:val="24"/>
          <w:szCs w:val="24"/>
        </w:rPr>
        <w:t xml:space="preserve">the </w:t>
      </w:r>
      <w:r w:rsidR="00FE74FB" w:rsidRPr="009F45BA">
        <w:rPr>
          <w:rFonts w:ascii="Book Antiqua" w:eastAsia="MS PMincho" w:hAnsi="Book Antiqua"/>
          <w:sz w:val="24"/>
          <w:szCs w:val="24"/>
        </w:rPr>
        <w:t xml:space="preserve">patients </w:t>
      </w:r>
      <w:r w:rsidR="00383435" w:rsidRPr="009F45BA">
        <w:rPr>
          <w:rFonts w:ascii="Book Antiqua" w:eastAsia="MS PMincho" w:hAnsi="Book Antiqua"/>
          <w:sz w:val="24"/>
          <w:szCs w:val="24"/>
        </w:rPr>
        <w:t>with NERD have</w:t>
      </w:r>
      <w:r w:rsidR="00FE74FB" w:rsidRPr="009F45BA">
        <w:rPr>
          <w:rFonts w:ascii="Book Antiqua" w:eastAsia="MS PMincho" w:hAnsi="Book Antiqua"/>
          <w:sz w:val="24"/>
          <w:szCs w:val="24"/>
        </w:rPr>
        <w:t xml:space="preserve"> adequate improvement</w:t>
      </w:r>
      <w:r w:rsidR="00383435" w:rsidRPr="009F45BA">
        <w:rPr>
          <w:rFonts w:ascii="Book Antiqua" w:eastAsia="MS PMincho" w:hAnsi="Book Antiqua"/>
          <w:sz w:val="24"/>
          <w:szCs w:val="24"/>
        </w:rPr>
        <w:t>s in their reflux symptoms when they are treated with a standard</w:t>
      </w:r>
      <w:r w:rsidR="00FE74FB" w:rsidRPr="009F45BA">
        <w:rPr>
          <w:rFonts w:ascii="Book Antiqua" w:eastAsia="MS PMincho" w:hAnsi="Book Antiqua"/>
          <w:sz w:val="24"/>
          <w:szCs w:val="24"/>
        </w:rPr>
        <w:t xml:space="preserve"> PPI</w:t>
      </w:r>
      <w:r w:rsidR="00383435" w:rsidRPr="009F45BA">
        <w:rPr>
          <w:rFonts w:ascii="Book Antiqua" w:eastAsia="MS PMincho" w:hAnsi="Book Antiqua"/>
          <w:sz w:val="24"/>
          <w:szCs w:val="24"/>
        </w:rPr>
        <w:t xml:space="preserve"> dose</w:t>
      </w:r>
      <w:r w:rsidR="007C51ED" w:rsidRPr="009F45BA">
        <w:rPr>
          <w:rFonts w:ascii="Book Antiqua" w:eastAsia="MS Gothic" w:hAnsi="Book Antiqua"/>
          <w:sz w:val="24"/>
          <w:szCs w:val="24"/>
        </w:rPr>
        <w:t xml:space="preserve">. </w:t>
      </w:r>
      <w:r w:rsidR="00383435" w:rsidRPr="009F45BA">
        <w:rPr>
          <w:rFonts w:ascii="Book Antiqua" w:eastAsia="MS Gothic" w:hAnsi="Book Antiqua"/>
          <w:sz w:val="24"/>
          <w:szCs w:val="24"/>
        </w:rPr>
        <w:t>In this study, t</w:t>
      </w:r>
      <w:r w:rsidR="007C51ED" w:rsidRPr="009F45BA">
        <w:rPr>
          <w:rFonts w:ascii="Book Antiqua" w:hAnsi="Book Antiqua"/>
          <w:sz w:val="24"/>
          <w:szCs w:val="24"/>
        </w:rPr>
        <w:t xml:space="preserve">he predicted </w:t>
      </w:r>
      <w:r w:rsidR="00383435" w:rsidRPr="009F45BA">
        <w:rPr>
          <w:rFonts w:ascii="Book Antiqua" w:eastAsia="MS PMincho" w:hAnsi="Book Antiqua"/>
          <w:sz w:val="24"/>
          <w:szCs w:val="24"/>
        </w:rPr>
        <w:t>improvement</w:t>
      </w:r>
      <w:r w:rsidR="00867693" w:rsidRPr="009F45BA">
        <w:rPr>
          <w:rFonts w:ascii="Book Antiqua" w:eastAsia="MS PMincho" w:hAnsi="Book Antiqua"/>
          <w:sz w:val="24"/>
          <w:szCs w:val="24"/>
        </w:rPr>
        <w:t>s</w:t>
      </w:r>
      <w:r w:rsidR="00383435" w:rsidRPr="009F45BA">
        <w:rPr>
          <w:rFonts w:ascii="Book Antiqua" w:eastAsia="MS PMincho" w:hAnsi="Book Antiqua"/>
          <w:sz w:val="24"/>
          <w:szCs w:val="24"/>
        </w:rPr>
        <w:t xml:space="preserve"> in the</w:t>
      </w:r>
      <w:r w:rsidR="00FE74FB" w:rsidRPr="009F45BA">
        <w:rPr>
          <w:rFonts w:ascii="Book Antiqua" w:eastAsia="MS PMincho" w:hAnsi="Book Antiqua"/>
          <w:sz w:val="24"/>
          <w:szCs w:val="24"/>
        </w:rPr>
        <w:t xml:space="preserve"> FSSG score</w:t>
      </w:r>
      <w:r w:rsidR="00867693" w:rsidRPr="009F45BA">
        <w:rPr>
          <w:rFonts w:ascii="Book Antiqua" w:eastAsia="MS PMincho" w:hAnsi="Book Antiqua"/>
          <w:sz w:val="24"/>
          <w:szCs w:val="24"/>
        </w:rPr>
        <w:t>s</w:t>
      </w:r>
      <w:r w:rsidR="00867693" w:rsidRPr="009F45BA">
        <w:rPr>
          <w:rFonts w:ascii="Book Antiqua" w:hAnsi="Book Antiqua"/>
          <w:sz w:val="24"/>
          <w:szCs w:val="24"/>
        </w:rPr>
        <w:t xml:space="preserve"> were</w:t>
      </w:r>
      <w:r w:rsidR="00383435" w:rsidRPr="009F45BA">
        <w:rPr>
          <w:rFonts w:ascii="Book Antiqua" w:hAnsi="Book Antiqua"/>
          <w:sz w:val="24"/>
          <w:szCs w:val="24"/>
        </w:rPr>
        <w:t xml:space="preserve"> estimated to be</w:t>
      </w:r>
      <w:r w:rsidR="00FE74FB" w:rsidRPr="009F45BA">
        <w:rPr>
          <w:rFonts w:ascii="Book Antiqua" w:hAnsi="Book Antiqua"/>
          <w:sz w:val="24"/>
          <w:szCs w:val="24"/>
        </w:rPr>
        <w:t xml:space="preserve"> 7</w:t>
      </w:r>
      <w:r w:rsidR="007C51ED" w:rsidRPr="009F45BA">
        <w:rPr>
          <w:rFonts w:ascii="Book Antiqua" w:hAnsi="Book Antiqua"/>
          <w:sz w:val="24"/>
          <w:szCs w:val="24"/>
        </w:rPr>
        <w:t xml:space="preserve">5% in </w:t>
      </w:r>
      <w:r w:rsidR="00383435" w:rsidRPr="009F45BA">
        <w:rPr>
          <w:rFonts w:ascii="Book Antiqua" w:hAnsi="Book Antiqua"/>
          <w:sz w:val="24"/>
          <w:szCs w:val="24"/>
        </w:rPr>
        <w:t>g</w:t>
      </w:r>
      <w:r w:rsidR="00FE74FB" w:rsidRPr="009F45BA">
        <w:rPr>
          <w:rFonts w:ascii="Book Antiqua" w:hAnsi="Book Antiqua"/>
          <w:sz w:val="24"/>
          <w:szCs w:val="24"/>
        </w:rPr>
        <w:t>roup I</w:t>
      </w:r>
      <w:r w:rsidR="00383435" w:rsidRPr="009F45BA">
        <w:rPr>
          <w:rFonts w:ascii="Book Antiqua" w:hAnsi="Book Antiqua"/>
          <w:sz w:val="24"/>
          <w:szCs w:val="24"/>
        </w:rPr>
        <w:t xml:space="preserve"> and 50% in g</w:t>
      </w:r>
      <w:r w:rsidR="007C51ED" w:rsidRPr="009F45BA">
        <w:rPr>
          <w:rFonts w:ascii="Book Antiqua" w:hAnsi="Book Antiqua"/>
          <w:sz w:val="24"/>
          <w:szCs w:val="24"/>
        </w:rPr>
        <w:t xml:space="preserve">roup </w:t>
      </w:r>
      <w:r w:rsidR="00383435" w:rsidRPr="009F45BA">
        <w:rPr>
          <w:rFonts w:ascii="Book Antiqua" w:hAnsi="Book Antiqua"/>
          <w:sz w:val="24"/>
          <w:szCs w:val="24"/>
        </w:rPr>
        <w:t>P</w:t>
      </w:r>
      <w:r w:rsidR="007C51ED" w:rsidRPr="009F45BA">
        <w:rPr>
          <w:rFonts w:ascii="Book Antiqua" w:hAnsi="Book Antiqua"/>
          <w:sz w:val="24"/>
          <w:szCs w:val="24"/>
        </w:rPr>
        <w:t xml:space="preserve">. </w:t>
      </w:r>
      <w:r w:rsidR="00FE74FB" w:rsidRPr="009F45BA">
        <w:rPr>
          <w:rFonts w:ascii="Book Antiqua" w:hAnsi="Book Antiqua"/>
          <w:sz w:val="24"/>
          <w:szCs w:val="24"/>
        </w:rPr>
        <w:t>As a result, 45</w:t>
      </w:r>
      <w:r w:rsidR="007C51ED" w:rsidRPr="009F45BA">
        <w:rPr>
          <w:rFonts w:ascii="Book Antiqua" w:hAnsi="Book Antiqua"/>
          <w:sz w:val="24"/>
          <w:szCs w:val="24"/>
        </w:rPr>
        <w:t xml:space="preserve"> patients </w:t>
      </w:r>
      <w:r w:rsidR="002A5155" w:rsidRPr="009F45BA">
        <w:rPr>
          <w:rFonts w:ascii="Book Antiqua" w:hAnsi="Book Antiqua"/>
          <w:sz w:val="24"/>
          <w:szCs w:val="24"/>
        </w:rPr>
        <w:t xml:space="preserve">were </w:t>
      </w:r>
      <w:r w:rsidR="007C51ED" w:rsidRPr="009F45BA">
        <w:rPr>
          <w:rFonts w:ascii="Book Antiqua" w:hAnsi="Book Antiqua"/>
          <w:sz w:val="24"/>
          <w:szCs w:val="24"/>
        </w:rPr>
        <w:t xml:space="preserve">required </w:t>
      </w:r>
      <w:r w:rsidR="002A5155" w:rsidRPr="009F45BA">
        <w:rPr>
          <w:rFonts w:ascii="Book Antiqua" w:hAnsi="Book Antiqua"/>
          <w:sz w:val="24"/>
          <w:szCs w:val="24"/>
        </w:rPr>
        <w:t xml:space="preserve">in each group </w:t>
      </w:r>
      <w:r w:rsidR="007C51ED" w:rsidRPr="009F45BA">
        <w:rPr>
          <w:rFonts w:ascii="Book Antiqua" w:hAnsi="Book Antiqua"/>
          <w:sz w:val="24"/>
          <w:szCs w:val="24"/>
        </w:rPr>
        <w:t xml:space="preserve">to detect a significant difference between </w:t>
      </w:r>
      <w:r w:rsidR="002A5155" w:rsidRPr="009F45BA">
        <w:rPr>
          <w:rFonts w:ascii="Book Antiqua" w:hAnsi="Book Antiqua"/>
          <w:sz w:val="24"/>
          <w:szCs w:val="24"/>
        </w:rPr>
        <w:t xml:space="preserve">the </w:t>
      </w:r>
      <w:r w:rsidR="007C51ED" w:rsidRPr="009F45BA">
        <w:rPr>
          <w:rFonts w:ascii="Book Antiqua" w:hAnsi="Book Antiqua"/>
          <w:sz w:val="24"/>
          <w:szCs w:val="24"/>
        </w:rPr>
        <w:t xml:space="preserve">groups with </w:t>
      </w:r>
      <w:proofErr w:type="gramStart"/>
      <w:r w:rsidR="007C51ED" w:rsidRPr="009F45BA">
        <w:rPr>
          <w:rFonts w:ascii="Book Antiqua" w:hAnsi="Book Antiqua"/>
          <w:sz w:val="24"/>
          <w:szCs w:val="24"/>
        </w:rPr>
        <w:t>an</w:t>
      </w:r>
      <w:proofErr w:type="gramEnd"/>
      <w:r w:rsidR="007C51ED" w:rsidRPr="009F45BA">
        <w:rPr>
          <w:rFonts w:ascii="Book Antiqua" w:hAnsi="Book Antiqua"/>
          <w:sz w:val="24"/>
          <w:szCs w:val="24"/>
        </w:rPr>
        <w:t xml:space="preserve"> α </w:t>
      </w:r>
      <w:r w:rsidR="002A5155" w:rsidRPr="009F45BA">
        <w:rPr>
          <w:rFonts w:ascii="Book Antiqua" w:hAnsi="Book Antiqua"/>
          <w:sz w:val="24"/>
          <w:szCs w:val="24"/>
        </w:rPr>
        <w:t xml:space="preserve">value </w:t>
      </w:r>
      <w:r w:rsidR="007C51ED" w:rsidRPr="009F45BA">
        <w:rPr>
          <w:rFonts w:ascii="Book Antiqua" w:hAnsi="Book Antiqua"/>
          <w:sz w:val="24"/>
          <w:szCs w:val="24"/>
        </w:rPr>
        <w:t xml:space="preserve">of 0.05 and </w:t>
      </w:r>
      <w:r w:rsidR="002A5155" w:rsidRPr="009F45BA">
        <w:rPr>
          <w:rFonts w:ascii="Book Antiqua" w:hAnsi="Book Antiqua"/>
          <w:sz w:val="24"/>
          <w:szCs w:val="24"/>
        </w:rPr>
        <w:t xml:space="preserve">a </w:t>
      </w:r>
      <w:r w:rsidR="007C51ED" w:rsidRPr="009F45BA">
        <w:rPr>
          <w:rFonts w:ascii="Book Antiqua" w:hAnsi="Book Antiqua"/>
          <w:sz w:val="24"/>
          <w:szCs w:val="24"/>
        </w:rPr>
        <w:t>power (1-β</w:t>
      </w:r>
      <w:r w:rsidR="00FE74FB" w:rsidRPr="009F45BA">
        <w:rPr>
          <w:rFonts w:ascii="Book Antiqua" w:hAnsi="Book Antiqua"/>
          <w:sz w:val="24"/>
          <w:szCs w:val="24"/>
        </w:rPr>
        <w:t>) of 0.8</w:t>
      </w:r>
      <w:r w:rsidR="007C51ED" w:rsidRPr="009F45BA">
        <w:rPr>
          <w:rFonts w:ascii="Book Antiqua" w:hAnsi="Book Antiqua"/>
          <w:sz w:val="24"/>
          <w:szCs w:val="24"/>
        </w:rPr>
        <w:t xml:space="preserve">. </w:t>
      </w:r>
    </w:p>
    <w:p w:rsidR="00184AF1" w:rsidRPr="009F45BA" w:rsidRDefault="00184AF1" w:rsidP="00163410">
      <w:pPr>
        <w:widowControl/>
        <w:adjustRightInd w:val="0"/>
        <w:snapToGrid w:val="0"/>
        <w:spacing w:line="360" w:lineRule="auto"/>
        <w:rPr>
          <w:rFonts w:ascii="Book Antiqua" w:eastAsia="MS PMincho" w:hAnsi="Book Antiqua"/>
          <w:sz w:val="24"/>
          <w:szCs w:val="24"/>
        </w:rPr>
      </w:pPr>
    </w:p>
    <w:p w:rsidR="00F05017" w:rsidRPr="00826736" w:rsidRDefault="002A5155" w:rsidP="0016341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MS PMincho" w:hAnsi="Book Antiqua"/>
          <w:b/>
          <w:i/>
          <w:sz w:val="24"/>
          <w:szCs w:val="24"/>
        </w:rPr>
      </w:pPr>
      <w:r w:rsidRPr="00826736">
        <w:rPr>
          <w:rFonts w:ascii="Book Antiqua" w:eastAsia="MS PMincho" w:hAnsi="Book Antiqua"/>
          <w:b/>
          <w:i/>
          <w:sz w:val="24"/>
          <w:szCs w:val="24"/>
        </w:rPr>
        <w:t>Statistical a</w:t>
      </w:r>
      <w:r w:rsidR="009D399D" w:rsidRPr="00826736">
        <w:rPr>
          <w:rFonts w:ascii="Book Antiqua" w:eastAsia="MS PMincho" w:hAnsi="Book Antiqua"/>
          <w:b/>
          <w:i/>
          <w:sz w:val="24"/>
          <w:szCs w:val="24"/>
        </w:rPr>
        <w:t>nalysis</w:t>
      </w:r>
    </w:p>
    <w:p w:rsidR="006C6A2E" w:rsidRPr="009F45BA" w:rsidRDefault="002A5155" w:rsidP="00826736">
      <w:pPr>
        <w:adjustRightInd w:val="0"/>
        <w:snapToGrid w:val="0"/>
        <w:spacing w:line="360" w:lineRule="auto"/>
        <w:ind w:rightChars="-50" w:right="-110"/>
        <w:rPr>
          <w:rFonts w:ascii="Book Antiqua" w:eastAsia="MS Gothic" w:hAnsi="Book Antiqua"/>
          <w:sz w:val="24"/>
          <w:szCs w:val="24"/>
        </w:rPr>
      </w:pPr>
      <w:r w:rsidRPr="009F45BA">
        <w:rPr>
          <w:rFonts w:ascii="Book Antiqua" w:eastAsia="MS PMincho" w:hAnsi="Book Antiqua"/>
          <w:sz w:val="24"/>
          <w:szCs w:val="24"/>
        </w:rPr>
        <w:t>We compared the two groups</w:t>
      </w:r>
      <w:r w:rsidR="009D3BED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Pr="009F45BA">
        <w:rPr>
          <w:rFonts w:ascii="Book Antiqua" w:eastAsia="MS PMincho" w:hAnsi="Book Antiqua"/>
          <w:sz w:val="24"/>
          <w:szCs w:val="24"/>
        </w:rPr>
        <w:t>in relation to the proportions of the</w:t>
      </w:r>
      <w:r w:rsidR="009D3BED" w:rsidRPr="009F45BA">
        <w:rPr>
          <w:rFonts w:ascii="Book Antiqua" w:eastAsia="MS PMincho" w:hAnsi="Book Antiqua"/>
          <w:sz w:val="24"/>
          <w:szCs w:val="24"/>
        </w:rPr>
        <w:t xml:space="preserve"> sex</w:t>
      </w:r>
      <w:r w:rsidRPr="009F45BA">
        <w:rPr>
          <w:rFonts w:ascii="Book Antiqua" w:eastAsia="MS PMincho" w:hAnsi="Book Antiqua"/>
          <w:sz w:val="24"/>
          <w:szCs w:val="24"/>
        </w:rPr>
        <w:t>es, smoking habits</w:t>
      </w:r>
      <w:r w:rsidR="009D3BED" w:rsidRPr="009F45BA">
        <w:rPr>
          <w:rFonts w:ascii="Book Antiqua" w:eastAsia="MS PMincho" w:hAnsi="Book Antiqua"/>
          <w:sz w:val="24"/>
          <w:szCs w:val="24"/>
        </w:rPr>
        <w:t xml:space="preserve">, </w:t>
      </w:r>
      <w:r w:rsidRPr="009F45BA">
        <w:rPr>
          <w:rFonts w:ascii="Book Antiqua" w:eastAsia="MS PMincho" w:hAnsi="Book Antiqua"/>
          <w:sz w:val="24"/>
          <w:szCs w:val="24"/>
        </w:rPr>
        <w:t xml:space="preserve">the presence of </w:t>
      </w:r>
      <w:r w:rsidR="009D3BED" w:rsidRPr="009F45BA">
        <w:rPr>
          <w:rFonts w:ascii="Book Antiqua" w:eastAsia="MS PMincho" w:hAnsi="Book Antiqua"/>
          <w:sz w:val="24"/>
          <w:szCs w:val="24"/>
        </w:rPr>
        <w:t>hiatal hernia</w:t>
      </w:r>
      <w:r w:rsidRPr="009F45BA">
        <w:rPr>
          <w:rFonts w:ascii="Book Antiqua" w:eastAsia="MS PMincho" w:hAnsi="Book Antiqua"/>
          <w:sz w:val="24"/>
          <w:szCs w:val="24"/>
        </w:rPr>
        <w:t>s</w:t>
      </w:r>
      <w:r w:rsidR="009D3BED" w:rsidRPr="009F45BA">
        <w:rPr>
          <w:rFonts w:ascii="Book Antiqua" w:eastAsia="MS PMincho" w:hAnsi="Book Antiqua"/>
          <w:sz w:val="24"/>
          <w:szCs w:val="24"/>
        </w:rPr>
        <w:t xml:space="preserve">, alcohol </w:t>
      </w:r>
      <w:r w:rsidRPr="009F45BA">
        <w:rPr>
          <w:rFonts w:ascii="Book Antiqua" w:eastAsia="MS PMincho" w:hAnsi="Book Antiqua"/>
          <w:sz w:val="24"/>
          <w:szCs w:val="24"/>
        </w:rPr>
        <w:t xml:space="preserve">consumption, </w:t>
      </w:r>
      <w:r w:rsidR="009D3BED" w:rsidRPr="009F45BA">
        <w:rPr>
          <w:rFonts w:ascii="Book Antiqua" w:eastAsia="MS PMincho" w:hAnsi="Book Antiqua"/>
          <w:sz w:val="24"/>
          <w:szCs w:val="24"/>
        </w:rPr>
        <w:t xml:space="preserve">and </w:t>
      </w:r>
      <w:r w:rsidRPr="009F45BA">
        <w:rPr>
          <w:rFonts w:ascii="Book Antiqua" w:eastAsia="MS PMincho" w:hAnsi="Book Antiqua"/>
          <w:sz w:val="24"/>
          <w:szCs w:val="24"/>
        </w:rPr>
        <w:t xml:space="preserve">the </w:t>
      </w:r>
      <w:r w:rsidR="009D3BED" w:rsidRPr="009F45BA">
        <w:rPr>
          <w:rFonts w:ascii="Book Antiqua" w:eastAsia="MS PMincho" w:hAnsi="Book Antiqua"/>
          <w:sz w:val="24"/>
          <w:szCs w:val="24"/>
        </w:rPr>
        <w:t>endoscopic grade</w:t>
      </w:r>
      <w:r w:rsidRPr="009F45BA">
        <w:rPr>
          <w:rFonts w:ascii="Book Antiqua" w:eastAsia="MS PMincho" w:hAnsi="Book Antiqua"/>
          <w:sz w:val="24"/>
          <w:szCs w:val="24"/>
        </w:rPr>
        <w:t>s</w:t>
      </w:r>
      <w:r w:rsidR="00C15822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Pr="009F45BA">
        <w:rPr>
          <w:rFonts w:ascii="Book Antiqua" w:eastAsia="MS PMincho" w:hAnsi="Book Antiqua"/>
          <w:sz w:val="24"/>
          <w:szCs w:val="24"/>
        </w:rPr>
        <w:t>using</w:t>
      </w:r>
      <w:r w:rsidR="00C15822" w:rsidRPr="009F45BA">
        <w:rPr>
          <w:rFonts w:ascii="Book Antiqua" w:eastAsia="MS PMincho" w:hAnsi="Book Antiqua"/>
          <w:sz w:val="24"/>
          <w:szCs w:val="24"/>
        </w:rPr>
        <w:t xml:space="preserve"> the χ</w:t>
      </w:r>
      <w:r w:rsidR="00C15822" w:rsidRPr="009F45BA">
        <w:rPr>
          <w:rFonts w:ascii="Book Antiqua" w:eastAsia="MS PMincho" w:hAnsi="Book Antiqua"/>
          <w:sz w:val="24"/>
          <w:szCs w:val="24"/>
          <w:vertAlign w:val="superscript"/>
        </w:rPr>
        <w:t xml:space="preserve">2 </w:t>
      </w:r>
      <w:r w:rsidR="00C15822" w:rsidRPr="009F45BA">
        <w:rPr>
          <w:rFonts w:ascii="Book Antiqua" w:eastAsia="MS PMincho" w:hAnsi="Book Antiqua"/>
          <w:sz w:val="24"/>
          <w:szCs w:val="24"/>
        </w:rPr>
        <w:t xml:space="preserve">test. </w:t>
      </w:r>
      <w:r w:rsidRPr="009F45BA">
        <w:rPr>
          <w:rFonts w:ascii="Book Antiqua" w:hAnsi="Book Antiqua"/>
          <w:sz w:val="24"/>
          <w:szCs w:val="24"/>
        </w:rPr>
        <w:t>Continuous variables are</w:t>
      </w:r>
      <w:r w:rsidR="00C15822" w:rsidRPr="009F45BA">
        <w:rPr>
          <w:rFonts w:ascii="Book Antiqua" w:hAnsi="Book Antiqua"/>
          <w:sz w:val="24"/>
          <w:szCs w:val="24"/>
        </w:rPr>
        <w:t xml:space="preserve"> </w:t>
      </w:r>
      <w:r w:rsidRPr="009F45BA">
        <w:rPr>
          <w:rFonts w:ascii="Book Antiqua" w:hAnsi="Book Antiqua"/>
          <w:sz w:val="24"/>
          <w:szCs w:val="24"/>
        </w:rPr>
        <w:t>presented</w:t>
      </w:r>
      <w:r w:rsidR="00C15822" w:rsidRPr="009F45BA">
        <w:rPr>
          <w:rFonts w:ascii="Book Antiqua" w:hAnsi="Book Antiqua"/>
          <w:sz w:val="24"/>
          <w:szCs w:val="24"/>
        </w:rPr>
        <w:t xml:space="preserve"> as </w:t>
      </w:r>
      <w:r w:rsidRPr="009F45BA">
        <w:rPr>
          <w:rFonts w:ascii="Book Antiqua" w:hAnsi="Book Antiqua"/>
          <w:sz w:val="24"/>
          <w:szCs w:val="24"/>
        </w:rPr>
        <w:t xml:space="preserve">the </w:t>
      </w:r>
      <w:r w:rsidR="00C15822" w:rsidRPr="009F45BA">
        <w:rPr>
          <w:rFonts w:ascii="Book Antiqua" w:hAnsi="Book Antiqua"/>
          <w:sz w:val="24"/>
          <w:szCs w:val="24"/>
        </w:rPr>
        <w:t>mean</w:t>
      </w:r>
      <w:r w:rsidRPr="009F45BA">
        <w:rPr>
          <w:rFonts w:ascii="Book Antiqua" w:hAnsi="Book Antiqua"/>
          <w:sz w:val="24"/>
          <w:szCs w:val="24"/>
        </w:rPr>
        <w:t>s</w:t>
      </w:r>
      <w:r w:rsidR="00C15822" w:rsidRPr="009F45BA">
        <w:rPr>
          <w:rFonts w:ascii="Book Antiqua" w:hAnsi="Book Antiqua"/>
          <w:sz w:val="24"/>
          <w:szCs w:val="24"/>
        </w:rPr>
        <w:t xml:space="preserve"> </w:t>
      </w:r>
      <w:r w:rsidR="00C15822" w:rsidRPr="009F45BA">
        <w:rPr>
          <w:rFonts w:ascii="Book Antiqua" w:eastAsia="MS PMincho" w:hAnsi="Book Antiqua"/>
          <w:sz w:val="24"/>
          <w:szCs w:val="24"/>
        </w:rPr>
        <w:t>± standard deviation</w:t>
      </w:r>
      <w:r w:rsidRPr="009F45BA">
        <w:rPr>
          <w:rFonts w:ascii="Book Antiqua" w:eastAsia="MS PMincho" w:hAnsi="Book Antiqua"/>
          <w:sz w:val="24"/>
          <w:szCs w:val="24"/>
        </w:rPr>
        <w:t>s</w:t>
      </w:r>
      <w:r w:rsidR="00C15822" w:rsidRPr="009F45BA">
        <w:rPr>
          <w:rFonts w:ascii="Book Antiqua" w:eastAsia="MS PMincho" w:hAnsi="Book Antiqua"/>
          <w:sz w:val="24"/>
          <w:szCs w:val="24"/>
        </w:rPr>
        <w:t xml:space="preserve"> (SD). Differences in </w:t>
      </w:r>
      <w:r w:rsidRPr="009F45BA">
        <w:rPr>
          <w:rFonts w:ascii="Book Antiqua" w:eastAsia="MS PMincho" w:hAnsi="Book Antiqua"/>
          <w:sz w:val="24"/>
          <w:szCs w:val="24"/>
        </w:rPr>
        <w:t xml:space="preserve">the </w:t>
      </w:r>
      <w:r w:rsidR="00C15822" w:rsidRPr="009F45BA">
        <w:rPr>
          <w:rFonts w:ascii="Book Antiqua" w:eastAsia="MS PMincho" w:hAnsi="Book Antiqua"/>
          <w:sz w:val="24"/>
          <w:szCs w:val="24"/>
        </w:rPr>
        <w:t xml:space="preserve">continuous variables, </w:t>
      </w:r>
      <w:r w:rsidRPr="009F45BA">
        <w:rPr>
          <w:rFonts w:ascii="Book Antiqua" w:eastAsia="MS PMincho" w:hAnsi="Book Antiqua"/>
          <w:sz w:val="24"/>
          <w:szCs w:val="24"/>
        </w:rPr>
        <w:t>including</w:t>
      </w:r>
      <w:r w:rsidR="00C15822" w:rsidRPr="009F45BA">
        <w:rPr>
          <w:rFonts w:ascii="Book Antiqua" w:eastAsia="MS PMincho" w:hAnsi="Book Antiqua"/>
          <w:sz w:val="24"/>
          <w:szCs w:val="24"/>
        </w:rPr>
        <w:t xml:space="preserve"> age, </w:t>
      </w:r>
      <w:r w:rsidRPr="009F45BA">
        <w:rPr>
          <w:rFonts w:ascii="Book Antiqua" w:eastAsia="MS PMincho" w:hAnsi="Book Antiqua"/>
          <w:sz w:val="24"/>
          <w:szCs w:val="24"/>
        </w:rPr>
        <w:t xml:space="preserve">the </w:t>
      </w:r>
      <w:r w:rsidR="009D3BED" w:rsidRPr="009F45BA">
        <w:rPr>
          <w:rFonts w:ascii="Book Antiqua" w:eastAsia="MS PMincho" w:hAnsi="Book Antiqua"/>
          <w:sz w:val="24"/>
          <w:szCs w:val="24"/>
        </w:rPr>
        <w:t>FSSG score</w:t>
      </w:r>
      <w:r w:rsidR="00867693" w:rsidRPr="009F45BA">
        <w:rPr>
          <w:rFonts w:ascii="Book Antiqua" w:eastAsia="MS PMincho" w:hAnsi="Book Antiqua"/>
          <w:sz w:val="24"/>
          <w:szCs w:val="24"/>
        </w:rPr>
        <w:t>s</w:t>
      </w:r>
      <w:r w:rsidR="00FB0623" w:rsidRPr="009F45BA">
        <w:rPr>
          <w:rFonts w:ascii="Book Antiqua" w:eastAsia="MS PMincho" w:hAnsi="Book Antiqua"/>
          <w:sz w:val="24"/>
          <w:szCs w:val="24"/>
        </w:rPr>
        <w:t>,</w:t>
      </w:r>
      <w:r w:rsidR="009D3BED" w:rsidRPr="009F45BA">
        <w:rPr>
          <w:rFonts w:ascii="Book Antiqua" w:eastAsia="MS PMincho" w:hAnsi="Book Antiqua"/>
          <w:sz w:val="24"/>
          <w:szCs w:val="24"/>
        </w:rPr>
        <w:t xml:space="preserve"> and </w:t>
      </w:r>
      <w:r w:rsidRPr="009F45BA">
        <w:rPr>
          <w:rFonts w:ascii="Book Antiqua" w:eastAsia="MS PMincho" w:hAnsi="Book Antiqua"/>
          <w:sz w:val="24"/>
          <w:szCs w:val="24"/>
        </w:rPr>
        <w:t>the body mass indices,</w:t>
      </w:r>
      <w:r w:rsidR="009D3BED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C15822" w:rsidRPr="009F45BA">
        <w:rPr>
          <w:rFonts w:ascii="Book Antiqua" w:eastAsia="MS PMincho" w:hAnsi="Book Antiqua"/>
          <w:sz w:val="24"/>
          <w:szCs w:val="24"/>
        </w:rPr>
        <w:t xml:space="preserve">were analyzed using the Mann-Whitney </w:t>
      </w:r>
      <w:r w:rsidR="00C15822" w:rsidRPr="009F45BA">
        <w:rPr>
          <w:rFonts w:ascii="Book Antiqua" w:eastAsia="MS PMincho" w:hAnsi="Book Antiqua"/>
          <w:i/>
          <w:sz w:val="24"/>
          <w:szCs w:val="24"/>
        </w:rPr>
        <w:t>U</w:t>
      </w:r>
      <w:r w:rsidR="00C15822" w:rsidRPr="009F45BA">
        <w:rPr>
          <w:rFonts w:ascii="Book Antiqua" w:eastAsia="MS PMincho" w:hAnsi="Book Antiqua"/>
          <w:sz w:val="24"/>
          <w:szCs w:val="24"/>
        </w:rPr>
        <w:t>-test.</w:t>
      </w:r>
      <w:r w:rsidR="00C15822" w:rsidRPr="009F45BA">
        <w:rPr>
          <w:rFonts w:ascii="Book Antiqua" w:eastAsia="MS Gothic" w:hAnsi="Book Antiqua"/>
          <w:sz w:val="24"/>
          <w:szCs w:val="24"/>
        </w:rPr>
        <w:t xml:space="preserve"> </w:t>
      </w:r>
      <w:r w:rsidRPr="009F45BA">
        <w:rPr>
          <w:rFonts w:ascii="Book Antiqua" w:eastAsia="MS Gothic" w:hAnsi="Book Antiqua"/>
          <w:sz w:val="24"/>
          <w:szCs w:val="24"/>
        </w:rPr>
        <w:t xml:space="preserve">A </w:t>
      </w:r>
      <w:r w:rsidR="00FB0623" w:rsidRPr="009F45BA">
        <w:rPr>
          <w:rFonts w:ascii="Book Antiqua" w:eastAsia="MS Gothic" w:hAnsi="Book Antiqua"/>
          <w:i/>
          <w:sz w:val="24"/>
          <w:szCs w:val="24"/>
        </w:rPr>
        <w:t>P</w:t>
      </w:r>
      <w:r w:rsidR="00826736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9F45BA">
        <w:rPr>
          <w:rFonts w:ascii="Book Antiqua" w:eastAsia="MS Gothic" w:hAnsi="Book Antiqua"/>
          <w:sz w:val="24"/>
          <w:szCs w:val="24"/>
        </w:rPr>
        <w:t>value</w:t>
      </w:r>
      <w:r w:rsidR="00C15822" w:rsidRPr="009F45BA">
        <w:rPr>
          <w:rFonts w:ascii="Book Antiqua" w:eastAsia="MS Gothic" w:hAnsi="Book Antiqua"/>
          <w:sz w:val="24"/>
          <w:szCs w:val="24"/>
        </w:rPr>
        <w:t xml:space="preserve"> of </w:t>
      </w:r>
      <w:r w:rsidR="00C15822" w:rsidRPr="009F45BA">
        <w:rPr>
          <w:rFonts w:ascii="Book Antiqua" w:eastAsia="MS Gothic" w:hAnsi="Book Antiqua"/>
          <w:i/>
          <w:sz w:val="24"/>
          <w:szCs w:val="24"/>
        </w:rPr>
        <w:t>&lt;</w:t>
      </w:r>
      <w:r w:rsidRPr="009F45BA">
        <w:rPr>
          <w:rFonts w:ascii="Book Antiqua" w:eastAsia="MS Gothic" w:hAnsi="Book Antiqua"/>
          <w:i/>
          <w:sz w:val="24"/>
          <w:szCs w:val="24"/>
        </w:rPr>
        <w:t xml:space="preserve"> </w:t>
      </w:r>
      <w:r w:rsidR="00C15822" w:rsidRPr="009F45BA">
        <w:rPr>
          <w:rFonts w:ascii="Book Antiqua" w:eastAsia="MS Gothic" w:hAnsi="Book Antiqua"/>
          <w:sz w:val="24"/>
          <w:szCs w:val="24"/>
        </w:rPr>
        <w:t>0.05</w:t>
      </w:r>
      <w:r w:rsidRPr="009F45BA">
        <w:rPr>
          <w:rFonts w:ascii="Book Antiqua" w:eastAsia="MS Gothic" w:hAnsi="Book Antiqua"/>
          <w:sz w:val="24"/>
          <w:szCs w:val="24"/>
        </w:rPr>
        <w:t xml:space="preserve"> was</w:t>
      </w:r>
      <w:r w:rsidR="00C15822" w:rsidRPr="009F45BA">
        <w:rPr>
          <w:rFonts w:ascii="Book Antiqua" w:eastAsia="MS Gothic" w:hAnsi="Book Antiqua"/>
          <w:sz w:val="24"/>
          <w:szCs w:val="24"/>
        </w:rPr>
        <w:t xml:space="preserve"> considered statistically significant.</w:t>
      </w:r>
      <w:r w:rsidR="005448B1" w:rsidRPr="009F45BA">
        <w:rPr>
          <w:rFonts w:ascii="Book Antiqua" w:eastAsia="MS Gothic" w:hAnsi="Book Antiqua"/>
          <w:sz w:val="24"/>
          <w:szCs w:val="24"/>
        </w:rPr>
        <w:t xml:space="preserve"> </w:t>
      </w:r>
      <w:r w:rsidR="005448B1" w:rsidRPr="009F45BA">
        <w:rPr>
          <w:rFonts w:ascii="Book Antiqua" w:eastAsia="MS PMincho" w:hAnsi="Book Antiqua"/>
          <w:sz w:val="24"/>
          <w:szCs w:val="24"/>
        </w:rPr>
        <w:t xml:space="preserve">The SF-36 QOL </w:t>
      </w:r>
      <w:r w:rsidRPr="009F45BA">
        <w:rPr>
          <w:rFonts w:ascii="Book Antiqua" w:eastAsia="MS PMincho" w:hAnsi="Book Antiqua"/>
          <w:sz w:val="24"/>
          <w:szCs w:val="24"/>
        </w:rPr>
        <w:t xml:space="preserve">questionnaire </w:t>
      </w:r>
      <w:r w:rsidR="005448B1" w:rsidRPr="009F45BA">
        <w:rPr>
          <w:rFonts w:ascii="Book Antiqua" w:eastAsia="MS PMincho" w:hAnsi="Book Antiqua"/>
          <w:sz w:val="24"/>
          <w:szCs w:val="24"/>
        </w:rPr>
        <w:t>scores were evaluated u</w:t>
      </w:r>
      <w:r w:rsidRPr="009F45BA">
        <w:rPr>
          <w:rFonts w:ascii="Book Antiqua" w:eastAsia="MS PMincho" w:hAnsi="Book Antiqua"/>
          <w:sz w:val="24"/>
          <w:szCs w:val="24"/>
        </w:rPr>
        <w:t>sing the Wilcoxon signed</w:t>
      </w:r>
      <w:r w:rsidR="00C8539F" w:rsidRPr="009F45BA">
        <w:rPr>
          <w:rFonts w:ascii="Book Antiqua" w:eastAsia="MS PMincho" w:hAnsi="Book Antiqua"/>
          <w:sz w:val="24"/>
          <w:szCs w:val="24"/>
        </w:rPr>
        <w:t>-</w:t>
      </w:r>
      <w:r w:rsidR="005448B1" w:rsidRPr="009F45BA">
        <w:rPr>
          <w:rFonts w:ascii="Book Antiqua" w:eastAsia="MS PMincho" w:hAnsi="Book Antiqua"/>
          <w:sz w:val="24"/>
          <w:szCs w:val="24"/>
        </w:rPr>
        <w:t>rank test.</w:t>
      </w:r>
      <w:r w:rsidR="00807A54">
        <w:rPr>
          <w:rFonts w:ascii="Book Antiqua" w:eastAsia="MS PMincho" w:hAnsi="Book Antiqua"/>
          <w:sz w:val="24"/>
          <w:szCs w:val="24"/>
        </w:rPr>
        <w:t xml:space="preserve"> </w:t>
      </w:r>
    </w:p>
    <w:p w:rsidR="00826736" w:rsidRDefault="00826736" w:rsidP="00826736">
      <w:pPr>
        <w:adjustRightInd w:val="0"/>
        <w:snapToGrid w:val="0"/>
        <w:spacing w:line="360" w:lineRule="auto"/>
        <w:ind w:rightChars="-50" w:right="-110"/>
        <w:rPr>
          <w:rFonts w:ascii="Book Antiqua" w:eastAsia="宋体" w:hAnsi="Book Antiqua"/>
          <w:sz w:val="24"/>
          <w:szCs w:val="24"/>
          <w:lang w:eastAsia="zh-CN"/>
        </w:rPr>
      </w:pPr>
    </w:p>
    <w:p w:rsidR="006C6A2E" w:rsidRPr="00826736" w:rsidRDefault="00826736" w:rsidP="00826736">
      <w:pPr>
        <w:adjustRightInd w:val="0"/>
        <w:snapToGrid w:val="0"/>
        <w:spacing w:line="360" w:lineRule="auto"/>
        <w:ind w:rightChars="-50" w:right="-110"/>
        <w:rPr>
          <w:rFonts w:ascii="Book Antiqua" w:eastAsia="MS Gothic" w:hAnsi="Book Antiqua"/>
          <w:sz w:val="24"/>
          <w:szCs w:val="24"/>
        </w:rPr>
      </w:pPr>
      <w:r w:rsidRPr="00826736">
        <w:rPr>
          <w:rFonts w:ascii="Book Antiqua" w:eastAsia="MS Gothic" w:hAnsi="Book Antiqua"/>
          <w:b/>
          <w:sz w:val="24"/>
          <w:szCs w:val="24"/>
        </w:rPr>
        <w:t>RESULTS</w:t>
      </w:r>
      <w:r w:rsidRPr="00826736">
        <w:rPr>
          <w:rFonts w:ascii="Book Antiqua" w:eastAsia="MS Gothic" w:hAnsi="Book Antiqua" w:hint="eastAsia"/>
          <w:b/>
          <w:sz w:val="24"/>
          <w:szCs w:val="24"/>
        </w:rPr>
        <w:t xml:space="preserve">　　　　　　　　　　　　　　　　　　　　　　</w:t>
      </w:r>
    </w:p>
    <w:p w:rsidR="009022BD" w:rsidRPr="009F45BA" w:rsidRDefault="00F75FAD" w:rsidP="0082673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F45BA">
        <w:rPr>
          <w:rFonts w:ascii="Book Antiqua" w:hAnsi="Book Antiqua"/>
          <w:sz w:val="24"/>
          <w:szCs w:val="24"/>
        </w:rPr>
        <w:t xml:space="preserve">One hundred </w:t>
      </w:r>
      <w:r w:rsidR="00E138AE" w:rsidRPr="009F45BA">
        <w:rPr>
          <w:rFonts w:ascii="Book Antiqua" w:hAnsi="Book Antiqua"/>
          <w:sz w:val="24"/>
          <w:szCs w:val="24"/>
        </w:rPr>
        <w:t xml:space="preserve">patients </w:t>
      </w:r>
      <w:r w:rsidRPr="009F45BA">
        <w:rPr>
          <w:rFonts w:ascii="Book Antiqua" w:hAnsi="Book Antiqua"/>
          <w:sz w:val="24"/>
          <w:szCs w:val="24"/>
        </w:rPr>
        <w:t xml:space="preserve">with NERD </w:t>
      </w:r>
      <w:r w:rsidR="00E138AE" w:rsidRPr="009F45BA">
        <w:rPr>
          <w:rFonts w:ascii="Book Antiqua" w:hAnsi="Book Antiqua"/>
          <w:sz w:val="24"/>
          <w:szCs w:val="24"/>
        </w:rPr>
        <w:t xml:space="preserve">were </w:t>
      </w:r>
      <w:r w:rsidR="00E138AE" w:rsidRPr="009F45BA">
        <w:rPr>
          <w:rFonts w:ascii="Book Antiqua" w:eastAsia="MS PMincho" w:hAnsi="Book Antiqua"/>
          <w:sz w:val="24"/>
          <w:szCs w:val="24"/>
        </w:rPr>
        <w:t xml:space="preserve">randomized to one of </w:t>
      </w:r>
      <w:r w:rsidRPr="009F45BA">
        <w:rPr>
          <w:rFonts w:ascii="Book Antiqua" w:eastAsia="MS PMincho" w:hAnsi="Book Antiqua"/>
          <w:sz w:val="24"/>
          <w:szCs w:val="24"/>
        </w:rPr>
        <w:t xml:space="preserve">the </w:t>
      </w:r>
      <w:r w:rsidR="00E138AE" w:rsidRPr="009F45BA">
        <w:rPr>
          <w:rFonts w:ascii="Book Antiqua" w:eastAsia="MS PMincho" w:hAnsi="Book Antiqua"/>
          <w:sz w:val="24"/>
          <w:szCs w:val="24"/>
        </w:rPr>
        <w:t>two groups,</w:t>
      </w:r>
      <w:r w:rsidR="00E138AE" w:rsidRPr="009F45BA">
        <w:rPr>
          <w:rFonts w:ascii="Book Antiqua" w:hAnsi="Book Antiqua"/>
          <w:sz w:val="24"/>
          <w:szCs w:val="24"/>
        </w:rPr>
        <w:t xml:space="preserve"> </w:t>
      </w:r>
      <w:r w:rsidRPr="009F45BA">
        <w:rPr>
          <w:rFonts w:ascii="Book Antiqua" w:hAnsi="Book Antiqua"/>
          <w:sz w:val="24"/>
          <w:szCs w:val="24"/>
        </w:rPr>
        <w:t xml:space="preserve">but </w:t>
      </w:r>
      <w:r w:rsidR="00E138AE" w:rsidRPr="009F45BA">
        <w:rPr>
          <w:rFonts w:ascii="Book Antiqua" w:hAnsi="Book Antiqua"/>
          <w:sz w:val="24"/>
          <w:szCs w:val="24"/>
        </w:rPr>
        <w:t xml:space="preserve">three patients were excluded </w:t>
      </w:r>
      <w:r w:rsidRPr="009F45BA">
        <w:rPr>
          <w:rFonts w:ascii="Book Antiqua" w:hAnsi="Book Antiqua"/>
          <w:sz w:val="24"/>
          <w:szCs w:val="24"/>
        </w:rPr>
        <w:t xml:space="preserve">from the study </w:t>
      </w:r>
      <w:r w:rsidR="00E138AE" w:rsidRPr="009F45BA">
        <w:rPr>
          <w:rFonts w:ascii="Book Antiqua" w:hAnsi="Book Antiqua"/>
          <w:sz w:val="24"/>
          <w:szCs w:val="24"/>
        </w:rPr>
        <w:t xml:space="preserve">because </w:t>
      </w:r>
      <w:r w:rsidRPr="009F45BA">
        <w:rPr>
          <w:rFonts w:ascii="Book Antiqua" w:hAnsi="Book Antiqua"/>
          <w:sz w:val="24"/>
          <w:szCs w:val="24"/>
        </w:rPr>
        <w:t>some of their</w:t>
      </w:r>
      <w:r w:rsidR="00E138AE" w:rsidRPr="009F45BA">
        <w:rPr>
          <w:rFonts w:ascii="Book Antiqua" w:hAnsi="Book Antiqua"/>
          <w:sz w:val="24"/>
          <w:szCs w:val="24"/>
        </w:rPr>
        <w:t xml:space="preserve"> data</w:t>
      </w:r>
      <w:r w:rsidRPr="009F45BA">
        <w:rPr>
          <w:rFonts w:ascii="Book Antiqua" w:hAnsi="Book Antiqua"/>
          <w:sz w:val="24"/>
          <w:szCs w:val="24"/>
        </w:rPr>
        <w:t xml:space="preserve"> were missing. Consequently, 97</w:t>
      </w:r>
      <w:r w:rsidR="00176157" w:rsidRPr="009F45BA">
        <w:rPr>
          <w:rFonts w:ascii="Book Antiqua" w:hAnsi="Book Antiqua"/>
          <w:sz w:val="24"/>
          <w:szCs w:val="24"/>
        </w:rPr>
        <w:t xml:space="preserve"> patients</w:t>
      </w:r>
      <w:r w:rsidRPr="009F45BA">
        <w:rPr>
          <w:rFonts w:ascii="Book Antiqua" w:hAnsi="Book Antiqua"/>
          <w:sz w:val="24"/>
          <w:szCs w:val="24"/>
        </w:rPr>
        <w:t xml:space="preserve"> were included in the analysis. G</w:t>
      </w:r>
      <w:r w:rsidR="00176157" w:rsidRPr="009F45BA">
        <w:rPr>
          <w:rFonts w:ascii="Book Antiqua" w:hAnsi="Book Antiqua"/>
          <w:sz w:val="24"/>
          <w:szCs w:val="24"/>
        </w:rPr>
        <w:t xml:space="preserve">roup I </w:t>
      </w:r>
      <w:r w:rsidRPr="009F45BA">
        <w:rPr>
          <w:rFonts w:ascii="Book Antiqua" w:hAnsi="Book Antiqua"/>
          <w:sz w:val="24"/>
          <w:szCs w:val="24"/>
        </w:rPr>
        <w:t xml:space="preserve">comprised </w:t>
      </w:r>
      <w:r w:rsidR="00176157" w:rsidRPr="009F45BA">
        <w:rPr>
          <w:rFonts w:ascii="Book Antiqua" w:hAnsi="Book Antiqua"/>
          <w:sz w:val="24"/>
          <w:szCs w:val="24"/>
        </w:rPr>
        <w:t>49</w:t>
      </w:r>
      <w:r w:rsidRPr="009F45BA">
        <w:rPr>
          <w:rFonts w:ascii="Book Antiqua" w:hAnsi="Book Antiqua"/>
          <w:sz w:val="24"/>
          <w:szCs w:val="24"/>
        </w:rPr>
        <w:t xml:space="preserve"> individuals, which included </w:t>
      </w:r>
      <w:r w:rsidR="00176157" w:rsidRPr="009F45BA">
        <w:rPr>
          <w:rFonts w:ascii="Book Antiqua" w:hAnsi="Book Antiqua"/>
          <w:sz w:val="24"/>
          <w:szCs w:val="24"/>
        </w:rPr>
        <w:t xml:space="preserve">13 </w:t>
      </w:r>
      <w:r w:rsidRPr="009F45BA">
        <w:rPr>
          <w:rFonts w:ascii="Book Antiqua" w:hAnsi="Book Antiqua"/>
          <w:sz w:val="24"/>
          <w:szCs w:val="24"/>
        </w:rPr>
        <w:t>men, and their mean ±</w:t>
      </w:r>
      <w:r w:rsidRPr="009F45BA">
        <w:rPr>
          <w:rFonts w:ascii="Book Antiqua" w:eastAsia="MS PGothic" w:hAnsi="Book Antiqua"/>
          <w:sz w:val="24"/>
          <w:szCs w:val="24"/>
        </w:rPr>
        <w:t xml:space="preserve"> SD </w:t>
      </w:r>
      <w:r w:rsidR="00FD54F5" w:rsidRPr="009F45BA">
        <w:rPr>
          <w:rFonts w:ascii="Book Antiqua" w:eastAsia="MS PGothic" w:hAnsi="Book Antiqua"/>
          <w:sz w:val="24"/>
          <w:szCs w:val="24"/>
        </w:rPr>
        <w:t xml:space="preserve">age </w:t>
      </w:r>
      <w:r w:rsidRPr="009F45BA">
        <w:rPr>
          <w:rFonts w:ascii="Book Antiqua" w:eastAsia="MS PGothic" w:hAnsi="Book Antiqua"/>
          <w:sz w:val="24"/>
          <w:szCs w:val="24"/>
        </w:rPr>
        <w:t xml:space="preserve">was </w:t>
      </w:r>
      <w:r w:rsidR="00176157" w:rsidRPr="009F45BA">
        <w:rPr>
          <w:rFonts w:ascii="Book Antiqua" w:hAnsi="Book Antiqua"/>
          <w:sz w:val="24"/>
          <w:szCs w:val="24"/>
        </w:rPr>
        <w:t>51.1</w:t>
      </w:r>
      <w:r w:rsidRPr="009F45BA">
        <w:rPr>
          <w:rFonts w:ascii="Book Antiqua" w:hAnsi="Book Antiqua"/>
          <w:sz w:val="24"/>
          <w:szCs w:val="24"/>
        </w:rPr>
        <w:t xml:space="preserve"> </w:t>
      </w:r>
      <w:r w:rsidR="00176157" w:rsidRPr="009F45BA">
        <w:rPr>
          <w:rFonts w:ascii="Book Antiqua" w:hAnsi="Book Antiqua"/>
          <w:sz w:val="24"/>
          <w:szCs w:val="24"/>
        </w:rPr>
        <w:t>±</w:t>
      </w:r>
      <w:r w:rsidRPr="009F45BA">
        <w:rPr>
          <w:rFonts w:ascii="Book Antiqua" w:hAnsi="Book Antiqua"/>
          <w:sz w:val="24"/>
          <w:szCs w:val="24"/>
        </w:rPr>
        <w:t xml:space="preserve"> 16.4 years. Group P comprised 48 individuals, which included </w:t>
      </w:r>
      <w:r w:rsidR="00176157" w:rsidRPr="009F45BA">
        <w:rPr>
          <w:rFonts w:ascii="Book Antiqua" w:hAnsi="Book Antiqua"/>
          <w:sz w:val="24"/>
          <w:szCs w:val="24"/>
        </w:rPr>
        <w:t xml:space="preserve">19 </w:t>
      </w:r>
      <w:r w:rsidRPr="009F45BA">
        <w:rPr>
          <w:rFonts w:ascii="Book Antiqua" w:hAnsi="Book Antiqua"/>
          <w:sz w:val="24"/>
          <w:szCs w:val="24"/>
        </w:rPr>
        <w:t xml:space="preserve">men, </w:t>
      </w:r>
      <w:r w:rsidRPr="009F45BA">
        <w:rPr>
          <w:rFonts w:ascii="Book Antiqua" w:hAnsi="Book Antiqua"/>
          <w:sz w:val="24"/>
          <w:szCs w:val="24"/>
        </w:rPr>
        <w:lastRenderedPageBreak/>
        <w:t xml:space="preserve">and their mean ± SD </w:t>
      </w:r>
      <w:r w:rsidR="00FD54F5" w:rsidRPr="009F45BA">
        <w:rPr>
          <w:rFonts w:ascii="Book Antiqua" w:hAnsi="Book Antiqua"/>
          <w:sz w:val="24"/>
          <w:szCs w:val="24"/>
        </w:rPr>
        <w:t xml:space="preserve">age </w:t>
      </w:r>
      <w:r w:rsidRPr="009F45BA">
        <w:rPr>
          <w:rFonts w:ascii="Book Antiqua" w:hAnsi="Book Antiqua"/>
          <w:sz w:val="24"/>
          <w:szCs w:val="24"/>
        </w:rPr>
        <w:t xml:space="preserve">was </w:t>
      </w:r>
      <w:r w:rsidR="00176157" w:rsidRPr="009F45BA">
        <w:rPr>
          <w:rFonts w:ascii="Book Antiqua" w:hAnsi="Book Antiqua"/>
          <w:sz w:val="24"/>
          <w:szCs w:val="24"/>
        </w:rPr>
        <w:t>51.1</w:t>
      </w:r>
      <w:r w:rsidR="00856700" w:rsidRPr="009F45BA">
        <w:rPr>
          <w:rFonts w:ascii="Book Antiqua" w:hAnsi="Book Antiqua"/>
          <w:sz w:val="24"/>
          <w:szCs w:val="24"/>
        </w:rPr>
        <w:t xml:space="preserve"> </w:t>
      </w:r>
      <w:r w:rsidR="00176157" w:rsidRPr="009F45BA">
        <w:rPr>
          <w:rFonts w:ascii="Book Antiqua" w:hAnsi="Book Antiqua"/>
          <w:sz w:val="24"/>
          <w:szCs w:val="24"/>
        </w:rPr>
        <w:t>±</w:t>
      </w:r>
      <w:r w:rsidR="00856700" w:rsidRPr="009F45BA">
        <w:rPr>
          <w:rFonts w:ascii="Book Antiqua" w:hAnsi="Book Antiqua"/>
          <w:sz w:val="24"/>
          <w:szCs w:val="24"/>
        </w:rPr>
        <w:t xml:space="preserve"> 14.8 years</w:t>
      </w:r>
      <w:r w:rsidR="00176157" w:rsidRPr="009F45BA">
        <w:rPr>
          <w:rFonts w:ascii="Book Antiqua" w:hAnsi="Book Antiqua"/>
          <w:sz w:val="24"/>
          <w:szCs w:val="24"/>
        </w:rPr>
        <w:t xml:space="preserve">. </w:t>
      </w:r>
      <w:r w:rsidR="00856700" w:rsidRPr="009F45BA">
        <w:rPr>
          <w:rFonts w:ascii="Book Antiqua" w:hAnsi="Book Antiqua"/>
          <w:sz w:val="24"/>
          <w:szCs w:val="24"/>
        </w:rPr>
        <w:t>The b</w:t>
      </w:r>
      <w:r w:rsidR="00176157" w:rsidRPr="009F45BA">
        <w:rPr>
          <w:rFonts w:ascii="Book Antiqua" w:hAnsi="Book Antiqua"/>
          <w:sz w:val="24"/>
          <w:szCs w:val="24"/>
        </w:rPr>
        <w:t xml:space="preserve">aseline characteristics </w:t>
      </w:r>
      <w:r w:rsidR="00856700" w:rsidRPr="009F45BA">
        <w:rPr>
          <w:rFonts w:ascii="Book Antiqua" w:hAnsi="Book Antiqua"/>
          <w:sz w:val="24"/>
          <w:szCs w:val="24"/>
        </w:rPr>
        <w:t xml:space="preserve">of the patients </w:t>
      </w:r>
      <w:r w:rsidR="00176157" w:rsidRPr="009F45BA">
        <w:rPr>
          <w:rFonts w:ascii="Book Antiqua" w:hAnsi="Book Antiqua"/>
          <w:sz w:val="24"/>
          <w:szCs w:val="24"/>
        </w:rPr>
        <w:t>wer</w:t>
      </w:r>
      <w:r w:rsidR="00856700" w:rsidRPr="009F45BA">
        <w:rPr>
          <w:rFonts w:ascii="Book Antiqua" w:hAnsi="Book Antiqua"/>
          <w:sz w:val="24"/>
          <w:szCs w:val="24"/>
        </w:rPr>
        <w:t>e comparable</w:t>
      </w:r>
      <w:r w:rsidR="00061471" w:rsidRPr="009F45BA">
        <w:rPr>
          <w:rFonts w:ascii="Book Antiqua" w:hAnsi="Book Antiqua"/>
          <w:sz w:val="24"/>
          <w:szCs w:val="24"/>
        </w:rPr>
        <w:t xml:space="preserve"> (Table 1)</w:t>
      </w:r>
      <w:r w:rsidR="00856700" w:rsidRPr="009F45BA">
        <w:rPr>
          <w:rFonts w:ascii="Book Antiqua" w:hAnsi="Book Antiqua"/>
          <w:sz w:val="24"/>
          <w:szCs w:val="24"/>
        </w:rPr>
        <w:t>.</w:t>
      </w:r>
      <w:r w:rsidR="00176157" w:rsidRPr="009F45BA">
        <w:rPr>
          <w:rFonts w:ascii="Book Antiqua" w:hAnsi="Book Antiqua"/>
          <w:sz w:val="24"/>
          <w:szCs w:val="24"/>
        </w:rPr>
        <w:t xml:space="preserve"> </w:t>
      </w:r>
    </w:p>
    <w:p w:rsidR="00FD54F5" w:rsidRPr="009F45BA" w:rsidRDefault="005A6D39" w:rsidP="00826736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9F45BA">
        <w:rPr>
          <w:rFonts w:ascii="Book Antiqua" w:hAnsi="Book Antiqua"/>
          <w:sz w:val="24"/>
          <w:szCs w:val="24"/>
        </w:rPr>
        <w:t>The mean ± SD pre-treatment FSSG scores for group I and group P were 17.9</w:t>
      </w:r>
      <w:r w:rsidR="001045AE" w:rsidRPr="009F45BA">
        <w:rPr>
          <w:rFonts w:ascii="Book Antiqua" w:hAnsi="Book Antiqua"/>
          <w:sz w:val="24"/>
          <w:szCs w:val="24"/>
        </w:rPr>
        <w:t xml:space="preserve"> </w:t>
      </w:r>
      <w:r w:rsidRPr="009F45BA">
        <w:rPr>
          <w:rFonts w:ascii="Book Antiqua" w:hAnsi="Book Antiqua"/>
          <w:sz w:val="24"/>
          <w:szCs w:val="24"/>
        </w:rPr>
        <w:t>±</w:t>
      </w:r>
      <w:r w:rsidR="001045AE" w:rsidRPr="009F45BA">
        <w:rPr>
          <w:rFonts w:ascii="Book Antiqua" w:hAnsi="Book Antiqua"/>
          <w:sz w:val="24"/>
          <w:szCs w:val="24"/>
        </w:rPr>
        <w:t xml:space="preserve"> </w:t>
      </w:r>
      <w:r w:rsidRPr="009F45BA">
        <w:rPr>
          <w:rFonts w:ascii="Book Antiqua" w:hAnsi="Book Antiqua"/>
          <w:sz w:val="24"/>
          <w:szCs w:val="24"/>
        </w:rPr>
        <w:t xml:space="preserve">7.9 and </w:t>
      </w:r>
      <w:r w:rsidR="00176157" w:rsidRPr="009F45BA">
        <w:rPr>
          <w:rFonts w:ascii="Book Antiqua" w:hAnsi="Book Antiqua"/>
          <w:sz w:val="24"/>
          <w:szCs w:val="24"/>
        </w:rPr>
        <w:t>17.7</w:t>
      </w:r>
      <w:r w:rsidR="001045AE" w:rsidRPr="009F45BA">
        <w:rPr>
          <w:rFonts w:ascii="Book Antiqua" w:hAnsi="Book Antiqua"/>
          <w:sz w:val="24"/>
          <w:szCs w:val="24"/>
        </w:rPr>
        <w:t xml:space="preserve"> </w:t>
      </w:r>
      <w:r w:rsidR="00176157" w:rsidRPr="009F45BA">
        <w:rPr>
          <w:rFonts w:ascii="Book Antiqua" w:hAnsi="Book Antiqua"/>
          <w:sz w:val="24"/>
          <w:szCs w:val="24"/>
        </w:rPr>
        <w:t>±</w:t>
      </w:r>
      <w:r w:rsidR="001045AE" w:rsidRPr="009F45BA">
        <w:rPr>
          <w:rFonts w:ascii="Book Antiqua" w:hAnsi="Book Antiqua"/>
          <w:sz w:val="24"/>
          <w:szCs w:val="24"/>
        </w:rPr>
        <w:t xml:space="preserve"> </w:t>
      </w:r>
      <w:r w:rsidR="00176157" w:rsidRPr="009F45BA">
        <w:rPr>
          <w:rFonts w:ascii="Book Antiqua" w:hAnsi="Book Antiqua"/>
          <w:sz w:val="24"/>
          <w:szCs w:val="24"/>
        </w:rPr>
        <w:t>7.3</w:t>
      </w:r>
      <w:r w:rsidR="00826736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826736" w:rsidRPr="00826736">
        <w:rPr>
          <w:rFonts w:ascii="Book Antiqua" w:eastAsia="宋体" w:hAnsi="Book Antiqua"/>
          <w:sz w:val="24"/>
          <w:szCs w:val="24"/>
          <w:lang w:eastAsia="zh-CN"/>
        </w:rPr>
        <w:t>years</w:t>
      </w:r>
      <w:r w:rsidR="00176157" w:rsidRPr="009F45BA">
        <w:rPr>
          <w:rFonts w:ascii="Book Antiqua" w:hAnsi="Book Antiqua"/>
          <w:sz w:val="24"/>
          <w:szCs w:val="24"/>
        </w:rPr>
        <w:t xml:space="preserve">, </w:t>
      </w:r>
      <w:r w:rsidRPr="009F45BA">
        <w:rPr>
          <w:rFonts w:ascii="Book Antiqua" w:hAnsi="Book Antiqua"/>
          <w:sz w:val="24"/>
          <w:szCs w:val="24"/>
        </w:rPr>
        <w:t>respectively. The mean ± SD post-treatment FSSG scores for group I and group P were 9.0</w:t>
      </w:r>
      <w:r w:rsidR="001045AE" w:rsidRPr="009F45BA">
        <w:rPr>
          <w:rFonts w:ascii="Book Antiqua" w:hAnsi="Book Antiqua"/>
          <w:sz w:val="24"/>
          <w:szCs w:val="24"/>
        </w:rPr>
        <w:t xml:space="preserve"> </w:t>
      </w:r>
      <w:r w:rsidRPr="009F45BA">
        <w:rPr>
          <w:rFonts w:ascii="Book Antiqua" w:hAnsi="Book Antiqua"/>
          <w:sz w:val="24"/>
          <w:szCs w:val="24"/>
        </w:rPr>
        <w:t>±</w:t>
      </w:r>
      <w:r w:rsidR="001045AE" w:rsidRPr="009F45BA">
        <w:rPr>
          <w:rFonts w:ascii="Book Antiqua" w:hAnsi="Book Antiqua"/>
          <w:sz w:val="24"/>
          <w:szCs w:val="24"/>
        </w:rPr>
        <w:t xml:space="preserve"> </w:t>
      </w:r>
      <w:r w:rsidRPr="009F45BA">
        <w:rPr>
          <w:rFonts w:ascii="Book Antiqua" w:hAnsi="Book Antiqua"/>
          <w:sz w:val="24"/>
          <w:szCs w:val="24"/>
        </w:rPr>
        <w:t>7.6 and</w:t>
      </w:r>
      <w:r w:rsidR="00176157" w:rsidRPr="009F45BA">
        <w:rPr>
          <w:rFonts w:ascii="Book Antiqua" w:hAnsi="Book Antiqua"/>
          <w:sz w:val="24"/>
          <w:szCs w:val="24"/>
        </w:rPr>
        <w:t xml:space="preserve"> 11.2</w:t>
      </w:r>
      <w:r w:rsidR="001045AE" w:rsidRPr="009F45BA">
        <w:rPr>
          <w:rFonts w:ascii="Book Antiqua" w:hAnsi="Book Antiqua"/>
          <w:sz w:val="24"/>
          <w:szCs w:val="24"/>
        </w:rPr>
        <w:t xml:space="preserve"> </w:t>
      </w:r>
      <w:r w:rsidR="00176157" w:rsidRPr="009F45BA">
        <w:rPr>
          <w:rFonts w:ascii="Book Antiqua" w:hAnsi="Book Antiqua"/>
          <w:sz w:val="24"/>
          <w:szCs w:val="24"/>
        </w:rPr>
        <w:t>±</w:t>
      </w:r>
      <w:r w:rsidR="001045AE" w:rsidRPr="009F45BA">
        <w:rPr>
          <w:rFonts w:ascii="Book Antiqua" w:hAnsi="Book Antiqua"/>
          <w:sz w:val="24"/>
          <w:szCs w:val="24"/>
        </w:rPr>
        <w:t xml:space="preserve"> </w:t>
      </w:r>
      <w:r w:rsidR="00176157" w:rsidRPr="009F45BA">
        <w:rPr>
          <w:rFonts w:ascii="Book Antiqua" w:hAnsi="Book Antiqua"/>
          <w:sz w:val="24"/>
          <w:szCs w:val="24"/>
        </w:rPr>
        <w:t>7.9</w:t>
      </w:r>
      <w:r w:rsidR="00826736"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="00826736" w:rsidRPr="00826736">
        <w:rPr>
          <w:rFonts w:ascii="Book Antiqua" w:eastAsia="宋体" w:hAnsi="Book Antiqua"/>
          <w:sz w:val="24"/>
          <w:szCs w:val="24"/>
          <w:lang w:eastAsia="zh-CN"/>
        </w:rPr>
        <w:t>years</w:t>
      </w:r>
      <w:r w:rsidR="00176157" w:rsidRPr="009F45BA">
        <w:rPr>
          <w:rFonts w:ascii="Book Antiqua" w:hAnsi="Book Antiqua"/>
          <w:sz w:val="24"/>
          <w:szCs w:val="24"/>
        </w:rPr>
        <w:t>,</w:t>
      </w:r>
      <w:r w:rsidRPr="009F45BA">
        <w:rPr>
          <w:rFonts w:ascii="Book Antiqua" w:hAnsi="Book Antiqua"/>
          <w:sz w:val="24"/>
          <w:szCs w:val="24"/>
        </w:rPr>
        <w:t xml:space="preserve"> respectively.</w:t>
      </w:r>
      <w:r w:rsidR="00176157" w:rsidRPr="009F45BA">
        <w:rPr>
          <w:rFonts w:ascii="Book Antiqua" w:hAnsi="Book Antiqua"/>
          <w:sz w:val="24"/>
          <w:szCs w:val="24"/>
        </w:rPr>
        <w:t xml:space="preserve"> </w:t>
      </w:r>
      <w:r w:rsidRPr="009F45BA">
        <w:rPr>
          <w:rFonts w:ascii="Book Antiqua" w:hAnsi="Book Antiqua"/>
          <w:sz w:val="24"/>
          <w:szCs w:val="24"/>
        </w:rPr>
        <w:t xml:space="preserve">Although significant improvements in the FSSG scores were observed </w:t>
      </w:r>
      <w:r w:rsidR="00FD54F5" w:rsidRPr="009F45BA">
        <w:rPr>
          <w:rFonts w:ascii="Book Antiqua" w:hAnsi="Book Antiqua"/>
          <w:sz w:val="24"/>
          <w:szCs w:val="24"/>
        </w:rPr>
        <w:t xml:space="preserve">within both groups </w:t>
      </w:r>
      <w:r w:rsidRPr="009F45BA">
        <w:rPr>
          <w:rFonts w:ascii="Book Antiqua" w:hAnsi="Book Antiqua"/>
          <w:sz w:val="24"/>
          <w:szCs w:val="24"/>
        </w:rPr>
        <w:t>after treatment (</w:t>
      </w:r>
      <w:r w:rsidRPr="009F45BA">
        <w:rPr>
          <w:rFonts w:ascii="Book Antiqua" w:hAnsi="Book Antiqua"/>
          <w:i/>
          <w:sz w:val="24"/>
          <w:szCs w:val="24"/>
        </w:rPr>
        <w:t>P</w:t>
      </w:r>
      <w:r w:rsidR="00490D41" w:rsidRPr="009F45BA">
        <w:rPr>
          <w:rFonts w:ascii="Book Antiqua" w:hAnsi="Book Antiqua"/>
          <w:i/>
          <w:sz w:val="24"/>
          <w:szCs w:val="24"/>
        </w:rPr>
        <w:t xml:space="preserve"> </w:t>
      </w:r>
      <w:r w:rsidRPr="009F45BA">
        <w:rPr>
          <w:rFonts w:ascii="Book Antiqua" w:hAnsi="Book Antiqua"/>
          <w:sz w:val="24"/>
          <w:szCs w:val="24"/>
        </w:rPr>
        <w:t>= 0.0001),</w:t>
      </w:r>
      <w:r w:rsidR="00176157" w:rsidRPr="009F45BA">
        <w:rPr>
          <w:rFonts w:ascii="Book Antiqua" w:hAnsi="Book Antiqua"/>
          <w:sz w:val="24"/>
          <w:szCs w:val="24"/>
        </w:rPr>
        <w:t xml:space="preserve"> there was no statistically significant difference between </w:t>
      </w:r>
      <w:r w:rsidR="00AF51A2" w:rsidRPr="009F45BA">
        <w:rPr>
          <w:rFonts w:ascii="Book Antiqua" w:hAnsi="Book Antiqua"/>
          <w:sz w:val="24"/>
          <w:szCs w:val="24"/>
        </w:rPr>
        <w:t>t</w:t>
      </w:r>
      <w:r w:rsidRPr="009F45BA">
        <w:rPr>
          <w:rFonts w:ascii="Book Antiqua" w:hAnsi="Book Antiqua"/>
          <w:sz w:val="24"/>
          <w:szCs w:val="24"/>
        </w:rPr>
        <w:t>he</w:t>
      </w:r>
      <w:r w:rsidR="00AF51A2" w:rsidRPr="009F45BA">
        <w:rPr>
          <w:rFonts w:ascii="Book Antiqua" w:hAnsi="Book Antiqua"/>
          <w:sz w:val="24"/>
          <w:szCs w:val="24"/>
        </w:rPr>
        <w:t xml:space="preserve"> groups</w:t>
      </w:r>
      <w:r w:rsidR="00176157" w:rsidRPr="009F45BA">
        <w:rPr>
          <w:rFonts w:ascii="Book Antiqua" w:hAnsi="Book Antiqua"/>
          <w:sz w:val="24"/>
          <w:szCs w:val="24"/>
        </w:rPr>
        <w:t xml:space="preserve"> </w:t>
      </w:r>
      <w:r w:rsidRPr="009F45BA">
        <w:rPr>
          <w:rFonts w:ascii="Book Antiqua" w:hAnsi="Book Antiqua"/>
          <w:sz w:val="24"/>
          <w:szCs w:val="24"/>
        </w:rPr>
        <w:t>with respect to the FSSG scores after four</w:t>
      </w:r>
      <w:r w:rsidR="00176157" w:rsidRPr="009F45BA">
        <w:rPr>
          <w:rFonts w:ascii="Book Antiqua" w:hAnsi="Book Antiqua"/>
          <w:sz w:val="24"/>
          <w:szCs w:val="24"/>
        </w:rPr>
        <w:t xml:space="preserve"> weeks </w:t>
      </w:r>
      <w:r w:rsidRPr="009F45BA">
        <w:rPr>
          <w:rFonts w:ascii="Book Antiqua" w:hAnsi="Book Antiqua"/>
          <w:sz w:val="24"/>
          <w:szCs w:val="24"/>
        </w:rPr>
        <w:t>of treatment (</w:t>
      </w:r>
      <w:r w:rsidRPr="009F45BA">
        <w:rPr>
          <w:rFonts w:ascii="Book Antiqua" w:hAnsi="Book Antiqua"/>
          <w:i/>
          <w:sz w:val="24"/>
          <w:szCs w:val="24"/>
        </w:rPr>
        <w:t>P</w:t>
      </w:r>
      <w:r w:rsidR="00490D41" w:rsidRPr="009F45BA">
        <w:rPr>
          <w:rFonts w:ascii="Book Antiqua" w:hAnsi="Book Antiqua"/>
          <w:i/>
          <w:sz w:val="24"/>
          <w:szCs w:val="24"/>
        </w:rPr>
        <w:t xml:space="preserve"> </w:t>
      </w:r>
      <w:r w:rsidR="00176157" w:rsidRPr="009F45BA">
        <w:rPr>
          <w:rFonts w:ascii="Book Antiqua" w:hAnsi="Book Antiqua"/>
          <w:sz w:val="24"/>
          <w:szCs w:val="24"/>
        </w:rPr>
        <w:t>=</w:t>
      </w:r>
      <w:r w:rsidRPr="009F45BA">
        <w:rPr>
          <w:rFonts w:ascii="Book Antiqua" w:hAnsi="Book Antiqua"/>
          <w:sz w:val="24"/>
          <w:szCs w:val="24"/>
        </w:rPr>
        <w:t xml:space="preserve"> </w:t>
      </w:r>
      <w:r w:rsidR="00176157" w:rsidRPr="009F45BA">
        <w:rPr>
          <w:rFonts w:ascii="Book Antiqua" w:hAnsi="Book Antiqua"/>
          <w:sz w:val="24"/>
          <w:szCs w:val="24"/>
        </w:rPr>
        <w:t>0.15)</w:t>
      </w:r>
      <w:r w:rsidR="00FE7F85" w:rsidRPr="009F45BA">
        <w:rPr>
          <w:rFonts w:ascii="Book Antiqua" w:hAnsi="Book Antiqua"/>
          <w:sz w:val="24"/>
          <w:szCs w:val="24"/>
        </w:rPr>
        <w:t xml:space="preserve"> (Figure 1)</w:t>
      </w:r>
      <w:r w:rsidR="00176157" w:rsidRPr="009F45BA">
        <w:rPr>
          <w:rFonts w:ascii="Book Antiqua" w:hAnsi="Book Antiqua"/>
          <w:sz w:val="24"/>
          <w:szCs w:val="24"/>
        </w:rPr>
        <w:t xml:space="preserve">. </w:t>
      </w:r>
      <w:r w:rsidRPr="009F45BA">
        <w:rPr>
          <w:rFonts w:ascii="Book Antiqua" w:hAnsi="Book Antiqua"/>
          <w:sz w:val="24"/>
          <w:szCs w:val="24"/>
        </w:rPr>
        <w:t>Of the seven subscale scores for</w:t>
      </w:r>
      <w:r w:rsidR="00020067" w:rsidRPr="009F45BA">
        <w:rPr>
          <w:rFonts w:ascii="Book Antiqua" w:hAnsi="Book Antiqua"/>
          <w:sz w:val="24"/>
          <w:szCs w:val="24"/>
        </w:rPr>
        <w:t xml:space="preserve"> </w:t>
      </w:r>
      <w:r w:rsidRPr="009F45BA">
        <w:rPr>
          <w:rFonts w:ascii="Book Antiqua" w:hAnsi="Book Antiqua"/>
          <w:sz w:val="24"/>
          <w:szCs w:val="24"/>
        </w:rPr>
        <w:t>reflux</w:t>
      </w:r>
      <w:r w:rsidR="00CF4760" w:rsidRPr="009F45BA">
        <w:rPr>
          <w:rFonts w:ascii="Book Antiqua" w:hAnsi="Book Antiqua"/>
          <w:sz w:val="24"/>
          <w:szCs w:val="24"/>
        </w:rPr>
        <w:t xml:space="preserve">, </w:t>
      </w:r>
      <w:r w:rsidRPr="009F45BA">
        <w:rPr>
          <w:rFonts w:ascii="Book Antiqua" w:hAnsi="Book Antiqua"/>
          <w:sz w:val="24"/>
          <w:szCs w:val="24"/>
        </w:rPr>
        <w:t xml:space="preserve">the scores for question </w:t>
      </w:r>
      <w:r w:rsidR="00CF4760" w:rsidRPr="009F45BA">
        <w:rPr>
          <w:rFonts w:ascii="Book Antiqua" w:hAnsi="Book Antiqua"/>
          <w:sz w:val="24"/>
          <w:szCs w:val="24"/>
        </w:rPr>
        <w:t>10</w:t>
      </w:r>
      <w:r w:rsidR="00C20B72" w:rsidRPr="009F45BA">
        <w:rPr>
          <w:rFonts w:ascii="Book Antiqua" w:hAnsi="Book Antiqua"/>
          <w:sz w:val="24"/>
          <w:szCs w:val="24"/>
        </w:rPr>
        <w:t xml:space="preserve"> </w:t>
      </w:r>
      <w:r w:rsidR="00D51354" w:rsidRPr="009F45BA">
        <w:rPr>
          <w:rFonts w:ascii="Book Antiqua" w:hAnsi="Book Antiqua"/>
          <w:sz w:val="24"/>
          <w:szCs w:val="24"/>
        </w:rPr>
        <w:t>(Do you get bi</w:t>
      </w:r>
      <w:r w:rsidR="00FB2619" w:rsidRPr="009F45BA">
        <w:rPr>
          <w:rFonts w:ascii="Book Antiqua" w:hAnsi="Book Antiqua"/>
          <w:sz w:val="24"/>
          <w:szCs w:val="24"/>
        </w:rPr>
        <w:t xml:space="preserve">tter liquid coming up </w:t>
      </w:r>
      <w:r w:rsidRPr="009F45BA">
        <w:rPr>
          <w:rFonts w:ascii="Book Antiqua" w:hAnsi="Book Antiqua"/>
          <w:sz w:val="24"/>
          <w:szCs w:val="24"/>
        </w:rPr>
        <w:t xml:space="preserve">into your throat?) and question </w:t>
      </w:r>
      <w:r w:rsidR="00FB2619" w:rsidRPr="009F45BA">
        <w:rPr>
          <w:rFonts w:ascii="Book Antiqua" w:hAnsi="Book Antiqua"/>
          <w:sz w:val="24"/>
          <w:szCs w:val="24"/>
        </w:rPr>
        <w:t xml:space="preserve">12 (Do you get heartburn if you bend over?) </w:t>
      </w:r>
      <w:r w:rsidR="00C17681" w:rsidRPr="009F45BA">
        <w:rPr>
          <w:rFonts w:ascii="Book Antiqua" w:hAnsi="Book Antiqua"/>
          <w:sz w:val="24"/>
          <w:szCs w:val="24"/>
        </w:rPr>
        <w:t>of the FSSG were significantly lower in group I compared with group P. There were</w:t>
      </w:r>
      <w:r w:rsidR="00CF4760" w:rsidRPr="009F45BA">
        <w:rPr>
          <w:rFonts w:ascii="Book Antiqua" w:hAnsi="Book Antiqua"/>
          <w:sz w:val="24"/>
          <w:szCs w:val="24"/>
        </w:rPr>
        <w:t xml:space="preserve"> no significant difference</w:t>
      </w:r>
      <w:r w:rsidR="00C17681" w:rsidRPr="009F45BA">
        <w:rPr>
          <w:rFonts w:ascii="Book Antiqua" w:hAnsi="Book Antiqua"/>
          <w:sz w:val="24"/>
          <w:szCs w:val="24"/>
        </w:rPr>
        <w:t>s</w:t>
      </w:r>
      <w:r w:rsidR="00CF4760" w:rsidRPr="009F45BA">
        <w:rPr>
          <w:rFonts w:ascii="Book Antiqua" w:hAnsi="Book Antiqua"/>
          <w:sz w:val="24"/>
          <w:szCs w:val="24"/>
        </w:rPr>
        <w:t xml:space="preserve"> in </w:t>
      </w:r>
      <w:r w:rsidR="00C17681" w:rsidRPr="009F45BA">
        <w:rPr>
          <w:rFonts w:ascii="Book Antiqua" w:hAnsi="Book Antiqua"/>
          <w:sz w:val="24"/>
          <w:szCs w:val="24"/>
        </w:rPr>
        <w:t>the five</w:t>
      </w:r>
      <w:r w:rsidR="00CF4760" w:rsidRPr="009F45BA">
        <w:rPr>
          <w:rFonts w:ascii="Book Antiqua" w:hAnsi="Book Antiqua"/>
          <w:sz w:val="24"/>
          <w:szCs w:val="24"/>
        </w:rPr>
        <w:t xml:space="preserve"> subscale </w:t>
      </w:r>
      <w:r w:rsidR="00C17681" w:rsidRPr="009F45BA">
        <w:rPr>
          <w:rFonts w:ascii="Book Antiqua" w:hAnsi="Book Antiqua"/>
          <w:sz w:val="24"/>
          <w:szCs w:val="24"/>
        </w:rPr>
        <w:t>scores for acid</w:t>
      </w:r>
      <w:r w:rsidR="001045AE" w:rsidRPr="009F45BA">
        <w:rPr>
          <w:rFonts w:ascii="Book Antiqua" w:hAnsi="Book Antiqua"/>
          <w:sz w:val="24"/>
          <w:szCs w:val="24"/>
        </w:rPr>
        <w:t>-</w:t>
      </w:r>
      <w:r w:rsidR="00BB0F96" w:rsidRPr="009F45BA">
        <w:rPr>
          <w:rFonts w:ascii="Book Antiqua" w:hAnsi="Book Antiqua"/>
          <w:sz w:val="24"/>
          <w:szCs w:val="24"/>
        </w:rPr>
        <w:t xml:space="preserve">related </w:t>
      </w:r>
      <w:proofErr w:type="spellStart"/>
      <w:r w:rsidR="00BB0F96" w:rsidRPr="009F45BA">
        <w:rPr>
          <w:rFonts w:ascii="Book Antiqua" w:hAnsi="Book Antiqua"/>
          <w:sz w:val="24"/>
          <w:szCs w:val="24"/>
        </w:rPr>
        <w:t>dysmotility</w:t>
      </w:r>
      <w:proofErr w:type="spellEnd"/>
      <w:r w:rsidR="00BB0F96" w:rsidRPr="009F45BA">
        <w:rPr>
          <w:rFonts w:ascii="Book Antiqua" w:hAnsi="Book Antiqua"/>
          <w:sz w:val="24"/>
          <w:szCs w:val="24"/>
        </w:rPr>
        <w:t xml:space="preserve"> symptom</w:t>
      </w:r>
      <w:r w:rsidR="00C17681" w:rsidRPr="009F45BA">
        <w:rPr>
          <w:rFonts w:ascii="Book Antiqua" w:hAnsi="Book Antiqua"/>
          <w:sz w:val="24"/>
          <w:szCs w:val="24"/>
        </w:rPr>
        <w:t>s</w:t>
      </w:r>
      <w:r w:rsidR="00BB0F96" w:rsidRPr="009F45BA">
        <w:rPr>
          <w:rFonts w:ascii="Book Antiqua" w:hAnsi="Book Antiqua"/>
          <w:sz w:val="24"/>
          <w:szCs w:val="24"/>
        </w:rPr>
        <w:t xml:space="preserve"> between </w:t>
      </w:r>
      <w:r w:rsidR="00C17681" w:rsidRPr="009F45BA">
        <w:rPr>
          <w:rFonts w:ascii="Book Antiqua" w:hAnsi="Book Antiqua"/>
          <w:sz w:val="24"/>
          <w:szCs w:val="24"/>
        </w:rPr>
        <w:t>the</w:t>
      </w:r>
      <w:r w:rsidR="00BB0F96" w:rsidRPr="009F45BA">
        <w:rPr>
          <w:rFonts w:ascii="Book Antiqua" w:hAnsi="Book Antiqua"/>
          <w:sz w:val="24"/>
          <w:szCs w:val="24"/>
        </w:rPr>
        <w:t xml:space="preserve"> groups </w:t>
      </w:r>
      <w:r w:rsidR="00CF4760" w:rsidRPr="009F45BA">
        <w:rPr>
          <w:rFonts w:ascii="Book Antiqua" w:hAnsi="Book Antiqua"/>
          <w:sz w:val="24"/>
          <w:szCs w:val="24"/>
        </w:rPr>
        <w:t xml:space="preserve">(Figure 2). </w:t>
      </w:r>
      <w:r w:rsidR="00C17681" w:rsidRPr="009F45BA">
        <w:rPr>
          <w:rFonts w:ascii="Book Antiqua" w:hAnsi="Book Antiqua"/>
          <w:sz w:val="24"/>
          <w:szCs w:val="24"/>
        </w:rPr>
        <w:t>N</w:t>
      </w:r>
      <w:r w:rsidR="00FE7F85" w:rsidRPr="009F45BA">
        <w:rPr>
          <w:rFonts w:ascii="Book Antiqua" w:hAnsi="Book Antiqua"/>
          <w:sz w:val="24"/>
          <w:szCs w:val="24"/>
        </w:rPr>
        <w:t>ext</w:t>
      </w:r>
      <w:r w:rsidR="00C17681" w:rsidRPr="009F45BA">
        <w:rPr>
          <w:rFonts w:ascii="Book Antiqua" w:hAnsi="Book Antiqua"/>
          <w:sz w:val="24"/>
          <w:szCs w:val="24"/>
        </w:rPr>
        <w:t>, we</w:t>
      </w:r>
      <w:r w:rsidR="00FE7F85" w:rsidRPr="009F45BA">
        <w:rPr>
          <w:rFonts w:ascii="Book Antiqua" w:hAnsi="Book Antiqua"/>
          <w:sz w:val="24"/>
          <w:szCs w:val="24"/>
        </w:rPr>
        <w:t xml:space="preserve"> </w:t>
      </w:r>
      <w:r w:rsidR="00FE7F85" w:rsidRPr="009F45BA">
        <w:rPr>
          <w:rFonts w:ascii="Book Antiqua" w:eastAsia="MS PMincho" w:hAnsi="Book Antiqua"/>
          <w:sz w:val="24"/>
          <w:szCs w:val="24"/>
        </w:rPr>
        <w:t xml:space="preserve">assessed </w:t>
      </w:r>
      <w:r w:rsidR="00C17681" w:rsidRPr="009F45BA">
        <w:rPr>
          <w:rFonts w:ascii="Book Antiqua" w:eastAsia="MS PMincho" w:hAnsi="Book Antiqua"/>
          <w:sz w:val="24"/>
          <w:szCs w:val="24"/>
        </w:rPr>
        <w:t>whether</w:t>
      </w:r>
      <w:r w:rsidR="00FE7F85" w:rsidRPr="009F45BA">
        <w:rPr>
          <w:rFonts w:ascii="Book Antiqua" w:eastAsia="MS PMincho" w:hAnsi="Book Antiqua"/>
          <w:sz w:val="24"/>
          <w:szCs w:val="24"/>
        </w:rPr>
        <w:t xml:space="preserve"> patients with </w:t>
      </w:r>
      <w:r w:rsidR="00C17681" w:rsidRPr="009F45BA">
        <w:rPr>
          <w:rFonts w:ascii="Book Antiqua" w:eastAsia="MS PMincho" w:hAnsi="Book Antiqua"/>
          <w:sz w:val="24"/>
          <w:szCs w:val="24"/>
        </w:rPr>
        <w:t xml:space="preserve">NERD who had </w:t>
      </w:r>
      <w:r w:rsidR="00FE7F85" w:rsidRPr="009F45BA">
        <w:rPr>
          <w:rFonts w:ascii="Book Antiqua" w:eastAsia="MS PMincho" w:hAnsi="Book Antiqua"/>
          <w:sz w:val="24"/>
          <w:szCs w:val="24"/>
        </w:rPr>
        <w:t>minimal change</w:t>
      </w:r>
      <w:r w:rsidR="00C17681" w:rsidRPr="009F45BA">
        <w:rPr>
          <w:rFonts w:ascii="Book Antiqua" w:eastAsia="MS PMincho" w:hAnsi="Book Antiqua"/>
          <w:sz w:val="24"/>
          <w:szCs w:val="24"/>
        </w:rPr>
        <w:t>s</w:t>
      </w:r>
      <w:r w:rsidR="00FE7F85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C17681" w:rsidRPr="009F45BA">
        <w:rPr>
          <w:rFonts w:ascii="Book Antiqua" w:eastAsia="MS PMincho" w:hAnsi="Book Antiqua"/>
          <w:sz w:val="24"/>
          <w:szCs w:val="24"/>
        </w:rPr>
        <w:t>(grade M) had</w:t>
      </w:r>
      <w:r w:rsidR="00FE7F85" w:rsidRPr="009F45BA">
        <w:rPr>
          <w:rFonts w:ascii="Book Antiqua" w:eastAsia="MS PMincho" w:hAnsi="Book Antiqua"/>
          <w:sz w:val="24"/>
          <w:szCs w:val="24"/>
        </w:rPr>
        <w:t xml:space="preserve"> different response</w:t>
      </w:r>
      <w:r w:rsidR="00C17681" w:rsidRPr="009F45BA">
        <w:rPr>
          <w:rFonts w:ascii="Book Antiqua" w:eastAsia="MS PMincho" w:hAnsi="Book Antiqua"/>
          <w:sz w:val="24"/>
          <w:szCs w:val="24"/>
        </w:rPr>
        <w:t>s to the therapies</w:t>
      </w:r>
      <w:r w:rsidR="00FE7F85" w:rsidRPr="009F45BA">
        <w:rPr>
          <w:rFonts w:ascii="Book Antiqua" w:eastAsia="MS PMincho" w:hAnsi="Book Antiqua"/>
          <w:sz w:val="24"/>
          <w:szCs w:val="24"/>
        </w:rPr>
        <w:t xml:space="preserve"> compared with those without minimal change</w:t>
      </w:r>
      <w:r w:rsidR="00C17681" w:rsidRPr="009F45BA">
        <w:rPr>
          <w:rFonts w:ascii="Book Antiqua" w:eastAsia="MS PMincho" w:hAnsi="Book Antiqua"/>
          <w:sz w:val="24"/>
          <w:szCs w:val="24"/>
        </w:rPr>
        <w:t>s (grade N)</w:t>
      </w:r>
      <w:r w:rsidR="00FE7F85" w:rsidRPr="009F45BA">
        <w:rPr>
          <w:rFonts w:ascii="Book Antiqua" w:eastAsia="MS PMincho" w:hAnsi="Book Antiqua"/>
          <w:sz w:val="24"/>
          <w:szCs w:val="24"/>
        </w:rPr>
        <w:t xml:space="preserve">. </w:t>
      </w:r>
      <w:r w:rsidR="00C17681" w:rsidRPr="009F45BA">
        <w:rPr>
          <w:rFonts w:ascii="Book Antiqua" w:eastAsia="MS PMincho" w:hAnsi="Book Antiqua"/>
          <w:sz w:val="24"/>
          <w:szCs w:val="24"/>
        </w:rPr>
        <w:t>The clinical characteristics</w:t>
      </w:r>
      <w:r w:rsidR="00FE7F85" w:rsidRPr="009F45BA">
        <w:rPr>
          <w:rFonts w:ascii="Book Antiqua" w:eastAsia="MS PMincho" w:hAnsi="Book Antiqua"/>
          <w:sz w:val="24"/>
          <w:szCs w:val="24"/>
        </w:rPr>
        <w:t xml:space="preserve"> of </w:t>
      </w:r>
      <w:r w:rsidR="00C17681" w:rsidRPr="009F45BA">
        <w:rPr>
          <w:rFonts w:ascii="Book Antiqua" w:eastAsia="MS PMincho" w:hAnsi="Book Antiqua"/>
          <w:sz w:val="24"/>
          <w:szCs w:val="24"/>
        </w:rPr>
        <w:t xml:space="preserve">the patients assigned to the </w:t>
      </w:r>
      <w:r w:rsidR="000328D6" w:rsidRPr="009F45BA">
        <w:rPr>
          <w:rFonts w:ascii="Book Antiqua" w:eastAsia="MS PMincho" w:hAnsi="Book Antiqua"/>
          <w:sz w:val="24"/>
          <w:szCs w:val="24"/>
        </w:rPr>
        <w:t>modified L</w:t>
      </w:r>
      <w:r w:rsidR="00C17681" w:rsidRPr="009F45BA">
        <w:rPr>
          <w:rFonts w:ascii="Book Antiqua" w:eastAsia="MS PMincho" w:hAnsi="Book Antiqua"/>
          <w:sz w:val="24"/>
          <w:szCs w:val="24"/>
        </w:rPr>
        <w:t xml:space="preserve">os </w:t>
      </w:r>
      <w:r w:rsidR="000328D6" w:rsidRPr="009F45BA">
        <w:rPr>
          <w:rFonts w:ascii="Book Antiqua" w:eastAsia="MS PMincho" w:hAnsi="Book Antiqua"/>
          <w:sz w:val="24"/>
          <w:szCs w:val="24"/>
        </w:rPr>
        <w:t>A</w:t>
      </w:r>
      <w:r w:rsidR="00C17681" w:rsidRPr="009F45BA">
        <w:rPr>
          <w:rFonts w:ascii="Book Antiqua" w:eastAsia="MS PMincho" w:hAnsi="Book Antiqua"/>
          <w:sz w:val="24"/>
          <w:szCs w:val="24"/>
        </w:rPr>
        <w:t>ngeles</w:t>
      </w:r>
      <w:r w:rsidR="000328D6" w:rsidRPr="009F45BA">
        <w:rPr>
          <w:rFonts w:ascii="Book Antiqua" w:eastAsia="MS PMincho" w:hAnsi="Book Antiqua"/>
          <w:sz w:val="24"/>
          <w:szCs w:val="24"/>
        </w:rPr>
        <w:t xml:space="preserve"> classification </w:t>
      </w:r>
      <w:r w:rsidR="00FE7F85" w:rsidRPr="009F45BA">
        <w:rPr>
          <w:rFonts w:ascii="Book Antiqua" w:eastAsia="MS PMincho" w:hAnsi="Book Antiqua"/>
          <w:sz w:val="24"/>
          <w:szCs w:val="24"/>
        </w:rPr>
        <w:t>grad</w:t>
      </w:r>
      <w:r w:rsidR="004A05C1" w:rsidRPr="009F45BA">
        <w:rPr>
          <w:rFonts w:ascii="Book Antiqua" w:eastAsia="MS PMincho" w:hAnsi="Book Antiqua"/>
          <w:sz w:val="24"/>
          <w:szCs w:val="24"/>
        </w:rPr>
        <w:t>e</w:t>
      </w:r>
      <w:r w:rsidR="00C17681" w:rsidRPr="009F45BA">
        <w:rPr>
          <w:rFonts w:ascii="Book Antiqua" w:eastAsia="MS PMincho" w:hAnsi="Book Antiqua"/>
          <w:sz w:val="24"/>
          <w:szCs w:val="24"/>
        </w:rPr>
        <w:t>s N and M are shown in Table 2.</w:t>
      </w:r>
      <w:r w:rsidR="004A05C1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C17681" w:rsidRPr="009F45BA">
        <w:rPr>
          <w:rFonts w:ascii="Book Antiqua" w:eastAsia="MS PMincho" w:hAnsi="Book Antiqua"/>
          <w:sz w:val="24"/>
          <w:szCs w:val="24"/>
        </w:rPr>
        <w:t>The data indicate</w:t>
      </w:r>
      <w:r w:rsidR="004A05C1" w:rsidRPr="009F45BA">
        <w:rPr>
          <w:rFonts w:ascii="Book Antiqua" w:eastAsia="MS PMincho" w:hAnsi="Book Antiqua"/>
          <w:sz w:val="24"/>
          <w:szCs w:val="24"/>
        </w:rPr>
        <w:t xml:space="preserve"> that </w:t>
      </w:r>
      <w:r w:rsidR="00C17681" w:rsidRPr="009F45BA">
        <w:rPr>
          <w:rFonts w:ascii="Book Antiqua" w:eastAsia="MS PMincho" w:hAnsi="Book Antiqua"/>
          <w:sz w:val="24"/>
          <w:szCs w:val="24"/>
        </w:rPr>
        <w:t>the characteristics associated with NERD grade N were</w:t>
      </w:r>
      <w:r w:rsidR="004A05C1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C17681" w:rsidRPr="009F45BA">
        <w:rPr>
          <w:rFonts w:ascii="Book Antiqua" w:eastAsia="MS PMincho" w:hAnsi="Book Antiqua"/>
          <w:sz w:val="24"/>
          <w:szCs w:val="24"/>
        </w:rPr>
        <w:t xml:space="preserve">a </w:t>
      </w:r>
      <w:r w:rsidR="003C7376" w:rsidRPr="009F45BA">
        <w:rPr>
          <w:rFonts w:ascii="Book Antiqua" w:eastAsia="MS PMincho" w:hAnsi="Book Antiqua"/>
          <w:sz w:val="24"/>
          <w:szCs w:val="24"/>
        </w:rPr>
        <w:t>shorter stature</w:t>
      </w:r>
      <w:r w:rsidR="004A05C1" w:rsidRPr="009F45BA">
        <w:rPr>
          <w:rFonts w:ascii="Book Antiqua" w:eastAsia="MS PMincho" w:hAnsi="Book Antiqua"/>
          <w:sz w:val="24"/>
          <w:szCs w:val="24"/>
        </w:rPr>
        <w:t xml:space="preserve"> and </w:t>
      </w:r>
      <w:r w:rsidR="003C7376" w:rsidRPr="009F45BA">
        <w:rPr>
          <w:rFonts w:ascii="Book Antiqua" w:eastAsia="MS PMincho" w:hAnsi="Book Antiqua"/>
          <w:sz w:val="24"/>
          <w:szCs w:val="24"/>
        </w:rPr>
        <w:t xml:space="preserve">a </w:t>
      </w:r>
      <w:r w:rsidR="004A05C1" w:rsidRPr="009F45BA">
        <w:rPr>
          <w:rFonts w:ascii="Book Antiqua" w:eastAsia="MS PMincho" w:hAnsi="Book Antiqua"/>
          <w:sz w:val="24"/>
          <w:szCs w:val="24"/>
        </w:rPr>
        <w:t>lower frequency of esophageal hiatal hernia</w:t>
      </w:r>
      <w:r w:rsidR="003C7376" w:rsidRPr="009F45BA">
        <w:rPr>
          <w:rFonts w:ascii="Book Antiqua" w:eastAsia="MS PMincho" w:hAnsi="Book Antiqua"/>
          <w:sz w:val="24"/>
          <w:szCs w:val="24"/>
        </w:rPr>
        <w:t>s</w:t>
      </w:r>
      <w:r w:rsidR="004A05C1" w:rsidRPr="009F45BA">
        <w:rPr>
          <w:rFonts w:ascii="Book Antiqua" w:eastAsia="MS PMincho" w:hAnsi="Book Antiqua"/>
          <w:sz w:val="24"/>
          <w:szCs w:val="24"/>
        </w:rPr>
        <w:t>.</w:t>
      </w:r>
      <w:r w:rsidR="008127D9" w:rsidRPr="009F45BA">
        <w:rPr>
          <w:rFonts w:ascii="Book Antiqua" w:eastAsia="MS PMincho" w:hAnsi="Book Antiqua"/>
          <w:sz w:val="24"/>
          <w:szCs w:val="24"/>
        </w:rPr>
        <w:t xml:space="preserve"> S</w:t>
      </w:r>
      <w:r w:rsidR="00176157" w:rsidRPr="009F45BA">
        <w:rPr>
          <w:rFonts w:ascii="Book Antiqua" w:hAnsi="Book Antiqua"/>
          <w:sz w:val="24"/>
          <w:szCs w:val="24"/>
        </w:rPr>
        <w:t>ubgroup analysis show</w:t>
      </w:r>
      <w:r w:rsidR="00D24E37" w:rsidRPr="009F45BA">
        <w:rPr>
          <w:rFonts w:ascii="Book Antiqua" w:hAnsi="Book Antiqua"/>
          <w:sz w:val="24"/>
          <w:szCs w:val="24"/>
        </w:rPr>
        <w:t xml:space="preserve">ed that </w:t>
      </w:r>
      <w:r w:rsidR="00E542C6" w:rsidRPr="009F45BA">
        <w:rPr>
          <w:rFonts w:ascii="Book Antiqua" w:hAnsi="Book Antiqua"/>
          <w:sz w:val="24"/>
          <w:szCs w:val="24"/>
        </w:rPr>
        <w:t xml:space="preserve">the FSSG scores for </w:t>
      </w:r>
      <w:r w:rsidR="00FD54F5" w:rsidRPr="009F45BA">
        <w:rPr>
          <w:rFonts w:ascii="Book Antiqua" w:hAnsi="Book Antiqua"/>
          <w:sz w:val="24"/>
          <w:szCs w:val="24"/>
        </w:rPr>
        <w:t xml:space="preserve">the </w:t>
      </w:r>
      <w:r w:rsidR="008127D9" w:rsidRPr="009F45BA">
        <w:rPr>
          <w:rFonts w:ascii="Book Antiqua" w:hAnsi="Book Antiqua"/>
          <w:sz w:val="24"/>
          <w:szCs w:val="24"/>
        </w:rPr>
        <w:t>patients with NERD grade N in group I was</w:t>
      </w:r>
      <w:r w:rsidR="00E542C6" w:rsidRPr="009F45BA">
        <w:rPr>
          <w:rFonts w:ascii="Book Antiqua" w:hAnsi="Book Antiqua"/>
          <w:sz w:val="24"/>
          <w:szCs w:val="24"/>
        </w:rPr>
        <w:t xml:space="preserve"> </w:t>
      </w:r>
      <w:r w:rsidR="00D24E37" w:rsidRPr="009F45BA">
        <w:rPr>
          <w:rFonts w:ascii="Book Antiqua" w:hAnsi="Book Antiqua"/>
          <w:sz w:val="24"/>
          <w:szCs w:val="24"/>
        </w:rPr>
        <w:t>significant</w:t>
      </w:r>
      <w:r w:rsidR="00E542C6" w:rsidRPr="009F45BA">
        <w:rPr>
          <w:rFonts w:ascii="Book Antiqua" w:hAnsi="Book Antiqua"/>
          <w:sz w:val="24"/>
          <w:szCs w:val="24"/>
        </w:rPr>
        <w:t xml:space="preserve">ly lower than </w:t>
      </w:r>
      <w:r w:rsidR="008127D9" w:rsidRPr="009F45BA">
        <w:rPr>
          <w:rFonts w:ascii="Book Antiqua" w:hAnsi="Book Antiqua"/>
          <w:sz w:val="24"/>
          <w:szCs w:val="24"/>
        </w:rPr>
        <w:t>the FSSG scores for the patients with</w:t>
      </w:r>
      <w:r w:rsidR="00FD1DC2" w:rsidRPr="009F45BA">
        <w:rPr>
          <w:rFonts w:ascii="Book Antiqua" w:hAnsi="Book Antiqua"/>
          <w:sz w:val="24"/>
          <w:szCs w:val="24"/>
        </w:rPr>
        <w:t xml:space="preserve"> NERD grade N in group P </w:t>
      </w:r>
      <w:r w:rsidR="008127D9" w:rsidRPr="009F45BA">
        <w:rPr>
          <w:rFonts w:ascii="Book Antiqua" w:hAnsi="Book Antiqua"/>
          <w:sz w:val="24"/>
          <w:szCs w:val="24"/>
        </w:rPr>
        <w:t>after four</w:t>
      </w:r>
      <w:r w:rsidR="00176157" w:rsidRPr="009F45BA">
        <w:rPr>
          <w:rFonts w:ascii="Book Antiqua" w:hAnsi="Book Antiqua"/>
          <w:sz w:val="24"/>
          <w:szCs w:val="24"/>
        </w:rPr>
        <w:t xml:space="preserve"> weeks </w:t>
      </w:r>
      <w:r w:rsidR="008127D9" w:rsidRPr="009F45BA">
        <w:rPr>
          <w:rFonts w:ascii="Book Antiqua" w:hAnsi="Book Antiqua"/>
          <w:sz w:val="24"/>
          <w:szCs w:val="24"/>
        </w:rPr>
        <w:t xml:space="preserve">of </w:t>
      </w:r>
      <w:r w:rsidR="00176157" w:rsidRPr="009F45BA">
        <w:rPr>
          <w:rFonts w:ascii="Book Antiqua" w:hAnsi="Book Antiqua"/>
          <w:sz w:val="24"/>
          <w:szCs w:val="24"/>
        </w:rPr>
        <w:t>treatment</w:t>
      </w:r>
      <w:r w:rsidR="00EF55E7" w:rsidRPr="009F45BA">
        <w:rPr>
          <w:rFonts w:ascii="Book Antiqua" w:hAnsi="Book Antiqua"/>
          <w:sz w:val="24"/>
          <w:szCs w:val="24"/>
        </w:rPr>
        <w:t xml:space="preserve"> </w:t>
      </w:r>
      <w:r w:rsidR="00176157" w:rsidRPr="009F45BA">
        <w:rPr>
          <w:rFonts w:ascii="Book Antiqua" w:hAnsi="Book Antiqua"/>
          <w:sz w:val="24"/>
          <w:szCs w:val="24"/>
        </w:rPr>
        <w:t>(</w:t>
      </w:r>
      <w:r w:rsidR="0064791A" w:rsidRPr="009F45BA">
        <w:rPr>
          <w:rFonts w:ascii="Book Antiqua" w:hAnsi="Book Antiqua"/>
          <w:sz w:val="24"/>
          <w:szCs w:val="24"/>
        </w:rPr>
        <w:t xml:space="preserve">7.8 </w:t>
      </w:r>
      <w:r w:rsidR="0064791A" w:rsidRPr="009F45BA">
        <w:rPr>
          <w:rFonts w:ascii="Book Antiqua" w:eastAsia="MS PGothic" w:hAnsi="Book Antiqua"/>
          <w:sz w:val="24"/>
          <w:szCs w:val="24"/>
        </w:rPr>
        <w:t xml:space="preserve">± </w:t>
      </w:r>
      <w:r w:rsidR="0064791A" w:rsidRPr="009F45BA">
        <w:rPr>
          <w:rFonts w:ascii="Book Antiqua" w:hAnsi="Book Antiqua"/>
          <w:sz w:val="24"/>
          <w:szCs w:val="24"/>
        </w:rPr>
        <w:t xml:space="preserve">7.4 </w:t>
      </w:r>
      <w:r w:rsidR="0064791A" w:rsidRPr="009F45BA">
        <w:rPr>
          <w:rFonts w:ascii="Book Antiqua" w:hAnsi="Book Antiqua"/>
          <w:i/>
          <w:sz w:val="24"/>
          <w:szCs w:val="24"/>
        </w:rPr>
        <w:t>vs</w:t>
      </w:r>
      <w:r w:rsidR="0064791A" w:rsidRPr="009F45BA">
        <w:rPr>
          <w:rFonts w:ascii="Book Antiqua" w:hAnsi="Book Antiqua"/>
          <w:sz w:val="24"/>
          <w:szCs w:val="24"/>
        </w:rPr>
        <w:t xml:space="preserve"> 12.5 </w:t>
      </w:r>
      <w:r w:rsidR="0064791A" w:rsidRPr="009F45BA">
        <w:rPr>
          <w:rFonts w:ascii="Book Antiqua" w:eastAsia="MS PGothic" w:hAnsi="Book Antiqua"/>
          <w:sz w:val="24"/>
          <w:szCs w:val="24"/>
        </w:rPr>
        <w:t xml:space="preserve">± </w:t>
      </w:r>
      <w:r w:rsidR="0064791A" w:rsidRPr="009F45BA">
        <w:rPr>
          <w:rFonts w:ascii="Book Antiqua" w:hAnsi="Book Antiqua"/>
          <w:sz w:val="24"/>
          <w:szCs w:val="24"/>
        </w:rPr>
        <w:t xml:space="preserve">9.8, </w:t>
      </w:r>
      <w:r w:rsidR="0064791A" w:rsidRPr="009F45BA">
        <w:rPr>
          <w:rFonts w:ascii="Book Antiqua" w:hAnsi="Book Antiqua"/>
          <w:i/>
          <w:sz w:val="24"/>
          <w:szCs w:val="24"/>
        </w:rPr>
        <w:t>P</w:t>
      </w:r>
      <w:r w:rsidR="00FD54F5" w:rsidRPr="009F45BA">
        <w:rPr>
          <w:rFonts w:ascii="Book Antiqua" w:hAnsi="Book Antiqua"/>
          <w:i/>
          <w:sz w:val="24"/>
          <w:szCs w:val="24"/>
        </w:rPr>
        <w:t xml:space="preserve"> </w:t>
      </w:r>
      <w:r w:rsidR="00176157" w:rsidRPr="009F45BA">
        <w:rPr>
          <w:rFonts w:ascii="Book Antiqua" w:hAnsi="Book Antiqua"/>
          <w:sz w:val="24"/>
          <w:szCs w:val="24"/>
        </w:rPr>
        <w:t>=</w:t>
      </w:r>
      <w:r w:rsidR="00323563" w:rsidRPr="009F45BA">
        <w:rPr>
          <w:rFonts w:ascii="Book Antiqua" w:hAnsi="Book Antiqua"/>
          <w:sz w:val="24"/>
          <w:szCs w:val="24"/>
        </w:rPr>
        <w:t xml:space="preserve"> </w:t>
      </w:r>
      <w:r w:rsidR="00176157" w:rsidRPr="009F45BA">
        <w:rPr>
          <w:rFonts w:ascii="Book Antiqua" w:hAnsi="Book Antiqua"/>
          <w:sz w:val="24"/>
          <w:szCs w:val="24"/>
        </w:rPr>
        <w:t>0.04</w:t>
      </w:r>
      <w:r w:rsidR="000328D6" w:rsidRPr="009F45BA">
        <w:rPr>
          <w:rFonts w:ascii="Book Antiqua" w:hAnsi="Book Antiqua"/>
          <w:sz w:val="24"/>
          <w:szCs w:val="24"/>
        </w:rPr>
        <w:t>1</w:t>
      </w:r>
      <w:r w:rsidR="00176157" w:rsidRPr="009F45BA">
        <w:rPr>
          <w:rFonts w:ascii="Book Antiqua" w:hAnsi="Book Antiqua"/>
          <w:sz w:val="24"/>
          <w:szCs w:val="24"/>
        </w:rPr>
        <w:t>)</w:t>
      </w:r>
      <w:r w:rsidR="008127D9" w:rsidRPr="009F45BA">
        <w:rPr>
          <w:rFonts w:ascii="Book Antiqua" w:hAnsi="Book Antiqua"/>
          <w:sz w:val="24"/>
          <w:szCs w:val="24"/>
        </w:rPr>
        <w:t>, but</w:t>
      </w:r>
      <w:r w:rsidR="00D24E37" w:rsidRPr="009F45BA">
        <w:rPr>
          <w:rFonts w:ascii="Book Antiqua" w:hAnsi="Book Antiqua"/>
          <w:sz w:val="24"/>
          <w:szCs w:val="24"/>
        </w:rPr>
        <w:t xml:space="preserve"> t</w:t>
      </w:r>
      <w:r w:rsidR="00061471" w:rsidRPr="009F45BA">
        <w:rPr>
          <w:rFonts w:ascii="Book Antiqua" w:hAnsi="Book Antiqua"/>
          <w:sz w:val="24"/>
          <w:szCs w:val="24"/>
        </w:rPr>
        <w:t xml:space="preserve">here was no statistically significant difference </w:t>
      </w:r>
      <w:r w:rsidR="00D24E37" w:rsidRPr="009F45BA">
        <w:rPr>
          <w:rFonts w:ascii="Book Antiqua" w:hAnsi="Book Antiqua"/>
          <w:sz w:val="24"/>
          <w:szCs w:val="24"/>
        </w:rPr>
        <w:t xml:space="preserve">between </w:t>
      </w:r>
      <w:r w:rsidR="008127D9" w:rsidRPr="009F45BA">
        <w:rPr>
          <w:rFonts w:ascii="Book Antiqua" w:hAnsi="Book Antiqua"/>
          <w:sz w:val="24"/>
          <w:szCs w:val="24"/>
        </w:rPr>
        <w:t>the</w:t>
      </w:r>
      <w:r w:rsidR="00D24E37" w:rsidRPr="009F45BA">
        <w:rPr>
          <w:rFonts w:ascii="Book Antiqua" w:hAnsi="Book Antiqua"/>
          <w:sz w:val="24"/>
          <w:szCs w:val="24"/>
        </w:rPr>
        <w:t xml:space="preserve"> study groups </w:t>
      </w:r>
      <w:r w:rsidR="008127D9" w:rsidRPr="009F45BA">
        <w:rPr>
          <w:rFonts w:ascii="Book Antiqua" w:hAnsi="Book Antiqua"/>
          <w:sz w:val="24"/>
          <w:szCs w:val="24"/>
        </w:rPr>
        <w:t>in relation to the FSSG scores for</w:t>
      </w:r>
      <w:r w:rsidR="00061471" w:rsidRPr="009F45BA">
        <w:rPr>
          <w:rFonts w:ascii="Book Antiqua" w:hAnsi="Book Antiqua"/>
          <w:sz w:val="24"/>
          <w:szCs w:val="24"/>
        </w:rPr>
        <w:t xml:space="preserve"> patients with NERD grade M</w:t>
      </w:r>
      <w:r w:rsidR="00BB0F96" w:rsidRPr="009F45BA">
        <w:rPr>
          <w:rFonts w:ascii="Book Antiqua" w:hAnsi="Book Antiqua"/>
          <w:sz w:val="24"/>
          <w:szCs w:val="24"/>
        </w:rPr>
        <w:t xml:space="preserve"> (Figure 3)</w:t>
      </w:r>
      <w:r w:rsidR="00061471" w:rsidRPr="009F45BA">
        <w:rPr>
          <w:rFonts w:ascii="Book Antiqua" w:hAnsi="Book Antiqua"/>
          <w:sz w:val="24"/>
          <w:szCs w:val="24"/>
        </w:rPr>
        <w:t xml:space="preserve">. </w:t>
      </w:r>
    </w:p>
    <w:p w:rsidR="00DF7F30" w:rsidRPr="009F45BA" w:rsidRDefault="00A17F4F" w:rsidP="00826736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9F45BA">
        <w:rPr>
          <w:rFonts w:ascii="Book Antiqua" w:hAnsi="Book Antiqua"/>
          <w:sz w:val="24"/>
          <w:szCs w:val="24"/>
        </w:rPr>
        <w:t xml:space="preserve">The </w:t>
      </w:r>
      <w:r w:rsidRPr="009F45BA">
        <w:rPr>
          <w:rFonts w:ascii="Book Antiqua" w:eastAsia="MS PMincho" w:hAnsi="Book Antiqua"/>
          <w:sz w:val="24"/>
          <w:szCs w:val="24"/>
        </w:rPr>
        <w:t>SF-36</w:t>
      </w:r>
      <w:r w:rsidR="008127D9" w:rsidRPr="009F45BA">
        <w:rPr>
          <w:rFonts w:ascii="Book Antiqua" w:eastAsia="MS PMincho" w:hAnsi="Book Antiqua"/>
          <w:sz w:val="24"/>
          <w:szCs w:val="24"/>
        </w:rPr>
        <w:t xml:space="preserve"> scores for group I</w:t>
      </w:r>
      <w:r w:rsidR="006C6A2E" w:rsidRPr="009F45BA">
        <w:rPr>
          <w:rFonts w:ascii="Book Antiqua" w:eastAsia="MS PMincho" w:hAnsi="Book Antiqua"/>
          <w:sz w:val="24"/>
          <w:szCs w:val="24"/>
        </w:rPr>
        <w:t xml:space="preserve"> significantly improved in </w:t>
      </w:r>
      <w:r w:rsidR="008127D9" w:rsidRPr="009F45BA">
        <w:rPr>
          <w:rFonts w:ascii="Book Antiqua" w:eastAsia="MS PMincho" w:hAnsi="Book Antiqua"/>
          <w:sz w:val="24"/>
          <w:szCs w:val="24"/>
        </w:rPr>
        <w:t xml:space="preserve">relation to </w:t>
      </w:r>
      <w:r w:rsidR="006C6A2E" w:rsidRPr="009F45BA">
        <w:rPr>
          <w:rFonts w:ascii="Book Antiqua" w:eastAsia="MS PMincho" w:hAnsi="Book Antiqua"/>
          <w:sz w:val="24"/>
          <w:szCs w:val="24"/>
        </w:rPr>
        <w:t>general</w:t>
      </w:r>
      <w:r w:rsidR="00450314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6C6A2E" w:rsidRPr="009F45BA">
        <w:rPr>
          <w:rFonts w:ascii="Book Antiqua" w:hAnsi="Book Antiqua"/>
          <w:sz w:val="24"/>
          <w:szCs w:val="24"/>
        </w:rPr>
        <w:t>health, vitality</w:t>
      </w:r>
      <w:r w:rsidR="008127D9" w:rsidRPr="009F45BA">
        <w:rPr>
          <w:rFonts w:ascii="Book Antiqua" w:hAnsi="Book Antiqua"/>
          <w:sz w:val="24"/>
          <w:szCs w:val="24"/>
        </w:rPr>
        <w:t>,</w:t>
      </w:r>
      <w:r w:rsidR="006C24BD" w:rsidRPr="009F45BA">
        <w:rPr>
          <w:rFonts w:ascii="Book Antiqua" w:hAnsi="Book Antiqua"/>
          <w:sz w:val="24"/>
          <w:szCs w:val="24"/>
        </w:rPr>
        <w:t xml:space="preserve"> and mental health</w:t>
      </w:r>
      <w:r w:rsidR="00BF795F" w:rsidRPr="009F45BA">
        <w:rPr>
          <w:rFonts w:ascii="Book Antiqua" w:hAnsi="Book Antiqua"/>
          <w:sz w:val="24"/>
          <w:szCs w:val="24"/>
        </w:rPr>
        <w:t xml:space="preserve"> </w:t>
      </w:r>
      <w:r w:rsidR="006C24BD" w:rsidRPr="009F45BA">
        <w:rPr>
          <w:rFonts w:ascii="Book Antiqua" w:hAnsi="Book Antiqua"/>
          <w:sz w:val="24"/>
          <w:szCs w:val="24"/>
        </w:rPr>
        <w:t>after</w:t>
      </w:r>
      <w:r w:rsidRPr="009F45BA">
        <w:rPr>
          <w:rFonts w:ascii="Book Antiqua" w:hAnsi="Book Antiqua"/>
          <w:sz w:val="24"/>
          <w:szCs w:val="24"/>
        </w:rPr>
        <w:t xml:space="preserve"> treatment</w:t>
      </w:r>
      <w:r w:rsidR="006C6A2E" w:rsidRPr="009F45BA">
        <w:rPr>
          <w:rFonts w:ascii="Book Antiqua" w:hAnsi="Book Antiqua"/>
          <w:sz w:val="24"/>
          <w:szCs w:val="24"/>
        </w:rPr>
        <w:t xml:space="preserve">, whereas </w:t>
      </w:r>
      <w:r w:rsidR="006C24BD" w:rsidRPr="009F45BA">
        <w:rPr>
          <w:rFonts w:ascii="Book Antiqua" w:hAnsi="Book Antiqua"/>
          <w:sz w:val="24"/>
          <w:szCs w:val="24"/>
        </w:rPr>
        <w:t>the SF-36 scores for group P</w:t>
      </w:r>
      <w:r w:rsidR="00BF795F" w:rsidRPr="009F45BA">
        <w:rPr>
          <w:rFonts w:ascii="Book Antiqua" w:hAnsi="Book Antiqua"/>
          <w:sz w:val="24"/>
          <w:szCs w:val="24"/>
        </w:rPr>
        <w:t xml:space="preserve"> </w:t>
      </w:r>
      <w:r w:rsidR="006C6A2E" w:rsidRPr="009F45BA">
        <w:rPr>
          <w:rFonts w:ascii="Book Antiqua" w:hAnsi="Book Antiqua"/>
          <w:sz w:val="24"/>
          <w:szCs w:val="24"/>
        </w:rPr>
        <w:t xml:space="preserve">improved in </w:t>
      </w:r>
      <w:r w:rsidR="006C24BD" w:rsidRPr="009F45BA">
        <w:rPr>
          <w:rFonts w:ascii="Book Antiqua" w:hAnsi="Book Antiqua"/>
          <w:sz w:val="24"/>
          <w:szCs w:val="24"/>
        </w:rPr>
        <w:t xml:space="preserve">relation to </w:t>
      </w:r>
      <w:r w:rsidR="006C6A2E" w:rsidRPr="009F45BA">
        <w:rPr>
          <w:rFonts w:ascii="Book Antiqua" w:hAnsi="Book Antiqua"/>
          <w:sz w:val="24"/>
          <w:szCs w:val="24"/>
        </w:rPr>
        <w:t>general</w:t>
      </w:r>
      <w:r w:rsidR="00450314" w:rsidRPr="009F45BA">
        <w:rPr>
          <w:rFonts w:ascii="Book Antiqua" w:hAnsi="Book Antiqua"/>
          <w:sz w:val="24"/>
          <w:szCs w:val="24"/>
        </w:rPr>
        <w:t xml:space="preserve"> health and mental health</w:t>
      </w:r>
      <w:r w:rsidR="006C24BD" w:rsidRPr="009F45BA">
        <w:rPr>
          <w:rFonts w:ascii="Book Antiqua" w:hAnsi="Book Antiqua"/>
          <w:sz w:val="24"/>
          <w:szCs w:val="24"/>
        </w:rPr>
        <w:t xml:space="preserve"> after treatment</w:t>
      </w:r>
      <w:r w:rsidR="00FE7F85" w:rsidRPr="009F45BA">
        <w:rPr>
          <w:rFonts w:ascii="Book Antiqua" w:hAnsi="Book Antiqua"/>
          <w:sz w:val="24"/>
          <w:szCs w:val="24"/>
        </w:rPr>
        <w:t xml:space="preserve"> (Figure 4)</w:t>
      </w:r>
      <w:r w:rsidR="006C6A2E" w:rsidRPr="009F45BA">
        <w:rPr>
          <w:rFonts w:ascii="Book Antiqua" w:hAnsi="Book Antiqua"/>
          <w:sz w:val="24"/>
          <w:szCs w:val="24"/>
        </w:rPr>
        <w:t>.</w:t>
      </w:r>
      <w:r w:rsidR="00BF795F" w:rsidRPr="009F45BA">
        <w:rPr>
          <w:rFonts w:ascii="Book Antiqua" w:hAnsi="Book Antiqua"/>
          <w:sz w:val="24"/>
          <w:szCs w:val="24"/>
        </w:rPr>
        <w:t xml:space="preserve"> </w:t>
      </w:r>
      <w:r w:rsidR="00BB0F96" w:rsidRPr="009F45BA">
        <w:rPr>
          <w:rFonts w:ascii="Book Antiqua" w:hAnsi="Book Antiqua"/>
          <w:sz w:val="24"/>
          <w:szCs w:val="24"/>
        </w:rPr>
        <w:t>S</w:t>
      </w:r>
      <w:r w:rsidR="00774EF0" w:rsidRPr="009F45BA">
        <w:rPr>
          <w:rFonts w:ascii="Book Antiqua" w:hAnsi="Book Antiqua"/>
          <w:sz w:val="24"/>
          <w:szCs w:val="24"/>
        </w:rPr>
        <w:t>ubgroup analys</w:t>
      </w:r>
      <w:r w:rsidR="009F6D0C" w:rsidRPr="009F45BA">
        <w:rPr>
          <w:rFonts w:ascii="Book Antiqua" w:hAnsi="Book Antiqua"/>
          <w:sz w:val="24"/>
          <w:szCs w:val="24"/>
        </w:rPr>
        <w:t xml:space="preserve">is showed that the </w:t>
      </w:r>
      <w:r w:rsidR="006C24BD" w:rsidRPr="009F45BA">
        <w:rPr>
          <w:rFonts w:ascii="Book Antiqua" w:hAnsi="Book Antiqua"/>
          <w:sz w:val="24"/>
          <w:szCs w:val="24"/>
        </w:rPr>
        <w:t xml:space="preserve">SF-36 </w:t>
      </w:r>
      <w:r w:rsidR="009F6D0C" w:rsidRPr="009F45BA">
        <w:rPr>
          <w:rFonts w:ascii="Book Antiqua" w:hAnsi="Book Antiqua"/>
          <w:sz w:val="24"/>
          <w:szCs w:val="24"/>
        </w:rPr>
        <w:t xml:space="preserve">scores for </w:t>
      </w:r>
      <w:r w:rsidR="006C24BD" w:rsidRPr="009F45BA">
        <w:rPr>
          <w:rFonts w:ascii="Book Antiqua" w:hAnsi="Book Antiqua"/>
          <w:sz w:val="24"/>
          <w:szCs w:val="24"/>
        </w:rPr>
        <w:lastRenderedPageBreak/>
        <w:t xml:space="preserve">patients with </w:t>
      </w:r>
      <w:r w:rsidR="009F6D0C" w:rsidRPr="009F45BA">
        <w:rPr>
          <w:rFonts w:ascii="Book Antiqua" w:hAnsi="Book Antiqua"/>
          <w:sz w:val="24"/>
          <w:szCs w:val="24"/>
        </w:rPr>
        <w:t>NERD</w:t>
      </w:r>
      <w:r w:rsidR="006C24BD" w:rsidRPr="009F45BA">
        <w:rPr>
          <w:rFonts w:ascii="Book Antiqua" w:hAnsi="Book Antiqua"/>
          <w:sz w:val="24"/>
          <w:szCs w:val="24"/>
        </w:rPr>
        <w:t xml:space="preserve"> grade N in group I</w:t>
      </w:r>
      <w:r w:rsidR="00774EF0" w:rsidRPr="009F45BA">
        <w:rPr>
          <w:rFonts w:ascii="Book Antiqua" w:hAnsi="Book Antiqua"/>
          <w:sz w:val="24"/>
          <w:szCs w:val="24"/>
        </w:rPr>
        <w:t xml:space="preserve"> significant</w:t>
      </w:r>
      <w:r w:rsidR="006C24BD" w:rsidRPr="009F45BA">
        <w:rPr>
          <w:rFonts w:ascii="Book Antiqua" w:hAnsi="Book Antiqua"/>
          <w:sz w:val="24"/>
          <w:szCs w:val="24"/>
        </w:rPr>
        <w:t>ly</w:t>
      </w:r>
      <w:r w:rsidR="00774EF0" w:rsidRPr="009F45BA">
        <w:rPr>
          <w:rFonts w:ascii="Book Antiqua" w:hAnsi="Book Antiqua"/>
          <w:sz w:val="24"/>
          <w:szCs w:val="24"/>
        </w:rPr>
        <w:t xml:space="preserve"> improved in </w:t>
      </w:r>
      <w:r w:rsidR="006C24BD" w:rsidRPr="009F45BA">
        <w:rPr>
          <w:rFonts w:ascii="Book Antiqua" w:hAnsi="Book Antiqua"/>
          <w:sz w:val="24"/>
          <w:szCs w:val="24"/>
        </w:rPr>
        <w:t xml:space="preserve">relation to </w:t>
      </w:r>
      <w:r w:rsidR="00774EF0" w:rsidRPr="009F45BA">
        <w:rPr>
          <w:rFonts w:ascii="Book Antiqua" w:hAnsi="Book Antiqua"/>
          <w:sz w:val="24"/>
          <w:szCs w:val="24"/>
        </w:rPr>
        <w:t>vitality and mental health</w:t>
      </w:r>
      <w:r w:rsidR="006C24BD" w:rsidRPr="009F45BA">
        <w:rPr>
          <w:rFonts w:ascii="Book Antiqua" w:hAnsi="Book Antiqua"/>
          <w:sz w:val="24"/>
          <w:szCs w:val="24"/>
        </w:rPr>
        <w:t xml:space="preserve"> after treatment, but</w:t>
      </w:r>
      <w:r w:rsidR="00774EF0" w:rsidRPr="009F45BA">
        <w:rPr>
          <w:rFonts w:ascii="Book Antiqua" w:hAnsi="Book Antiqua"/>
          <w:sz w:val="24"/>
          <w:szCs w:val="24"/>
        </w:rPr>
        <w:t xml:space="preserve"> </w:t>
      </w:r>
      <w:r w:rsidR="006C24BD" w:rsidRPr="009F45BA">
        <w:rPr>
          <w:rFonts w:ascii="Book Antiqua" w:hAnsi="Book Antiqua"/>
          <w:sz w:val="24"/>
          <w:szCs w:val="24"/>
        </w:rPr>
        <w:t xml:space="preserve">there were </w:t>
      </w:r>
      <w:r w:rsidR="00774EF0" w:rsidRPr="009F45BA">
        <w:rPr>
          <w:rFonts w:ascii="Book Antiqua" w:hAnsi="Book Antiqua"/>
          <w:sz w:val="24"/>
          <w:szCs w:val="24"/>
        </w:rPr>
        <w:t xml:space="preserve">no statistically significant </w:t>
      </w:r>
      <w:r w:rsidR="006C24BD" w:rsidRPr="009F45BA">
        <w:rPr>
          <w:rFonts w:ascii="Book Antiqua" w:hAnsi="Book Antiqua"/>
          <w:sz w:val="24"/>
          <w:szCs w:val="24"/>
        </w:rPr>
        <w:t xml:space="preserve">differences in the SF-36 scores for patients with </w:t>
      </w:r>
      <w:r w:rsidR="009F6D0C" w:rsidRPr="009F45BA">
        <w:rPr>
          <w:rFonts w:ascii="Book Antiqua" w:hAnsi="Book Antiqua"/>
          <w:sz w:val="24"/>
          <w:szCs w:val="24"/>
        </w:rPr>
        <w:t>NERD</w:t>
      </w:r>
      <w:r w:rsidR="00450314" w:rsidRPr="009F45BA">
        <w:rPr>
          <w:rFonts w:ascii="Book Antiqua" w:hAnsi="Book Antiqua"/>
          <w:sz w:val="24"/>
          <w:szCs w:val="24"/>
        </w:rPr>
        <w:t xml:space="preserve"> grade M in group I</w:t>
      </w:r>
      <w:r w:rsidR="00FE7F85" w:rsidRPr="009F45BA">
        <w:rPr>
          <w:rFonts w:ascii="Book Antiqua" w:hAnsi="Book Antiqua"/>
          <w:sz w:val="24"/>
          <w:szCs w:val="24"/>
        </w:rPr>
        <w:t xml:space="preserve"> </w:t>
      </w:r>
      <w:r w:rsidR="006C24BD" w:rsidRPr="009F45BA">
        <w:rPr>
          <w:rFonts w:ascii="Book Antiqua" w:hAnsi="Book Antiqua"/>
          <w:sz w:val="24"/>
          <w:szCs w:val="24"/>
        </w:rPr>
        <w:t xml:space="preserve">after treatment </w:t>
      </w:r>
      <w:r w:rsidR="00FE7F85" w:rsidRPr="009F45BA">
        <w:rPr>
          <w:rFonts w:ascii="Book Antiqua" w:hAnsi="Book Antiqua"/>
          <w:sz w:val="24"/>
          <w:szCs w:val="24"/>
        </w:rPr>
        <w:t>(Figure 5)</w:t>
      </w:r>
      <w:r w:rsidR="00450314" w:rsidRPr="009F45BA">
        <w:rPr>
          <w:rFonts w:ascii="Book Antiqua" w:hAnsi="Book Antiqua"/>
          <w:sz w:val="24"/>
          <w:szCs w:val="24"/>
        </w:rPr>
        <w:t xml:space="preserve">. </w:t>
      </w:r>
      <w:r w:rsidR="006C24BD" w:rsidRPr="009F45BA">
        <w:rPr>
          <w:rFonts w:ascii="Book Antiqua" w:hAnsi="Book Antiqua"/>
          <w:sz w:val="24"/>
          <w:szCs w:val="24"/>
        </w:rPr>
        <w:t>We did</w:t>
      </w:r>
      <w:r w:rsidR="00450314" w:rsidRPr="009F45BA">
        <w:rPr>
          <w:rFonts w:ascii="Book Antiqua" w:hAnsi="Book Antiqua"/>
          <w:sz w:val="24"/>
          <w:szCs w:val="24"/>
        </w:rPr>
        <w:t xml:space="preserve"> not </w:t>
      </w:r>
      <w:r w:rsidR="006C24BD" w:rsidRPr="009F45BA">
        <w:rPr>
          <w:rFonts w:ascii="Book Antiqua" w:hAnsi="Book Antiqua"/>
          <w:sz w:val="24"/>
          <w:szCs w:val="24"/>
        </w:rPr>
        <w:t>detect</w:t>
      </w:r>
      <w:r w:rsidR="00450314" w:rsidRPr="009F45BA">
        <w:rPr>
          <w:rFonts w:ascii="Book Antiqua" w:hAnsi="Book Antiqua"/>
          <w:sz w:val="24"/>
          <w:szCs w:val="24"/>
        </w:rPr>
        <w:t xml:space="preserve"> any </w:t>
      </w:r>
      <w:r w:rsidR="001076BF" w:rsidRPr="009F45BA">
        <w:rPr>
          <w:rFonts w:ascii="Book Antiqua" w:hAnsi="Book Antiqua"/>
          <w:sz w:val="24"/>
          <w:szCs w:val="24"/>
        </w:rPr>
        <w:t>improvement</w:t>
      </w:r>
      <w:r w:rsidR="006C24BD" w:rsidRPr="009F45BA">
        <w:rPr>
          <w:rFonts w:ascii="Book Antiqua" w:hAnsi="Book Antiqua"/>
          <w:sz w:val="24"/>
          <w:szCs w:val="24"/>
        </w:rPr>
        <w:t>s</w:t>
      </w:r>
      <w:r w:rsidR="00DF7F30" w:rsidRPr="009F45BA">
        <w:rPr>
          <w:rFonts w:ascii="Book Antiqua" w:hAnsi="Book Antiqua"/>
          <w:sz w:val="24"/>
          <w:szCs w:val="24"/>
        </w:rPr>
        <w:t xml:space="preserve"> </w:t>
      </w:r>
      <w:r w:rsidR="006C24BD" w:rsidRPr="009F45BA">
        <w:rPr>
          <w:rFonts w:ascii="Book Antiqua" w:hAnsi="Book Antiqua"/>
          <w:sz w:val="24"/>
          <w:szCs w:val="24"/>
        </w:rPr>
        <w:t>in the SF-36 scores in group P after</w:t>
      </w:r>
      <w:r w:rsidR="00DF7F30" w:rsidRPr="009F45BA">
        <w:rPr>
          <w:rFonts w:ascii="Book Antiqua" w:hAnsi="Book Antiqua"/>
          <w:sz w:val="24"/>
          <w:szCs w:val="24"/>
        </w:rPr>
        <w:t xml:space="preserve"> </w:t>
      </w:r>
      <w:r w:rsidR="00BF795F" w:rsidRPr="009F45BA">
        <w:rPr>
          <w:rFonts w:ascii="Book Antiqua" w:hAnsi="Book Antiqua"/>
          <w:sz w:val="24"/>
          <w:szCs w:val="24"/>
        </w:rPr>
        <w:t>treatment</w:t>
      </w:r>
      <w:r w:rsidR="00DF7F30" w:rsidRPr="009F45BA">
        <w:rPr>
          <w:rFonts w:ascii="Book Antiqua" w:hAnsi="Book Antiqua"/>
          <w:sz w:val="24"/>
          <w:szCs w:val="24"/>
        </w:rPr>
        <w:t xml:space="preserve">, </w:t>
      </w:r>
      <w:r w:rsidR="006C24BD" w:rsidRPr="009F45BA">
        <w:rPr>
          <w:rFonts w:ascii="Book Antiqua" w:hAnsi="Book Antiqua"/>
          <w:sz w:val="24"/>
          <w:szCs w:val="24"/>
        </w:rPr>
        <w:t xml:space="preserve">with the </w:t>
      </w:r>
      <w:r w:rsidR="00DF7F30" w:rsidRPr="009F45BA">
        <w:rPr>
          <w:rFonts w:ascii="Book Antiqua" w:hAnsi="Book Antiqua"/>
          <w:sz w:val="24"/>
          <w:szCs w:val="24"/>
        </w:rPr>
        <w:t>except</w:t>
      </w:r>
      <w:r w:rsidR="006C24BD" w:rsidRPr="009F45BA">
        <w:rPr>
          <w:rFonts w:ascii="Book Antiqua" w:hAnsi="Book Antiqua"/>
          <w:sz w:val="24"/>
          <w:szCs w:val="24"/>
        </w:rPr>
        <w:t>ion of the</w:t>
      </w:r>
      <w:r w:rsidR="00DF7F30" w:rsidRPr="009F45BA">
        <w:rPr>
          <w:rFonts w:ascii="Book Antiqua" w:hAnsi="Book Antiqua"/>
          <w:sz w:val="24"/>
          <w:szCs w:val="24"/>
        </w:rPr>
        <w:t xml:space="preserve"> mental health</w:t>
      </w:r>
      <w:r w:rsidR="009F6D0C" w:rsidRPr="009F45BA">
        <w:rPr>
          <w:rFonts w:ascii="Book Antiqua" w:hAnsi="Book Antiqua"/>
          <w:sz w:val="24"/>
          <w:szCs w:val="24"/>
        </w:rPr>
        <w:t xml:space="preserve"> scores for </w:t>
      </w:r>
      <w:r w:rsidR="006C24BD" w:rsidRPr="009F45BA">
        <w:rPr>
          <w:rFonts w:ascii="Book Antiqua" w:hAnsi="Book Antiqua"/>
          <w:sz w:val="24"/>
          <w:szCs w:val="24"/>
        </w:rPr>
        <w:t xml:space="preserve">the patients with </w:t>
      </w:r>
      <w:r w:rsidR="009F6D0C" w:rsidRPr="009F45BA">
        <w:rPr>
          <w:rFonts w:ascii="Book Antiqua" w:hAnsi="Book Antiqua"/>
          <w:sz w:val="24"/>
          <w:szCs w:val="24"/>
        </w:rPr>
        <w:t>NERD</w:t>
      </w:r>
      <w:r w:rsidR="00BF795F" w:rsidRPr="009F45BA">
        <w:rPr>
          <w:rFonts w:ascii="Book Antiqua" w:hAnsi="Book Antiqua"/>
          <w:sz w:val="24"/>
          <w:szCs w:val="24"/>
        </w:rPr>
        <w:t xml:space="preserve"> grade M</w:t>
      </w:r>
      <w:r w:rsidR="00450314" w:rsidRPr="009F45BA">
        <w:rPr>
          <w:rFonts w:ascii="Book Antiqua" w:hAnsi="Book Antiqua"/>
          <w:sz w:val="24"/>
          <w:szCs w:val="24"/>
        </w:rPr>
        <w:t>.</w:t>
      </w:r>
      <w:r w:rsidR="00DF7F30" w:rsidRPr="009F45BA">
        <w:rPr>
          <w:rFonts w:ascii="Book Antiqua" w:hAnsi="Book Antiqua"/>
          <w:sz w:val="24"/>
          <w:szCs w:val="24"/>
        </w:rPr>
        <w:t xml:space="preserve"> </w:t>
      </w:r>
    </w:p>
    <w:p w:rsidR="00826736" w:rsidRDefault="00C864AE" w:rsidP="00826736">
      <w:pPr>
        <w:adjustRightInd w:val="0"/>
        <w:snapToGrid w:val="0"/>
        <w:spacing w:line="360" w:lineRule="auto"/>
        <w:ind w:firstLineChars="100" w:firstLine="240"/>
        <w:rPr>
          <w:rFonts w:ascii="Book Antiqua" w:eastAsia="宋体" w:hAnsi="Book Antiqua"/>
          <w:sz w:val="24"/>
          <w:szCs w:val="24"/>
          <w:lang w:eastAsia="zh-CN"/>
        </w:rPr>
      </w:pPr>
      <w:r w:rsidRPr="009F45BA">
        <w:rPr>
          <w:rFonts w:ascii="Book Antiqua" w:eastAsiaTheme="minorEastAsia" w:hAnsi="Book Antiqua"/>
          <w:sz w:val="24"/>
          <w:szCs w:val="24"/>
        </w:rPr>
        <w:t>Patient</w:t>
      </w:r>
      <w:r w:rsidR="0043418C" w:rsidRPr="009F45BA">
        <w:rPr>
          <w:rFonts w:ascii="Book Antiqua" w:eastAsiaTheme="minorEastAsia" w:hAnsi="Book Antiqua"/>
          <w:sz w:val="24"/>
          <w:szCs w:val="24"/>
        </w:rPr>
        <w:t xml:space="preserve"> compliance was determined by counting the </w:t>
      </w:r>
      <w:r w:rsidR="00014F25" w:rsidRPr="009F45BA">
        <w:rPr>
          <w:rFonts w:ascii="Book Antiqua" w:eastAsiaTheme="minorEastAsia" w:hAnsi="Book Antiqua"/>
          <w:sz w:val="24"/>
          <w:szCs w:val="24"/>
        </w:rPr>
        <w:t>remaining units of</w:t>
      </w:r>
      <w:r w:rsidRPr="009F45BA">
        <w:rPr>
          <w:rFonts w:ascii="Book Antiqua" w:eastAsiaTheme="minorEastAsia" w:hAnsi="Book Antiqua"/>
          <w:sz w:val="24"/>
          <w:szCs w:val="24"/>
        </w:rPr>
        <w:t xml:space="preserve"> medication</w:t>
      </w:r>
      <w:r w:rsidR="0043418C" w:rsidRPr="009F45BA">
        <w:rPr>
          <w:rFonts w:ascii="Book Antiqua" w:eastAsiaTheme="minorEastAsia" w:hAnsi="Book Antiqua"/>
          <w:sz w:val="24"/>
          <w:szCs w:val="24"/>
        </w:rPr>
        <w:t xml:space="preserve"> </w:t>
      </w:r>
      <w:r w:rsidR="0043418C" w:rsidRPr="009F45BA">
        <w:rPr>
          <w:rFonts w:ascii="Book Antiqua" w:eastAsia="MS PMincho" w:hAnsi="Book Antiqua"/>
          <w:sz w:val="24"/>
          <w:szCs w:val="24"/>
        </w:rPr>
        <w:t>at the end of the four-week study period</w:t>
      </w:r>
      <w:r w:rsidR="0043418C" w:rsidRPr="009F45BA">
        <w:rPr>
          <w:rFonts w:ascii="Book Antiqua" w:eastAsiaTheme="minorEastAsia" w:hAnsi="Book Antiqua"/>
          <w:sz w:val="24"/>
          <w:szCs w:val="24"/>
        </w:rPr>
        <w:t xml:space="preserve">. All </w:t>
      </w:r>
      <w:r w:rsidR="00014F25" w:rsidRPr="009F45BA">
        <w:rPr>
          <w:rFonts w:ascii="Book Antiqua" w:eastAsiaTheme="minorEastAsia" w:hAnsi="Book Antiqua"/>
          <w:sz w:val="24"/>
          <w:szCs w:val="24"/>
        </w:rPr>
        <w:t xml:space="preserve">of the </w:t>
      </w:r>
      <w:r w:rsidR="0043418C" w:rsidRPr="009F45BA">
        <w:rPr>
          <w:rFonts w:ascii="Book Antiqua" w:eastAsiaTheme="minorEastAsia" w:hAnsi="Book Antiqua"/>
          <w:sz w:val="24"/>
          <w:szCs w:val="24"/>
        </w:rPr>
        <w:t xml:space="preserve">patients took more than 90% of the prescribed </w:t>
      </w:r>
      <w:r w:rsidR="00014F25" w:rsidRPr="009F45BA">
        <w:rPr>
          <w:rFonts w:ascii="Book Antiqua" w:eastAsiaTheme="minorEastAsia" w:hAnsi="Book Antiqua"/>
          <w:sz w:val="24"/>
          <w:szCs w:val="24"/>
        </w:rPr>
        <w:t>medication</w:t>
      </w:r>
      <w:r w:rsidR="0043418C" w:rsidRPr="009F45BA">
        <w:rPr>
          <w:rFonts w:ascii="Book Antiqua" w:eastAsiaTheme="minorEastAsia" w:hAnsi="Book Antiqua"/>
          <w:sz w:val="24"/>
          <w:szCs w:val="24"/>
        </w:rPr>
        <w:t xml:space="preserve">. </w:t>
      </w:r>
      <w:r w:rsidR="00730D77" w:rsidRPr="009F45BA">
        <w:rPr>
          <w:rFonts w:ascii="Book Antiqua" w:eastAsiaTheme="minorEastAsia" w:hAnsi="Book Antiqua"/>
          <w:sz w:val="24"/>
          <w:szCs w:val="24"/>
        </w:rPr>
        <w:t>No serious adverse events occurred</w:t>
      </w:r>
      <w:r w:rsidR="00014F25" w:rsidRPr="009F45BA">
        <w:rPr>
          <w:rFonts w:ascii="Book Antiqua" w:eastAsiaTheme="minorEastAsia" w:hAnsi="Book Antiqua"/>
          <w:sz w:val="24"/>
          <w:szCs w:val="24"/>
        </w:rPr>
        <w:t>,</w:t>
      </w:r>
      <w:r w:rsidR="00730D77" w:rsidRPr="009F45BA">
        <w:rPr>
          <w:rFonts w:ascii="Book Antiqua" w:eastAsiaTheme="minorEastAsia" w:hAnsi="Book Antiqua"/>
          <w:sz w:val="24"/>
          <w:szCs w:val="24"/>
        </w:rPr>
        <w:t xml:space="preserve"> and no</w:t>
      </w:r>
      <w:r w:rsidR="00014F25" w:rsidRPr="009F45BA">
        <w:rPr>
          <w:rFonts w:ascii="Book Antiqua" w:eastAsiaTheme="minorEastAsia" w:hAnsi="Book Antiqua"/>
          <w:sz w:val="24"/>
          <w:szCs w:val="24"/>
        </w:rPr>
        <w:t>ne of the</w:t>
      </w:r>
      <w:r w:rsidR="00730D77" w:rsidRPr="009F45BA">
        <w:rPr>
          <w:rFonts w:ascii="Book Antiqua" w:eastAsiaTheme="minorEastAsia" w:hAnsi="Book Antiqua"/>
          <w:sz w:val="24"/>
          <w:szCs w:val="24"/>
        </w:rPr>
        <w:t xml:space="preserve"> participant</w:t>
      </w:r>
      <w:r w:rsidR="00014F25" w:rsidRPr="009F45BA">
        <w:rPr>
          <w:rFonts w:ascii="Book Antiqua" w:eastAsiaTheme="minorEastAsia" w:hAnsi="Book Antiqua"/>
          <w:sz w:val="24"/>
          <w:szCs w:val="24"/>
        </w:rPr>
        <w:t>s terminated the</w:t>
      </w:r>
      <w:r w:rsidR="00730D77" w:rsidRPr="009F45BA">
        <w:rPr>
          <w:rFonts w:ascii="Book Antiqua" w:eastAsiaTheme="minorEastAsia" w:hAnsi="Book Antiqua"/>
          <w:sz w:val="24"/>
          <w:szCs w:val="24"/>
        </w:rPr>
        <w:t xml:space="preserve"> study because of adverse events.</w:t>
      </w:r>
    </w:p>
    <w:p w:rsidR="00826736" w:rsidRDefault="00826736" w:rsidP="00826736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BF795F" w:rsidRPr="00826736" w:rsidRDefault="00826736" w:rsidP="0082673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826736">
        <w:rPr>
          <w:rFonts w:ascii="Book Antiqua" w:hAnsi="Book Antiqua"/>
          <w:b/>
          <w:sz w:val="24"/>
          <w:szCs w:val="24"/>
        </w:rPr>
        <w:t>DISCUSSION</w:t>
      </w:r>
    </w:p>
    <w:p w:rsidR="0006093E" w:rsidRPr="009F45BA" w:rsidRDefault="00595D56" w:rsidP="0082673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9F45BA">
        <w:rPr>
          <w:rFonts w:ascii="Book Antiqua" w:hAnsi="Book Antiqua"/>
          <w:sz w:val="24"/>
          <w:szCs w:val="24"/>
        </w:rPr>
        <w:t>T</w:t>
      </w:r>
      <w:r w:rsidR="002774B5" w:rsidRPr="009F45BA">
        <w:rPr>
          <w:rFonts w:ascii="Book Antiqua" w:hAnsi="Book Antiqua"/>
          <w:sz w:val="24"/>
          <w:szCs w:val="24"/>
        </w:rPr>
        <w:t xml:space="preserve">he inhibition of acid secretion </w:t>
      </w:r>
      <w:r w:rsidRPr="009F45BA">
        <w:rPr>
          <w:rFonts w:ascii="Book Antiqua" w:hAnsi="Book Antiqua"/>
          <w:sz w:val="24"/>
          <w:szCs w:val="24"/>
        </w:rPr>
        <w:t>with</w:t>
      </w:r>
      <w:r w:rsidR="002774B5" w:rsidRPr="009F45BA">
        <w:rPr>
          <w:rFonts w:ascii="Book Antiqua" w:hAnsi="Book Antiqua"/>
          <w:sz w:val="24"/>
          <w:szCs w:val="24"/>
        </w:rPr>
        <w:t xml:space="preserve">in the stomach </w:t>
      </w:r>
      <w:r w:rsidRPr="009F45BA">
        <w:rPr>
          <w:rFonts w:ascii="Book Antiqua" w:hAnsi="Book Antiqua"/>
          <w:sz w:val="24"/>
          <w:szCs w:val="24"/>
        </w:rPr>
        <w:t xml:space="preserve">using PPI </w:t>
      </w:r>
      <w:r w:rsidR="00B87737" w:rsidRPr="009F45BA">
        <w:rPr>
          <w:rFonts w:ascii="Book Antiqua" w:hAnsi="Book Antiqua"/>
          <w:sz w:val="24"/>
          <w:szCs w:val="24"/>
        </w:rPr>
        <w:t>or histamine</w:t>
      </w:r>
      <w:r w:rsidR="00406994" w:rsidRPr="009F45BA">
        <w:rPr>
          <w:rFonts w:ascii="Book Antiqua" w:hAnsi="Book Antiqua"/>
          <w:sz w:val="24"/>
          <w:szCs w:val="24"/>
        </w:rPr>
        <w:t xml:space="preserve"> </w:t>
      </w:r>
      <w:r w:rsidR="002774B5" w:rsidRPr="009F45BA">
        <w:rPr>
          <w:rFonts w:ascii="Book Antiqua" w:hAnsi="Book Antiqua"/>
          <w:sz w:val="24"/>
          <w:szCs w:val="24"/>
        </w:rPr>
        <w:t>2 receptor blocker</w:t>
      </w:r>
      <w:r w:rsidRPr="009F45BA">
        <w:rPr>
          <w:rFonts w:ascii="Book Antiqua" w:hAnsi="Book Antiqua"/>
          <w:sz w:val="24"/>
          <w:szCs w:val="24"/>
        </w:rPr>
        <w:t xml:space="preserve">s is the main approach for the treatment of </w:t>
      </w:r>
      <w:proofErr w:type="gramStart"/>
      <w:r w:rsidRPr="009F45BA">
        <w:rPr>
          <w:rFonts w:ascii="Book Antiqua" w:hAnsi="Book Antiqua"/>
          <w:sz w:val="24"/>
          <w:szCs w:val="24"/>
        </w:rPr>
        <w:t>NERD</w:t>
      </w:r>
      <w:r w:rsidRPr="009F45B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0669F" w:rsidRPr="009F45BA">
        <w:rPr>
          <w:rFonts w:ascii="Book Antiqua" w:hAnsi="Book Antiqua"/>
          <w:sz w:val="24"/>
          <w:szCs w:val="24"/>
          <w:vertAlign w:val="superscript"/>
        </w:rPr>
        <w:t>14</w:t>
      </w:r>
      <w:r w:rsidR="00531920" w:rsidRPr="009F45BA">
        <w:rPr>
          <w:rFonts w:ascii="Book Antiqua" w:hAnsi="Book Antiqua"/>
          <w:sz w:val="24"/>
          <w:szCs w:val="24"/>
          <w:vertAlign w:val="superscript"/>
        </w:rPr>
        <w:t>-1</w:t>
      </w:r>
      <w:r w:rsidR="0040669F" w:rsidRPr="009F45BA">
        <w:rPr>
          <w:rFonts w:ascii="Book Antiqua" w:hAnsi="Book Antiqua"/>
          <w:sz w:val="24"/>
          <w:szCs w:val="24"/>
          <w:vertAlign w:val="superscript"/>
        </w:rPr>
        <w:t>7</w:t>
      </w:r>
      <w:r w:rsidRPr="009F45BA">
        <w:rPr>
          <w:rFonts w:ascii="Book Antiqua" w:hAnsi="Book Antiqua"/>
          <w:sz w:val="24"/>
          <w:szCs w:val="24"/>
          <w:vertAlign w:val="superscript"/>
        </w:rPr>
        <w:t>]</w:t>
      </w:r>
      <w:r w:rsidR="002774B5" w:rsidRPr="009F45BA">
        <w:rPr>
          <w:rFonts w:ascii="Book Antiqua" w:hAnsi="Book Antiqua"/>
          <w:sz w:val="24"/>
          <w:szCs w:val="24"/>
        </w:rPr>
        <w:t>. However, approximately half of the patients with NERD are resistant</w:t>
      </w:r>
      <w:r w:rsidR="00DB7193" w:rsidRPr="009F45BA">
        <w:rPr>
          <w:rFonts w:ascii="Book Antiqua" w:hAnsi="Book Antiqua"/>
          <w:sz w:val="24"/>
          <w:szCs w:val="24"/>
        </w:rPr>
        <w:t xml:space="preserve"> </w:t>
      </w:r>
      <w:r w:rsidR="009A3162" w:rsidRPr="009F45BA">
        <w:rPr>
          <w:rFonts w:ascii="Book Antiqua" w:hAnsi="Book Antiqua"/>
          <w:sz w:val="24"/>
          <w:szCs w:val="24"/>
        </w:rPr>
        <w:t>to</w:t>
      </w:r>
      <w:r w:rsidR="00DB7193" w:rsidRPr="009F45BA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DB7193" w:rsidRPr="009F45BA">
        <w:rPr>
          <w:rFonts w:ascii="Book Antiqua" w:hAnsi="Book Antiqua"/>
          <w:sz w:val="24"/>
          <w:szCs w:val="24"/>
        </w:rPr>
        <w:t>therapy</w:t>
      </w:r>
      <w:r w:rsidR="009A3162" w:rsidRPr="009F45B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0669F" w:rsidRPr="009F45BA">
        <w:rPr>
          <w:rFonts w:ascii="Book Antiqua" w:hAnsi="Book Antiqua"/>
          <w:sz w:val="24"/>
          <w:szCs w:val="24"/>
          <w:vertAlign w:val="superscript"/>
        </w:rPr>
        <w:t>18</w:t>
      </w:r>
      <w:r w:rsidR="009A3162" w:rsidRPr="009F45BA">
        <w:rPr>
          <w:rFonts w:ascii="Book Antiqua" w:hAnsi="Book Antiqua"/>
          <w:sz w:val="24"/>
          <w:szCs w:val="24"/>
          <w:vertAlign w:val="superscript"/>
        </w:rPr>
        <w:t>]</w:t>
      </w:r>
      <w:r w:rsidR="002774B5" w:rsidRPr="009F45BA">
        <w:rPr>
          <w:rFonts w:ascii="Book Antiqua" w:hAnsi="Book Antiqua"/>
          <w:sz w:val="24"/>
          <w:szCs w:val="24"/>
        </w:rPr>
        <w:t xml:space="preserve">. </w:t>
      </w:r>
      <w:r w:rsidR="009A3162" w:rsidRPr="009F45BA">
        <w:rPr>
          <w:rFonts w:ascii="Book Antiqua" w:hAnsi="Book Antiqua"/>
          <w:sz w:val="24"/>
          <w:szCs w:val="24"/>
        </w:rPr>
        <w:t>Many factors are associated with t</w:t>
      </w:r>
      <w:r w:rsidR="00DB7193" w:rsidRPr="009F45BA">
        <w:rPr>
          <w:rFonts w:ascii="Book Antiqua" w:hAnsi="Book Antiqua"/>
          <w:sz w:val="24"/>
          <w:szCs w:val="24"/>
        </w:rPr>
        <w:t>he pathogene</w:t>
      </w:r>
      <w:r w:rsidR="00245BA5" w:rsidRPr="009F45BA">
        <w:rPr>
          <w:rFonts w:ascii="Book Antiqua" w:hAnsi="Book Antiqua"/>
          <w:sz w:val="24"/>
          <w:szCs w:val="24"/>
        </w:rPr>
        <w:t>sis of acid</w:t>
      </w:r>
      <w:r w:rsidR="009A3162" w:rsidRPr="009F45BA">
        <w:rPr>
          <w:rFonts w:ascii="Book Antiqua" w:hAnsi="Book Antiqua"/>
          <w:sz w:val="24"/>
          <w:szCs w:val="24"/>
        </w:rPr>
        <w:t>-suppression</w:t>
      </w:r>
      <w:r w:rsidR="00245BA5" w:rsidRPr="009F45BA">
        <w:rPr>
          <w:rFonts w:ascii="Book Antiqua" w:hAnsi="Book Antiqua"/>
          <w:sz w:val="24"/>
          <w:szCs w:val="24"/>
        </w:rPr>
        <w:t xml:space="preserve"> therapy-</w:t>
      </w:r>
      <w:r w:rsidR="00DB7193" w:rsidRPr="009F45BA">
        <w:rPr>
          <w:rFonts w:ascii="Book Antiqua" w:hAnsi="Book Antiqua"/>
          <w:sz w:val="24"/>
          <w:szCs w:val="24"/>
        </w:rPr>
        <w:t>refractory NERD</w:t>
      </w:r>
      <w:r w:rsidR="009A3162" w:rsidRPr="009F45BA">
        <w:rPr>
          <w:rFonts w:ascii="Book Antiqua" w:hAnsi="Book Antiqua"/>
          <w:sz w:val="24"/>
          <w:szCs w:val="24"/>
        </w:rPr>
        <w:t>,</w:t>
      </w:r>
      <w:r w:rsidR="00DB7193" w:rsidRPr="009F45BA">
        <w:rPr>
          <w:rFonts w:ascii="Book Antiqua" w:hAnsi="Book Antiqua"/>
          <w:sz w:val="24"/>
          <w:szCs w:val="24"/>
        </w:rPr>
        <w:t xml:space="preserve"> </w:t>
      </w:r>
      <w:r w:rsidR="009A3162" w:rsidRPr="009F45BA">
        <w:rPr>
          <w:rFonts w:ascii="Book Antiqua" w:hAnsi="Book Antiqua"/>
          <w:sz w:val="24"/>
          <w:szCs w:val="24"/>
        </w:rPr>
        <w:t xml:space="preserve">including </w:t>
      </w:r>
      <w:r w:rsidR="00DB7193" w:rsidRPr="009F45BA">
        <w:rPr>
          <w:rFonts w:ascii="Book Antiqua" w:hAnsi="Book Antiqua"/>
          <w:sz w:val="24"/>
          <w:szCs w:val="24"/>
        </w:rPr>
        <w:t>gas or bile acid reflux, mucosal hypersensitivity, delayed gastric empt</w:t>
      </w:r>
      <w:r w:rsidR="00B87737" w:rsidRPr="009F45BA">
        <w:rPr>
          <w:rFonts w:ascii="Book Antiqua" w:hAnsi="Book Antiqua"/>
          <w:sz w:val="24"/>
          <w:szCs w:val="24"/>
        </w:rPr>
        <w:t>y</w:t>
      </w:r>
      <w:r w:rsidR="00DB7193" w:rsidRPr="009F45BA">
        <w:rPr>
          <w:rFonts w:ascii="Book Antiqua" w:hAnsi="Book Antiqua"/>
          <w:sz w:val="24"/>
          <w:szCs w:val="24"/>
        </w:rPr>
        <w:t xml:space="preserve">ing, </w:t>
      </w:r>
      <w:r w:rsidR="009A3162" w:rsidRPr="009F45BA">
        <w:rPr>
          <w:rFonts w:ascii="Book Antiqua" w:hAnsi="Book Antiqua"/>
          <w:sz w:val="24"/>
          <w:szCs w:val="24"/>
        </w:rPr>
        <w:t xml:space="preserve">and </w:t>
      </w:r>
      <w:r w:rsidR="00DB7193" w:rsidRPr="009F45BA">
        <w:rPr>
          <w:rFonts w:ascii="Book Antiqua" w:hAnsi="Book Antiqua"/>
          <w:sz w:val="24"/>
          <w:szCs w:val="24"/>
        </w:rPr>
        <w:t>psyc</w:t>
      </w:r>
      <w:r w:rsidR="009A3162" w:rsidRPr="009F45BA">
        <w:rPr>
          <w:rFonts w:ascii="Book Antiqua" w:hAnsi="Book Antiqua"/>
          <w:sz w:val="24"/>
          <w:szCs w:val="24"/>
        </w:rPr>
        <w:t xml:space="preserve">hological </w:t>
      </w:r>
      <w:proofErr w:type="gramStart"/>
      <w:r w:rsidR="009A3162" w:rsidRPr="009F45BA">
        <w:rPr>
          <w:rFonts w:ascii="Book Antiqua" w:hAnsi="Book Antiqua"/>
          <w:sz w:val="24"/>
          <w:szCs w:val="24"/>
        </w:rPr>
        <w:t>disorders</w:t>
      </w:r>
      <w:r w:rsidR="009A3162" w:rsidRPr="009F45B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0669F" w:rsidRPr="009F45BA">
        <w:rPr>
          <w:rFonts w:ascii="Book Antiqua" w:hAnsi="Book Antiqua"/>
          <w:sz w:val="24"/>
          <w:szCs w:val="24"/>
          <w:vertAlign w:val="superscript"/>
        </w:rPr>
        <w:t>18-21</w:t>
      </w:r>
      <w:r w:rsidR="009A3162" w:rsidRPr="009F45BA">
        <w:rPr>
          <w:rFonts w:ascii="Book Antiqua" w:hAnsi="Book Antiqua"/>
          <w:sz w:val="24"/>
          <w:szCs w:val="24"/>
          <w:vertAlign w:val="superscript"/>
        </w:rPr>
        <w:t>]</w:t>
      </w:r>
      <w:r w:rsidR="00DB7193" w:rsidRPr="009F45BA">
        <w:rPr>
          <w:rFonts w:ascii="Book Antiqua" w:hAnsi="Book Antiqua"/>
          <w:sz w:val="24"/>
          <w:szCs w:val="24"/>
        </w:rPr>
        <w:t xml:space="preserve">. </w:t>
      </w:r>
      <w:r w:rsidR="009A3162" w:rsidRPr="009F45BA">
        <w:rPr>
          <w:rFonts w:ascii="Book Antiqua" w:hAnsi="Book Antiqua"/>
          <w:sz w:val="24"/>
          <w:szCs w:val="24"/>
        </w:rPr>
        <w:t>An</w:t>
      </w:r>
      <w:r w:rsidR="002774B5" w:rsidRPr="009F45BA">
        <w:rPr>
          <w:rFonts w:ascii="Book Antiqua" w:hAnsi="Book Antiqua"/>
          <w:sz w:val="24"/>
          <w:szCs w:val="24"/>
        </w:rPr>
        <w:t xml:space="preserve"> appropriate therapeutic </w:t>
      </w:r>
      <w:r w:rsidR="009A3162" w:rsidRPr="009F45BA">
        <w:rPr>
          <w:rFonts w:ascii="Book Antiqua" w:hAnsi="Book Antiqua"/>
          <w:sz w:val="24"/>
          <w:szCs w:val="24"/>
        </w:rPr>
        <w:t>approach</w:t>
      </w:r>
      <w:r w:rsidR="002774B5" w:rsidRPr="009F45BA">
        <w:rPr>
          <w:rFonts w:ascii="Book Antiqua" w:hAnsi="Book Antiqua"/>
          <w:sz w:val="24"/>
          <w:szCs w:val="24"/>
        </w:rPr>
        <w:t xml:space="preserve"> for </w:t>
      </w:r>
      <w:r w:rsidR="009A3162" w:rsidRPr="009F45BA">
        <w:rPr>
          <w:rFonts w:ascii="Book Antiqua" w:hAnsi="Book Antiqua"/>
          <w:sz w:val="24"/>
          <w:szCs w:val="24"/>
        </w:rPr>
        <w:t>patients with NERD</w:t>
      </w:r>
      <w:r w:rsidR="002774B5" w:rsidRPr="009F45BA">
        <w:rPr>
          <w:rFonts w:ascii="Book Antiqua" w:hAnsi="Book Antiqua"/>
          <w:sz w:val="24"/>
          <w:szCs w:val="24"/>
        </w:rPr>
        <w:t xml:space="preserve"> has yet to be established </w:t>
      </w:r>
      <w:r w:rsidR="009A3162" w:rsidRPr="009F45BA">
        <w:rPr>
          <w:rFonts w:ascii="Book Antiqua" w:hAnsi="Book Antiqua"/>
          <w:sz w:val="24"/>
          <w:szCs w:val="24"/>
        </w:rPr>
        <w:t>if they fail to respond to acid suppression therapy</w:t>
      </w:r>
      <w:r w:rsidR="002774B5" w:rsidRPr="009F45BA">
        <w:rPr>
          <w:rFonts w:ascii="Book Antiqua" w:hAnsi="Book Antiqua"/>
          <w:sz w:val="24"/>
          <w:szCs w:val="24"/>
        </w:rPr>
        <w:t xml:space="preserve">. Therefore, </w:t>
      </w:r>
      <w:r w:rsidR="009A3162" w:rsidRPr="009F45BA">
        <w:rPr>
          <w:rFonts w:ascii="Book Antiqua" w:hAnsi="Book Antiqua"/>
          <w:sz w:val="24"/>
          <w:szCs w:val="24"/>
        </w:rPr>
        <w:t>determining the efficacy of therapeutic</w:t>
      </w:r>
      <w:r w:rsidR="002774B5" w:rsidRPr="009F45BA">
        <w:rPr>
          <w:rFonts w:ascii="Book Antiqua" w:hAnsi="Book Antiqua"/>
          <w:sz w:val="24"/>
          <w:szCs w:val="24"/>
        </w:rPr>
        <w:t xml:space="preserve"> </w:t>
      </w:r>
      <w:r w:rsidR="009A3162" w:rsidRPr="009F45BA">
        <w:rPr>
          <w:rFonts w:ascii="Book Antiqua" w:hAnsi="Book Antiqua"/>
          <w:sz w:val="24"/>
          <w:szCs w:val="24"/>
        </w:rPr>
        <w:t xml:space="preserve">agents added </w:t>
      </w:r>
      <w:r w:rsidR="002774B5" w:rsidRPr="009F45BA">
        <w:rPr>
          <w:rFonts w:ascii="Book Antiqua" w:hAnsi="Book Antiqua"/>
          <w:sz w:val="24"/>
          <w:szCs w:val="24"/>
        </w:rPr>
        <w:t xml:space="preserve">to PPI </w:t>
      </w:r>
      <w:r w:rsidR="009A3162" w:rsidRPr="009F45BA">
        <w:rPr>
          <w:rFonts w:ascii="Book Antiqua" w:hAnsi="Book Antiqua"/>
          <w:sz w:val="24"/>
          <w:szCs w:val="24"/>
        </w:rPr>
        <w:t xml:space="preserve">therapy </w:t>
      </w:r>
      <w:r w:rsidR="002774B5" w:rsidRPr="009F45BA">
        <w:rPr>
          <w:rFonts w:ascii="Book Antiqua" w:hAnsi="Book Antiqua"/>
          <w:sz w:val="24"/>
          <w:szCs w:val="24"/>
        </w:rPr>
        <w:t xml:space="preserve">in </w:t>
      </w:r>
      <w:r w:rsidR="009A3162" w:rsidRPr="009F45BA">
        <w:rPr>
          <w:rFonts w:ascii="Book Antiqua" w:hAnsi="Book Antiqua"/>
          <w:sz w:val="24"/>
          <w:szCs w:val="24"/>
        </w:rPr>
        <w:t>patients with NERD has been anticipated</w:t>
      </w:r>
      <w:r w:rsidR="00276B58" w:rsidRPr="009F45BA">
        <w:rPr>
          <w:rFonts w:ascii="Book Antiqua" w:hAnsi="Book Antiqua"/>
          <w:sz w:val="24"/>
          <w:szCs w:val="24"/>
        </w:rPr>
        <w:t xml:space="preserve"> for a long time</w:t>
      </w:r>
      <w:r w:rsidR="002774B5" w:rsidRPr="009F45BA">
        <w:rPr>
          <w:rFonts w:ascii="Book Antiqua" w:hAnsi="Book Antiqua"/>
          <w:sz w:val="24"/>
          <w:szCs w:val="24"/>
        </w:rPr>
        <w:t xml:space="preserve">. </w:t>
      </w:r>
      <w:r w:rsidR="0096444B" w:rsidRPr="009F45BA">
        <w:rPr>
          <w:rFonts w:ascii="Book Antiqua" w:hAnsi="Book Antiqua"/>
          <w:sz w:val="24"/>
          <w:szCs w:val="24"/>
        </w:rPr>
        <w:t xml:space="preserve">Sakata </w:t>
      </w:r>
      <w:r w:rsidR="00490D41" w:rsidRPr="009F45BA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490D41" w:rsidRPr="009F45BA">
        <w:rPr>
          <w:rFonts w:ascii="Book Antiqua" w:hAnsi="Book Antiqua"/>
          <w:i/>
          <w:sz w:val="24"/>
          <w:szCs w:val="24"/>
        </w:rPr>
        <w:t>al</w:t>
      </w:r>
      <w:r w:rsidR="00826736" w:rsidRPr="009F45B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26736" w:rsidRPr="009F45BA">
        <w:rPr>
          <w:rFonts w:ascii="Book Antiqua" w:hAnsi="Book Antiqua"/>
          <w:sz w:val="24"/>
          <w:szCs w:val="24"/>
          <w:vertAlign w:val="superscript"/>
        </w:rPr>
        <w:t>11]</w:t>
      </w:r>
      <w:r w:rsidR="009A3162" w:rsidRPr="009F45BA">
        <w:rPr>
          <w:rFonts w:ascii="Book Antiqua" w:hAnsi="Book Antiqua"/>
          <w:sz w:val="24"/>
          <w:szCs w:val="24"/>
        </w:rPr>
        <w:t xml:space="preserve"> reported that </w:t>
      </w:r>
      <w:proofErr w:type="spellStart"/>
      <w:r w:rsidR="009A3162" w:rsidRPr="009F45BA">
        <w:rPr>
          <w:rFonts w:ascii="Book Antiqua" w:hAnsi="Book Antiqua"/>
          <w:sz w:val="24"/>
          <w:szCs w:val="24"/>
        </w:rPr>
        <w:t>r</w:t>
      </w:r>
      <w:r w:rsidR="0096444B" w:rsidRPr="009F45BA">
        <w:rPr>
          <w:rFonts w:ascii="Book Antiqua" w:hAnsi="Book Antiqua"/>
          <w:sz w:val="24"/>
          <w:szCs w:val="24"/>
        </w:rPr>
        <w:t>ikkunshito</w:t>
      </w:r>
      <w:proofErr w:type="spellEnd"/>
      <w:r w:rsidR="0096444B" w:rsidRPr="009F45BA">
        <w:rPr>
          <w:rFonts w:ascii="Book Antiqua" w:hAnsi="Book Antiqua"/>
          <w:sz w:val="24"/>
          <w:szCs w:val="24"/>
        </w:rPr>
        <w:t xml:space="preserve">, which acts as a </w:t>
      </w:r>
      <w:proofErr w:type="spellStart"/>
      <w:r w:rsidR="0096444B" w:rsidRPr="009F45BA">
        <w:rPr>
          <w:rFonts w:ascii="Book Antiqua" w:hAnsi="Book Antiqua"/>
          <w:sz w:val="24"/>
          <w:szCs w:val="24"/>
        </w:rPr>
        <w:t>prokinetic</w:t>
      </w:r>
      <w:proofErr w:type="spellEnd"/>
      <w:r w:rsidR="0096444B" w:rsidRPr="009F45BA">
        <w:rPr>
          <w:rFonts w:ascii="Book Antiqua" w:hAnsi="Book Antiqua"/>
          <w:sz w:val="24"/>
          <w:szCs w:val="24"/>
        </w:rPr>
        <w:t xml:space="preserve"> agent and improves gastric empting and gastric accommodation, </w:t>
      </w:r>
      <w:r w:rsidR="00F51F57" w:rsidRPr="009F45BA">
        <w:rPr>
          <w:rFonts w:ascii="Book Antiqua" w:hAnsi="Book Antiqua"/>
          <w:sz w:val="24"/>
          <w:szCs w:val="24"/>
        </w:rPr>
        <w:t>improved GERD symptoms in patients with PPI-refractory NERD</w:t>
      </w:r>
      <w:r w:rsidR="003F5D73" w:rsidRPr="009F45BA">
        <w:rPr>
          <w:rFonts w:ascii="Book Antiqua" w:hAnsi="Book Antiqua"/>
          <w:sz w:val="24"/>
          <w:szCs w:val="24"/>
        </w:rPr>
        <w:t>. However, adding</w:t>
      </w:r>
      <w:r w:rsidR="00514724" w:rsidRPr="009F45B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14724" w:rsidRPr="009F45BA">
        <w:rPr>
          <w:rFonts w:ascii="Book Antiqua" w:hAnsi="Book Antiqua"/>
          <w:sz w:val="24"/>
          <w:szCs w:val="24"/>
        </w:rPr>
        <w:t>mosapride</w:t>
      </w:r>
      <w:proofErr w:type="spellEnd"/>
      <w:r w:rsidR="00514724" w:rsidRPr="009F45BA">
        <w:rPr>
          <w:rFonts w:ascii="Book Antiqua" w:hAnsi="Book Antiqua"/>
          <w:sz w:val="24"/>
          <w:szCs w:val="24"/>
        </w:rPr>
        <w:t xml:space="preserve">, </w:t>
      </w:r>
      <w:r w:rsidR="003F5D73" w:rsidRPr="009F45BA">
        <w:rPr>
          <w:rFonts w:ascii="Book Antiqua" w:hAnsi="Book Antiqua"/>
          <w:sz w:val="24"/>
          <w:szCs w:val="24"/>
        </w:rPr>
        <w:t xml:space="preserve">which is </w:t>
      </w:r>
      <w:r w:rsidR="00514724" w:rsidRPr="009F45BA">
        <w:rPr>
          <w:rFonts w:ascii="Book Antiqua" w:hAnsi="Book Antiqua"/>
          <w:sz w:val="24"/>
          <w:szCs w:val="24"/>
        </w:rPr>
        <w:t xml:space="preserve">another </w:t>
      </w:r>
      <w:proofErr w:type="spellStart"/>
      <w:r w:rsidR="00514724" w:rsidRPr="009F45BA">
        <w:rPr>
          <w:rFonts w:ascii="Book Antiqua" w:hAnsi="Book Antiqua"/>
          <w:sz w:val="24"/>
          <w:szCs w:val="24"/>
        </w:rPr>
        <w:t>prokinetic</w:t>
      </w:r>
      <w:proofErr w:type="spellEnd"/>
      <w:r w:rsidR="00514724" w:rsidRPr="009F45BA">
        <w:rPr>
          <w:rFonts w:ascii="Book Antiqua" w:hAnsi="Book Antiqua"/>
          <w:sz w:val="24"/>
          <w:szCs w:val="24"/>
        </w:rPr>
        <w:t xml:space="preserve"> agent, to PPI </w:t>
      </w:r>
      <w:r w:rsidR="003F5D73" w:rsidRPr="009F45BA">
        <w:rPr>
          <w:rFonts w:ascii="Book Antiqua" w:hAnsi="Book Antiqua"/>
          <w:sz w:val="24"/>
          <w:szCs w:val="24"/>
        </w:rPr>
        <w:t>therapy did not significantly improve</w:t>
      </w:r>
      <w:r w:rsidR="00514724" w:rsidRPr="009F45BA">
        <w:rPr>
          <w:rFonts w:ascii="Book Antiqua" w:hAnsi="Book Antiqua"/>
          <w:sz w:val="24"/>
          <w:szCs w:val="24"/>
        </w:rPr>
        <w:t xml:space="preserve"> GERD </w:t>
      </w:r>
      <w:r w:rsidR="00922E41" w:rsidRPr="009F45BA">
        <w:rPr>
          <w:rFonts w:ascii="Book Antiqua" w:hAnsi="Book Antiqua"/>
          <w:sz w:val="24"/>
          <w:szCs w:val="24"/>
        </w:rPr>
        <w:t xml:space="preserve">symptoms compared </w:t>
      </w:r>
      <w:r w:rsidR="003F5D73" w:rsidRPr="009F45BA">
        <w:rPr>
          <w:rFonts w:ascii="Book Antiqua" w:hAnsi="Book Antiqua"/>
          <w:sz w:val="24"/>
          <w:szCs w:val="24"/>
        </w:rPr>
        <w:t xml:space="preserve">with </w:t>
      </w:r>
      <w:r w:rsidR="00922E41" w:rsidRPr="009F45BA">
        <w:rPr>
          <w:rFonts w:ascii="Book Antiqua" w:hAnsi="Book Antiqua"/>
          <w:sz w:val="24"/>
          <w:szCs w:val="24"/>
        </w:rPr>
        <w:t xml:space="preserve">PPI </w:t>
      </w:r>
      <w:r w:rsidR="003F5D73" w:rsidRPr="009F45BA">
        <w:rPr>
          <w:rFonts w:ascii="Book Antiqua" w:hAnsi="Book Antiqua"/>
          <w:sz w:val="24"/>
          <w:szCs w:val="24"/>
        </w:rPr>
        <w:t xml:space="preserve">therapy administered </w:t>
      </w:r>
      <w:r w:rsidR="00922E41" w:rsidRPr="009F45BA">
        <w:rPr>
          <w:rFonts w:ascii="Book Antiqua" w:hAnsi="Book Antiqua"/>
          <w:sz w:val="24"/>
          <w:szCs w:val="24"/>
        </w:rPr>
        <w:t xml:space="preserve">alone </w:t>
      </w:r>
      <w:r w:rsidR="003F5D73" w:rsidRPr="009F45BA">
        <w:rPr>
          <w:rFonts w:ascii="Book Antiqua" w:hAnsi="Book Antiqua"/>
          <w:sz w:val="24"/>
          <w:szCs w:val="24"/>
        </w:rPr>
        <w:t>to</w:t>
      </w:r>
      <w:r w:rsidR="003B1AD9" w:rsidRPr="009F45BA">
        <w:rPr>
          <w:rFonts w:ascii="Book Antiqua" w:hAnsi="Book Antiqua"/>
          <w:sz w:val="24"/>
          <w:szCs w:val="24"/>
        </w:rPr>
        <w:t xml:space="preserve"> patients with </w:t>
      </w:r>
      <w:proofErr w:type="gramStart"/>
      <w:r w:rsidR="003B1AD9" w:rsidRPr="009F45BA">
        <w:rPr>
          <w:rFonts w:ascii="Book Antiqua" w:hAnsi="Book Antiqua"/>
          <w:sz w:val="24"/>
          <w:szCs w:val="24"/>
        </w:rPr>
        <w:t>NERD</w:t>
      </w:r>
      <w:r w:rsidR="003F5D73" w:rsidRPr="009F45B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0669F" w:rsidRPr="009F45BA">
        <w:rPr>
          <w:rFonts w:ascii="Book Antiqua" w:hAnsi="Book Antiqua"/>
          <w:sz w:val="24"/>
          <w:szCs w:val="24"/>
          <w:vertAlign w:val="superscript"/>
        </w:rPr>
        <w:t>22</w:t>
      </w:r>
      <w:r w:rsidR="003F5D73" w:rsidRPr="009F45BA">
        <w:rPr>
          <w:rFonts w:ascii="Book Antiqua" w:hAnsi="Book Antiqua"/>
          <w:sz w:val="24"/>
          <w:szCs w:val="24"/>
          <w:vertAlign w:val="superscript"/>
        </w:rPr>
        <w:t>]</w:t>
      </w:r>
      <w:r w:rsidR="00FB2619" w:rsidRPr="009F45BA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FB2619" w:rsidRPr="009F45BA">
        <w:rPr>
          <w:rFonts w:ascii="Book Antiqua" w:hAnsi="Book Antiqua"/>
          <w:sz w:val="24"/>
          <w:szCs w:val="24"/>
        </w:rPr>
        <w:t>R</w:t>
      </w:r>
      <w:r w:rsidR="00514724" w:rsidRPr="009F45BA">
        <w:rPr>
          <w:rFonts w:ascii="Book Antiqua" w:hAnsi="Book Antiqua"/>
          <w:sz w:val="24"/>
          <w:szCs w:val="24"/>
        </w:rPr>
        <w:t>ebamipide</w:t>
      </w:r>
      <w:proofErr w:type="spellEnd"/>
      <w:r w:rsidR="00922E41" w:rsidRPr="009F45BA">
        <w:rPr>
          <w:rFonts w:ascii="Book Antiqua" w:hAnsi="Book Antiqua"/>
          <w:sz w:val="24"/>
          <w:szCs w:val="24"/>
        </w:rPr>
        <w:t xml:space="preserve">, a </w:t>
      </w:r>
      <w:proofErr w:type="spellStart"/>
      <w:r w:rsidR="00922E41" w:rsidRPr="009F45BA">
        <w:rPr>
          <w:rFonts w:ascii="Book Antiqua" w:hAnsi="Book Antiqua"/>
          <w:sz w:val="24"/>
          <w:szCs w:val="24"/>
        </w:rPr>
        <w:t>cytoprotective</w:t>
      </w:r>
      <w:proofErr w:type="spellEnd"/>
      <w:r w:rsidR="00922E41" w:rsidRPr="009F45BA">
        <w:rPr>
          <w:rFonts w:ascii="Book Antiqua" w:hAnsi="Book Antiqua"/>
          <w:sz w:val="24"/>
          <w:szCs w:val="24"/>
        </w:rPr>
        <w:t xml:space="preserve"> anti-ulcer agent</w:t>
      </w:r>
      <w:r w:rsidR="00FB2619" w:rsidRPr="009F45BA">
        <w:rPr>
          <w:rFonts w:ascii="Book Antiqua" w:hAnsi="Book Antiqua"/>
          <w:sz w:val="24"/>
          <w:szCs w:val="24"/>
        </w:rPr>
        <w:t>,</w:t>
      </w:r>
      <w:r w:rsidR="00922E41" w:rsidRPr="009F45BA">
        <w:rPr>
          <w:rFonts w:ascii="Book Antiqua" w:hAnsi="Book Antiqua"/>
          <w:sz w:val="24"/>
          <w:szCs w:val="24"/>
        </w:rPr>
        <w:t xml:space="preserve"> also failed to </w:t>
      </w:r>
      <w:r w:rsidR="003F5D73" w:rsidRPr="009F45BA">
        <w:rPr>
          <w:rFonts w:ascii="Book Antiqua" w:hAnsi="Book Antiqua"/>
          <w:sz w:val="24"/>
          <w:szCs w:val="24"/>
        </w:rPr>
        <w:t xml:space="preserve">effectively </w:t>
      </w:r>
      <w:r w:rsidR="00922E41" w:rsidRPr="009F45BA">
        <w:rPr>
          <w:rFonts w:ascii="Book Antiqua" w:hAnsi="Book Antiqua"/>
          <w:sz w:val="24"/>
          <w:szCs w:val="24"/>
        </w:rPr>
        <w:t>con</w:t>
      </w:r>
      <w:r w:rsidR="003F5D73" w:rsidRPr="009F45BA">
        <w:rPr>
          <w:rFonts w:ascii="Book Antiqua" w:hAnsi="Book Antiqua"/>
          <w:sz w:val="24"/>
          <w:szCs w:val="24"/>
        </w:rPr>
        <w:t xml:space="preserve">trol </w:t>
      </w:r>
      <w:r w:rsidR="003F5D73" w:rsidRPr="009F45BA">
        <w:rPr>
          <w:rFonts w:ascii="Book Antiqua" w:hAnsi="Book Antiqua"/>
          <w:sz w:val="24"/>
          <w:szCs w:val="24"/>
        </w:rPr>
        <w:lastRenderedPageBreak/>
        <w:t>reflux symptoms</w:t>
      </w:r>
      <w:r w:rsidR="00922E41" w:rsidRPr="009F45BA">
        <w:rPr>
          <w:rFonts w:ascii="Book Antiqua" w:hAnsi="Book Antiqua"/>
          <w:sz w:val="24"/>
          <w:szCs w:val="24"/>
        </w:rPr>
        <w:t xml:space="preserve"> in pati</w:t>
      </w:r>
      <w:r w:rsidR="00531920" w:rsidRPr="009F45BA">
        <w:rPr>
          <w:rFonts w:ascii="Book Antiqua" w:hAnsi="Book Antiqua"/>
          <w:sz w:val="24"/>
          <w:szCs w:val="24"/>
        </w:rPr>
        <w:t xml:space="preserve">ents with </w:t>
      </w:r>
      <w:r w:rsidR="003F5D73" w:rsidRPr="009F45BA">
        <w:rPr>
          <w:rFonts w:ascii="Book Antiqua" w:hAnsi="Book Antiqua"/>
          <w:sz w:val="24"/>
          <w:szCs w:val="24"/>
        </w:rPr>
        <w:t xml:space="preserve">PPI-refractory </w:t>
      </w:r>
      <w:proofErr w:type="gramStart"/>
      <w:r w:rsidR="003F5D73" w:rsidRPr="009F45BA">
        <w:rPr>
          <w:rFonts w:ascii="Book Antiqua" w:hAnsi="Book Antiqua"/>
          <w:sz w:val="24"/>
          <w:szCs w:val="24"/>
        </w:rPr>
        <w:t>NERD</w:t>
      </w:r>
      <w:r w:rsidR="003F5D73" w:rsidRPr="009F45B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0669F" w:rsidRPr="009F45BA">
        <w:rPr>
          <w:rFonts w:ascii="Book Antiqua" w:hAnsi="Book Antiqua"/>
          <w:sz w:val="24"/>
          <w:szCs w:val="24"/>
          <w:vertAlign w:val="superscript"/>
        </w:rPr>
        <w:t>23</w:t>
      </w:r>
      <w:r w:rsidR="003F5D73" w:rsidRPr="009F45BA">
        <w:rPr>
          <w:rFonts w:ascii="Book Antiqua" w:hAnsi="Book Antiqua"/>
          <w:sz w:val="24"/>
          <w:szCs w:val="24"/>
          <w:vertAlign w:val="superscript"/>
        </w:rPr>
        <w:t>]</w:t>
      </w:r>
      <w:r w:rsidR="00922E41" w:rsidRPr="009F45BA">
        <w:rPr>
          <w:rFonts w:ascii="Book Antiqua" w:hAnsi="Book Antiqua"/>
          <w:sz w:val="24"/>
          <w:szCs w:val="24"/>
        </w:rPr>
        <w:t xml:space="preserve">. </w:t>
      </w:r>
      <w:r w:rsidR="003B1AD9" w:rsidRPr="009F45BA">
        <w:rPr>
          <w:rFonts w:ascii="Book Antiqua" w:hAnsi="Book Antiqua"/>
          <w:sz w:val="24"/>
          <w:szCs w:val="24"/>
        </w:rPr>
        <w:t xml:space="preserve">In </w:t>
      </w:r>
      <w:r w:rsidR="003B1AD9" w:rsidRPr="009F45BA">
        <w:rPr>
          <w:rFonts w:ascii="Book Antiqua" w:eastAsia="MS PMincho" w:hAnsi="Book Antiqua"/>
          <w:sz w:val="24"/>
          <w:szCs w:val="24"/>
        </w:rPr>
        <w:t>t</w:t>
      </w:r>
      <w:r w:rsidR="0006093E" w:rsidRPr="009F45BA">
        <w:rPr>
          <w:rFonts w:ascii="Book Antiqua" w:eastAsia="MS PMincho" w:hAnsi="Book Antiqua"/>
          <w:sz w:val="24"/>
          <w:szCs w:val="24"/>
        </w:rPr>
        <w:t xml:space="preserve">he present </w:t>
      </w:r>
      <w:r w:rsidR="003F5D73" w:rsidRPr="009F45BA">
        <w:rPr>
          <w:rFonts w:ascii="Book Antiqua" w:eastAsia="MS PMincho" w:hAnsi="Book Antiqua"/>
          <w:sz w:val="24"/>
          <w:szCs w:val="24"/>
        </w:rPr>
        <w:t>study,</w:t>
      </w:r>
      <w:r w:rsidR="003B1AD9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3F5D73" w:rsidRPr="009F45BA">
        <w:rPr>
          <w:rFonts w:ascii="Book Antiqua" w:eastAsia="MS PMincho" w:hAnsi="Book Antiqua"/>
          <w:sz w:val="24"/>
          <w:szCs w:val="24"/>
        </w:rPr>
        <w:t>we evaluated the efficacy of adding</w:t>
      </w:r>
      <w:r w:rsidR="003B1AD9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5D2F1B" w:rsidRPr="009F45BA">
        <w:rPr>
          <w:rFonts w:ascii="Book Antiqua" w:eastAsia="MS PMincho" w:hAnsi="Book Antiqua"/>
          <w:sz w:val="24"/>
          <w:szCs w:val="24"/>
        </w:rPr>
        <w:t>IM</w:t>
      </w:r>
      <w:r w:rsidR="003F5D73" w:rsidRPr="009F45BA">
        <w:rPr>
          <w:rFonts w:ascii="Book Antiqua" w:eastAsia="MS PMincho" w:hAnsi="Book Antiqua"/>
          <w:sz w:val="24"/>
          <w:szCs w:val="24"/>
        </w:rPr>
        <w:t xml:space="preserve"> to </w:t>
      </w:r>
      <w:proofErr w:type="spellStart"/>
      <w:r w:rsidR="0006093E" w:rsidRPr="009F45BA">
        <w:rPr>
          <w:rFonts w:ascii="Book Antiqua" w:eastAsia="MS PMincho" w:hAnsi="Book Antiqua"/>
          <w:sz w:val="24"/>
          <w:szCs w:val="24"/>
        </w:rPr>
        <w:t>rabeprazole</w:t>
      </w:r>
      <w:proofErr w:type="spellEnd"/>
      <w:r w:rsidR="003B1AD9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06093E" w:rsidRPr="009F45BA">
        <w:rPr>
          <w:rFonts w:ascii="Book Antiqua" w:eastAsia="MS PMincho" w:hAnsi="Book Antiqua"/>
          <w:sz w:val="24"/>
          <w:szCs w:val="24"/>
        </w:rPr>
        <w:t>in the treatment of patients</w:t>
      </w:r>
      <w:r w:rsidR="003F5D73" w:rsidRPr="009F45BA">
        <w:rPr>
          <w:rFonts w:ascii="Book Antiqua" w:eastAsia="MS PMincho" w:hAnsi="Book Antiqua"/>
          <w:sz w:val="24"/>
          <w:szCs w:val="24"/>
        </w:rPr>
        <w:t xml:space="preserve"> with NERD</w:t>
      </w:r>
      <w:r w:rsidR="0006093E" w:rsidRPr="009F45BA">
        <w:rPr>
          <w:rFonts w:ascii="Book Antiqua" w:eastAsia="MS PMincho" w:hAnsi="Book Antiqua"/>
          <w:sz w:val="24"/>
          <w:szCs w:val="24"/>
        </w:rPr>
        <w:t xml:space="preserve"> in </w:t>
      </w:r>
      <w:r w:rsidR="003F5D73" w:rsidRPr="009F45BA">
        <w:rPr>
          <w:rFonts w:ascii="Book Antiqua" w:eastAsia="MS PMincho" w:hAnsi="Book Antiqua"/>
          <w:sz w:val="24"/>
          <w:szCs w:val="24"/>
        </w:rPr>
        <w:t xml:space="preserve">a </w:t>
      </w:r>
      <w:r w:rsidR="0006093E" w:rsidRPr="009F45BA">
        <w:rPr>
          <w:rFonts w:ascii="Book Antiqua" w:eastAsia="MS PMincho" w:hAnsi="Book Antiqua"/>
          <w:sz w:val="24"/>
          <w:szCs w:val="24"/>
        </w:rPr>
        <w:t>prospective</w:t>
      </w:r>
      <w:r w:rsidR="00ED7849" w:rsidRPr="009F45BA">
        <w:rPr>
          <w:rFonts w:ascii="Book Antiqua" w:eastAsia="MS PMincho" w:hAnsi="Book Antiqua"/>
          <w:sz w:val="24"/>
          <w:szCs w:val="24"/>
        </w:rPr>
        <w:t>,</w:t>
      </w:r>
      <w:r w:rsidR="0006093E" w:rsidRPr="009F45BA">
        <w:rPr>
          <w:rFonts w:ascii="Book Antiqua" w:eastAsia="MS PMincho" w:hAnsi="Book Antiqua"/>
          <w:sz w:val="24"/>
          <w:szCs w:val="24"/>
        </w:rPr>
        <w:t xml:space="preserve"> randomized, double-b</w:t>
      </w:r>
      <w:r w:rsidR="00ED7849" w:rsidRPr="009F45BA">
        <w:rPr>
          <w:rFonts w:ascii="Book Antiqua" w:eastAsia="MS PMincho" w:hAnsi="Book Antiqua"/>
          <w:sz w:val="24"/>
          <w:szCs w:val="24"/>
        </w:rPr>
        <w:t>lind, placebo-</w:t>
      </w:r>
      <w:r w:rsidR="003F5D73" w:rsidRPr="009F45BA">
        <w:rPr>
          <w:rFonts w:ascii="Book Antiqua" w:eastAsia="MS PMincho" w:hAnsi="Book Antiqua"/>
          <w:sz w:val="24"/>
          <w:szCs w:val="24"/>
        </w:rPr>
        <w:t>controlled trial</w:t>
      </w:r>
      <w:r w:rsidR="0006093E" w:rsidRPr="009F45BA">
        <w:rPr>
          <w:rFonts w:ascii="Book Antiqua" w:eastAsia="MS PMincho" w:hAnsi="Book Antiqua"/>
          <w:sz w:val="24"/>
          <w:szCs w:val="24"/>
        </w:rPr>
        <w:t xml:space="preserve">. The impact </w:t>
      </w:r>
      <w:r w:rsidR="003F5D73" w:rsidRPr="009F45BA">
        <w:rPr>
          <w:rFonts w:ascii="Book Antiqua" w:eastAsia="MS PMincho" w:hAnsi="Book Antiqua"/>
          <w:sz w:val="24"/>
          <w:szCs w:val="24"/>
        </w:rPr>
        <w:t>of the therapy on the quality of the patients’ lives was</w:t>
      </w:r>
      <w:r w:rsidR="0006093E" w:rsidRPr="009F45BA">
        <w:rPr>
          <w:rFonts w:ascii="Book Antiqua" w:eastAsia="MS PMincho" w:hAnsi="Book Antiqua"/>
          <w:sz w:val="24"/>
          <w:szCs w:val="24"/>
        </w:rPr>
        <w:t xml:space="preserve"> evaluated as a secondary endpoint.</w:t>
      </w:r>
    </w:p>
    <w:p w:rsidR="00B73451" w:rsidRPr="009F45BA" w:rsidRDefault="00846DE7" w:rsidP="00826736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9F45BA">
        <w:rPr>
          <w:rFonts w:ascii="Book Antiqua" w:hAnsi="Book Antiqua"/>
          <w:sz w:val="24"/>
          <w:szCs w:val="24"/>
        </w:rPr>
        <w:t xml:space="preserve">The results showed that </w:t>
      </w:r>
      <w:r w:rsidR="00791921" w:rsidRPr="009F45BA">
        <w:rPr>
          <w:rFonts w:ascii="Book Antiqua" w:hAnsi="Book Antiqua"/>
          <w:sz w:val="24"/>
          <w:szCs w:val="24"/>
        </w:rPr>
        <w:t>using the PPI alone</w:t>
      </w:r>
      <w:r w:rsidRPr="009F45BA">
        <w:rPr>
          <w:rFonts w:ascii="Book Antiqua" w:hAnsi="Book Antiqua"/>
          <w:sz w:val="24"/>
          <w:szCs w:val="24"/>
        </w:rPr>
        <w:t xml:space="preserve"> </w:t>
      </w:r>
      <w:r w:rsidR="00791921" w:rsidRPr="009F45BA">
        <w:rPr>
          <w:rFonts w:ascii="Book Antiqua" w:hAnsi="Book Antiqua"/>
          <w:sz w:val="24"/>
          <w:szCs w:val="24"/>
        </w:rPr>
        <w:t xml:space="preserve">and in </w:t>
      </w:r>
      <w:r w:rsidRPr="009F45BA">
        <w:rPr>
          <w:rFonts w:ascii="Book Antiqua" w:hAnsi="Book Antiqua"/>
          <w:sz w:val="24"/>
          <w:szCs w:val="24"/>
        </w:rPr>
        <w:t xml:space="preserve">combination </w:t>
      </w:r>
      <w:r w:rsidR="00791921" w:rsidRPr="009F45BA">
        <w:rPr>
          <w:rFonts w:ascii="Book Antiqua" w:hAnsi="Book Antiqua"/>
          <w:sz w:val="24"/>
          <w:szCs w:val="24"/>
        </w:rPr>
        <w:t xml:space="preserve">with IM </w:t>
      </w:r>
      <w:r w:rsidR="00AA6CFA" w:rsidRPr="009F45BA">
        <w:rPr>
          <w:rFonts w:ascii="Book Antiqua" w:hAnsi="Book Antiqua"/>
          <w:sz w:val="24"/>
          <w:szCs w:val="24"/>
        </w:rPr>
        <w:t xml:space="preserve">significantly improved </w:t>
      </w:r>
      <w:r w:rsidR="00791921" w:rsidRPr="009F45BA">
        <w:rPr>
          <w:rFonts w:ascii="Book Antiqua" w:hAnsi="Book Antiqua"/>
          <w:sz w:val="24"/>
          <w:szCs w:val="24"/>
        </w:rPr>
        <w:t>the FSSG score</w:t>
      </w:r>
      <w:r w:rsidR="00B87737" w:rsidRPr="009F45BA">
        <w:rPr>
          <w:rFonts w:ascii="Book Antiqua" w:hAnsi="Book Antiqua"/>
          <w:sz w:val="24"/>
          <w:szCs w:val="24"/>
        </w:rPr>
        <w:t>s</w:t>
      </w:r>
      <w:r w:rsidR="00791921" w:rsidRPr="009F45BA">
        <w:rPr>
          <w:rFonts w:ascii="Book Antiqua" w:hAnsi="Book Antiqua"/>
          <w:sz w:val="24"/>
          <w:szCs w:val="24"/>
        </w:rPr>
        <w:t xml:space="preserve"> after four</w:t>
      </w:r>
      <w:r w:rsidR="00E442D1" w:rsidRPr="009F45BA">
        <w:rPr>
          <w:rFonts w:ascii="Book Antiqua" w:hAnsi="Book Antiqua"/>
          <w:sz w:val="24"/>
          <w:szCs w:val="24"/>
        </w:rPr>
        <w:t xml:space="preserve"> weeks </w:t>
      </w:r>
      <w:r w:rsidR="00791921" w:rsidRPr="009F45BA">
        <w:rPr>
          <w:rFonts w:ascii="Book Antiqua" w:hAnsi="Book Antiqua"/>
          <w:sz w:val="24"/>
          <w:szCs w:val="24"/>
        </w:rPr>
        <w:t xml:space="preserve">of </w:t>
      </w:r>
      <w:r w:rsidR="00E442D1" w:rsidRPr="009F45BA">
        <w:rPr>
          <w:rFonts w:ascii="Book Antiqua" w:hAnsi="Book Antiqua"/>
          <w:sz w:val="24"/>
          <w:szCs w:val="24"/>
        </w:rPr>
        <w:t>treatment</w:t>
      </w:r>
      <w:r w:rsidR="00B73451" w:rsidRPr="009F45BA">
        <w:rPr>
          <w:rFonts w:ascii="Book Antiqua" w:hAnsi="Book Antiqua"/>
          <w:sz w:val="24"/>
          <w:szCs w:val="24"/>
        </w:rPr>
        <w:t xml:space="preserve"> (</w:t>
      </w:r>
      <w:r w:rsidR="00791921" w:rsidRPr="009F45BA">
        <w:rPr>
          <w:rFonts w:ascii="Book Antiqua" w:hAnsi="Book Antiqua"/>
          <w:i/>
          <w:sz w:val="24"/>
          <w:szCs w:val="24"/>
        </w:rPr>
        <w:t>P</w:t>
      </w:r>
      <w:r w:rsidR="00490D41" w:rsidRPr="009F45BA">
        <w:rPr>
          <w:rFonts w:ascii="Book Antiqua" w:hAnsi="Book Antiqua"/>
          <w:sz w:val="24"/>
          <w:szCs w:val="24"/>
        </w:rPr>
        <w:t xml:space="preserve"> </w:t>
      </w:r>
      <w:r w:rsidR="00B73451" w:rsidRPr="009F45BA">
        <w:rPr>
          <w:rFonts w:ascii="Book Antiqua" w:hAnsi="Book Antiqua"/>
          <w:sz w:val="24"/>
          <w:szCs w:val="24"/>
        </w:rPr>
        <w:t>=</w:t>
      </w:r>
      <w:r w:rsidR="00791921" w:rsidRPr="009F45BA">
        <w:rPr>
          <w:rFonts w:ascii="Book Antiqua" w:hAnsi="Book Antiqua"/>
          <w:sz w:val="24"/>
          <w:szCs w:val="24"/>
        </w:rPr>
        <w:t xml:space="preserve"> </w:t>
      </w:r>
      <w:r w:rsidR="00B73451" w:rsidRPr="009F45BA">
        <w:rPr>
          <w:rFonts w:ascii="Book Antiqua" w:hAnsi="Book Antiqua"/>
          <w:sz w:val="24"/>
          <w:szCs w:val="24"/>
        </w:rPr>
        <w:t>0.0001)</w:t>
      </w:r>
      <w:r w:rsidR="00791921" w:rsidRPr="009F45BA">
        <w:rPr>
          <w:rFonts w:ascii="Book Antiqua" w:hAnsi="Book Antiqua"/>
          <w:sz w:val="24"/>
          <w:szCs w:val="24"/>
        </w:rPr>
        <w:t>;</w:t>
      </w:r>
      <w:r w:rsidR="00AA6CFA" w:rsidRPr="009F45BA">
        <w:rPr>
          <w:rFonts w:ascii="Book Antiqua" w:hAnsi="Book Antiqua"/>
          <w:sz w:val="24"/>
          <w:szCs w:val="24"/>
        </w:rPr>
        <w:t xml:space="preserve"> however</w:t>
      </w:r>
      <w:r w:rsidR="00791921" w:rsidRPr="009F45BA">
        <w:rPr>
          <w:rFonts w:ascii="Book Antiqua" w:hAnsi="Book Antiqua"/>
          <w:sz w:val="24"/>
          <w:szCs w:val="24"/>
        </w:rPr>
        <w:t>,</w:t>
      </w:r>
      <w:r w:rsidR="003C25C6" w:rsidRPr="009F45BA">
        <w:rPr>
          <w:rFonts w:ascii="Book Antiqua" w:hAnsi="Book Antiqua"/>
          <w:sz w:val="24"/>
          <w:szCs w:val="24"/>
        </w:rPr>
        <w:t xml:space="preserve"> there was no statistically significant difference between </w:t>
      </w:r>
      <w:r w:rsidR="00791921" w:rsidRPr="009F45BA">
        <w:rPr>
          <w:rFonts w:ascii="Book Antiqua" w:hAnsi="Book Antiqua"/>
          <w:sz w:val="24"/>
          <w:szCs w:val="24"/>
        </w:rPr>
        <w:t>the</w:t>
      </w:r>
      <w:r w:rsidR="003C25C6" w:rsidRPr="009F45BA">
        <w:rPr>
          <w:rFonts w:ascii="Book Antiqua" w:hAnsi="Book Antiqua"/>
          <w:sz w:val="24"/>
          <w:szCs w:val="24"/>
        </w:rPr>
        <w:t xml:space="preserve"> groups. </w:t>
      </w:r>
      <w:r w:rsidR="00791921" w:rsidRPr="009F45BA">
        <w:rPr>
          <w:rFonts w:ascii="Book Antiqua" w:hAnsi="Book Antiqua"/>
          <w:sz w:val="24"/>
          <w:szCs w:val="24"/>
        </w:rPr>
        <w:t>These data suggest that</w:t>
      </w:r>
      <w:r w:rsidR="007E24E1" w:rsidRPr="009F45BA">
        <w:rPr>
          <w:rFonts w:ascii="Book Antiqua" w:hAnsi="Book Antiqua"/>
          <w:sz w:val="24"/>
          <w:szCs w:val="24"/>
        </w:rPr>
        <w:t xml:space="preserve"> </w:t>
      </w:r>
      <w:r w:rsidR="002E1C76" w:rsidRPr="009F45BA">
        <w:rPr>
          <w:rFonts w:ascii="Book Antiqua" w:hAnsi="Book Antiqua"/>
          <w:sz w:val="24"/>
          <w:szCs w:val="24"/>
        </w:rPr>
        <w:t>control</w:t>
      </w:r>
      <w:r w:rsidR="00791921" w:rsidRPr="009F45BA">
        <w:rPr>
          <w:rFonts w:ascii="Book Antiqua" w:hAnsi="Book Antiqua"/>
          <w:sz w:val="24"/>
          <w:szCs w:val="24"/>
        </w:rPr>
        <w:t>ling</w:t>
      </w:r>
      <w:r w:rsidR="002E1C76" w:rsidRPr="009F45BA">
        <w:rPr>
          <w:rFonts w:ascii="Book Antiqua" w:hAnsi="Book Antiqua"/>
          <w:sz w:val="24"/>
          <w:szCs w:val="24"/>
        </w:rPr>
        <w:t xml:space="preserve"> </w:t>
      </w:r>
      <w:r w:rsidR="007E24E1" w:rsidRPr="009F45BA">
        <w:rPr>
          <w:rFonts w:ascii="Book Antiqua" w:hAnsi="Book Antiqua"/>
          <w:sz w:val="24"/>
          <w:szCs w:val="24"/>
        </w:rPr>
        <w:t xml:space="preserve">acid secretion in the stomach </w:t>
      </w:r>
      <w:r w:rsidR="002E1C76" w:rsidRPr="009F45BA">
        <w:rPr>
          <w:rFonts w:ascii="Book Antiqua" w:hAnsi="Book Antiqua"/>
          <w:sz w:val="24"/>
          <w:szCs w:val="24"/>
        </w:rPr>
        <w:t xml:space="preserve">is </w:t>
      </w:r>
      <w:r w:rsidR="00C070F0" w:rsidRPr="009F45BA">
        <w:rPr>
          <w:rFonts w:ascii="Book Antiqua" w:hAnsi="Book Antiqua"/>
          <w:sz w:val="24"/>
          <w:szCs w:val="24"/>
        </w:rPr>
        <w:t>quite</w:t>
      </w:r>
      <w:r w:rsidR="002E1C76" w:rsidRPr="009F45BA">
        <w:rPr>
          <w:rFonts w:ascii="Book Antiqua" w:hAnsi="Book Antiqua"/>
          <w:sz w:val="24"/>
          <w:szCs w:val="24"/>
        </w:rPr>
        <w:t xml:space="preserve"> important for the treatment of NERD. </w:t>
      </w:r>
      <w:r w:rsidR="00C070F0" w:rsidRPr="009F45BA">
        <w:rPr>
          <w:rFonts w:ascii="Book Antiqua" w:hAnsi="Book Antiqua"/>
          <w:sz w:val="24"/>
          <w:szCs w:val="24"/>
        </w:rPr>
        <w:t>C</w:t>
      </w:r>
      <w:r w:rsidR="008F3861" w:rsidRPr="009F45BA">
        <w:rPr>
          <w:rFonts w:ascii="Book Antiqua" w:hAnsi="Book Antiqua"/>
          <w:sz w:val="24"/>
          <w:szCs w:val="24"/>
        </w:rPr>
        <w:t>omparison</w:t>
      </w:r>
      <w:r w:rsidR="00F85CDF" w:rsidRPr="009F45BA">
        <w:rPr>
          <w:rFonts w:ascii="Book Antiqua" w:hAnsi="Book Antiqua"/>
          <w:sz w:val="24"/>
          <w:szCs w:val="24"/>
        </w:rPr>
        <w:t>s</w:t>
      </w:r>
      <w:r w:rsidR="00791921" w:rsidRPr="009F45BA">
        <w:rPr>
          <w:rFonts w:ascii="Book Antiqua" w:hAnsi="Book Antiqua"/>
          <w:sz w:val="24"/>
          <w:szCs w:val="24"/>
        </w:rPr>
        <w:t xml:space="preserve"> of the groups in relation to each</w:t>
      </w:r>
      <w:r w:rsidR="008F3861" w:rsidRPr="009F45BA">
        <w:rPr>
          <w:rFonts w:ascii="Book Antiqua" w:hAnsi="Book Antiqua"/>
          <w:sz w:val="24"/>
          <w:szCs w:val="24"/>
        </w:rPr>
        <w:t xml:space="preserve"> FSSG score showed that </w:t>
      </w:r>
      <w:r w:rsidR="00791921" w:rsidRPr="009F45BA">
        <w:rPr>
          <w:rFonts w:ascii="Book Antiqua" w:hAnsi="Book Antiqua"/>
          <w:sz w:val="24"/>
          <w:szCs w:val="24"/>
        </w:rPr>
        <w:t xml:space="preserve">the scores for </w:t>
      </w:r>
      <w:r w:rsidR="00F85CDF" w:rsidRPr="009F45BA">
        <w:rPr>
          <w:rFonts w:ascii="Book Antiqua" w:hAnsi="Book Antiqua"/>
          <w:sz w:val="24"/>
          <w:szCs w:val="24"/>
        </w:rPr>
        <w:t xml:space="preserve">two </w:t>
      </w:r>
      <w:r w:rsidR="008F3861" w:rsidRPr="009F45BA">
        <w:rPr>
          <w:rFonts w:ascii="Book Antiqua" w:hAnsi="Book Antiqua"/>
          <w:sz w:val="24"/>
          <w:szCs w:val="24"/>
        </w:rPr>
        <w:t>reflux</w:t>
      </w:r>
      <w:r w:rsidR="0084513D" w:rsidRPr="009F45BA">
        <w:rPr>
          <w:rFonts w:ascii="Book Antiqua" w:hAnsi="Book Antiqua"/>
          <w:sz w:val="24"/>
          <w:szCs w:val="24"/>
        </w:rPr>
        <w:t>-</w:t>
      </w:r>
      <w:r w:rsidR="00791921" w:rsidRPr="009F45BA">
        <w:rPr>
          <w:rFonts w:ascii="Book Antiqua" w:hAnsi="Book Antiqua"/>
          <w:sz w:val="24"/>
          <w:szCs w:val="24"/>
        </w:rPr>
        <w:t>related questions significantly</w:t>
      </w:r>
      <w:r w:rsidR="008F3861" w:rsidRPr="009F45BA">
        <w:rPr>
          <w:rFonts w:ascii="Book Antiqua" w:hAnsi="Book Antiqua"/>
          <w:sz w:val="24"/>
          <w:szCs w:val="24"/>
        </w:rPr>
        <w:t xml:space="preserve"> improved in </w:t>
      </w:r>
      <w:r w:rsidR="0084513D" w:rsidRPr="009F45BA">
        <w:rPr>
          <w:rFonts w:ascii="Book Antiqua" w:hAnsi="Book Antiqua"/>
          <w:sz w:val="24"/>
          <w:szCs w:val="24"/>
        </w:rPr>
        <w:t xml:space="preserve">the patients who received </w:t>
      </w:r>
      <w:r w:rsidR="008F3861" w:rsidRPr="009F45BA">
        <w:rPr>
          <w:rFonts w:ascii="Book Antiqua" w:hAnsi="Book Antiqua"/>
          <w:sz w:val="24"/>
          <w:szCs w:val="24"/>
        </w:rPr>
        <w:t>combination therapy</w:t>
      </w:r>
      <w:r w:rsidR="0084513D" w:rsidRPr="009F45BA">
        <w:rPr>
          <w:rFonts w:ascii="Book Antiqua" w:hAnsi="Book Antiqua"/>
          <w:sz w:val="24"/>
          <w:szCs w:val="24"/>
        </w:rPr>
        <w:t xml:space="preserve"> compared with those who received mono-therapy</w:t>
      </w:r>
      <w:r w:rsidR="00FB2619" w:rsidRPr="009F45BA">
        <w:rPr>
          <w:rFonts w:ascii="Book Antiqua" w:hAnsi="Book Antiqua"/>
          <w:sz w:val="24"/>
          <w:szCs w:val="24"/>
        </w:rPr>
        <w:t xml:space="preserve">, </w:t>
      </w:r>
      <w:r w:rsidR="0084513D" w:rsidRPr="009F45BA">
        <w:rPr>
          <w:rFonts w:ascii="Book Antiqua" w:hAnsi="Book Antiqua"/>
          <w:sz w:val="24"/>
          <w:szCs w:val="24"/>
        </w:rPr>
        <w:t>which suggests</w:t>
      </w:r>
      <w:r w:rsidR="00FB2619" w:rsidRPr="009F45BA">
        <w:rPr>
          <w:rFonts w:ascii="Book Antiqua" w:hAnsi="Book Antiqua"/>
          <w:sz w:val="24"/>
          <w:szCs w:val="24"/>
        </w:rPr>
        <w:t xml:space="preserve"> that IM may p</w:t>
      </w:r>
      <w:r w:rsidR="0084513D" w:rsidRPr="009F45BA">
        <w:rPr>
          <w:rFonts w:ascii="Book Antiqua" w:hAnsi="Book Antiqua"/>
          <w:sz w:val="24"/>
          <w:szCs w:val="24"/>
        </w:rPr>
        <w:t>lay a greater preventive</w:t>
      </w:r>
      <w:r w:rsidR="00AD5D93" w:rsidRPr="009F45BA">
        <w:rPr>
          <w:rFonts w:ascii="Book Antiqua" w:hAnsi="Book Antiqua"/>
          <w:sz w:val="24"/>
          <w:szCs w:val="24"/>
        </w:rPr>
        <w:t xml:space="preserve"> role in </w:t>
      </w:r>
      <w:r w:rsidR="0084513D" w:rsidRPr="009F45BA">
        <w:rPr>
          <w:rFonts w:ascii="Book Antiqua" w:hAnsi="Book Antiqua"/>
          <w:sz w:val="24"/>
          <w:szCs w:val="24"/>
        </w:rPr>
        <w:t>relation to</w:t>
      </w:r>
      <w:r w:rsidR="00FB2619" w:rsidRPr="009F45BA">
        <w:rPr>
          <w:rFonts w:ascii="Book Antiqua" w:hAnsi="Book Antiqua"/>
          <w:sz w:val="24"/>
          <w:szCs w:val="24"/>
        </w:rPr>
        <w:t xml:space="preserve"> </w:t>
      </w:r>
      <w:r w:rsidR="0084513D" w:rsidRPr="009F45BA">
        <w:rPr>
          <w:rFonts w:ascii="Book Antiqua" w:hAnsi="Book Antiqua"/>
          <w:sz w:val="24"/>
          <w:szCs w:val="24"/>
        </w:rPr>
        <w:t>reflux compared with</w:t>
      </w:r>
      <w:r w:rsidR="00AD5D93" w:rsidRPr="009F45BA">
        <w:rPr>
          <w:rFonts w:ascii="Book Antiqua" w:hAnsi="Book Antiqua"/>
          <w:sz w:val="24"/>
          <w:szCs w:val="24"/>
        </w:rPr>
        <w:t xml:space="preserve"> </w:t>
      </w:r>
      <w:r w:rsidR="002E1C76" w:rsidRPr="009F45BA">
        <w:rPr>
          <w:rFonts w:ascii="Book Antiqua" w:hAnsi="Book Antiqua"/>
          <w:sz w:val="24"/>
          <w:szCs w:val="24"/>
        </w:rPr>
        <w:t xml:space="preserve">acid-related </w:t>
      </w:r>
      <w:proofErr w:type="spellStart"/>
      <w:r w:rsidR="002E1C76" w:rsidRPr="009F45BA">
        <w:rPr>
          <w:rFonts w:ascii="Book Antiqua" w:hAnsi="Book Antiqua"/>
          <w:sz w:val="24"/>
          <w:szCs w:val="24"/>
        </w:rPr>
        <w:t>dysmotility</w:t>
      </w:r>
      <w:proofErr w:type="spellEnd"/>
      <w:r w:rsidR="002E1C76" w:rsidRPr="009F45BA">
        <w:rPr>
          <w:rFonts w:ascii="Book Antiqua" w:hAnsi="Book Antiqua"/>
          <w:sz w:val="24"/>
          <w:szCs w:val="24"/>
        </w:rPr>
        <w:t xml:space="preserve"> sy</w:t>
      </w:r>
      <w:r w:rsidR="00AD5D93" w:rsidRPr="009F45BA">
        <w:rPr>
          <w:rFonts w:ascii="Book Antiqua" w:hAnsi="Book Antiqua"/>
          <w:sz w:val="24"/>
          <w:szCs w:val="24"/>
        </w:rPr>
        <w:t>mptoms</w:t>
      </w:r>
      <w:r w:rsidR="008F3861" w:rsidRPr="009F45BA">
        <w:rPr>
          <w:rFonts w:ascii="Book Antiqua" w:hAnsi="Book Antiqua"/>
          <w:sz w:val="24"/>
          <w:szCs w:val="24"/>
        </w:rPr>
        <w:t>.</w:t>
      </w:r>
      <w:r w:rsidR="00B73451" w:rsidRPr="009F45BA">
        <w:rPr>
          <w:rFonts w:ascii="Book Antiqua" w:hAnsi="Book Antiqua"/>
          <w:sz w:val="24"/>
          <w:szCs w:val="24"/>
        </w:rPr>
        <w:t xml:space="preserve"> </w:t>
      </w:r>
      <w:r w:rsidR="009F04E5" w:rsidRPr="009F45BA">
        <w:rPr>
          <w:rFonts w:ascii="Book Antiqua" w:hAnsi="Book Antiqua"/>
          <w:sz w:val="24"/>
          <w:szCs w:val="24"/>
        </w:rPr>
        <w:t xml:space="preserve">These results </w:t>
      </w:r>
      <w:r w:rsidR="0084513D" w:rsidRPr="009F45BA">
        <w:rPr>
          <w:rFonts w:ascii="Book Antiqua" w:hAnsi="Book Antiqua"/>
          <w:sz w:val="24"/>
          <w:szCs w:val="24"/>
        </w:rPr>
        <w:t>appear to be</w:t>
      </w:r>
      <w:r w:rsidR="009F04E5" w:rsidRPr="009F45BA">
        <w:rPr>
          <w:rFonts w:ascii="Book Antiqua" w:hAnsi="Book Antiqua"/>
          <w:sz w:val="24"/>
          <w:szCs w:val="24"/>
        </w:rPr>
        <w:t xml:space="preserve"> reasonable, </w:t>
      </w:r>
      <w:r w:rsidR="0084513D" w:rsidRPr="009F45BA">
        <w:rPr>
          <w:rFonts w:ascii="Book Antiqua" w:hAnsi="Book Antiqua"/>
          <w:sz w:val="24"/>
          <w:szCs w:val="24"/>
        </w:rPr>
        <w:t xml:space="preserve">given that </w:t>
      </w:r>
      <w:r w:rsidR="009F04E5" w:rsidRPr="009F45BA">
        <w:rPr>
          <w:rFonts w:ascii="Book Antiqua" w:hAnsi="Book Antiqua"/>
          <w:sz w:val="24"/>
          <w:szCs w:val="24"/>
        </w:rPr>
        <w:t xml:space="preserve">IM </w:t>
      </w:r>
      <w:r w:rsidR="0084513D" w:rsidRPr="009F45BA">
        <w:rPr>
          <w:rFonts w:ascii="Book Antiqua" w:hAnsi="Book Antiqua"/>
          <w:sz w:val="24"/>
          <w:szCs w:val="24"/>
        </w:rPr>
        <w:t>could a</w:t>
      </w:r>
      <w:r w:rsidR="009F04E5" w:rsidRPr="009F45BA">
        <w:rPr>
          <w:rFonts w:ascii="Book Antiqua" w:hAnsi="Book Antiqua"/>
          <w:sz w:val="24"/>
          <w:szCs w:val="24"/>
        </w:rPr>
        <w:t xml:space="preserve">ffect </w:t>
      </w:r>
      <w:r w:rsidR="008B51CE" w:rsidRPr="009F45BA">
        <w:rPr>
          <w:rFonts w:ascii="Book Antiqua" w:hAnsi="Book Antiqua"/>
          <w:sz w:val="24"/>
          <w:szCs w:val="24"/>
        </w:rPr>
        <w:t xml:space="preserve">the </w:t>
      </w:r>
      <w:r w:rsidR="00571CB6" w:rsidRPr="009F45BA">
        <w:rPr>
          <w:rFonts w:ascii="Book Antiqua" w:hAnsi="Book Antiqua"/>
          <w:sz w:val="24"/>
          <w:szCs w:val="24"/>
        </w:rPr>
        <w:t xml:space="preserve">epithelial cell </w:t>
      </w:r>
      <w:r w:rsidR="009F04E5" w:rsidRPr="009F45BA">
        <w:rPr>
          <w:rFonts w:ascii="Book Antiqua" w:hAnsi="Book Antiqua"/>
          <w:sz w:val="24"/>
          <w:szCs w:val="24"/>
        </w:rPr>
        <w:t>connections</w:t>
      </w:r>
      <w:r w:rsidR="008B51CE" w:rsidRPr="009F45BA">
        <w:rPr>
          <w:rFonts w:ascii="Book Antiqua" w:hAnsi="Book Antiqua"/>
          <w:sz w:val="24"/>
          <w:szCs w:val="24"/>
        </w:rPr>
        <w:t xml:space="preserve"> or communications</w:t>
      </w:r>
      <w:r w:rsidR="007E24E1" w:rsidRPr="009F45BA">
        <w:rPr>
          <w:rFonts w:ascii="Book Antiqua" w:hAnsi="Book Antiqua"/>
          <w:sz w:val="24"/>
          <w:szCs w:val="24"/>
        </w:rPr>
        <w:t xml:space="preserve"> in the esophagus</w:t>
      </w:r>
      <w:r w:rsidR="009F04E5" w:rsidRPr="009F45BA">
        <w:rPr>
          <w:rFonts w:ascii="Book Antiqua" w:hAnsi="Book Antiqua"/>
          <w:sz w:val="24"/>
          <w:szCs w:val="24"/>
        </w:rPr>
        <w:t>.</w:t>
      </w:r>
      <w:r w:rsidR="00571CB6" w:rsidRPr="009F45BA">
        <w:rPr>
          <w:rFonts w:ascii="Book Antiqua" w:hAnsi="Book Antiqua"/>
          <w:sz w:val="24"/>
          <w:szCs w:val="24"/>
        </w:rPr>
        <w:t xml:space="preserve"> </w:t>
      </w:r>
    </w:p>
    <w:p w:rsidR="00C635B4" w:rsidRPr="009F45BA" w:rsidRDefault="005D2F1B" w:rsidP="00826736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9F45BA">
        <w:rPr>
          <w:rFonts w:ascii="Book Antiqua" w:hAnsi="Book Antiqua"/>
          <w:sz w:val="24"/>
          <w:szCs w:val="24"/>
        </w:rPr>
        <w:t>T</w:t>
      </w:r>
      <w:r w:rsidR="00A6559B" w:rsidRPr="009F45BA">
        <w:rPr>
          <w:rFonts w:ascii="Book Antiqua" w:hAnsi="Book Antiqua"/>
          <w:sz w:val="24"/>
          <w:szCs w:val="24"/>
        </w:rPr>
        <w:t>he Montreal consensus conference defined NERD as the presence of troublesome reflux-associated symptoms in the absence of</w:t>
      </w:r>
      <w:r w:rsidR="00665356" w:rsidRPr="009F45BA">
        <w:rPr>
          <w:rFonts w:ascii="Book Antiqua" w:hAnsi="Book Antiqua"/>
          <w:sz w:val="24"/>
          <w:szCs w:val="24"/>
        </w:rPr>
        <w:t xml:space="preserve"> mucosal breaks on </w:t>
      </w:r>
      <w:proofErr w:type="gramStart"/>
      <w:r w:rsidR="00665356" w:rsidRPr="009F45BA">
        <w:rPr>
          <w:rFonts w:ascii="Book Antiqua" w:hAnsi="Book Antiqua"/>
          <w:sz w:val="24"/>
          <w:szCs w:val="24"/>
        </w:rPr>
        <w:t>endoscopy</w:t>
      </w:r>
      <w:r w:rsidR="00665356" w:rsidRPr="009F45B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31920" w:rsidRPr="009F45BA">
        <w:rPr>
          <w:rFonts w:ascii="Book Antiqua" w:hAnsi="Book Antiqua"/>
          <w:sz w:val="24"/>
          <w:szCs w:val="24"/>
          <w:vertAlign w:val="superscript"/>
        </w:rPr>
        <w:t>2</w:t>
      </w:r>
      <w:r w:rsidR="00665356" w:rsidRPr="009F45BA">
        <w:rPr>
          <w:rFonts w:ascii="Book Antiqua" w:hAnsi="Book Antiqua"/>
          <w:sz w:val="24"/>
          <w:szCs w:val="24"/>
          <w:vertAlign w:val="superscript"/>
        </w:rPr>
        <w:t>]</w:t>
      </w:r>
      <w:r w:rsidR="00A6559B" w:rsidRPr="009F45BA">
        <w:rPr>
          <w:rFonts w:ascii="Book Antiqua" w:hAnsi="Book Antiqua"/>
          <w:sz w:val="24"/>
          <w:szCs w:val="24"/>
        </w:rPr>
        <w:t xml:space="preserve">. </w:t>
      </w:r>
      <w:r w:rsidRPr="009F45BA">
        <w:rPr>
          <w:rFonts w:ascii="Book Antiqua" w:hAnsi="Book Antiqua"/>
          <w:sz w:val="24"/>
          <w:szCs w:val="24"/>
        </w:rPr>
        <w:t xml:space="preserve">Recently, </w:t>
      </w:r>
      <w:r w:rsidR="00665356" w:rsidRPr="009F45BA">
        <w:rPr>
          <w:rFonts w:ascii="Book Antiqua" w:hAnsi="Book Antiqua"/>
          <w:sz w:val="24"/>
          <w:szCs w:val="24"/>
        </w:rPr>
        <w:t xml:space="preserve">the </w:t>
      </w:r>
      <w:r w:rsidRPr="009F45BA">
        <w:rPr>
          <w:rFonts w:ascii="Book Antiqua" w:hAnsi="Book Antiqua"/>
          <w:sz w:val="24"/>
          <w:szCs w:val="24"/>
        </w:rPr>
        <w:t>e</w:t>
      </w:r>
      <w:r w:rsidR="00665356" w:rsidRPr="009F45BA">
        <w:rPr>
          <w:rFonts w:ascii="Book Antiqua" w:hAnsi="Book Antiqua"/>
          <w:sz w:val="24"/>
          <w:szCs w:val="24"/>
        </w:rPr>
        <w:t>ndoscopic findings associated with</w:t>
      </w:r>
      <w:r w:rsidR="00A6559B" w:rsidRPr="009F45BA">
        <w:rPr>
          <w:rFonts w:ascii="Book Antiqua" w:hAnsi="Book Antiqua"/>
          <w:sz w:val="24"/>
          <w:szCs w:val="24"/>
        </w:rPr>
        <w:t xml:space="preserve"> NERD </w:t>
      </w:r>
      <w:r w:rsidRPr="009F45BA">
        <w:rPr>
          <w:rFonts w:ascii="Book Antiqua" w:hAnsi="Book Antiqua"/>
          <w:sz w:val="24"/>
          <w:szCs w:val="24"/>
        </w:rPr>
        <w:t>were classified into</w:t>
      </w:r>
      <w:r w:rsidR="00A6559B" w:rsidRPr="009F45BA">
        <w:rPr>
          <w:rFonts w:ascii="Book Antiqua" w:hAnsi="Book Antiqua"/>
          <w:sz w:val="24"/>
          <w:szCs w:val="24"/>
        </w:rPr>
        <w:t xml:space="preserve"> two groups</w:t>
      </w:r>
      <w:r w:rsidR="00665356" w:rsidRPr="009F45BA">
        <w:rPr>
          <w:rFonts w:ascii="Book Antiqua" w:hAnsi="Book Antiqua"/>
          <w:sz w:val="24"/>
          <w:szCs w:val="24"/>
        </w:rPr>
        <w:t>, grades</w:t>
      </w:r>
      <w:r w:rsidR="00245BA5" w:rsidRPr="009F45BA">
        <w:rPr>
          <w:rFonts w:ascii="Book Antiqua" w:hAnsi="Book Antiqua"/>
          <w:sz w:val="24"/>
          <w:szCs w:val="24"/>
        </w:rPr>
        <w:t xml:space="preserve"> N and M</w:t>
      </w:r>
      <w:r w:rsidR="00665356" w:rsidRPr="009F45BA">
        <w:rPr>
          <w:rFonts w:ascii="Book Antiqua" w:hAnsi="Book Antiqua"/>
          <w:sz w:val="24"/>
          <w:szCs w:val="24"/>
        </w:rPr>
        <w:t>. However, the</w:t>
      </w:r>
      <w:r w:rsidR="001843D5" w:rsidRPr="009F45BA">
        <w:rPr>
          <w:rFonts w:ascii="Book Antiqua" w:hAnsi="Book Antiqua"/>
          <w:sz w:val="24"/>
          <w:szCs w:val="24"/>
        </w:rPr>
        <w:t xml:space="preserve"> cli</w:t>
      </w:r>
      <w:r w:rsidR="00665356" w:rsidRPr="009F45BA">
        <w:rPr>
          <w:rFonts w:ascii="Book Antiqua" w:hAnsi="Book Antiqua"/>
          <w:sz w:val="24"/>
          <w:szCs w:val="24"/>
        </w:rPr>
        <w:t>nical differences between the groups</w:t>
      </w:r>
      <w:r w:rsidR="000079F9" w:rsidRPr="009F45BA">
        <w:rPr>
          <w:rFonts w:ascii="Book Antiqua" w:hAnsi="Book Antiqua"/>
          <w:sz w:val="24"/>
          <w:szCs w:val="24"/>
        </w:rPr>
        <w:t xml:space="preserve"> </w:t>
      </w:r>
      <w:r w:rsidR="006A6CD2" w:rsidRPr="009F45BA">
        <w:rPr>
          <w:rFonts w:ascii="Book Antiqua" w:hAnsi="Book Antiqua"/>
          <w:sz w:val="24"/>
          <w:szCs w:val="24"/>
        </w:rPr>
        <w:t xml:space="preserve">are not clear. In this study, </w:t>
      </w:r>
      <w:r w:rsidR="00665356" w:rsidRPr="009F45BA">
        <w:rPr>
          <w:rFonts w:ascii="Book Antiqua" w:hAnsi="Book Antiqua"/>
          <w:sz w:val="24"/>
          <w:szCs w:val="24"/>
        </w:rPr>
        <w:t xml:space="preserve">the group of patients classified as having </w:t>
      </w:r>
      <w:r w:rsidR="006A6CD2" w:rsidRPr="009F45BA">
        <w:rPr>
          <w:rFonts w:ascii="Book Antiqua" w:hAnsi="Book Antiqua"/>
          <w:sz w:val="24"/>
          <w:szCs w:val="24"/>
        </w:rPr>
        <w:t xml:space="preserve">NERD grade N </w:t>
      </w:r>
      <w:r w:rsidR="005D5369" w:rsidRPr="009F45BA">
        <w:rPr>
          <w:rFonts w:ascii="Book Antiqua" w:hAnsi="Book Antiqua"/>
          <w:sz w:val="24"/>
          <w:szCs w:val="24"/>
        </w:rPr>
        <w:t xml:space="preserve">was </w:t>
      </w:r>
      <w:r w:rsidR="006A6CD2" w:rsidRPr="009F45BA">
        <w:rPr>
          <w:rFonts w:ascii="Book Antiqua" w:hAnsi="Book Antiqua"/>
          <w:sz w:val="24"/>
          <w:szCs w:val="24"/>
        </w:rPr>
        <w:t xml:space="preserve">characterized by </w:t>
      </w:r>
      <w:r w:rsidR="00A85F57" w:rsidRPr="009F45BA">
        <w:rPr>
          <w:rFonts w:ascii="Book Antiqua" w:hAnsi="Book Antiqua"/>
          <w:sz w:val="24"/>
          <w:szCs w:val="24"/>
        </w:rPr>
        <w:t>shorter stature</w:t>
      </w:r>
      <w:r w:rsidR="00C45326" w:rsidRPr="009F45BA">
        <w:rPr>
          <w:rFonts w:ascii="Book Antiqua" w:hAnsi="Book Antiqua"/>
          <w:sz w:val="24"/>
          <w:szCs w:val="24"/>
        </w:rPr>
        <w:t>s</w:t>
      </w:r>
      <w:r w:rsidR="00A85F57" w:rsidRPr="009F45BA">
        <w:rPr>
          <w:rFonts w:ascii="Book Antiqua" w:hAnsi="Book Antiqua"/>
          <w:sz w:val="24"/>
          <w:szCs w:val="24"/>
        </w:rPr>
        <w:t xml:space="preserve"> and lower frequencies</w:t>
      </w:r>
      <w:r w:rsidR="006A6CD2" w:rsidRPr="009F45BA">
        <w:rPr>
          <w:rFonts w:ascii="Book Antiqua" w:hAnsi="Book Antiqua"/>
          <w:sz w:val="24"/>
          <w:szCs w:val="24"/>
        </w:rPr>
        <w:t xml:space="preserve"> of esophageal hiatal hernia</w:t>
      </w:r>
      <w:r w:rsidR="00A85F57" w:rsidRPr="009F45BA">
        <w:rPr>
          <w:rFonts w:ascii="Book Antiqua" w:hAnsi="Book Antiqua"/>
          <w:sz w:val="24"/>
          <w:szCs w:val="24"/>
        </w:rPr>
        <w:t>s</w:t>
      </w:r>
      <w:r w:rsidR="006A6CD2" w:rsidRPr="009F45BA">
        <w:rPr>
          <w:rFonts w:ascii="Book Antiqua" w:hAnsi="Book Antiqua"/>
          <w:sz w:val="24"/>
          <w:szCs w:val="24"/>
        </w:rPr>
        <w:t xml:space="preserve">. </w:t>
      </w:r>
      <w:r w:rsidR="00C635B4" w:rsidRPr="009F45BA">
        <w:rPr>
          <w:rFonts w:ascii="Book Antiqua" w:hAnsi="Book Antiqua"/>
          <w:sz w:val="24"/>
          <w:szCs w:val="24"/>
        </w:rPr>
        <w:t xml:space="preserve">Joh </w:t>
      </w:r>
      <w:r w:rsidR="00490D41" w:rsidRPr="009F45BA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490D41" w:rsidRPr="009F45BA">
        <w:rPr>
          <w:rFonts w:ascii="Book Antiqua" w:hAnsi="Book Antiqua"/>
          <w:i/>
          <w:sz w:val="24"/>
          <w:szCs w:val="24"/>
        </w:rPr>
        <w:t>al</w:t>
      </w:r>
      <w:r w:rsidR="007A1778" w:rsidRPr="009F45B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A1778" w:rsidRPr="009F45BA">
        <w:rPr>
          <w:rFonts w:ascii="Book Antiqua" w:hAnsi="Book Antiqua"/>
          <w:sz w:val="24"/>
          <w:szCs w:val="24"/>
          <w:vertAlign w:val="superscript"/>
        </w:rPr>
        <w:t>24]</w:t>
      </w:r>
      <w:r w:rsidR="00C635B4" w:rsidRPr="009F45BA">
        <w:rPr>
          <w:rFonts w:ascii="Book Antiqua" w:hAnsi="Book Antiqua"/>
          <w:sz w:val="24"/>
          <w:szCs w:val="24"/>
        </w:rPr>
        <w:t xml:space="preserve"> reported that NERD gr</w:t>
      </w:r>
      <w:r w:rsidR="00A85F57" w:rsidRPr="009F45BA">
        <w:rPr>
          <w:rFonts w:ascii="Book Antiqua" w:hAnsi="Book Antiqua"/>
          <w:sz w:val="24"/>
          <w:szCs w:val="24"/>
        </w:rPr>
        <w:t>ade M patients tended to show</w:t>
      </w:r>
      <w:r w:rsidR="00C635B4" w:rsidRPr="009F45BA">
        <w:rPr>
          <w:rFonts w:ascii="Book Antiqua" w:hAnsi="Book Antiqua"/>
          <w:sz w:val="24"/>
          <w:szCs w:val="24"/>
        </w:rPr>
        <w:t xml:space="preserve"> a higher frequency of esophageal hiatal hernia</w:t>
      </w:r>
      <w:r w:rsidR="00A85F57" w:rsidRPr="009F45BA">
        <w:rPr>
          <w:rFonts w:ascii="Book Antiqua" w:hAnsi="Book Antiqua"/>
          <w:sz w:val="24"/>
          <w:szCs w:val="24"/>
        </w:rPr>
        <w:t>s</w:t>
      </w:r>
      <w:r w:rsidR="000079F9" w:rsidRPr="009F45BA">
        <w:rPr>
          <w:rFonts w:ascii="Book Antiqua" w:hAnsi="Book Antiqua"/>
          <w:sz w:val="24"/>
          <w:szCs w:val="24"/>
        </w:rPr>
        <w:t>, and</w:t>
      </w:r>
      <w:r w:rsidR="00A83F23" w:rsidRPr="009F45BA">
        <w:rPr>
          <w:rFonts w:ascii="Book Antiqua" w:hAnsi="Book Antiqua"/>
          <w:sz w:val="24"/>
          <w:szCs w:val="24"/>
        </w:rPr>
        <w:t xml:space="preserve"> </w:t>
      </w:r>
      <w:r w:rsidR="00A85F57" w:rsidRPr="009F45BA">
        <w:rPr>
          <w:rFonts w:ascii="Book Antiqua" w:hAnsi="Book Antiqua"/>
          <w:sz w:val="24"/>
          <w:szCs w:val="24"/>
        </w:rPr>
        <w:t xml:space="preserve">they </w:t>
      </w:r>
      <w:r w:rsidR="00A83F23" w:rsidRPr="009F45BA">
        <w:rPr>
          <w:rFonts w:ascii="Book Antiqua" w:hAnsi="Book Antiqua"/>
          <w:sz w:val="24"/>
          <w:szCs w:val="24"/>
        </w:rPr>
        <w:t>suggested that</w:t>
      </w:r>
      <w:r w:rsidR="00C635B4" w:rsidRPr="009F45BA">
        <w:rPr>
          <w:rFonts w:ascii="Book Antiqua" w:hAnsi="Book Antiqua"/>
          <w:sz w:val="24"/>
          <w:szCs w:val="24"/>
        </w:rPr>
        <w:t xml:space="preserve"> </w:t>
      </w:r>
      <w:r w:rsidR="00A85F57" w:rsidRPr="009F45BA">
        <w:rPr>
          <w:rFonts w:ascii="Book Antiqua" w:hAnsi="Book Antiqua"/>
          <w:sz w:val="24"/>
          <w:szCs w:val="24"/>
        </w:rPr>
        <w:t xml:space="preserve">the </w:t>
      </w:r>
      <w:r w:rsidR="00C635B4" w:rsidRPr="009F45BA">
        <w:rPr>
          <w:rFonts w:ascii="Book Antiqua" w:hAnsi="Book Antiqua"/>
          <w:sz w:val="24"/>
          <w:szCs w:val="24"/>
        </w:rPr>
        <w:t xml:space="preserve">minimal changes are most </w:t>
      </w:r>
      <w:r w:rsidR="00A83F23" w:rsidRPr="009F45BA">
        <w:rPr>
          <w:rFonts w:ascii="Book Antiqua" w:hAnsi="Book Antiqua"/>
          <w:sz w:val="24"/>
          <w:szCs w:val="24"/>
        </w:rPr>
        <w:t xml:space="preserve">likely attributable to gastric acid reflux, </w:t>
      </w:r>
      <w:r w:rsidR="00A85F57" w:rsidRPr="009F45BA">
        <w:rPr>
          <w:rFonts w:ascii="Book Antiqua" w:hAnsi="Book Antiqua"/>
          <w:sz w:val="24"/>
          <w:szCs w:val="24"/>
        </w:rPr>
        <w:t xml:space="preserve">which was </w:t>
      </w:r>
      <w:r w:rsidR="00A83F23" w:rsidRPr="009F45BA">
        <w:rPr>
          <w:rFonts w:ascii="Book Antiqua" w:hAnsi="Book Antiqua"/>
          <w:sz w:val="24"/>
          <w:szCs w:val="24"/>
        </w:rPr>
        <w:t>based on their ambulatory 24</w:t>
      </w:r>
      <w:r w:rsidR="00A85F57" w:rsidRPr="009F45BA">
        <w:rPr>
          <w:rFonts w:ascii="Book Antiqua" w:hAnsi="Book Antiqua"/>
          <w:sz w:val="24"/>
          <w:szCs w:val="24"/>
        </w:rPr>
        <w:t>-h</w:t>
      </w:r>
      <w:r w:rsidR="00A83F23" w:rsidRPr="009F45BA">
        <w:rPr>
          <w:rFonts w:ascii="Book Antiqua" w:hAnsi="Book Antiqua"/>
          <w:sz w:val="24"/>
          <w:szCs w:val="24"/>
        </w:rPr>
        <w:t xml:space="preserve"> esophageal monitoring data.</w:t>
      </w:r>
      <w:r w:rsidR="00C635B4" w:rsidRPr="009F45BA">
        <w:rPr>
          <w:rFonts w:ascii="Book Antiqua" w:hAnsi="Book Antiqua"/>
          <w:sz w:val="24"/>
          <w:szCs w:val="24"/>
        </w:rPr>
        <w:t xml:space="preserve"> </w:t>
      </w:r>
      <w:r w:rsidR="00C46196" w:rsidRPr="009F45BA">
        <w:rPr>
          <w:rFonts w:ascii="Book Antiqua" w:hAnsi="Book Antiqua"/>
          <w:sz w:val="24"/>
          <w:szCs w:val="24"/>
        </w:rPr>
        <w:t xml:space="preserve">Our study showed that </w:t>
      </w:r>
      <w:r w:rsidR="00A85F57" w:rsidRPr="009F45BA">
        <w:rPr>
          <w:rFonts w:ascii="Book Antiqua" w:hAnsi="Book Antiqua"/>
          <w:sz w:val="24"/>
          <w:szCs w:val="24"/>
        </w:rPr>
        <w:t>in patients with NERD grade N</w:t>
      </w:r>
      <w:r w:rsidR="00B87737" w:rsidRPr="009F45BA">
        <w:rPr>
          <w:rFonts w:ascii="Book Antiqua" w:hAnsi="Book Antiqua"/>
          <w:sz w:val="24"/>
          <w:szCs w:val="24"/>
        </w:rPr>
        <w:t>,</w:t>
      </w:r>
      <w:r w:rsidR="00A85F57" w:rsidRPr="009F45BA">
        <w:rPr>
          <w:rFonts w:ascii="Book Antiqua" w:hAnsi="Book Antiqua"/>
          <w:sz w:val="24"/>
          <w:szCs w:val="24"/>
        </w:rPr>
        <w:t xml:space="preserve"> </w:t>
      </w:r>
      <w:r w:rsidR="00A532F8" w:rsidRPr="009F45BA">
        <w:rPr>
          <w:rFonts w:ascii="Book Antiqua" w:hAnsi="Book Antiqua"/>
          <w:sz w:val="24"/>
          <w:szCs w:val="24"/>
        </w:rPr>
        <w:t xml:space="preserve">the </w:t>
      </w:r>
      <w:r w:rsidR="00A532F8" w:rsidRPr="009F45BA">
        <w:rPr>
          <w:rFonts w:ascii="Book Antiqua" w:eastAsia="MS PMincho" w:hAnsi="Book Antiqua"/>
          <w:sz w:val="24"/>
          <w:szCs w:val="24"/>
        </w:rPr>
        <w:t>addition of IM to PPI</w:t>
      </w:r>
      <w:r w:rsidR="00A532F8" w:rsidRPr="009F45BA">
        <w:rPr>
          <w:rFonts w:ascii="Book Antiqua" w:hAnsi="Book Antiqua"/>
          <w:sz w:val="24"/>
          <w:szCs w:val="24"/>
        </w:rPr>
        <w:t xml:space="preserve"> </w:t>
      </w:r>
      <w:r w:rsidR="00C46196" w:rsidRPr="009F45BA">
        <w:rPr>
          <w:rFonts w:ascii="Book Antiqua" w:hAnsi="Book Antiqua"/>
          <w:sz w:val="24"/>
          <w:szCs w:val="24"/>
        </w:rPr>
        <w:t xml:space="preserve">therapy significantly improved </w:t>
      </w:r>
      <w:r w:rsidR="00A85F57" w:rsidRPr="009F45BA">
        <w:rPr>
          <w:rFonts w:ascii="Book Antiqua" w:hAnsi="Book Antiqua"/>
          <w:sz w:val="24"/>
          <w:szCs w:val="24"/>
        </w:rPr>
        <w:t xml:space="preserve">the </w:t>
      </w:r>
      <w:r w:rsidR="00C46196" w:rsidRPr="009F45BA">
        <w:rPr>
          <w:rFonts w:ascii="Book Antiqua" w:hAnsi="Book Antiqua"/>
          <w:sz w:val="24"/>
          <w:szCs w:val="24"/>
        </w:rPr>
        <w:t xml:space="preserve">FSSG scores compared with </w:t>
      </w:r>
      <w:r w:rsidR="00A532F8" w:rsidRPr="009F45BA">
        <w:rPr>
          <w:rFonts w:ascii="Book Antiqua" w:hAnsi="Book Antiqua"/>
          <w:sz w:val="24"/>
          <w:szCs w:val="24"/>
        </w:rPr>
        <w:t xml:space="preserve">PPI </w:t>
      </w:r>
      <w:r w:rsidR="00683DC9" w:rsidRPr="009F45BA">
        <w:rPr>
          <w:rFonts w:ascii="Book Antiqua" w:hAnsi="Book Antiqua"/>
          <w:sz w:val="24"/>
          <w:szCs w:val="24"/>
        </w:rPr>
        <w:lastRenderedPageBreak/>
        <w:t>mono-therapy</w:t>
      </w:r>
      <w:r w:rsidR="00C46196" w:rsidRPr="009F45BA">
        <w:rPr>
          <w:rFonts w:ascii="Book Antiqua" w:hAnsi="Book Antiqua"/>
          <w:sz w:val="24"/>
          <w:szCs w:val="24"/>
        </w:rPr>
        <w:t xml:space="preserve">, but </w:t>
      </w:r>
      <w:r w:rsidR="00A85F57" w:rsidRPr="009F45BA">
        <w:rPr>
          <w:rFonts w:ascii="Book Antiqua" w:hAnsi="Book Antiqua"/>
          <w:sz w:val="24"/>
          <w:szCs w:val="24"/>
        </w:rPr>
        <w:t xml:space="preserve">this was </w:t>
      </w:r>
      <w:r w:rsidR="00C46196" w:rsidRPr="009F45BA">
        <w:rPr>
          <w:rFonts w:ascii="Book Antiqua" w:hAnsi="Book Antiqua"/>
          <w:sz w:val="24"/>
          <w:szCs w:val="24"/>
        </w:rPr>
        <w:t xml:space="preserve">not </w:t>
      </w:r>
      <w:r w:rsidR="00A85F57" w:rsidRPr="009F45BA">
        <w:rPr>
          <w:rFonts w:ascii="Book Antiqua" w:hAnsi="Book Antiqua"/>
          <w:sz w:val="24"/>
          <w:szCs w:val="24"/>
        </w:rPr>
        <w:t xml:space="preserve">seen in patients </w:t>
      </w:r>
      <w:r w:rsidR="00C46196" w:rsidRPr="009F45BA">
        <w:rPr>
          <w:rFonts w:ascii="Book Antiqua" w:hAnsi="Book Antiqua"/>
          <w:sz w:val="24"/>
          <w:szCs w:val="24"/>
        </w:rPr>
        <w:t xml:space="preserve">with NERD grade M. </w:t>
      </w:r>
      <w:r w:rsidR="00A85F57" w:rsidRPr="009F45BA">
        <w:rPr>
          <w:rFonts w:ascii="Book Antiqua" w:hAnsi="Book Antiqua"/>
          <w:sz w:val="24"/>
          <w:szCs w:val="24"/>
        </w:rPr>
        <w:t>These data suggest</w:t>
      </w:r>
      <w:r w:rsidR="00A532F8" w:rsidRPr="009F45BA">
        <w:rPr>
          <w:rFonts w:ascii="Book Antiqua" w:hAnsi="Book Antiqua"/>
          <w:sz w:val="24"/>
          <w:szCs w:val="24"/>
        </w:rPr>
        <w:t xml:space="preserve"> that </w:t>
      </w:r>
      <w:r w:rsidR="00A85F57" w:rsidRPr="009F45BA">
        <w:rPr>
          <w:rFonts w:ascii="Book Antiqua" w:hAnsi="Book Antiqua"/>
          <w:sz w:val="24"/>
          <w:szCs w:val="24"/>
        </w:rPr>
        <w:t>factors that affect intercellular communication as well as reflux acid may be associated with the development of NERD grade N, whereas</w:t>
      </w:r>
      <w:r w:rsidR="00364368" w:rsidRPr="009F45BA">
        <w:rPr>
          <w:rFonts w:ascii="Book Antiqua" w:hAnsi="Book Antiqua"/>
          <w:sz w:val="24"/>
          <w:szCs w:val="24"/>
        </w:rPr>
        <w:t xml:space="preserve"> </w:t>
      </w:r>
      <w:r w:rsidR="00A85F57" w:rsidRPr="009F45BA">
        <w:rPr>
          <w:rFonts w:ascii="Book Antiqua" w:hAnsi="Book Antiqua"/>
          <w:sz w:val="24"/>
          <w:szCs w:val="24"/>
        </w:rPr>
        <w:t xml:space="preserve">gastric acid reflux may play a major role in the development of NERD grade M. </w:t>
      </w:r>
    </w:p>
    <w:p w:rsidR="002A16B3" w:rsidRPr="009F45BA" w:rsidRDefault="000079F9" w:rsidP="007A1778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9F45BA">
        <w:rPr>
          <w:rFonts w:ascii="Book Antiqua" w:hAnsi="Book Antiqua"/>
          <w:sz w:val="24"/>
          <w:szCs w:val="24"/>
        </w:rPr>
        <w:t>IM</w:t>
      </w:r>
      <w:r w:rsidR="000A5BAE" w:rsidRPr="009F45BA">
        <w:rPr>
          <w:rFonts w:ascii="Book Antiqua" w:hAnsi="Book Antiqua"/>
          <w:sz w:val="24"/>
          <w:szCs w:val="24"/>
        </w:rPr>
        <w:t xml:space="preserve"> </w:t>
      </w:r>
      <w:r w:rsidR="00B72B37" w:rsidRPr="009F45BA">
        <w:rPr>
          <w:rFonts w:ascii="Book Antiqua" w:hAnsi="Book Antiqua"/>
          <w:sz w:val="24"/>
          <w:szCs w:val="24"/>
        </w:rPr>
        <w:t>facilitates</w:t>
      </w:r>
      <w:r w:rsidR="00037215" w:rsidRPr="009F45BA">
        <w:rPr>
          <w:rFonts w:ascii="Book Antiqua" w:hAnsi="Book Antiqua"/>
          <w:sz w:val="24"/>
          <w:szCs w:val="24"/>
        </w:rPr>
        <w:t xml:space="preserve"> inter</w:t>
      </w:r>
      <w:r w:rsidR="002B52B5" w:rsidRPr="009F45BA">
        <w:rPr>
          <w:rFonts w:ascii="Book Antiqua" w:hAnsi="Book Antiqua"/>
          <w:sz w:val="24"/>
          <w:szCs w:val="24"/>
        </w:rPr>
        <w:t xml:space="preserve">cellular communication through </w:t>
      </w:r>
      <w:r w:rsidR="006E4F80" w:rsidRPr="009F45BA">
        <w:rPr>
          <w:rFonts w:ascii="Book Antiqua" w:hAnsi="Book Antiqua"/>
          <w:sz w:val="24"/>
          <w:szCs w:val="24"/>
        </w:rPr>
        <w:t xml:space="preserve">the </w:t>
      </w:r>
      <w:r w:rsidR="002B52B5" w:rsidRPr="009F45BA">
        <w:rPr>
          <w:rFonts w:ascii="Book Antiqua" w:hAnsi="Book Antiqua"/>
          <w:sz w:val="24"/>
          <w:szCs w:val="24"/>
        </w:rPr>
        <w:t>gap junctions</w:t>
      </w:r>
      <w:r w:rsidR="00746B3D" w:rsidRPr="009F45BA">
        <w:rPr>
          <w:rFonts w:ascii="Book Antiqua" w:hAnsi="Book Antiqua"/>
          <w:sz w:val="24"/>
          <w:szCs w:val="24"/>
        </w:rPr>
        <w:t xml:space="preserve"> in the gastrointe</w:t>
      </w:r>
      <w:r w:rsidR="00B72B37" w:rsidRPr="009F45BA">
        <w:rPr>
          <w:rFonts w:ascii="Book Antiqua" w:hAnsi="Book Antiqua"/>
          <w:sz w:val="24"/>
          <w:szCs w:val="24"/>
        </w:rPr>
        <w:t>stinal tract</w:t>
      </w:r>
      <w:r w:rsidR="006E4F80" w:rsidRPr="009F45BA">
        <w:rPr>
          <w:rFonts w:ascii="Book Antiqua" w:hAnsi="Book Antiqua"/>
          <w:sz w:val="24"/>
          <w:szCs w:val="24"/>
        </w:rPr>
        <w:t>,</w:t>
      </w:r>
      <w:r w:rsidR="00B72B37" w:rsidRPr="009F45BA">
        <w:rPr>
          <w:rFonts w:ascii="Book Antiqua" w:hAnsi="Book Antiqua"/>
          <w:sz w:val="24"/>
          <w:szCs w:val="24"/>
        </w:rPr>
        <w:t xml:space="preserve"> including </w:t>
      </w:r>
      <w:r w:rsidR="006E4F80" w:rsidRPr="009F45BA">
        <w:rPr>
          <w:rFonts w:ascii="Book Antiqua" w:hAnsi="Book Antiqua"/>
          <w:sz w:val="24"/>
          <w:szCs w:val="24"/>
        </w:rPr>
        <w:t xml:space="preserve">the </w:t>
      </w:r>
      <w:r w:rsidR="00B72B37" w:rsidRPr="009F45BA">
        <w:rPr>
          <w:rFonts w:ascii="Book Antiqua" w:hAnsi="Book Antiqua"/>
          <w:sz w:val="24"/>
          <w:szCs w:val="24"/>
        </w:rPr>
        <w:t>esophagus</w:t>
      </w:r>
      <w:r w:rsidR="002B52B5" w:rsidRPr="009F45BA">
        <w:rPr>
          <w:rFonts w:ascii="Book Antiqua" w:hAnsi="Book Antiqua"/>
          <w:sz w:val="24"/>
          <w:szCs w:val="24"/>
        </w:rPr>
        <w:t>.</w:t>
      </w:r>
      <w:r w:rsidR="00B72B37" w:rsidRPr="009F45B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A1626" w:rsidRPr="009F45BA">
        <w:rPr>
          <w:rFonts w:ascii="Book Antiqua" w:hAnsi="Book Antiqua"/>
          <w:sz w:val="24"/>
          <w:szCs w:val="24"/>
        </w:rPr>
        <w:t>Oyamada</w:t>
      </w:r>
      <w:proofErr w:type="spellEnd"/>
      <w:r w:rsidR="000A1626" w:rsidRPr="009F45BA">
        <w:rPr>
          <w:rFonts w:ascii="Book Antiqua" w:hAnsi="Book Antiqua"/>
          <w:sz w:val="24"/>
          <w:szCs w:val="24"/>
        </w:rPr>
        <w:t xml:space="preserve"> </w:t>
      </w:r>
      <w:r w:rsidR="000A1626" w:rsidRPr="009F45BA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0A1626" w:rsidRPr="009F45BA">
        <w:rPr>
          <w:rFonts w:ascii="Book Antiqua" w:hAnsi="Book Antiqua"/>
          <w:i/>
          <w:sz w:val="24"/>
          <w:szCs w:val="24"/>
        </w:rPr>
        <w:t>al</w:t>
      </w:r>
      <w:r w:rsidR="007A1778" w:rsidRPr="009F45B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A1778" w:rsidRPr="009F45BA">
        <w:rPr>
          <w:rFonts w:ascii="Book Antiqua" w:hAnsi="Book Antiqua"/>
          <w:sz w:val="24"/>
          <w:szCs w:val="24"/>
          <w:vertAlign w:val="superscript"/>
        </w:rPr>
        <w:t>25]</w:t>
      </w:r>
      <w:r w:rsidR="00746B3D" w:rsidRPr="009F45BA">
        <w:rPr>
          <w:rFonts w:ascii="Book Antiqua" w:hAnsi="Book Antiqua"/>
          <w:sz w:val="24"/>
          <w:szCs w:val="24"/>
        </w:rPr>
        <w:t xml:space="preserve"> </w:t>
      </w:r>
      <w:r w:rsidR="006E4F80" w:rsidRPr="009F45BA">
        <w:rPr>
          <w:rFonts w:ascii="Book Antiqua" w:hAnsi="Book Antiqua"/>
          <w:sz w:val="24"/>
          <w:szCs w:val="24"/>
        </w:rPr>
        <w:t>demonstrated the</w:t>
      </w:r>
      <w:r w:rsidR="000A1626" w:rsidRPr="009F45BA">
        <w:rPr>
          <w:rFonts w:ascii="Book Antiqua" w:hAnsi="Book Antiqua"/>
          <w:sz w:val="24"/>
          <w:szCs w:val="24"/>
        </w:rPr>
        <w:t xml:space="preserve"> existence of </w:t>
      </w:r>
      <w:proofErr w:type="spellStart"/>
      <w:r w:rsidR="000A1626" w:rsidRPr="009F45BA">
        <w:rPr>
          <w:rFonts w:ascii="Book Antiqua" w:hAnsi="Book Antiqua"/>
          <w:sz w:val="24"/>
          <w:szCs w:val="24"/>
        </w:rPr>
        <w:t>connexin</w:t>
      </w:r>
      <w:r w:rsidR="006E4F80" w:rsidRPr="009F45BA">
        <w:rPr>
          <w:rFonts w:ascii="Book Antiqua" w:hAnsi="Book Antiqua"/>
          <w:sz w:val="24"/>
          <w:szCs w:val="24"/>
        </w:rPr>
        <w:t>s</w:t>
      </w:r>
      <w:proofErr w:type="spellEnd"/>
      <w:r w:rsidR="000A1626" w:rsidRPr="009F45BA">
        <w:rPr>
          <w:rFonts w:ascii="Book Antiqua" w:hAnsi="Book Antiqua"/>
          <w:sz w:val="24"/>
          <w:szCs w:val="24"/>
        </w:rPr>
        <w:t xml:space="preserve"> 26 and 43 in human esophageal tissue.</w:t>
      </w:r>
      <w:r w:rsidR="00E0561C" w:rsidRPr="009F45BA">
        <w:rPr>
          <w:rFonts w:ascii="Book Antiqua" w:hAnsi="Book Antiqua"/>
          <w:sz w:val="24"/>
          <w:szCs w:val="24"/>
        </w:rPr>
        <w:t xml:space="preserve"> </w:t>
      </w:r>
      <w:r w:rsidRPr="009F45BA">
        <w:rPr>
          <w:rFonts w:ascii="Book Antiqua" w:hAnsi="Book Antiqua"/>
          <w:sz w:val="24"/>
          <w:szCs w:val="24"/>
        </w:rPr>
        <w:t>S</w:t>
      </w:r>
      <w:r w:rsidR="00E0561C" w:rsidRPr="009F45BA">
        <w:rPr>
          <w:rFonts w:ascii="Book Antiqua" w:hAnsi="Book Antiqua"/>
          <w:sz w:val="24"/>
          <w:szCs w:val="24"/>
        </w:rPr>
        <w:t xml:space="preserve">everal </w:t>
      </w:r>
      <w:r w:rsidR="006E4F80" w:rsidRPr="009F45BA">
        <w:rPr>
          <w:rFonts w:ascii="Book Antiqua" w:hAnsi="Book Antiqua"/>
          <w:sz w:val="24"/>
          <w:szCs w:val="24"/>
        </w:rPr>
        <w:t>investigators</w:t>
      </w:r>
      <w:r w:rsidR="008F3B87" w:rsidRPr="009F45BA">
        <w:rPr>
          <w:rFonts w:ascii="Book Antiqua" w:hAnsi="Book Antiqua"/>
          <w:sz w:val="24"/>
          <w:szCs w:val="24"/>
        </w:rPr>
        <w:t xml:space="preserve"> </w:t>
      </w:r>
      <w:r w:rsidR="006E4F80" w:rsidRPr="009F45BA">
        <w:rPr>
          <w:rFonts w:ascii="Book Antiqua" w:hAnsi="Book Antiqua"/>
          <w:sz w:val="24"/>
          <w:szCs w:val="24"/>
        </w:rPr>
        <w:t xml:space="preserve">have </w:t>
      </w:r>
      <w:r w:rsidR="008F3B87" w:rsidRPr="009F45BA">
        <w:rPr>
          <w:rFonts w:ascii="Book Antiqua" w:hAnsi="Book Antiqua"/>
          <w:sz w:val="24"/>
          <w:szCs w:val="24"/>
        </w:rPr>
        <w:t>sugges</w:t>
      </w:r>
      <w:r w:rsidR="00037215" w:rsidRPr="009F45BA">
        <w:rPr>
          <w:rFonts w:ascii="Book Antiqua" w:hAnsi="Book Antiqua"/>
          <w:sz w:val="24"/>
          <w:szCs w:val="24"/>
        </w:rPr>
        <w:t xml:space="preserve">ted that </w:t>
      </w:r>
      <w:proofErr w:type="spellStart"/>
      <w:r w:rsidR="00037215" w:rsidRPr="009F45BA">
        <w:rPr>
          <w:rFonts w:ascii="Book Antiqua" w:hAnsi="Book Antiqua"/>
          <w:sz w:val="24"/>
          <w:szCs w:val="24"/>
        </w:rPr>
        <w:t>connexin</w:t>
      </w:r>
      <w:proofErr w:type="spellEnd"/>
      <w:r w:rsidR="00037215" w:rsidRPr="009F45BA">
        <w:rPr>
          <w:rFonts w:ascii="Book Antiqua" w:hAnsi="Book Antiqua"/>
          <w:sz w:val="24"/>
          <w:szCs w:val="24"/>
        </w:rPr>
        <w:t>-mediated inter</w:t>
      </w:r>
      <w:r w:rsidR="008F3B87" w:rsidRPr="009F45BA">
        <w:rPr>
          <w:rFonts w:ascii="Book Antiqua" w:hAnsi="Book Antiqua"/>
          <w:sz w:val="24"/>
          <w:szCs w:val="24"/>
        </w:rPr>
        <w:t>cellular communication could affect</w:t>
      </w:r>
      <w:r w:rsidR="00E0561C" w:rsidRPr="009F45BA">
        <w:rPr>
          <w:rFonts w:ascii="Book Antiqua" w:hAnsi="Book Antiqua"/>
          <w:sz w:val="24"/>
          <w:szCs w:val="24"/>
        </w:rPr>
        <w:t xml:space="preserve"> </w:t>
      </w:r>
      <w:r w:rsidR="008F3B87" w:rsidRPr="009F45BA">
        <w:rPr>
          <w:rFonts w:ascii="Book Antiqua" w:hAnsi="Book Antiqua"/>
          <w:sz w:val="24"/>
          <w:szCs w:val="24"/>
        </w:rPr>
        <w:t xml:space="preserve">the formation of functional </w:t>
      </w:r>
      <w:r w:rsidR="00E0561C" w:rsidRPr="009F45BA">
        <w:rPr>
          <w:rFonts w:ascii="Book Antiqua" w:hAnsi="Book Antiqua"/>
          <w:sz w:val="24"/>
          <w:szCs w:val="24"/>
        </w:rPr>
        <w:t xml:space="preserve">tight </w:t>
      </w:r>
      <w:proofErr w:type="gramStart"/>
      <w:r w:rsidR="00E0561C" w:rsidRPr="009F45BA">
        <w:rPr>
          <w:rFonts w:ascii="Book Antiqua" w:hAnsi="Book Antiqua"/>
          <w:sz w:val="24"/>
          <w:szCs w:val="24"/>
        </w:rPr>
        <w:t>junction</w:t>
      </w:r>
      <w:r w:rsidR="008F3B87" w:rsidRPr="009F45BA">
        <w:rPr>
          <w:rFonts w:ascii="Book Antiqua" w:hAnsi="Book Antiqua"/>
          <w:sz w:val="24"/>
          <w:szCs w:val="24"/>
        </w:rPr>
        <w:t>s</w:t>
      </w:r>
      <w:r w:rsidR="006E4F80" w:rsidRPr="009F45B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0669F" w:rsidRPr="009F45BA">
        <w:rPr>
          <w:rFonts w:ascii="Book Antiqua" w:hAnsi="Book Antiqua"/>
          <w:sz w:val="24"/>
          <w:szCs w:val="24"/>
          <w:vertAlign w:val="superscript"/>
        </w:rPr>
        <w:t>26-28</w:t>
      </w:r>
      <w:r w:rsidR="006E4F80" w:rsidRPr="009F45BA">
        <w:rPr>
          <w:rFonts w:ascii="Book Antiqua" w:hAnsi="Book Antiqua"/>
          <w:sz w:val="24"/>
          <w:szCs w:val="24"/>
          <w:vertAlign w:val="superscript"/>
        </w:rPr>
        <w:t>]</w:t>
      </w:r>
      <w:r w:rsidR="008F3B87" w:rsidRPr="009F45BA">
        <w:rPr>
          <w:rFonts w:ascii="Book Antiqua" w:hAnsi="Book Antiqua"/>
          <w:sz w:val="24"/>
          <w:szCs w:val="24"/>
        </w:rPr>
        <w:t xml:space="preserve">. </w:t>
      </w:r>
      <w:r w:rsidR="006E4F80" w:rsidRPr="009F45BA">
        <w:rPr>
          <w:rFonts w:ascii="Book Antiqua" w:hAnsi="Book Antiqua"/>
          <w:sz w:val="24"/>
          <w:szCs w:val="24"/>
        </w:rPr>
        <w:t>A</w:t>
      </w:r>
      <w:r w:rsidR="00746B3D" w:rsidRPr="009F45BA">
        <w:rPr>
          <w:rFonts w:ascii="Book Antiqua" w:hAnsi="Book Antiqua"/>
          <w:sz w:val="24"/>
          <w:szCs w:val="24"/>
        </w:rPr>
        <w:t xml:space="preserve"> </w:t>
      </w:r>
      <w:r w:rsidR="006E4F80" w:rsidRPr="009F45BA">
        <w:rPr>
          <w:rFonts w:ascii="Book Antiqua" w:hAnsi="Book Antiqua"/>
          <w:sz w:val="24"/>
          <w:szCs w:val="24"/>
        </w:rPr>
        <w:t xml:space="preserve">microscopic study </w:t>
      </w:r>
      <w:r w:rsidR="00A26332" w:rsidRPr="009F45BA">
        <w:rPr>
          <w:rFonts w:ascii="Book Antiqua" w:hAnsi="Book Antiqua"/>
          <w:sz w:val="24"/>
          <w:szCs w:val="24"/>
        </w:rPr>
        <w:t>found</w:t>
      </w:r>
      <w:r w:rsidR="00746B3D" w:rsidRPr="009F45BA">
        <w:rPr>
          <w:rFonts w:ascii="Book Antiqua" w:hAnsi="Book Antiqua"/>
          <w:sz w:val="24"/>
          <w:szCs w:val="24"/>
        </w:rPr>
        <w:t xml:space="preserve"> </w:t>
      </w:r>
      <w:r w:rsidR="006E4F80" w:rsidRPr="009F45BA">
        <w:rPr>
          <w:rFonts w:ascii="Book Antiqua" w:hAnsi="Book Antiqua"/>
          <w:sz w:val="24"/>
          <w:szCs w:val="24"/>
        </w:rPr>
        <w:t xml:space="preserve">that </w:t>
      </w:r>
      <w:r w:rsidR="00746B3D" w:rsidRPr="009F45BA">
        <w:rPr>
          <w:rFonts w:ascii="Book Antiqua" w:hAnsi="Book Antiqua"/>
          <w:sz w:val="24"/>
          <w:szCs w:val="24"/>
        </w:rPr>
        <w:t>e</w:t>
      </w:r>
      <w:r w:rsidR="008F3B87" w:rsidRPr="009F45BA">
        <w:rPr>
          <w:rFonts w:ascii="Book Antiqua" w:eastAsia="MS PMincho" w:hAnsi="Book Antiqua"/>
          <w:sz w:val="24"/>
          <w:szCs w:val="24"/>
        </w:rPr>
        <w:t xml:space="preserve">sophageal mucosal </w:t>
      </w:r>
      <w:r w:rsidR="00A621CA" w:rsidRPr="009F45BA">
        <w:rPr>
          <w:rFonts w:ascii="Book Antiqua" w:eastAsia="MS PMincho" w:hAnsi="Book Antiqua"/>
          <w:sz w:val="24"/>
          <w:szCs w:val="24"/>
        </w:rPr>
        <w:t xml:space="preserve">DIS </w:t>
      </w:r>
      <w:r w:rsidR="00342F5A" w:rsidRPr="009F45BA">
        <w:rPr>
          <w:rFonts w:ascii="Book Antiqua" w:eastAsia="MS PMincho" w:hAnsi="Book Antiqua"/>
          <w:sz w:val="24"/>
          <w:szCs w:val="24"/>
        </w:rPr>
        <w:t>are present in patients with NERD</w:t>
      </w:r>
      <w:r w:rsidR="00B87737" w:rsidRPr="009F45BA">
        <w:rPr>
          <w:rFonts w:ascii="Book Antiqua" w:eastAsia="MS PMincho" w:hAnsi="Book Antiqua"/>
          <w:sz w:val="24"/>
          <w:szCs w:val="24"/>
        </w:rPr>
        <w:t>, they</w:t>
      </w:r>
      <w:r w:rsidR="00342F5A" w:rsidRPr="009F45BA">
        <w:rPr>
          <w:rFonts w:ascii="Book Antiqua" w:eastAsia="MS PMincho" w:hAnsi="Book Antiqua"/>
          <w:sz w:val="24"/>
          <w:szCs w:val="24"/>
        </w:rPr>
        <w:t xml:space="preserve"> are produced </w:t>
      </w:r>
      <w:r w:rsidR="00B87737" w:rsidRPr="009F45BA">
        <w:rPr>
          <w:rFonts w:ascii="Book Antiqua" w:eastAsia="MS PMincho" w:hAnsi="Book Antiqua"/>
          <w:sz w:val="24"/>
          <w:szCs w:val="24"/>
        </w:rPr>
        <w:t>as a consequence of</w:t>
      </w:r>
      <w:r w:rsidR="00807A54">
        <w:rPr>
          <w:rFonts w:ascii="Book Antiqua" w:eastAsia="MS PMincho" w:hAnsi="Book Antiqua"/>
          <w:sz w:val="24"/>
          <w:szCs w:val="24"/>
        </w:rPr>
        <w:t xml:space="preserve"> </w:t>
      </w:r>
      <w:r w:rsidR="00342F5A" w:rsidRPr="009F45BA">
        <w:rPr>
          <w:rFonts w:ascii="Book Antiqua" w:eastAsia="MS PMincho" w:hAnsi="Book Antiqua"/>
          <w:sz w:val="24"/>
          <w:szCs w:val="24"/>
        </w:rPr>
        <w:t xml:space="preserve">exposure to </w:t>
      </w:r>
      <w:r w:rsidR="00A621CA" w:rsidRPr="009F45BA">
        <w:rPr>
          <w:rFonts w:ascii="Book Antiqua" w:eastAsia="MS PMincho" w:hAnsi="Book Antiqua"/>
          <w:sz w:val="24"/>
          <w:szCs w:val="24"/>
        </w:rPr>
        <w:t>excess acid</w:t>
      </w:r>
      <w:r w:rsidR="00342F5A" w:rsidRPr="009F45BA">
        <w:rPr>
          <w:rFonts w:ascii="Book Antiqua" w:eastAsia="MS PMincho" w:hAnsi="Book Antiqua"/>
          <w:sz w:val="24"/>
          <w:szCs w:val="24"/>
        </w:rPr>
        <w:t xml:space="preserve">, and that </w:t>
      </w:r>
      <w:r w:rsidR="00746B3D" w:rsidRPr="009F45BA">
        <w:rPr>
          <w:rFonts w:ascii="Book Antiqua" w:eastAsia="MS PMincho" w:hAnsi="Book Antiqua"/>
          <w:sz w:val="24"/>
          <w:szCs w:val="24"/>
        </w:rPr>
        <w:t xml:space="preserve">esophageal mucosal DIS </w:t>
      </w:r>
      <w:r w:rsidR="00342F5A" w:rsidRPr="009F45BA">
        <w:rPr>
          <w:rFonts w:ascii="Book Antiqua" w:eastAsia="MS PMincho" w:hAnsi="Book Antiqua"/>
          <w:sz w:val="24"/>
          <w:szCs w:val="24"/>
        </w:rPr>
        <w:t xml:space="preserve">are associated with </w:t>
      </w:r>
      <w:r w:rsidR="00531920" w:rsidRPr="009F45BA">
        <w:rPr>
          <w:rFonts w:ascii="Book Antiqua" w:eastAsia="MS PMincho" w:hAnsi="Book Antiqua"/>
          <w:sz w:val="24"/>
          <w:szCs w:val="24"/>
        </w:rPr>
        <w:t xml:space="preserve">the </w:t>
      </w:r>
      <w:r w:rsidR="00342F5A" w:rsidRPr="009F45BA">
        <w:rPr>
          <w:rFonts w:ascii="Book Antiqua" w:eastAsia="MS PMincho" w:hAnsi="Book Antiqua"/>
          <w:sz w:val="24"/>
          <w:szCs w:val="24"/>
        </w:rPr>
        <w:t>symptom of heartburn</w:t>
      </w:r>
      <w:r w:rsidR="00342F5A" w:rsidRPr="009F45BA">
        <w:rPr>
          <w:rFonts w:ascii="Book Antiqua" w:eastAsia="MS PMincho" w:hAnsi="Book Antiqua"/>
          <w:sz w:val="24"/>
          <w:szCs w:val="24"/>
          <w:vertAlign w:val="superscript"/>
        </w:rPr>
        <w:t>[</w:t>
      </w:r>
      <w:r w:rsidR="00531920" w:rsidRPr="009F45BA">
        <w:rPr>
          <w:rFonts w:ascii="Book Antiqua" w:eastAsia="MS PMincho" w:hAnsi="Book Antiqua"/>
          <w:sz w:val="24"/>
          <w:szCs w:val="24"/>
          <w:vertAlign w:val="superscript"/>
        </w:rPr>
        <w:t>6</w:t>
      </w:r>
      <w:r w:rsidR="00342F5A" w:rsidRPr="009F45BA">
        <w:rPr>
          <w:rFonts w:ascii="Book Antiqua" w:eastAsia="MS PMincho" w:hAnsi="Book Antiqua"/>
          <w:sz w:val="24"/>
          <w:szCs w:val="24"/>
          <w:vertAlign w:val="superscript"/>
        </w:rPr>
        <w:t>]</w:t>
      </w:r>
      <w:r w:rsidR="008F3B87" w:rsidRPr="009F45BA">
        <w:rPr>
          <w:rFonts w:ascii="Book Antiqua" w:eastAsia="MS PMincho" w:hAnsi="Book Antiqua"/>
          <w:sz w:val="24"/>
          <w:szCs w:val="24"/>
        </w:rPr>
        <w:t>.</w:t>
      </w:r>
      <w:r w:rsidR="00ED2795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B87737" w:rsidRPr="009F45BA">
        <w:rPr>
          <w:rFonts w:ascii="Book Antiqua" w:eastAsia="MS PMincho" w:hAnsi="Book Antiqua"/>
          <w:sz w:val="24"/>
          <w:szCs w:val="24"/>
        </w:rPr>
        <w:t>A m</w:t>
      </w:r>
      <w:r w:rsidR="0056150F" w:rsidRPr="009F45BA">
        <w:rPr>
          <w:rFonts w:ascii="Book Antiqua" w:eastAsia="MS PMincho" w:hAnsi="Book Antiqua"/>
          <w:sz w:val="24"/>
          <w:szCs w:val="24"/>
        </w:rPr>
        <w:t>ore recent study ha</w:t>
      </w:r>
      <w:r w:rsidR="00A26332" w:rsidRPr="009F45BA">
        <w:rPr>
          <w:rFonts w:ascii="Book Antiqua" w:eastAsia="MS PMincho" w:hAnsi="Book Antiqua"/>
          <w:sz w:val="24"/>
          <w:szCs w:val="24"/>
        </w:rPr>
        <w:t>s</w:t>
      </w:r>
      <w:r w:rsidR="0056150F" w:rsidRPr="009F45BA">
        <w:rPr>
          <w:rFonts w:ascii="Book Antiqua" w:eastAsia="MS PMincho" w:hAnsi="Book Antiqua"/>
          <w:sz w:val="24"/>
          <w:szCs w:val="24"/>
        </w:rPr>
        <w:t xml:space="preserve"> shown that hypersensitive esophagus</w:t>
      </w:r>
      <w:r w:rsidR="00671CE0" w:rsidRPr="009F45BA">
        <w:rPr>
          <w:rFonts w:ascii="Book Antiqua" w:eastAsia="MS PMincho" w:hAnsi="Book Antiqua"/>
          <w:sz w:val="24"/>
          <w:szCs w:val="24"/>
        </w:rPr>
        <w:t>,</w:t>
      </w:r>
      <w:r w:rsidR="0056150F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BD0F4E" w:rsidRPr="009F45BA">
        <w:rPr>
          <w:rFonts w:ascii="Book Antiqua" w:eastAsia="MS PMincho" w:hAnsi="Book Antiqua"/>
          <w:sz w:val="24"/>
          <w:szCs w:val="24"/>
        </w:rPr>
        <w:t xml:space="preserve">which is associated with </w:t>
      </w:r>
      <w:r w:rsidR="0056150F" w:rsidRPr="009F45BA">
        <w:rPr>
          <w:rFonts w:ascii="Book Antiqua" w:hAnsi="Book Antiqua"/>
          <w:sz w:val="24"/>
          <w:szCs w:val="24"/>
        </w:rPr>
        <w:t>normal</w:t>
      </w:r>
      <w:r w:rsidR="00BD0F4E" w:rsidRPr="009F45BA">
        <w:rPr>
          <w:rFonts w:ascii="Book Antiqua" w:hAnsi="Book Antiqua"/>
          <w:sz w:val="24"/>
          <w:szCs w:val="24"/>
        </w:rPr>
        <w:t xml:space="preserve"> acid exposure and </w:t>
      </w:r>
      <w:r w:rsidR="0056150F" w:rsidRPr="009F45BA">
        <w:rPr>
          <w:rFonts w:ascii="Book Antiqua" w:hAnsi="Book Antiqua"/>
          <w:sz w:val="24"/>
          <w:szCs w:val="24"/>
        </w:rPr>
        <w:t>positive symptom association</w:t>
      </w:r>
      <w:r w:rsidR="00BD0F4E" w:rsidRPr="009F45BA">
        <w:rPr>
          <w:rFonts w:ascii="Book Antiqua" w:hAnsi="Book Antiqua"/>
          <w:sz w:val="24"/>
          <w:szCs w:val="24"/>
        </w:rPr>
        <w:t>s</w:t>
      </w:r>
      <w:r w:rsidR="0056150F" w:rsidRPr="009F45BA">
        <w:rPr>
          <w:rFonts w:ascii="Book Antiqua" w:hAnsi="Book Antiqua"/>
          <w:sz w:val="24"/>
          <w:szCs w:val="24"/>
        </w:rPr>
        <w:t xml:space="preserve"> for either acid and/or non-acid reflux</w:t>
      </w:r>
      <w:r w:rsidR="00671CE0" w:rsidRPr="009F45BA">
        <w:rPr>
          <w:rFonts w:ascii="Book Antiqua" w:hAnsi="Book Antiqua"/>
          <w:sz w:val="24"/>
          <w:szCs w:val="24"/>
        </w:rPr>
        <w:t>,</w:t>
      </w:r>
      <w:r w:rsidR="0056150F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BD0F4E" w:rsidRPr="009F45BA">
        <w:rPr>
          <w:rFonts w:ascii="Book Antiqua" w:eastAsia="MS PMincho" w:hAnsi="Book Antiqua"/>
          <w:sz w:val="24"/>
          <w:szCs w:val="24"/>
        </w:rPr>
        <w:t>was related to</w:t>
      </w:r>
      <w:r w:rsidR="0056150F" w:rsidRPr="009F45BA">
        <w:rPr>
          <w:rFonts w:ascii="Book Antiqua" w:eastAsia="MS PMincho" w:hAnsi="Book Antiqua"/>
          <w:sz w:val="24"/>
          <w:szCs w:val="24"/>
        </w:rPr>
        <w:t xml:space="preserve"> DIS </w:t>
      </w:r>
      <w:r w:rsidR="00BD0F4E" w:rsidRPr="009F45BA">
        <w:rPr>
          <w:rFonts w:ascii="Book Antiqua" w:eastAsia="MS PMincho" w:hAnsi="Book Antiqua"/>
          <w:sz w:val="24"/>
          <w:szCs w:val="24"/>
        </w:rPr>
        <w:t>as well as</w:t>
      </w:r>
      <w:r w:rsidR="0056150F" w:rsidRPr="009F45BA">
        <w:rPr>
          <w:rFonts w:ascii="Book Antiqua" w:eastAsia="MS PMincho" w:hAnsi="Book Antiqua"/>
          <w:sz w:val="24"/>
          <w:szCs w:val="24"/>
        </w:rPr>
        <w:t xml:space="preserve"> basal cell hyperplasia and papillae </w:t>
      </w:r>
      <w:proofErr w:type="gramStart"/>
      <w:r w:rsidR="0056150F" w:rsidRPr="009F45BA">
        <w:rPr>
          <w:rFonts w:ascii="Book Antiqua" w:eastAsia="MS PMincho" w:hAnsi="Book Antiqua"/>
          <w:sz w:val="24"/>
          <w:szCs w:val="24"/>
        </w:rPr>
        <w:t>elongation</w:t>
      </w:r>
      <w:r w:rsidR="0040669F" w:rsidRPr="009F45BA">
        <w:rPr>
          <w:rFonts w:ascii="Book Antiqua" w:eastAsia="MS PMincho" w:hAnsi="Book Antiqua"/>
          <w:sz w:val="24"/>
          <w:szCs w:val="24"/>
          <w:vertAlign w:val="superscript"/>
        </w:rPr>
        <w:t>[</w:t>
      </w:r>
      <w:proofErr w:type="gramEnd"/>
      <w:r w:rsidR="0040669F" w:rsidRPr="009F45BA">
        <w:rPr>
          <w:rFonts w:ascii="Book Antiqua" w:eastAsia="MS PMincho" w:hAnsi="Book Antiqua"/>
          <w:sz w:val="24"/>
          <w:szCs w:val="24"/>
          <w:vertAlign w:val="superscript"/>
        </w:rPr>
        <w:t>29</w:t>
      </w:r>
      <w:r w:rsidR="0056150F" w:rsidRPr="009F45BA">
        <w:rPr>
          <w:rFonts w:ascii="Book Antiqua" w:eastAsia="MS PMincho" w:hAnsi="Book Antiqua"/>
          <w:sz w:val="24"/>
          <w:szCs w:val="24"/>
          <w:vertAlign w:val="superscript"/>
        </w:rPr>
        <w:t>]</w:t>
      </w:r>
      <w:r w:rsidR="0056150F" w:rsidRPr="009F45BA">
        <w:rPr>
          <w:rFonts w:ascii="Book Antiqua" w:eastAsia="MS PMincho" w:hAnsi="Book Antiqua"/>
          <w:sz w:val="24"/>
          <w:szCs w:val="24"/>
        </w:rPr>
        <w:t xml:space="preserve">. </w:t>
      </w:r>
      <w:r w:rsidR="00342F5A" w:rsidRPr="009F45BA">
        <w:rPr>
          <w:rFonts w:ascii="Book Antiqua" w:eastAsia="MS PMincho" w:hAnsi="Book Antiqua"/>
          <w:sz w:val="24"/>
          <w:szCs w:val="24"/>
        </w:rPr>
        <w:t>Taken together,</w:t>
      </w:r>
      <w:r w:rsidR="00607FAA" w:rsidRPr="009F45BA">
        <w:rPr>
          <w:rFonts w:ascii="Book Antiqua" w:eastAsia="MS PMincho" w:hAnsi="Book Antiqua"/>
          <w:sz w:val="24"/>
          <w:szCs w:val="24"/>
        </w:rPr>
        <w:t xml:space="preserve"> t</w:t>
      </w:r>
      <w:r w:rsidR="00ED2795" w:rsidRPr="009F45BA">
        <w:rPr>
          <w:rFonts w:ascii="Book Antiqua" w:eastAsia="MS PMincho" w:hAnsi="Book Antiqua"/>
          <w:sz w:val="24"/>
          <w:szCs w:val="24"/>
        </w:rPr>
        <w:t xml:space="preserve">hese data suggest that </w:t>
      </w:r>
      <w:r w:rsidR="00BD3EAC" w:rsidRPr="009F45BA">
        <w:rPr>
          <w:rFonts w:ascii="Book Antiqua" w:eastAsia="MS PMincho" w:hAnsi="Book Antiqua"/>
          <w:sz w:val="24"/>
          <w:szCs w:val="24"/>
        </w:rPr>
        <w:t xml:space="preserve">the facilitation of gap junctional intercellular communication by </w:t>
      </w:r>
      <w:r w:rsidRPr="009F45BA">
        <w:rPr>
          <w:rFonts w:ascii="Book Antiqua" w:eastAsia="MS PMincho" w:hAnsi="Book Antiqua"/>
          <w:sz w:val="24"/>
          <w:szCs w:val="24"/>
        </w:rPr>
        <w:t>IM</w:t>
      </w:r>
      <w:r w:rsidR="00BD3EAC" w:rsidRPr="009F45BA">
        <w:rPr>
          <w:rFonts w:ascii="Book Antiqua" w:eastAsia="MS PMincho" w:hAnsi="Book Antiqua"/>
          <w:sz w:val="24"/>
          <w:szCs w:val="24"/>
        </w:rPr>
        <w:t xml:space="preserve"> may </w:t>
      </w:r>
      <w:r w:rsidR="00342F5A" w:rsidRPr="009F45BA">
        <w:rPr>
          <w:rFonts w:ascii="Book Antiqua" w:eastAsia="MS PMincho" w:hAnsi="Book Antiqua"/>
          <w:sz w:val="24"/>
          <w:szCs w:val="24"/>
        </w:rPr>
        <w:t>relieve</w:t>
      </w:r>
      <w:r w:rsidR="00BD3EAC" w:rsidRPr="009F45BA">
        <w:rPr>
          <w:rFonts w:ascii="Book Antiqua" w:eastAsia="MS PMincho" w:hAnsi="Book Antiqua"/>
          <w:sz w:val="24"/>
          <w:szCs w:val="24"/>
        </w:rPr>
        <w:t xml:space="preserve"> NERD symptom</w:t>
      </w:r>
      <w:r w:rsidR="000E4A10" w:rsidRPr="009F45BA">
        <w:rPr>
          <w:rFonts w:ascii="Book Antiqua" w:eastAsia="MS PMincho" w:hAnsi="Book Antiqua"/>
          <w:sz w:val="24"/>
          <w:szCs w:val="24"/>
        </w:rPr>
        <w:t>s</w:t>
      </w:r>
      <w:r w:rsidR="00DA11BA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BD0F4E" w:rsidRPr="009F45BA">
        <w:rPr>
          <w:rFonts w:ascii="Book Antiqua" w:eastAsia="MS PMincho" w:hAnsi="Book Antiqua"/>
          <w:sz w:val="24"/>
          <w:szCs w:val="24"/>
        </w:rPr>
        <w:t>by</w:t>
      </w:r>
      <w:r w:rsidR="00342F5A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BD0F4E" w:rsidRPr="009F45BA">
        <w:rPr>
          <w:rFonts w:ascii="Book Antiqua" w:eastAsia="MS PMincho" w:hAnsi="Book Antiqua"/>
          <w:sz w:val="24"/>
          <w:szCs w:val="24"/>
        </w:rPr>
        <w:t>ameliorati</w:t>
      </w:r>
      <w:r w:rsidR="00DA11BA" w:rsidRPr="009F45BA">
        <w:rPr>
          <w:rFonts w:ascii="Book Antiqua" w:eastAsia="MS PMincho" w:hAnsi="Book Antiqua"/>
          <w:sz w:val="24"/>
          <w:szCs w:val="24"/>
        </w:rPr>
        <w:t>n</w:t>
      </w:r>
      <w:r w:rsidR="00BD0F4E" w:rsidRPr="009F45BA">
        <w:rPr>
          <w:rFonts w:ascii="Book Antiqua" w:eastAsia="MS PMincho" w:hAnsi="Book Antiqua"/>
          <w:sz w:val="24"/>
          <w:szCs w:val="24"/>
        </w:rPr>
        <w:t>g</w:t>
      </w:r>
      <w:r w:rsidR="00DA11BA" w:rsidRPr="009F45BA">
        <w:rPr>
          <w:rFonts w:ascii="Book Antiqua" w:eastAsia="MS PMincho" w:hAnsi="Book Antiqua"/>
          <w:sz w:val="24"/>
          <w:szCs w:val="24"/>
        </w:rPr>
        <w:t xml:space="preserve"> esophageal </w:t>
      </w:r>
      <w:r w:rsidR="00342F5A" w:rsidRPr="009F45BA">
        <w:rPr>
          <w:rFonts w:ascii="Book Antiqua" w:eastAsia="MS PMincho" w:hAnsi="Book Antiqua"/>
          <w:sz w:val="24"/>
          <w:szCs w:val="24"/>
        </w:rPr>
        <w:t>mucosal hypersensitivity to</w:t>
      </w:r>
      <w:r w:rsidR="00DA11BA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9A554A" w:rsidRPr="009F45BA">
        <w:rPr>
          <w:rFonts w:ascii="Book Antiqua" w:eastAsia="MS PMincho" w:hAnsi="Book Antiqua"/>
          <w:sz w:val="24"/>
          <w:szCs w:val="24"/>
        </w:rPr>
        <w:t>non-acid</w:t>
      </w:r>
      <w:r w:rsidR="00DA11BA" w:rsidRPr="009F45BA">
        <w:rPr>
          <w:rFonts w:ascii="Book Antiqua" w:eastAsia="MS PMincho" w:hAnsi="Book Antiqua"/>
          <w:sz w:val="24"/>
          <w:szCs w:val="24"/>
        </w:rPr>
        <w:t xml:space="preserve"> </w:t>
      </w:r>
      <w:proofErr w:type="gramStart"/>
      <w:r w:rsidR="00DA11BA" w:rsidRPr="009F45BA">
        <w:rPr>
          <w:rFonts w:ascii="Book Antiqua" w:eastAsia="MS PMincho" w:hAnsi="Book Antiqua"/>
          <w:sz w:val="24"/>
          <w:szCs w:val="24"/>
        </w:rPr>
        <w:t>reflux</w:t>
      </w:r>
      <w:r w:rsidR="00BD0F4E" w:rsidRPr="009F45BA">
        <w:rPr>
          <w:rFonts w:ascii="Book Antiqua" w:eastAsia="MS PMincho" w:hAnsi="Book Antiqua"/>
          <w:sz w:val="24"/>
          <w:szCs w:val="24"/>
          <w:vertAlign w:val="superscript"/>
        </w:rPr>
        <w:t>[</w:t>
      </w:r>
      <w:proofErr w:type="gramEnd"/>
      <w:r w:rsidR="00BD0F4E" w:rsidRPr="009F45BA">
        <w:rPr>
          <w:rFonts w:ascii="Book Antiqua" w:eastAsia="MS PMincho" w:hAnsi="Book Antiqua"/>
          <w:sz w:val="24"/>
          <w:szCs w:val="24"/>
          <w:vertAlign w:val="superscript"/>
        </w:rPr>
        <w:t>7,29,</w:t>
      </w:r>
      <w:r w:rsidR="0040669F" w:rsidRPr="009F45BA">
        <w:rPr>
          <w:rFonts w:ascii="Book Antiqua" w:eastAsia="MS PMincho" w:hAnsi="Book Antiqua"/>
          <w:sz w:val="24"/>
          <w:szCs w:val="24"/>
          <w:vertAlign w:val="superscript"/>
        </w:rPr>
        <w:t>30</w:t>
      </w:r>
      <w:r w:rsidR="007608E1" w:rsidRPr="009F45BA">
        <w:rPr>
          <w:rFonts w:ascii="Book Antiqua" w:eastAsia="MS PMincho" w:hAnsi="Book Antiqua"/>
          <w:sz w:val="24"/>
          <w:szCs w:val="24"/>
          <w:vertAlign w:val="superscript"/>
        </w:rPr>
        <w:t>]</w:t>
      </w:r>
      <w:r w:rsidR="00D760B0" w:rsidRPr="009F45BA">
        <w:rPr>
          <w:rFonts w:ascii="Book Antiqua" w:eastAsia="MS PMincho" w:hAnsi="Book Antiqua"/>
          <w:sz w:val="24"/>
          <w:szCs w:val="24"/>
        </w:rPr>
        <w:t xml:space="preserve">. We could easily speculate </w:t>
      </w:r>
      <w:r w:rsidR="00BD0F4E" w:rsidRPr="009F45BA">
        <w:rPr>
          <w:rFonts w:ascii="Book Antiqua" w:eastAsia="MS PMincho" w:hAnsi="Book Antiqua"/>
          <w:sz w:val="24"/>
          <w:szCs w:val="24"/>
        </w:rPr>
        <w:t xml:space="preserve">based on the current study’s results </w:t>
      </w:r>
      <w:r w:rsidR="00D760B0" w:rsidRPr="009F45BA">
        <w:rPr>
          <w:rFonts w:ascii="Book Antiqua" w:eastAsia="MS PMincho" w:hAnsi="Book Antiqua"/>
          <w:sz w:val="24"/>
          <w:szCs w:val="24"/>
        </w:rPr>
        <w:t>that NERD grade N include</w:t>
      </w:r>
      <w:r w:rsidR="00BD0F4E" w:rsidRPr="009F45BA">
        <w:rPr>
          <w:rFonts w:ascii="Book Antiqua" w:eastAsia="MS PMincho" w:hAnsi="Book Antiqua"/>
          <w:sz w:val="24"/>
          <w:szCs w:val="24"/>
        </w:rPr>
        <w:t>s</w:t>
      </w:r>
      <w:r w:rsidR="00D760B0" w:rsidRPr="009F45BA">
        <w:rPr>
          <w:rFonts w:ascii="Book Antiqua" w:eastAsia="MS PMincho" w:hAnsi="Book Antiqua"/>
          <w:sz w:val="24"/>
          <w:szCs w:val="24"/>
        </w:rPr>
        <w:t xml:space="preserve"> more patients with </w:t>
      </w:r>
      <w:r w:rsidR="00BD0F4E" w:rsidRPr="009F45BA">
        <w:rPr>
          <w:rFonts w:ascii="Book Antiqua" w:eastAsia="MS PMincho" w:hAnsi="Book Antiqua"/>
          <w:sz w:val="24"/>
          <w:szCs w:val="24"/>
        </w:rPr>
        <w:t>hypersensitive esophagi</w:t>
      </w:r>
      <w:r w:rsidR="000E4A10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D760B0" w:rsidRPr="009F45BA">
        <w:rPr>
          <w:rFonts w:ascii="Book Antiqua" w:eastAsia="MS PMincho" w:hAnsi="Book Antiqua"/>
          <w:sz w:val="24"/>
          <w:szCs w:val="24"/>
        </w:rPr>
        <w:t>than NERD grade M. F</w:t>
      </w:r>
      <w:r w:rsidR="000E4A10" w:rsidRPr="009F45BA">
        <w:rPr>
          <w:rFonts w:ascii="Book Antiqua" w:eastAsia="MS PMincho" w:hAnsi="Book Antiqua"/>
          <w:sz w:val="24"/>
          <w:szCs w:val="24"/>
        </w:rPr>
        <w:t>urther investigation</w:t>
      </w:r>
      <w:r w:rsidRPr="009F45BA">
        <w:rPr>
          <w:rFonts w:ascii="Book Antiqua" w:eastAsia="MS PMincho" w:hAnsi="Book Antiqua"/>
          <w:sz w:val="24"/>
          <w:szCs w:val="24"/>
        </w:rPr>
        <w:t>s</w:t>
      </w:r>
      <w:r w:rsidR="000E4A10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342F5A" w:rsidRPr="009F45BA">
        <w:rPr>
          <w:rFonts w:ascii="Book Antiqua" w:eastAsia="MS PMincho" w:hAnsi="Book Antiqua"/>
          <w:sz w:val="24"/>
          <w:szCs w:val="24"/>
        </w:rPr>
        <w:t>are required to elucidate</w:t>
      </w:r>
      <w:r w:rsidR="00BC4138" w:rsidRPr="009F45BA">
        <w:rPr>
          <w:rFonts w:ascii="Book Antiqua" w:eastAsia="MS PMincho" w:hAnsi="Book Antiqua"/>
          <w:sz w:val="24"/>
          <w:szCs w:val="24"/>
        </w:rPr>
        <w:t xml:space="preserve"> the </w:t>
      </w:r>
      <w:r w:rsidR="00E77DBA" w:rsidRPr="009F45BA">
        <w:rPr>
          <w:rFonts w:ascii="Book Antiqua" w:eastAsia="MS PMincho" w:hAnsi="Book Antiqua"/>
          <w:sz w:val="24"/>
          <w:szCs w:val="24"/>
        </w:rPr>
        <w:t xml:space="preserve">precise therapeutic </w:t>
      </w:r>
      <w:r w:rsidR="00BC4138" w:rsidRPr="009F45BA">
        <w:rPr>
          <w:rFonts w:ascii="Book Antiqua" w:eastAsia="MS PMincho" w:hAnsi="Book Antiqua"/>
          <w:sz w:val="24"/>
          <w:szCs w:val="24"/>
        </w:rPr>
        <w:t>mechanism</w:t>
      </w:r>
      <w:r w:rsidR="00342F5A" w:rsidRPr="009F45BA">
        <w:rPr>
          <w:rFonts w:ascii="Book Antiqua" w:eastAsia="MS PMincho" w:hAnsi="Book Antiqua"/>
          <w:sz w:val="24"/>
          <w:szCs w:val="24"/>
        </w:rPr>
        <w:t>s</w:t>
      </w:r>
      <w:r w:rsidR="00ED2795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BC4138" w:rsidRPr="009F45BA">
        <w:rPr>
          <w:rFonts w:ascii="Book Antiqua" w:eastAsia="MS PMincho" w:hAnsi="Book Antiqua"/>
          <w:sz w:val="24"/>
          <w:szCs w:val="24"/>
        </w:rPr>
        <w:t xml:space="preserve">of </w:t>
      </w:r>
      <w:r w:rsidRPr="009F45BA">
        <w:rPr>
          <w:rFonts w:ascii="Book Antiqua" w:eastAsia="MS PMincho" w:hAnsi="Book Antiqua"/>
          <w:sz w:val="24"/>
          <w:szCs w:val="24"/>
        </w:rPr>
        <w:t>IM</w:t>
      </w:r>
      <w:r w:rsidR="00BC4138" w:rsidRPr="009F45BA">
        <w:rPr>
          <w:rFonts w:ascii="Book Antiqua" w:eastAsia="MS PMincho" w:hAnsi="Book Antiqua"/>
          <w:sz w:val="24"/>
          <w:szCs w:val="24"/>
        </w:rPr>
        <w:t>.</w:t>
      </w:r>
    </w:p>
    <w:p w:rsidR="002E1C76" w:rsidRPr="009F45BA" w:rsidRDefault="00342F5A" w:rsidP="007A1778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  <w:szCs w:val="24"/>
        </w:rPr>
      </w:pPr>
      <w:r w:rsidRPr="009F45BA">
        <w:rPr>
          <w:rFonts w:ascii="Book Antiqua" w:hAnsi="Book Antiqua"/>
          <w:sz w:val="24"/>
          <w:szCs w:val="24"/>
        </w:rPr>
        <w:t>P</w:t>
      </w:r>
      <w:r w:rsidR="002E1C76" w:rsidRPr="009F45BA">
        <w:rPr>
          <w:rFonts w:ascii="Book Antiqua" w:hAnsi="Book Antiqua"/>
          <w:sz w:val="24"/>
          <w:szCs w:val="24"/>
        </w:rPr>
        <w:t xml:space="preserve">atients with GERD symptoms </w:t>
      </w:r>
      <w:r w:rsidRPr="009F45BA">
        <w:rPr>
          <w:rFonts w:ascii="Book Antiqua" w:hAnsi="Book Antiqua"/>
          <w:sz w:val="24"/>
          <w:szCs w:val="24"/>
        </w:rPr>
        <w:t xml:space="preserve">tend to </w:t>
      </w:r>
      <w:r w:rsidR="00BD0F4E" w:rsidRPr="009F45BA">
        <w:rPr>
          <w:rFonts w:ascii="Book Antiqua" w:hAnsi="Book Antiqua"/>
          <w:sz w:val="24"/>
          <w:szCs w:val="24"/>
        </w:rPr>
        <w:t>have a lower QOL</w:t>
      </w:r>
      <w:r w:rsidR="002E1C76" w:rsidRPr="009F45BA">
        <w:rPr>
          <w:rFonts w:ascii="Book Antiqua" w:hAnsi="Book Antiqua"/>
          <w:sz w:val="24"/>
          <w:szCs w:val="24"/>
        </w:rPr>
        <w:t xml:space="preserve"> compared</w:t>
      </w:r>
      <w:r w:rsidR="00531920" w:rsidRPr="009F45BA">
        <w:rPr>
          <w:rFonts w:ascii="Book Antiqua" w:hAnsi="Book Antiqua"/>
          <w:sz w:val="24"/>
          <w:szCs w:val="24"/>
        </w:rPr>
        <w:t xml:space="preserve"> with </w:t>
      </w:r>
      <w:r w:rsidRPr="009F45BA">
        <w:rPr>
          <w:rFonts w:ascii="Book Antiqua" w:hAnsi="Book Antiqua"/>
          <w:sz w:val="24"/>
          <w:szCs w:val="24"/>
        </w:rPr>
        <w:t xml:space="preserve">the general </w:t>
      </w:r>
      <w:proofErr w:type="gramStart"/>
      <w:r w:rsidRPr="009F45BA">
        <w:rPr>
          <w:rFonts w:ascii="Book Antiqua" w:hAnsi="Book Antiqua"/>
          <w:sz w:val="24"/>
          <w:szCs w:val="24"/>
        </w:rPr>
        <w:t>population</w:t>
      </w:r>
      <w:r w:rsidRPr="009F45B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0669F" w:rsidRPr="009F45BA">
        <w:rPr>
          <w:rFonts w:ascii="Book Antiqua" w:hAnsi="Book Antiqua"/>
          <w:sz w:val="24"/>
          <w:szCs w:val="24"/>
          <w:vertAlign w:val="superscript"/>
        </w:rPr>
        <w:t>31</w:t>
      </w:r>
      <w:r w:rsidRPr="009F45BA">
        <w:rPr>
          <w:rFonts w:ascii="Book Antiqua" w:hAnsi="Book Antiqua"/>
          <w:sz w:val="24"/>
          <w:szCs w:val="24"/>
          <w:vertAlign w:val="superscript"/>
        </w:rPr>
        <w:t>]</w:t>
      </w:r>
      <w:r w:rsidR="002E1C76" w:rsidRPr="009F45BA">
        <w:rPr>
          <w:rFonts w:ascii="Book Antiqua" w:hAnsi="Book Antiqua"/>
          <w:sz w:val="24"/>
          <w:szCs w:val="24"/>
        </w:rPr>
        <w:t xml:space="preserve">. </w:t>
      </w:r>
      <w:r w:rsidR="00607FAA" w:rsidRPr="009F45BA">
        <w:rPr>
          <w:rFonts w:ascii="Book Antiqua" w:hAnsi="Book Antiqua"/>
          <w:sz w:val="24"/>
          <w:szCs w:val="24"/>
        </w:rPr>
        <w:t xml:space="preserve">Recently, </w:t>
      </w:r>
      <w:r w:rsidRPr="009F45BA">
        <w:rPr>
          <w:rFonts w:ascii="Book Antiqua" w:hAnsi="Book Antiqua"/>
          <w:sz w:val="24"/>
          <w:szCs w:val="24"/>
        </w:rPr>
        <w:t xml:space="preserve">the </w:t>
      </w:r>
      <w:r w:rsidR="00607FAA" w:rsidRPr="009F45BA">
        <w:rPr>
          <w:rFonts w:ascii="Book Antiqua" w:hAnsi="Book Antiqua"/>
          <w:sz w:val="24"/>
          <w:szCs w:val="24"/>
        </w:rPr>
        <w:t>SF</w:t>
      </w:r>
      <w:r w:rsidRPr="009F45BA">
        <w:rPr>
          <w:rFonts w:ascii="Book Antiqua" w:hAnsi="Book Antiqua"/>
          <w:sz w:val="24"/>
          <w:szCs w:val="24"/>
        </w:rPr>
        <w:t>-</w:t>
      </w:r>
      <w:r w:rsidR="00607FAA" w:rsidRPr="009F45BA">
        <w:rPr>
          <w:rFonts w:ascii="Book Antiqua" w:hAnsi="Book Antiqua"/>
          <w:sz w:val="24"/>
          <w:szCs w:val="24"/>
        </w:rPr>
        <w:t xml:space="preserve">36 </w:t>
      </w:r>
      <w:r w:rsidRPr="009F45BA">
        <w:rPr>
          <w:rFonts w:ascii="Book Antiqua" w:hAnsi="Book Antiqua"/>
          <w:sz w:val="24"/>
          <w:szCs w:val="24"/>
        </w:rPr>
        <w:t xml:space="preserve">questionnaire </w:t>
      </w:r>
      <w:r w:rsidR="00607FAA" w:rsidRPr="009F45BA">
        <w:rPr>
          <w:rFonts w:ascii="Book Antiqua" w:hAnsi="Book Antiqua"/>
          <w:sz w:val="24"/>
          <w:szCs w:val="24"/>
        </w:rPr>
        <w:t xml:space="preserve">has </w:t>
      </w:r>
      <w:r w:rsidR="00FA63A8" w:rsidRPr="009F45BA">
        <w:rPr>
          <w:rFonts w:ascii="Book Antiqua" w:hAnsi="Book Antiqua"/>
          <w:sz w:val="24"/>
          <w:szCs w:val="24"/>
        </w:rPr>
        <w:t xml:space="preserve">been </w:t>
      </w:r>
      <w:r w:rsidRPr="009F45BA">
        <w:rPr>
          <w:rFonts w:ascii="Book Antiqua" w:hAnsi="Book Antiqua"/>
          <w:sz w:val="24"/>
          <w:szCs w:val="24"/>
        </w:rPr>
        <w:t xml:space="preserve">used to screen for </w:t>
      </w:r>
      <w:r w:rsidR="00607FAA" w:rsidRPr="009F45BA">
        <w:rPr>
          <w:rFonts w:ascii="Book Antiqua" w:hAnsi="Book Antiqua"/>
          <w:sz w:val="24"/>
          <w:szCs w:val="24"/>
        </w:rPr>
        <w:t xml:space="preserve">GERD and </w:t>
      </w:r>
      <w:r w:rsidRPr="009F45BA">
        <w:rPr>
          <w:rFonts w:ascii="Book Antiqua" w:hAnsi="Book Antiqua"/>
          <w:sz w:val="24"/>
          <w:szCs w:val="24"/>
        </w:rPr>
        <w:t>to assess</w:t>
      </w:r>
      <w:r w:rsidR="00607FAA" w:rsidRPr="009F45BA">
        <w:rPr>
          <w:rFonts w:ascii="Book Antiqua" w:hAnsi="Book Antiqua"/>
          <w:sz w:val="24"/>
          <w:szCs w:val="24"/>
        </w:rPr>
        <w:t xml:space="preserve"> </w:t>
      </w:r>
      <w:r w:rsidRPr="009F45BA">
        <w:rPr>
          <w:rFonts w:ascii="Book Antiqua" w:hAnsi="Book Antiqua"/>
          <w:sz w:val="24"/>
          <w:szCs w:val="24"/>
        </w:rPr>
        <w:t>QOL before</w:t>
      </w:r>
      <w:r w:rsidR="00030A76" w:rsidRPr="009F45BA">
        <w:rPr>
          <w:rFonts w:ascii="Book Antiqua" w:hAnsi="Book Antiqua"/>
          <w:sz w:val="24"/>
          <w:szCs w:val="24"/>
        </w:rPr>
        <w:t xml:space="preserve"> and after</w:t>
      </w:r>
      <w:r w:rsidR="00607FAA" w:rsidRPr="009F45BA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607FAA" w:rsidRPr="009F45BA">
        <w:rPr>
          <w:rFonts w:ascii="Book Antiqua" w:hAnsi="Book Antiqua"/>
          <w:sz w:val="24"/>
          <w:szCs w:val="24"/>
        </w:rPr>
        <w:t>treatment</w:t>
      </w:r>
      <w:r w:rsidR="00030A76" w:rsidRPr="009F45BA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40669F" w:rsidRPr="009F45BA">
        <w:rPr>
          <w:rFonts w:ascii="Book Antiqua" w:hAnsi="Book Antiqua"/>
          <w:sz w:val="24"/>
          <w:szCs w:val="24"/>
          <w:vertAlign w:val="superscript"/>
        </w:rPr>
        <w:t>32</w:t>
      </w:r>
      <w:r w:rsidR="00030A76" w:rsidRPr="009F45BA">
        <w:rPr>
          <w:rFonts w:ascii="Book Antiqua" w:hAnsi="Book Antiqua"/>
          <w:sz w:val="24"/>
          <w:szCs w:val="24"/>
          <w:vertAlign w:val="superscript"/>
        </w:rPr>
        <w:t>]</w:t>
      </w:r>
      <w:r w:rsidR="00607FAA" w:rsidRPr="009F45BA">
        <w:rPr>
          <w:rFonts w:ascii="Book Antiqua" w:hAnsi="Book Antiqua"/>
          <w:sz w:val="24"/>
          <w:szCs w:val="24"/>
        </w:rPr>
        <w:t xml:space="preserve">. </w:t>
      </w:r>
      <w:r w:rsidR="00FA63A8" w:rsidRPr="009F45BA">
        <w:rPr>
          <w:rFonts w:ascii="Book Antiqua" w:hAnsi="Book Antiqua"/>
          <w:sz w:val="24"/>
          <w:szCs w:val="24"/>
        </w:rPr>
        <w:t xml:space="preserve">In the present study, </w:t>
      </w:r>
      <w:r w:rsidR="00030A76" w:rsidRPr="009F45BA">
        <w:rPr>
          <w:rFonts w:ascii="Book Antiqua" w:hAnsi="Book Antiqua"/>
          <w:sz w:val="24"/>
          <w:szCs w:val="24"/>
        </w:rPr>
        <w:t xml:space="preserve">the patients who received </w:t>
      </w:r>
      <w:r w:rsidR="002E1C76" w:rsidRPr="009F45BA">
        <w:rPr>
          <w:rFonts w:ascii="Book Antiqua" w:hAnsi="Book Antiqua"/>
          <w:sz w:val="24"/>
          <w:szCs w:val="24"/>
        </w:rPr>
        <w:t>combinat</w:t>
      </w:r>
      <w:r w:rsidR="00030A76" w:rsidRPr="009F45BA">
        <w:rPr>
          <w:rFonts w:ascii="Book Antiqua" w:hAnsi="Book Antiqua"/>
          <w:sz w:val="24"/>
          <w:szCs w:val="24"/>
        </w:rPr>
        <w:t>ion therapy showed significant</w:t>
      </w:r>
      <w:r w:rsidR="002E1C76" w:rsidRPr="009F45BA">
        <w:rPr>
          <w:rFonts w:ascii="Book Antiqua" w:hAnsi="Book Antiqua"/>
          <w:sz w:val="24"/>
          <w:szCs w:val="24"/>
        </w:rPr>
        <w:t xml:space="preserve"> improvement</w:t>
      </w:r>
      <w:r w:rsidR="00030A76" w:rsidRPr="009F45BA">
        <w:rPr>
          <w:rFonts w:ascii="Book Antiqua" w:hAnsi="Book Antiqua"/>
          <w:sz w:val="24"/>
          <w:szCs w:val="24"/>
        </w:rPr>
        <w:t>s in three</w:t>
      </w:r>
      <w:r w:rsidR="002E1C76" w:rsidRPr="009F45BA">
        <w:rPr>
          <w:rFonts w:ascii="Book Antiqua" w:hAnsi="Book Antiqua"/>
          <w:sz w:val="24"/>
          <w:szCs w:val="24"/>
        </w:rPr>
        <w:t xml:space="preserve"> subscale scores</w:t>
      </w:r>
      <w:r w:rsidR="00BD0F4E" w:rsidRPr="009F45BA">
        <w:rPr>
          <w:rFonts w:ascii="Book Antiqua" w:hAnsi="Book Antiqua"/>
          <w:sz w:val="24"/>
          <w:szCs w:val="24"/>
        </w:rPr>
        <w:t xml:space="preserve">, namely, </w:t>
      </w:r>
      <w:r w:rsidR="002E1C76" w:rsidRPr="009F45BA">
        <w:rPr>
          <w:rFonts w:ascii="Book Antiqua" w:eastAsia="MS PMincho" w:hAnsi="Book Antiqua"/>
          <w:sz w:val="24"/>
          <w:szCs w:val="24"/>
        </w:rPr>
        <w:t xml:space="preserve">general </w:t>
      </w:r>
      <w:r w:rsidR="002E1C76" w:rsidRPr="009F45BA">
        <w:rPr>
          <w:rFonts w:ascii="Book Antiqua" w:hAnsi="Book Antiqua"/>
          <w:sz w:val="24"/>
          <w:szCs w:val="24"/>
        </w:rPr>
        <w:t>health, vitality</w:t>
      </w:r>
      <w:r w:rsidR="00030A76" w:rsidRPr="009F45BA">
        <w:rPr>
          <w:rFonts w:ascii="Book Antiqua" w:hAnsi="Book Antiqua"/>
          <w:sz w:val="24"/>
          <w:szCs w:val="24"/>
        </w:rPr>
        <w:t>, and mental health,</w:t>
      </w:r>
      <w:r w:rsidR="002E1C76" w:rsidRPr="009F45BA">
        <w:rPr>
          <w:rFonts w:ascii="Book Antiqua" w:hAnsi="Book Antiqua"/>
          <w:sz w:val="24"/>
          <w:szCs w:val="24"/>
        </w:rPr>
        <w:t xml:space="preserve"> whereas </w:t>
      </w:r>
      <w:r w:rsidR="00030A76" w:rsidRPr="009F45BA">
        <w:rPr>
          <w:rFonts w:ascii="Book Antiqua" w:hAnsi="Book Antiqua"/>
          <w:sz w:val="24"/>
          <w:szCs w:val="24"/>
        </w:rPr>
        <w:t xml:space="preserve">patients who received </w:t>
      </w:r>
      <w:r w:rsidR="002E1C76" w:rsidRPr="009F45BA">
        <w:rPr>
          <w:rFonts w:ascii="Book Antiqua" w:hAnsi="Book Antiqua"/>
          <w:sz w:val="24"/>
          <w:szCs w:val="24"/>
        </w:rPr>
        <w:t xml:space="preserve">mono-therapy </w:t>
      </w:r>
      <w:r w:rsidR="00030A76" w:rsidRPr="009F45BA">
        <w:rPr>
          <w:rFonts w:ascii="Book Antiqua" w:hAnsi="Book Antiqua"/>
          <w:sz w:val="24"/>
          <w:szCs w:val="24"/>
        </w:rPr>
        <w:t>only showed improvements</w:t>
      </w:r>
      <w:r w:rsidR="002E1C76" w:rsidRPr="009F45BA">
        <w:rPr>
          <w:rFonts w:ascii="Book Antiqua" w:hAnsi="Book Antiqua"/>
          <w:sz w:val="24"/>
          <w:szCs w:val="24"/>
        </w:rPr>
        <w:t xml:space="preserve"> </w:t>
      </w:r>
      <w:r w:rsidR="00030A76" w:rsidRPr="009F45BA">
        <w:rPr>
          <w:rFonts w:ascii="Book Antiqua" w:hAnsi="Book Antiqua"/>
          <w:sz w:val="24"/>
          <w:szCs w:val="24"/>
        </w:rPr>
        <w:t>in two</w:t>
      </w:r>
      <w:r w:rsidR="002E1C76" w:rsidRPr="009F45BA">
        <w:rPr>
          <w:rFonts w:ascii="Book Antiqua" w:hAnsi="Book Antiqua"/>
          <w:sz w:val="24"/>
          <w:szCs w:val="24"/>
        </w:rPr>
        <w:t xml:space="preserve"> subscale scores. Subgroup analysis sh</w:t>
      </w:r>
      <w:r w:rsidR="00030A76" w:rsidRPr="009F45BA">
        <w:rPr>
          <w:rFonts w:ascii="Book Antiqua" w:hAnsi="Book Antiqua"/>
          <w:sz w:val="24"/>
          <w:szCs w:val="24"/>
        </w:rPr>
        <w:t xml:space="preserve">owed significant </w:t>
      </w:r>
      <w:r w:rsidR="00030A76" w:rsidRPr="009F45BA">
        <w:rPr>
          <w:rFonts w:ascii="Book Antiqua" w:hAnsi="Book Antiqua"/>
          <w:sz w:val="24"/>
          <w:szCs w:val="24"/>
        </w:rPr>
        <w:lastRenderedPageBreak/>
        <w:t>improvements</w:t>
      </w:r>
      <w:r w:rsidR="00607FAA" w:rsidRPr="009F45BA">
        <w:rPr>
          <w:rFonts w:ascii="Book Antiqua" w:hAnsi="Book Antiqua"/>
          <w:sz w:val="24"/>
          <w:szCs w:val="24"/>
        </w:rPr>
        <w:t xml:space="preserve"> </w:t>
      </w:r>
      <w:r w:rsidR="002E1C76" w:rsidRPr="009F45BA">
        <w:rPr>
          <w:rFonts w:ascii="Book Antiqua" w:hAnsi="Book Antiqua"/>
          <w:sz w:val="24"/>
          <w:szCs w:val="24"/>
        </w:rPr>
        <w:t xml:space="preserve">in </w:t>
      </w:r>
      <w:r w:rsidR="00030A76" w:rsidRPr="009F45BA">
        <w:rPr>
          <w:rFonts w:ascii="Book Antiqua" w:hAnsi="Book Antiqua"/>
          <w:sz w:val="24"/>
          <w:szCs w:val="24"/>
        </w:rPr>
        <w:t xml:space="preserve">the </w:t>
      </w:r>
      <w:r w:rsidR="002E1C76" w:rsidRPr="009F45BA">
        <w:rPr>
          <w:rFonts w:ascii="Book Antiqua" w:hAnsi="Book Antiqua"/>
          <w:sz w:val="24"/>
          <w:szCs w:val="24"/>
        </w:rPr>
        <w:t>vitality and mental health scores</w:t>
      </w:r>
      <w:r w:rsidR="00030A76" w:rsidRPr="009F45BA">
        <w:rPr>
          <w:rFonts w:ascii="Book Antiqua" w:hAnsi="Book Antiqua"/>
          <w:sz w:val="24"/>
          <w:szCs w:val="24"/>
        </w:rPr>
        <w:t xml:space="preserve"> </w:t>
      </w:r>
      <w:r w:rsidR="00BD0F4E" w:rsidRPr="009F45BA">
        <w:rPr>
          <w:rFonts w:ascii="Book Antiqua" w:hAnsi="Book Antiqua"/>
          <w:sz w:val="24"/>
          <w:szCs w:val="24"/>
        </w:rPr>
        <w:t>for</w:t>
      </w:r>
      <w:r w:rsidR="00030A76" w:rsidRPr="009F45BA">
        <w:rPr>
          <w:rFonts w:ascii="Book Antiqua" w:hAnsi="Book Antiqua"/>
          <w:sz w:val="24"/>
          <w:szCs w:val="24"/>
        </w:rPr>
        <w:t xml:space="preserve"> patients with NERD grade N who received combination therapy</w:t>
      </w:r>
      <w:r w:rsidR="002E1C76" w:rsidRPr="009F45BA">
        <w:rPr>
          <w:rFonts w:ascii="Book Antiqua" w:hAnsi="Book Antiqua"/>
          <w:sz w:val="24"/>
          <w:szCs w:val="24"/>
        </w:rPr>
        <w:t>, whereas no statistically significant impr</w:t>
      </w:r>
      <w:r w:rsidR="00030A76" w:rsidRPr="009F45BA">
        <w:rPr>
          <w:rFonts w:ascii="Book Antiqua" w:hAnsi="Book Antiqua"/>
          <w:sz w:val="24"/>
          <w:szCs w:val="24"/>
        </w:rPr>
        <w:t>ovement</w:t>
      </w:r>
      <w:r w:rsidR="00BD0F4E" w:rsidRPr="009F45BA">
        <w:rPr>
          <w:rFonts w:ascii="Book Antiqua" w:hAnsi="Book Antiqua"/>
          <w:sz w:val="24"/>
          <w:szCs w:val="24"/>
        </w:rPr>
        <w:t>s</w:t>
      </w:r>
      <w:r w:rsidR="00030A76" w:rsidRPr="009F45BA">
        <w:rPr>
          <w:rFonts w:ascii="Book Antiqua" w:hAnsi="Book Antiqua"/>
          <w:sz w:val="24"/>
          <w:szCs w:val="24"/>
        </w:rPr>
        <w:t xml:space="preserve"> were</w:t>
      </w:r>
      <w:r w:rsidR="00607FAA" w:rsidRPr="009F45BA">
        <w:rPr>
          <w:rFonts w:ascii="Book Antiqua" w:hAnsi="Book Antiqua"/>
          <w:sz w:val="24"/>
          <w:szCs w:val="24"/>
        </w:rPr>
        <w:t xml:space="preserve"> observed for </w:t>
      </w:r>
      <w:r w:rsidR="00030A76" w:rsidRPr="009F45BA">
        <w:rPr>
          <w:rFonts w:ascii="Book Antiqua" w:hAnsi="Book Antiqua"/>
          <w:sz w:val="24"/>
          <w:szCs w:val="24"/>
        </w:rPr>
        <w:t xml:space="preserve">the patients with </w:t>
      </w:r>
      <w:r w:rsidR="00607FAA" w:rsidRPr="009F45BA">
        <w:rPr>
          <w:rFonts w:ascii="Book Antiqua" w:hAnsi="Book Antiqua"/>
          <w:sz w:val="24"/>
          <w:szCs w:val="24"/>
        </w:rPr>
        <w:t>NERD</w:t>
      </w:r>
      <w:r w:rsidR="002E1C76" w:rsidRPr="009F45BA">
        <w:rPr>
          <w:rFonts w:ascii="Book Antiqua" w:hAnsi="Book Antiqua"/>
          <w:sz w:val="24"/>
          <w:szCs w:val="24"/>
        </w:rPr>
        <w:t xml:space="preserve"> grade M</w:t>
      </w:r>
      <w:r w:rsidR="00245BA5" w:rsidRPr="009F45BA">
        <w:rPr>
          <w:rFonts w:ascii="Book Antiqua" w:hAnsi="Book Antiqua"/>
          <w:sz w:val="24"/>
          <w:szCs w:val="24"/>
        </w:rPr>
        <w:t xml:space="preserve"> </w:t>
      </w:r>
      <w:r w:rsidR="00030A76" w:rsidRPr="009F45BA">
        <w:rPr>
          <w:rFonts w:ascii="Book Antiqua" w:hAnsi="Book Antiqua"/>
          <w:sz w:val="24"/>
          <w:szCs w:val="24"/>
        </w:rPr>
        <w:t>who received combination therapy</w:t>
      </w:r>
      <w:r w:rsidR="002E1C76" w:rsidRPr="009F45BA">
        <w:rPr>
          <w:rFonts w:ascii="Book Antiqua" w:hAnsi="Book Antiqua"/>
          <w:sz w:val="24"/>
          <w:szCs w:val="24"/>
        </w:rPr>
        <w:t xml:space="preserve">. </w:t>
      </w:r>
      <w:r w:rsidR="00030A76" w:rsidRPr="009F45BA">
        <w:rPr>
          <w:rFonts w:ascii="Book Antiqua" w:hAnsi="Book Antiqua"/>
          <w:sz w:val="24"/>
          <w:szCs w:val="24"/>
        </w:rPr>
        <w:t xml:space="preserve">Given that the QOL data </w:t>
      </w:r>
      <w:r w:rsidR="00352291" w:rsidRPr="009F45BA">
        <w:rPr>
          <w:rFonts w:ascii="Book Antiqua" w:hAnsi="Book Antiqua"/>
          <w:sz w:val="24"/>
          <w:szCs w:val="24"/>
        </w:rPr>
        <w:t>corresponded with the improvement</w:t>
      </w:r>
      <w:r w:rsidR="00030A76" w:rsidRPr="009F45BA">
        <w:rPr>
          <w:rFonts w:ascii="Book Antiqua" w:hAnsi="Book Antiqua"/>
          <w:sz w:val="24"/>
          <w:szCs w:val="24"/>
        </w:rPr>
        <w:t>s in the</w:t>
      </w:r>
      <w:r w:rsidR="00352291" w:rsidRPr="009F45BA">
        <w:rPr>
          <w:rFonts w:ascii="Book Antiqua" w:hAnsi="Book Antiqua"/>
          <w:sz w:val="24"/>
          <w:szCs w:val="24"/>
        </w:rPr>
        <w:t xml:space="preserve"> GERD symptoms</w:t>
      </w:r>
      <w:r w:rsidR="00A2023F" w:rsidRPr="009F45BA">
        <w:rPr>
          <w:rFonts w:ascii="Book Antiqua" w:hAnsi="Book Antiqua"/>
          <w:sz w:val="24"/>
          <w:szCs w:val="24"/>
        </w:rPr>
        <w:t xml:space="preserve"> after </w:t>
      </w:r>
      <w:r w:rsidR="00030A76" w:rsidRPr="009F45BA">
        <w:rPr>
          <w:rFonts w:ascii="Book Antiqua" w:hAnsi="Book Antiqua"/>
          <w:sz w:val="24"/>
          <w:szCs w:val="24"/>
        </w:rPr>
        <w:t>the patients had been treated with IM and PPI, these results are acceptable.</w:t>
      </w:r>
      <w:r w:rsidR="00807A54">
        <w:rPr>
          <w:rFonts w:ascii="Book Antiqua" w:hAnsi="Book Antiqua"/>
          <w:sz w:val="24"/>
          <w:szCs w:val="24"/>
        </w:rPr>
        <w:t xml:space="preserve"> </w:t>
      </w:r>
    </w:p>
    <w:p w:rsidR="0075101D" w:rsidRPr="009F45BA" w:rsidRDefault="0075101D" w:rsidP="007A1778">
      <w:pPr>
        <w:adjustRightInd w:val="0"/>
        <w:snapToGrid w:val="0"/>
        <w:spacing w:line="360" w:lineRule="auto"/>
        <w:ind w:firstLineChars="100" w:firstLine="240"/>
        <w:rPr>
          <w:rFonts w:ascii="Book Antiqua" w:eastAsia="MS PMincho" w:hAnsi="Book Antiqua"/>
          <w:sz w:val="24"/>
          <w:szCs w:val="24"/>
        </w:rPr>
      </w:pPr>
      <w:r w:rsidRPr="009F45BA">
        <w:rPr>
          <w:rFonts w:ascii="Book Antiqua" w:hAnsi="Book Antiqua"/>
          <w:sz w:val="24"/>
          <w:szCs w:val="24"/>
        </w:rPr>
        <w:t xml:space="preserve">Our study </w:t>
      </w:r>
      <w:r w:rsidR="002D78E9" w:rsidRPr="009F45BA">
        <w:rPr>
          <w:rFonts w:ascii="Book Antiqua" w:hAnsi="Book Antiqua"/>
          <w:sz w:val="24"/>
          <w:szCs w:val="24"/>
        </w:rPr>
        <w:t>has</w:t>
      </w:r>
      <w:r w:rsidRPr="009F45BA">
        <w:rPr>
          <w:rFonts w:ascii="Book Antiqua" w:hAnsi="Book Antiqua"/>
          <w:sz w:val="24"/>
          <w:szCs w:val="24"/>
        </w:rPr>
        <w:t xml:space="preserve"> some limitations</w:t>
      </w:r>
      <w:r w:rsidR="002D78E9" w:rsidRPr="009F45BA">
        <w:rPr>
          <w:rFonts w:ascii="Book Antiqua" w:hAnsi="Book Antiqua"/>
          <w:sz w:val="24"/>
          <w:szCs w:val="24"/>
        </w:rPr>
        <w:t xml:space="preserve"> that are described next</w:t>
      </w:r>
      <w:r w:rsidRPr="009F45BA">
        <w:rPr>
          <w:rFonts w:ascii="Book Antiqua" w:hAnsi="Book Antiqua"/>
          <w:sz w:val="24"/>
          <w:szCs w:val="24"/>
        </w:rPr>
        <w:t xml:space="preserve">. </w:t>
      </w:r>
      <w:r w:rsidR="00DA53B6" w:rsidRPr="009F45BA">
        <w:rPr>
          <w:rFonts w:ascii="Book Antiqua" w:hAnsi="Book Antiqua"/>
          <w:sz w:val="24"/>
          <w:szCs w:val="24"/>
        </w:rPr>
        <w:t>The main limitation of this study</w:t>
      </w:r>
      <w:r w:rsidR="00471931" w:rsidRPr="009F45BA">
        <w:rPr>
          <w:rFonts w:ascii="Book Antiqua" w:hAnsi="Book Antiqua"/>
          <w:sz w:val="24"/>
          <w:szCs w:val="24"/>
        </w:rPr>
        <w:t xml:space="preserve"> </w:t>
      </w:r>
      <w:r w:rsidR="00BD0F4E" w:rsidRPr="009F45BA">
        <w:rPr>
          <w:rFonts w:ascii="Book Antiqua" w:hAnsi="Book Antiqua"/>
          <w:sz w:val="24"/>
          <w:szCs w:val="24"/>
        </w:rPr>
        <w:t>relates to the fact that NERD was diagnosed</w:t>
      </w:r>
      <w:r w:rsidR="00DA53B6" w:rsidRPr="009F45BA">
        <w:rPr>
          <w:rFonts w:ascii="Book Antiqua" w:hAnsi="Book Antiqua"/>
          <w:sz w:val="24"/>
          <w:szCs w:val="24"/>
        </w:rPr>
        <w:t xml:space="preserve"> on the basis of </w:t>
      </w:r>
      <w:r w:rsidR="00BD0F4E" w:rsidRPr="009F45BA">
        <w:rPr>
          <w:rFonts w:ascii="Book Antiqua" w:hAnsi="Book Antiqua"/>
          <w:sz w:val="24"/>
          <w:szCs w:val="24"/>
        </w:rPr>
        <w:t xml:space="preserve">the </w:t>
      </w:r>
      <w:r w:rsidR="00DA53B6" w:rsidRPr="009F45BA">
        <w:rPr>
          <w:rFonts w:ascii="Book Antiqua" w:hAnsi="Book Antiqua"/>
          <w:sz w:val="24"/>
          <w:szCs w:val="24"/>
        </w:rPr>
        <w:t>endoscopic findings</w:t>
      </w:r>
      <w:r w:rsidR="00BD0F4E" w:rsidRPr="009F45BA">
        <w:rPr>
          <w:rFonts w:ascii="Book Antiqua" w:hAnsi="Book Antiqua"/>
          <w:sz w:val="24"/>
          <w:szCs w:val="24"/>
        </w:rPr>
        <w:t xml:space="preserve"> alone</w:t>
      </w:r>
      <w:r w:rsidR="00DA53B6" w:rsidRPr="009F45BA">
        <w:rPr>
          <w:rFonts w:ascii="Book Antiqua" w:hAnsi="Book Antiqua"/>
          <w:sz w:val="24"/>
          <w:szCs w:val="24"/>
        </w:rPr>
        <w:t xml:space="preserve">. </w:t>
      </w:r>
      <w:r w:rsidR="00AE15FC" w:rsidRPr="009F45BA">
        <w:rPr>
          <w:rFonts w:ascii="Book Antiqua" w:hAnsi="Book Antiqua"/>
          <w:sz w:val="24"/>
          <w:szCs w:val="24"/>
        </w:rPr>
        <w:t>A</w:t>
      </w:r>
      <w:r w:rsidR="00AE15FC" w:rsidRPr="009F45BA">
        <w:rPr>
          <w:rFonts w:ascii="Book Antiqua" w:eastAsia="MS PMincho" w:hAnsi="Book Antiqua"/>
          <w:sz w:val="24"/>
          <w:szCs w:val="24"/>
        </w:rPr>
        <w:t xml:space="preserve">n accurate and reliable definition of NERD </w:t>
      </w:r>
      <w:r w:rsidR="00BD0F4E" w:rsidRPr="009F45BA">
        <w:rPr>
          <w:rFonts w:ascii="Book Antiqua" w:eastAsia="MS PMincho" w:hAnsi="Book Antiqua"/>
          <w:sz w:val="24"/>
          <w:szCs w:val="24"/>
        </w:rPr>
        <w:t>is needed to appropriately inform</w:t>
      </w:r>
      <w:r w:rsidR="00313854" w:rsidRPr="009F45BA">
        <w:rPr>
          <w:rFonts w:ascii="Book Antiqua" w:eastAsia="MS PMincho" w:hAnsi="Book Antiqua"/>
          <w:sz w:val="24"/>
          <w:szCs w:val="24"/>
        </w:rPr>
        <w:t xml:space="preserve"> the</w:t>
      </w:r>
      <w:r w:rsidR="00AE15FC" w:rsidRPr="009F45BA">
        <w:rPr>
          <w:rFonts w:ascii="Book Antiqua" w:eastAsia="MS PMincho" w:hAnsi="Book Antiqua"/>
          <w:sz w:val="24"/>
          <w:szCs w:val="24"/>
        </w:rPr>
        <w:t xml:space="preserve"> discuss</w:t>
      </w:r>
      <w:r w:rsidR="00313854" w:rsidRPr="009F45BA">
        <w:rPr>
          <w:rFonts w:ascii="Book Antiqua" w:eastAsia="MS PMincho" w:hAnsi="Book Antiqua"/>
          <w:sz w:val="24"/>
          <w:szCs w:val="24"/>
        </w:rPr>
        <w:t>ion</w:t>
      </w:r>
      <w:r w:rsidR="00AE15FC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313854" w:rsidRPr="009F45BA">
        <w:rPr>
          <w:rFonts w:ascii="Book Antiqua" w:eastAsia="MS PMincho" w:hAnsi="Book Antiqua"/>
          <w:sz w:val="24"/>
          <w:szCs w:val="24"/>
        </w:rPr>
        <w:t>about the treatment of NERD</w:t>
      </w:r>
      <w:r w:rsidR="00AE15FC" w:rsidRPr="009F45BA">
        <w:rPr>
          <w:rFonts w:ascii="Book Antiqua" w:eastAsia="MS PMincho" w:hAnsi="Book Antiqua"/>
          <w:sz w:val="24"/>
          <w:szCs w:val="24"/>
        </w:rPr>
        <w:t>.</w:t>
      </w:r>
      <w:r w:rsidR="00AE15FC" w:rsidRPr="009F45BA">
        <w:rPr>
          <w:rFonts w:ascii="Book Antiqua" w:eastAsia="MS PMincho" w:hAnsi="Book Antiqua"/>
          <w:sz w:val="24"/>
          <w:szCs w:val="24"/>
        </w:rPr>
        <w:t xml:space="preserve">　</w:t>
      </w:r>
      <w:r w:rsidR="005777AA" w:rsidRPr="009F45BA">
        <w:rPr>
          <w:rFonts w:ascii="Book Antiqua" w:hAnsi="Book Antiqua"/>
          <w:sz w:val="24"/>
          <w:szCs w:val="24"/>
        </w:rPr>
        <w:t>Th</w:t>
      </w:r>
      <w:r w:rsidR="002866A0" w:rsidRPr="009F45BA">
        <w:rPr>
          <w:rFonts w:ascii="Book Antiqua" w:hAnsi="Book Antiqua"/>
          <w:sz w:val="24"/>
          <w:szCs w:val="24"/>
        </w:rPr>
        <w:t>e second limitation relates to the study being</w:t>
      </w:r>
      <w:r w:rsidRPr="009F45BA">
        <w:rPr>
          <w:rFonts w:ascii="Book Antiqua" w:hAnsi="Book Antiqua"/>
          <w:sz w:val="24"/>
          <w:szCs w:val="24"/>
        </w:rPr>
        <w:t xml:space="preserve"> </w:t>
      </w:r>
      <w:r w:rsidR="002866A0" w:rsidRPr="009F45BA">
        <w:rPr>
          <w:rFonts w:ascii="Book Antiqua" w:hAnsi="Book Antiqua"/>
          <w:sz w:val="24"/>
          <w:szCs w:val="24"/>
        </w:rPr>
        <w:t>a single-</w:t>
      </w:r>
      <w:r w:rsidR="002D78E9" w:rsidRPr="009F45BA">
        <w:rPr>
          <w:rFonts w:ascii="Book Antiqua" w:hAnsi="Book Antiqua"/>
          <w:sz w:val="24"/>
          <w:szCs w:val="24"/>
        </w:rPr>
        <w:t>center investigation</w:t>
      </w:r>
      <w:r w:rsidR="002866A0" w:rsidRPr="009F45BA">
        <w:rPr>
          <w:rFonts w:ascii="Book Antiqua" w:hAnsi="Book Antiqua"/>
          <w:sz w:val="24"/>
          <w:szCs w:val="24"/>
        </w:rPr>
        <w:t xml:space="preserve"> with a</w:t>
      </w:r>
      <w:r w:rsidRPr="009F45BA">
        <w:rPr>
          <w:rFonts w:ascii="Book Antiqua" w:hAnsi="Book Antiqua"/>
          <w:sz w:val="24"/>
          <w:szCs w:val="24"/>
        </w:rPr>
        <w:t xml:space="preserve"> relatively small</w:t>
      </w:r>
      <w:r w:rsidR="002866A0" w:rsidRPr="009F45BA">
        <w:rPr>
          <w:rFonts w:ascii="Book Antiqua" w:hAnsi="Book Antiqua"/>
          <w:sz w:val="24"/>
          <w:szCs w:val="24"/>
        </w:rPr>
        <w:t xml:space="preserve"> sample size</w:t>
      </w:r>
      <w:r w:rsidRPr="009F45BA">
        <w:rPr>
          <w:rFonts w:ascii="Book Antiqua" w:hAnsi="Book Antiqua"/>
          <w:sz w:val="24"/>
          <w:szCs w:val="24"/>
        </w:rPr>
        <w:t xml:space="preserve">. </w:t>
      </w:r>
      <w:r w:rsidR="002866A0" w:rsidRPr="009F45BA">
        <w:rPr>
          <w:rFonts w:ascii="Book Antiqua" w:hAnsi="Book Antiqua"/>
          <w:sz w:val="24"/>
          <w:szCs w:val="24"/>
        </w:rPr>
        <w:t>Hence, f</w:t>
      </w:r>
      <w:r w:rsidRPr="009F45BA">
        <w:rPr>
          <w:rFonts w:ascii="Book Antiqua" w:hAnsi="Book Antiqua"/>
          <w:sz w:val="24"/>
          <w:szCs w:val="24"/>
        </w:rPr>
        <w:t xml:space="preserve">urther </w:t>
      </w:r>
      <w:r w:rsidR="004709C0" w:rsidRPr="009F45BA">
        <w:rPr>
          <w:rFonts w:ascii="Book Antiqua" w:hAnsi="Book Antiqua"/>
          <w:sz w:val="24"/>
          <w:szCs w:val="24"/>
        </w:rPr>
        <w:t>trials</w:t>
      </w:r>
      <w:r w:rsidRPr="009F45BA">
        <w:rPr>
          <w:rFonts w:ascii="Book Antiqua" w:hAnsi="Book Antiqua"/>
          <w:sz w:val="24"/>
          <w:szCs w:val="24"/>
        </w:rPr>
        <w:t xml:space="preserve"> </w:t>
      </w:r>
      <w:r w:rsidR="002D78E9" w:rsidRPr="009F45BA">
        <w:rPr>
          <w:rStyle w:val="a9"/>
          <w:rFonts w:ascii="Book Antiqua" w:hAnsi="Book Antiqua"/>
          <w:b w:val="0"/>
          <w:sz w:val="24"/>
          <w:szCs w:val="24"/>
        </w:rPr>
        <w:t>employing</w:t>
      </w:r>
      <w:r w:rsidRPr="009F45BA">
        <w:rPr>
          <w:rStyle w:val="a9"/>
          <w:rFonts w:ascii="Book Antiqua" w:hAnsi="Book Antiqua"/>
          <w:b w:val="0"/>
          <w:sz w:val="24"/>
          <w:szCs w:val="24"/>
        </w:rPr>
        <w:t xml:space="preserve"> larger number</w:t>
      </w:r>
      <w:r w:rsidR="002D78E9" w:rsidRPr="009F45BA">
        <w:rPr>
          <w:rStyle w:val="a9"/>
          <w:rFonts w:ascii="Book Antiqua" w:hAnsi="Book Antiqua"/>
          <w:b w:val="0"/>
          <w:sz w:val="24"/>
          <w:szCs w:val="24"/>
        </w:rPr>
        <w:t>s</w:t>
      </w:r>
      <w:r w:rsidRPr="009F45BA">
        <w:rPr>
          <w:rStyle w:val="a9"/>
          <w:rFonts w:ascii="Book Antiqua" w:hAnsi="Book Antiqua"/>
          <w:b w:val="0"/>
          <w:sz w:val="24"/>
          <w:szCs w:val="24"/>
        </w:rPr>
        <w:t xml:space="preserve"> of subjects </w:t>
      </w:r>
      <w:r w:rsidR="00037215" w:rsidRPr="009F45BA">
        <w:rPr>
          <w:rFonts w:ascii="Book Antiqua" w:eastAsia="MS PMincho" w:hAnsi="Book Antiqua"/>
          <w:sz w:val="24"/>
          <w:szCs w:val="24"/>
        </w:rPr>
        <w:t>are</w:t>
      </w:r>
      <w:r w:rsidRPr="009F45BA">
        <w:rPr>
          <w:rFonts w:ascii="Book Antiqua" w:eastAsia="MS PMincho" w:hAnsi="Book Antiqua"/>
          <w:sz w:val="24"/>
          <w:szCs w:val="24"/>
        </w:rPr>
        <w:t xml:space="preserve"> necessary to verify our findings</w:t>
      </w:r>
      <w:r w:rsidR="002866A0" w:rsidRPr="009F45BA">
        <w:rPr>
          <w:rFonts w:ascii="Book Antiqua" w:eastAsia="MS PMincho" w:hAnsi="Book Antiqua"/>
          <w:sz w:val="24"/>
          <w:szCs w:val="24"/>
        </w:rPr>
        <w:t>, and in these trials</w:t>
      </w:r>
      <w:r w:rsidR="002D78E9" w:rsidRPr="009F45BA">
        <w:rPr>
          <w:rFonts w:ascii="Book Antiqua" w:eastAsia="MS PMincho" w:hAnsi="Book Antiqua"/>
          <w:sz w:val="24"/>
          <w:szCs w:val="24"/>
        </w:rPr>
        <w:t xml:space="preserve"> the</w:t>
      </w:r>
      <w:r w:rsidR="00037215" w:rsidRPr="009F45BA">
        <w:rPr>
          <w:rFonts w:ascii="Book Antiqua" w:eastAsia="MS PMincho" w:hAnsi="Book Antiqua"/>
          <w:sz w:val="24"/>
          <w:szCs w:val="24"/>
        </w:rPr>
        <w:t xml:space="preserve"> pathological mechanism</w:t>
      </w:r>
      <w:r w:rsidR="002D78E9" w:rsidRPr="009F45BA">
        <w:rPr>
          <w:rFonts w:ascii="Book Antiqua" w:eastAsia="MS PMincho" w:hAnsi="Book Antiqua"/>
          <w:sz w:val="24"/>
          <w:szCs w:val="24"/>
        </w:rPr>
        <w:t>s</w:t>
      </w:r>
      <w:r w:rsidR="00037215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2D78E9" w:rsidRPr="009F45BA">
        <w:rPr>
          <w:rFonts w:ascii="Book Antiqua" w:eastAsia="MS PMincho" w:hAnsi="Book Antiqua"/>
          <w:sz w:val="24"/>
          <w:szCs w:val="24"/>
        </w:rPr>
        <w:t>underlying</w:t>
      </w:r>
      <w:r w:rsidR="004709C0" w:rsidRPr="009F45BA">
        <w:rPr>
          <w:rFonts w:ascii="Book Antiqua" w:eastAsia="MS PMincho" w:hAnsi="Book Antiqua"/>
          <w:sz w:val="24"/>
          <w:szCs w:val="24"/>
        </w:rPr>
        <w:t xml:space="preserve"> NERD </w:t>
      </w:r>
      <w:r w:rsidR="00037215" w:rsidRPr="009F45BA">
        <w:rPr>
          <w:rFonts w:ascii="Book Antiqua" w:eastAsia="MS PMincho" w:hAnsi="Book Antiqua"/>
          <w:sz w:val="24"/>
          <w:szCs w:val="24"/>
        </w:rPr>
        <w:t xml:space="preserve">should be </w:t>
      </w:r>
      <w:r w:rsidR="004709C0" w:rsidRPr="009F45BA">
        <w:rPr>
          <w:rFonts w:ascii="Book Antiqua" w:eastAsia="MS PMincho" w:hAnsi="Book Antiqua"/>
          <w:sz w:val="24"/>
          <w:szCs w:val="24"/>
        </w:rPr>
        <w:t>investigated</w:t>
      </w:r>
      <w:r w:rsidR="002D78E9" w:rsidRPr="009F45BA">
        <w:rPr>
          <w:rFonts w:ascii="Book Antiqua" w:eastAsia="MS PMincho" w:hAnsi="Book Antiqua"/>
          <w:sz w:val="24"/>
          <w:szCs w:val="24"/>
        </w:rPr>
        <w:t>.</w:t>
      </w:r>
      <w:r w:rsidR="00037215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136CF0" w:rsidRPr="009F45BA">
        <w:rPr>
          <w:rFonts w:ascii="Book Antiqua" w:eastAsiaTheme="minorEastAsia" w:hAnsi="Book Antiqua"/>
          <w:spacing w:val="-10"/>
          <w:sz w:val="24"/>
          <w:szCs w:val="24"/>
        </w:rPr>
        <w:t xml:space="preserve">The </w:t>
      </w:r>
      <w:r w:rsidR="005777AA" w:rsidRPr="009F45BA">
        <w:rPr>
          <w:rFonts w:ascii="Book Antiqua" w:eastAsiaTheme="minorEastAsia" w:hAnsi="Book Antiqua"/>
          <w:spacing w:val="-10"/>
          <w:sz w:val="24"/>
          <w:szCs w:val="24"/>
        </w:rPr>
        <w:t>third</w:t>
      </w:r>
      <w:r w:rsidR="00136CF0" w:rsidRPr="009F45BA">
        <w:rPr>
          <w:rFonts w:ascii="Book Antiqua" w:eastAsiaTheme="minorEastAsia" w:hAnsi="Book Antiqua"/>
          <w:spacing w:val="-10"/>
          <w:sz w:val="24"/>
          <w:szCs w:val="24"/>
        </w:rPr>
        <w:t xml:space="preserve"> limitation</w:t>
      </w:r>
      <w:r w:rsidR="009A554A" w:rsidRPr="009F45BA">
        <w:rPr>
          <w:rFonts w:ascii="Book Antiqua" w:eastAsiaTheme="minorEastAsia" w:hAnsi="Book Antiqua"/>
          <w:spacing w:val="-10"/>
          <w:sz w:val="24"/>
          <w:szCs w:val="24"/>
        </w:rPr>
        <w:t xml:space="preserve"> </w:t>
      </w:r>
      <w:r w:rsidR="002866A0" w:rsidRPr="009F45BA">
        <w:rPr>
          <w:rFonts w:ascii="Book Antiqua" w:eastAsiaTheme="minorEastAsia" w:hAnsi="Book Antiqua"/>
          <w:spacing w:val="-10"/>
          <w:sz w:val="24"/>
          <w:szCs w:val="24"/>
        </w:rPr>
        <w:t>associated with this study relates to the controversy that surrounds</w:t>
      </w:r>
      <w:r w:rsidR="009A554A" w:rsidRPr="009F45BA">
        <w:rPr>
          <w:rFonts w:ascii="Book Antiqua" w:eastAsiaTheme="minorEastAsia" w:hAnsi="Book Antiqua"/>
          <w:spacing w:val="-10"/>
          <w:sz w:val="24"/>
          <w:szCs w:val="24"/>
        </w:rPr>
        <w:t xml:space="preserve"> the diagnostic and clinical relevance of the modified Los Angeles Classifi</w:t>
      </w:r>
      <w:r w:rsidR="002866A0" w:rsidRPr="009F45BA">
        <w:rPr>
          <w:rFonts w:ascii="Book Antiqua" w:eastAsiaTheme="minorEastAsia" w:hAnsi="Book Antiqua"/>
          <w:spacing w:val="-10"/>
          <w:sz w:val="24"/>
          <w:szCs w:val="24"/>
        </w:rPr>
        <w:t>cation for NERD</w:t>
      </w:r>
      <w:r w:rsidR="009A554A" w:rsidRPr="009F45BA">
        <w:rPr>
          <w:rFonts w:ascii="Book Antiqua" w:eastAsiaTheme="minorEastAsia" w:hAnsi="Book Antiqua"/>
          <w:spacing w:val="-10"/>
          <w:sz w:val="24"/>
          <w:szCs w:val="24"/>
        </w:rPr>
        <w:t>.</w:t>
      </w:r>
      <w:r w:rsidR="00136CF0" w:rsidRPr="009F45BA">
        <w:rPr>
          <w:rFonts w:ascii="Book Antiqua" w:eastAsiaTheme="minorEastAsia" w:hAnsi="Book Antiqua"/>
          <w:spacing w:val="-10"/>
          <w:sz w:val="24"/>
          <w:szCs w:val="24"/>
        </w:rPr>
        <w:t xml:space="preserve"> </w:t>
      </w:r>
      <w:r w:rsidR="009A554A" w:rsidRPr="009F45BA">
        <w:rPr>
          <w:rFonts w:ascii="Book Antiqua" w:eastAsiaTheme="minorEastAsia" w:hAnsi="Book Antiqua"/>
          <w:spacing w:val="-10"/>
          <w:sz w:val="24"/>
          <w:szCs w:val="24"/>
        </w:rPr>
        <w:t>The fo</w:t>
      </w:r>
      <w:r w:rsidR="002866A0" w:rsidRPr="009F45BA">
        <w:rPr>
          <w:rFonts w:ascii="Book Antiqua" w:eastAsiaTheme="minorEastAsia" w:hAnsi="Book Antiqua"/>
          <w:spacing w:val="-10"/>
          <w:sz w:val="24"/>
          <w:szCs w:val="24"/>
        </w:rPr>
        <w:t>u</w:t>
      </w:r>
      <w:r w:rsidR="009A554A" w:rsidRPr="009F45BA">
        <w:rPr>
          <w:rFonts w:ascii="Book Antiqua" w:eastAsiaTheme="minorEastAsia" w:hAnsi="Book Antiqua"/>
          <w:spacing w:val="-10"/>
          <w:sz w:val="24"/>
          <w:szCs w:val="24"/>
        </w:rPr>
        <w:t xml:space="preserve">rth limitation </w:t>
      </w:r>
      <w:r w:rsidR="002866A0" w:rsidRPr="009F45BA">
        <w:rPr>
          <w:rFonts w:ascii="Book Antiqua" w:eastAsiaTheme="minorEastAsia" w:hAnsi="Book Antiqua"/>
          <w:spacing w:val="-10"/>
          <w:sz w:val="24"/>
          <w:szCs w:val="24"/>
        </w:rPr>
        <w:t xml:space="preserve">of this study </w:t>
      </w:r>
      <w:r w:rsidR="00F16A7A" w:rsidRPr="009F45BA">
        <w:rPr>
          <w:rFonts w:ascii="Book Antiqua" w:eastAsiaTheme="minorEastAsia" w:hAnsi="Book Antiqua"/>
          <w:spacing w:val="-10"/>
          <w:sz w:val="24"/>
          <w:szCs w:val="24"/>
        </w:rPr>
        <w:t xml:space="preserve">relates to the effects that IM </w:t>
      </w:r>
      <w:r w:rsidR="00136CF0" w:rsidRPr="009F45BA">
        <w:rPr>
          <w:rFonts w:ascii="Book Antiqua" w:eastAsiaTheme="minorEastAsia" w:hAnsi="Book Antiqua"/>
          <w:spacing w:val="-10"/>
          <w:sz w:val="24"/>
          <w:szCs w:val="24"/>
        </w:rPr>
        <w:t>metabolite</w:t>
      </w:r>
      <w:r w:rsidR="00F16A7A" w:rsidRPr="009F45BA">
        <w:rPr>
          <w:rFonts w:ascii="Book Antiqua" w:eastAsiaTheme="minorEastAsia" w:hAnsi="Book Antiqua"/>
          <w:spacing w:val="-10"/>
          <w:sz w:val="24"/>
          <w:szCs w:val="24"/>
        </w:rPr>
        <w:t>s</w:t>
      </w:r>
      <w:r w:rsidR="00136CF0" w:rsidRPr="009F45BA">
        <w:rPr>
          <w:rFonts w:ascii="Book Antiqua" w:eastAsiaTheme="minorEastAsia" w:hAnsi="Book Antiqua"/>
          <w:spacing w:val="-10"/>
          <w:sz w:val="24"/>
          <w:szCs w:val="24"/>
        </w:rPr>
        <w:t xml:space="preserve"> or drug interactions among IM, </w:t>
      </w:r>
      <w:proofErr w:type="spellStart"/>
      <w:r w:rsidR="00136CF0" w:rsidRPr="009F45BA">
        <w:rPr>
          <w:rFonts w:ascii="Book Antiqua" w:eastAsiaTheme="minorEastAsia" w:hAnsi="Book Antiqua"/>
          <w:spacing w:val="-10"/>
          <w:sz w:val="24"/>
          <w:szCs w:val="24"/>
        </w:rPr>
        <w:t>rabeprazole</w:t>
      </w:r>
      <w:proofErr w:type="spellEnd"/>
      <w:r w:rsidR="00F16A7A" w:rsidRPr="009F45BA">
        <w:rPr>
          <w:rFonts w:ascii="Book Antiqua" w:eastAsiaTheme="minorEastAsia" w:hAnsi="Book Antiqua"/>
          <w:spacing w:val="-10"/>
          <w:sz w:val="24"/>
          <w:szCs w:val="24"/>
        </w:rPr>
        <w:t>, and</w:t>
      </w:r>
      <w:r w:rsidR="00136CF0" w:rsidRPr="009F45BA">
        <w:rPr>
          <w:rFonts w:ascii="Book Antiqua" w:eastAsiaTheme="minorEastAsia" w:hAnsi="Book Antiqua"/>
          <w:spacing w:val="-10"/>
          <w:sz w:val="24"/>
          <w:szCs w:val="24"/>
        </w:rPr>
        <w:t xml:space="preserve"> other medicines </w:t>
      </w:r>
      <w:r w:rsidR="00471931" w:rsidRPr="009F45BA">
        <w:rPr>
          <w:rFonts w:ascii="Book Antiqua" w:eastAsiaTheme="minorEastAsia" w:hAnsi="Book Antiqua"/>
          <w:spacing w:val="-10"/>
          <w:sz w:val="24"/>
          <w:szCs w:val="24"/>
        </w:rPr>
        <w:t xml:space="preserve">might </w:t>
      </w:r>
      <w:r w:rsidR="00F16A7A" w:rsidRPr="009F45BA">
        <w:rPr>
          <w:rFonts w:ascii="Book Antiqua" w:eastAsiaTheme="minorEastAsia" w:hAnsi="Book Antiqua"/>
          <w:spacing w:val="-10"/>
          <w:sz w:val="24"/>
          <w:szCs w:val="24"/>
        </w:rPr>
        <w:t>have had on the</w:t>
      </w:r>
      <w:r w:rsidR="00136CF0" w:rsidRPr="009F45BA">
        <w:rPr>
          <w:rFonts w:ascii="Book Antiqua" w:eastAsiaTheme="minorEastAsia" w:hAnsi="Book Antiqua"/>
          <w:spacing w:val="-10"/>
          <w:sz w:val="24"/>
          <w:szCs w:val="24"/>
        </w:rPr>
        <w:t xml:space="preserve"> </w:t>
      </w:r>
      <w:r w:rsidR="00F16A7A" w:rsidRPr="009F45BA">
        <w:rPr>
          <w:rFonts w:ascii="Book Antiqua" w:eastAsiaTheme="minorEastAsia" w:hAnsi="Book Antiqua"/>
          <w:spacing w:val="-10"/>
          <w:sz w:val="24"/>
          <w:szCs w:val="24"/>
        </w:rPr>
        <w:t>results of this study</w:t>
      </w:r>
      <w:r w:rsidR="00136CF0" w:rsidRPr="009F45BA">
        <w:rPr>
          <w:rFonts w:ascii="Book Antiqua" w:eastAsiaTheme="minorEastAsia" w:hAnsi="Book Antiqua"/>
          <w:spacing w:val="-10"/>
          <w:sz w:val="24"/>
          <w:szCs w:val="24"/>
        </w:rPr>
        <w:t>.</w:t>
      </w:r>
      <w:r w:rsidR="00807A54">
        <w:rPr>
          <w:rFonts w:ascii="Book Antiqua" w:eastAsiaTheme="minorEastAsia" w:hAnsi="Book Antiqua"/>
          <w:spacing w:val="-10"/>
          <w:sz w:val="24"/>
          <w:szCs w:val="24"/>
        </w:rPr>
        <w:t xml:space="preserve"> </w:t>
      </w:r>
    </w:p>
    <w:p w:rsidR="003728F7" w:rsidRPr="009F45BA" w:rsidRDefault="00AA6CFA" w:rsidP="00163410">
      <w:pPr>
        <w:adjustRightInd w:val="0"/>
        <w:snapToGrid w:val="0"/>
        <w:spacing w:line="360" w:lineRule="auto"/>
        <w:ind w:firstLineChars="100" w:firstLine="240"/>
        <w:rPr>
          <w:rFonts w:ascii="Book Antiqua" w:eastAsia="MS Gothic" w:hAnsi="Book Antiqua"/>
          <w:b/>
          <w:sz w:val="24"/>
          <w:szCs w:val="24"/>
        </w:rPr>
      </w:pPr>
      <w:r w:rsidRPr="009F45BA">
        <w:rPr>
          <w:rFonts w:ascii="Book Antiqua" w:hAnsi="Book Antiqua"/>
          <w:sz w:val="24"/>
          <w:szCs w:val="24"/>
        </w:rPr>
        <w:t xml:space="preserve">In conclusion, this </w:t>
      </w:r>
      <w:r w:rsidR="002D78E9" w:rsidRPr="009F45BA">
        <w:rPr>
          <w:rFonts w:ascii="Book Antiqua" w:hAnsi="Book Antiqua"/>
          <w:sz w:val="24"/>
          <w:szCs w:val="24"/>
        </w:rPr>
        <w:t>is the first randomized controlled trial that</w:t>
      </w:r>
      <w:r w:rsidR="00BD3EAC" w:rsidRPr="009F45BA">
        <w:rPr>
          <w:rFonts w:ascii="Book Antiqua" w:hAnsi="Book Antiqua"/>
          <w:sz w:val="24"/>
          <w:szCs w:val="24"/>
        </w:rPr>
        <w:t xml:space="preserve"> </w:t>
      </w:r>
      <w:r w:rsidR="002D78E9" w:rsidRPr="009F45BA">
        <w:rPr>
          <w:rFonts w:ascii="Book Antiqua" w:hAnsi="Book Antiqua"/>
          <w:sz w:val="24"/>
          <w:szCs w:val="24"/>
        </w:rPr>
        <w:t>has demonstrated that adding</w:t>
      </w:r>
      <w:r w:rsidRPr="009F45BA">
        <w:rPr>
          <w:rFonts w:ascii="Book Antiqua" w:hAnsi="Book Antiqua"/>
          <w:sz w:val="24"/>
          <w:szCs w:val="24"/>
        </w:rPr>
        <w:t xml:space="preserve"> </w:t>
      </w:r>
      <w:r w:rsidR="000079F9" w:rsidRPr="009F45BA">
        <w:rPr>
          <w:rFonts w:ascii="Book Antiqua" w:hAnsi="Book Antiqua"/>
          <w:sz w:val="24"/>
          <w:szCs w:val="24"/>
        </w:rPr>
        <w:t>IM</w:t>
      </w:r>
      <w:r w:rsidRPr="009F45BA">
        <w:rPr>
          <w:rFonts w:ascii="Book Antiqua" w:hAnsi="Book Antiqua"/>
          <w:sz w:val="24"/>
          <w:szCs w:val="24"/>
        </w:rPr>
        <w:t xml:space="preserve"> to PPI </w:t>
      </w:r>
      <w:r w:rsidR="002D78E9" w:rsidRPr="009F45BA">
        <w:rPr>
          <w:rFonts w:ascii="Book Antiqua" w:hAnsi="Book Antiqua"/>
          <w:sz w:val="24"/>
          <w:szCs w:val="24"/>
        </w:rPr>
        <w:t>therapy improves patients’</w:t>
      </w:r>
      <w:r w:rsidR="000079F9" w:rsidRPr="009F45BA">
        <w:rPr>
          <w:rFonts w:ascii="Book Antiqua" w:hAnsi="Book Antiqua"/>
          <w:sz w:val="24"/>
          <w:szCs w:val="24"/>
        </w:rPr>
        <w:t xml:space="preserve"> GERD</w:t>
      </w:r>
      <w:r w:rsidR="002774B5" w:rsidRPr="009F45BA">
        <w:rPr>
          <w:rFonts w:ascii="Book Antiqua" w:hAnsi="Book Antiqua"/>
          <w:sz w:val="24"/>
          <w:szCs w:val="24"/>
        </w:rPr>
        <w:t xml:space="preserve"> symptom</w:t>
      </w:r>
      <w:r w:rsidR="002D78E9" w:rsidRPr="009F45BA">
        <w:rPr>
          <w:rFonts w:ascii="Book Antiqua" w:hAnsi="Book Antiqua"/>
          <w:sz w:val="24"/>
          <w:szCs w:val="24"/>
        </w:rPr>
        <w:t>s as well as</w:t>
      </w:r>
      <w:r w:rsidR="002774B5" w:rsidRPr="009F45BA">
        <w:rPr>
          <w:rFonts w:ascii="Book Antiqua" w:hAnsi="Book Antiqua"/>
          <w:sz w:val="24"/>
          <w:szCs w:val="24"/>
        </w:rPr>
        <w:t xml:space="preserve"> </w:t>
      </w:r>
      <w:r w:rsidR="002D78E9" w:rsidRPr="009F45BA">
        <w:rPr>
          <w:rFonts w:ascii="Book Antiqua" w:hAnsi="Book Antiqua"/>
          <w:sz w:val="24"/>
          <w:szCs w:val="24"/>
        </w:rPr>
        <w:t>the quality of their lives, particularly</w:t>
      </w:r>
      <w:r w:rsidR="000079F9" w:rsidRPr="009F45BA">
        <w:rPr>
          <w:rFonts w:ascii="Book Antiqua" w:hAnsi="Book Antiqua"/>
          <w:sz w:val="24"/>
          <w:szCs w:val="24"/>
        </w:rPr>
        <w:t xml:space="preserve"> </w:t>
      </w:r>
      <w:r w:rsidR="002774B5" w:rsidRPr="009F45BA">
        <w:rPr>
          <w:rFonts w:ascii="Book Antiqua" w:eastAsia="MS PMincho" w:hAnsi="Book Antiqua"/>
          <w:sz w:val="24"/>
          <w:szCs w:val="24"/>
        </w:rPr>
        <w:t>in</w:t>
      </w:r>
      <w:r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0079F9" w:rsidRPr="009F45BA">
        <w:rPr>
          <w:rFonts w:ascii="Book Antiqua" w:eastAsia="MS PMincho" w:hAnsi="Book Antiqua"/>
          <w:sz w:val="24"/>
          <w:szCs w:val="24"/>
        </w:rPr>
        <w:t>NERD grade N patients</w:t>
      </w:r>
      <w:r w:rsidRPr="009F45BA">
        <w:rPr>
          <w:rFonts w:ascii="Book Antiqua" w:hAnsi="Book Antiqua"/>
          <w:sz w:val="24"/>
          <w:szCs w:val="24"/>
        </w:rPr>
        <w:t>.</w:t>
      </w:r>
      <w:r w:rsidR="002D78E9" w:rsidRPr="009F45BA">
        <w:rPr>
          <w:rFonts w:ascii="Book Antiqua" w:hAnsi="Book Antiqua"/>
          <w:sz w:val="24"/>
          <w:szCs w:val="24"/>
        </w:rPr>
        <w:t xml:space="preserve"> We consider that</w:t>
      </w:r>
      <w:r w:rsidR="000079F9" w:rsidRPr="009F45BA">
        <w:rPr>
          <w:rFonts w:ascii="Book Antiqua" w:hAnsi="Book Antiqua"/>
          <w:sz w:val="24"/>
          <w:szCs w:val="24"/>
        </w:rPr>
        <w:t xml:space="preserve"> combination therapy</w:t>
      </w:r>
      <w:r w:rsidR="00F51F57" w:rsidRPr="009F45BA">
        <w:rPr>
          <w:rFonts w:ascii="Book Antiqua" w:hAnsi="Book Antiqua"/>
          <w:sz w:val="24"/>
          <w:szCs w:val="24"/>
        </w:rPr>
        <w:t xml:space="preserve"> may </w:t>
      </w:r>
      <w:r w:rsidR="002D78E9" w:rsidRPr="009F45BA">
        <w:rPr>
          <w:rFonts w:ascii="Book Antiqua" w:hAnsi="Book Antiqua"/>
          <w:sz w:val="24"/>
          <w:szCs w:val="24"/>
        </w:rPr>
        <w:t>be an appropriate therapeutic option for patients with NERD</w:t>
      </w:r>
      <w:r w:rsidR="00F16142" w:rsidRPr="009F45BA">
        <w:rPr>
          <w:rFonts w:ascii="Book Antiqua" w:hAnsi="Book Antiqua"/>
          <w:sz w:val="24"/>
          <w:szCs w:val="24"/>
        </w:rPr>
        <w:t>.</w:t>
      </w:r>
      <w:r w:rsidR="00807A54">
        <w:rPr>
          <w:rFonts w:ascii="Book Antiqua" w:hAnsi="Book Antiqua"/>
          <w:sz w:val="24"/>
          <w:szCs w:val="24"/>
        </w:rPr>
        <w:t xml:space="preserve"> </w:t>
      </w:r>
    </w:p>
    <w:p w:rsidR="00B80408" w:rsidRPr="00212CBD" w:rsidRDefault="00B80408" w:rsidP="00163410">
      <w:pPr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B80408" w:rsidRPr="00D257F4" w:rsidRDefault="00B80408" w:rsidP="00163410">
      <w:pPr>
        <w:adjustRightInd w:val="0"/>
        <w:snapToGrid w:val="0"/>
        <w:spacing w:line="360" w:lineRule="auto"/>
        <w:rPr>
          <w:rFonts w:ascii="Book Antiqua" w:eastAsia="MS PMincho" w:hAnsi="Book Antiqua"/>
          <w:b/>
          <w:sz w:val="24"/>
          <w:szCs w:val="24"/>
        </w:rPr>
      </w:pPr>
      <w:r w:rsidRPr="00D257F4">
        <w:rPr>
          <w:rFonts w:ascii="Book Antiqua" w:eastAsia="MS PMincho" w:hAnsi="Book Antiqua"/>
          <w:b/>
          <w:sz w:val="24"/>
          <w:szCs w:val="24"/>
        </w:rPr>
        <w:t>COMMENTS</w:t>
      </w:r>
    </w:p>
    <w:p w:rsidR="00B80408" w:rsidRPr="00D257F4" w:rsidRDefault="00B80408" w:rsidP="00163410">
      <w:pPr>
        <w:adjustRightInd w:val="0"/>
        <w:snapToGrid w:val="0"/>
        <w:spacing w:line="360" w:lineRule="auto"/>
        <w:rPr>
          <w:rFonts w:ascii="Book Antiqua" w:eastAsia="MS PMincho" w:hAnsi="Book Antiqua"/>
          <w:b/>
          <w:i/>
          <w:sz w:val="24"/>
          <w:szCs w:val="24"/>
        </w:rPr>
      </w:pPr>
      <w:r w:rsidRPr="00D257F4">
        <w:rPr>
          <w:rFonts w:ascii="Book Antiqua" w:eastAsia="MS PMincho" w:hAnsi="Book Antiqua"/>
          <w:b/>
          <w:i/>
          <w:sz w:val="24"/>
          <w:szCs w:val="24"/>
        </w:rPr>
        <w:t>Background</w:t>
      </w:r>
    </w:p>
    <w:p w:rsidR="00B80408" w:rsidRPr="009F45BA" w:rsidRDefault="004E4AB5" w:rsidP="00163410">
      <w:pPr>
        <w:adjustRightInd w:val="0"/>
        <w:snapToGrid w:val="0"/>
        <w:spacing w:line="360" w:lineRule="auto"/>
        <w:rPr>
          <w:rFonts w:ascii="Book Antiqua" w:eastAsia="MS PMincho" w:hAnsi="Book Antiqua"/>
          <w:sz w:val="24"/>
          <w:szCs w:val="24"/>
        </w:rPr>
      </w:pPr>
      <w:r w:rsidRPr="009F45BA">
        <w:rPr>
          <w:rFonts w:ascii="Book Antiqua" w:eastAsia="MS PMincho" w:hAnsi="Book Antiqua"/>
          <w:sz w:val="24"/>
          <w:szCs w:val="24"/>
        </w:rPr>
        <w:t>Proton pump inhibitor (PPI) therapy is considered the mainstay for the treatment of non-erosive reflux disease (NERD).</w:t>
      </w:r>
      <w:r w:rsidR="005C55F4" w:rsidRPr="009F45BA">
        <w:rPr>
          <w:rFonts w:ascii="Book Antiqua" w:eastAsia="MS PMincho" w:hAnsi="Book Antiqua"/>
          <w:sz w:val="24"/>
          <w:szCs w:val="24"/>
        </w:rPr>
        <w:t xml:space="preserve"> Some reports have suggested </w:t>
      </w:r>
      <w:r w:rsidR="005C55F4" w:rsidRPr="009F45BA">
        <w:rPr>
          <w:rFonts w:ascii="Book Antiqua" w:eastAsia="MS PMincho" w:hAnsi="Book Antiqua"/>
          <w:sz w:val="24"/>
          <w:szCs w:val="24"/>
        </w:rPr>
        <w:lastRenderedPageBreak/>
        <w:t xml:space="preserve">that compared with patients with </w:t>
      </w:r>
      <w:r w:rsidR="00A258F4" w:rsidRPr="009F45BA">
        <w:rPr>
          <w:rFonts w:ascii="Book Antiqua" w:eastAsia="MS PMincho" w:hAnsi="Book Antiqua"/>
          <w:sz w:val="24"/>
          <w:szCs w:val="24"/>
        </w:rPr>
        <w:t>reflux esophagitis (</w:t>
      </w:r>
      <w:r w:rsidR="005C55F4" w:rsidRPr="009F45BA">
        <w:rPr>
          <w:rFonts w:ascii="Book Antiqua" w:eastAsia="MS PMincho" w:hAnsi="Book Antiqua"/>
          <w:sz w:val="24"/>
          <w:szCs w:val="24"/>
        </w:rPr>
        <w:t>RE</w:t>
      </w:r>
      <w:r w:rsidR="00A258F4" w:rsidRPr="009F45BA">
        <w:rPr>
          <w:rFonts w:ascii="Book Antiqua" w:eastAsia="MS PMincho" w:hAnsi="Book Antiqua"/>
          <w:sz w:val="24"/>
          <w:szCs w:val="24"/>
        </w:rPr>
        <w:t>)</w:t>
      </w:r>
      <w:r w:rsidR="005C55F4" w:rsidRPr="009F45BA">
        <w:rPr>
          <w:rFonts w:ascii="Book Antiqua" w:eastAsia="MS PMincho" w:hAnsi="Book Antiqua"/>
          <w:sz w:val="24"/>
          <w:szCs w:val="24"/>
        </w:rPr>
        <w:t>, those with NERD ha</w:t>
      </w:r>
      <w:r w:rsidR="00A258F4" w:rsidRPr="009F45BA">
        <w:rPr>
          <w:rFonts w:ascii="Book Antiqua" w:eastAsia="MS PMincho" w:hAnsi="Book Antiqua"/>
          <w:sz w:val="24"/>
          <w:szCs w:val="24"/>
        </w:rPr>
        <w:t>ve</w:t>
      </w:r>
      <w:r w:rsidR="005C55F4" w:rsidRPr="009F45BA">
        <w:rPr>
          <w:rFonts w:ascii="Book Antiqua" w:eastAsia="MS PMincho" w:hAnsi="Book Antiqua"/>
          <w:sz w:val="24"/>
          <w:szCs w:val="24"/>
        </w:rPr>
        <w:t xml:space="preserve"> lower response rates to acid suppression therapy. However, </w:t>
      </w:r>
      <w:r w:rsidR="00A258F4" w:rsidRPr="009F45BA">
        <w:rPr>
          <w:rFonts w:ascii="Book Antiqua" w:eastAsia="MS PMincho" w:hAnsi="Book Antiqua"/>
          <w:sz w:val="24"/>
          <w:szCs w:val="24"/>
        </w:rPr>
        <w:t xml:space="preserve">a </w:t>
      </w:r>
      <w:r w:rsidR="00A258F4" w:rsidRPr="009F45BA">
        <w:rPr>
          <w:rFonts w:ascii="Book Antiqua" w:hAnsi="Book Antiqua"/>
          <w:sz w:val="24"/>
          <w:szCs w:val="24"/>
        </w:rPr>
        <w:t>recent meta-analysis emphasized</w:t>
      </w:r>
      <w:r w:rsidR="005C55F4" w:rsidRPr="009F45BA">
        <w:rPr>
          <w:rFonts w:ascii="Book Antiqua" w:hAnsi="Book Antiqua"/>
          <w:sz w:val="24"/>
          <w:szCs w:val="24"/>
        </w:rPr>
        <w:t xml:space="preserve"> that </w:t>
      </w:r>
      <w:r w:rsidR="00A258F4" w:rsidRPr="009F45BA">
        <w:rPr>
          <w:rFonts w:ascii="Book Antiqua" w:hAnsi="Book Antiqua"/>
          <w:sz w:val="24"/>
          <w:szCs w:val="24"/>
        </w:rPr>
        <w:t>well-</w:t>
      </w:r>
      <w:r w:rsidR="005C55F4" w:rsidRPr="009F45BA">
        <w:rPr>
          <w:rFonts w:ascii="Book Antiqua" w:hAnsi="Book Antiqua"/>
          <w:sz w:val="24"/>
          <w:szCs w:val="24"/>
        </w:rPr>
        <w:t xml:space="preserve">defined </w:t>
      </w:r>
      <w:r w:rsidR="00A258F4" w:rsidRPr="009F45BA">
        <w:rPr>
          <w:rFonts w:ascii="Book Antiqua" w:hAnsi="Book Antiqua"/>
          <w:sz w:val="24"/>
          <w:szCs w:val="24"/>
        </w:rPr>
        <w:t>NERD patients</w:t>
      </w:r>
      <w:r w:rsidR="005C55F4" w:rsidRPr="009F45BA">
        <w:rPr>
          <w:rFonts w:ascii="Book Antiqua" w:hAnsi="Book Antiqua"/>
          <w:sz w:val="24"/>
          <w:szCs w:val="24"/>
        </w:rPr>
        <w:t xml:space="preserve">, </w:t>
      </w:r>
      <w:r w:rsidR="00A258F4" w:rsidRPr="009F45BA">
        <w:rPr>
          <w:rFonts w:ascii="Book Antiqua" w:hAnsi="Book Antiqua"/>
          <w:sz w:val="24"/>
          <w:szCs w:val="24"/>
        </w:rPr>
        <w:t>including those with</w:t>
      </w:r>
      <w:r w:rsidR="005C55F4" w:rsidRPr="009F45BA">
        <w:rPr>
          <w:rFonts w:ascii="Book Antiqua" w:hAnsi="Book Antiqua"/>
          <w:sz w:val="24"/>
          <w:szCs w:val="24"/>
        </w:rPr>
        <w:t xml:space="preserve"> abnormal distal esophageal acid exposure and </w:t>
      </w:r>
      <w:r w:rsidR="00A258F4" w:rsidRPr="009F45BA">
        <w:rPr>
          <w:rFonts w:ascii="Book Antiqua" w:hAnsi="Book Antiqua"/>
          <w:sz w:val="24"/>
          <w:szCs w:val="24"/>
        </w:rPr>
        <w:t>those with hypersensitive esophagi</w:t>
      </w:r>
      <w:r w:rsidR="005C55F4" w:rsidRPr="009F45BA">
        <w:rPr>
          <w:rFonts w:ascii="Book Antiqua" w:hAnsi="Book Antiqua"/>
          <w:sz w:val="24"/>
          <w:szCs w:val="24"/>
        </w:rPr>
        <w:t>, have response</w:t>
      </w:r>
      <w:r w:rsidR="00A258F4" w:rsidRPr="009F45BA">
        <w:rPr>
          <w:rFonts w:ascii="Book Antiqua" w:hAnsi="Book Antiqua"/>
          <w:sz w:val="24"/>
          <w:szCs w:val="24"/>
        </w:rPr>
        <w:t>s</w:t>
      </w:r>
      <w:r w:rsidR="005C55F4" w:rsidRPr="009F45BA">
        <w:rPr>
          <w:rFonts w:ascii="Book Antiqua" w:hAnsi="Book Antiqua"/>
          <w:sz w:val="24"/>
          <w:szCs w:val="24"/>
        </w:rPr>
        <w:t xml:space="preserve"> to PPI therapy </w:t>
      </w:r>
      <w:r w:rsidR="00A258F4" w:rsidRPr="009F45BA">
        <w:rPr>
          <w:rFonts w:ascii="Book Antiqua" w:hAnsi="Book Antiqua"/>
          <w:sz w:val="24"/>
          <w:szCs w:val="24"/>
        </w:rPr>
        <w:t xml:space="preserve">that are similar </w:t>
      </w:r>
      <w:r w:rsidR="005C55F4" w:rsidRPr="009F45BA">
        <w:rPr>
          <w:rFonts w:ascii="Book Antiqua" w:hAnsi="Book Antiqua"/>
          <w:sz w:val="24"/>
          <w:szCs w:val="24"/>
        </w:rPr>
        <w:t xml:space="preserve">to </w:t>
      </w:r>
      <w:r w:rsidR="00A258F4" w:rsidRPr="009F45BA">
        <w:rPr>
          <w:rFonts w:ascii="Book Antiqua" w:hAnsi="Book Antiqua"/>
          <w:sz w:val="24"/>
          <w:szCs w:val="24"/>
        </w:rPr>
        <w:t xml:space="preserve">those seen in </w:t>
      </w:r>
      <w:r w:rsidR="005C55F4" w:rsidRPr="009F45BA">
        <w:rPr>
          <w:rFonts w:ascii="Book Antiqua" w:hAnsi="Book Antiqua"/>
          <w:sz w:val="24"/>
          <w:szCs w:val="24"/>
        </w:rPr>
        <w:t>patients with RE</w:t>
      </w:r>
      <w:r w:rsidR="00A258F4" w:rsidRPr="009F45BA">
        <w:rPr>
          <w:rFonts w:ascii="Book Antiqua" w:hAnsi="Book Antiqua"/>
          <w:sz w:val="24"/>
          <w:szCs w:val="24"/>
        </w:rPr>
        <w:t>.</w:t>
      </w:r>
    </w:p>
    <w:p w:rsidR="00D257F4" w:rsidRDefault="00D257F4" w:rsidP="00163410">
      <w:pPr>
        <w:adjustRightInd w:val="0"/>
        <w:snapToGrid w:val="0"/>
        <w:spacing w:line="360" w:lineRule="auto"/>
        <w:rPr>
          <w:rFonts w:ascii="Book Antiqua" w:eastAsia="宋体" w:hAnsi="Book Antiqua"/>
          <w:b/>
          <w:i/>
          <w:sz w:val="24"/>
          <w:szCs w:val="24"/>
          <w:lang w:eastAsia="zh-CN"/>
        </w:rPr>
      </w:pPr>
    </w:p>
    <w:p w:rsidR="004E4AB5" w:rsidRPr="00D257F4" w:rsidRDefault="004E4AB5" w:rsidP="00163410">
      <w:pPr>
        <w:adjustRightInd w:val="0"/>
        <w:snapToGrid w:val="0"/>
        <w:spacing w:line="360" w:lineRule="auto"/>
        <w:rPr>
          <w:rFonts w:ascii="Book Antiqua" w:eastAsia="MS PMincho" w:hAnsi="Book Antiqua"/>
          <w:b/>
          <w:i/>
          <w:sz w:val="24"/>
          <w:szCs w:val="24"/>
        </w:rPr>
      </w:pPr>
      <w:r w:rsidRPr="00D257F4">
        <w:rPr>
          <w:rFonts w:ascii="Book Antiqua" w:eastAsia="MS PMincho" w:hAnsi="Book Antiqua"/>
          <w:b/>
          <w:i/>
          <w:sz w:val="24"/>
          <w:szCs w:val="24"/>
        </w:rPr>
        <w:t>Innovation and breakthroughs</w:t>
      </w:r>
    </w:p>
    <w:p w:rsidR="004E4AB5" w:rsidRPr="009F45BA" w:rsidRDefault="004E4AB5" w:rsidP="00163410">
      <w:pPr>
        <w:adjustRightInd w:val="0"/>
        <w:snapToGrid w:val="0"/>
        <w:spacing w:line="360" w:lineRule="auto"/>
        <w:rPr>
          <w:rFonts w:ascii="Book Antiqua" w:eastAsia="MS PMincho" w:hAnsi="Book Antiqua"/>
          <w:sz w:val="24"/>
          <w:szCs w:val="24"/>
        </w:rPr>
      </w:pPr>
      <w:r w:rsidRPr="009F45BA">
        <w:rPr>
          <w:rFonts w:ascii="Book Antiqua" w:eastAsia="MS PMincho" w:hAnsi="Book Antiqua"/>
          <w:sz w:val="24"/>
          <w:szCs w:val="24"/>
        </w:rPr>
        <w:t xml:space="preserve">Although the pathophysiology of NERD remains unclear, electron microscopy and light microscopy have </w:t>
      </w:r>
      <w:r w:rsidR="00A258F4" w:rsidRPr="009F45BA">
        <w:rPr>
          <w:rFonts w:ascii="Book Antiqua" w:eastAsia="MS PMincho" w:hAnsi="Book Antiqua"/>
          <w:sz w:val="24"/>
          <w:szCs w:val="24"/>
        </w:rPr>
        <w:t>demonstrated the presence of</w:t>
      </w:r>
      <w:r w:rsidRPr="009F45BA">
        <w:rPr>
          <w:rFonts w:ascii="Book Antiqua" w:eastAsia="MS PMincho" w:hAnsi="Book Antiqua"/>
          <w:sz w:val="24"/>
          <w:szCs w:val="24"/>
        </w:rPr>
        <w:t xml:space="preserve"> esophageal mucosal dilated intercellular spaces (DIS) in patients with NERD. </w:t>
      </w:r>
      <w:proofErr w:type="spellStart"/>
      <w:r w:rsidRPr="009F45BA">
        <w:rPr>
          <w:rFonts w:ascii="Book Antiqua" w:eastAsia="MS PMincho" w:hAnsi="Book Antiqua"/>
          <w:sz w:val="24"/>
          <w:szCs w:val="24"/>
        </w:rPr>
        <w:t>Irsogla</w:t>
      </w:r>
      <w:r w:rsidR="00671CE0" w:rsidRPr="009F45BA">
        <w:rPr>
          <w:rFonts w:ascii="Book Antiqua" w:eastAsia="MS PMincho" w:hAnsi="Book Antiqua"/>
          <w:sz w:val="24"/>
          <w:szCs w:val="24"/>
        </w:rPr>
        <w:t>dine</w:t>
      </w:r>
      <w:proofErr w:type="spellEnd"/>
      <w:r w:rsidR="00671CE0" w:rsidRPr="009F45BA">
        <w:rPr>
          <w:rFonts w:ascii="Book Antiqua" w:eastAsia="MS PMincho" w:hAnsi="Book Antiqua"/>
          <w:sz w:val="24"/>
          <w:szCs w:val="24"/>
        </w:rPr>
        <w:t xml:space="preserve"> maleate (IM) activates gap</w:t>
      </w:r>
      <w:r w:rsidR="00F93DF2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Pr="009F45BA">
        <w:rPr>
          <w:rFonts w:ascii="Book Antiqua" w:eastAsia="MS PMincho" w:hAnsi="Book Antiqua"/>
          <w:sz w:val="24"/>
          <w:szCs w:val="24"/>
        </w:rPr>
        <w:t>junctional intercellular communication</w:t>
      </w:r>
      <w:r w:rsidR="005C55F4" w:rsidRPr="009F45BA">
        <w:rPr>
          <w:rFonts w:ascii="Book Antiqua" w:eastAsia="MS PMincho" w:hAnsi="Book Antiqua"/>
          <w:sz w:val="24"/>
          <w:szCs w:val="24"/>
        </w:rPr>
        <w:t xml:space="preserve"> and affect</w:t>
      </w:r>
      <w:r w:rsidR="00F032BA" w:rsidRPr="009F45BA">
        <w:rPr>
          <w:rFonts w:ascii="Book Antiqua" w:eastAsia="MS PMincho" w:hAnsi="Book Antiqua"/>
          <w:sz w:val="24"/>
          <w:szCs w:val="24"/>
        </w:rPr>
        <w:t>s</w:t>
      </w:r>
      <w:r w:rsidR="005C55F4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F032BA" w:rsidRPr="009F45BA">
        <w:rPr>
          <w:rFonts w:ascii="Book Antiqua" w:eastAsia="MS PMincho" w:hAnsi="Book Antiqua"/>
          <w:sz w:val="24"/>
          <w:szCs w:val="24"/>
        </w:rPr>
        <w:t>the mucosal DIS</w:t>
      </w:r>
      <w:r w:rsidR="00F93DF2" w:rsidRPr="009F45BA">
        <w:rPr>
          <w:rFonts w:ascii="Book Antiqua" w:eastAsia="MS PMincho" w:hAnsi="Book Antiqua"/>
          <w:sz w:val="24"/>
          <w:szCs w:val="24"/>
        </w:rPr>
        <w:t>;</w:t>
      </w:r>
      <w:r w:rsidRPr="009F45BA">
        <w:rPr>
          <w:rFonts w:ascii="Book Antiqua" w:eastAsia="MS PMincho" w:hAnsi="Book Antiqua"/>
          <w:sz w:val="24"/>
          <w:szCs w:val="24"/>
        </w:rPr>
        <w:t xml:space="preserve"> h</w:t>
      </w:r>
      <w:r w:rsidR="00B7049B" w:rsidRPr="009F45BA">
        <w:rPr>
          <w:rFonts w:ascii="Book Antiqua" w:eastAsia="MS PMincho" w:hAnsi="Book Antiqua"/>
          <w:sz w:val="24"/>
          <w:szCs w:val="24"/>
        </w:rPr>
        <w:t>owever</w:t>
      </w:r>
      <w:r w:rsidR="00F93DF2" w:rsidRPr="009F45BA">
        <w:rPr>
          <w:rFonts w:ascii="Book Antiqua" w:eastAsia="MS PMincho" w:hAnsi="Book Antiqua"/>
          <w:sz w:val="24"/>
          <w:szCs w:val="24"/>
        </w:rPr>
        <w:t>,</w:t>
      </w:r>
      <w:r w:rsidRPr="009F45BA">
        <w:rPr>
          <w:rFonts w:ascii="Book Antiqua" w:eastAsia="MS PMincho" w:hAnsi="Book Antiqua"/>
          <w:sz w:val="24"/>
          <w:szCs w:val="24"/>
        </w:rPr>
        <w:t xml:space="preserve"> little is known about </w:t>
      </w:r>
      <w:r w:rsidR="00F93DF2" w:rsidRPr="009F45BA">
        <w:rPr>
          <w:rFonts w:ascii="Book Antiqua" w:eastAsia="MS PMincho" w:hAnsi="Book Antiqua"/>
          <w:sz w:val="24"/>
          <w:szCs w:val="24"/>
        </w:rPr>
        <w:t>the</w:t>
      </w:r>
      <w:r w:rsidRPr="009F45BA">
        <w:rPr>
          <w:rFonts w:ascii="Book Antiqua" w:eastAsia="MS PMincho" w:hAnsi="Book Antiqua"/>
          <w:sz w:val="24"/>
          <w:szCs w:val="24"/>
        </w:rPr>
        <w:t xml:space="preserve"> effects </w:t>
      </w:r>
      <w:r w:rsidR="00F93DF2" w:rsidRPr="009F45BA">
        <w:rPr>
          <w:rFonts w:ascii="Book Antiqua" w:eastAsia="MS PMincho" w:hAnsi="Book Antiqua"/>
          <w:sz w:val="24"/>
          <w:szCs w:val="24"/>
        </w:rPr>
        <w:t xml:space="preserve">of IM </w:t>
      </w:r>
      <w:r w:rsidRPr="009F45BA">
        <w:rPr>
          <w:rFonts w:ascii="Book Antiqua" w:eastAsia="MS PMincho" w:hAnsi="Book Antiqua"/>
          <w:sz w:val="24"/>
          <w:szCs w:val="24"/>
        </w:rPr>
        <w:t>on patients with NERD.</w:t>
      </w:r>
    </w:p>
    <w:p w:rsidR="00D257F4" w:rsidRDefault="00D257F4" w:rsidP="001634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i/>
          <w:sz w:val="24"/>
          <w:szCs w:val="24"/>
          <w:lang w:eastAsia="zh-CN"/>
        </w:rPr>
      </w:pPr>
    </w:p>
    <w:p w:rsidR="00B7049B" w:rsidRPr="00D257F4" w:rsidRDefault="00F93DF2" w:rsidP="00163410">
      <w:pPr>
        <w:widowControl/>
        <w:adjustRightInd w:val="0"/>
        <w:snapToGrid w:val="0"/>
        <w:spacing w:line="360" w:lineRule="auto"/>
        <w:rPr>
          <w:rFonts w:ascii="Book Antiqua" w:eastAsia="MS Gothic" w:hAnsi="Book Antiqua"/>
          <w:b/>
          <w:i/>
          <w:sz w:val="24"/>
          <w:szCs w:val="24"/>
        </w:rPr>
      </w:pPr>
      <w:r w:rsidRPr="00D257F4">
        <w:rPr>
          <w:rFonts w:ascii="Book Antiqua" w:eastAsia="MS Gothic" w:hAnsi="Book Antiqua"/>
          <w:b/>
          <w:i/>
          <w:sz w:val="24"/>
          <w:szCs w:val="24"/>
        </w:rPr>
        <w:t>Significance of the a</w:t>
      </w:r>
      <w:r w:rsidR="00B7049B" w:rsidRPr="00D257F4">
        <w:rPr>
          <w:rFonts w:ascii="Book Antiqua" w:eastAsia="MS Gothic" w:hAnsi="Book Antiqua"/>
          <w:b/>
          <w:i/>
          <w:sz w:val="24"/>
          <w:szCs w:val="24"/>
        </w:rPr>
        <w:t>pplications</w:t>
      </w:r>
    </w:p>
    <w:p w:rsidR="003B4AFD" w:rsidRPr="009F45BA" w:rsidRDefault="00B7049B" w:rsidP="00163410">
      <w:pPr>
        <w:widowControl/>
        <w:adjustRightInd w:val="0"/>
        <w:snapToGrid w:val="0"/>
        <w:spacing w:line="360" w:lineRule="auto"/>
        <w:rPr>
          <w:rFonts w:ascii="Book Antiqua" w:eastAsia="MS PMincho" w:hAnsi="Book Antiqua"/>
          <w:sz w:val="24"/>
          <w:szCs w:val="24"/>
        </w:rPr>
      </w:pPr>
      <w:r w:rsidRPr="009F45BA">
        <w:rPr>
          <w:rFonts w:ascii="Book Antiqua" w:eastAsia="MS PMincho" w:hAnsi="Book Antiqua"/>
          <w:sz w:val="24"/>
          <w:szCs w:val="24"/>
        </w:rPr>
        <w:t xml:space="preserve">This </w:t>
      </w:r>
      <w:r w:rsidR="00F93DF2" w:rsidRPr="009F45BA">
        <w:rPr>
          <w:rFonts w:ascii="Book Antiqua" w:eastAsia="MS PMincho" w:hAnsi="Book Antiqua"/>
          <w:sz w:val="24"/>
          <w:szCs w:val="24"/>
        </w:rPr>
        <w:t>double-blind, placebo-</w:t>
      </w:r>
      <w:r w:rsidRPr="009F45BA">
        <w:rPr>
          <w:rFonts w:ascii="Book Antiqua" w:eastAsia="MS PMincho" w:hAnsi="Book Antiqua"/>
          <w:sz w:val="24"/>
          <w:szCs w:val="24"/>
        </w:rPr>
        <w:t xml:space="preserve">controlled study </w:t>
      </w:r>
      <w:r w:rsidR="00F93DF2" w:rsidRPr="009F45BA">
        <w:rPr>
          <w:rFonts w:ascii="Book Antiqua" w:eastAsia="MS PMincho" w:hAnsi="Book Antiqua"/>
          <w:sz w:val="24"/>
          <w:szCs w:val="24"/>
        </w:rPr>
        <w:t>showed</w:t>
      </w:r>
      <w:r w:rsidRPr="009F45BA">
        <w:rPr>
          <w:rFonts w:ascii="Book Antiqua" w:eastAsia="MS PMincho" w:hAnsi="Book Antiqua"/>
          <w:sz w:val="24"/>
          <w:szCs w:val="24"/>
        </w:rPr>
        <w:t xml:space="preserve"> that adding</w:t>
      </w:r>
      <w:r w:rsidR="00F93DF2" w:rsidRPr="009F45BA">
        <w:rPr>
          <w:rFonts w:ascii="Book Antiqua" w:eastAsia="MS PMincho" w:hAnsi="Book Antiqua"/>
          <w:sz w:val="24"/>
          <w:szCs w:val="24"/>
        </w:rPr>
        <w:t xml:space="preserve"> IM to </w:t>
      </w:r>
      <w:proofErr w:type="spellStart"/>
      <w:r w:rsidR="00F93DF2" w:rsidRPr="009F45BA">
        <w:rPr>
          <w:rFonts w:ascii="Book Antiqua" w:eastAsia="MS PMincho" w:hAnsi="Book Antiqua"/>
          <w:sz w:val="24"/>
          <w:szCs w:val="24"/>
        </w:rPr>
        <w:t>rabeprazole</w:t>
      </w:r>
      <w:proofErr w:type="spellEnd"/>
      <w:r w:rsidR="00F93DF2" w:rsidRPr="009F45BA">
        <w:rPr>
          <w:rFonts w:ascii="Book Antiqua" w:eastAsia="MS PMincho" w:hAnsi="Book Antiqua"/>
          <w:sz w:val="24"/>
          <w:szCs w:val="24"/>
        </w:rPr>
        <w:t xml:space="preserve"> improved</w:t>
      </w:r>
      <w:r w:rsidRPr="009F45BA">
        <w:rPr>
          <w:rFonts w:ascii="Book Antiqua" w:eastAsia="MS PMincho" w:hAnsi="Book Antiqua"/>
          <w:sz w:val="24"/>
          <w:szCs w:val="24"/>
        </w:rPr>
        <w:t xml:space="preserve"> </w:t>
      </w:r>
      <w:proofErr w:type="spellStart"/>
      <w:r w:rsidRPr="009F45BA">
        <w:rPr>
          <w:rFonts w:ascii="Book Antiqua" w:eastAsia="MS PMincho" w:hAnsi="Book Antiqua"/>
          <w:sz w:val="24"/>
          <w:szCs w:val="24"/>
        </w:rPr>
        <w:t>gastroesophageal</w:t>
      </w:r>
      <w:proofErr w:type="spellEnd"/>
      <w:r w:rsidRPr="009F45BA">
        <w:rPr>
          <w:rFonts w:ascii="Book Antiqua" w:eastAsia="MS PMincho" w:hAnsi="Book Antiqua"/>
          <w:sz w:val="24"/>
          <w:szCs w:val="24"/>
        </w:rPr>
        <w:t xml:space="preserve"> reflux disease </w:t>
      </w:r>
      <w:r w:rsidR="00F93DF2" w:rsidRPr="009F45BA">
        <w:rPr>
          <w:rFonts w:ascii="Book Antiqua" w:eastAsia="MS PMincho" w:hAnsi="Book Antiqua"/>
          <w:sz w:val="24"/>
          <w:szCs w:val="24"/>
        </w:rPr>
        <w:t xml:space="preserve">(GERD) </w:t>
      </w:r>
      <w:r w:rsidRPr="009F45BA">
        <w:rPr>
          <w:rFonts w:ascii="Book Antiqua" w:eastAsia="MS PMincho" w:hAnsi="Book Antiqua"/>
          <w:sz w:val="24"/>
          <w:szCs w:val="24"/>
        </w:rPr>
        <w:t xml:space="preserve">symptoms and the quality of the lives of patients </w:t>
      </w:r>
      <w:r w:rsidR="00F93DF2" w:rsidRPr="009F45BA">
        <w:rPr>
          <w:rFonts w:ascii="Book Antiqua" w:eastAsia="MS PMincho" w:hAnsi="Book Antiqua"/>
          <w:sz w:val="24"/>
          <w:szCs w:val="24"/>
        </w:rPr>
        <w:t>categorized as having</w:t>
      </w:r>
      <w:r w:rsidRPr="009F45BA">
        <w:rPr>
          <w:rFonts w:ascii="Book Antiqua" w:eastAsia="MS PMincho" w:hAnsi="Book Antiqua"/>
          <w:sz w:val="24"/>
          <w:szCs w:val="24"/>
        </w:rPr>
        <w:t xml:space="preserve"> NERD </w:t>
      </w:r>
      <w:r w:rsidR="00D257F4" w:rsidRPr="00D257F4">
        <w:rPr>
          <w:rFonts w:ascii="Book Antiqua" w:eastAsia="MS PMincho" w:hAnsi="Book Antiqua" w:hint="eastAsia"/>
          <w:sz w:val="24"/>
          <w:szCs w:val="24"/>
        </w:rPr>
        <w:t>who did not have minimal changes (grade N)</w:t>
      </w:r>
      <w:r w:rsidR="00F93DF2" w:rsidRPr="009F45BA">
        <w:rPr>
          <w:rFonts w:ascii="Book Antiqua" w:eastAsia="MS PMincho" w:hAnsi="Book Antiqua"/>
          <w:sz w:val="24"/>
          <w:szCs w:val="24"/>
        </w:rPr>
        <w:t xml:space="preserve">, which was based on the </w:t>
      </w:r>
      <w:r w:rsidRPr="009F45BA">
        <w:rPr>
          <w:rFonts w:ascii="Book Antiqua" w:eastAsia="MS PMincho" w:hAnsi="Book Antiqua"/>
          <w:sz w:val="24"/>
          <w:szCs w:val="24"/>
        </w:rPr>
        <w:t>modi</w:t>
      </w:r>
      <w:r w:rsidR="00F93DF2" w:rsidRPr="009F45BA">
        <w:rPr>
          <w:rFonts w:ascii="Book Antiqua" w:eastAsia="MS PMincho" w:hAnsi="Book Antiqua"/>
          <w:sz w:val="24"/>
          <w:szCs w:val="24"/>
        </w:rPr>
        <w:t>fied Los Angeles classification</w:t>
      </w:r>
      <w:r w:rsidRPr="009F45BA">
        <w:rPr>
          <w:rFonts w:ascii="Book Antiqua" w:eastAsia="MS PMincho" w:hAnsi="Book Antiqua"/>
          <w:sz w:val="24"/>
          <w:szCs w:val="24"/>
        </w:rPr>
        <w:t>.</w:t>
      </w:r>
    </w:p>
    <w:p w:rsidR="00D257F4" w:rsidRDefault="00D257F4" w:rsidP="001634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i/>
          <w:sz w:val="24"/>
          <w:szCs w:val="24"/>
          <w:lang w:eastAsia="zh-CN"/>
        </w:rPr>
      </w:pPr>
    </w:p>
    <w:p w:rsidR="00977385" w:rsidRPr="00D257F4" w:rsidRDefault="00294BC8" w:rsidP="00163410">
      <w:pPr>
        <w:widowControl/>
        <w:adjustRightInd w:val="0"/>
        <w:snapToGrid w:val="0"/>
        <w:spacing w:line="360" w:lineRule="auto"/>
        <w:rPr>
          <w:rFonts w:ascii="Book Antiqua" w:eastAsia="MS PMincho" w:hAnsi="Book Antiqua"/>
          <w:b/>
          <w:i/>
          <w:sz w:val="24"/>
          <w:szCs w:val="24"/>
        </w:rPr>
      </w:pPr>
      <w:r>
        <w:rPr>
          <w:rFonts w:ascii="Book Antiqua" w:eastAsia="MS PMincho" w:hAnsi="Book Antiqua"/>
          <w:b/>
          <w:i/>
          <w:sz w:val="24"/>
          <w:szCs w:val="24"/>
        </w:rPr>
        <w:t>Peer</w:t>
      </w:r>
      <w:r>
        <w:rPr>
          <w:rFonts w:ascii="Book Antiqua" w:eastAsia="宋体" w:hAnsi="Book Antiqua" w:hint="eastAsia"/>
          <w:b/>
          <w:i/>
          <w:sz w:val="24"/>
          <w:szCs w:val="24"/>
          <w:lang w:eastAsia="zh-CN"/>
        </w:rPr>
        <w:t>-</w:t>
      </w:r>
      <w:r w:rsidR="00977385" w:rsidRPr="00D257F4">
        <w:rPr>
          <w:rFonts w:ascii="Book Antiqua" w:eastAsia="MS PMincho" w:hAnsi="Book Antiqua"/>
          <w:b/>
          <w:i/>
          <w:sz w:val="24"/>
          <w:szCs w:val="24"/>
        </w:rPr>
        <w:t>review</w:t>
      </w:r>
    </w:p>
    <w:p w:rsidR="00977385" w:rsidRPr="009F45BA" w:rsidRDefault="00977385" w:rsidP="00163410">
      <w:pPr>
        <w:widowControl/>
        <w:adjustRightInd w:val="0"/>
        <w:snapToGrid w:val="0"/>
        <w:spacing w:line="360" w:lineRule="auto"/>
        <w:rPr>
          <w:rFonts w:ascii="Book Antiqua" w:eastAsia="MS PMincho" w:hAnsi="Book Antiqua"/>
          <w:sz w:val="24"/>
          <w:szCs w:val="24"/>
        </w:rPr>
      </w:pPr>
      <w:r w:rsidRPr="009F45BA">
        <w:rPr>
          <w:rFonts w:ascii="Book Antiqua" w:eastAsia="MS PMincho" w:hAnsi="Book Antiqua"/>
          <w:sz w:val="24"/>
          <w:szCs w:val="24"/>
        </w:rPr>
        <w:t xml:space="preserve">This prospective, double-blind, placebo-controlled trial </w:t>
      </w:r>
      <w:r w:rsidR="00F93DF2" w:rsidRPr="009F45BA">
        <w:rPr>
          <w:rFonts w:ascii="Book Antiqua" w:eastAsia="MS PMincho" w:hAnsi="Book Antiqua"/>
          <w:sz w:val="24"/>
          <w:szCs w:val="24"/>
        </w:rPr>
        <w:t xml:space="preserve">was </w:t>
      </w:r>
      <w:r w:rsidRPr="009F45BA">
        <w:rPr>
          <w:rFonts w:ascii="Book Antiqua" w:eastAsia="MS PMincho" w:hAnsi="Book Antiqua"/>
          <w:sz w:val="24"/>
          <w:szCs w:val="24"/>
        </w:rPr>
        <w:t>designed to evaluate the efficacy of adding IM to PPI therapy in endoscop</w:t>
      </w:r>
      <w:r w:rsidR="00AC486C" w:rsidRPr="009F45BA">
        <w:rPr>
          <w:rFonts w:ascii="Book Antiqua" w:eastAsia="MS PMincho" w:hAnsi="Book Antiqua"/>
          <w:sz w:val="24"/>
          <w:szCs w:val="24"/>
        </w:rPr>
        <w:t>y</w:t>
      </w:r>
      <w:r w:rsidRPr="009F45BA">
        <w:rPr>
          <w:rFonts w:ascii="Book Antiqua" w:eastAsia="MS PMincho" w:hAnsi="Book Antiqua"/>
          <w:sz w:val="24"/>
          <w:szCs w:val="24"/>
        </w:rPr>
        <w:t xml:space="preserve">-negative Japanese patients with reflux symptoms. The </w:t>
      </w:r>
      <w:r w:rsidR="00F93DF2" w:rsidRPr="009F45BA">
        <w:rPr>
          <w:rFonts w:ascii="Book Antiqua" w:eastAsia="MS PMincho" w:hAnsi="Book Antiqua"/>
          <w:sz w:val="24"/>
          <w:szCs w:val="24"/>
        </w:rPr>
        <w:t xml:space="preserve">study’s </w:t>
      </w:r>
      <w:r w:rsidRPr="009F45BA">
        <w:rPr>
          <w:rFonts w:ascii="Book Antiqua" w:eastAsia="MS PMincho" w:hAnsi="Book Antiqua"/>
          <w:sz w:val="24"/>
          <w:szCs w:val="24"/>
        </w:rPr>
        <w:t xml:space="preserve">main </w:t>
      </w:r>
      <w:r w:rsidR="00F93DF2" w:rsidRPr="009F45BA">
        <w:rPr>
          <w:rFonts w:ascii="Book Antiqua" w:eastAsia="MS PMincho" w:hAnsi="Book Antiqua"/>
          <w:sz w:val="24"/>
          <w:szCs w:val="24"/>
        </w:rPr>
        <w:t>finding was</w:t>
      </w:r>
      <w:r w:rsidRPr="009F45BA">
        <w:rPr>
          <w:rFonts w:ascii="Book Antiqua" w:eastAsia="MS PMincho" w:hAnsi="Book Antiqua"/>
          <w:sz w:val="24"/>
          <w:szCs w:val="24"/>
        </w:rPr>
        <w:t xml:space="preserve"> that </w:t>
      </w:r>
      <w:r w:rsidR="00F93DF2" w:rsidRPr="009F45BA">
        <w:rPr>
          <w:rFonts w:ascii="Book Antiqua" w:eastAsia="MS PMincho" w:hAnsi="Book Antiqua"/>
          <w:sz w:val="24"/>
          <w:szCs w:val="24"/>
        </w:rPr>
        <w:t xml:space="preserve">there was </w:t>
      </w:r>
      <w:r w:rsidRPr="009F45BA">
        <w:rPr>
          <w:rFonts w:ascii="Book Antiqua" w:eastAsia="MS PMincho" w:hAnsi="Book Antiqua"/>
          <w:sz w:val="24"/>
          <w:szCs w:val="24"/>
        </w:rPr>
        <w:t>no statistically significant difference between group I (IM</w:t>
      </w:r>
      <w:r w:rsidR="00AC486C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Pr="009F45BA">
        <w:rPr>
          <w:rFonts w:ascii="Book Antiqua" w:eastAsia="MS PMincho" w:hAnsi="Book Antiqua"/>
          <w:sz w:val="24"/>
          <w:szCs w:val="24"/>
        </w:rPr>
        <w:t>+</w:t>
      </w:r>
      <w:r w:rsidR="00AC486C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F93DF2" w:rsidRPr="009F45BA">
        <w:rPr>
          <w:rFonts w:ascii="Book Antiqua" w:eastAsia="MS PMincho" w:hAnsi="Book Antiqua"/>
          <w:sz w:val="24"/>
          <w:szCs w:val="24"/>
        </w:rPr>
        <w:t>PPI) and</w:t>
      </w:r>
      <w:r w:rsidRPr="009F45BA">
        <w:rPr>
          <w:rFonts w:ascii="Book Antiqua" w:eastAsia="MS PMincho" w:hAnsi="Book Antiqua"/>
          <w:sz w:val="24"/>
          <w:szCs w:val="24"/>
        </w:rPr>
        <w:t xml:space="preserve"> group P (place</w:t>
      </w:r>
      <w:r w:rsidR="00AC486C" w:rsidRPr="009F45BA">
        <w:rPr>
          <w:rFonts w:ascii="Book Antiqua" w:eastAsia="MS PMincho" w:hAnsi="Book Antiqua"/>
          <w:sz w:val="24"/>
          <w:szCs w:val="24"/>
        </w:rPr>
        <w:t>b</w:t>
      </w:r>
      <w:r w:rsidRPr="009F45BA">
        <w:rPr>
          <w:rFonts w:ascii="Book Antiqua" w:eastAsia="MS PMincho" w:hAnsi="Book Antiqua"/>
          <w:sz w:val="24"/>
          <w:szCs w:val="24"/>
        </w:rPr>
        <w:t>o</w:t>
      </w:r>
      <w:r w:rsidR="00AC486C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Pr="009F45BA">
        <w:rPr>
          <w:rFonts w:ascii="Book Antiqua" w:eastAsia="MS PMincho" w:hAnsi="Book Antiqua"/>
          <w:sz w:val="24"/>
          <w:szCs w:val="24"/>
        </w:rPr>
        <w:t>+</w:t>
      </w:r>
      <w:r w:rsidR="00AC486C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Pr="009F45BA">
        <w:rPr>
          <w:rFonts w:ascii="Book Antiqua" w:eastAsia="MS PMincho" w:hAnsi="Book Antiqua"/>
          <w:sz w:val="24"/>
          <w:szCs w:val="24"/>
        </w:rPr>
        <w:t>PPI)</w:t>
      </w:r>
      <w:r w:rsidR="00F93DF2" w:rsidRPr="009F45BA">
        <w:rPr>
          <w:rFonts w:ascii="Book Antiqua" w:eastAsia="MS PMincho" w:hAnsi="Book Antiqua"/>
          <w:sz w:val="24"/>
          <w:szCs w:val="24"/>
        </w:rPr>
        <w:t xml:space="preserve"> with respect to the</w:t>
      </w:r>
      <w:r w:rsidR="00D257F4" w:rsidRPr="009F45BA">
        <w:rPr>
          <w:rFonts w:ascii="Book Antiqua" w:eastAsia="MS PMincho" w:hAnsi="Book Antiqua"/>
          <w:sz w:val="24"/>
          <w:szCs w:val="24"/>
        </w:rPr>
        <w:t xml:space="preserve"> Frequency Scale for the Symptoms of</w:t>
      </w:r>
      <w:r w:rsidR="00F93DF2" w:rsidRPr="009F45BA">
        <w:rPr>
          <w:rFonts w:ascii="Book Antiqua" w:eastAsia="MS PMincho" w:hAnsi="Book Antiqua"/>
          <w:sz w:val="24"/>
          <w:szCs w:val="24"/>
        </w:rPr>
        <w:t xml:space="preserve"> GERD (FSSG) scores</w:t>
      </w:r>
      <w:r w:rsidRPr="009F45BA">
        <w:rPr>
          <w:rFonts w:ascii="Book Antiqua" w:eastAsia="MS PMincho" w:hAnsi="Book Antiqua"/>
          <w:sz w:val="24"/>
          <w:szCs w:val="24"/>
        </w:rPr>
        <w:t xml:space="preserve">. Moreover, a subgroup analysis showed that significant </w:t>
      </w:r>
      <w:r w:rsidRPr="009F45BA">
        <w:rPr>
          <w:rFonts w:ascii="Book Antiqua" w:eastAsia="MS PMincho" w:hAnsi="Book Antiqua"/>
          <w:sz w:val="24"/>
          <w:szCs w:val="24"/>
        </w:rPr>
        <w:lastRenderedPageBreak/>
        <w:t>improvements in the FSSG scores had occurred in the patients in group I who had NERD grade N</w:t>
      </w:r>
      <w:r w:rsidR="00F93DF2" w:rsidRPr="009F45BA">
        <w:rPr>
          <w:rFonts w:ascii="Book Antiqua" w:eastAsia="MS PMincho" w:hAnsi="Book Antiqua"/>
          <w:sz w:val="24"/>
          <w:szCs w:val="24"/>
        </w:rPr>
        <w:t>, which was defined based on</w:t>
      </w:r>
      <w:r w:rsidRPr="009F45BA">
        <w:rPr>
          <w:rFonts w:ascii="Book Antiqua" w:eastAsia="MS PMincho" w:hAnsi="Book Antiqua"/>
          <w:sz w:val="24"/>
          <w:szCs w:val="24"/>
        </w:rPr>
        <w:t xml:space="preserve"> endoscopic assessment</w:t>
      </w:r>
      <w:r w:rsidR="00F93DF2" w:rsidRPr="009F45BA">
        <w:rPr>
          <w:rFonts w:ascii="Book Antiqua" w:eastAsia="MS PMincho" w:hAnsi="Book Antiqua"/>
          <w:sz w:val="24"/>
          <w:szCs w:val="24"/>
        </w:rPr>
        <w:t>s</w:t>
      </w:r>
      <w:r w:rsidRPr="009F45BA">
        <w:rPr>
          <w:rFonts w:ascii="Book Antiqua" w:eastAsia="MS PMincho" w:hAnsi="Book Antiqua"/>
          <w:sz w:val="24"/>
          <w:szCs w:val="24"/>
        </w:rPr>
        <w:t>.</w:t>
      </w:r>
    </w:p>
    <w:p w:rsidR="00D257F4" w:rsidRDefault="00D257F4" w:rsidP="001634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3B4AFD" w:rsidRPr="00B91C5E" w:rsidRDefault="0040669F" w:rsidP="00163410">
      <w:pPr>
        <w:widowControl/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B91C5E">
        <w:rPr>
          <w:rFonts w:ascii="Book Antiqua" w:eastAsia="MS Gothic" w:hAnsi="Book Antiqua"/>
          <w:b/>
          <w:sz w:val="24"/>
          <w:szCs w:val="24"/>
        </w:rPr>
        <w:t>REFERENCES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 </w:t>
      </w:r>
      <w:proofErr w:type="spellStart"/>
      <w:r w:rsidRPr="00B91C5E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Moayyedi</w:t>
      </w:r>
      <w:proofErr w:type="spellEnd"/>
      <w:r w:rsidRPr="00B91C5E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 xml:space="preserve"> P, 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Tally NJ. Gastro-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oesophageal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reflux disease. </w:t>
      </w:r>
      <w:r w:rsidRPr="00B91C5E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>Lancet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2006; </w:t>
      </w:r>
      <w:r w:rsidRPr="00B91C5E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367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2086-2100 [PIMD: 16798392</w:t>
      </w:r>
      <w:r w:rsidR="00434BC8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="00434BC8" w:rsidRPr="00434BC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10.1016/S0140-6736(06)68932-0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] 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 </w:t>
      </w:r>
      <w:proofErr w:type="spellStart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Vakil</w:t>
      </w:r>
      <w:proofErr w:type="spellEnd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N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van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Zanten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SV,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Kahrilas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Dent J, Jones R. The Montreal definition and classification of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gastroesophageal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reflux disease: a global evidence-based consensus. </w:t>
      </w:r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Am J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2006;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101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1900-120; quiz 1943 [PMID: 16928254 DOI: 10.1111/j.1572-0241.2006.00630.x]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Armstrong D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.</w:t>
      </w:r>
      <w:proofErr w:type="gram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gram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 critical assessment of the current status of non-erosive reflux disease.</w:t>
      </w:r>
      <w:proofErr w:type="gram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Digestion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2008;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78 </w:t>
      </w:r>
      <w:proofErr w:type="spellStart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Suppl</w:t>
      </w:r>
      <w:proofErr w:type="spellEnd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1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46-54 [PMID: 18832840 DOI: 10.1159/000151255]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 </w:t>
      </w:r>
      <w:proofErr w:type="spellStart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Hongo</w:t>
      </w:r>
      <w:proofErr w:type="spellEnd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. Minimal changes in reflux esophagitis: red ones and white ones. </w:t>
      </w:r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2006;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41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95-99 [PMID: 16568367 DOI: 10.1007/s00535-006-1775-4]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5 </w:t>
      </w:r>
      <w:proofErr w:type="spellStart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Fass</w:t>
      </w:r>
      <w:proofErr w:type="spellEnd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R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Shapiro M,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Dekel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Sewell J. Systematic review: proton-pump inhibitor failure in gastro-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oesophageal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reflux disease--where next? </w:t>
      </w:r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Aliment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Pharmacol</w:t>
      </w:r>
      <w:proofErr w:type="spellEnd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Ther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2005;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22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79-94 [PMID: 16011666 DOI: 10.1111/j.1365-2036.2005.02531.x]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6 </w:t>
      </w:r>
      <w:proofErr w:type="spellStart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Savarino</w:t>
      </w:r>
      <w:proofErr w:type="spellEnd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E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Zentilin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Savarino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V. NERD: an umbrella term including heterogeneous subpopulations. </w:t>
      </w:r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Nat Rev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10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371-380 [PMID: 23528345 DOI: 10</w:t>
      </w:r>
      <w:r w:rsidR="00434BC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] 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7 </w:t>
      </w:r>
      <w:proofErr w:type="spellStart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Savarino</w:t>
      </w:r>
      <w:proofErr w:type="spellEnd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E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Zentilin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Tutuian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Pohl D,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Gemignani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Malesci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Savarino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V. Impedance-pH reflux patterns can differentiate non-erosive reflux disease from functional heartburn patients. </w:t>
      </w:r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47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159-168 [PMID: 22038553 DOI: 10.1007/s00535-011-0480-0]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8 </w:t>
      </w:r>
      <w:proofErr w:type="spellStart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Weijenborg</w:t>
      </w:r>
      <w:proofErr w:type="spellEnd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PW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Cremonini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Smout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AJ,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Bredenoord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AJ. PPI therapy is equally effective in well-defined non-erosive reflux disease and in reflux esophagitis: a meta-analysis.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Neurogastroenterol</w:t>
      </w:r>
      <w:proofErr w:type="spellEnd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Motil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24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747-57, e350 [PMID: 22309489 DOI: 10.1111/j.1365-2982.2012.01888.x</w:t>
      </w:r>
      <w:r w:rsidR="00434BC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] 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9 </w:t>
      </w:r>
      <w:proofErr w:type="spellStart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Pandolfino</w:t>
      </w:r>
      <w:proofErr w:type="spellEnd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JE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Kahrilas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PJ.</w:t>
      </w:r>
      <w:proofErr w:type="gram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Prolonged pH monitoring: Bravo capsule.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Gastrointest</w:t>
      </w:r>
      <w:proofErr w:type="spellEnd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Endosc</w:t>
      </w:r>
      <w:proofErr w:type="spellEnd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Clin</w:t>
      </w:r>
      <w:proofErr w:type="spellEnd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N Am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2005;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15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307-318 [PMID: 15722243 DOI: 10.1111/j.1572-0241.2005.41918.x]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10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Orlando LA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Orlando RC.</w:t>
      </w:r>
      <w:proofErr w:type="gram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gram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Dilated intercellular spaces as a marker of GERD.</w:t>
      </w:r>
      <w:proofErr w:type="gram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Curr</w:t>
      </w:r>
      <w:proofErr w:type="spellEnd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Rep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2009;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11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190-194 [PMID: 19463218 DOI: 10.1007/s11894-009-0030-6]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11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Sakata Y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Tominaga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Kato M, Takeda H,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Shimoyama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Takeuchi T,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Iwakiri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Furuta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Sakurai K,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Odaka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Kusunoki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Nagahara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Iwakiri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Furuta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Murakami K, Miwa H, Kinoshita Y,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Haruma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Takahashi S, Watanabe S, Higuchi K, Fujimoto K,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Kusano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Arakawa T. Clinical characteristics of elderly patients with proton pump inhibitor-refractory non-erosive reflux disease from the G-PRIDE study who responded to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rikkunshito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. </w:t>
      </w:r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BMC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14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116 [PMID: 24990161 DOI: 10.1186/1471-230x-14-116</w:t>
      </w:r>
      <w:r w:rsidR="00434BC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] 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12 </w:t>
      </w:r>
      <w:proofErr w:type="spellStart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Kusano</w:t>
      </w:r>
      <w:proofErr w:type="spellEnd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Shimoyama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Sugimoto S, Kawamura O, Maeda M,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Minashi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Kuribayashi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Higuchi T,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Zai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Ino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Horikoshi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Sugiyama T, Toki M, Ohwada T, Mori M. Development and evaluation of FSSG: frequency scale for the symptoms of GERD. </w:t>
      </w:r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2004;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39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888-891 [PMID: 15565409 DOI: 10.1007/s00535-004-1417-7]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13 </w:t>
      </w:r>
      <w:proofErr w:type="spellStart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Tominaga</w:t>
      </w:r>
      <w:proofErr w:type="spellEnd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K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Iwakiri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Fujimoto K, Fujiwara Y, Tanaka M,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Shimoyama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Umegaki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Higuchi K,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Kusano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Arakawa T.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Rikkunshito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improves symptoms in PPI-refractory GERD patients: a prospective, randomized, multicenter trial in Japan. </w:t>
      </w:r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47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284-292 [PMID: 22081052 DOI: 10.1007/s0053-011-0488-5]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14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Talley NJ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Lauritsen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Tunturi-Hihnala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Lind T,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Moum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B, Bang C, Schulz T,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Omland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TM,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Delle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Junghard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O. Esomeprazole 20 mg maintains symptom control in endoscopy-negative gastro-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oesophageal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reflux disease: a controlled trial of 'on-demand' therapy for 6 months. </w:t>
      </w:r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Aliment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Pharmacol</w:t>
      </w:r>
      <w:proofErr w:type="spellEnd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Ther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2001;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15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347-354 [PMID: 11207509 DOI: 10.1046/j.1365-2036.2001.00943.x]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15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Talley NJ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Venables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TL, Green JR, Armstrong D,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O'Kane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KP,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Giaffer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Bardhan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KD,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Carlsson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RG, Chen S,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Hasselgren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GS. Esomeprazole 40 mg and 20 mg is efficacious in the long-term management of patients with endoscopy-negative gastro-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oesophageal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reflux disease: a placebo-controlled trial of on-demand therapy for 6 months.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Eur</w:t>
      </w:r>
      <w:proofErr w:type="spellEnd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J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Hepatol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2002;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14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857-863 [PMID: 12172406 DOI: 10.1097/00042737-200208000-00008]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16 </w:t>
      </w:r>
      <w:proofErr w:type="spellStart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Bytzer</w:t>
      </w:r>
      <w:proofErr w:type="spellEnd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P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Blum A, De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Herdt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Dubois D. Six-month trial of on-demand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rabeprazole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10 mg maintains symptom relief in patients with non-erosive </w:t>
      </w:r>
      <w:proofErr w:type="gram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reflux</w:t>
      </w:r>
      <w:proofErr w:type="gram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disease. </w:t>
      </w:r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Aliment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Pharmacol</w:t>
      </w:r>
      <w:proofErr w:type="spellEnd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Ther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2004;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20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181-188 [PMID: 15233698 DOI: 10.1111/j.1365-2036.2004.01999.x]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17 </w:t>
      </w:r>
      <w:proofErr w:type="spellStart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Kobeissy</w:t>
      </w:r>
      <w:proofErr w:type="spellEnd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AA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Hashash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JG,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Jamali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FR,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Skoury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AM, Haddad R, El-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Samad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Ladki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Aswad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Soweid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AM. </w:t>
      </w:r>
      <w:proofErr w:type="gram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A randomized open-label trial of on-demand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rabeprazole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vs ranitidine for patients with non-erosive reflux disease.</w:t>
      </w:r>
      <w:proofErr w:type="gram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World J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18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2390-2395 [PMID: 22654431 DOI: 10.3748/wjg.v18.i19.2390]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18 </w:t>
      </w:r>
      <w:proofErr w:type="spellStart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Tominaga</w:t>
      </w:r>
      <w:proofErr w:type="spellEnd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K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Kato M, Takeda H,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Shimoyama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Umegaki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Iwakiri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Furuta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Sakurai K,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Odaka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Kusunoki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Nagahara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Iwakiri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Furuta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Murakami K, Miwa H, Kinoshita Y,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Haruma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Takahashi S, Watanabe S, Higuchi K,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Kusano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Fujimoto K, Arakawa T. A randomized, placebo-controlled, double-blind clinical trial of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rikkunshito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for patients with non-erosive reflux disease refractory to proton-pump inhibitor: the G-PRIDE study. </w:t>
      </w:r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49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1392-1405 [PMID: 24535455]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19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Rodriguez-Stanley S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Robinson M, Earnest DL, Greenwood-Van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Meerveld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B, Miner PB.</w:t>
      </w:r>
      <w:proofErr w:type="gram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Esophageal hypersensitivity may be a major cause of heartburn. </w:t>
      </w:r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Am J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1999;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94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628-631 [PMID: 10086642 DOI: 10.1111/j.1572-0241.1999.00925.x]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20 </w:t>
      </w:r>
      <w:proofErr w:type="spellStart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Nagahara</w:t>
      </w:r>
      <w:proofErr w:type="spellEnd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Miwa H,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Minoo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Hojo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Kawabe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Osada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Kurosawa A,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Asaoka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Terai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Ohkusa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Sato N. Increased esophageal sensitivity to acid and saline in patients with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nonerosive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gastro-esophageal reflux disease. </w:t>
      </w:r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Clin</w:t>
      </w:r>
      <w:proofErr w:type="spellEnd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="00434BC8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2006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40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891-895 [PMID: 17063106 DOI: 10.1097/01.mcg.0000225673.76475.9d]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21 </w:t>
      </w:r>
      <w:proofErr w:type="spellStart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Wiklund</w:t>
      </w:r>
      <w:proofErr w:type="spellEnd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I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Carlsson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Carlsson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Glise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H. Psychological factors as a predictor of treatment response in patients with heartburn: a pooled analysis of clinical trials.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Scand</w:t>
      </w:r>
      <w:proofErr w:type="spellEnd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J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2006;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41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288-293 [PMID: 16497615 DOI: 10.1080/00365520500292970]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22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Miwa H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Inoue K,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Ashida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Kogawa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Nagahara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Yoshida S,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Tano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Yamazaki Y, Wada T,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Asaoka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Fujita T, Tanaka J,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Shimatani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Manabe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Oshima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Haruma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Azuma T, Yokoyama T.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Randomised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clinical trial: efficacy of the addition of a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prokinetic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mosapride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citrate, to omeprazole in the treatment of patients with non-erosive reflux disease - a double-blind, placebo-controlled study. </w:t>
      </w:r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Aliment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Pharmacol</w:t>
      </w:r>
      <w:proofErr w:type="spellEnd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Ther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2011;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33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323-332 [PMID: 21118395 DOI: 10.1111/j.1365-2036.2010.04517.x</w:t>
      </w:r>
      <w:r w:rsidR="00434BC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] 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23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Adachi K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Furuta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Miwa H,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Oshima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Miki M,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Komazawa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Iwakiri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Furuta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Koike T,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Shimatani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Kinoshita Y. </w:t>
      </w:r>
      <w:proofErr w:type="gram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A study on the efficacy of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rebamipide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for patients with proton pump</w:t>
      </w:r>
      <w:proofErr w:type="gram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inhibitor-refractory non-erosive 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reflux disease. </w:t>
      </w:r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Dig Dis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2012;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57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1609-1617 [PMID: 22367114 DOI: 10.1007/s10620-012-2087-6</w:t>
      </w:r>
      <w:r w:rsidR="00434BC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] 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24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Joh T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Miwa H, Higuchi K,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Shimatani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Manabe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Adachi K, Wada T, Sasaki M, Fujiwara Y,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Hongo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Chiba T, Kinoshita Y. Validity of endoscopic classification of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nonerosive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reflux disease. </w:t>
      </w:r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2007;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42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444-449 [PMID: 17671758 DOI: 10.1007/s00535-007-2022-3]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25 </w:t>
      </w:r>
      <w:proofErr w:type="spellStart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Oyamada</w:t>
      </w:r>
      <w:proofErr w:type="spellEnd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Y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Oyamada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Fusco A, Yamasaki H. Aberrant expression, function and localization of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connexins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in human esophageal carcinoma cell lines with different degrees of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tumorigenicity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. </w:t>
      </w:r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Cancer Res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Clin</w:t>
      </w:r>
      <w:proofErr w:type="spellEnd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Oncol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1994;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120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445-453 [PMID: 8207042 DOI: 10.1007/BF01191797]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26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Morita H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Katsuno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Hoshimoto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Hirano N, Saito Y, Suzuki Y.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Connexin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26-mediated gap junctional intercellular communication suppresses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paracellular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permeability of human intestinal epithelial cell monolayers.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Exp</w:t>
      </w:r>
      <w:proofErr w:type="spellEnd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Cell Res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2004;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298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1-8 [PMID: 15242756 DOI: 10.1016/j.yexcr.2004.03.046]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27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Kojima T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Spray DC,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Kokai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Chiba H, Mochizuki Y, Sawada N. Cx32 formation and/or Cx32-mediated intercellular communication induces expression and function of tight junctions in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hepatocytic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cell line.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Exp</w:t>
      </w:r>
      <w:proofErr w:type="spellEnd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Cell Res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2002;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276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40-51 [PMID: 11978007 DOI: 10.1006/excr.2002.5511]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28 </w:t>
      </w:r>
      <w:proofErr w:type="spellStart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Isomura</w:t>
      </w:r>
      <w:proofErr w:type="spellEnd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Y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Yamaji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Yamada A, Watanabe Y, Suzuki H, Kobayashi Y, Yoshida S,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Watabe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Hirata Y, Yoshida H, Koike K.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Irsogladine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improves small-intestinal injuries in regular users of nonsteroidal anti-inflammatory drugs.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Gastrointest</w:t>
      </w:r>
      <w:proofErr w:type="spellEnd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Endosc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2014;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80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118-125 [PMID: 24518124 DOI: 10.1016/j.gie.2013.12.030</w:t>
      </w:r>
      <w:r w:rsidR="00434BC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] 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29 </w:t>
      </w:r>
      <w:proofErr w:type="spellStart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Savarino</w:t>
      </w:r>
      <w:proofErr w:type="spellEnd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E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Zentilin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Mastracci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L, Dulbecco P,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Marabotto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Gemignani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Bruzzone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L, de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Bortoli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Frigo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AC,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Fiocca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Savarino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V. Microscopic esophagitis distinguishes patients with non-erosive reflux disease from those with functional heartburn. </w:t>
      </w:r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2013;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48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473-482 [PMID: 23001252 DOI: 10.1007/s00535-012-0672-2</w:t>
      </w:r>
      <w:r w:rsidR="00434BC8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] 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30 </w:t>
      </w:r>
      <w:proofErr w:type="spellStart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Savarino</w:t>
      </w:r>
      <w:proofErr w:type="spellEnd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E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Zentilin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Tutuian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Pohl D, Casa DD,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Frazzoni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Cestari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Savarino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V. The role of nonacid reflux in NERD: lessons learned from impedance-pH monitoring in 150 patients off therapy. </w:t>
      </w:r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Am J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2008;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103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2685-2693 [PMID: 18775017 DOI: 10.1111/j.1572-0241.2008.02119.x]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31 </w:t>
      </w:r>
      <w:proofErr w:type="spellStart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Kulig</w:t>
      </w:r>
      <w:proofErr w:type="spellEnd"/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Leodolter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Vieth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Schulte E,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Jaspersen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Labenz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Lind T, Meyer-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Sabellek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W,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Malfertheiner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Stolte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Willich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SN. Quality of life in relation to symptoms in patients with gastro-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oesophageal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reflux disease-- an 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 xml:space="preserve">analysis based on the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ProGERD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initiative. </w:t>
      </w:r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Aliment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Pharmacol</w:t>
      </w:r>
      <w:proofErr w:type="spellEnd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Ther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2003;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18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767-776 [PMID: 14535869 DOI: 10.1046/j.1365-2036.2003.01770.x]</w:t>
      </w:r>
    </w:p>
    <w:p w:rsidR="00B91C5E" w:rsidRPr="00B91C5E" w:rsidRDefault="00B91C5E" w:rsidP="00B91C5E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32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Ware JE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Sherbourne</w:t>
      </w:r>
      <w:proofErr w:type="spell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CD.</w:t>
      </w:r>
      <w:proofErr w:type="gramEnd"/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The MOS 36-item short-form health survey (SF-36). I. Conceptual framework and item selection. </w:t>
      </w:r>
      <w:r w:rsidRPr="00B91C5E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Med Care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1992; </w:t>
      </w:r>
      <w:r w:rsidRPr="00B91C5E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30</w:t>
      </w:r>
      <w:r w:rsidRPr="00B91C5E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473-483 [PMID: 1593914 DOI: 10.1097/00005650-199206000-00002]</w:t>
      </w:r>
    </w:p>
    <w:p w:rsidR="00D257F4" w:rsidRPr="005C1400" w:rsidRDefault="00D257F4" w:rsidP="00D257F4">
      <w:pPr>
        <w:wordWrap w:val="0"/>
        <w:spacing w:line="360" w:lineRule="auto"/>
        <w:ind w:left="361" w:hangingChars="150" w:hanging="361"/>
        <w:jc w:val="right"/>
        <w:rPr>
          <w:rFonts w:ascii="Book Antiqua" w:eastAsia="宋体" w:hAnsi="Book Antiqua"/>
          <w:sz w:val="24"/>
          <w:lang w:eastAsia="zh-CN"/>
        </w:rPr>
      </w:pPr>
      <w:r w:rsidRPr="009E3692">
        <w:rPr>
          <w:rFonts w:ascii="Book Antiqua" w:hAnsi="Book Antiqua"/>
          <w:b/>
          <w:bCs/>
          <w:sz w:val="24"/>
        </w:rPr>
        <w:t>P-Reviewer</w:t>
      </w:r>
      <w:r>
        <w:rPr>
          <w:rFonts w:ascii="Book Antiqua" w:hAnsi="Book Antiqua"/>
          <w:b/>
          <w:bCs/>
          <w:sz w:val="24"/>
        </w:rPr>
        <w:t>:</w:t>
      </w:r>
      <w:r>
        <w:rPr>
          <w:rFonts w:ascii="Book Antiqua" w:eastAsia="宋体" w:hAnsi="Book Antiqua" w:hint="eastAsia"/>
          <w:b/>
          <w:bCs/>
          <w:sz w:val="24"/>
          <w:lang w:eastAsia="zh-CN"/>
        </w:rPr>
        <w:t xml:space="preserve"> </w:t>
      </w:r>
      <w:r w:rsidR="00FA7660" w:rsidRPr="00FA7660">
        <w:rPr>
          <w:rFonts w:ascii="Book Antiqua" w:eastAsia="宋体" w:hAnsi="Book Antiqua"/>
          <w:bCs/>
          <w:sz w:val="24"/>
          <w:lang w:eastAsia="zh-CN"/>
        </w:rPr>
        <w:t>George</w:t>
      </w:r>
      <w:r w:rsidR="00FA7660">
        <w:rPr>
          <w:rFonts w:ascii="Book Antiqua" w:eastAsia="宋体" w:hAnsi="Book Antiqua"/>
          <w:bCs/>
          <w:sz w:val="24"/>
          <w:lang w:eastAsia="zh-CN"/>
        </w:rPr>
        <w:t xml:space="preserve"> </w:t>
      </w:r>
      <w:r w:rsidR="00FA7660">
        <w:rPr>
          <w:rFonts w:ascii="Book Antiqua" w:eastAsia="宋体" w:hAnsi="Book Antiqua" w:hint="eastAsia"/>
          <w:bCs/>
          <w:sz w:val="24"/>
          <w:lang w:eastAsia="zh-CN"/>
        </w:rPr>
        <w:t>J,</w:t>
      </w:r>
      <w:r w:rsidR="00FA7660">
        <w:rPr>
          <w:rFonts w:ascii="Book Antiqua" w:eastAsia="宋体" w:hAnsi="Book Antiqua" w:hint="eastAsia"/>
          <w:b/>
          <w:bCs/>
          <w:sz w:val="24"/>
          <w:lang w:eastAsia="zh-CN"/>
        </w:rPr>
        <w:t xml:space="preserve"> </w:t>
      </w:r>
      <w:r w:rsidRPr="00D257F4">
        <w:rPr>
          <w:rFonts w:ascii="Book Antiqua" w:eastAsia="宋体" w:hAnsi="Book Antiqua"/>
          <w:bCs/>
          <w:sz w:val="24"/>
          <w:lang w:eastAsia="zh-CN"/>
        </w:rPr>
        <w:t>Higuchi</w:t>
      </w:r>
      <w:r w:rsidRPr="00D257F4">
        <w:rPr>
          <w:rFonts w:ascii="Book Antiqua" w:eastAsia="宋体" w:hAnsi="Book Antiqua" w:hint="eastAsia"/>
          <w:bCs/>
          <w:sz w:val="24"/>
          <w:lang w:eastAsia="zh-CN"/>
        </w:rPr>
        <w:t xml:space="preserve"> </w:t>
      </w:r>
      <w:r w:rsidRPr="00D257F4">
        <w:rPr>
          <w:rFonts w:ascii="Book Antiqua" w:eastAsia="宋体" w:hAnsi="Book Antiqua"/>
          <w:bCs/>
          <w:sz w:val="24"/>
          <w:lang w:eastAsia="zh-CN"/>
        </w:rPr>
        <w:t>K</w:t>
      </w:r>
      <w:r w:rsidRPr="00D257F4">
        <w:rPr>
          <w:rFonts w:ascii="Book Antiqua" w:eastAsia="宋体" w:hAnsi="Book Antiqua" w:hint="eastAsia"/>
          <w:bCs/>
          <w:sz w:val="24"/>
          <w:lang w:eastAsia="zh-CN"/>
        </w:rPr>
        <w:t>,</w:t>
      </w:r>
      <w:r w:rsidRPr="00D257F4">
        <w:rPr>
          <w:rFonts w:eastAsia="宋体" w:hint="eastAsia"/>
          <w:lang w:eastAsia="zh-CN"/>
        </w:rPr>
        <w:t xml:space="preserve"> </w:t>
      </w:r>
      <w:proofErr w:type="spellStart"/>
      <w:r w:rsidRPr="00D257F4">
        <w:rPr>
          <w:rFonts w:ascii="Book Antiqua" w:eastAsia="宋体" w:hAnsi="Book Antiqua"/>
          <w:bCs/>
          <w:sz w:val="24"/>
          <w:lang w:eastAsia="zh-CN"/>
        </w:rPr>
        <w:t>Savarino</w:t>
      </w:r>
      <w:proofErr w:type="spellEnd"/>
      <w:r w:rsidRPr="00D257F4">
        <w:rPr>
          <w:rFonts w:ascii="Book Antiqua" w:eastAsia="宋体" w:hAnsi="Book Antiqua" w:hint="eastAsia"/>
          <w:bCs/>
          <w:sz w:val="24"/>
          <w:lang w:eastAsia="zh-CN"/>
        </w:rPr>
        <w:t xml:space="preserve"> E, </w:t>
      </w:r>
      <w:proofErr w:type="spellStart"/>
      <w:proofErr w:type="gramStart"/>
      <w:r w:rsidRPr="00D257F4">
        <w:rPr>
          <w:rFonts w:ascii="Book Antiqua" w:eastAsia="宋体" w:hAnsi="Book Antiqua"/>
          <w:bCs/>
          <w:sz w:val="24"/>
          <w:lang w:eastAsia="zh-CN"/>
        </w:rPr>
        <w:t>Xie</w:t>
      </w:r>
      <w:proofErr w:type="spellEnd"/>
      <w:proofErr w:type="gramEnd"/>
      <w:r w:rsidRPr="00D257F4">
        <w:rPr>
          <w:rFonts w:ascii="Book Antiqua" w:eastAsia="宋体" w:hAnsi="Book Antiqua" w:hint="eastAsia"/>
          <w:bCs/>
          <w:sz w:val="24"/>
          <w:lang w:eastAsia="zh-CN"/>
        </w:rPr>
        <w:t xml:space="preserve"> </w:t>
      </w:r>
      <w:r w:rsidRPr="00D257F4">
        <w:rPr>
          <w:rFonts w:ascii="Book Antiqua" w:eastAsia="宋体" w:hAnsi="Book Antiqua"/>
          <w:bCs/>
          <w:sz w:val="24"/>
          <w:lang w:eastAsia="zh-CN"/>
        </w:rPr>
        <w:t>HG</w:t>
      </w:r>
      <w:r w:rsidR="00FA7660">
        <w:rPr>
          <w:rFonts w:ascii="Book Antiqua" w:eastAsia="宋体" w:hAnsi="Book Antiqua" w:hint="eastAsia"/>
          <w:bCs/>
          <w:sz w:val="24"/>
          <w:lang w:eastAsia="zh-CN"/>
        </w:rPr>
        <w:t xml:space="preserve"> </w:t>
      </w:r>
      <w:r w:rsidRPr="009E3692">
        <w:rPr>
          <w:rFonts w:ascii="Book Antiqua" w:hAnsi="Book Antiqua"/>
          <w:b/>
          <w:bCs/>
          <w:sz w:val="24"/>
        </w:rPr>
        <w:t>S-Editor</w:t>
      </w:r>
      <w:r>
        <w:rPr>
          <w:rFonts w:ascii="Book Antiqua" w:hAnsi="Book Antiqua"/>
          <w:b/>
          <w:bCs/>
          <w:sz w:val="24"/>
        </w:rPr>
        <w:t>:</w:t>
      </w:r>
      <w:r w:rsidRPr="009E3692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 w:hint="eastAsia"/>
          <w:sz w:val="24"/>
        </w:rPr>
        <w:t>Yu J</w:t>
      </w:r>
    </w:p>
    <w:p w:rsidR="00104FA2" w:rsidRPr="001E3A6F" w:rsidRDefault="00D257F4" w:rsidP="001E3A6F">
      <w:pPr>
        <w:spacing w:line="360" w:lineRule="auto"/>
        <w:ind w:left="361" w:hangingChars="150" w:hanging="361"/>
        <w:jc w:val="right"/>
        <w:rPr>
          <w:rFonts w:ascii="Book Antiqua" w:hAnsi="Book Antiqua"/>
          <w:sz w:val="24"/>
        </w:rPr>
      </w:pPr>
      <w:r w:rsidRPr="009E3692">
        <w:rPr>
          <w:rFonts w:ascii="Book Antiqua" w:hAnsi="Book Antiqua"/>
          <w:b/>
          <w:bCs/>
          <w:sz w:val="24"/>
        </w:rPr>
        <w:t>L-Editor</w:t>
      </w:r>
      <w:r>
        <w:rPr>
          <w:rFonts w:ascii="Book Antiqua" w:hAnsi="Book Antiqua"/>
          <w:b/>
          <w:bCs/>
          <w:sz w:val="24"/>
        </w:rPr>
        <w:t>:</w:t>
      </w:r>
      <w:r w:rsidR="00807A54">
        <w:rPr>
          <w:rFonts w:ascii="Book Antiqua" w:hAnsi="Book Antiqua"/>
          <w:sz w:val="24"/>
        </w:rPr>
        <w:t xml:space="preserve"> </w:t>
      </w:r>
      <w:r w:rsidRPr="009E3692">
        <w:rPr>
          <w:rFonts w:ascii="Book Antiqua" w:hAnsi="Book Antiqua"/>
          <w:b/>
          <w:bCs/>
          <w:sz w:val="24"/>
        </w:rPr>
        <w:t>E-Editor</w:t>
      </w:r>
      <w:r w:rsidR="001E3A6F">
        <w:rPr>
          <w:rFonts w:ascii="Book Antiqua" w:eastAsia="宋体" w:hAnsi="Book Antiqua" w:hint="eastAsia"/>
          <w:b/>
          <w:bCs/>
          <w:sz w:val="24"/>
          <w:lang w:eastAsia="zh-CN"/>
        </w:rPr>
        <w:t>:</w:t>
      </w:r>
      <w:r w:rsidR="00104FA2" w:rsidRPr="009F45BA">
        <w:rPr>
          <w:rFonts w:ascii="Book Antiqua" w:eastAsia="MS PGothic" w:hAnsi="Book Antiqua"/>
          <w:kern w:val="0"/>
          <w:sz w:val="24"/>
          <w:szCs w:val="24"/>
          <w:lang w:val="en-GB"/>
        </w:rPr>
        <w:br w:type="page"/>
      </w:r>
    </w:p>
    <w:p w:rsidR="00187184" w:rsidRDefault="00187184" w:rsidP="005C140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4C9103C0" wp14:editId="135FCAD0">
            <wp:extent cx="5400040" cy="288377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8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AC3" w:rsidRPr="005C1400" w:rsidRDefault="00F32AC3" w:rsidP="005C140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MS PMincho" w:hAnsi="Book Antiqua"/>
          <w:b/>
          <w:bCs/>
          <w:sz w:val="24"/>
          <w:szCs w:val="24"/>
        </w:rPr>
      </w:pPr>
      <w:r w:rsidRPr="005C1400">
        <w:rPr>
          <w:rFonts w:ascii="Book Antiqua" w:eastAsia="MS PMincho" w:hAnsi="Book Antiqua"/>
          <w:b/>
          <w:sz w:val="24"/>
          <w:szCs w:val="24"/>
        </w:rPr>
        <w:t xml:space="preserve">Figure 1 </w:t>
      </w:r>
      <w:r w:rsidRPr="005C1400">
        <w:rPr>
          <w:rFonts w:ascii="Book Antiqua" w:eastAsia="MS PMincho" w:hAnsi="Book Antiqua"/>
          <w:b/>
          <w:bCs/>
          <w:sz w:val="24"/>
          <w:szCs w:val="24"/>
        </w:rPr>
        <w:t xml:space="preserve">Total Frequency Scale for the Symptoms of </w:t>
      </w:r>
      <w:proofErr w:type="spellStart"/>
      <w:r w:rsidR="00187184" w:rsidRPr="005C1400">
        <w:rPr>
          <w:rFonts w:ascii="Book Antiqua" w:eastAsia="MS PMincho" w:hAnsi="Book Antiqua"/>
          <w:b/>
          <w:bCs/>
          <w:sz w:val="24"/>
          <w:szCs w:val="24"/>
        </w:rPr>
        <w:t>gastroesophageal</w:t>
      </w:r>
      <w:proofErr w:type="spellEnd"/>
      <w:r w:rsidR="00187184" w:rsidRPr="005C1400">
        <w:rPr>
          <w:rFonts w:ascii="Book Antiqua" w:eastAsia="MS PMincho" w:hAnsi="Book Antiqua"/>
          <w:b/>
          <w:bCs/>
          <w:sz w:val="24"/>
          <w:szCs w:val="24"/>
        </w:rPr>
        <w:t xml:space="preserve"> </w:t>
      </w:r>
      <w:r w:rsidRPr="005C1400">
        <w:rPr>
          <w:rFonts w:ascii="Book Antiqua" w:eastAsia="MS PMincho" w:hAnsi="Book Antiqua"/>
          <w:b/>
          <w:bCs/>
          <w:sz w:val="24"/>
          <w:szCs w:val="24"/>
        </w:rPr>
        <w:t xml:space="preserve">reflux disease scores for groups </w:t>
      </w:r>
      <w:proofErr w:type="gramStart"/>
      <w:r w:rsidRPr="005C1400">
        <w:rPr>
          <w:rFonts w:ascii="Book Antiqua" w:eastAsia="MS PMincho" w:hAnsi="Book Antiqua"/>
          <w:b/>
          <w:bCs/>
          <w:sz w:val="24"/>
          <w:szCs w:val="24"/>
        </w:rPr>
        <w:t>I</w:t>
      </w:r>
      <w:proofErr w:type="gramEnd"/>
      <w:r w:rsidRPr="005C1400">
        <w:rPr>
          <w:rFonts w:ascii="Book Antiqua" w:eastAsia="MS PMincho" w:hAnsi="Book Antiqua"/>
          <w:b/>
          <w:bCs/>
          <w:sz w:val="24"/>
          <w:szCs w:val="24"/>
        </w:rPr>
        <w:t xml:space="preserve"> and P before and after four weeks of treatment.</w:t>
      </w:r>
      <w:r w:rsidR="005C1400">
        <w:rPr>
          <w:rFonts w:ascii="Book Antiqua" w:eastAsia="宋体" w:hAnsi="Book Antiqua" w:hint="eastAsia"/>
          <w:b/>
          <w:bCs/>
          <w:sz w:val="24"/>
          <w:szCs w:val="24"/>
          <w:lang w:eastAsia="zh-CN"/>
        </w:rPr>
        <w:t xml:space="preserve"> </w:t>
      </w:r>
      <w:r w:rsidRPr="009F45BA">
        <w:rPr>
          <w:rFonts w:ascii="Book Antiqua" w:eastAsia="MS PMincho" w:hAnsi="Book Antiqua"/>
          <w:sz w:val="24"/>
          <w:szCs w:val="24"/>
        </w:rPr>
        <w:t xml:space="preserve">Values are expressed as the </w:t>
      </w:r>
      <w:r w:rsidR="006519A4">
        <w:rPr>
          <w:rFonts w:ascii="Book Antiqua" w:hAnsi="Book Antiqua"/>
          <w:sz w:val="24"/>
          <w:szCs w:val="24"/>
        </w:rPr>
        <w:t>mean</w:t>
      </w:r>
      <w:r w:rsidRPr="009F45BA">
        <w:rPr>
          <w:rFonts w:ascii="Book Antiqua" w:hAnsi="Book Antiqua"/>
          <w:sz w:val="24"/>
          <w:szCs w:val="24"/>
        </w:rPr>
        <w:t xml:space="preserve"> ±</w:t>
      </w:r>
      <w:r w:rsidRPr="009F45BA">
        <w:rPr>
          <w:rFonts w:ascii="Book Antiqua" w:eastAsia="MS PGothic" w:hAnsi="Book Antiqua"/>
          <w:sz w:val="24"/>
          <w:szCs w:val="24"/>
        </w:rPr>
        <w:t xml:space="preserve"> </w:t>
      </w:r>
      <w:r w:rsidR="006519A4">
        <w:rPr>
          <w:rFonts w:ascii="Book Antiqua" w:eastAsia="宋体" w:hAnsi="Book Antiqua" w:hint="eastAsia"/>
          <w:sz w:val="24"/>
          <w:szCs w:val="24"/>
          <w:lang w:eastAsia="zh-CN"/>
        </w:rPr>
        <w:t>SD</w:t>
      </w:r>
      <w:r w:rsidRPr="009F45BA">
        <w:rPr>
          <w:rFonts w:ascii="Book Antiqua" w:eastAsia="MS PMincho" w:hAnsi="Book Antiqua"/>
          <w:sz w:val="24"/>
          <w:szCs w:val="24"/>
        </w:rPr>
        <w:t xml:space="preserve">. FSSG: </w:t>
      </w:r>
      <w:r w:rsidRPr="009F45BA">
        <w:rPr>
          <w:rFonts w:ascii="Book Antiqua" w:eastAsia="MS PMincho" w:hAnsi="Book Antiqua"/>
          <w:bCs/>
          <w:sz w:val="24"/>
          <w:szCs w:val="24"/>
        </w:rPr>
        <w:t xml:space="preserve">Frequency Scale for the Symptoms of </w:t>
      </w:r>
      <w:proofErr w:type="spellStart"/>
      <w:r w:rsidRPr="009F45BA">
        <w:rPr>
          <w:rFonts w:ascii="Book Antiqua" w:eastAsia="MS PMincho" w:hAnsi="Book Antiqua"/>
          <w:bCs/>
          <w:sz w:val="24"/>
          <w:szCs w:val="24"/>
        </w:rPr>
        <w:t>Gastroesophageal</w:t>
      </w:r>
      <w:proofErr w:type="spellEnd"/>
      <w:r w:rsidRPr="009F45BA">
        <w:rPr>
          <w:rFonts w:ascii="Book Antiqua" w:eastAsia="MS PMincho" w:hAnsi="Book Antiqua"/>
          <w:bCs/>
          <w:sz w:val="24"/>
          <w:szCs w:val="24"/>
        </w:rPr>
        <w:t xml:space="preserve"> reflux disease</w:t>
      </w:r>
      <w:r w:rsidR="00290AC7" w:rsidRPr="00290AC7">
        <w:rPr>
          <w:rFonts w:ascii="Book Antiqua" w:eastAsia="MS PMincho" w:hAnsi="Book Antiqua" w:hint="eastAsia"/>
          <w:bCs/>
          <w:sz w:val="24"/>
          <w:szCs w:val="24"/>
        </w:rPr>
        <w:t xml:space="preserve">; NS: Not </w:t>
      </w:r>
      <w:proofErr w:type="gramStart"/>
      <w:r w:rsidR="00290AC7" w:rsidRPr="00290AC7">
        <w:rPr>
          <w:rFonts w:ascii="Book Antiqua" w:eastAsia="MS PMincho" w:hAnsi="Book Antiqua" w:hint="eastAsia"/>
          <w:bCs/>
          <w:sz w:val="24"/>
          <w:szCs w:val="24"/>
        </w:rPr>
        <w:t>significant</w:t>
      </w:r>
      <w:r w:rsidR="00290AC7">
        <w:rPr>
          <w:rFonts w:ascii="Book Antiqua" w:eastAsia="宋体" w:hAnsi="Book Antiqua" w:hint="eastAsia"/>
          <w:bCs/>
          <w:sz w:val="24"/>
          <w:szCs w:val="24"/>
          <w:lang w:eastAsia="zh-CN"/>
        </w:rPr>
        <w:t xml:space="preserve"> </w:t>
      </w:r>
      <w:r w:rsidRPr="009F45BA">
        <w:rPr>
          <w:rFonts w:ascii="Book Antiqua" w:eastAsia="MS PMincho" w:hAnsi="Book Antiqua"/>
          <w:bCs/>
          <w:sz w:val="24"/>
          <w:szCs w:val="24"/>
        </w:rPr>
        <w:t>.</w:t>
      </w:r>
      <w:proofErr w:type="gramEnd"/>
    </w:p>
    <w:p w:rsidR="005C1400" w:rsidRPr="00290AC7" w:rsidRDefault="005C1400" w:rsidP="005C140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:rsidR="00187184" w:rsidRDefault="00187184" w:rsidP="005C140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>
        <w:rPr>
          <w:noProof/>
          <w:lang w:eastAsia="zh-CN"/>
        </w:rPr>
        <w:drawing>
          <wp:inline distT="0" distB="0" distL="0" distR="0" wp14:anchorId="1243CBE0" wp14:editId="61C03001">
            <wp:extent cx="5400040" cy="318189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8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AC3" w:rsidRPr="009F45BA" w:rsidRDefault="00F32AC3" w:rsidP="005C140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MS PMincho" w:hAnsi="Book Antiqua"/>
          <w:bCs/>
          <w:sz w:val="24"/>
          <w:szCs w:val="24"/>
        </w:rPr>
      </w:pPr>
      <w:r w:rsidRPr="005C1400">
        <w:rPr>
          <w:rFonts w:ascii="Book Antiqua" w:eastAsia="MS PMincho" w:hAnsi="Book Antiqua"/>
          <w:b/>
          <w:sz w:val="24"/>
          <w:szCs w:val="24"/>
        </w:rPr>
        <w:t xml:space="preserve">Figure 2 Changes in the </w:t>
      </w:r>
      <w:r w:rsidRPr="005C1400">
        <w:rPr>
          <w:rFonts w:ascii="Book Antiqua" w:eastAsia="MS PMincho" w:hAnsi="Book Antiqua"/>
          <w:b/>
          <w:bCs/>
          <w:sz w:val="24"/>
          <w:szCs w:val="24"/>
        </w:rPr>
        <w:t xml:space="preserve">Frequency Scale for the Symptoms of </w:t>
      </w:r>
      <w:proofErr w:type="spellStart"/>
      <w:r w:rsidR="00187184" w:rsidRPr="005C1400">
        <w:rPr>
          <w:rFonts w:ascii="Book Antiqua" w:eastAsia="MS PMincho" w:hAnsi="Book Antiqua"/>
          <w:b/>
          <w:bCs/>
          <w:sz w:val="24"/>
          <w:szCs w:val="24"/>
        </w:rPr>
        <w:t>gastroesophageal</w:t>
      </w:r>
      <w:proofErr w:type="spellEnd"/>
      <w:r w:rsidR="00187184" w:rsidRPr="005C1400">
        <w:rPr>
          <w:rFonts w:ascii="Book Antiqua" w:eastAsia="MS PMincho" w:hAnsi="Book Antiqua"/>
          <w:b/>
          <w:bCs/>
          <w:sz w:val="24"/>
          <w:szCs w:val="24"/>
        </w:rPr>
        <w:t xml:space="preserve"> </w:t>
      </w:r>
      <w:r w:rsidRPr="005C1400">
        <w:rPr>
          <w:rFonts w:ascii="Book Antiqua" w:eastAsia="MS PMincho" w:hAnsi="Book Antiqua"/>
          <w:b/>
          <w:bCs/>
          <w:sz w:val="24"/>
          <w:szCs w:val="24"/>
        </w:rPr>
        <w:t xml:space="preserve">reflux disease </w:t>
      </w:r>
      <w:r w:rsidRPr="005C1400">
        <w:rPr>
          <w:rFonts w:ascii="Book Antiqua" w:eastAsia="MS PMincho" w:hAnsi="Book Antiqua"/>
          <w:b/>
          <w:sz w:val="24"/>
          <w:szCs w:val="24"/>
        </w:rPr>
        <w:t xml:space="preserve">scores for groups </w:t>
      </w:r>
      <w:proofErr w:type="gramStart"/>
      <w:r w:rsidRPr="005C1400">
        <w:rPr>
          <w:rFonts w:ascii="Book Antiqua" w:eastAsia="MS PMincho" w:hAnsi="Book Antiqua"/>
          <w:b/>
          <w:sz w:val="24"/>
          <w:szCs w:val="24"/>
        </w:rPr>
        <w:t>I</w:t>
      </w:r>
      <w:proofErr w:type="gramEnd"/>
      <w:r w:rsidRPr="005C1400">
        <w:rPr>
          <w:rFonts w:ascii="Book Antiqua" w:eastAsia="MS PMincho" w:hAnsi="Book Antiqua"/>
          <w:b/>
          <w:sz w:val="24"/>
          <w:szCs w:val="24"/>
        </w:rPr>
        <w:t xml:space="preserve"> and P after four weeks of </w:t>
      </w:r>
      <w:r w:rsidRPr="005C1400">
        <w:rPr>
          <w:rFonts w:ascii="Book Antiqua" w:eastAsia="MS PMincho" w:hAnsi="Book Antiqua"/>
          <w:b/>
          <w:sz w:val="24"/>
          <w:szCs w:val="24"/>
        </w:rPr>
        <w:lastRenderedPageBreak/>
        <w:t>treatment.</w:t>
      </w:r>
      <w:r w:rsidRPr="009F45BA">
        <w:rPr>
          <w:rFonts w:ascii="Book Antiqua" w:eastAsia="MS PMincho" w:hAnsi="Book Antiqua"/>
          <w:sz w:val="24"/>
          <w:szCs w:val="24"/>
        </w:rPr>
        <w:t xml:space="preserve"> Values are expressed as the </w:t>
      </w:r>
      <w:r w:rsidR="006519A4">
        <w:rPr>
          <w:rFonts w:ascii="Book Antiqua" w:hAnsi="Book Antiqua"/>
          <w:sz w:val="24"/>
          <w:szCs w:val="24"/>
        </w:rPr>
        <w:t>mean</w:t>
      </w:r>
      <w:r w:rsidRPr="009F45BA">
        <w:rPr>
          <w:rFonts w:ascii="Book Antiqua" w:hAnsi="Book Antiqua"/>
          <w:sz w:val="24"/>
          <w:szCs w:val="24"/>
        </w:rPr>
        <w:t xml:space="preserve"> ±</w:t>
      </w:r>
      <w:r w:rsidRPr="009F45BA">
        <w:rPr>
          <w:rFonts w:ascii="Book Antiqua" w:eastAsia="MS PGothic" w:hAnsi="Book Antiqua"/>
          <w:sz w:val="24"/>
          <w:szCs w:val="24"/>
        </w:rPr>
        <w:t xml:space="preserve"> </w:t>
      </w:r>
      <w:r w:rsidR="00B4527F" w:rsidRPr="009F45BA">
        <w:rPr>
          <w:rFonts w:ascii="Book Antiqua" w:eastAsia="MS PGothic" w:hAnsi="Book Antiqua"/>
          <w:sz w:val="24"/>
          <w:szCs w:val="24"/>
        </w:rPr>
        <w:t>s</w:t>
      </w:r>
      <w:r w:rsidRPr="009F45BA">
        <w:rPr>
          <w:rFonts w:ascii="Book Antiqua" w:eastAsia="MS PGothic" w:hAnsi="Book Antiqua"/>
          <w:sz w:val="24"/>
          <w:szCs w:val="24"/>
        </w:rPr>
        <w:t>tandard deviations</w:t>
      </w:r>
      <w:r w:rsidR="007927AD" w:rsidRPr="009F45BA">
        <w:rPr>
          <w:rFonts w:ascii="Book Antiqua" w:eastAsia="MS PMincho" w:hAnsi="Book Antiqua"/>
          <w:sz w:val="24"/>
          <w:szCs w:val="24"/>
        </w:rPr>
        <w:t>.</w:t>
      </w:r>
      <w:r w:rsidRPr="009F45BA">
        <w:rPr>
          <w:rFonts w:ascii="Book Antiqua" w:eastAsia="MS PMincho" w:hAnsi="Book Antiqua"/>
          <w:sz w:val="24"/>
          <w:szCs w:val="24"/>
        </w:rPr>
        <w:t xml:space="preserve"> Significant differences were found between the groups. </w:t>
      </w:r>
      <w:proofErr w:type="spellStart"/>
      <w:proofErr w:type="gramStart"/>
      <w:r w:rsidR="00187184" w:rsidRPr="00187184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a</w:t>
      </w:r>
      <w:r w:rsidRPr="009F45BA">
        <w:rPr>
          <w:rFonts w:ascii="Book Antiqua" w:eastAsia="MS PMincho" w:hAnsi="Book Antiqua"/>
          <w:i/>
          <w:sz w:val="24"/>
          <w:szCs w:val="24"/>
        </w:rPr>
        <w:t>P</w:t>
      </w:r>
      <w:proofErr w:type="spellEnd"/>
      <w:proofErr w:type="gramEnd"/>
      <w:r w:rsidRPr="009F45BA">
        <w:rPr>
          <w:rFonts w:ascii="Book Antiqua" w:eastAsia="MS PMincho" w:hAnsi="Book Antiqua"/>
          <w:i/>
          <w:sz w:val="24"/>
          <w:szCs w:val="24"/>
        </w:rPr>
        <w:t xml:space="preserve"> </w:t>
      </w:r>
      <w:r w:rsidRPr="009F45BA">
        <w:rPr>
          <w:rFonts w:ascii="Book Antiqua" w:eastAsia="MS PMincho" w:hAnsi="Book Antiqua"/>
          <w:sz w:val="24"/>
          <w:szCs w:val="24"/>
        </w:rPr>
        <w:t xml:space="preserve">= 0.03 and </w:t>
      </w:r>
      <w:proofErr w:type="spellStart"/>
      <w:r w:rsidR="00187184" w:rsidRPr="00187184">
        <w:rPr>
          <w:rFonts w:ascii="Book Antiqua" w:eastAsia="宋体" w:hAnsi="Book Antiqua" w:hint="eastAsia"/>
          <w:sz w:val="24"/>
          <w:szCs w:val="24"/>
          <w:vertAlign w:val="superscript"/>
          <w:lang w:eastAsia="zh-CN"/>
        </w:rPr>
        <w:t>b</w:t>
      </w:r>
      <w:r w:rsidRPr="009F45BA">
        <w:rPr>
          <w:rFonts w:ascii="Book Antiqua" w:eastAsia="MS PMincho" w:hAnsi="Book Antiqua"/>
          <w:i/>
          <w:sz w:val="24"/>
          <w:szCs w:val="24"/>
        </w:rPr>
        <w:t>P</w:t>
      </w:r>
      <w:proofErr w:type="spellEnd"/>
      <w:r w:rsidRPr="009F45BA">
        <w:rPr>
          <w:rFonts w:ascii="Book Antiqua" w:eastAsia="MS PMincho" w:hAnsi="Book Antiqua"/>
          <w:i/>
          <w:sz w:val="24"/>
          <w:szCs w:val="24"/>
        </w:rPr>
        <w:t xml:space="preserve"> </w:t>
      </w:r>
      <w:r w:rsidRPr="009F45BA">
        <w:rPr>
          <w:rFonts w:ascii="Book Antiqua" w:eastAsia="MS PMincho" w:hAnsi="Book Antiqua"/>
          <w:sz w:val="24"/>
          <w:szCs w:val="24"/>
        </w:rPr>
        <w:t>=</w:t>
      </w:r>
      <w:r w:rsidR="007927AD" w:rsidRPr="009F45BA">
        <w:rPr>
          <w:rFonts w:ascii="Book Antiqua" w:eastAsia="MS PMincho" w:hAnsi="Book Antiqua"/>
          <w:sz w:val="24"/>
          <w:szCs w:val="24"/>
        </w:rPr>
        <w:t xml:space="preserve"> </w:t>
      </w:r>
      <w:r w:rsidR="00510CB7" w:rsidRPr="009F45BA">
        <w:rPr>
          <w:rFonts w:ascii="Book Antiqua" w:eastAsia="MS PMincho" w:hAnsi="Book Antiqua"/>
          <w:sz w:val="24"/>
          <w:szCs w:val="24"/>
        </w:rPr>
        <w:t xml:space="preserve">0.01. FSSG: </w:t>
      </w:r>
      <w:r w:rsidR="00510CB7" w:rsidRPr="009F45BA">
        <w:rPr>
          <w:rFonts w:ascii="Book Antiqua" w:eastAsia="MS PMincho" w:hAnsi="Book Antiqua"/>
          <w:bCs/>
          <w:sz w:val="24"/>
          <w:szCs w:val="24"/>
        </w:rPr>
        <w:t xml:space="preserve">Frequency Scale for the Symptoms of </w:t>
      </w:r>
      <w:proofErr w:type="spellStart"/>
      <w:r w:rsidR="00510CB7" w:rsidRPr="009F45BA">
        <w:rPr>
          <w:rFonts w:ascii="Book Antiqua" w:eastAsia="MS PMincho" w:hAnsi="Book Antiqua"/>
          <w:bCs/>
          <w:sz w:val="24"/>
          <w:szCs w:val="24"/>
        </w:rPr>
        <w:t>Gastroesophageal</w:t>
      </w:r>
      <w:proofErr w:type="spellEnd"/>
      <w:r w:rsidR="00510CB7" w:rsidRPr="009F45BA">
        <w:rPr>
          <w:rFonts w:ascii="Book Antiqua" w:eastAsia="MS PMincho" w:hAnsi="Book Antiqua"/>
          <w:bCs/>
          <w:sz w:val="24"/>
          <w:szCs w:val="24"/>
        </w:rPr>
        <w:t xml:space="preserve"> reflux disease.</w:t>
      </w:r>
    </w:p>
    <w:p w:rsidR="005C1400" w:rsidRDefault="005C1400" w:rsidP="005C140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宋体" w:hAnsi="Book Antiqua"/>
          <w:bCs/>
          <w:sz w:val="24"/>
          <w:szCs w:val="24"/>
          <w:lang w:eastAsia="zh-CN"/>
        </w:rPr>
      </w:pPr>
    </w:p>
    <w:p w:rsidR="00187184" w:rsidRDefault="00187184" w:rsidP="005C140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宋体" w:hAnsi="Book Antiqua"/>
          <w:bCs/>
          <w:sz w:val="24"/>
          <w:szCs w:val="24"/>
          <w:lang w:eastAsia="zh-CN"/>
        </w:rPr>
      </w:pPr>
      <w:r>
        <w:rPr>
          <w:noProof/>
          <w:lang w:eastAsia="zh-CN"/>
        </w:rPr>
        <w:drawing>
          <wp:inline distT="0" distB="0" distL="0" distR="0" wp14:anchorId="77AF7FAC" wp14:editId="707BABB6">
            <wp:extent cx="5400040" cy="2905647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CB7" w:rsidRPr="009F45BA" w:rsidRDefault="00B4527F" w:rsidP="005C140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MS PMincho" w:hAnsi="Book Antiqua"/>
          <w:bCs/>
          <w:sz w:val="24"/>
          <w:szCs w:val="24"/>
        </w:rPr>
      </w:pPr>
      <w:r w:rsidRPr="005C1400">
        <w:rPr>
          <w:rFonts w:ascii="Book Antiqua" w:eastAsia="MS PMincho" w:hAnsi="Book Antiqua"/>
          <w:b/>
          <w:bCs/>
          <w:sz w:val="24"/>
          <w:szCs w:val="24"/>
        </w:rPr>
        <w:t>Figure 3 Comparis</w:t>
      </w:r>
      <w:r w:rsidR="00510CB7" w:rsidRPr="005C1400">
        <w:rPr>
          <w:rFonts w:ascii="Book Antiqua" w:eastAsia="MS PMincho" w:hAnsi="Book Antiqua"/>
          <w:b/>
          <w:bCs/>
          <w:sz w:val="24"/>
          <w:szCs w:val="24"/>
        </w:rPr>
        <w:t xml:space="preserve">ons of the total Frequency Scale for the Symptoms of </w:t>
      </w:r>
      <w:proofErr w:type="spellStart"/>
      <w:r w:rsidR="00510CB7" w:rsidRPr="005C1400">
        <w:rPr>
          <w:rFonts w:ascii="Book Antiqua" w:eastAsia="MS PMincho" w:hAnsi="Book Antiqua"/>
          <w:b/>
          <w:bCs/>
          <w:sz w:val="24"/>
          <w:szCs w:val="24"/>
        </w:rPr>
        <w:t>Gastroesophageal</w:t>
      </w:r>
      <w:proofErr w:type="spellEnd"/>
      <w:r w:rsidR="00510CB7" w:rsidRPr="005C1400">
        <w:rPr>
          <w:rFonts w:ascii="Book Antiqua" w:eastAsia="MS PMincho" w:hAnsi="Book Antiqua"/>
          <w:b/>
          <w:bCs/>
          <w:sz w:val="24"/>
          <w:szCs w:val="24"/>
        </w:rPr>
        <w:t xml:space="preserve"> reflux disease </w:t>
      </w:r>
      <w:r w:rsidR="00510CB7" w:rsidRPr="005C1400">
        <w:rPr>
          <w:rFonts w:ascii="Book Antiqua" w:eastAsia="MS PMincho" w:hAnsi="Book Antiqua"/>
          <w:b/>
          <w:sz w:val="24"/>
          <w:szCs w:val="24"/>
        </w:rPr>
        <w:t>scores between the study groups in relation to the non-erosive reflux disease grade</w:t>
      </w:r>
      <w:r w:rsidR="007927AD" w:rsidRPr="005C1400">
        <w:rPr>
          <w:rFonts w:ascii="Book Antiqua" w:eastAsia="MS PMincho" w:hAnsi="Book Antiqua"/>
          <w:b/>
          <w:sz w:val="24"/>
          <w:szCs w:val="24"/>
        </w:rPr>
        <w:t>s</w:t>
      </w:r>
      <w:r w:rsidR="00510CB7" w:rsidRPr="005C1400">
        <w:rPr>
          <w:rFonts w:ascii="Book Antiqua" w:eastAsia="MS PMincho" w:hAnsi="Book Antiqua"/>
          <w:b/>
          <w:sz w:val="24"/>
          <w:szCs w:val="24"/>
        </w:rPr>
        <w:t xml:space="preserve"> N and M after four weeks of treatment. </w:t>
      </w:r>
      <w:r w:rsidR="00510CB7" w:rsidRPr="009F45BA">
        <w:rPr>
          <w:rFonts w:ascii="Book Antiqua" w:eastAsia="MS PMincho" w:hAnsi="Book Antiqua"/>
          <w:sz w:val="24"/>
          <w:szCs w:val="24"/>
        </w:rPr>
        <w:t xml:space="preserve">Values are expressed as the </w:t>
      </w:r>
      <w:r w:rsidR="006519A4">
        <w:rPr>
          <w:rFonts w:ascii="Book Antiqua" w:hAnsi="Book Antiqua"/>
          <w:sz w:val="24"/>
          <w:szCs w:val="24"/>
        </w:rPr>
        <w:t>mean</w:t>
      </w:r>
      <w:r w:rsidR="00510CB7" w:rsidRPr="009F45BA">
        <w:rPr>
          <w:rFonts w:ascii="Book Antiqua" w:hAnsi="Book Antiqua"/>
          <w:sz w:val="24"/>
          <w:szCs w:val="24"/>
        </w:rPr>
        <w:t xml:space="preserve"> ±</w:t>
      </w:r>
      <w:r w:rsidR="00510CB7" w:rsidRPr="009F45BA">
        <w:rPr>
          <w:rFonts w:ascii="Book Antiqua" w:eastAsia="MS PGothic" w:hAnsi="Book Antiqua"/>
          <w:sz w:val="24"/>
          <w:szCs w:val="24"/>
        </w:rPr>
        <w:t xml:space="preserve"> </w:t>
      </w:r>
      <w:r w:rsidR="006519A4">
        <w:rPr>
          <w:rFonts w:ascii="Book Antiqua" w:eastAsia="宋体" w:hAnsi="Book Antiqua" w:hint="eastAsia"/>
          <w:sz w:val="24"/>
          <w:szCs w:val="24"/>
          <w:lang w:eastAsia="zh-CN"/>
        </w:rPr>
        <w:t>SD</w:t>
      </w:r>
      <w:r w:rsidR="00510CB7" w:rsidRPr="009F45BA">
        <w:rPr>
          <w:rFonts w:ascii="Book Antiqua" w:eastAsia="MS PMincho" w:hAnsi="Book Antiqua"/>
          <w:sz w:val="24"/>
          <w:szCs w:val="24"/>
        </w:rPr>
        <w:t xml:space="preserve">. FSSG: </w:t>
      </w:r>
      <w:r w:rsidR="00510CB7" w:rsidRPr="009F45BA">
        <w:rPr>
          <w:rFonts w:ascii="Book Antiqua" w:eastAsia="MS PMincho" w:hAnsi="Book Antiqua"/>
          <w:bCs/>
          <w:sz w:val="24"/>
          <w:szCs w:val="24"/>
        </w:rPr>
        <w:t xml:space="preserve">Frequency Scale for the Symptoms of </w:t>
      </w:r>
      <w:proofErr w:type="spellStart"/>
      <w:r w:rsidR="00510CB7" w:rsidRPr="009F45BA">
        <w:rPr>
          <w:rFonts w:ascii="Book Antiqua" w:eastAsia="MS PMincho" w:hAnsi="Book Antiqua"/>
          <w:bCs/>
          <w:sz w:val="24"/>
          <w:szCs w:val="24"/>
        </w:rPr>
        <w:t>Gastroesophageal</w:t>
      </w:r>
      <w:proofErr w:type="spellEnd"/>
      <w:r w:rsidR="00510CB7" w:rsidRPr="009F45BA">
        <w:rPr>
          <w:rFonts w:ascii="Book Antiqua" w:eastAsia="MS PMincho" w:hAnsi="Book Antiqua"/>
          <w:bCs/>
          <w:sz w:val="24"/>
          <w:szCs w:val="24"/>
        </w:rPr>
        <w:t xml:space="preserve"> reflux disease</w:t>
      </w:r>
      <w:r w:rsidR="00290AC7" w:rsidRPr="00290AC7">
        <w:rPr>
          <w:rFonts w:ascii="Book Antiqua" w:eastAsia="MS PMincho" w:hAnsi="Book Antiqua" w:hint="eastAsia"/>
          <w:bCs/>
          <w:sz w:val="24"/>
          <w:szCs w:val="24"/>
        </w:rPr>
        <w:t>; NS: Not significant</w:t>
      </w:r>
      <w:r w:rsidR="00510CB7" w:rsidRPr="009F45BA">
        <w:rPr>
          <w:rFonts w:ascii="Book Antiqua" w:eastAsia="MS PMincho" w:hAnsi="Book Antiqua"/>
          <w:bCs/>
          <w:sz w:val="24"/>
          <w:szCs w:val="24"/>
        </w:rPr>
        <w:t>.</w:t>
      </w:r>
    </w:p>
    <w:p w:rsidR="005C1400" w:rsidRDefault="005C1400" w:rsidP="005C140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187184" w:rsidRDefault="00187184" w:rsidP="005C140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2776130C" wp14:editId="2CD572AB">
            <wp:extent cx="5400040" cy="4011905"/>
            <wp:effectExtent l="0" t="0" r="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CB7" w:rsidRPr="009F45BA" w:rsidRDefault="00510CB7" w:rsidP="005C140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MS PMincho" w:hAnsi="Book Antiqua"/>
          <w:sz w:val="24"/>
          <w:szCs w:val="24"/>
        </w:rPr>
      </w:pPr>
      <w:r w:rsidRPr="005C1400">
        <w:rPr>
          <w:rFonts w:ascii="Book Antiqua" w:eastAsia="MS PMincho" w:hAnsi="Book Antiqua"/>
          <w:b/>
          <w:sz w:val="24"/>
          <w:szCs w:val="24"/>
        </w:rPr>
        <w:t xml:space="preserve">Figure 4 Quality of life </w:t>
      </w:r>
      <w:proofErr w:type="gramStart"/>
      <w:r w:rsidRPr="005C1400">
        <w:rPr>
          <w:rFonts w:ascii="Book Antiqua" w:eastAsia="MS PMincho" w:hAnsi="Book Antiqua"/>
          <w:b/>
          <w:sz w:val="24"/>
          <w:szCs w:val="24"/>
        </w:rPr>
        <w:t>assessment</w:t>
      </w:r>
      <w:proofErr w:type="gramEnd"/>
      <w:r w:rsidRPr="005C1400">
        <w:rPr>
          <w:rFonts w:ascii="Book Antiqua" w:eastAsia="MS PMincho" w:hAnsi="Book Antiqua"/>
          <w:b/>
          <w:sz w:val="24"/>
          <w:szCs w:val="24"/>
        </w:rPr>
        <w:t xml:space="preserve"> of patients in group</w:t>
      </w:r>
      <w:r w:rsidR="00B4527F" w:rsidRPr="005C1400">
        <w:rPr>
          <w:rFonts w:ascii="Book Antiqua" w:eastAsia="MS PMincho" w:hAnsi="Book Antiqua"/>
          <w:b/>
          <w:sz w:val="24"/>
          <w:szCs w:val="24"/>
        </w:rPr>
        <w:t>s</w:t>
      </w:r>
      <w:r w:rsidRPr="005C1400">
        <w:rPr>
          <w:rFonts w:ascii="Book Antiqua" w:eastAsia="MS PMincho" w:hAnsi="Book Antiqua"/>
          <w:b/>
          <w:sz w:val="24"/>
          <w:szCs w:val="24"/>
        </w:rPr>
        <w:t xml:space="preserve"> I and P before and after</w:t>
      </w:r>
      <w:r w:rsidR="007927AD" w:rsidRPr="005C1400">
        <w:rPr>
          <w:rFonts w:ascii="Book Antiqua" w:eastAsia="MS PMincho" w:hAnsi="Book Antiqua"/>
          <w:b/>
          <w:sz w:val="24"/>
          <w:szCs w:val="24"/>
        </w:rPr>
        <w:t xml:space="preserve"> treatment using the </w:t>
      </w:r>
      <w:bookmarkStart w:id="18" w:name="OLE_LINK56"/>
      <w:bookmarkStart w:id="19" w:name="OLE_LINK57"/>
      <w:r w:rsidR="007927AD" w:rsidRPr="005C1400">
        <w:rPr>
          <w:rFonts w:ascii="Book Antiqua" w:eastAsia="MS PMincho" w:hAnsi="Book Antiqua"/>
          <w:b/>
          <w:sz w:val="24"/>
          <w:szCs w:val="24"/>
        </w:rPr>
        <w:t>Short Form-</w:t>
      </w:r>
      <w:r w:rsidRPr="005C1400">
        <w:rPr>
          <w:rFonts w:ascii="Book Antiqua" w:eastAsia="MS PMincho" w:hAnsi="Book Antiqua"/>
          <w:b/>
          <w:sz w:val="24"/>
          <w:szCs w:val="24"/>
        </w:rPr>
        <w:t>36 questionnaire</w:t>
      </w:r>
      <w:bookmarkEnd w:id="18"/>
      <w:bookmarkEnd w:id="19"/>
      <w:r w:rsidRPr="005C1400">
        <w:rPr>
          <w:rFonts w:ascii="Book Antiqua" w:eastAsia="MS PMincho" w:hAnsi="Book Antiqua"/>
          <w:b/>
          <w:sz w:val="24"/>
          <w:szCs w:val="24"/>
        </w:rPr>
        <w:t>.</w:t>
      </w:r>
      <w:r w:rsidRPr="009F45BA">
        <w:rPr>
          <w:rFonts w:ascii="Book Antiqua" w:eastAsia="MS PMincho" w:hAnsi="Book Antiqua"/>
          <w:sz w:val="24"/>
          <w:szCs w:val="24"/>
        </w:rPr>
        <w:t xml:space="preserve"> PF: Physical functioning; RP: Role limitation-physical; BP: bodily pain; GH: General health; VT: Vitality; SF: Social functioning; RE: Role limitation-emotional; MH: Mental health</w:t>
      </w:r>
      <w:r w:rsidR="00290AC7" w:rsidRPr="00290AC7">
        <w:rPr>
          <w:rFonts w:ascii="Book Antiqua" w:eastAsia="MS PMincho" w:hAnsi="Book Antiqua" w:hint="eastAsia"/>
          <w:sz w:val="24"/>
          <w:szCs w:val="24"/>
        </w:rPr>
        <w:t>; NS: Not significant</w:t>
      </w:r>
      <w:r w:rsidRPr="009F45BA">
        <w:rPr>
          <w:rFonts w:ascii="Book Antiqua" w:eastAsia="MS PMincho" w:hAnsi="Book Antiqua"/>
          <w:sz w:val="24"/>
          <w:szCs w:val="24"/>
        </w:rPr>
        <w:t>.</w:t>
      </w:r>
    </w:p>
    <w:p w:rsidR="005C1400" w:rsidRDefault="005C1400" w:rsidP="005C140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187184" w:rsidRDefault="00290AC7" w:rsidP="005C140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6FFD6FD5" wp14:editId="7A8002C3">
            <wp:extent cx="5400040" cy="4145031"/>
            <wp:effectExtent l="0" t="0" r="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4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03" w:rsidRDefault="00510CB7" w:rsidP="005C140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5C1400">
        <w:rPr>
          <w:rFonts w:ascii="Book Antiqua" w:eastAsia="MS PMincho" w:hAnsi="Book Antiqua"/>
          <w:b/>
          <w:sz w:val="24"/>
          <w:szCs w:val="24"/>
        </w:rPr>
        <w:t>Figure 5 Quality of life assessment of patients in group</w:t>
      </w:r>
      <w:r w:rsidR="00B4527F" w:rsidRPr="005C1400">
        <w:rPr>
          <w:rFonts w:ascii="Book Antiqua" w:eastAsia="MS PMincho" w:hAnsi="Book Antiqua"/>
          <w:b/>
          <w:sz w:val="24"/>
          <w:szCs w:val="24"/>
        </w:rPr>
        <w:t>s</w:t>
      </w:r>
      <w:r w:rsidRPr="005C1400">
        <w:rPr>
          <w:rFonts w:ascii="Book Antiqua" w:eastAsia="MS PMincho" w:hAnsi="Book Antiqua"/>
          <w:b/>
          <w:sz w:val="24"/>
          <w:szCs w:val="24"/>
        </w:rPr>
        <w:t xml:space="preserve"> I and P before and after</w:t>
      </w:r>
      <w:r w:rsidR="007927AD" w:rsidRPr="005C1400">
        <w:rPr>
          <w:rFonts w:ascii="Book Antiqua" w:eastAsia="MS PMincho" w:hAnsi="Book Antiqua"/>
          <w:b/>
          <w:sz w:val="24"/>
          <w:szCs w:val="24"/>
        </w:rPr>
        <w:t xml:space="preserve"> treatment using the Short Form-</w:t>
      </w:r>
      <w:r w:rsidRPr="005C1400">
        <w:rPr>
          <w:rFonts w:ascii="Book Antiqua" w:eastAsia="MS PMincho" w:hAnsi="Book Antiqua"/>
          <w:b/>
          <w:sz w:val="24"/>
          <w:szCs w:val="24"/>
        </w:rPr>
        <w:t>36 questionnaire for non-erosive reflux disease grades N</w:t>
      </w:r>
      <w:r w:rsidR="007927AD" w:rsidRPr="005C1400">
        <w:rPr>
          <w:rFonts w:ascii="Book Antiqua" w:eastAsia="MS PMincho" w:hAnsi="Book Antiqua"/>
          <w:b/>
          <w:sz w:val="24"/>
          <w:szCs w:val="24"/>
        </w:rPr>
        <w:t xml:space="preserve"> a</w:t>
      </w:r>
      <w:r w:rsidRPr="005C1400">
        <w:rPr>
          <w:rFonts w:ascii="Book Antiqua" w:eastAsia="MS PMincho" w:hAnsi="Book Antiqua"/>
          <w:b/>
          <w:sz w:val="24"/>
          <w:szCs w:val="24"/>
        </w:rPr>
        <w:t>nd M</w:t>
      </w:r>
      <w:r w:rsidR="00504D03" w:rsidRPr="005C1400">
        <w:rPr>
          <w:rFonts w:ascii="Book Antiqua" w:eastAsia="MS PMincho" w:hAnsi="Book Antiqua"/>
          <w:b/>
          <w:sz w:val="24"/>
          <w:szCs w:val="24"/>
        </w:rPr>
        <w:t xml:space="preserve">. </w:t>
      </w:r>
      <w:r w:rsidR="00504D03" w:rsidRPr="009F45BA">
        <w:rPr>
          <w:rFonts w:ascii="Book Antiqua" w:eastAsia="MS PMincho" w:hAnsi="Book Antiqua"/>
          <w:sz w:val="24"/>
          <w:szCs w:val="24"/>
        </w:rPr>
        <w:t>NERD: Non-erosive reflux disease; PF: Physical functioning; RP: Role limitation-physical; BP: bodily pain; GH: General health; VT: Vitality; SF: Social functioning; RE: Role limitation-emotional; MH: Mental health</w:t>
      </w:r>
      <w:r w:rsidR="00290AC7">
        <w:rPr>
          <w:rFonts w:ascii="Book Antiqua" w:eastAsia="宋体" w:hAnsi="Book Antiqua" w:hint="eastAsia"/>
          <w:sz w:val="24"/>
          <w:szCs w:val="24"/>
          <w:lang w:eastAsia="zh-CN"/>
        </w:rPr>
        <w:t>; NS: Not significant</w:t>
      </w:r>
      <w:r w:rsidR="00504D03" w:rsidRPr="009F45BA">
        <w:rPr>
          <w:rFonts w:ascii="Book Antiqua" w:eastAsia="MS PMincho" w:hAnsi="Book Antiqua"/>
          <w:sz w:val="24"/>
          <w:szCs w:val="24"/>
        </w:rPr>
        <w:t>.</w:t>
      </w:r>
    </w:p>
    <w:p w:rsidR="00017621" w:rsidRDefault="00017621" w:rsidP="005C1400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017621" w:rsidRPr="00FC3421" w:rsidRDefault="00017621" w:rsidP="00017621">
      <w:pPr>
        <w:spacing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017621">
        <w:rPr>
          <w:rFonts w:ascii="Book Antiqua" w:hAnsi="Book Antiqua"/>
          <w:b/>
          <w:bCs/>
          <w:sz w:val="24"/>
          <w:szCs w:val="24"/>
        </w:rPr>
        <w:t xml:space="preserve">Table 1 </w:t>
      </w:r>
      <w:r w:rsidRPr="00017621">
        <w:rPr>
          <w:rFonts w:ascii="Book Antiqua" w:hAnsi="Book Antiqua"/>
          <w:b/>
          <w:sz w:val="24"/>
          <w:szCs w:val="24"/>
        </w:rPr>
        <w:t xml:space="preserve">Clinical features of </w:t>
      </w:r>
      <w:r w:rsidR="001E3A6F">
        <w:rPr>
          <w:rFonts w:ascii="Book Antiqua" w:eastAsia="宋体" w:hAnsi="Book Antiqua" w:hint="eastAsia"/>
          <w:b/>
          <w:sz w:val="24"/>
          <w:szCs w:val="24"/>
          <w:lang w:eastAsia="zh-CN"/>
        </w:rPr>
        <w:t xml:space="preserve">patients </w:t>
      </w:r>
      <w:r w:rsidR="001E3A6F" w:rsidRPr="001E3A6F">
        <w:rPr>
          <w:rFonts w:ascii="Book Antiqua" w:hAnsi="Book Antiqua" w:hint="eastAsia"/>
          <w:b/>
          <w:sz w:val="24"/>
          <w:szCs w:val="24"/>
        </w:rPr>
        <w:t xml:space="preserve">receive </w:t>
      </w:r>
      <w:proofErr w:type="spellStart"/>
      <w:r w:rsidR="001E3A6F" w:rsidRPr="001E3A6F">
        <w:rPr>
          <w:rFonts w:ascii="Book Antiqua" w:hAnsi="Book Antiqua"/>
          <w:b/>
          <w:sz w:val="24"/>
          <w:szCs w:val="24"/>
        </w:rPr>
        <w:t>rabeprazole</w:t>
      </w:r>
      <w:proofErr w:type="spellEnd"/>
      <w:r w:rsidR="001E3A6F" w:rsidRPr="001E3A6F">
        <w:rPr>
          <w:rFonts w:ascii="Book Antiqua" w:hAnsi="Book Antiqua"/>
          <w:b/>
          <w:sz w:val="24"/>
          <w:szCs w:val="24"/>
        </w:rPr>
        <w:t xml:space="preserve"> plus </w:t>
      </w:r>
      <w:proofErr w:type="spellStart"/>
      <w:r w:rsidR="001E3A6F" w:rsidRPr="001E3A6F">
        <w:rPr>
          <w:rFonts w:ascii="Book Antiqua" w:hAnsi="Book Antiqua"/>
          <w:b/>
          <w:sz w:val="24"/>
          <w:szCs w:val="24"/>
        </w:rPr>
        <w:t>irsogladine</w:t>
      </w:r>
      <w:proofErr w:type="spellEnd"/>
      <w:r w:rsidR="001E3A6F" w:rsidRPr="001E3A6F">
        <w:rPr>
          <w:rFonts w:ascii="Book Antiqua" w:hAnsi="Book Antiqua"/>
          <w:b/>
          <w:sz w:val="24"/>
          <w:szCs w:val="24"/>
        </w:rPr>
        <w:t xml:space="preserve"> maleate (group I) </w:t>
      </w:r>
      <w:r w:rsidR="001E3A6F" w:rsidRPr="001E3A6F">
        <w:rPr>
          <w:rFonts w:ascii="Book Antiqua" w:hAnsi="Book Antiqua" w:hint="eastAsia"/>
          <w:b/>
          <w:sz w:val="24"/>
          <w:szCs w:val="24"/>
        </w:rPr>
        <w:t>or</w:t>
      </w:r>
      <w:r w:rsidR="001E3A6F" w:rsidRPr="001E3A6F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1E3A6F" w:rsidRPr="001E3A6F">
        <w:rPr>
          <w:rFonts w:ascii="Book Antiqua" w:hAnsi="Book Antiqua"/>
          <w:b/>
          <w:sz w:val="24"/>
          <w:szCs w:val="24"/>
        </w:rPr>
        <w:t>rabeprazole</w:t>
      </w:r>
      <w:proofErr w:type="spellEnd"/>
      <w:r w:rsidR="001E3A6F" w:rsidRPr="001E3A6F">
        <w:rPr>
          <w:rFonts w:ascii="Book Antiqua" w:hAnsi="Book Antiqua"/>
          <w:b/>
          <w:sz w:val="24"/>
          <w:szCs w:val="24"/>
        </w:rPr>
        <w:t xml:space="preserve"> plus placebo (group P)</w:t>
      </w:r>
      <w:r w:rsidRPr="00017621">
        <w:rPr>
          <w:rFonts w:ascii="Book Antiqua" w:hAnsi="Book Antiqua"/>
          <w:b/>
          <w:sz w:val="24"/>
          <w:szCs w:val="24"/>
        </w:rPr>
        <w:t xml:space="preserve"> </w:t>
      </w:r>
    </w:p>
    <w:tbl>
      <w:tblPr>
        <w:tblStyle w:val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1648"/>
      </w:tblGrid>
      <w:tr w:rsidR="00017621" w:rsidRPr="00017621" w:rsidTr="00063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621" w:rsidRPr="000637DE" w:rsidRDefault="00017621" w:rsidP="00017621">
            <w:pPr>
              <w:spacing w:line="360" w:lineRule="auto"/>
              <w:rPr>
                <w:rFonts w:ascii="Book Antiqua" w:hAnsi="Book Antiqua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621" w:rsidRPr="000637DE" w:rsidRDefault="00017621" w:rsidP="00FC342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0637DE">
              <w:rPr>
                <w:rFonts w:ascii="Book Antiqua" w:hAnsi="Book Antiqua"/>
                <w:color w:val="auto"/>
                <w:sz w:val="24"/>
                <w:szCs w:val="24"/>
              </w:rPr>
              <w:t>Group I (</w:t>
            </w:r>
            <w:r w:rsidRPr="000637DE">
              <w:rPr>
                <w:rFonts w:ascii="Book Antiqua" w:hAnsi="Book Antiqua"/>
                <w:i/>
                <w:color w:val="auto"/>
                <w:sz w:val="24"/>
                <w:szCs w:val="24"/>
              </w:rPr>
              <w:t>n</w:t>
            </w:r>
            <w:r w:rsidR="00FC3421" w:rsidRPr="000637DE">
              <w:rPr>
                <w:rFonts w:ascii="Book Antiqua" w:eastAsia="宋体" w:hAnsi="Book Antiqua"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0637DE">
              <w:rPr>
                <w:rFonts w:ascii="Book Antiqua" w:hAnsi="Book Antiqua"/>
                <w:color w:val="auto"/>
                <w:sz w:val="24"/>
                <w:szCs w:val="24"/>
              </w:rPr>
              <w:t>=</w:t>
            </w:r>
            <w:r w:rsidR="00FC3421" w:rsidRPr="000637DE">
              <w:rPr>
                <w:rFonts w:ascii="Book Antiqua" w:eastAsia="宋体" w:hAnsi="Book Antiqua"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0637DE">
              <w:rPr>
                <w:rFonts w:ascii="Book Antiqua" w:hAnsi="Book Antiqua"/>
                <w:color w:val="auto"/>
                <w:sz w:val="24"/>
                <w:szCs w:val="24"/>
              </w:rPr>
              <w:t>49)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621" w:rsidRPr="000637DE" w:rsidRDefault="00017621" w:rsidP="00FC342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0637DE">
              <w:rPr>
                <w:rFonts w:ascii="Book Antiqua" w:hAnsi="Book Antiqua"/>
                <w:color w:val="auto"/>
                <w:sz w:val="24"/>
                <w:szCs w:val="24"/>
              </w:rPr>
              <w:t>Group P (</w:t>
            </w:r>
            <w:r w:rsidRPr="000637DE">
              <w:rPr>
                <w:rFonts w:ascii="Book Antiqua" w:hAnsi="Book Antiqua"/>
                <w:i/>
                <w:color w:val="auto"/>
                <w:sz w:val="24"/>
                <w:szCs w:val="24"/>
              </w:rPr>
              <w:t>n</w:t>
            </w:r>
            <w:r w:rsidR="00FC3421" w:rsidRPr="000637DE">
              <w:rPr>
                <w:rFonts w:ascii="Book Antiqua" w:eastAsia="宋体" w:hAnsi="Book Antiqua"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0637DE">
              <w:rPr>
                <w:rFonts w:ascii="Book Antiqua" w:hAnsi="Book Antiqua"/>
                <w:color w:val="auto"/>
                <w:sz w:val="24"/>
                <w:szCs w:val="24"/>
              </w:rPr>
              <w:t>=</w:t>
            </w:r>
            <w:r w:rsidR="00FC3421" w:rsidRPr="000637DE">
              <w:rPr>
                <w:rFonts w:ascii="Book Antiqua" w:eastAsia="宋体" w:hAnsi="Book Antiqua"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0637DE">
              <w:rPr>
                <w:rFonts w:ascii="Book Antiqua" w:hAnsi="Book Antiqua"/>
                <w:color w:val="auto"/>
                <w:sz w:val="24"/>
                <w:szCs w:val="24"/>
              </w:rPr>
              <w:t>48)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7621" w:rsidRPr="000637DE" w:rsidRDefault="00017621" w:rsidP="00FC342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auto"/>
                <w:sz w:val="24"/>
                <w:szCs w:val="24"/>
              </w:rPr>
            </w:pPr>
            <w:r w:rsidRPr="000637DE">
              <w:rPr>
                <w:rFonts w:ascii="Book Antiqua" w:hAnsi="Book Antiqua"/>
                <w:i/>
                <w:color w:val="auto"/>
                <w:sz w:val="24"/>
                <w:szCs w:val="24"/>
              </w:rPr>
              <w:t>P</w:t>
            </w:r>
            <w:r w:rsidR="00FC3421" w:rsidRPr="000637DE">
              <w:rPr>
                <w:rFonts w:ascii="Book Antiqua" w:eastAsia="宋体" w:hAnsi="Book Antiqua" w:hint="eastAsia"/>
                <w:color w:val="auto"/>
                <w:sz w:val="24"/>
                <w:szCs w:val="24"/>
                <w:lang w:eastAsia="zh-CN"/>
              </w:rPr>
              <w:t xml:space="preserve"> value</w:t>
            </w:r>
          </w:p>
        </w:tc>
      </w:tr>
      <w:tr w:rsidR="00017621" w:rsidRPr="00017621" w:rsidTr="00063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</w:tcPr>
          <w:p w:rsidR="00017621" w:rsidRPr="000637DE" w:rsidRDefault="00017621" w:rsidP="00FC3421">
            <w:pPr>
              <w:spacing w:line="360" w:lineRule="auto"/>
              <w:jc w:val="left"/>
              <w:rPr>
                <w:rFonts w:ascii="Book Antiqua" w:hAnsi="Book Antiqua"/>
                <w:b w:val="0"/>
                <w:sz w:val="24"/>
                <w:szCs w:val="24"/>
              </w:rPr>
            </w:pPr>
            <w:r w:rsidRPr="000637DE">
              <w:rPr>
                <w:rFonts w:ascii="Book Antiqua" w:hAnsi="Book Antiqua"/>
                <w:b w:val="0"/>
                <w:sz w:val="24"/>
                <w:szCs w:val="24"/>
              </w:rPr>
              <w:t>Age</w:t>
            </w:r>
            <w:r w:rsidR="00FC3421" w:rsidRPr="000637DE">
              <w:rPr>
                <w:rFonts w:ascii="Book Antiqua" w:eastAsia="宋体" w:hAnsi="Book Antiqua" w:hint="eastAsia"/>
                <w:b w:val="0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="00FC3421" w:rsidRPr="000637DE">
              <w:rPr>
                <w:rFonts w:ascii="Book Antiqua" w:eastAsia="宋体" w:hAnsi="Book Antiqua" w:hint="eastAsia"/>
                <w:b w:val="0"/>
                <w:sz w:val="24"/>
                <w:szCs w:val="24"/>
                <w:lang w:eastAsia="zh-CN"/>
              </w:rPr>
              <w:t>yr</w:t>
            </w:r>
            <w:proofErr w:type="spellEnd"/>
            <w:r w:rsidR="00FC3421" w:rsidRPr="000637DE">
              <w:rPr>
                <w:rFonts w:ascii="Book Antiqua" w:eastAsia="宋体" w:hAnsi="Book Antiqua" w:hint="eastAsia"/>
                <w:b w:val="0"/>
                <w:sz w:val="24"/>
                <w:szCs w:val="24"/>
                <w:lang w:eastAsia="zh-CN"/>
              </w:rPr>
              <w:t>)</w:t>
            </w:r>
            <w:r w:rsidRPr="000637DE">
              <w:rPr>
                <w:rFonts w:ascii="Book Antiqua" w:hAnsi="Book Antiqua"/>
                <w:b w:val="0"/>
                <w:sz w:val="24"/>
                <w:szCs w:val="24"/>
              </w:rPr>
              <w:t>, mean</w:t>
            </w:r>
            <w:r w:rsidR="00FC3421" w:rsidRPr="000637DE">
              <w:rPr>
                <w:rFonts w:ascii="Book Antiqua" w:eastAsia="宋体" w:hAnsi="Book Antiqua" w:hint="eastAsia"/>
                <w:b w:val="0"/>
                <w:sz w:val="24"/>
                <w:szCs w:val="24"/>
                <w:lang w:eastAsia="zh-CN"/>
              </w:rPr>
              <w:t xml:space="preserve"> </w:t>
            </w:r>
            <w:r w:rsidRPr="000637DE">
              <w:rPr>
                <w:rFonts w:ascii="Book Antiqua" w:hAnsi="Book Antiqua"/>
                <w:b w:val="0"/>
                <w:sz w:val="24"/>
                <w:szCs w:val="24"/>
              </w:rPr>
              <w:t>±</w:t>
            </w:r>
            <w:r w:rsidR="00FC3421" w:rsidRPr="000637DE">
              <w:rPr>
                <w:rFonts w:ascii="Book Antiqua" w:eastAsia="宋体" w:hAnsi="Book Antiqua" w:hint="eastAsia"/>
                <w:b w:val="0"/>
                <w:sz w:val="24"/>
                <w:szCs w:val="24"/>
                <w:lang w:eastAsia="zh-CN"/>
              </w:rPr>
              <w:t xml:space="preserve"> </w:t>
            </w:r>
            <w:r w:rsidRPr="000637DE">
              <w:rPr>
                <w:rFonts w:ascii="Book Antiqua" w:hAnsi="Book Antiqua"/>
                <w:b w:val="0"/>
                <w:sz w:val="24"/>
                <w:szCs w:val="24"/>
              </w:rPr>
              <w:t xml:space="preserve">SD </w:t>
            </w:r>
          </w:p>
        </w:tc>
        <w:tc>
          <w:tcPr>
            <w:tcW w:w="2268" w:type="dxa"/>
            <w:tcBorders>
              <w:top w:val="single" w:sz="4" w:space="0" w:color="auto"/>
              <w:bottom w:val="none" w:sz="0" w:space="0" w:color="auto"/>
            </w:tcBorders>
          </w:tcPr>
          <w:p w:rsidR="00017621" w:rsidRPr="00017621" w:rsidRDefault="00017621" w:rsidP="00FC34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51.1</w:t>
            </w:r>
            <w:r w:rsidR="000637DE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017621">
              <w:rPr>
                <w:rFonts w:ascii="Book Antiqua" w:hAnsi="Book Antiqua"/>
                <w:sz w:val="24"/>
                <w:szCs w:val="24"/>
              </w:rPr>
              <w:t>±</w:t>
            </w:r>
            <w:r w:rsidR="000637DE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017621">
              <w:rPr>
                <w:rFonts w:ascii="Book Antiqua" w:hAnsi="Book Antiqua"/>
                <w:sz w:val="24"/>
                <w:szCs w:val="24"/>
              </w:rPr>
              <w:t>16.4</w:t>
            </w:r>
          </w:p>
        </w:tc>
        <w:tc>
          <w:tcPr>
            <w:tcW w:w="2268" w:type="dxa"/>
            <w:tcBorders>
              <w:top w:val="single" w:sz="4" w:space="0" w:color="auto"/>
              <w:bottom w:val="none" w:sz="0" w:space="0" w:color="auto"/>
            </w:tcBorders>
          </w:tcPr>
          <w:p w:rsidR="00017621" w:rsidRPr="00017621" w:rsidRDefault="00017621" w:rsidP="00FC34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51.1</w:t>
            </w:r>
            <w:r w:rsidR="000637DE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017621">
              <w:rPr>
                <w:rFonts w:ascii="Book Antiqua" w:hAnsi="Book Antiqua"/>
                <w:sz w:val="24"/>
                <w:szCs w:val="24"/>
              </w:rPr>
              <w:t>±</w:t>
            </w:r>
            <w:r w:rsidR="000637DE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017621">
              <w:rPr>
                <w:rFonts w:ascii="Book Antiqua" w:hAnsi="Book Antiqua"/>
                <w:sz w:val="24"/>
                <w:szCs w:val="24"/>
              </w:rPr>
              <w:t>14.8</w:t>
            </w:r>
          </w:p>
        </w:tc>
        <w:tc>
          <w:tcPr>
            <w:tcW w:w="1648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</w:tcPr>
          <w:p w:rsidR="00017621" w:rsidRPr="00017621" w:rsidRDefault="00017621" w:rsidP="00FC34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0.77</w:t>
            </w:r>
          </w:p>
        </w:tc>
      </w:tr>
      <w:tr w:rsidR="00017621" w:rsidRPr="00017621" w:rsidTr="000637D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17621" w:rsidRPr="000637DE" w:rsidRDefault="00017621" w:rsidP="00FC3421">
            <w:pPr>
              <w:spacing w:line="360" w:lineRule="auto"/>
              <w:jc w:val="left"/>
              <w:rPr>
                <w:rFonts w:ascii="Book Antiqua" w:hAnsi="Book Antiqua"/>
                <w:b w:val="0"/>
                <w:sz w:val="24"/>
                <w:szCs w:val="24"/>
              </w:rPr>
            </w:pPr>
            <w:r w:rsidRPr="000637DE">
              <w:rPr>
                <w:rFonts w:ascii="Book Antiqua" w:hAnsi="Book Antiqua"/>
                <w:b w:val="0"/>
                <w:sz w:val="24"/>
                <w:szCs w:val="24"/>
              </w:rPr>
              <w:t>Sex, male/female</w:t>
            </w:r>
          </w:p>
        </w:tc>
        <w:tc>
          <w:tcPr>
            <w:tcW w:w="2268" w:type="dxa"/>
          </w:tcPr>
          <w:p w:rsidR="00017621" w:rsidRPr="00017621" w:rsidRDefault="00017621" w:rsidP="00FC34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13/36</w:t>
            </w:r>
          </w:p>
        </w:tc>
        <w:tc>
          <w:tcPr>
            <w:tcW w:w="2268" w:type="dxa"/>
          </w:tcPr>
          <w:p w:rsidR="00017621" w:rsidRPr="00017621" w:rsidRDefault="00017621" w:rsidP="00FC34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19/29</w:t>
            </w:r>
          </w:p>
        </w:tc>
        <w:tc>
          <w:tcPr>
            <w:tcW w:w="1648" w:type="dxa"/>
          </w:tcPr>
          <w:p w:rsidR="00017621" w:rsidRPr="00017621" w:rsidRDefault="00017621" w:rsidP="00FC34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0.17</w:t>
            </w:r>
          </w:p>
        </w:tc>
      </w:tr>
      <w:tr w:rsidR="00017621" w:rsidRPr="00017621" w:rsidTr="00063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7621" w:rsidRPr="000637DE" w:rsidRDefault="00017621" w:rsidP="00FC3421">
            <w:pPr>
              <w:spacing w:line="360" w:lineRule="auto"/>
              <w:jc w:val="left"/>
              <w:rPr>
                <w:rFonts w:ascii="Book Antiqua" w:hAnsi="Book Antiqua"/>
                <w:b w:val="0"/>
                <w:sz w:val="24"/>
                <w:szCs w:val="24"/>
              </w:rPr>
            </w:pPr>
            <w:r w:rsidRPr="000637DE">
              <w:rPr>
                <w:rFonts w:ascii="Book Antiqua" w:hAnsi="Book Antiqua"/>
                <w:b w:val="0"/>
                <w:sz w:val="24"/>
                <w:szCs w:val="24"/>
              </w:rPr>
              <w:t>BMI (kg/m</w:t>
            </w:r>
            <w:r w:rsidRPr="000637DE">
              <w:rPr>
                <w:rFonts w:ascii="Book Antiqua" w:hAnsi="Book Antiqua"/>
                <w:b w:val="0"/>
                <w:sz w:val="24"/>
                <w:szCs w:val="24"/>
                <w:vertAlign w:val="superscript"/>
              </w:rPr>
              <w:t>2</w:t>
            </w:r>
            <w:r w:rsidRPr="000637DE">
              <w:rPr>
                <w:rFonts w:ascii="Book Antiqua" w:hAnsi="Book Antiqua"/>
                <w:b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017621" w:rsidRPr="00017621" w:rsidRDefault="00017621" w:rsidP="00FC34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22.4±4.3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017621" w:rsidRPr="00017621" w:rsidRDefault="00017621" w:rsidP="00FC34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21.8±3.1</w:t>
            </w:r>
          </w:p>
        </w:tc>
        <w:tc>
          <w:tcPr>
            <w:tcW w:w="16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7621" w:rsidRPr="00017621" w:rsidRDefault="00017621" w:rsidP="00FC34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0.59</w:t>
            </w:r>
          </w:p>
        </w:tc>
      </w:tr>
      <w:tr w:rsidR="00017621" w:rsidRPr="00017621" w:rsidTr="000637D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17621" w:rsidRPr="000637DE" w:rsidRDefault="00017621" w:rsidP="00FC3421">
            <w:pPr>
              <w:spacing w:line="360" w:lineRule="auto"/>
              <w:jc w:val="left"/>
              <w:rPr>
                <w:rFonts w:ascii="Book Antiqua" w:hAnsi="Book Antiqua"/>
                <w:b w:val="0"/>
                <w:sz w:val="24"/>
                <w:szCs w:val="24"/>
              </w:rPr>
            </w:pPr>
            <w:r w:rsidRPr="000637DE">
              <w:rPr>
                <w:rFonts w:ascii="Book Antiqua" w:hAnsi="Book Antiqua"/>
                <w:b w:val="0"/>
                <w:sz w:val="24"/>
                <w:szCs w:val="24"/>
              </w:rPr>
              <w:lastRenderedPageBreak/>
              <w:t>Height (cm)</w:t>
            </w:r>
          </w:p>
        </w:tc>
        <w:tc>
          <w:tcPr>
            <w:tcW w:w="2268" w:type="dxa"/>
          </w:tcPr>
          <w:p w:rsidR="00017621" w:rsidRPr="00017621" w:rsidRDefault="00017621" w:rsidP="00FC34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159</w:t>
            </w:r>
            <w:r w:rsidR="000637DE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017621">
              <w:rPr>
                <w:rFonts w:ascii="Book Antiqua" w:hAnsi="Book Antiqua"/>
                <w:sz w:val="24"/>
                <w:szCs w:val="24"/>
              </w:rPr>
              <w:t>±</w:t>
            </w:r>
            <w:r w:rsidR="000637DE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017621">
              <w:rPr>
                <w:rFonts w:ascii="Book Antiqua" w:hAnsi="Book Antiqua"/>
                <w:sz w:val="24"/>
                <w:szCs w:val="24"/>
              </w:rPr>
              <w:t>7.3</w:t>
            </w:r>
          </w:p>
        </w:tc>
        <w:tc>
          <w:tcPr>
            <w:tcW w:w="2268" w:type="dxa"/>
          </w:tcPr>
          <w:p w:rsidR="00017621" w:rsidRPr="00017621" w:rsidRDefault="00017621" w:rsidP="00FC34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161.5</w:t>
            </w:r>
            <w:r w:rsidR="000637DE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017621">
              <w:rPr>
                <w:rFonts w:ascii="Book Antiqua" w:hAnsi="Book Antiqua"/>
                <w:sz w:val="24"/>
                <w:szCs w:val="24"/>
              </w:rPr>
              <w:t>±</w:t>
            </w:r>
            <w:r w:rsidR="000637DE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017621">
              <w:rPr>
                <w:rFonts w:ascii="Book Antiqua" w:hAnsi="Book Antiqua"/>
                <w:sz w:val="24"/>
                <w:szCs w:val="24"/>
              </w:rPr>
              <w:t>8.7</w:t>
            </w:r>
          </w:p>
        </w:tc>
        <w:tc>
          <w:tcPr>
            <w:tcW w:w="1648" w:type="dxa"/>
          </w:tcPr>
          <w:p w:rsidR="00017621" w:rsidRPr="00017621" w:rsidRDefault="00017621" w:rsidP="00FC34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0.24</w:t>
            </w:r>
          </w:p>
        </w:tc>
      </w:tr>
      <w:tr w:rsidR="00017621" w:rsidRPr="00017621" w:rsidTr="00063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7621" w:rsidRPr="000637DE" w:rsidRDefault="00017621" w:rsidP="00FC3421">
            <w:pPr>
              <w:spacing w:line="360" w:lineRule="auto"/>
              <w:jc w:val="left"/>
              <w:rPr>
                <w:rFonts w:ascii="Book Antiqua" w:eastAsia="宋体" w:hAnsi="Book Antiqua"/>
                <w:b w:val="0"/>
                <w:sz w:val="24"/>
                <w:szCs w:val="24"/>
                <w:lang w:eastAsia="zh-CN"/>
              </w:rPr>
            </w:pPr>
            <w:r w:rsidRPr="000637DE">
              <w:rPr>
                <w:rFonts w:ascii="Book Antiqua" w:hAnsi="Book Antiqua"/>
                <w:b w:val="0"/>
                <w:sz w:val="24"/>
                <w:szCs w:val="24"/>
              </w:rPr>
              <w:t>Weight (kg)</w:t>
            </w:r>
            <w:r w:rsidR="000637DE" w:rsidRPr="000637DE">
              <w:rPr>
                <w:rFonts w:ascii="Book Antiqua" w:eastAsia="宋体" w:hAnsi="Book Antiqua" w:hint="eastAsia"/>
                <w:b w:val="0"/>
                <w:sz w:val="24"/>
                <w:szCs w:val="24"/>
                <w:lang w:eastAsia="zh-CN"/>
              </w:rPr>
              <w:t>,</w:t>
            </w:r>
            <w:r w:rsidR="000637DE" w:rsidRPr="000637DE">
              <w:rPr>
                <w:rFonts w:ascii="Book Antiqua" w:hAnsi="Book Antiqua"/>
                <w:b w:val="0"/>
                <w:sz w:val="24"/>
                <w:szCs w:val="24"/>
              </w:rPr>
              <w:t xml:space="preserve"> mean</w:t>
            </w:r>
            <w:r w:rsidR="000637DE" w:rsidRPr="000637DE">
              <w:rPr>
                <w:rFonts w:ascii="Book Antiqua" w:eastAsia="宋体" w:hAnsi="Book Antiqua" w:hint="eastAsia"/>
                <w:b w:val="0"/>
                <w:sz w:val="24"/>
                <w:szCs w:val="24"/>
                <w:lang w:eastAsia="zh-CN"/>
              </w:rPr>
              <w:t xml:space="preserve"> </w:t>
            </w:r>
            <w:r w:rsidR="000637DE" w:rsidRPr="000637DE">
              <w:rPr>
                <w:rFonts w:ascii="Book Antiqua" w:hAnsi="Book Antiqua"/>
                <w:b w:val="0"/>
                <w:sz w:val="24"/>
                <w:szCs w:val="24"/>
              </w:rPr>
              <w:t>±</w:t>
            </w:r>
            <w:r w:rsidR="000637DE" w:rsidRPr="000637DE">
              <w:rPr>
                <w:rFonts w:ascii="Book Antiqua" w:eastAsia="宋体" w:hAnsi="Book Antiqua" w:hint="eastAsia"/>
                <w:b w:val="0"/>
                <w:sz w:val="24"/>
                <w:szCs w:val="24"/>
                <w:lang w:eastAsia="zh-CN"/>
              </w:rPr>
              <w:t xml:space="preserve"> </w:t>
            </w:r>
            <w:r w:rsidR="000637DE" w:rsidRPr="000637DE">
              <w:rPr>
                <w:rFonts w:ascii="Book Antiqua" w:hAnsi="Book Antiqua"/>
                <w:b w:val="0"/>
                <w:sz w:val="24"/>
                <w:szCs w:val="24"/>
              </w:rPr>
              <w:t>SD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017621" w:rsidRPr="00017621" w:rsidRDefault="00017621" w:rsidP="00FC34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57.1</w:t>
            </w:r>
            <w:r w:rsidR="000637DE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017621">
              <w:rPr>
                <w:rFonts w:ascii="Book Antiqua" w:hAnsi="Book Antiqua"/>
                <w:sz w:val="24"/>
                <w:szCs w:val="24"/>
              </w:rPr>
              <w:t>±</w:t>
            </w:r>
            <w:r w:rsidR="000637DE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017621">
              <w:rPr>
                <w:rFonts w:ascii="Book Antiqua" w:hAnsi="Book Antiqua"/>
                <w:sz w:val="24"/>
                <w:szCs w:val="24"/>
              </w:rPr>
              <w:t>12.2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017621" w:rsidRPr="00017621" w:rsidRDefault="00017621" w:rsidP="00FC34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56.7</w:t>
            </w:r>
            <w:r w:rsidR="000637DE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017621">
              <w:rPr>
                <w:rFonts w:ascii="Book Antiqua" w:hAnsi="Book Antiqua"/>
                <w:sz w:val="24"/>
                <w:szCs w:val="24"/>
              </w:rPr>
              <w:t>±</w:t>
            </w:r>
            <w:r w:rsidR="000637DE">
              <w:rPr>
                <w:rFonts w:ascii="Book Antiqua" w:eastAsia="宋体" w:hAnsi="Book Antiqua" w:hint="eastAsia"/>
                <w:sz w:val="24"/>
                <w:szCs w:val="24"/>
                <w:lang w:eastAsia="zh-CN"/>
              </w:rPr>
              <w:t xml:space="preserve"> </w:t>
            </w:r>
            <w:r w:rsidRPr="00017621">
              <w:rPr>
                <w:rFonts w:ascii="Book Antiqua" w:hAnsi="Book Antiqua"/>
                <w:sz w:val="24"/>
                <w:szCs w:val="24"/>
              </w:rPr>
              <w:t>8.6</w:t>
            </w:r>
          </w:p>
        </w:tc>
        <w:tc>
          <w:tcPr>
            <w:tcW w:w="16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7621" w:rsidRPr="00017621" w:rsidRDefault="00017621" w:rsidP="00FC34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0.63</w:t>
            </w:r>
          </w:p>
        </w:tc>
      </w:tr>
      <w:tr w:rsidR="00017621" w:rsidRPr="00017621" w:rsidTr="000637D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17621" w:rsidRPr="000637DE" w:rsidRDefault="00017621" w:rsidP="00FC3421">
            <w:pPr>
              <w:spacing w:line="360" w:lineRule="auto"/>
              <w:jc w:val="left"/>
              <w:rPr>
                <w:rFonts w:ascii="Book Antiqua" w:hAnsi="Book Antiqua"/>
                <w:b w:val="0"/>
                <w:sz w:val="24"/>
                <w:szCs w:val="24"/>
              </w:rPr>
            </w:pPr>
            <w:r w:rsidRPr="000637DE">
              <w:rPr>
                <w:rFonts w:ascii="Book Antiqua" w:hAnsi="Book Antiqua"/>
                <w:b w:val="0"/>
                <w:sz w:val="24"/>
                <w:szCs w:val="24"/>
              </w:rPr>
              <w:t>NERD grade (N/M)</w:t>
            </w:r>
          </w:p>
        </w:tc>
        <w:tc>
          <w:tcPr>
            <w:tcW w:w="2268" w:type="dxa"/>
          </w:tcPr>
          <w:p w:rsidR="00017621" w:rsidRPr="00017621" w:rsidRDefault="00017621" w:rsidP="00FC34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21/28</w:t>
            </w:r>
          </w:p>
        </w:tc>
        <w:tc>
          <w:tcPr>
            <w:tcW w:w="2268" w:type="dxa"/>
          </w:tcPr>
          <w:p w:rsidR="00017621" w:rsidRPr="00017621" w:rsidRDefault="00017621" w:rsidP="00FC34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20/28</w:t>
            </w:r>
          </w:p>
        </w:tc>
        <w:tc>
          <w:tcPr>
            <w:tcW w:w="1648" w:type="dxa"/>
          </w:tcPr>
          <w:p w:rsidR="00017621" w:rsidRPr="00017621" w:rsidRDefault="00017621" w:rsidP="00FC34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0.91</w:t>
            </w:r>
          </w:p>
        </w:tc>
      </w:tr>
      <w:tr w:rsidR="00017621" w:rsidRPr="00017621" w:rsidTr="00063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7621" w:rsidRPr="000637DE" w:rsidRDefault="00017621" w:rsidP="00FC3421">
            <w:pPr>
              <w:spacing w:line="360" w:lineRule="auto"/>
              <w:jc w:val="left"/>
              <w:rPr>
                <w:rFonts w:ascii="Book Antiqua" w:hAnsi="Book Antiqua"/>
                <w:b w:val="0"/>
                <w:sz w:val="24"/>
                <w:szCs w:val="24"/>
              </w:rPr>
            </w:pPr>
            <w:r w:rsidRPr="000637DE">
              <w:rPr>
                <w:rFonts w:ascii="Book Antiqua" w:hAnsi="Book Antiqua"/>
                <w:b w:val="0"/>
                <w:sz w:val="24"/>
                <w:szCs w:val="24"/>
              </w:rPr>
              <w:t>Hiatal hernia (+/-)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017621" w:rsidRPr="00017621" w:rsidRDefault="00017621" w:rsidP="00FC34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11/38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017621" w:rsidRPr="00017621" w:rsidRDefault="00017621" w:rsidP="00FC34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10/38</w:t>
            </w:r>
          </w:p>
        </w:tc>
        <w:tc>
          <w:tcPr>
            <w:tcW w:w="16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17621" w:rsidRPr="00017621" w:rsidRDefault="00017621" w:rsidP="00FC34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0.85</w:t>
            </w:r>
          </w:p>
        </w:tc>
      </w:tr>
      <w:tr w:rsidR="00017621" w:rsidRPr="00017621" w:rsidTr="000637D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017621" w:rsidRPr="000637DE" w:rsidRDefault="00017621" w:rsidP="00FC3421">
            <w:pPr>
              <w:spacing w:line="360" w:lineRule="auto"/>
              <w:jc w:val="left"/>
              <w:rPr>
                <w:rFonts w:ascii="Book Antiqua" w:hAnsi="Book Antiqua"/>
                <w:b w:val="0"/>
                <w:sz w:val="24"/>
                <w:szCs w:val="24"/>
              </w:rPr>
            </w:pPr>
            <w:r w:rsidRPr="000637DE">
              <w:rPr>
                <w:rFonts w:ascii="Book Antiqua" w:hAnsi="Book Antiqua"/>
                <w:b w:val="0"/>
                <w:sz w:val="24"/>
                <w:szCs w:val="24"/>
              </w:rPr>
              <w:t>Drinking (+/-)</w:t>
            </w:r>
          </w:p>
        </w:tc>
        <w:tc>
          <w:tcPr>
            <w:tcW w:w="2268" w:type="dxa"/>
          </w:tcPr>
          <w:p w:rsidR="00017621" w:rsidRPr="00017621" w:rsidRDefault="00017621" w:rsidP="00FC34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16/33</w:t>
            </w:r>
          </w:p>
        </w:tc>
        <w:tc>
          <w:tcPr>
            <w:tcW w:w="2268" w:type="dxa"/>
          </w:tcPr>
          <w:p w:rsidR="00017621" w:rsidRPr="00017621" w:rsidRDefault="00017621" w:rsidP="00FC34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20/28</w:t>
            </w:r>
          </w:p>
        </w:tc>
        <w:tc>
          <w:tcPr>
            <w:tcW w:w="1648" w:type="dxa"/>
          </w:tcPr>
          <w:p w:rsidR="00017621" w:rsidRPr="00017621" w:rsidRDefault="00017621" w:rsidP="00FC342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0.36</w:t>
            </w:r>
          </w:p>
        </w:tc>
      </w:tr>
      <w:tr w:rsidR="00017621" w:rsidRPr="00017621" w:rsidTr="00063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</w:tcPr>
          <w:p w:rsidR="00017621" w:rsidRPr="000637DE" w:rsidRDefault="00017621" w:rsidP="00FC3421">
            <w:pPr>
              <w:spacing w:line="360" w:lineRule="auto"/>
              <w:jc w:val="left"/>
              <w:rPr>
                <w:rFonts w:ascii="Book Antiqua" w:hAnsi="Book Antiqua"/>
                <w:b w:val="0"/>
                <w:sz w:val="24"/>
                <w:szCs w:val="24"/>
              </w:rPr>
            </w:pPr>
            <w:r w:rsidRPr="000637DE">
              <w:rPr>
                <w:rFonts w:ascii="Book Antiqua" w:hAnsi="Book Antiqua"/>
                <w:b w:val="0"/>
                <w:sz w:val="24"/>
                <w:szCs w:val="24"/>
              </w:rPr>
              <w:t>Smoking (+/-)</w:t>
            </w:r>
          </w:p>
        </w:tc>
        <w:tc>
          <w:tcPr>
            <w:tcW w:w="2268" w:type="dxa"/>
            <w:tcBorders>
              <w:top w:val="none" w:sz="0" w:space="0" w:color="auto"/>
              <w:bottom w:val="single" w:sz="4" w:space="0" w:color="auto"/>
            </w:tcBorders>
          </w:tcPr>
          <w:p w:rsidR="00017621" w:rsidRPr="00017621" w:rsidRDefault="00017621" w:rsidP="00FC34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2/47</w:t>
            </w:r>
          </w:p>
        </w:tc>
        <w:tc>
          <w:tcPr>
            <w:tcW w:w="2268" w:type="dxa"/>
            <w:tcBorders>
              <w:top w:val="none" w:sz="0" w:space="0" w:color="auto"/>
              <w:bottom w:val="single" w:sz="4" w:space="0" w:color="auto"/>
            </w:tcBorders>
          </w:tcPr>
          <w:p w:rsidR="00017621" w:rsidRPr="00017621" w:rsidRDefault="00017621" w:rsidP="00FC34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9/39</w:t>
            </w:r>
          </w:p>
        </w:tc>
        <w:tc>
          <w:tcPr>
            <w:tcW w:w="1648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017621" w:rsidRPr="00017621" w:rsidRDefault="00017621" w:rsidP="00FC342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017621">
              <w:rPr>
                <w:rFonts w:ascii="Book Antiqua" w:hAnsi="Book Antiqua"/>
                <w:sz w:val="24"/>
                <w:szCs w:val="24"/>
              </w:rPr>
              <w:t>0.05</w:t>
            </w:r>
          </w:p>
        </w:tc>
      </w:tr>
    </w:tbl>
    <w:p w:rsidR="00017621" w:rsidRPr="000637DE" w:rsidRDefault="000637DE" w:rsidP="00017621">
      <w:pPr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  <w:r w:rsidRPr="000637DE">
        <w:rPr>
          <w:rFonts w:ascii="Book Antiqua" w:hAnsi="Book Antiqua" w:hint="eastAsia"/>
          <w:sz w:val="24"/>
          <w:szCs w:val="24"/>
        </w:rPr>
        <w:t>NERD: Non-erosive reflux disease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; BMI: </w:t>
      </w:r>
      <w:r>
        <w:rPr>
          <w:rFonts w:ascii="Book Antiqua" w:eastAsia="宋体" w:hAnsi="Book Antiqua"/>
          <w:sz w:val="24"/>
          <w:szCs w:val="24"/>
          <w:lang w:eastAsia="zh-CN"/>
        </w:rPr>
        <w:t>Body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mass index.</w:t>
      </w:r>
    </w:p>
    <w:p w:rsidR="00017621" w:rsidRPr="000637DE" w:rsidRDefault="00017621" w:rsidP="00017621">
      <w:pPr>
        <w:spacing w:line="360" w:lineRule="auto"/>
        <w:rPr>
          <w:rFonts w:ascii="Book Antiqua" w:hAnsi="Book Antiqua"/>
          <w:sz w:val="24"/>
          <w:szCs w:val="24"/>
        </w:rPr>
      </w:pPr>
    </w:p>
    <w:p w:rsidR="00017621" w:rsidRPr="00017621" w:rsidRDefault="00017621" w:rsidP="00017621">
      <w:pPr>
        <w:tabs>
          <w:tab w:val="left" w:pos="7797"/>
        </w:tabs>
        <w:adjustRightInd w:val="0"/>
        <w:snapToGrid w:val="0"/>
        <w:spacing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:rsidR="00510CB7" w:rsidRPr="00017621" w:rsidRDefault="00510CB7" w:rsidP="00017621">
      <w:pPr>
        <w:tabs>
          <w:tab w:val="left" w:pos="7797"/>
        </w:tabs>
        <w:adjustRightInd w:val="0"/>
        <w:snapToGrid w:val="0"/>
        <w:spacing w:line="360" w:lineRule="auto"/>
        <w:ind w:leftChars="150" w:left="330"/>
        <w:rPr>
          <w:rFonts w:ascii="Book Antiqua" w:eastAsia="MS PMincho" w:hAnsi="Book Antiqua"/>
          <w:sz w:val="24"/>
          <w:szCs w:val="24"/>
        </w:rPr>
      </w:pPr>
    </w:p>
    <w:p w:rsidR="00C544E7" w:rsidRPr="00017621" w:rsidRDefault="00C544E7" w:rsidP="00017621">
      <w:pPr>
        <w:widowControl/>
        <w:adjustRightInd w:val="0"/>
        <w:snapToGrid w:val="0"/>
        <w:spacing w:line="360" w:lineRule="auto"/>
        <w:rPr>
          <w:rFonts w:ascii="Book Antiqua" w:eastAsia="MS PMincho" w:hAnsi="Book Antiqua"/>
          <w:sz w:val="24"/>
          <w:szCs w:val="24"/>
        </w:rPr>
      </w:pPr>
    </w:p>
    <w:sectPr w:rsidR="00C544E7" w:rsidRPr="00017621" w:rsidSect="00B020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B1" w:rsidRDefault="006866B1" w:rsidP="006B1A30">
      <w:r>
        <w:separator/>
      </w:r>
    </w:p>
  </w:endnote>
  <w:endnote w:type="continuationSeparator" w:id="0">
    <w:p w:rsidR="006866B1" w:rsidRDefault="006866B1" w:rsidP="006B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0000708" w:usb2="1000000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418719"/>
      <w:docPartObj>
        <w:docPartGallery w:val="Page Numbers (Bottom of Page)"/>
        <w:docPartUnique/>
      </w:docPartObj>
    </w:sdtPr>
    <w:sdtEndPr/>
    <w:sdtContent>
      <w:p w:rsidR="00A26332" w:rsidRDefault="00FE1CE4">
        <w:pPr>
          <w:pStyle w:val="a4"/>
          <w:jc w:val="center"/>
        </w:pPr>
        <w:r>
          <w:fldChar w:fldCharType="begin"/>
        </w:r>
        <w:r w:rsidR="00A26332">
          <w:instrText xml:space="preserve"> PAGE   \* MERGEFORMAT </w:instrText>
        </w:r>
        <w:r>
          <w:fldChar w:fldCharType="separate"/>
        </w:r>
        <w:r w:rsidR="00205D5D" w:rsidRPr="00205D5D">
          <w:rPr>
            <w:noProof/>
            <w:lang w:val="ja-JP"/>
          </w:rPr>
          <w:t>24</w:t>
        </w:r>
        <w:r>
          <w:rPr>
            <w:noProof/>
            <w:lang w:val="ja-JP"/>
          </w:rPr>
          <w:fldChar w:fldCharType="end"/>
        </w:r>
      </w:p>
    </w:sdtContent>
  </w:sdt>
  <w:p w:rsidR="00A26332" w:rsidRDefault="00A263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B1" w:rsidRDefault="006866B1" w:rsidP="006B1A30">
      <w:r>
        <w:separator/>
      </w:r>
    </w:p>
  </w:footnote>
  <w:footnote w:type="continuationSeparator" w:id="0">
    <w:p w:rsidR="006866B1" w:rsidRDefault="006866B1" w:rsidP="006B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427B"/>
    <w:multiLevelType w:val="multilevel"/>
    <w:tmpl w:val="6D9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D6802"/>
    <w:multiLevelType w:val="hybridMultilevel"/>
    <w:tmpl w:val="E2684E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7A"/>
    <w:rsid w:val="00003329"/>
    <w:rsid w:val="00003889"/>
    <w:rsid w:val="00006AFA"/>
    <w:rsid w:val="000079F9"/>
    <w:rsid w:val="00014F25"/>
    <w:rsid w:val="00016C2C"/>
    <w:rsid w:val="00017621"/>
    <w:rsid w:val="00020067"/>
    <w:rsid w:val="000305E8"/>
    <w:rsid w:val="00030A76"/>
    <w:rsid w:val="00032647"/>
    <w:rsid w:val="000328D6"/>
    <w:rsid w:val="00037215"/>
    <w:rsid w:val="0004451F"/>
    <w:rsid w:val="00045EB3"/>
    <w:rsid w:val="00053944"/>
    <w:rsid w:val="0005653B"/>
    <w:rsid w:val="00056708"/>
    <w:rsid w:val="0006093E"/>
    <w:rsid w:val="00061471"/>
    <w:rsid w:val="00062781"/>
    <w:rsid w:val="0006365C"/>
    <w:rsid w:val="000637DE"/>
    <w:rsid w:val="00072183"/>
    <w:rsid w:val="00073823"/>
    <w:rsid w:val="0009323A"/>
    <w:rsid w:val="000949EB"/>
    <w:rsid w:val="000A1626"/>
    <w:rsid w:val="000A5BAE"/>
    <w:rsid w:val="000C1170"/>
    <w:rsid w:val="000C57BD"/>
    <w:rsid w:val="000D4DFC"/>
    <w:rsid w:val="000E17B6"/>
    <w:rsid w:val="000E4A10"/>
    <w:rsid w:val="000E697D"/>
    <w:rsid w:val="000F7029"/>
    <w:rsid w:val="000F7413"/>
    <w:rsid w:val="0010029D"/>
    <w:rsid w:val="001045AE"/>
    <w:rsid w:val="00104FA2"/>
    <w:rsid w:val="001076BF"/>
    <w:rsid w:val="00117D5C"/>
    <w:rsid w:val="00121129"/>
    <w:rsid w:val="00123E17"/>
    <w:rsid w:val="00126552"/>
    <w:rsid w:val="001362DA"/>
    <w:rsid w:val="00136CF0"/>
    <w:rsid w:val="00144E7C"/>
    <w:rsid w:val="0014651C"/>
    <w:rsid w:val="00151235"/>
    <w:rsid w:val="00163410"/>
    <w:rsid w:val="00172709"/>
    <w:rsid w:val="0017587C"/>
    <w:rsid w:val="00176157"/>
    <w:rsid w:val="00177009"/>
    <w:rsid w:val="001843D5"/>
    <w:rsid w:val="00184AF1"/>
    <w:rsid w:val="00187184"/>
    <w:rsid w:val="0018774A"/>
    <w:rsid w:val="00187D86"/>
    <w:rsid w:val="0019588C"/>
    <w:rsid w:val="001963CF"/>
    <w:rsid w:val="001A471B"/>
    <w:rsid w:val="001A6CAD"/>
    <w:rsid w:val="001C2135"/>
    <w:rsid w:val="001D18E4"/>
    <w:rsid w:val="001D2EF0"/>
    <w:rsid w:val="001E1E97"/>
    <w:rsid w:val="001E3A6F"/>
    <w:rsid w:val="001E4625"/>
    <w:rsid w:val="001E6C8A"/>
    <w:rsid w:val="001F24E4"/>
    <w:rsid w:val="0020519B"/>
    <w:rsid w:val="00205D5D"/>
    <w:rsid w:val="0021001C"/>
    <w:rsid w:val="00212CBD"/>
    <w:rsid w:val="00224B81"/>
    <w:rsid w:val="00227C0C"/>
    <w:rsid w:val="002312C6"/>
    <w:rsid w:val="00233750"/>
    <w:rsid w:val="0023377A"/>
    <w:rsid w:val="00245BA5"/>
    <w:rsid w:val="00246725"/>
    <w:rsid w:val="00252067"/>
    <w:rsid w:val="00253581"/>
    <w:rsid w:val="00276B58"/>
    <w:rsid w:val="002774B5"/>
    <w:rsid w:val="00277FBD"/>
    <w:rsid w:val="002866A0"/>
    <w:rsid w:val="002874EB"/>
    <w:rsid w:val="00290AC7"/>
    <w:rsid w:val="00291BB7"/>
    <w:rsid w:val="00291D45"/>
    <w:rsid w:val="00294BC8"/>
    <w:rsid w:val="002A16B3"/>
    <w:rsid w:val="002A505F"/>
    <w:rsid w:val="002A5155"/>
    <w:rsid w:val="002A663C"/>
    <w:rsid w:val="002B1369"/>
    <w:rsid w:val="002B52B5"/>
    <w:rsid w:val="002B5836"/>
    <w:rsid w:val="002C3C2E"/>
    <w:rsid w:val="002D05A4"/>
    <w:rsid w:val="002D78E9"/>
    <w:rsid w:val="002E1C76"/>
    <w:rsid w:val="002E4781"/>
    <w:rsid w:val="002E5D34"/>
    <w:rsid w:val="002E764F"/>
    <w:rsid w:val="002F733F"/>
    <w:rsid w:val="003041C8"/>
    <w:rsid w:val="00305534"/>
    <w:rsid w:val="00307268"/>
    <w:rsid w:val="00313854"/>
    <w:rsid w:val="0031455B"/>
    <w:rsid w:val="0031722C"/>
    <w:rsid w:val="003174B8"/>
    <w:rsid w:val="00321193"/>
    <w:rsid w:val="00323563"/>
    <w:rsid w:val="00324C1E"/>
    <w:rsid w:val="00330225"/>
    <w:rsid w:val="003348DC"/>
    <w:rsid w:val="00335642"/>
    <w:rsid w:val="00342F5A"/>
    <w:rsid w:val="00344179"/>
    <w:rsid w:val="003505DC"/>
    <w:rsid w:val="00352291"/>
    <w:rsid w:val="00356C9B"/>
    <w:rsid w:val="00364368"/>
    <w:rsid w:val="0037004A"/>
    <w:rsid w:val="003728F7"/>
    <w:rsid w:val="00372A78"/>
    <w:rsid w:val="003735B4"/>
    <w:rsid w:val="0038129F"/>
    <w:rsid w:val="00382324"/>
    <w:rsid w:val="00383435"/>
    <w:rsid w:val="00383A8C"/>
    <w:rsid w:val="00391822"/>
    <w:rsid w:val="00394872"/>
    <w:rsid w:val="003A708B"/>
    <w:rsid w:val="003B1AD9"/>
    <w:rsid w:val="003B1B5B"/>
    <w:rsid w:val="003B21F8"/>
    <w:rsid w:val="003B2BD4"/>
    <w:rsid w:val="003B3BE2"/>
    <w:rsid w:val="003B4AFD"/>
    <w:rsid w:val="003B63EE"/>
    <w:rsid w:val="003C19BC"/>
    <w:rsid w:val="003C25C6"/>
    <w:rsid w:val="003C7376"/>
    <w:rsid w:val="003D13FC"/>
    <w:rsid w:val="003D2304"/>
    <w:rsid w:val="003D399A"/>
    <w:rsid w:val="003D5B6D"/>
    <w:rsid w:val="003E3B23"/>
    <w:rsid w:val="003F5D73"/>
    <w:rsid w:val="003F5D9C"/>
    <w:rsid w:val="00400D3C"/>
    <w:rsid w:val="0040669F"/>
    <w:rsid w:val="00406994"/>
    <w:rsid w:val="00417978"/>
    <w:rsid w:val="00422564"/>
    <w:rsid w:val="004300F6"/>
    <w:rsid w:val="00430C53"/>
    <w:rsid w:val="0043418C"/>
    <w:rsid w:val="00434BC8"/>
    <w:rsid w:val="004364F0"/>
    <w:rsid w:val="004451FB"/>
    <w:rsid w:val="00450314"/>
    <w:rsid w:val="004558B1"/>
    <w:rsid w:val="0045672A"/>
    <w:rsid w:val="00462676"/>
    <w:rsid w:val="004629B2"/>
    <w:rsid w:val="004676C9"/>
    <w:rsid w:val="004709C0"/>
    <w:rsid w:val="00471931"/>
    <w:rsid w:val="00471F67"/>
    <w:rsid w:val="00474747"/>
    <w:rsid w:val="00475BCA"/>
    <w:rsid w:val="0048215B"/>
    <w:rsid w:val="00484287"/>
    <w:rsid w:val="00487C90"/>
    <w:rsid w:val="00490D41"/>
    <w:rsid w:val="0049321C"/>
    <w:rsid w:val="0049638B"/>
    <w:rsid w:val="004A05C1"/>
    <w:rsid w:val="004A37CB"/>
    <w:rsid w:val="004B0BF4"/>
    <w:rsid w:val="004B1D10"/>
    <w:rsid w:val="004B6F74"/>
    <w:rsid w:val="004B7068"/>
    <w:rsid w:val="004C03F4"/>
    <w:rsid w:val="004D1526"/>
    <w:rsid w:val="004E2966"/>
    <w:rsid w:val="004E4AB5"/>
    <w:rsid w:val="004F2857"/>
    <w:rsid w:val="004F62E8"/>
    <w:rsid w:val="004F70E2"/>
    <w:rsid w:val="00502CAE"/>
    <w:rsid w:val="005048DE"/>
    <w:rsid w:val="00504D03"/>
    <w:rsid w:val="00506E60"/>
    <w:rsid w:val="00510CB7"/>
    <w:rsid w:val="00514724"/>
    <w:rsid w:val="005174E8"/>
    <w:rsid w:val="00517FE6"/>
    <w:rsid w:val="00520A27"/>
    <w:rsid w:val="00524951"/>
    <w:rsid w:val="00531415"/>
    <w:rsid w:val="00531920"/>
    <w:rsid w:val="005361FC"/>
    <w:rsid w:val="00543E27"/>
    <w:rsid w:val="005448B1"/>
    <w:rsid w:val="00552116"/>
    <w:rsid w:val="00554C25"/>
    <w:rsid w:val="00556998"/>
    <w:rsid w:val="00557D40"/>
    <w:rsid w:val="0056150F"/>
    <w:rsid w:val="00567461"/>
    <w:rsid w:val="0057081E"/>
    <w:rsid w:val="00571248"/>
    <w:rsid w:val="00571CB6"/>
    <w:rsid w:val="00572F9A"/>
    <w:rsid w:val="005777AA"/>
    <w:rsid w:val="0058545A"/>
    <w:rsid w:val="0058799D"/>
    <w:rsid w:val="005944E4"/>
    <w:rsid w:val="00595D56"/>
    <w:rsid w:val="005A35F6"/>
    <w:rsid w:val="005A6D39"/>
    <w:rsid w:val="005A7892"/>
    <w:rsid w:val="005C01A3"/>
    <w:rsid w:val="005C1400"/>
    <w:rsid w:val="005C55F4"/>
    <w:rsid w:val="005C59EC"/>
    <w:rsid w:val="005D2F1B"/>
    <w:rsid w:val="005D3D09"/>
    <w:rsid w:val="005D3FF3"/>
    <w:rsid w:val="005D5369"/>
    <w:rsid w:val="005E11A9"/>
    <w:rsid w:val="005E1F3C"/>
    <w:rsid w:val="006078C2"/>
    <w:rsid w:val="00607FAA"/>
    <w:rsid w:val="0061583F"/>
    <w:rsid w:val="00616444"/>
    <w:rsid w:val="006245ED"/>
    <w:rsid w:val="00624EA7"/>
    <w:rsid w:val="00633814"/>
    <w:rsid w:val="0063649D"/>
    <w:rsid w:val="00640983"/>
    <w:rsid w:val="006428B4"/>
    <w:rsid w:val="0064791A"/>
    <w:rsid w:val="006519A4"/>
    <w:rsid w:val="00661539"/>
    <w:rsid w:val="0066298A"/>
    <w:rsid w:val="0066435A"/>
    <w:rsid w:val="00665356"/>
    <w:rsid w:val="006719DE"/>
    <w:rsid w:val="00671CE0"/>
    <w:rsid w:val="00672B0E"/>
    <w:rsid w:val="00674A70"/>
    <w:rsid w:val="00683DC9"/>
    <w:rsid w:val="006866B1"/>
    <w:rsid w:val="00694FC2"/>
    <w:rsid w:val="00696685"/>
    <w:rsid w:val="006A1DB2"/>
    <w:rsid w:val="006A31BD"/>
    <w:rsid w:val="006A5EF2"/>
    <w:rsid w:val="006A6CD2"/>
    <w:rsid w:val="006A6FFE"/>
    <w:rsid w:val="006B198D"/>
    <w:rsid w:val="006B1A30"/>
    <w:rsid w:val="006B278E"/>
    <w:rsid w:val="006B5B70"/>
    <w:rsid w:val="006B7BEB"/>
    <w:rsid w:val="006C1181"/>
    <w:rsid w:val="006C24BD"/>
    <w:rsid w:val="006C6A2E"/>
    <w:rsid w:val="006D5612"/>
    <w:rsid w:val="006D5934"/>
    <w:rsid w:val="006D619F"/>
    <w:rsid w:val="006E35D9"/>
    <w:rsid w:val="006E4974"/>
    <w:rsid w:val="006E4F80"/>
    <w:rsid w:val="006F06F2"/>
    <w:rsid w:val="006F4706"/>
    <w:rsid w:val="006F6513"/>
    <w:rsid w:val="006F7632"/>
    <w:rsid w:val="007008D1"/>
    <w:rsid w:val="007050E9"/>
    <w:rsid w:val="00714DBC"/>
    <w:rsid w:val="007222E0"/>
    <w:rsid w:val="007242B7"/>
    <w:rsid w:val="00730D77"/>
    <w:rsid w:val="00733E45"/>
    <w:rsid w:val="00741DBE"/>
    <w:rsid w:val="00746B3D"/>
    <w:rsid w:val="0075101D"/>
    <w:rsid w:val="007521FA"/>
    <w:rsid w:val="007604A5"/>
    <w:rsid w:val="00760557"/>
    <w:rsid w:val="007608E1"/>
    <w:rsid w:val="00774EF0"/>
    <w:rsid w:val="00780870"/>
    <w:rsid w:val="00780CAF"/>
    <w:rsid w:val="00791921"/>
    <w:rsid w:val="0079276A"/>
    <w:rsid w:val="007927AD"/>
    <w:rsid w:val="007A1778"/>
    <w:rsid w:val="007A2444"/>
    <w:rsid w:val="007A2CDB"/>
    <w:rsid w:val="007B1FB4"/>
    <w:rsid w:val="007B23FD"/>
    <w:rsid w:val="007B317F"/>
    <w:rsid w:val="007C03C1"/>
    <w:rsid w:val="007C0FF9"/>
    <w:rsid w:val="007C4045"/>
    <w:rsid w:val="007C4279"/>
    <w:rsid w:val="007C4E89"/>
    <w:rsid w:val="007C51ED"/>
    <w:rsid w:val="007C61D0"/>
    <w:rsid w:val="007D2EA9"/>
    <w:rsid w:val="007D3DAE"/>
    <w:rsid w:val="007E0AA9"/>
    <w:rsid w:val="007E0DB1"/>
    <w:rsid w:val="007E24E1"/>
    <w:rsid w:val="007E4D28"/>
    <w:rsid w:val="007F4EEF"/>
    <w:rsid w:val="008018A0"/>
    <w:rsid w:val="00805E71"/>
    <w:rsid w:val="00807A54"/>
    <w:rsid w:val="00810AE3"/>
    <w:rsid w:val="008127D9"/>
    <w:rsid w:val="00813B83"/>
    <w:rsid w:val="00821263"/>
    <w:rsid w:val="00821A4C"/>
    <w:rsid w:val="00826040"/>
    <w:rsid w:val="00826736"/>
    <w:rsid w:val="00840307"/>
    <w:rsid w:val="0084513D"/>
    <w:rsid w:val="00846DE7"/>
    <w:rsid w:val="00854C87"/>
    <w:rsid w:val="00854F6C"/>
    <w:rsid w:val="00856700"/>
    <w:rsid w:val="00861639"/>
    <w:rsid w:val="00867693"/>
    <w:rsid w:val="008706A9"/>
    <w:rsid w:val="00873D0D"/>
    <w:rsid w:val="00875A5E"/>
    <w:rsid w:val="0087763F"/>
    <w:rsid w:val="00891D99"/>
    <w:rsid w:val="008979E1"/>
    <w:rsid w:val="008A3465"/>
    <w:rsid w:val="008A3CCE"/>
    <w:rsid w:val="008B51CE"/>
    <w:rsid w:val="008B7169"/>
    <w:rsid w:val="008B747C"/>
    <w:rsid w:val="008B7A30"/>
    <w:rsid w:val="008C57E4"/>
    <w:rsid w:val="008D5314"/>
    <w:rsid w:val="008D5CBA"/>
    <w:rsid w:val="008E0F00"/>
    <w:rsid w:val="008F3861"/>
    <w:rsid w:val="008F3B87"/>
    <w:rsid w:val="009022BD"/>
    <w:rsid w:val="009057B7"/>
    <w:rsid w:val="0091187A"/>
    <w:rsid w:val="009225C1"/>
    <w:rsid w:val="00922E41"/>
    <w:rsid w:val="009276B8"/>
    <w:rsid w:val="00940606"/>
    <w:rsid w:val="00941EE4"/>
    <w:rsid w:val="009436D7"/>
    <w:rsid w:val="00947148"/>
    <w:rsid w:val="00951449"/>
    <w:rsid w:val="00960581"/>
    <w:rsid w:val="0096444B"/>
    <w:rsid w:val="00964AE2"/>
    <w:rsid w:val="00970AD3"/>
    <w:rsid w:val="00977385"/>
    <w:rsid w:val="00982B9C"/>
    <w:rsid w:val="009860FD"/>
    <w:rsid w:val="00990041"/>
    <w:rsid w:val="00994998"/>
    <w:rsid w:val="009A0562"/>
    <w:rsid w:val="009A3162"/>
    <w:rsid w:val="009A554A"/>
    <w:rsid w:val="009B0FA8"/>
    <w:rsid w:val="009B1DB3"/>
    <w:rsid w:val="009B5344"/>
    <w:rsid w:val="009C7FC3"/>
    <w:rsid w:val="009D36C2"/>
    <w:rsid w:val="009D399D"/>
    <w:rsid w:val="009D3BED"/>
    <w:rsid w:val="009E6009"/>
    <w:rsid w:val="009F04E5"/>
    <w:rsid w:val="009F1F85"/>
    <w:rsid w:val="009F45BA"/>
    <w:rsid w:val="009F4C0C"/>
    <w:rsid w:val="009F5EA9"/>
    <w:rsid w:val="009F6D0C"/>
    <w:rsid w:val="00A0042E"/>
    <w:rsid w:val="00A14AAE"/>
    <w:rsid w:val="00A17F4F"/>
    <w:rsid w:val="00A2023F"/>
    <w:rsid w:val="00A258F4"/>
    <w:rsid w:val="00A26332"/>
    <w:rsid w:val="00A265C7"/>
    <w:rsid w:val="00A317BE"/>
    <w:rsid w:val="00A46953"/>
    <w:rsid w:val="00A532F8"/>
    <w:rsid w:val="00A621CA"/>
    <w:rsid w:val="00A6559B"/>
    <w:rsid w:val="00A66157"/>
    <w:rsid w:val="00A7447C"/>
    <w:rsid w:val="00A75654"/>
    <w:rsid w:val="00A7594C"/>
    <w:rsid w:val="00A8352C"/>
    <w:rsid w:val="00A83F23"/>
    <w:rsid w:val="00A85F03"/>
    <w:rsid w:val="00A85F57"/>
    <w:rsid w:val="00A912AF"/>
    <w:rsid w:val="00A95C9E"/>
    <w:rsid w:val="00AA0278"/>
    <w:rsid w:val="00AA6CFA"/>
    <w:rsid w:val="00AB33EA"/>
    <w:rsid w:val="00AB7EF9"/>
    <w:rsid w:val="00AC459F"/>
    <w:rsid w:val="00AC486C"/>
    <w:rsid w:val="00AC7587"/>
    <w:rsid w:val="00AC7C9B"/>
    <w:rsid w:val="00AD5D93"/>
    <w:rsid w:val="00AD7047"/>
    <w:rsid w:val="00AE00E5"/>
    <w:rsid w:val="00AE15FC"/>
    <w:rsid w:val="00AE599B"/>
    <w:rsid w:val="00AF1A85"/>
    <w:rsid w:val="00AF2A7F"/>
    <w:rsid w:val="00AF51A2"/>
    <w:rsid w:val="00B00E36"/>
    <w:rsid w:val="00B02044"/>
    <w:rsid w:val="00B12320"/>
    <w:rsid w:val="00B13A53"/>
    <w:rsid w:val="00B413E7"/>
    <w:rsid w:val="00B4527F"/>
    <w:rsid w:val="00B47B16"/>
    <w:rsid w:val="00B56144"/>
    <w:rsid w:val="00B600FA"/>
    <w:rsid w:val="00B640BE"/>
    <w:rsid w:val="00B6506A"/>
    <w:rsid w:val="00B7049B"/>
    <w:rsid w:val="00B72800"/>
    <w:rsid w:val="00B72B37"/>
    <w:rsid w:val="00B73451"/>
    <w:rsid w:val="00B745EA"/>
    <w:rsid w:val="00B80408"/>
    <w:rsid w:val="00B809BF"/>
    <w:rsid w:val="00B8110F"/>
    <w:rsid w:val="00B8211D"/>
    <w:rsid w:val="00B87737"/>
    <w:rsid w:val="00B91C5E"/>
    <w:rsid w:val="00BA0793"/>
    <w:rsid w:val="00BB0F96"/>
    <w:rsid w:val="00BB414C"/>
    <w:rsid w:val="00BB4609"/>
    <w:rsid w:val="00BB49BD"/>
    <w:rsid w:val="00BB57B4"/>
    <w:rsid w:val="00BC0A7F"/>
    <w:rsid w:val="00BC4138"/>
    <w:rsid w:val="00BD0F4E"/>
    <w:rsid w:val="00BD1D8A"/>
    <w:rsid w:val="00BD2C2A"/>
    <w:rsid w:val="00BD3EAC"/>
    <w:rsid w:val="00BD618A"/>
    <w:rsid w:val="00BE0D8F"/>
    <w:rsid w:val="00BE2DD8"/>
    <w:rsid w:val="00BE68D0"/>
    <w:rsid w:val="00BF4F57"/>
    <w:rsid w:val="00BF795F"/>
    <w:rsid w:val="00C070F0"/>
    <w:rsid w:val="00C105EC"/>
    <w:rsid w:val="00C109B4"/>
    <w:rsid w:val="00C15822"/>
    <w:rsid w:val="00C17681"/>
    <w:rsid w:val="00C17BFB"/>
    <w:rsid w:val="00C20B72"/>
    <w:rsid w:val="00C27C02"/>
    <w:rsid w:val="00C30D8E"/>
    <w:rsid w:val="00C4246A"/>
    <w:rsid w:val="00C435B5"/>
    <w:rsid w:val="00C45326"/>
    <w:rsid w:val="00C46196"/>
    <w:rsid w:val="00C465F2"/>
    <w:rsid w:val="00C52588"/>
    <w:rsid w:val="00C544E7"/>
    <w:rsid w:val="00C635B4"/>
    <w:rsid w:val="00C63C01"/>
    <w:rsid w:val="00C755E7"/>
    <w:rsid w:val="00C8057B"/>
    <w:rsid w:val="00C82D32"/>
    <w:rsid w:val="00C82E65"/>
    <w:rsid w:val="00C8539F"/>
    <w:rsid w:val="00C864AE"/>
    <w:rsid w:val="00C90CA0"/>
    <w:rsid w:val="00C9126E"/>
    <w:rsid w:val="00C94C98"/>
    <w:rsid w:val="00C96846"/>
    <w:rsid w:val="00CB0866"/>
    <w:rsid w:val="00CB67EE"/>
    <w:rsid w:val="00CC60E2"/>
    <w:rsid w:val="00CE5090"/>
    <w:rsid w:val="00CF390F"/>
    <w:rsid w:val="00CF4760"/>
    <w:rsid w:val="00CF56F8"/>
    <w:rsid w:val="00CF61AC"/>
    <w:rsid w:val="00CF6A69"/>
    <w:rsid w:val="00D07013"/>
    <w:rsid w:val="00D070F7"/>
    <w:rsid w:val="00D110CA"/>
    <w:rsid w:val="00D14858"/>
    <w:rsid w:val="00D17D4D"/>
    <w:rsid w:val="00D20C3B"/>
    <w:rsid w:val="00D21C30"/>
    <w:rsid w:val="00D23A5B"/>
    <w:rsid w:val="00D24E37"/>
    <w:rsid w:val="00D257F4"/>
    <w:rsid w:val="00D27935"/>
    <w:rsid w:val="00D303E0"/>
    <w:rsid w:val="00D33BAF"/>
    <w:rsid w:val="00D42AB5"/>
    <w:rsid w:val="00D51354"/>
    <w:rsid w:val="00D521F9"/>
    <w:rsid w:val="00D57580"/>
    <w:rsid w:val="00D60D13"/>
    <w:rsid w:val="00D6230B"/>
    <w:rsid w:val="00D760B0"/>
    <w:rsid w:val="00D7713D"/>
    <w:rsid w:val="00D7720A"/>
    <w:rsid w:val="00D802F7"/>
    <w:rsid w:val="00D8088D"/>
    <w:rsid w:val="00D83DCC"/>
    <w:rsid w:val="00DA11BA"/>
    <w:rsid w:val="00DA3CC6"/>
    <w:rsid w:val="00DA53B6"/>
    <w:rsid w:val="00DB4798"/>
    <w:rsid w:val="00DB64BE"/>
    <w:rsid w:val="00DB708A"/>
    <w:rsid w:val="00DB7193"/>
    <w:rsid w:val="00DC7B1C"/>
    <w:rsid w:val="00DD0C26"/>
    <w:rsid w:val="00DD4BEC"/>
    <w:rsid w:val="00DF539A"/>
    <w:rsid w:val="00DF7F30"/>
    <w:rsid w:val="00E01A41"/>
    <w:rsid w:val="00E03B8B"/>
    <w:rsid w:val="00E0561C"/>
    <w:rsid w:val="00E138AE"/>
    <w:rsid w:val="00E372F1"/>
    <w:rsid w:val="00E41E87"/>
    <w:rsid w:val="00E42076"/>
    <w:rsid w:val="00E442D1"/>
    <w:rsid w:val="00E46B8A"/>
    <w:rsid w:val="00E542C6"/>
    <w:rsid w:val="00E55503"/>
    <w:rsid w:val="00E556D2"/>
    <w:rsid w:val="00E60DD2"/>
    <w:rsid w:val="00E77DBA"/>
    <w:rsid w:val="00E81DF3"/>
    <w:rsid w:val="00E84D76"/>
    <w:rsid w:val="00E85D18"/>
    <w:rsid w:val="00E95BD7"/>
    <w:rsid w:val="00EA127C"/>
    <w:rsid w:val="00EA18D6"/>
    <w:rsid w:val="00EA1B1A"/>
    <w:rsid w:val="00EB113C"/>
    <w:rsid w:val="00EB26CC"/>
    <w:rsid w:val="00EC3326"/>
    <w:rsid w:val="00EC4BE3"/>
    <w:rsid w:val="00EC4E08"/>
    <w:rsid w:val="00EC597B"/>
    <w:rsid w:val="00EC5DDB"/>
    <w:rsid w:val="00EC7B7C"/>
    <w:rsid w:val="00ED2795"/>
    <w:rsid w:val="00ED5A5D"/>
    <w:rsid w:val="00ED5CAD"/>
    <w:rsid w:val="00ED7849"/>
    <w:rsid w:val="00EE2666"/>
    <w:rsid w:val="00EE7600"/>
    <w:rsid w:val="00EE7E21"/>
    <w:rsid w:val="00EF3CBD"/>
    <w:rsid w:val="00EF55E7"/>
    <w:rsid w:val="00F0128E"/>
    <w:rsid w:val="00F032BA"/>
    <w:rsid w:val="00F05017"/>
    <w:rsid w:val="00F1176F"/>
    <w:rsid w:val="00F16142"/>
    <w:rsid w:val="00F16511"/>
    <w:rsid w:val="00F16A7A"/>
    <w:rsid w:val="00F30067"/>
    <w:rsid w:val="00F3297A"/>
    <w:rsid w:val="00F32AC3"/>
    <w:rsid w:val="00F37E39"/>
    <w:rsid w:val="00F403C6"/>
    <w:rsid w:val="00F42369"/>
    <w:rsid w:val="00F458AC"/>
    <w:rsid w:val="00F46253"/>
    <w:rsid w:val="00F50132"/>
    <w:rsid w:val="00F51F57"/>
    <w:rsid w:val="00F546C5"/>
    <w:rsid w:val="00F55CAE"/>
    <w:rsid w:val="00F57105"/>
    <w:rsid w:val="00F6436B"/>
    <w:rsid w:val="00F708A4"/>
    <w:rsid w:val="00F72A74"/>
    <w:rsid w:val="00F75FAD"/>
    <w:rsid w:val="00F81D7E"/>
    <w:rsid w:val="00F85CDF"/>
    <w:rsid w:val="00F92B17"/>
    <w:rsid w:val="00F93DF2"/>
    <w:rsid w:val="00FA31B0"/>
    <w:rsid w:val="00FA63A8"/>
    <w:rsid w:val="00FA7660"/>
    <w:rsid w:val="00FA7EDA"/>
    <w:rsid w:val="00FB0623"/>
    <w:rsid w:val="00FB2619"/>
    <w:rsid w:val="00FB2C8B"/>
    <w:rsid w:val="00FB5415"/>
    <w:rsid w:val="00FC3421"/>
    <w:rsid w:val="00FD1DC2"/>
    <w:rsid w:val="00FD54F5"/>
    <w:rsid w:val="00FD6BCE"/>
    <w:rsid w:val="00FE1CE4"/>
    <w:rsid w:val="00FE74FB"/>
    <w:rsid w:val="00FE7701"/>
    <w:rsid w:val="00FE7F85"/>
    <w:rsid w:val="00FF1A01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CB"/>
    <w:pPr>
      <w:widowControl w:val="0"/>
      <w:jc w:val="both"/>
    </w:pPr>
    <w:rPr>
      <w:rFonts w:ascii="MS Mincho" w:hAnsi="MS Minch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A3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6B1A30"/>
    <w:rPr>
      <w:rFonts w:ascii="MS Mincho" w:hAnsi="MS Mincho"/>
      <w:kern w:val="2"/>
      <w:sz w:val="22"/>
    </w:rPr>
  </w:style>
  <w:style w:type="paragraph" w:styleId="a4">
    <w:name w:val="footer"/>
    <w:basedOn w:val="a"/>
    <w:link w:val="Char0"/>
    <w:uiPriority w:val="99"/>
    <w:unhideWhenUsed/>
    <w:rsid w:val="006B1A3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6B1A30"/>
    <w:rPr>
      <w:rFonts w:ascii="MS Mincho" w:hAnsi="MS Mincho"/>
      <w:kern w:val="2"/>
      <w:sz w:val="22"/>
    </w:rPr>
  </w:style>
  <w:style w:type="paragraph" w:styleId="a5">
    <w:name w:val="List Paragraph"/>
    <w:basedOn w:val="a"/>
    <w:uiPriority w:val="34"/>
    <w:qFormat/>
    <w:rsid w:val="00F72A74"/>
    <w:pPr>
      <w:ind w:leftChars="400" w:left="840"/>
    </w:pPr>
  </w:style>
  <w:style w:type="character" w:customStyle="1" w:styleId="pagecontents1">
    <w:name w:val="pagecontents1"/>
    <w:basedOn w:val="a0"/>
    <w:rsid w:val="004451FB"/>
    <w:rPr>
      <w:rFonts w:ascii="Arial" w:hAnsi="Arial" w:cs="Arial" w:hint="default"/>
      <w:color w:val="000000"/>
      <w:sz w:val="12"/>
      <w:szCs w:val="12"/>
    </w:rPr>
  </w:style>
  <w:style w:type="paragraph" w:customStyle="1" w:styleId="06mm14pt9pt2">
    <w:name w:val="スタイル 本文 + 右 :  0.6 mm 段落前 :  14 pt 段落後 :  9 pt 行間 :  2 行"/>
    <w:basedOn w:val="a5"/>
    <w:rsid w:val="007C51ED"/>
    <w:pPr>
      <w:spacing w:before="180" w:after="180" w:line="480" w:lineRule="auto"/>
      <w:ind w:leftChars="0" w:left="0" w:right="35"/>
    </w:pPr>
    <w:rPr>
      <w:rFonts w:ascii="Times" w:eastAsia="平成明朝" w:hAnsi="Times" w:cs="MS Mincho"/>
      <w:sz w:val="28"/>
    </w:rPr>
  </w:style>
  <w:style w:type="paragraph" w:styleId="a6">
    <w:name w:val="Body Text"/>
    <w:basedOn w:val="a"/>
    <w:link w:val="Char1"/>
    <w:uiPriority w:val="99"/>
    <w:semiHidden/>
    <w:unhideWhenUsed/>
    <w:rsid w:val="007C51ED"/>
  </w:style>
  <w:style w:type="character" w:customStyle="1" w:styleId="Char1">
    <w:name w:val="正文文本 Char"/>
    <w:basedOn w:val="a0"/>
    <w:link w:val="a6"/>
    <w:uiPriority w:val="99"/>
    <w:semiHidden/>
    <w:rsid w:val="007C51ED"/>
    <w:rPr>
      <w:rFonts w:ascii="MS Mincho" w:hAnsi="MS Mincho"/>
      <w:kern w:val="2"/>
      <w:sz w:val="22"/>
    </w:rPr>
  </w:style>
  <w:style w:type="character" w:styleId="a7">
    <w:name w:val="Hyperlink"/>
    <w:basedOn w:val="a0"/>
    <w:uiPriority w:val="99"/>
    <w:unhideWhenUsed/>
    <w:rsid w:val="00487C90"/>
    <w:rPr>
      <w:color w:val="0000FF"/>
      <w:u w:val="single"/>
    </w:rPr>
  </w:style>
  <w:style w:type="character" w:customStyle="1" w:styleId="element-citation">
    <w:name w:val="element-citation"/>
    <w:basedOn w:val="a0"/>
    <w:rsid w:val="00487C90"/>
  </w:style>
  <w:style w:type="character" w:customStyle="1" w:styleId="ref-journal">
    <w:name w:val="ref-journal"/>
    <w:basedOn w:val="a0"/>
    <w:rsid w:val="00487C90"/>
  </w:style>
  <w:style w:type="character" w:customStyle="1" w:styleId="ref-vol">
    <w:name w:val="ref-vol"/>
    <w:basedOn w:val="a0"/>
    <w:rsid w:val="00487C90"/>
  </w:style>
  <w:style w:type="character" w:customStyle="1" w:styleId="nowrap">
    <w:name w:val="nowrap"/>
    <w:basedOn w:val="a0"/>
    <w:rsid w:val="00487C90"/>
  </w:style>
  <w:style w:type="character" w:styleId="a8">
    <w:name w:val="Emphasis"/>
    <w:basedOn w:val="a0"/>
    <w:uiPriority w:val="20"/>
    <w:qFormat/>
    <w:rsid w:val="00CF6A69"/>
    <w:rPr>
      <w:i/>
      <w:iCs/>
    </w:rPr>
  </w:style>
  <w:style w:type="character" w:styleId="a9">
    <w:name w:val="Strong"/>
    <w:basedOn w:val="a0"/>
    <w:uiPriority w:val="22"/>
    <w:qFormat/>
    <w:rsid w:val="00CF6A69"/>
    <w:rPr>
      <w:b/>
      <w:bCs/>
    </w:rPr>
  </w:style>
  <w:style w:type="character" w:customStyle="1" w:styleId="authors">
    <w:name w:val="authors"/>
    <w:basedOn w:val="a0"/>
    <w:rsid w:val="007E24E1"/>
  </w:style>
  <w:style w:type="paragraph" w:styleId="aa">
    <w:name w:val="Normal (Web)"/>
    <w:basedOn w:val="a"/>
    <w:uiPriority w:val="99"/>
    <w:semiHidden/>
    <w:unhideWhenUsed/>
    <w:rsid w:val="008C57E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187184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187184"/>
    <w:rPr>
      <w:rFonts w:ascii="MS Mincho" w:hAnsi="MS Mincho"/>
      <w:kern w:val="2"/>
      <w:sz w:val="18"/>
      <w:szCs w:val="18"/>
    </w:rPr>
  </w:style>
  <w:style w:type="table" w:styleId="-1">
    <w:name w:val="Light List Accent 1"/>
    <w:basedOn w:val="a1"/>
    <w:uiPriority w:val="61"/>
    <w:rsid w:val="000176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CB"/>
    <w:pPr>
      <w:widowControl w:val="0"/>
      <w:jc w:val="both"/>
    </w:pPr>
    <w:rPr>
      <w:rFonts w:ascii="MS Mincho" w:hAnsi="MS Minch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A30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3"/>
    <w:uiPriority w:val="99"/>
    <w:rsid w:val="006B1A30"/>
    <w:rPr>
      <w:rFonts w:ascii="MS Mincho" w:hAnsi="MS Mincho"/>
      <w:kern w:val="2"/>
      <w:sz w:val="22"/>
    </w:rPr>
  </w:style>
  <w:style w:type="paragraph" w:styleId="a4">
    <w:name w:val="footer"/>
    <w:basedOn w:val="a"/>
    <w:link w:val="Char0"/>
    <w:uiPriority w:val="99"/>
    <w:unhideWhenUsed/>
    <w:rsid w:val="006B1A30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4"/>
    <w:uiPriority w:val="99"/>
    <w:rsid w:val="006B1A30"/>
    <w:rPr>
      <w:rFonts w:ascii="MS Mincho" w:hAnsi="MS Mincho"/>
      <w:kern w:val="2"/>
      <w:sz w:val="22"/>
    </w:rPr>
  </w:style>
  <w:style w:type="paragraph" w:styleId="a5">
    <w:name w:val="List Paragraph"/>
    <w:basedOn w:val="a"/>
    <w:uiPriority w:val="34"/>
    <w:qFormat/>
    <w:rsid w:val="00F72A74"/>
    <w:pPr>
      <w:ind w:leftChars="400" w:left="840"/>
    </w:pPr>
  </w:style>
  <w:style w:type="character" w:customStyle="1" w:styleId="pagecontents1">
    <w:name w:val="pagecontents1"/>
    <w:basedOn w:val="a0"/>
    <w:rsid w:val="004451FB"/>
    <w:rPr>
      <w:rFonts w:ascii="Arial" w:hAnsi="Arial" w:cs="Arial" w:hint="default"/>
      <w:color w:val="000000"/>
      <w:sz w:val="12"/>
      <w:szCs w:val="12"/>
    </w:rPr>
  </w:style>
  <w:style w:type="paragraph" w:customStyle="1" w:styleId="06mm14pt9pt2">
    <w:name w:val="スタイル 本文 + 右 :  0.6 mm 段落前 :  14 pt 段落後 :  9 pt 行間 :  2 行"/>
    <w:basedOn w:val="a5"/>
    <w:rsid w:val="007C51ED"/>
    <w:pPr>
      <w:spacing w:before="180" w:after="180" w:line="480" w:lineRule="auto"/>
      <w:ind w:leftChars="0" w:left="0" w:right="35"/>
    </w:pPr>
    <w:rPr>
      <w:rFonts w:ascii="Times" w:eastAsia="平成明朝" w:hAnsi="Times" w:cs="MS Mincho"/>
      <w:sz w:val="28"/>
    </w:rPr>
  </w:style>
  <w:style w:type="paragraph" w:styleId="a6">
    <w:name w:val="Body Text"/>
    <w:basedOn w:val="a"/>
    <w:link w:val="Char1"/>
    <w:uiPriority w:val="99"/>
    <w:semiHidden/>
    <w:unhideWhenUsed/>
    <w:rsid w:val="007C51ED"/>
  </w:style>
  <w:style w:type="character" w:customStyle="1" w:styleId="Char1">
    <w:name w:val="正文文本 Char"/>
    <w:basedOn w:val="a0"/>
    <w:link w:val="a6"/>
    <w:uiPriority w:val="99"/>
    <w:semiHidden/>
    <w:rsid w:val="007C51ED"/>
    <w:rPr>
      <w:rFonts w:ascii="MS Mincho" w:hAnsi="MS Mincho"/>
      <w:kern w:val="2"/>
      <w:sz w:val="22"/>
    </w:rPr>
  </w:style>
  <w:style w:type="character" w:styleId="a7">
    <w:name w:val="Hyperlink"/>
    <w:basedOn w:val="a0"/>
    <w:uiPriority w:val="99"/>
    <w:unhideWhenUsed/>
    <w:rsid w:val="00487C90"/>
    <w:rPr>
      <w:color w:val="0000FF"/>
      <w:u w:val="single"/>
    </w:rPr>
  </w:style>
  <w:style w:type="character" w:customStyle="1" w:styleId="element-citation">
    <w:name w:val="element-citation"/>
    <w:basedOn w:val="a0"/>
    <w:rsid w:val="00487C90"/>
  </w:style>
  <w:style w:type="character" w:customStyle="1" w:styleId="ref-journal">
    <w:name w:val="ref-journal"/>
    <w:basedOn w:val="a0"/>
    <w:rsid w:val="00487C90"/>
  </w:style>
  <w:style w:type="character" w:customStyle="1" w:styleId="ref-vol">
    <w:name w:val="ref-vol"/>
    <w:basedOn w:val="a0"/>
    <w:rsid w:val="00487C90"/>
  </w:style>
  <w:style w:type="character" w:customStyle="1" w:styleId="nowrap">
    <w:name w:val="nowrap"/>
    <w:basedOn w:val="a0"/>
    <w:rsid w:val="00487C90"/>
  </w:style>
  <w:style w:type="character" w:styleId="a8">
    <w:name w:val="Emphasis"/>
    <w:basedOn w:val="a0"/>
    <w:uiPriority w:val="20"/>
    <w:qFormat/>
    <w:rsid w:val="00CF6A69"/>
    <w:rPr>
      <w:i/>
      <w:iCs/>
    </w:rPr>
  </w:style>
  <w:style w:type="character" w:styleId="a9">
    <w:name w:val="Strong"/>
    <w:basedOn w:val="a0"/>
    <w:uiPriority w:val="22"/>
    <w:qFormat/>
    <w:rsid w:val="00CF6A69"/>
    <w:rPr>
      <w:b/>
      <w:bCs/>
    </w:rPr>
  </w:style>
  <w:style w:type="character" w:customStyle="1" w:styleId="authors">
    <w:name w:val="authors"/>
    <w:basedOn w:val="a0"/>
    <w:rsid w:val="007E24E1"/>
  </w:style>
  <w:style w:type="paragraph" w:styleId="aa">
    <w:name w:val="Normal (Web)"/>
    <w:basedOn w:val="a"/>
    <w:uiPriority w:val="99"/>
    <w:semiHidden/>
    <w:unhideWhenUsed/>
    <w:rsid w:val="008C57E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187184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187184"/>
    <w:rPr>
      <w:rFonts w:ascii="MS Mincho" w:hAnsi="MS Mincho"/>
      <w:kern w:val="2"/>
      <w:sz w:val="18"/>
      <w:szCs w:val="18"/>
    </w:rPr>
  </w:style>
  <w:style w:type="table" w:styleId="-1">
    <w:name w:val="Light List Accent 1"/>
    <w:basedOn w:val="a1"/>
    <w:uiPriority w:val="61"/>
    <w:rsid w:val="0001762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4288">
          <w:marLeft w:val="0"/>
          <w:marRight w:val="0"/>
          <w:marTop w:val="0"/>
          <w:marBottom w:val="207"/>
          <w:divBdr>
            <w:top w:val="single" w:sz="4" w:space="6" w:color="D3D1D1"/>
            <w:left w:val="single" w:sz="4" w:space="0" w:color="D3D1D1"/>
            <w:bottom w:val="single" w:sz="4" w:space="6" w:color="D3D1D1"/>
            <w:right w:val="single" w:sz="4" w:space="0" w:color="D3D1D1"/>
          </w:divBdr>
          <w:divsChild>
            <w:div w:id="1042360616">
              <w:marLeft w:val="92"/>
              <w:marRight w:val="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5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10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54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9048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85659">
                                  <w:marLeft w:val="32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7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0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2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8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0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96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Tel:81-463-93-11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reativecommons.org/licenses/by-nc/4.0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1D029-49D7-41D5-B8CD-16E2B131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5458</Words>
  <Characters>31113</Characters>
  <Application>Microsoft Office Word</Application>
  <DocSecurity>0</DocSecurity>
  <Lines>259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LS Ma</cp:lastModifiedBy>
  <cp:revision>2</cp:revision>
  <cp:lastPrinted>2014-09-18T03:15:00Z</cp:lastPrinted>
  <dcterms:created xsi:type="dcterms:W3CDTF">2015-02-12T02:41:00Z</dcterms:created>
  <dcterms:modified xsi:type="dcterms:W3CDTF">2015-02-12T02:41:00Z</dcterms:modified>
</cp:coreProperties>
</file>