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67DBDE" w14:textId="77777777" w:rsidR="00BA7A8A" w:rsidRPr="005D2C0B" w:rsidRDefault="00BA7A8A" w:rsidP="00A9024E">
      <w:pPr>
        <w:spacing w:line="360" w:lineRule="auto"/>
        <w:jc w:val="both"/>
        <w:rPr>
          <w:rFonts w:ascii="Book Antiqua" w:hAnsi="Book Antiqua"/>
        </w:rPr>
      </w:pPr>
      <w:r w:rsidRPr="005D2C0B">
        <w:rPr>
          <w:rFonts w:ascii="Book Antiqua" w:hAnsi="Book Antiqua"/>
        </w:rPr>
        <w:t>Name of journal: World Journal of Gastrointestinal Endoscopy</w:t>
      </w:r>
    </w:p>
    <w:p w14:paraId="376ADFEA" w14:textId="77777777" w:rsidR="00BA7A8A" w:rsidRPr="005D2C0B" w:rsidRDefault="00BA7A8A" w:rsidP="00A9024E">
      <w:pPr>
        <w:spacing w:line="360" w:lineRule="auto"/>
        <w:jc w:val="both"/>
        <w:rPr>
          <w:rFonts w:ascii="Book Antiqua" w:hAnsi="Book Antiqua"/>
          <w:lang w:eastAsia="zh-CN"/>
        </w:rPr>
      </w:pPr>
      <w:r w:rsidRPr="005D2C0B">
        <w:rPr>
          <w:rFonts w:ascii="Book Antiqua" w:hAnsi="Book Antiqua"/>
        </w:rPr>
        <w:t xml:space="preserve">ESPS Manuscript NO: </w:t>
      </w:r>
      <w:r w:rsidRPr="005D2C0B">
        <w:rPr>
          <w:rFonts w:ascii="Book Antiqua" w:hAnsi="Book Antiqua"/>
          <w:lang w:eastAsia="zh-CN"/>
        </w:rPr>
        <w:t>14891</w:t>
      </w:r>
    </w:p>
    <w:p w14:paraId="1A1CEF0C" w14:textId="2F2DDFDD" w:rsidR="00BA7A8A" w:rsidRPr="005D2C0B" w:rsidRDefault="00BA7A8A" w:rsidP="00A9024E">
      <w:pPr>
        <w:pStyle w:val="BodyA"/>
        <w:spacing w:line="360" w:lineRule="auto"/>
        <w:jc w:val="both"/>
        <w:rPr>
          <w:rFonts w:ascii="Book Antiqua" w:eastAsiaTheme="minorEastAsia" w:hAnsi="Book Antiqua"/>
          <w:color w:val="auto"/>
        </w:rPr>
      </w:pPr>
      <w:r w:rsidRPr="005D2C0B">
        <w:rPr>
          <w:rFonts w:ascii="Book Antiqua" w:hAnsi="Book Antiqua"/>
          <w:color w:val="auto"/>
        </w:rPr>
        <w:t>Columns:</w:t>
      </w:r>
      <w:r w:rsidRPr="005D2C0B">
        <w:rPr>
          <w:rFonts w:ascii="Book Antiqua" w:eastAsiaTheme="minorEastAsia" w:hAnsi="Book Antiqua"/>
          <w:color w:val="auto"/>
        </w:rPr>
        <w:t xml:space="preserve"> </w:t>
      </w:r>
      <w:r w:rsidR="00957136" w:rsidRPr="005D2C0B">
        <w:rPr>
          <w:rFonts w:ascii="Book Antiqua" w:eastAsiaTheme="minorEastAsia" w:hAnsi="Book Antiqua"/>
          <w:color w:val="auto"/>
        </w:rPr>
        <w:t>M</w:t>
      </w:r>
      <w:r w:rsidR="00572B8C" w:rsidRPr="005D2C0B">
        <w:rPr>
          <w:rFonts w:ascii="Book Antiqua" w:eastAsiaTheme="minorEastAsia" w:hAnsi="Book Antiqua"/>
          <w:color w:val="auto"/>
        </w:rPr>
        <w:t>inireviews</w:t>
      </w:r>
    </w:p>
    <w:p w14:paraId="630B6D6F" w14:textId="77777777" w:rsidR="00BA7A8A" w:rsidRPr="005D2C0B" w:rsidRDefault="00BA7A8A" w:rsidP="00A9024E">
      <w:pPr>
        <w:pStyle w:val="BodyA"/>
        <w:spacing w:line="360" w:lineRule="auto"/>
        <w:jc w:val="both"/>
        <w:rPr>
          <w:rFonts w:ascii="Book Antiqua" w:eastAsiaTheme="minorEastAsia" w:hAnsi="Book Antiqua"/>
          <w:color w:val="auto"/>
        </w:rPr>
      </w:pPr>
    </w:p>
    <w:p w14:paraId="48721F81" w14:textId="77777777" w:rsidR="00792914" w:rsidRPr="005D2C0B" w:rsidRDefault="00514CDD" w:rsidP="00A9024E">
      <w:pPr>
        <w:pStyle w:val="BodyA"/>
        <w:spacing w:line="360" w:lineRule="auto"/>
        <w:jc w:val="both"/>
        <w:rPr>
          <w:rFonts w:ascii="Book Antiqua" w:eastAsiaTheme="minorEastAsia" w:hAnsi="Book Antiqua"/>
          <w:b/>
          <w:color w:val="auto"/>
        </w:rPr>
      </w:pPr>
      <w:r w:rsidRPr="005D2C0B">
        <w:rPr>
          <w:rFonts w:ascii="Book Antiqua" w:hAnsi="Book Antiqua"/>
          <w:b/>
          <w:color w:val="auto"/>
        </w:rPr>
        <w:t>Endoscopic mucosal resection and endoscopic submucosal dissection in the treatment of sporadic nonampull</w:t>
      </w:r>
      <w:r w:rsidR="00957136" w:rsidRPr="005D2C0B">
        <w:rPr>
          <w:rFonts w:ascii="Book Antiqua" w:hAnsi="Book Antiqua"/>
          <w:b/>
          <w:color w:val="auto"/>
        </w:rPr>
        <w:t>ary duodenal adenomatous polyps</w:t>
      </w:r>
    </w:p>
    <w:p w14:paraId="7CE19523" w14:textId="77777777" w:rsidR="00A9024E" w:rsidRPr="005D2C0B" w:rsidRDefault="00A9024E" w:rsidP="00A9024E">
      <w:pPr>
        <w:pStyle w:val="BodyA"/>
        <w:spacing w:line="360" w:lineRule="auto"/>
        <w:jc w:val="both"/>
        <w:rPr>
          <w:rFonts w:ascii="Book Antiqua" w:eastAsiaTheme="minorEastAsia" w:hAnsi="Book Antiqua" w:cs="Book Antiqua"/>
          <w:b/>
          <w:color w:val="auto"/>
        </w:rPr>
      </w:pPr>
    </w:p>
    <w:p w14:paraId="5D2F6C15" w14:textId="57874EA9" w:rsidR="00792914" w:rsidRPr="005D2C0B" w:rsidRDefault="00A9024E" w:rsidP="00A9024E">
      <w:pPr>
        <w:pStyle w:val="BodyA"/>
        <w:spacing w:line="360" w:lineRule="auto"/>
        <w:jc w:val="both"/>
        <w:rPr>
          <w:rFonts w:ascii="Book Antiqua" w:eastAsiaTheme="minorEastAsia" w:hAnsi="Book Antiqua" w:cs="Book Antiqua"/>
          <w:color w:val="auto"/>
        </w:rPr>
      </w:pPr>
      <w:r w:rsidRPr="005D2C0B">
        <w:rPr>
          <w:rFonts w:ascii="Book Antiqua" w:hAnsi="Book Antiqua"/>
          <w:color w:val="auto"/>
        </w:rPr>
        <w:t>Marques</w:t>
      </w:r>
      <w:r w:rsidRPr="005D2C0B">
        <w:rPr>
          <w:rFonts w:ascii="Book Antiqua" w:eastAsia="Book Antiqua" w:hAnsi="Book Antiqua" w:cs="Book Antiqua"/>
          <w:color w:val="auto"/>
        </w:rPr>
        <w:t xml:space="preserve"> </w:t>
      </w:r>
      <w:r w:rsidRPr="005D2C0B">
        <w:rPr>
          <w:rFonts w:ascii="Book Antiqua" w:eastAsiaTheme="minorEastAsia" w:hAnsi="Book Antiqua" w:cs="Book Antiqua"/>
          <w:color w:val="auto"/>
        </w:rPr>
        <w:t xml:space="preserve">J </w:t>
      </w:r>
      <w:r w:rsidRPr="005D2C0B">
        <w:rPr>
          <w:rFonts w:ascii="Book Antiqua" w:eastAsiaTheme="minorEastAsia" w:hAnsi="Book Antiqua" w:cs="Book Antiqua"/>
          <w:i/>
          <w:color w:val="auto"/>
        </w:rPr>
        <w:t xml:space="preserve">et al. </w:t>
      </w:r>
      <w:r w:rsidRPr="005D2C0B">
        <w:rPr>
          <w:rFonts w:ascii="Book Antiqua" w:eastAsia="Book Antiqua" w:hAnsi="Book Antiqua" w:cs="Book Antiqua"/>
          <w:color w:val="auto"/>
        </w:rPr>
        <w:t>Treatment of sporadic nonampullary duodenal adenomatous polyps</w:t>
      </w:r>
    </w:p>
    <w:p w14:paraId="7523678F" w14:textId="77777777" w:rsidR="00A9024E" w:rsidRPr="005D2C0B" w:rsidRDefault="00A9024E" w:rsidP="00A9024E">
      <w:pPr>
        <w:pStyle w:val="BodyA"/>
        <w:spacing w:line="360" w:lineRule="auto"/>
        <w:jc w:val="both"/>
        <w:rPr>
          <w:rFonts w:ascii="Book Antiqua" w:eastAsiaTheme="minorEastAsia" w:hAnsi="Book Antiqua" w:cs="Book Antiqua"/>
          <w:color w:val="auto"/>
        </w:rPr>
      </w:pPr>
    </w:p>
    <w:p w14:paraId="46D47BC3" w14:textId="1949EE88" w:rsidR="00572B8C" w:rsidRPr="005D2C0B" w:rsidRDefault="00572B8C" w:rsidP="00A9024E">
      <w:pPr>
        <w:pStyle w:val="BodyA"/>
        <w:spacing w:line="360" w:lineRule="auto"/>
        <w:jc w:val="both"/>
        <w:rPr>
          <w:rFonts w:ascii="Book Antiqua" w:eastAsiaTheme="minorEastAsia" w:hAnsi="Book Antiqua" w:cs="Book Antiqua"/>
          <w:color w:val="auto"/>
        </w:rPr>
      </w:pPr>
      <w:r w:rsidRPr="005D2C0B">
        <w:rPr>
          <w:rFonts w:ascii="Book Antiqua" w:hAnsi="Book Antiqua"/>
          <w:color w:val="auto"/>
        </w:rPr>
        <w:t>Joana Marques</w:t>
      </w:r>
      <w:r w:rsidRPr="005D2C0B">
        <w:rPr>
          <w:rFonts w:ascii="Book Antiqua" w:eastAsiaTheme="minorEastAsia" w:hAnsi="Book Antiqua"/>
          <w:color w:val="auto"/>
        </w:rPr>
        <w:t>,</w:t>
      </w:r>
      <w:r w:rsidRPr="005D2C0B">
        <w:rPr>
          <w:rFonts w:ascii="Book Antiqua" w:eastAsiaTheme="minorEastAsia" w:hAnsi="Book Antiqua" w:cs="Book Antiqua"/>
          <w:color w:val="auto"/>
        </w:rPr>
        <w:t xml:space="preserve"> </w:t>
      </w:r>
      <w:r w:rsidRPr="005D2C0B">
        <w:rPr>
          <w:rFonts w:ascii="Book Antiqua" w:hAnsi="Book Antiqua"/>
          <w:color w:val="auto"/>
        </w:rPr>
        <w:t>Francisco Baldaque-Silva</w:t>
      </w:r>
      <w:r w:rsidRPr="005D2C0B">
        <w:rPr>
          <w:rFonts w:ascii="Book Antiqua" w:eastAsiaTheme="minorEastAsia" w:hAnsi="Book Antiqua"/>
          <w:color w:val="auto"/>
        </w:rPr>
        <w:t>,</w:t>
      </w:r>
      <w:r w:rsidRPr="005D2C0B">
        <w:rPr>
          <w:rFonts w:ascii="Book Antiqua" w:eastAsiaTheme="minorEastAsia" w:hAnsi="Book Antiqua" w:cs="Book Antiqua"/>
          <w:color w:val="auto"/>
        </w:rPr>
        <w:t xml:space="preserve"> </w:t>
      </w:r>
      <w:r w:rsidRPr="005D2C0B">
        <w:rPr>
          <w:rFonts w:ascii="Book Antiqua" w:hAnsi="Book Antiqua"/>
          <w:color w:val="auto"/>
        </w:rPr>
        <w:t>Pedro Pereira</w:t>
      </w:r>
      <w:r w:rsidRPr="005D2C0B">
        <w:rPr>
          <w:rFonts w:ascii="Book Antiqua" w:eastAsiaTheme="minorEastAsia" w:hAnsi="Book Antiqua"/>
          <w:color w:val="auto"/>
        </w:rPr>
        <w:t>,</w:t>
      </w:r>
      <w:r w:rsidRPr="005D2C0B">
        <w:rPr>
          <w:rFonts w:ascii="Book Antiqua" w:eastAsiaTheme="minorEastAsia" w:hAnsi="Book Antiqua" w:cs="Book Antiqua"/>
          <w:color w:val="auto"/>
        </w:rPr>
        <w:t xml:space="preserve"> </w:t>
      </w:r>
      <w:r w:rsidRPr="005D2C0B">
        <w:rPr>
          <w:rFonts w:ascii="Book Antiqua" w:hAnsi="Book Antiqua"/>
          <w:color w:val="auto"/>
        </w:rPr>
        <w:t>Urban Arnelo</w:t>
      </w:r>
      <w:r w:rsidRPr="005D2C0B">
        <w:rPr>
          <w:rFonts w:ascii="Book Antiqua" w:eastAsiaTheme="minorEastAsia" w:hAnsi="Book Antiqua"/>
          <w:color w:val="auto"/>
        </w:rPr>
        <w:t>,</w:t>
      </w:r>
      <w:r w:rsidRPr="005D2C0B">
        <w:rPr>
          <w:rFonts w:ascii="Book Antiqua" w:eastAsiaTheme="minorEastAsia" w:hAnsi="Book Antiqua" w:cs="Book Antiqua"/>
          <w:color w:val="auto"/>
        </w:rPr>
        <w:t xml:space="preserve"> </w:t>
      </w:r>
      <w:r w:rsidRPr="005D2C0B">
        <w:rPr>
          <w:rFonts w:ascii="Book Antiqua" w:hAnsi="Book Antiqua"/>
          <w:color w:val="auto"/>
        </w:rPr>
        <w:t>Na</w:t>
      </w:r>
      <w:r w:rsidRPr="005D2C0B">
        <w:rPr>
          <w:rFonts w:ascii="Book Antiqua" w:hAnsi="Book Antiqua"/>
          <w:color w:val="auto"/>
        </w:rPr>
        <w:t>o</w:t>
      </w:r>
      <w:r w:rsidRPr="005D2C0B">
        <w:rPr>
          <w:rFonts w:ascii="Book Antiqua" w:hAnsi="Book Antiqua"/>
          <w:color w:val="auto"/>
        </w:rPr>
        <w:t>hisa Yahagi</w:t>
      </w:r>
      <w:r w:rsidRPr="005D2C0B">
        <w:rPr>
          <w:rFonts w:ascii="Book Antiqua" w:eastAsiaTheme="minorEastAsia" w:hAnsi="Book Antiqua"/>
          <w:color w:val="auto"/>
        </w:rPr>
        <w:t>,</w:t>
      </w:r>
      <w:r w:rsidRPr="005D2C0B">
        <w:rPr>
          <w:rFonts w:ascii="Book Antiqua" w:eastAsiaTheme="minorEastAsia" w:hAnsi="Book Antiqua" w:cs="Book Antiqua"/>
          <w:color w:val="auto"/>
        </w:rPr>
        <w:t xml:space="preserve"> </w:t>
      </w:r>
      <w:r w:rsidRPr="005D2C0B">
        <w:rPr>
          <w:rFonts w:ascii="Book Antiqua" w:hAnsi="Book Antiqua"/>
          <w:color w:val="auto"/>
        </w:rPr>
        <w:t>Guilherme Macedo</w:t>
      </w:r>
    </w:p>
    <w:p w14:paraId="34489B81" w14:textId="77777777" w:rsidR="00A9024E" w:rsidRPr="00C72F6F" w:rsidRDefault="00A9024E" w:rsidP="00A9024E">
      <w:pPr>
        <w:pStyle w:val="BodyA"/>
        <w:spacing w:line="360" w:lineRule="auto"/>
        <w:jc w:val="both"/>
        <w:rPr>
          <w:rFonts w:ascii="Book Antiqua" w:eastAsiaTheme="minorEastAsia" w:hAnsi="Book Antiqua"/>
          <w:color w:val="auto"/>
        </w:rPr>
      </w:pPr>
    </w:p>
    <w:p w14:paraId="01169CCD" w14:textId="225190E5" w:rsidR="00792914" w:rsidRPr="005D2C0B" w:rsidRDefault="00514CDD" w:rsidP="00A9024E">
      <w:pPr>
        <w:pStyle w:val="BodyA"/>
        <w:spacing w:line="360" w:lineRule="auto"/>
        <w:jc w:val="both"/>
        <w:rPr>
          <w:rFonts w:ascii="Book Antiqua" w:eastAsiaTheme="minorEastAsia" w:hAnsi="Book Antiqua"/>
          <w:color w:val="auto"/>
        </w:rPr>
      </w:pPr>
      <w:r w:rsidRPr="005D2C0B">
        <w:rPr>
          <w:rFonts w:ascii="Book Antiqua" w:hAnsi="Book Antiqua"/>
          <w:b/>
          <w:color w:val="auto"/>
        </w:rPr>
        <w:t>Joana Marques,</w:t>
      </w:r>
      <w:r w:rsidRPr="005D2C0B">
        <w:rPr>
          <w:rFonts w:ascii="Book Antiqua" w:hAnsi="Book Antiqua"/>
          <w:color w:val="auto"/>
        </w:rPr>
        <w:t xml:space="preserve"> Faculty of Medicine, University of Porto,</w:t>
      </w:r>
      <w:r w:rsidR="00A9024E" w:rsidRPr="005D2C0B">
        <w:rPr>
          <w:rFonts w:ascii="Book Antiqua" w:hAnsi="Book Antiqua"/>
          <w:color w:val="auto"/>
        </w:rPr>
        <w:t xml:space="preserve"> 4200</w:t>
      </w:r>
      <w:r w:rsidRPr="005D2C0B">
        <w:rPr>
          <w:rFonts w:ascii="Book Antiqua" w:hAnsi="Book Antiqua"/>
          <w:color w:val="auto"/>
        </w:rPr>
        <w:t xml:space="preserve"> Porto, Portgal</w:t>
      </w:r>
    </w:p>
    <w:p w14:paraId="762B7710" w14:textId="77777777" w:rsidR="00A9024E" w:rsidRPr="005D2C0B" w:rsidRDefault="00A9024E" w:rsidP="00A9024E">
      <w:pPr>
        <w:pStyle w:val="BodyA"/>
        <w:spacing w:line="360" w:lineRule="auto"/>
        <w:jc w:val="both"/>
        <w:rPr>
          <w:rFonts w:ascii="Book Antiqua" w:eastAsiaTheme="minorEastAsia" w:hAnsi="Book Antiqua" w:cs="Book Antiqua"/>
          <w:color w:val="auto"/>
        </w:rPr>
      </w:pPr>
    </w:p>
    <w:p w14:paraId="5B8A1780" w14:textId="138AD814" w:rsidR="00792914" w:rsidRPr="005D2C0B" w:rsidRDefault="00514CDD" w:rsidP="00A9024E">
      <w:pPr>
        <w:pStyle w:val="BodyA"/>
        <w:spacing w:line="360" w:lineRule="auto"/>
        <w:jc w:val="both"/>
        <w:rPr>
          <w:rFonts w:ascii="Book Antiqua" w:eastAsiaTheme="minorEastAsia" w:hAnsi="Book Antiqua"/>
          <w:color w:val="auto"/>
          <w:lang w:val="it-IT"/>
        </w:rPr>
      </w:pPr>
      <w:r w:rsidRPr="005D2C0B">
        <w:rPr>
          <w:rFonts w:ascii="Book Antiqua" w:hAnsi="Book Antiqua"/>
          <w:b/>
          <w:color w:val="auto"/>
          <w:lang w:val="es-ES_tradnl"/>
        </w:rPr>
        <w:t>Francisco Baldaque-Silva,</w:t>
      </w:r>
      <w:r w:rsidRPr="005D2C0B">
        <w:rPr>
          <w:rFonts w:ascii="Book Antiqua" w:hAnsi="Book Antiqua"/>
          <w:color w:val="auto"/>
          <w:lang w:val="es-ES_tradnl"/>
        </w:rPr>
        <w:t xml:space="preserve"> Gastrocentrum Karolinska University Hospital, </w:t>
      </w:r>
      <w:r w:rsidR="00866987">
        <w:rPr>
          <w:rFonts w:ascii="Book Antiqua" w:hAnsi="Book Antiqua"/>
          <w:color w:val="auto"/>
          <w:lang w:val="it-IT"/>
        </w:rPr>
        <w:t>Karolinska Institutet, S-141</w:t>
      </w:r>
      <w:r w:rsidR="00A9024E" w:rsidRPr="005D2C0B">
        <w:rPr>
          <w:rFonts w:ascii="Book Antiqua" w:hAnsi="Book Antiqua"/>
          <w:color w:val="auto"/>
          <w:lang w:val="it-IT"/>
        </w:rPr>
        <w:t>86</w:t>
      </w:r>
      <w:r w:rsidRPr="005D2C0B">
        <w:rPr>
          <w:rFonts w:ascii="Book Antiqua" w:hAnsi="Book Antiqua"/>
          <w:color w:val="auto"/>
          <w:lang w:val="it-IT"/>
        </w:rPr>
        <w:t xml:space="preserve"> Stockholm, Sweden</w:t>
      </w:r>
    </w:p>
    <w:p w14:paraId="45DDEC3B" w14:textId="77777777" w:rsidR="00A9024E" w:rsidRPr="005D2C0B" w:rsidRDefault="00A9024E" w:rsidP="00A9024E">
      <w:pPr>
        <w:pStyle w:val="BodyA"/>
        <w:spacing w:line="360" w:lineRule="auto"/>
        <w:jc w:val="both"/>
        <w:rPr>
          <w:rFonts w:ascii="Book Antiqua" w:eastAsiaTheme="minorEastAsia" w:hAnsi="Book Antiqua" w:cs="Book Antiqua"/>
          <w:color w:val="auto"/>
        </w:rPr>
      </w:pPr>
    </w:p>
    <w:p w14:paraId="5BB46EB9" w14:textId="72BDA5C9" w:rsidR="00792914" w:rsidRPr="005D2C0B" w:rsidRDefault="00514CDD" w:rsidP="00A9024E">
      <w:pPr>
        <w:pStyle w:val="BodyA"/>
        <w:spacing w:line="360" w:lineRule="auto"/>
        <w:jc w:val="both"/>
        <w:rPr>
          <w:rFonts w:ascii="Book Antiqua" w:eastAsiaTheme="minorEastAsia" w:hAnsi="Book Antiqua"/>
          <w:color w:val="auto"/>
          <w:lang w:val="it-IT"/>
        </w:rPr>
      </w:pPr>
      <w:r w:rsidRPr="005D2C0B">
        <w:rPr>
          <w:rFonts w:ascii="Book Antiqua" w:hAnsi="Book Antiqua"/>
          <w:b/>
          <w:color w:val="auto"/>
        </w:rPr>
        <w:t>Pedro Pereira,</w:t>
      </w:r>
      <w:r w:rsidRPr="005D2C0B">
        <w:rPr>
          <w:rFonts w:ascii="Book Antiqua" w:hAnsi="Book Antiqua"/>
          <w:color w:val="auto"/>
        </w:rPr>
        <w:t xml:space="preserve"> </w:t>
      </w:r>
      <w:r w:rsidR="00A9024E" w:rsidRPr="005D2C0B">
        <w:rPr>
          <w:rFonts w:ascii="Book Antiqua" w:hAnsi="Book Antiqua"/>
          <w:b/>
          <w:color w:val="auto"/>
        </w:rPr>
        <w:t>Guilherme Macedo,</w:t>
      </w:r>
      <w:r w:rsidR="00A9024E" w:rsidRPr="005D2C0B">
        <w:rPr>
          <w:rFonts w:ascii="Book Antiqua" w:eastAsiaTheme="minorEastAsia" w:hAnsi="Book Antiqua"/>
          <w:b/>
          <w:color w:val="auto"/>
        </w:rPr>
        <w:t xml:space="preserve"> </w:t>
      </w:r>
      <w:r w:rsidRPr="005D2C0B">
        <w:rPr>
          <w:rFonts w:ascii="Book Antiqua" w:hAnsi="Book Antiqua"/>
          <w:color w:val="auto"/>
        </w:rPr>
        <w:t>Gastroenterology Department, Hospital S</w:t>
      </w:r>
      <w:r w:rsidRPr="005D2C0B">
        <w:rPr>
          <w:rFonts w:ascii="Book Antiqua" w:hAnsi="Book Antiqua"/>
          <w:color w:val="auto"/>
          <w:lang w:val="pt-PT"/>
        </w:rPr>
        <w:t>ã</w:t>
      </w:r>
      <w:r w:rsidRPr="005D2C0B">
        <w:rPr>
          <w:rFonts w:ascii="Book Antiqua" w:hAnsi="Book Antiqua"/>
          <w:color w:val="auto"/>
        </w:rPr>
        <w:t>o Jo</w:t>
      </w:r>
      <w:r w:rsidRPr="005D2C0B">
        <w:rPr>
          <w:rFonts w:ascii="Book Antiqua" w:hAnsi="Book Antiqua"/>
          <w:color w:val="auto"/>
          <w:lang w:val="pt-PT"/>
        </w:rPr>
        <w:t>ã</w:t>
      </w:r>
      <w:r w:rsidRPr="005D2C0B">
        <w:rPr>
          <w:rFonts w:ascii="Book Antiqua" w:hAnsi="Book Antiqua"/>
          <w:color w:val="auto"/>
          <w:lang w:val="it-IT"/>
        </w:rPr>
        <w:t>o,</w:t>
      </w:r>
      <w:r w:rsidR="00A9024E" w:rsidRPr="005D2C0B">
        <w:rPr>
          <w:rFonts w:ascii="Book Antiqua" w:hAnsi="Book Antiqua"/>
          <w:color w:val="auto"/>
          <w:lang w:val="it-IT"/>
        </w:rPr>
        <w:t xml:space="preserve"> 4200</w:t>
      </w:r>
      <w:r w:rsidRPr="005D2C0B">
        <w:rPr>
          <w:rFonts w:ascii="Book Antiqua" w:hAnsi="Book Antiqua"/>
          <w:color w:val="auto"/>
          <w:lang w:val="it-IT"/>
        </w:rPr>
        <w:t xml:space="preserve"> Porto, Portugal</w:t>
      </w:r>
    </w:p>
    <w:p w14:paraId="14ABD87F" w14:textId="77777777" w:rsidR="00A9024E" w:rsidRPr="005D2C0B" w:rsidRDefault="00A9024E" w:rsidP="00A9024E">
      <w:pPr>
        <w:pStyle w:val="BodyA"/>
        <w:spacing w:line="360" w:lineRule="auto"/>
        <w:jc w:val="both"/>
        <w:rPr>
          <w:rFonts w:ascii="Book Antiqua" w:eastAsiaTheme="minorEastAsia" w:hAnsi="Book Antiqua" w:cs="Book Antiqua"/>
          <w:color w:val="auto"/>
        </w:rPr>
      </w:pPr>
    </w:p>
    <w:p w14:paraId="34088527" w14:textId="50903ED2" w:rsidR="00792914" w:rsidRPr="005D2C0B" w:rsidRDefault="00514CDD" w:rsidP="00A9024E">
      <w:pPr>
        <w:pStyle w:val="BodyA"/>
        <w:spacing w:line="360" w:lineRule="auto"/>
        <w:jc w:val="both"/>
        <w:rPr>
          <w:rFonts w:ascii="Book Antiqua" w:eastAsiaTheme="minorEastAsia" w:hAnsi="Book Antiqua"/>
          <w:color w:val="auto"/>
          <w:lang w:val="it-IT"/>
        </w:rPr>
      </w:pPr>
      <w:r w:rsidRPr="005D2C0B">
        <w:rPr>
          <w:rFonts w:ascii="Book Antiqua" w:hAnsi="Book Antiqua"/>
          <w:b/>
          <w:color w:val="auto"/>
          <w:lang w:val="it-IT"/>
        </w:rPr>
        <w:t>Urban Arnelo,</w:t>
      </w:r>
      <w:r w:rsidRPr="005D2C0B">
        <w:rPr>
          <w:rFonts w:ascii="Book Antiqua" w:hAnsi="Book Antiqua"/>
          <w:color w:val="auto"/>
          <w:lang w:val="it-IT"/>
        </w:rPr>
        <w:t xml:space="preserve"> Division of Surgery, Department of Clinical Science, Interve</w:t>
      </w:r>
      <w:r w:rsidRPr="005D2C0B">
        <w:rPr>
          <w:rFonts w:ascii="Book Antiqua" w:hAnsi="Book Antiqua"/>
          <w:color w:val="auto"/>
          <w:lang w:val="it-IT"/>
        </w:rPr>
        <w:t>n</w:t>
      </w:r>
      <w:r w:rsidRPr="005D2C0B">
        <w:rPr>
          <w:rFonts w:ascii="Book Antiqua" w:hAnsi="Book Antiqua"/>
          <w:color w:val="auto"/>
          <w:lang w:val="it-IT"/>
        </w:rPr>
        <w:t>tion and Technology (CLINTEC)</w:t>
      </w:r>
      <w:r w:rsidR="00A9024E" w:rsidRPr="005D2C0B">
        <w:rPr>
          <w:rFonts w:ascii="Book Antiqua" w:eastAsiaTheme="minorEastAsia" w:hAnsi="Book Antiqua"/>
          <w:color w:val="auto"/>
          <w:lang w:val="it-IT"/>
        </w:rPr>
        <w:t>,</w:t>
      </w:r>
      <w:r w:rsidRPr="005D2C0B">
        <w:rPr>
          <w:rFonts w:ascii="Book Antiqua" w:hAnsi="Book Antiqua"/>
          <w:color w:val="auto"/>
          <w:lang w:val="it-IT"/>
        </w:rPr>
        <w:t xml:space="preserve"> Karolinska Institutet, and Centre for Dig</w:t>
      </w:r>
      <w:r w:rsidRPr="005D2C0B">
        <w:rPr>
          <w:rFonts w:ascii="Book Antiqua" w:hAnsi="Book Antiqua"/>
          <w:color w:val="auto"/>
          <w:lang w:val="it-IT"/>
        </w:rPr>
        <w:t>e</w:t>
      </w:r>
      <w:r w:rsidRPr="005D2C0B">
        <w:rPr>
          <w:rFonts w:ascii="Book Antiqua" w:hAnsi="Book Antiqua"/>
          <w:color w:val="auto"/>
          <w:lang w:val="it-IT"/>
        </w:rPr>
        <w:t>stive Diseases, Karolinsk</w:t>
      </w:r>
      <w:r w:rsidR="00866987">
        <w:rPr>
          <w:rFonts w:ascii="Book Antiqua" w:hAnsi="Book Antiqua"/>
          <w:color w:val="auto"/>
          <w:lang w:val="it-IT"/>
        </w:rPr>
        <w:t>a University Hospital, S-141</w:t>
      </w:r>
      <w:r w:rsidR="00A9024E" w:rsidRPr="005D2C0B">
        <w:rPr>
          <w:rFonts w:ascii="Book Antiqua" w:hAnsi="Book Antiqua"/>
          <w:color w:val="auto"/>
          <w:lang w:val="it-IT"/>
        </w:rPr>
        <w:t>86</w:t>
      </w:r>
      <w:r w:rsidRPr="005D2C0B">
        <w:rPr>
          <w:rFonts w:ascii="Book Antiqua" w:hAnsi="Book Antiqua"/>
          <w:color w:val="auto"/>
          <w:lang w:val="it-IT"/>
        </w:rPr>
        <w:t xml:space="preserve"> Stockholm, Sweden</w:t>
      </w:r>
    </w:p>
    <w:p w14:paraId="5FAA030F" w14:textId="77777777" w:rsidR="00A9024E" w:rsidRPr="005D2C0B" w:rsidRDefault="00A9024E" w:rsidP="00A9024E">
      <w:pPr>
        <w:pStyle w:val="BodyA"/>
        <w:spacing w:line="360" w:lineRule="auto"/>
        <w:jc w:val="both"/>
        <w:rPr>
          <w:rFonts w:ascii="Book Antiqua" w:eastAsiaTheme="minorEastAsia" w:hAnsi="Book Antiqua" w:cs="Book Antiqua"/>
          <w:color w:val="auto"/>
        </w:rPr>
      </w:pPr>
    </w:p>
    <w:p w14:paraId="45E8E9C2" w14:textId="18443BAE" w:rsidR="00792914" w:rsidRPr="005D2C0B" w:rsidRDefault="00514CDD" w:rsidP="00A9024E">
      <w:pPr>
        <w:pStyle w:val="BodyA"/>
        <w:spacing w:line="360" w:lineRule="auto"/>
        <w:jc w:val="both"/>
        <w:rPr>
          <w:rFonts w:ascii="Book Antiqua" w:eastAsia="Book Antiqua" w:hAnsi="Book Antiqua" w:cs="Book Antiqua"/>
          <w:color w:val="auto"/>
        </w:rPr>
      </w:pPr>
      <w:r w:rsidRPr="005D2C0B">
        <w:rPr>
          <w:rFonts w:ascii="Book Antiqua" w:hAnsi="Book Antiqua"/>
          <w:b/>
          <w:color w:val="auto"/>
        </w:rPr>
        <w:t>Naohisa Yahagi,</w:t>
      </w:r>
      <w:r w:rsidRPr="005D2C0B">
        <w:rPr>
          <w:rFonts w:ascii="Book Antiqua" w:hAnsi="Book Antiqua"/>
          <w:color w:val="auto"/>
        </w:rPr>
        <w:t xml:space="preserve"> Division of Research and Development for Minimally Inv</w:t>
      </w:r>
      <w:r w:rsidRPr="005D2C0B">
        <w:rPr>
          <w:rFonts w:ascii="Book Antiqua" w:hAnsi="Book Antiqua"/>
          <w:color w:val="auto"/>
        </w:rPr>
        <w:t>a</w:t>
      </w:r>
      <w:r w:rsidRPr="005D2C0B">
        <w:rPr>
          <w:rFonts w:ascii="Book Antiqua" w:hAnsi="Book Antiqua"/>
          <w:color w:val="auto"/>
        </w:rPr>
        <w:t>sive Treatment, Cancer Center, School of Medicine, Keio University, Shinj</w:t>
      </w:r>
      <w:r w:rsidRPr="005D2C0B">
        <w:rPr>
          <w:rFonts w:ascii="Book Antiqua" w:hAnsi="Book Antiqua"/>
          <w:color w:val="auto"/>
        </w:rPr>
        <w:t>u</w:t>
      </w:r>
      <w:r w:rsidRPr="005D2C0B">
        <w:rPr>
          <w:rFonts w:ascii="Book Antiqua" w:hAnsi="Book Antiqua"/>
          <w:color w:val="auto"/>
        </w:rPr>
        <w:t>ku-ku, Tokyo 160-8582, Japan</w:t>
      </w:r>
    </w:p>
    <w:p w14:paraId="5ECCFE4A" w14:textId="77777777" w:rsidR="00792914" w:rsidRPr="005D2C0B" w:rsidRDefault="00792914" w:rsidP="00A9024E">
      <w:pPr>
        <w:pStyle w:val="BodyA"/>
        <w:spacing w:line="360" w:lineRule="auto"/>
        <w:jc w:val="both"/>
        <w:rPr>
          <w:rFonts w:ascii="Book Antiqua" w:eastAsiaTheme="minorEastAsia" w:hAnsi="Book Antiqua" w:cs="Book Antiqua"/>
          <w:color w:val="auto"/>
        </w:rPr>
      </w:pPr>
    </w:p>
    <w:p w14:paraId="2A014621" w14:textId="36570D04" w:rsidR="00A9024E" w:rsidRPr="005D2C0B" w:rsidRDefault="00A9024E" w:rsidP="00A9024E">
      <w:pPr>
        <w:pStyle w:val="BodyA"/>
        <w:spacing w:line="360" w:lineRule="auto"/>
        <w:jc w:val="both"/>
        <w:rPr>
          <w:rFonts w:ascii="Book Antiqua" w:eastAsiaTheme="minorEastAsia" w:hAnsi="Book Antiqua" w:cs="Book Antiqua"/>
          <w:color w:val="auto"/>
        </w:rPr>
      </w:pPr>
      <w:r w:rsidRPr="005D2C0B">
        <w:rPr>
          <w:rFonts w:ascii="Book Antiqua" w:hAnsi="Book Antiqua"/>
          <w:b/>
          <w:color w:val="auto"/>
        </w:rPr>
        <w:t>Author contributions:</w:t>
      </w:r>
      <w:r w:rsidRPr="005D2C0B">
        <w:rPr>
          <w:rFonts w:ascii="Book Antiqua" w:hAnsi="Book Antiqua"/>
          <w:color w:val="auto"/>
        </w:rPr>
        <w:t xml:space="preserve"> All</w:t>
      </w:r>
      <w:r w:rsidRPr="005D2C0B">
        <w:rPr>
          <w:rFonts w:ascii="Book Antiqua" w:eastAsiaTheme="minorEastAsia" w:hAnsi="Book Antiqua"/>
          <w:color w:val="auto"/>
        </w:rPr>
        <w:t xml:space="preserve"> authors contributed to this manuscript.</w:t>
      </w:r>
    </w:p>
    <w:p w14:paraId="73C4BF21" w14:textId="77777777" w:rsidR="00A23D70" w:rsidRPr="005D2C0B" w:rsidRDefault="00A23D70" w:rsidP="00A9024E">
      <w:pPr>
        <w:spacing w:line="360" w:lineRule="auto"/>
        <w:jc w:val="both"/>
        <w:rPr>
          <w:rFonts w:ascii="Book Antiqua" w:hAnsi="Book Antiqua" w:cs="Garamond"/>
          <w:lang w:eastAsia="zh-CN"/>
        </w:rPr>
      </w:pPr>
    </w:p>
    <w:p w14:paraId="2601E2D8" w14:textId="77777777" w:rsidR="00A9024E" w:rsidRPr="005D2C0B" w:rsidRDefault="00A9024E" w:rsidP="00A9024E">
      <w:pPr>
        <w:spacing w:line="360" w:lineRule="auto"/>
        <w:jc w:val="both"/>
        <w:rPr>
          <w:rFonts w:ascii="Book Antiqua" w:hAnsi="Book Antiqua" w:cs="Garamond"/>
        </w:rPr>
      </w:pPr>
      <w:r w:rsidRPr="005D2C0B">
        <w:rPr>
          <w:rFonts w:ascii="Book Antiqua" w:hAnsi="Book Antiqua" w:cs="TimesNewRomanPS-BoldItalicMT"/>
          <w:b/>
          <w:bCs/>
          <w:iCs/>
        </w:rPr>
        <w:lastRenderedPageBreak/>
        <w:t xml:space="preserve">Conflict-of-interest: </w:t>
      </w:r>
      <w:r w:rsidRPr="005D2C0B">
        <w:rPr>
          <w:rFonts w:ascii="Book Antiqua" w:hAnsi="Book Antiqua" w:cs="TimesNewRomanPS-BoldItalicMT"/>
          <w:bCs/>
          <w:iCs/>
        </w:rPr>
        <w:t>Authors declare no conflict of interests related to this paper.</w:t>
      </w:r>
    </w:p>
    <w:p w14:paraId="3DFB3F2E" w14:textId="77777777" w:rsidR="00A9024E" w:rsidRPr="005D2C0B" w:rsidRDefault="00A9024E" w:rsidP="00A9024E">
      <w:pPr>
        <w:spacing w:line="360" w:lineRule="auto"/>
        <w:jc w:val="both"/>
        <w:rPr>
          <w:rFonts w:ascii="Book Antiqua" w:hAnsi="Book Antiqua" w:cs="Garamond"/>
          <w:lang w:eastAsia="zh-CN"/>
        </w:rPr>
      </w:pPr>
    </w:p>
    <w:p w14:paraId="6AB399D4" w14:textId="77777777" w:rsidR="00A9024E" w:rsidRPr="005D2C0B" w:rsidRDefault="00A9024E" w:rsidP="00A9024E">
      <w:pPr>
        <w:spacing w:line="360" w:lineRule="auto"/>
        <w:jc w:val="both"/>
        <w:rPr>
          <w:rFonts w:ascii="Book Antiqua" w:hAnsi="Book Antiqua"/>
        </w:rPr>
      </w:pPr>
      <w:bookmarkStart w:id="0" w:name="OLE_LINK507"/>
      <w:bookmarkStart w:id="1" w:name="OLE_LINK506"/>
      <w:bookmarkStart w:id="2" w:name="OLE_LINK496"/>
      <w:bookmarkStart w:id="3" w:name="OLE_LINK479"/>
      <w:r w:rsidRPr="005D2C0B">
        <w:rPr>
          <w:rFonts w:ascii="Book Antiqua" w:hAnsi="Book Antiqua"/>
          <w:b/>
        </w:rPr>
        <w:t xml:space="preserve">Open-Access: </w:t>
      </w:r>
      <w:r w:rsidRPr="005D2C0B">
        <w:rPr>
          <w:rFonts w:ascii="Book Antiqua" w:hAnsi="Book Antiqua"/>
        </w:rPr>
        <w:t>This article is an open-access article which was selected by an in-house editor and fully peer-reviewed by external reviewers. It is distribu</w:t>
      </w:r>
      <w:r w:rsidRPr="005D2C0B">
        <w:rPr>
          <w:rFonts w:ascii="Book Antiqua" w:hAnsi="Book Antiqua"/>
        </w:rPr>
        <w:t>t</w:t>
      </w:r>
      <w:r w:rsidRPr="005D2C0B">
        <w:rPr>
          <w:rFonts w:ascii="Book Antiqua" w:hAnsi="Book Antiqua"/>
        </w:rPr>
        <w:t xml:space="preserve">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5D2C0B">
          <w:rPr>
            <w:rStyle w:val="Hyperlink"/>
            <w:rFonts w:ascii="Book Antiqua" w:hAnsi="Book Antiqua"/>
          </w:rPr>
          <w:t>http://creativecommons.org/licenses/by-nc/4.0/</w:t>
        </w:r>
      </w:hyperlink>
      <w:bookmarkEnd w:id="0"/>
      <w:bookmarkEnd w:id="1"/>
      <w:bookmarkEnd w:id="2"/>
      <w:bookmarkEnd w:id="3"/>
    </w:p>
    <w:p w14:paraId="5953D1B2" w14:textId="77777777" w:rsidR="00792914" w:rsidRPr="0020476C" w:rsidRDefault="00792914" w:rsidP="00A9024E">
      <w:pPr>
        <w:pStyle w:val="BodyA"/>
        <w:spacing w:line="360" w:lineRule="auto"/>
        <w:jc w:val="both"/>
        <w:rPr>
          <w:rFonts w:ascii="Book Antiqua" w:eastAsiaTheme="minorEastAsia" w:hAnsi="Book Antiqua" w:cs="Book Antiqua"/>
          <w:color w:val="auto"/>
        </w:rPr>
      </w:pPr>
    </w:p>
    <w:p w14:paraId="7344EFD3" w14:textId="06B531EB" w:rsidR="00A9024E" w:rsidRPr="005D2C0B" w:rsidRDefault="00A9024E" w:rsidP="00A9024E">
      <w:pPr>
        <w:pStyle w:val="BodyA"/>
        <w:spacing w:line="360" w:lineRule="auto"/>
        <w:jc w:val="both"/>
        <w:rPr>
          <w:rFonts w:ascii="Book Antiqua" w:eastAsiaTheme="minorEastAsia" w:hAnsi="Book Antiqua" w:cs="Book Antiqua"/>
          <w:color w:val="auto"/>
        </w:rPr>
      </w:pPr>
      <w:r w:rsidRPr="005D2C0B">
        <w:rPr>
          <w:rFonts w:ascii="Book Antiqua" w:hAnsi="Book Antiqua"/>
          <w:b/>
          <w:color w:val="auto"/>
        </w:rPr>
        <w:t>Correspondence to:</w:t>
      </w:r>
      <w:r w:rsidRPr="005D2C0B">
        <w:rPr>
          <w:rFonts w:ascii="Book Antiqua" w:eastAsiaTheme="minorEastAsia" w:hAnsi="Book Antiqua"/>
          <w:b/>
          <w:color w:val="auto"/>
        </w:rPr>
        <w:t xml:space="preserve"> </w:t>
      </w:r>
      <w:r w:rsidRPr="005D2C0B">
        <w:rPr>
          <w:rFonts w:ascii="Book Antiqua" w:hAnsi="Book Antiqua"/>
          <w:b/>
          <w:color w:val="auto"/>
        </w:rPr>
        <w:t>Francisco Baldaque-Silva</w:t>
      </w:r>
      <w:r w:rsidRPr="005D2C0B">
        <w:rPr>
          <w:rFonts w:ascii="Book Antiqua" w:eastAsiaTheme="minorEastAsia" w:hAnsi="Book Antiqua"/>
          <w:b/>
          <w:color w:val="auto"/>
        </w:rPr>
        <w:t>,</w:t>
      </w:r>
      <w:r w:rsidRPr="005D2C0B">
        <w:rPr>
          <w:rFonts w:ascii="Book Antiqua" w:hAnsi="Book Antiqua"/>
          <w:b/>
          <w:color w:val="auto"/>
        </w:rPr>
        <w:t xml:space="preserve"> MD</w:t>
      </w:r>
      <w:r w:rsidRPr="005D2C0B">
        <w:rPr>
          <w:rFonts w:ascii="Book Antiqua" w:eastAsiaTheme="minorEastAsia" w:hAnsi="Book Antiqua"/>
          <w:b/>
          <w:color w:val="auto"/>
        </w:rPr>
        <w:t>,</w:t>
      </w:r>
      <w:r w:rsidRPr="005D2C0B">
        <w:rPr>
          <w:rFonts w:ascii="Book Antiqua" w:eastAsiaTheme="minorEastAsia" w:hAnsi="Book Antiqua" w:cs="Book Antiqua"/>
          <w:color w:val="auto"/>
        </w:rPr>
        <w:t xml:space="preserve"> </w:t>
      </w:r>
      <w:r w:rsidRPr="005D2C0B">
        <w:rPr>
          <w:rFonts w:ascii="Book Antiqua" w:hAnsi="Book Antiqua"/>
          <w:color w:val="auto"/>
        </w:rPr>
        <w:t>Gastrocentrum Karoli</w:t>
      </w:r>
      <w:r w:rsidRPr="005D2C0B">
        <w:rPr>
          <w:rFonts w:ascii="Book Antiqua" w:hAnsi="Book Antiqua"/>
          <w:color w:val="auto"/>
        </w:rPr>
        <w:t>n</w:t>
      </w:r>
      <w:r w:rsidRPr="005D2C0B">
        <w:rPr>
          <w:rFonts w:ascii="Book Antiqua" w:hAnsi="Book Antiqua"/>
          <w:color w:val="auto"/>
        </w:rPr>
        <w:t>ska University Hospital, Karolinska Institutet,</w:t>
      </w:r>
      <w:r w:rsidR="00866987">
        <w:rPr>
          <w:rFonts w:ascii="Book Antiqua" w:hAnsi="Book Antiqua"/>
          <w:color w:val="auto"/>
        </w:rPr>
        <w:t xml:space="preserve"> </w:t>
      </w:r>
      <w:r w:rsidRPr="005D2C0B">
        <w:rPr>
          <w:rFonts w:ascii="Book Antiqua" w:hAnsi="Book Antiqua" w:cs="Arial"/>
          <w:color w:val="auto"/>
        </w:rPr>
        <w:t>Karolinska vägen</w:t>
      </w:r>
      <w:r w:rsidRPr="005D2C0B">
        <w:rPr>
          <w:rFonts w:ascii="Book Antiqua" w:eastAsiaTheme="minorEastAsia" w:hAnsi="Book Antiqua" w:cs="Arial"/>
          <w:color w:val="auto"/>
        </w:rPr>
        <w:t>,</w:t>
      </w:r>
      <w:r w:rsidRPr="005D2C0B">
        <w:rPr>
          <w:rFonts w:ascii="Book Antiqua" w:hAnsi="Book Antiqua"/>
          <w:color w:val="auto"/>
        </w:rPr>
        <w:t xml:space="preserve"> </w:t>
      </w:r>
      <w:r w:rsidR="00866987">
        <w:rPr>
          <w:rFonts w:ascii="Book Antiqua" w:hAnsi="Book Antiqua"/>
          <w:color w:val="auto"/>
        </w:rPr>
        <w:t>S-141</w:t>
      </w:r>
      <w:r w:rsidRPr="005D2C0B">
        <w:rPr>
          <w:rFonts w:ascii="Book Antiqua" w:hAnsi="Book Antiqua"/>
          <w:color w:val="auto"/>
        </w:rPr>
        <w:t>86 Stockholm, Sweden</w:t>
      </w:r>
      <w:r w:rsidRPr="005D2C0B">
        <w:rPr>
          <w:rFonts w:ascii="Book Antiqua" w:eastAsiaTheme="minorEastAsia" w:hAnsi="Book Antiqua"/>
          <w:color w:val="auto"/>
        </w:rPr>
        <w:t>.</w:t>
      </w:r>
      <w:r w:rsidRPr="005D2C0B">
        <w:rPr>
          <w:rFonts w:ascii="Book Antiqua" w:eastAsiaTheme="minorEastAsia" w:hAnsi="Book Antiqua" w:cs="Book Antiqua"/>
          <w:color w:val="auto"/>
        </w:rPr>
        <w:t xml:space="preserve"> </w:t>
      </w:r>
      <w:r w:rsidRPr="005D2C0B">
        <w:rPr>
          <w:rFonts w:ascii="Book Antiqua" w:hAnsi="Book Antiqua"/>
          <w:color w:val="auto"/>
        </w:rPr>
        <w:t>fbaldaquesilva@gmail.com</w:t>
      </w:r>
    </w:p>
    <w:p w14:paraId="36B17441" w14:textId="77777777" w:rsidR="00A9024E" w:rsidRPr="005D2C0B" w:rsidRDefault="00A9024E" w:rsidP="00A9024E">
      <w:pPr>
        <w:pStyle w:val="BodyA"/>
        <w:spacing w:line="360" w:lineRule="auto"/>
        <w:jc w:val="both"/>
        <w:rPr>
          <w:rFonts w:ascii="Book Antiqua" w:eastAsiaTheme="minorEastAsia" w:hAnsi="Book Antiqua" w:cs="Book Antiqua"/>
          <w:color w:val="auto"/>
        </w:rPr>
      </w:pPr>
    </w:p>
    <w:p w14:paraId="50C5AC2B" w14:textId="6B4D1E32" w:rsidR="00A9024E" w:rsidRPr="005D2C0B" w:rsidRDefault="00A9024E" w:rsidP="00A9024E">
      <w:pPr>
        <w:spacing w:line="360" w:lineRule="auto"/>
        <w:jc w:val="both"/>
        <w:rPr>
          <w:rFonts w:ascii="Book Antiqua" w:hAnsi="Book Antiqua"/>
          <w:b/>
        </w:rPr>
      </w:pPr>
      <w:r w:rsidRPr="005D2C0B">
        <w:rPr>
          <w:rFonts w:ascii="Book Antiqua" w:hAnsi="Book Antiqua"/>
          <w:b/>
        </w:rPr>
        <w:t xml:space="preserve">Telephone: </w:t>
      </w:r>
      <w:r w:rsidRPr="005D2C0B">
        <w:rPr>
          <w:rFonts w:ascii="Book Antiqua" w:hAnsi="Book Antiqua"/>
        </w:rPr>
        <w:t>+46-08-58586902</w:t>
      </w:r>
    </w:p>
    <w:p w14:paraId="7BE8FD41" w14:textId="03483A13" w:rsidR="00A9024E" w:rsidRPr="005D2C0B" w:rsidRDefault="00A9024E" w:rsidP="00A9024E">
      <w:pPr>
        <w:spacing w:line="360" w:lineRule="auto"/>
        <w:jc w:val="both"/>
        <w:rPr>
          <w:rFonts w:ascii="Book Antiqua" w:eastAsia="Times New Roman" w:hAnsi="Book Antiqua"/>
          <w:bdr w:val="none" w:sz="0" w:space="0" w:color="auto"/>
        </w:rPr>
      </w:pPr>
      <w:r w:rsidRPr="005D2C0B">
        <w:rPr>
          <w:rFonts w:ascii="Book Antiqua" w:hAnsi="Book Antiqua"/>
          <w:b/>
        </w:rPr>
        <w:t xml:space="preserve">Fax: </w:t>
      </w:r>
      <w:r w:rsidRPr="005D2C0B">
        <w:rPr>
          <w:rFonts w:ascii="Book Antiqua" w:hAnsi="Book Antiqua"/>
        </w:rPr>
        <w:t>+46-</w:t>
      </w:r>
      <w:r w:rsidRPr="005D2C0B">
        <w:rPr>
          <w:rFonts w:ascii="Book Antiqua" w:eastAsia="Times New Roman" w:hAnsi="Book Antiqua"/>
          <w:bdr w:val="none" w:sz="0" w:space="0" w:color="auto"/>
        </w:rPr>
        <w:t>08-58582489</w:t>
      </w:r>
    </w:p>
    <w:p w14:paraId="7FA07BF7" w14:textId="77777777" w:rsidR="00792914" w:rsidRPr="005D2C0B" w:rsidRDefault="00792914" w:rsidP="00A9024E">
      <w:pPr>
        <w:pStyle w:val="BodyA"/>
        <w:spacing w:line="360" w:lineRule="auto"/>
        <w:jc w:val="both"/>
        <w:rPr>
          <w:rFonts w:ascii="Book Antiqua" w:eastAsia="Book Antiqua" w:hAnsi="Book Antiqua" w:cs="Book Antiqua"/>
          <w:color w:val="auto"/>
        </w:rPr>
      </w:pPr>
    </w:p>
    <w:p w14:paraId="410F22D2" w14:textId="79E4EA70" w:rsidR="00A9024E" w:rsidRPr="005D2C0B" w:rsidRDefault="00A9024E" w:rsidP="00A9024E">
      <w:pPr>
        <w:spacing w:line="360" w:lineRule="auto"/>
        <w:jc w:val="both"/>
        <w:rPr>
          <w:rFonts w:ascii="Book Antiqua" w:hAnsi="Book Antiqua"/>
          <w:b/>
        </w:rPr>
      </w:pPr>
      <w:r w:rsidRPr="005D2C0B">
        <w:rPr>
          <w:rFonts w:ascii="Book Antiqua" w:hAnsi="Book Antiqua"/>
          <w:b/>
        </w:rPr>
        <w:t>Received:</w:t>
      </w:r>
      <w:r w:rsidRPr="005D2C0B">
        <w:rPr>
          <w:rFonts w:ascii="Book Antiqua" w:hAnsi="Book Antiqua"/>
          <w:b/>
          <w:lang w:eastAsia="zh-CN"/>
        </w:rPr>
        <w:t xml:space="preserve"> </w:t>
      </w:r>
      <w:r w:rsidRPr="005D2C0B">
        <w:rPr>
          <w:rFonts w:ascii="Book Antiqua" w:hAnsi="Book Antiqua"/>
          <w:lang w:eastAsia="zh-CN"/>
        </w:rPr>
        <w:t>October 29, 2014</w:t>
      </w:r>
      <w:r w:rsidR="00866987">
        <w:rPr>
          <w:rFonts w:ascii="Book Antiqua" w:hAnsi="Book Antiqua"/>
        </w:rPr>
        <w:t xml:space="preserve"> </w:t>
      </w:r>
    </w:p>
    <w:p w14:paraId="7CB7B9E9" w14:textId="0FE3C4F8" w:rsidR="00A9024E" w:rsidRPr="005D2C0B" w:rsidRDefault="00A9024E" w:rsidP="00A9024E">
      <w:pPr>
        <w:spacing w:line="360" w:lineRule="auto"/>
        <w:jc w:val="both"/>
        <w:rPr>
          <w:rFonts w:ascii="Book Antiqua" w:hAnsi="Book Antiqua"/>
          <w:b/>
          <w:lang w:eastAsia="zh-CN"/>
        </w:rPr>
      </w:pPr>
      <w:r w:rsidRPr="005D2C0B">
        <w:rPr>
          <w:rFonts w:ascii="Book Antiqua" w:hAnsi="Book Antiqua"/>
          <w:b/>
        </w:rPr>
        <w:t>Peer-review started:</w:t>
      </w:r>
      <w:r w:rsidRPr="005D2C0B">
        <w:rPr>
          <w:rFonts w:ascii="Book Antiqua" w:hAnsi="Book Antiqua"/>
          <w:b/>
          <w:lang w:eastAsia="zh-CN"/>
        </w:rPr>
        <w:t xml:space="preserve"> </w:t>
      </w:r>
      <w:r w:rsidRPr="005D2C0B">
        <w:rPr>
          <w:rFonts w:ascii="Book Antiqua" w:hAnsi="Book Antiqua"/>
          <w:lang w:eastAsia="zh-CN"/>
        </w:rPr>
        <w:t>November 2, 2014</w:t>
      </w:r>
    </w:p>
    <w:p w14:paraId="2F6427DE" w14:textId="3F26F044" w:rsidR="00A9024E" w:rsidRPr="005D2C0B" w:rsidRDefault="00A9024E" w:rsidP="00A9024E">
      <w:pPr>
        <w:spacing w:line="360" w:lineRule="auto"/>
        <w:jc w:val="both"/>
        <w:rPr>
          <w:rFonts w:ascii="Book Antiqua" w:hAnsi="Book Antiqua"/>
          <w:b/>
          <w:lang w:eastAsia="zh-CN"/>
        </w:rPr>
      </w:pPr>
      <w:r w:rsidRPr="005D2C0B">
        <w:rPr>
          <w:rFonts w:ascii="Book Antiqua" w:hAnsi="Book Antiqua"/>
          <w:b/>
        </w:rPr>
        <w:t>First decision:</w:t>
      </w:r>
      <w:r w:rsidRPr="005D2C0B">
        <w:rPr>
          <w:rFonts w:ascii="Book Antiqua" w:hAnsi="Book Antiqua"/>
          <w:b/>
          <w:lang w:eastAsia="zh-CN"/>
        </w:rPr>
        <w:t xml:space="preserve"> </w:t>
      </w:r>
      <w:r w:rsidRPr="005D2C0B">
        <w:rPr>
          <w:rFonts w:ascii="Book Antiqua" w:hAnsi="Book Antiqua"/>
          <w:lang w:eastAsia="zh-CN"/>
        </w:rPr>
        <w:t>December 12, 2014</w:t>
      </w:r>
    </w:p>
    <w:p w14:paraId="305A2BAB" w14:textId="5C583C5F" w:rsidR="00A9024E" w:rsidRPr="005D2C0B" w:rsidRDefault="00A9024E" w:rsidP="00A9024E">
      <w:pPr>
        <w:spacing w:line="360" w:lineRule="auto"/>
        <w:jc w:val="both"/>
        <w:rPr>
          <w:rFonts w:ascii="Book Antiqua" w:hAnsi="Book Antiqua"/>
          <w:b/>
        </w:rPr>
      </w:pPr>
      <w:r w:rsidRPr="005D2C0B">
        <w:rPr>
          <w:rFonts w:ascii="Book Antiqua" w:hAnsi="Book Antiqua"/>
          <w:b/>
        </w:rPr>
        <w:t>Revised:</w:t>
      </w:r>
      <w:r w:rsidRPr="005D2C0B">
        <w:rPr>
          <w:rFonts w:ascii="Book Antiqua" w:hAnsi="Book Antiqua"/>
        </w:rPr>
        <w:t xml:space="preserve"> </w:t>
      </w:r>
      <w:r w:rsidR="00895AAB" w:rsidRPr="00895AAB">
        <w:rPr>
          <w:rFonts w:ascii="Book Antiqua" w:hAnsi="Book Antiqua" w:hint="eastAsia"/>
        </w:rPr>
        <w:t>April 16, 2015</w:t>
      </w:r>
    </w:p>
    <w:p w14:paraId="035384F1" w14:textId="77777777" w:rsidR="00610CEE" w:rsidRDefault="00A9024E" w:rsidP="00610CEE">
      <w:r w:rsidRPr="005D2C0B">
        <w:rPr>
          <w:rFonts w:ascii="Book Antiqua" w:hAnsi="Book Antiqua"/>
          <w:b/>
        </w:rPr>
        <w:t>Accepted:</w:t>
      </w:r>
      <w:r w:rsidR="00866987">
        <w:rPr>
          <w:rFonts w:ascii="Book Antiqua" w:hAnsi="Book Antiqua"/>
          <w:b/>
        </w:rPr>
        <w:t xml:space="preserve"> </w:t>
      </w:r>
      <w:r w:rsidR="00610CEE">
        <w:t>May 16, 2015</w:t>
      </w:r>
    </w:p>
    <w:p w14:paraId="48C3E889" w14:textId="77777777" w:rsidR="00A9024E" w:rsidRPr="005D2C0B" w:rsidRDefault="00A9024E" w:rsidP="00A9024E">
      <w:pPr>
        <w:spacing w:line="360" w:lineRule="auto"/>
        <w:jc w:val="both"/>
        <w:rPr>
          <w:rFonts w:ascii="Book Antiqua" w:hAnsi="Book Antiqua"/>
          <w:b/>
        </w:rPr>
      </w:pPr>
      <w:r w:rsidRPr="005D2C0B">
        <w:rPr>
          <w:rFonts w:ascii="Book Antiqua" w:hAnsi="Book Antiqua"/>
          <w:b/>
        </w:rPr>
        <w:t>Article in press:</w:t>
      </w:r>
    </w:p>
    <w:p w14:paraId="1EBCA258" w14:textId="77777777" w:rsidR="00A9024E" w:rsidRPr="005D2C0B" w:rsidRDefault="00A9024E" w:rsidP="00A9024E">
      <w:pPr>
        <w:spacing w:line="360" w:lineRule="auto"/>
        <w:jc w:val="both"/>
        <w:rPr>
          <w:rFonts w:ascii="Book Antiqua" w:hAnsi="Book Antiqua"/>
          <w:b/>
        </w:rPr>
      </w:pPr>
      <w:r w:rsidRPr="005D2C0B">
        <w:rPr>
          <w:rFonts w:ascii="Book Antiqua" w:hAnsi="Book Antiqua"/>
          <w:b/>
        </w:rPr>
        <w:t xml:space="preserve">Published online: </w:t>
      </w:r>
    </w:p>
    <w:p w14:paraId="336B414F" w14:textId="77777777" w:rsidR="00792914" w:rsidRPr="005D2C0B" w:rsidRDefault="00792914" w:rsidP="00A9024E">
      <w:pPr>
        <w:pStyle w:val="BodyA"/>
        <w:spacing w:line="360" w:lineRule="auto"/>
        <w:jc w:val="both"/>
        <w:rPr>
          <w:rFonts w:ascii="Book Antiqua" w:eastAsiaTheme="minorEastAsia" w:hAnsi="Book Antiqua" w:cs="Book Antiqua"/>
          <w:color w:val="auto"/>
        </w:rPr>
      </w:pPr>
    </w:p>
    <w:p w14:paraId="2A60F953" w14:textId="44508EC7" w:rsidR="00792914" w:rsidRPr="005D2C0B" w:rsidRDefault="00514CDD" w:rsidP="00A9024E">
      <w:pPr>
        <w:pStyle w:val="BodyA"/>
        <w:spacing w:line="360" w:lineRule="auto"/>
        <w:jc w:val="both"/>
        <w:rPr>
          <w:rFonts w:ascii="Book Antiqua" w:eastAsiaTheme="minorEastAsia" w:hAnsi="Book Antiqua" w:cs="Book Antiqua"/>
          <w:b/>
          <w:color w:val="auto"/>
        </w:rPr>
      </w:pPr>
      <w:r w:rsidRPr="005D2C0B">
        <w:rPr>
          <w:rFonts w:ascii="Book Antiqua" w:hAnsi="Book Antiqua"/>
          <w:b/>
          <w:color w:val="auto"/>
          <w:lang w:val="de-DE"/>
        </w:rPr>
        <w:t>Abstract</w:t>
      </w:r>
    </w:p>
    <w:p w14:paraId="6A590A22" w14:textId="3D514BC1" w:rsidR="00792914" w:rsidRPr="005D2C0B" w:rsidRDefault="00514CDD" w:rsidP="00A9024E">
      <w:pPr>
        <w:pStyle w:val="BodyA"/>
        <w:spacing w:line="360" w:lineRule="auto"/>
        <w:jc w:val="both"/>
        <w:rPr>
          <w:rFonts w:ascii="Book Antiqua" w:eastAsia="Book Antiqua" w:hAnsi="Book Antiqua" w:cs="Book Antiqua"/>
          <w:color w:val="auto"/>
        </w:rPr>
      </w:pPr>
      <w:r w:rsidRPr="005D2C0B">
        <w:rPr>
          <w:rFonts w:ascii="Book Antiqua" w:hAnsi="Book Antiqua"/>
          <w:color w:val="auto"/>
        </w:rPr>
        <w:t>Although uncommon, sporadic nonampullary duodenal adenomas have a growing detection due to the widespread of endoscopy. Endoscopic therapy is being increasingly used for these lesions, since surgery, considered the standard treatment, carries significant morbidity and mortality. However, the knowledge about its risks and benefits is limited, which contributes to the current absence of standardized recommendations. This review aims to di</w:t>
      </w:r>
      <w:r w:rsidRPr="005D2C0B">
        <w:rPr>
          <w:rFonts w:ascii="Book Antiqua" w:hAnsi="Book Antiqua"/>
          <w:color w:val="auto"/>
        </w:rPr>
        <w:t>s</w:t>
      </w:r>
      <w:r w:rsidRPr="005D2C0B">
        <w:rPr>
          <w:rFonts w:ascii="Book Antiqua" w:hAnsi="Book Antiqua"/>
          <w:color w:val="auto"/>
        </w:rPr>
        <w:t>cuss the efficacy and safety of endoscopic mucosal resection (EMR) and end</w:t>
      </w:r>
      <w:r w:rsidRPr="005D2C0B">
        <w:rPr>
          <w:rFonts w:ascii="Book Antiqua" w:hAnsi="Book Antiqua"/>
          <w:color w:val="auto"/>
        </w:rPr>
        <w:t>o</w:t>
      </w:r>
      <w:r w:rsidRPr="005D2C0B">
        <w:rPr>
          <w:rFonts w:ascii="Book Antiqua" w:hAnsi="Book Antiqua"/>
          <w:color w:val="auto"/>
        </w:rPr>
        <w:t>scopic submucosal dissection (ESD) in the treatment of these lesions.</w:t>
      </w:r>
      <w:r w:rsidR="002D3EFE" w:rsidRPr="005D2C0B">
        <w:rPr>
          <w:rFonts w:ascii="Book Antiqua" w:eastAsiaTheme="minorEastAsia" w:hAnsi="Book Antiqua"/>
          <w:color w:val="auto"/>
        </w:rPr>
        <w:t xml:space="preserve"> </w:t>
      </w:r>
      <w:r w:rsidRPr="005D2C0B">
        <w:rPr>
          <w:rFonts w:ascii="Book Antiqua" w:hAnsi="Book Antiqua"/>
          <w:color w:val="auto"/>
        </w:rPr>
        <w:t>A liter</w:t>
      </w:r>
      <w:r w:rsidRPr="005D2C0B">
        <w:rPr>
          <w:rFonts w:ascii="Book Antiqua" w:hAnsi="Book Antiqua"/>
          <w:color w:val="auto"/>
        </w:rPr>
        <w:t>a</w:t>
      </w:r>
      <w:r w:rsidRPr="005D2C0B">
        <w:rPr>
          <w:rFonts w:ascii="Book Antiqua" w:hAnsi="Book Antiqua"/>
          <w:color w:val="auto"/>
        </w:rPr>
        <w:t xml:space="preserve">ture review was performed, using the Pubmed database with the query: </w:t>
      </w:r>
      <w:r w:rsidR="00A9024E" w:rsidRPr="005D2C0B">
        <w:rPr>
          <w:rFonts w:ascii="Book Antiqua" w:eastAsiaTheme="minorEastAsia" w:hAnsi="Book Antiqua"/>
          <w:color w:val="auto"/>
        </w:rPr>
        <w:t>“</w:t>
      </w:r>
      <w:r w:rsidRPr="005D2C0B">
        <w:rPr>
          <w:rFonts w:ascii="Book Antiqua" w:hAnsi="Book Antiqua"/>
          <w:color w:val="auto"/>
        </w:rPr>
        <w:t>(duodenum OR duodenal) (endoscopy OR endoscopic) adenoma resection</w:t>
      </w:r>
      <w:r w:rsidR="00A9024E" w:rsidRPr="005D2C0B">
        <w:rPr>
          <w:rFonts w:ascii="Book Antiqua" w:eastAsiaTheme="minorEastAsia" w:hAnsi="Book Antiqua"/>
          <w:color w:val="auto"/>
        </w:rPr>
        <w:t>”</w:t>
      </w:r>
      <w:r w:rsidRPr="005D2C0B">
        <w:rPr>
          <w:rFonts w:ascii="Book Antiqua" w:hAnsi="Book Antiqua"/>
          <w:color w:val="auto"/>
        </w:rPr>
        <w:t>, in the human species and in English. Of the 189 retrieved articles, and after reading their abstracts, 19 were selected due to their scientific interest. The analysis of their references, led to the inclusion of 23 more articles for their relevance in this subject.</w:t>
      </w:r>
      <w:r w:rsidR="002D3EFE" w:rsidRPr="005D2C0B">
        <w:rPr>
          <w:rFonts w:ascii="Book Antiqua" w:eastAsiaTheme="minorEastAsia" w:hAnsi="Book Antiqua" w:cs="Book Antiqua"/>
          <w:color w:val="auto"/>
        </w:rPr>
        <w:t xml:space="preserve"> </w:t>
      </w:r>
      <w:r w:rsidRPr="005D2C0B">
        <w:rPr>
          <w:rFonts w:ascii="Book Antiqua" w:hAnsi="Book Antiqua"/>
          <w:color w:val="auto"/>
        </w:rPr>
        <w:t>The increased use of EMR in the duodenum has shown good results with complete resection rates exceeding 80% and low complication risk (d</w:t>
      </w:r>
      <w:r w:rsidR="00866987">
        <w:rPr>
          <w:rFonts w:ascii="Book Antiqua" w:hAnsi="Book Antiqua"/>
          <w:color w:val="auto"/>
        </w:rPr>
        <w:t>elayed bleeding in less than 12</w:t>
      </w:r>
      <w:r w:rsidRPr="005D2C0B">
        <w:rPr>
          <w:rFonts w:ascii="Book Antiqua" w:hAnsi="Book Antiqua"/>
          <w:color w:val="auto"/>
        </w:rPr>
        <w:t>% of the procedures). Al</w:t>
      </w:r>
      <w:r w:rsidRPr="005D2C0B">
        <w:rPr>
          <w:rFonts w:ascii="Book Antiqua" w:hAnsi="Book Antiqua"/>
          <w:color w:val="auto"/>
        </w:rPr>
        <w:t>t</w:t>
      </w:r>
      <w:r w:rsidRPr="005D2C0B">
        <w:rPr>
          <w:rFonts w:ascii="Book Antiqua" w:hAnsi="Book Antiqua"/>
          <w:color w:val="auto"/>
        </w:rPr>
        <w:t>hough rarely used in the duodenum, ESD achieves close to 100% complete resection rates, but is associated with perforation and bleeding risk in up to one third of the cases.</w:t>
      </w:r>
      <w:r w:rsidR="002D3EFE" w:rsidRPr="005D2C0B">
        <w:rPr>
          <w:rFonts w:ascii="Book Antiqua" w:eastAsiaTheme="minorEastAsia" w:hAnsi="Book Antiqua" w:cs="Book Antiqua"/>
          <w:color w:val="auto"/>
        </w:rPr>
        <w:t xml:space="preserve"> </w:t>
      </w:r>
      <w:r w:rsidRPr="005D2C0B">
        <w:rPr>
          <w:rFonts w:ascii="Book Antiqua" w:hAnsi="Book Antiqua"/>
          <w:color w:val="auto"/>
        </w:rPr>
        <w:t>Even though literature is insuficient to draw definitive conclusions, studies suggest that EMR and ESD are valid options for the treatment of nonampullary adenomas. Thus, strategies to improve these tec</w:t>
      </w:r>
      <w:r w:rsidRPr="005D2C0B">
        <w:rPr>
          <w:rFonts w:ascii="Book Antiqua" w:hAnsi="Book Antiqua"/>
          <w:color w:val="auto"/>
        </w:rPr>
        <w:t>h</w:t>
      </w:r>
      <w:r w:rsidRPr="005D2C0B">
        <w:rPr>
          <w:rFonts w:ascii="Book Antiqua" w:hAnsi="Book Antiqua"/>
          <w:color w:val="auto"/>
        </w:rPr>
        <w:t>niques, and consequently increase the effectiveness and safety of the resection of these le</w:t>
      </w:r>
      <w:r w:rsidR="002D3EFE" w:rsidRPr="005D2C0B">
        <w:rPr>
          <w:rFonts w:ascii="Book Antiqua" w:hAnsi="Book Antiqua"/>
          <w:color w:val="auto"/>
        </w:rPr>
        <w:t>sions, should be developed</w:t>
      </w:r>
      <w:r w:rsidRPr="005D2C0B">
        <w:rPr>
          <w:rFonts w:ascii="Book Antiqua" w:hAnsi="Book Antiqua"/>
          <w:color w:val="auto"/>
        </w:rPr>
        <w:t>.</w:t>
      </w:r>
    </w:p>
    <w:p w14:paraId="5E57D4D0" w14:textId="77777777" w:rsidR="002D3EFE" w:rsidRPr="005D2C0B" w:rsidRDefault="002D3EFE" w:rsidP="00A9024E">
      <w:pPr>
        <w:pStyle w:val="BodyA"/>
        <w:spacing w:line="360" w:lineRule="auto"/>
        <w:jc w:val="both"/>
        <w:rPr>
          <w:rFonts w:ascii="Book Antiqua" w:eastAsiaTheme="minorEastAsia" w:hAnsi="Book Antiqua" w:cs="Book Antiqua"/>
          <w:color w:val="auto"/>
        </w:rPr>
      </w:pPr>
    </w:p>
    <w:p w14:paraId="30156107" w14:textId="3A392998" w:rsidR="00792914" w:rsidRPr="005D2C0B" w:rsidRDefault="00514CDD" w:rsidP="00A9024E">
      <w:pPr>
        <w:pStyle w:val="BodyA"/>
        <w:spacing w:line="360" w:lineRule="auto"/>
        <w:jc w:val="both"/>
        <w:rPr>
          <w:rFonts w:ascii="Book Antiqua" w:eastAsia="Book Antiqua" w:hAnsi="Book Antiqua" w:cs="Book Antiqua"/>
          <w:color w:val="auto"/>
        </w:rPr>
      </w:pPr>
      <w:r w:rsidRPr="005D2C0B">
        <w:rPr>
          <w:rFonts w:ascii="Book Antiqua" w:hAnsi="Book Antiqua"/>
          <w:b/>
          <w:color w:val="auto"/>
        </w:rPr>
        <w:t>Key</w:t>
      </w:r>
      <w:r w:rsidR="002D3EFE" w:rsidRPr="005D2C0B">
        <w:rPr>
          <w:rFonts w:ascii="Book Antiqua" w:eastAsiaTheme="minorEastAsia" w:hAnsi="Book Antiqua"/>
          <w:b/>
          <w:color w:val="auto"/>
        </w:rPr>
        <w:t xml:space="preserve"> </w:t>
      </w:r>
      <w:r w:rsidRPr="005D2C0B">
        <w:rPr>
          <w:rFonts w:ascii="Book Antiqua" w:hAnsi="Book Antiqua"/>
          <w:b/>
          <w:color w:val="auto"/>
        </w:rPr>
        <w:t>words:</w:t>
      </w:r>
      <w:r w:rsidRPr="005D2C0B">
        <w:rPr>
          <w:rFonts w:ascii="Book Antiqua" w:hAnsi="Book Antiqua"/>
          <w:color w:val="auto"/>
        </w:rPr>
        <w:t xml:space="preserve"> </w:t>
      </w:r>
      <w:r w:rsidR="00A9024E" w:rsidRPr="005D2C0B">
        <w:rPr>
          <w:rFonts w:ascii="Book Antiqua" w:hAnsi="Book Antiqua"/>
          <w:color w:val="auto"/>
        </w:rPr>
        <w:t>P</w:t>
      </w:r>
      <w:r w:rsidRPr="005D2C0B">
        <w:rPr>
          <w:rFonts w:ascii="Book Antiqua" w:hAnsi="Book Antiqua"/>
          <w:color w:val="auto"/>
        </w:rPr>
        <w:t>olyps</w:t>
      </w:r>
      <w:r w:rsidR="00A9024E" w:rsidRPr="005D2C0B">
        <w:rPr>
          <w:rFonts w:ascii="Book Antiqua" w:eastAsiaTheme="minorEastAsia" w:hAnsi="Book Antiqua"/>
          <w:color w:val="auto"/>
        </w:rPr>
        <w:t>;</w:t>
      </w:r>
      <w:r w:rsidRPr="005D2C0B">
        <w:rPr>
          <w:rFonts w:ascii="Book Antiqua" w:hAnsi="Book Antiqua"/>
          <w:color w:val="auto"/>
        </w:rPr>
        <w:t xml:space="preserve"> </w:t>
      </w:r>
      <w:r w:rsidR="00A9024E" w:rsidRPr="005D2C0B">
        <w:rPr>
          <w:rFonts w:ascii="Book Antiqua" w:hAnsi="Book Antiqua"/>
          <w:color w:val="auto"/>
        </w:rPr>
        <w:t>D</w:t>
      </w:r>
      <w:r w:rsidRPr="005D2C0B">
        <w:rPr>
          <w:rFonts w:ascii="Book Antiqua" w:hAnsi="Book Antiqua"/>
          <w:color w:val="auto"/>
        </w:rPr>
        <w:t>uodenum</w:t>
      </w:r>
      <w:r w:rsidR="00A9024E" w:rsidRPr="005D2C0B">
        <w:rPr>
          <w:rFonts w:ascii="Book Antiqua" w:eastAsiaTheme="minorEastAsia" w:hAnsi="Book Antiqua"/>
          <w:color w:val="auto"/>
        </w:rPr>
        <w:t>;</w:t>
      </w:r>
      <w:r w:rsidRPr="005D2C0B">
        <w:rPr>
          <w:rFonts w:ascii="Book Antiqua" w:hAnsi="Book Antiqua"/>
          <w:color w:val="auto"/>
        </w:rPr>
        <w:t xml:space="preserve"> </w:t>
      </w:r>
      <w:r w:rsidR="00A9024E" w:rsidRPr="005D2C0B">
        <w:rPr>
          <w:rFonts w:ascii="Book Antiqua" w:hAnsi="Book Antiqua"/>
          <w:color w:val="auto"/>
        </w:rPr>
        <w:t>A</w:t>
      </w:r>
      <w:r w:rsidRPr="005D2C0B">
        <w:rPr>
          <w:rFonts w:ascii="Book Antiqua" w:hAnsi="Book Antiqua"/>
          <w:color w:val="auto"/>
        </w:rPr>
        <w:t>denoma</w:t>
      </w:r>
      <w:r w:rsidR="00A9024E" w:rsidRPr="005D2C0B">
        <w:rPr>
          <w:rFonts w:ascii="Book Antiqua" w:eastAsiaTheme="minorEastAsia" w:hAnsi="Book Antiqua"/>
          <w:color w:val="auto"/>
        </w:rPr>
        <w:t>;</w:t>
      </w:r>
      <w:r w:rsidRPr="005D2C0B">
        <w:rPr>
          <w:rFonts w:ascii="Book Antiqua" w:hAnsi="Book Antiqua"/>
          <w:color w:val="auto"/>
        </w:rPr>
        <w:t xml:space="preserve"> </w:t>
      </w:r>
      <w:r w:rsidR="00A9024E" w:rsidRPr="005D2C0B">
        <w:rPr>
          <w:rFonts w:ascii="Book Antiqua" w:hAnsi="Book Antiqua"/>
          <w:color w:val="auto"/>
        </w:rPr>
        <w:t>R</w:t>
      </w:r>
      <w:r w:rsidRPr="005D2C0B">
        <w:rPr>
          <w:rFonts w:ascii="Book Antiqua" w:hAnsi="Book Antiqua"/>
          <w:color w:val="auto"/>
        </w:rPr>
        <w:t>esection</w:t>
      </w:r>
      <w:r w:rsidR="00A9024E" w:rsidRPr="005D2C0B">
        <w:rPr>
          <w:rFonts w:ascii="Book Antiqua" w:eastAsiaTheme="minorEastAsia" w:hAnsi="Book Antiqua"/>
          <w:color w:val="auto"/>
        </w:rPr>
        <w:t>;</w:t>
      </w:r>
      <w:r w:rsidRPr="005D2C0B">
        <w:rPr>
          <w:rFonts w:ascii="Book Antiqua" w:hAnsi="Book Antiqua"/>
          <w:color w:val="auto"/>
        </w:rPr>
        <w:t xml:space="preserve"> </w:t>
      </w:r>
      <w:r w:rsidR="00A9024E" w:rsidRPr="005D2C0B">
        <w:rPr>
          <w:rFonts w:ascii="Book Antiqua" w:hAnsi="Book Antiqua"/>
          <w:color w:val="auto"/>
        </w:rPr>
        <w:t>E</w:t>
      </w:r>
      <w:r w:rsidRPr="005D2C0B">
        <w:rPr>
          <w:rFonts w:ascii="Book Antiqua" w:hAnsi="Book Antiqua"/>
          <w:color w:val="auto"/>
        </w:rPr>
        <w:t>ndoscopy</w:t>
      </w:r>
    </w:p>
    <w:p w14:paraId="3F381F30" w14:textId="77777777" w:rsidR="00792914" w:rsidRPr="005D2C0B" w:rsidRDefault="00792914" w:rsidP="00A9024E">
      <w:pPr>
        <w:pStyle w:val="BodyA"/>
        <w:spacing w:line="360" w:lineRule="auto"/>
        <w:jc w:val="both"/>
        <w:rPr>
          <w:rFonts w:ascii="Book Antiqua" w:eastAsiaTheme="minorEastAsia" w:hAnsi="Book Antiqua" w:cs="Book Antiqua"/>
          <w:color w:val="auto"/>
        </w:rPr>
      </w:pPr>
    </w:p>
    <w:p w14:paraId="1062094C" w14:textId="77777777" w:rsidR="00A9024E" w:rsidRPr="005D2C0B" w:rsidRDefault="00A9024E" w:rsidP="00A9024E">
      <w:pPr>
        <w:spacing w:line="360" w:lineRule="auto"/>
        <w:jc w:val="both"/>
        <w:rPr>
          <w:rFonts w:ascii="Book Antiqua" w:hAnsi="Book Antiqua" w:cs="Arial"/>
        </w:rPr>
      </w:pPr>
      <w:r w:rsidRPr="005D2C0B">
        <w:rPr>
          <w:rFonts w:ascii="Book Antiqua" w:hAnsi="Book Antiqua"/>
          <w:b/>
        </w:rPr>
        <w:t xml:space="preserve">© </w:t>
      </w:r>
      <w:r w:rsidRPr="005D2C0B">
        <w:rPr>
          <w:rFonts w:ascii="Book Antiqua" w:hAnsi="Book Antiqua" w:cs="Arial"/>
          <w:b/>
        </w:rPr>
        <w:t>The Author(s) 2015.</w:t>
      </w:r>
      <w:r w:rsidRPr="005D2C0B">
        <w:rPr>
          <w:rFonts w:ascii="Book Antiqua" w:hAnsi="Book Antiqua" w:cs="Arial"/>
        </w:rPr>
        <w:t xml:space="preserve"> Published by Baishideng Publishing Group Inc. All rights reserved.</w:t>
      </w:r>
    </w:p>
    <w:p w14:paraId="3DFD6DA2" w14:textId="77777777" w:rsidR="00A9024E" w:rsidRPr="005D2C0B" w:rsidRDefault="00A9024E" w:rsidP="00A9024E">
      <w:pPr>
        <w:pStyle w:val="BodyA"/>
        <w:spacing w:line="360" w:lineRule="auto"/>
        <w:jc w:val="both"/>
        <w:rPr>
          <w:rFonts w:ascii="Book Antiqua" w:eastAsiaTheme="minorEastAsia" w:hAnsi="Book Antiqua" w:cs="Book Antiqua"/>
          <w:color w:val="auto"/>
        </w:rPr>
      </w:pPr>
    </w:p>
    <w:p w14:paraId="76FEF128" w14:textId="12E1B2F0" w:rsidR="00A23D70" w:rsidRPr="005D2C0B" w:rsidRDefault="00957136" w:rsidP="00A9024E">
      <w:pPr>
        <w:pStyle w:val="BodyA"/>
        <w:spacing w:line="360" w:lineRule="auto"/>
        <w:jc w:val="both"/>
        <w:rPr>
          <w:rFonts w:ascii="Book Antiqua" w:hAnsi="Book Antiqua"/>
          <w:color w:val="auto"/>
        </w:rPr>
      </w:pPr>
      <w:r w:rsidRPr="005D2C0B">
        <w:rPr>
          <w:rFonts w:ascii="Book Antiqua" w:hAnsi="Book Antiqua"/>
          <w:b/>
          <w:color w:val="auto"/>
        </w:rPr>
        <w:t>Core tip:</w:t>
      </w:r>
      <w:r w:rsidRPr="005D2C0B">
        <w:rPr>
          <w:rFonts w:ascii="Book Antiqua" w:hAnsi="Book Antiqua"/>
          <w:color w:val="auto"/>
        </w:rPr>
        <w:t xml:space="preserve"> </w:t>
      </w:r>
      <w:r w:rsidR="00A23D70" w:rsidRPr="005D2C0B">
        <w:rPr>
          <w:rFonts w:ascii="Book Antiqua" w:hAnsi="Book Antiqua"/>
          <w:color w:val="auto"/>
        </w:rPr>
        <w:t>Widespread use of endoscopy lead</w:t>
      </w:r>
      <w:r w:rsidR="00A9024E" w:rsidRPr="005D2C0B">
        <w:rPr>
          <w:rFonts w:ascii="Book Antiqua" w:eastAsiaTheme="minorEastAsia" w:hAnsi="Book Antiqua"/>
          <w:color w:val="auto"/>
        </w:rPr>
        <w:t>s</w:t>
      </w:r>
      <w:r w:rsidR="00A23D70" w:rsidRPr="005D2C0B">
        <w:rPr>
          <w:rFonts w:ascii="Book Antiqua" w:hAnsi="Book Antiqua"/>
          <w:color w:val="auto"/>
        </w:rPr>
        <w:t xml:space="preserve"> to increase detection of sporadic nonampullary duodenal adenomas. Due to significant morbidity and mortal</w:t>
      </w:r>
      <w:r w:rsidR="00A23D70" w:rsidRPr="005D2C0B">
        <w:rPr>
          <w:rFonts w:ascii="Book Antiqua" w:hAnsi="Book Antiqua"/>
          <w:color w:val="auto"/>
        </w:rPr>
        <w:t>i</w:t>
      </w:r>
      <w:r w:rsidR="00A23D70" w:rsidRPr="005D2C0B">
        <w:rPr>
          <w:rFonts w:ascii="Book Antiqua" w:hAnsi="Book Antiqua"/>
          <w:color w:val="auto"/>
        </w:rPr>
        <w:t>ty of surgical treatment in this setting, endoscopic treatment with endoscopic mucosal resection (EMR) or endoscopic submucosal dissection (ESD), has been progressively used for the resection of these lesions. This extensive and detailed review discusses the efficacy and safety of EMR and ESD in this co</w:t>
      </w:r>
      <w:r w:rsidR="00A23D70" w:rsidRPr="005D2C0B">
        <w:rPr>
          <w:rFonts w:ascii="Book Antiqua" w:hAnsi="Book Antiqua"/>
          <w:color w:val="auto"/>
        </w:rPr>
        <w:t>n</w:t>
      </w:r>
      <w:r w:rsidR="00A23D70" w:rsidRPr="005D2C0B">
        <w:rPr>
          <w:rFonts w:ascii="Book Antiqua" w:hAnsi="Book Antiqua"/>
          <w:color w:val="auto"/>
        </w:rPr>
        <w:t>text.</w:t>
      </w:r>
      <w:r w:rsidR="00866987">
        <w:rPr>
          <w:rFonts w:ascii="Book Antiqua" w:hAnsi="Book Antiqua"/>
          <w:color w:val="auto"/>
        </w:rPr>
        <w:t xml:space="preserve"> </w:t>
      </w:r>
      <w:r w:rsidR="00A23D70" w:rsidRPr="005D2C0B">
        <w:rPr>
          <w:rFonts w:ascii="Book Antiqua" w:hAnsi="Book Antiqua"/>
          <w:color w:val="auto"/>
        </w:rPr>
        <w:t>We conclude that EMR and ESD are valid options for the treatment of sporadic nonampullary duodenal adenomas. Strategies to improve these techniques, and consequently increase their effectiveness and safety should be developed.</w:t>
      </w:r>
    </w:p>
    <w:p w14:paraId="656BFF2C" w14:textId="77777777" w:rsidR="00A9024E" w:rsidRPr="005D2C0B" w:rsidRDefault="00A9024E" w:rsidP="00A9024E">
      <w:pPr>
        <w:pStyle w:val="BodyA"/>
        <w:spacing w:line="360" w:lineRule="auto"/>
        <w:jc w:val="both"/>
        <w:rPr>
          <w:rFonts w:ascii="Book Antiqua" w:eastAsiaTheme="minorEastAsia" w:hAnsi="Book Antiqua" w:cs="Book Antiqua"/>
          <w:color w:val="auto"/>
        </w:rPr>
      </w:pPr>
    </w:p>
    <w:p w14:paraId="1756FE5B" w14:textId="2C7919B2" w:rsidR="00A9024E" w:rsidRPr="005D2C0B" w:rsidRDefault="00A9024E" w:rsidP="00A9024E">
      <w:pPr>
        <w:pStyle w:val="BodyA"/>
        <w:spacing w:line="360" w:lineRule="auto"/>
        <w:jc w:val="both"/>
        <w:rPr>
          <w:rFonts w:ascii="Book Antiqua" w:eastAsiaTheme="minorEastAsia" w:hAnsi="Book Antiqua"/>
          <w:color w:val="auto"/>
        </w:rPr>
      </w:pPr>
      <w:r w:rsidRPr="005D2C0B">
        <w:rPr>
          <w:rFonts w:ascii="Book Antiqua" w:hAnsi="Book Antiqua"/>
          <w:color w:val="auto"/>
        </w:rPr>
        <w:t>Marques</w:t>
      </w:r>
      <w:r w:rsidRPr="005D2C0B">
        <w:rPr>
          <w:rFonts w:ascii="Book Antiqua" w:eastAsiaTheme="minorEastAsia" w:hAnsi="Book Antiqua"/>
          <w:color w:val="auto"/>
        </w:rPr>
        <w:t xml:space="preserve"> J,</w:t>
      </w:r>
      <w:r w:rsidRPr="005D2C0B">
        <w:rPr>
          <w:rFonts w:ascii="Book Antiqua" w:hAnsi="Book Antiqua"/>
          <w:color w:val="auto"/>
        </w:rPr>
        <w:t xml:space="preserve"> Baldaque-Silva</w:t>
      </w:r>
      <w:r w:rsidRPr="005D2C0B">
        <w:rPr>
          <w:rFonts w:ascii="Book Antiqua" w:eastAsiaTheme="minorEastAsia" w:hAnsi="Book Antiqua"/>
          <w:color w:val="auto"/>
        </w:rPr>
        <w:t xml:space="preserve"> F,</w:t>
      </w:r>
      <w:r w:rsidRPr="005D2C0B">
        <w:rPr>
          <w:rFonts w:ascii="Book Antiqua" w:eastAsiaTheme="minorEastAsia" w:hAnsi="Book Antiqua" w:cs="Book Antiqua"/>
          <w:color w:val="auto"/>
        </w:rPr>
        <w:t xml:space="preserve"> </w:t>
      </w:r>
      <w:r w:rsidRPr="005D2C0B">
        <w:rPr>
          <w:rFonts w:ascii="Book Antiqua" w:hAnsi="Book Antiqua"/>
          <w:color w:val="auto"/>
        </w:rPr>
        <w:t>Pereira</w:t>
      </w:r>
      <w:r w:rsidRPr="005D2C0B">
        <w:rPr>
          <w:rFonts w:ascii="Book Antiqua" w:eastAsiaTheme="minorEastAsia" w:hAnsi="Book Antiqua"/>
          <w:color w:val="auto"/>
        </w:rPr>
        <w:t xml:space="preserve"> P,</w:t>
      </w:r>
      <w:r w:rsidRPr="005D2C0B">
        <w:rPr>
          <w:rFonts w:ascii="Book Antiqua" w:eastAsiaTheme="minorEastAsia" w:hAnsi="Book Antiqua" w:cs="Book Antiqua"/>
          <w:color w:val="auto"/>
        </w:rPr>
        <w:t xml:space="preserve"> </w:t>
      </w:r>
      <w:r w:rsidRPr="005D2C0B">
        <w:rPr>
          <w:rFonts w:ascii="Book Antiqua" w:hAnsi="Book Antiqua"/>
          <w:color w:val="auto"/>
        </w:rPr>
        <w:t>Arnelo</w:t>
      </w:r>
      <w:r w:rsidRPr="005D2C0B">
        <w:rPr>
          <w:rFonts w:ascii="Book Antiqua" w:eastAsiaTheme="minorEastAsia" w:hAnsi="Book Antiqua"/>
          <w:color w:val="auto"/>
        </w:rPr>
        <w:t xml:space="preserve"> U,</w:t>
      </w:r>
      <w:r w:rsidRPr="005D2C0B">
        <w:rPr>
          <w:rFonts w:ascii="Book Antiqua" w:eastAsiaTheme="minorEastAsia" w:hAnsi="Book Antiqua" w:cs="Book Antiqua"/>
          <w:color w:val="auto"/>
        </w:rPr>
        <w:t xml:space="preserve"> </w:t>
      </w:r>
      <w:r w:rsidRPr="005D2C0B">
        <w:rPr>
          <w:rFonts w:ascii="Book Antiqua" w:hAnsi="Book Antiqua"/>
          <w:color w:val="auto"/>
        </w:rPr>
        <w:t>Yahagi</w:t>
      </w:r>
      <w:r w:rsidRPr="005D2C0B">
        <w:rPr>
          <w:rFonts w:ascii="Book Antiqua" w:eastAsiaTheme="minorEastAsia" w:hAnsi="Book Antiqua"/>
          <w:color w:val="auto"/>
        </w:rPr>
        <w:t xml:space="preserve"> N,</w:t>
      </w:r>
      <w:r w:rsidRPr="005D2C0B">
        <w:rPr>
          <w:rFonts w:ascii="Book Antiqua" w:hAnsi="Book Antiqua"/>
          <w:color w:val="auto"/>
        </w:rPr>
        <w:t xml:space="preserve"> Macedo</w:t>
      </w:r>
      <w:r w:rsidRPr="005D2C0B">
        <w:rPr>
          <w:rFonts w:ascii="Book Antiqua" w:eastAsiaTheme="minorEastAsia" w:hAnsi="Book Antiqua"/>
          <w:color w:val="auto"/>
        </w:rPr>
        <w:t xml:space="preserve"> G.</w:t>
      </w:r>
      <w:r w:rsidRPr="005D2C0B">
        <w:rPr>
          <w:rFonts w:ascii="Book Antiqua" w:hAnsi="Book Antiqua"/>
          <w:color w:val="auto"/>
        </w:rPr>
        <w:t xml:space="preserve"> End</w:t>
      </w:r>
      <w:r w:rsidRPr="005D2C0B">
        <w:rPr>
          <w:rFonts w:ascii="Book Antiqua" w:hAnsi="Book Antiqua"/>
          <w:color w:val="auto"/>
        </w:rPr>
        <w:t>o</w:t>
      </w:r>
      <w:r w:rsidRPr="005D2C0B">
        <w:rPr>
          <w:rFonts w:ascii="Book Antiqua" w:hAnsi="Book Antiqua"/>
          <w:color w:val="auto"/>
        </w:rPr>
        <w:t>scopic mucosal resection and endoscopic submucosal dissection in the trea</w:t>
      </w:r>
      <w:r w:rsidRPr="005D2C0B">
        <w:rPr>
          <w:rFonts w:ascii="Book Antiqua" w:hAnsi="Book Antiqua"/>
          <w:color w:val="auto"/>
        </w:rPr>
        <w:t>t</w:t>
      </w:r>
      <w:r w:rsidRPr="005D2C0B">
        <w:rPr>
          <w:rFonts w:ascii="Book Antiqua" w:hAnsi="Book Antiqua"/>
          <w:color w:val="auto"/>
        </w:rPr>
        <w:t>ment of sporadic nonampullary duodenal adenomatous polyps</w:t>
      </w:r>
      <w:r w:rsidRPr="005D2C0B">
        <w:rPr>
          <w:rFonts w:ascii="Book Antiqua" w:eastAsiaTheme="minorEastAsia" w:hAnsi="Book Antiqua"/>
          <w:color w:val="auto"/>
        </w:rPr>
        <w:t xml:space="preserve">. </w:t>
      </w:r>
      <w:r w:rsidRPr="005D2C0B">
        <w:rPr>
          <w:rFonts w:ascii="Book Antiqua" w:hAnsi="Book Antiqua"/>
          <w:i/>
          <w:iCs/>
          <w:color w:val="auto"/>
        </w:rPr>
        <w:t>World J Ga</w:t>
      </w:r>
      <w:r w:rsidRPr="005D2C0B">
        <w:rPr>
          <w:rFonts w:ascii="Book Antiqua" w:hAnsi="Book Antiqua"/>
          <w:i/>
          <w:iCs/>
          <w:color w:val="auto"/>
        </w:rPr>
        <w:t>s</w:t>
      </w:r>
      <w:r w:rsidRPr="005D2C0B">
        <w:rPr>
          <w:rFonts w:ascii="Book Antiqua" w:hAnsi="Book Antiqua"/>
          <w:i/>
          <w:iCs/>
          <w:color w:val="auto"/>
        </w:rPr>
        <w:t>trointest Endosc</w:t>
      </w:r>
      <w:r w:rsidRPr="005D2C0B">
        <w:rPr>
          <w:rFonts w:ascii="Book Antiqua" w:eastAsiaTheme="minorEastAsia" w:hAnsi="Book Antiqua"/>
          <w:i/>
          <w:iCs/>
          <w:color w:val="auto"/>
        </w:rPr>
        <w:t xml:space="preserve"> </w:t>
      </w:r>
      <w:r w:rsidRPr="005D2C0B">
        <w:rPr>
          <w:rFonts w:ascii="Book Antiqua" w:eastAsiaTheme="minorEastAsia" w:hAnsi="Book Antiqua"/>
          <w:iCs/>
          <w:color w:val="auto"/>
        </w:rPr>
        <w:t>2015; In press</w:t>
      </w:r>
    </w:p>
    <w:p w14:paraId="2D76830B" w14:textId="77777777" w:rsidR="00A23D70" w:rsidRPr="005D2C0B" w:rsidRDefault="00A23D70" w:rsidP="00A9024E">
      <w:pPr>
        <w:pStyle w:val="BodyA"/>
        <w:spacing w:line="360" w:lineRule="auto"/>
        <w:jc w:val="both"/>
        <w:rPr>
          <w:rFonts w:ascii="Book Antiqua" w:eastAsiaTheme="minorEastAsia" w:hAnsi="Book Antiqua" w:cs="Book Antiqua"/>
          <w:color w:val="auto"/>
        </w:rPr>
      </w:pPr>
    </w:p>
    <w:p w14:paraId="368E0C0C" w14:textId="3CDB88FF" w:rsidR="00792914" w:rsidRPr="005D2C0B" w:rsidRDefault="00514CDD" w:rsidP="00A9024E">
      <w:pPr>
        <w:pStyle w:val="BodyA"/>
        <w:spacing w:line="360" w:lineRule="auto"/>
        <w:jc w:val="both"/>
        <w:rPr>
          <w:rFonts w:ascii="Book Antiqua" w:eastAsia="Book Antiqua" w:hAnsi="Book Antiqua" w:cs="Book Antiqua"/>
          <w:b/>
          <w:color w:val="auto"/>
        </w:rPr>
      </w:pPr>
      <w:r w:rsidRPr="005D2C0B">
        <w:rPr>
          <w:rFonts w:ascii="Book Antiqua" w:hAnsi="Book Antiqua"/>
          <w:b/>
          <w:color w:val="auto"/>
        </w:rPr>
        <w:t>INTRODUCTION</w:t>
      </w:r>
    </w:p>
    <w:p w14:paraId="0231DD0A" w14:textId="7CE85A69" w:rsidR="00A65F4F" w:rsidRPr="005D2C0B" w:rsidRDefault="00A65F4F" w:rsidP="00A9024E">
      <w:pPr>
        <w:spacing w:line="360" w:lineRule="auto"/>
        <w:jc w:val="both"/>
        <w:rPr>
          <w:rFonts w:ascii="Book Antiqua" w:eastAsia="Book Antiqua" w:hAnsi="Book Antiqua" w:cs="Book Antiqua"/>
        </w:rPr>
      </w:pPr>
      <w:r w:rsidRPr="005D2C0B">
        <w:rPr>
          <w:rFonts w:ascii="Book Antiqua" w:eastAsia="Times New Roman" w:hAnsi="Book Antiqua"/>
        </w:rPr>
        <w:t xml:space="preserve">We searched Medline (PubMed) for all published manuscript up to 2014. The search terms used were </w:t>
      </w:r>
      <w:r w:rsidR="00866987">
        <w:rPr>
          <w:rFonts w:ascii="Book Antiqua" w:hAnsi="Book Antiqua"/>
          <w:lang w:eastAsia="zh-CN"/>
        </w:rPr>
        <w:t>“</w:t>
      </w:r>
      <w:r w:rsidRPr="005D2C0B">
        <w:rPr>
          <w:rFonts w:ascii="Book Antiqua" w:hAnsi="Book Antiqua"/>
        </w:rPr>
        <w:t>(duodenum OR duodenal) (endoscopy OR end</w:t>
      </w:r>
      <w:r w:rsidRPr="005D2C0B">
        <w:rPr>
          <w:rFonts w:ascii="Book Antiqua" w:hAnsi="Book Antiqua"/>
        </w:rPr>
        <w:t>o</w:t>
      </w:r>
      <w:r w:rsidRPr="005D2C0B">
        <w:rPr>
          <w:rFonts w:ascii="Book Antiqua" w:hAnsi="Book Antiqua"/>
        </w:rPr>
        <w:t>scopic) adenoma resection</w:t>
      </w:r>
      <w:r w:rsidR="00866987">
        <w:rPr>
          <w:rFonts w:ascii="Book Antiqua" w:hAnsi="Book Antiqua"/>
          <w:lang w:eastAsia="zh-CN"/>
        </w:rPr>
        <w:t>”</w:t>
      </w:r>
      <w:r w:rsidR="00866987">
        <w:rPr>
          <w:rFonts w:ascii="Book Antiqua" w:hAnsi="Book Antiqua"/>
        </w:rPr>
        <w:t>.</w:t>
      </w:r>
      <w:r w:rsidRPr="005D2C0B">
        <w:rPr>
          <w:rFonts w:ascii="Book Antiqua" w:hAnsi="Book Antiqua"/>
        </w:rPr>
        <w:t xml:space="preserve"> </w:t>
      </w:r>
      <w:r w:rsidRPr="005D2C0B">
        <w:rPr>
          <w:rFonts w:ascii="Book Antiqua" w:eastAsia="Times New Roman" w:hAnsi="Book Antiqua"/>
        </w:rPr>
        <w:t xml:space="preserve">The search was restricted to English language and was extended by carefully reviewing the bibliographies of the pertinent manuscripts on this subject. </w:t>
      </w:r>
      <w:r w:rsidRPr="005D2C0B">
        <w:rPr>
          <w:rFonts w:ascii="Book Antiqua" w:hAnsi="Book Antiqua"/>
        </w:rPr>
        <w:t>Of the 189 retrieved articles, and after reading their abstracts, 19 were selected due to their scientific interest. The analysis of their references, led to the inclusion of 23 more articles for their relevance in this subject.</w:t>
      </w:r>
    </w:p>
    <w:p w14:paraId="424EE8A4" w14:textId="5E20F823" w:rsidR="00792914" w:rsidRPr="005D2C0B" w:rsidRDefault="00514CDD" w:rsidP="00866987">
      <w:pPr>
        <w:pStyle w:val="BodyA"/>
        <w:spacing w:line="360" w:lineRule="auto"/>
        <w:ind w:firstLineChars="100" w:firstLine="240"/>
        <w:jc w:val="both"/>
        <w:rPr>
          <w:rFonts w:ascii="Book Antiqua" w:eastAsia="Book Antiqua" w:hAnsi="Book Antiqua" w:cs="Book Antiqua"/>
          <w:color w:val="auto"/>
        </w:rPr>
      </w:pPr>
      <w:r w:rsidRPr="005D2C0B">
        <w:rPr>
          <w:rFonts w:ascii="Book Antiqua" w:hAnsi="Book Antiqua"/>
          <w:color w:val="auto"/>
        </w:rPr>
        <w:t>Duodenal adenomatous polyps are a rare disease in the general population, reported as incidental findings in up to 0.1%</w:t>
      </w:r>
      <w:r w:rsidR="00866987">
        <w:rPr>
          <w:rFonts w:ascii="Book Antiqua" w:eastAsiaTheme="minorEastAsia" w:hAnsi="Book Antiqua" w:hint="eastAsia"/>
          <w:color w:val="auto"/>
        </w:rPr>
        <w:t>-</w:t>
      </w:r>
      <w:r w:rsidRPr="005D2C0B">
        <w:rPr>
          <w:rFonts w:ascii="Book Antiqua" w:hAnsi="Book Antiqua"/>
          <w:color w:val="auto"/>
        </w:rPr>
        <w:t>0.34% of the patients undergoing upper gastrointestinal endoscopy</w:t>
      </w:r>
      <w:r w:rsidR="00866987">
        <w:rPr>
          <w:rFonts w:ascii="Book Antiqua" w:eastAsiaTheme="minorEastAsia" w:hAnsi="Book Antiqua" w:hint="eastAsia"/>
          <w:color w:val="auto"/>
          <w:vertAlign w:val="superscript"/>
        </w:rPr>
        <w:t>[1,2]</w:t>
      </w:r>
      <w:r w:rsidRPr="005D2C0B">
        <w:rPr>
          <w:rFonts w:ascii="Book Antiqua" w:hAnsi="Book Antiqua"/>
          <w:color w:val="auto"/>
        </w:rPr>
        <w:t>. The evolution and widespread of this exam contributed to the increase in smaller sized polyps early diagnosis</w:t>
      </w:r>
      <w:r w:rsidR="00866987">
        <w:rPr>
          <w:rFonts w:ascii="Book Antiqua" w:eastAsiaTheme="minorEastAsia" w:hAnsi="Book Antiqua" w:hint="eastAsia"/>
          <w:color w:val="auto"/>
          <w:vertAlign w:val="superscript"/>
        </w:rPr>
        <w:t>[3-5]</w:t>
      </w:r>
      <w:r w:rsidRPr="005D2C0B">
        <w:rPr>
          <w:rFonts w:ascii="Book Antiqua" w:hAnsi="Book Antiqua"/>
          <w:color w:val="auto"/>
        </w:rPr>
        <w:t>. Adenomas are the histologic subtype that constitutes the majority of the du</w:t>
      </w:r>
      <w:r w:rsidRPr="005D2C0B">
        <w:rPr>
          <w:rFonts w:ascii="Book Antiqua" w:hAnsi="Book Antiqua"/>
          <w:color w:val="auto"/>
        </w:rPr>
        <w:t>o</w:t>
      </w:r>
      <w:r w:rsidRPr="005D2C0B">
        <w:rPr>
          <w:rFonts w:ascii="Book Antiqua" w:hAnsi="Book Antiqua"/>
          <w:color w:val="auto"/>
        </w:rPr>
        <w:t>denal lesions that need resection</w:t>
      </w:r>
      <w:r w:rsidR="00866987">
        <w:rPr>
          <w:rFonts w:ascii="Book Antiqua" w:eastAsiaTheme="minorEastAsia" w:hAnsi="Book Antiqua" w:hint="eastAsia"/>
          <w:color w:val="auto"/>
          <w:vertAlign w:val="superscript"/>
        </w:rPr>
        <w:t>[2,6]</w:t>
      </w:r>
      <w:r w:rsidRPr="005D2C0B">
        <w:rPr>
          <w:rFonts w:ascii="Book Antiqua" w:hAnsi="Book Antiqua"/>
          <w:color w:val="auto"/>
        </w:rPr>
        <w:t>. For this reason, they must be disti</w:t>
      </w:r>
      <w:r w:rsidRPr="005D2C0B">
        <w:rPr>
          <w:rFonts w:ascii="Book Antiqua" w:hAnsi="Book Antiqua"/>
          <w:color w:val="auto"/>
        </w:rPr>
        <w:t>n</w:t>
      </w:r>
      <w:r w:rsidRPr="005D2C0B">
        <w:rPr>
          <w:rFonts w:ascii="Book Antiqua" w:hAnsi="Book Antiqua"/>
          <w:color w:val="auto"/>
        </w:rPr>
        <w:t>guished from non-adenomatous polyps, namely the ones that originate in the mucosa (gastric metaplasia) or submucosa (carcinoid tumors, leiomyomas, lipomas, inflammatory fibroid polyps and gastrointestinal stromal tumors), hamartomatous polyps (Brunner glands hyperplasia and Peutz-Jegher polyps, among others), and metastatic polyps</w:t>
      </w:r>
      <w:r w:rsidR="00866987">
        <w:rPr>
          <w:rFonts w:ascii="Book Antiqua" w:eastAsiaTheme="minorEastAsia" w:hAnsi="Book Antiqua" w:hint="eastAsia"/>
          <w:color w:val="auto"/>
          <w:vertAlign w:val="superscript"/>
        </w:rPr>
        <w:t>[1,5,6]</w:t>
      </w:r>
      <w:r w:rsidRPr="005D2C0B">
        <w:rPr>
          <w:rFonts w:ascii="Book Antiqua" w:hAnsi="Book Antiqua"/>
          <w:color w:val="auto"/>
        </w:rPr>
        <w:t>. One of the goals of the treatment, common to all duodenal adenomas, is the elimination of the tumoral progre</w:t>
      </w:r>
      <w:r w:rsidRPr="005D2C0B">
        <w:rPr>
          <w:rFonts w:ascii="Book Antiqua" w:hAnsi="Book Antiqua"/>
          <w:color w:val="auto"/>
        </w:rPr>
        <w:t>s</w:t>
      </w:r>
      <w:r w:rsidRPr="005D2C0B">
        <w:rPr>
          <w:rFonts w:ascii="Book Antiqua" w:hAnsi="Book Antiqua"/>
          <w:color w:val="auto"/>
        </w:rPr>
        <w:t>sion risk, which correlates with the size of the lesion and is similar to that of colorectal adenomas</w:t>
      </w:r>
      <w:r w:rsidR="00FC1F35">
        <w:rPr>
          <w:rFonts w:ascii="Book Antiqua" w:eastAsiaTheme="minorEastAsia" w:hAnsi="Book Antiqua" w:hint="eastAsia"/>
          <w:color w:val="auto"/>
          <w:vertAlign w:val="superscript"/>
        </w:rPr>
        <w:t>[6,7]</w:t>
      </w:r>
      <w:r w:rsidRPr="005D2C0B">
        <w:rPr>
          <w:rFonts w:ascii="Book Antiqua" w:hAnsi="Book Antiqua"/>
          <w:color w:val="auto"/>
        </w:rPr>
        <w:t>.</w:t>
      </w:r>
    </w:p>
    <w:p w14:paraId="683FC095" w14:textId="78184961" w:rsidR="00792914" w:rsidRPr="005D2C0B" w:rsidRDefault="00514CDD" w:rsidP="00866987">
      <w:pPr>
        <w:pStyle w:val="BodyA"/>
        <w:spacing w:line="360" w:lineRule="auto"/>
        <w:ind w:firstLineChars="100" w:firstLine="240"/>
        <w:jc w:val="both"/>
        <w:rPr>
          <w:rFonts w:ascii="Book Antiqua" w:eastAsia="Book Antiqua" w:hAnsi="Book Antiqua" w:cs="Book Antiqua"/>
          <w:color w:val="auto"/>
        </w:rPr>
      </w:pPr>
      <w:r w:rsidRPr="005D2C0B">
        <w:rPr>
          <w:rFonts w:ascii="Book Antiqua" w:hAnsi="Book Antiqua"/>
          <w:color w:val="auto"/>
        </w:rPr>
        <w:t>These lesions are classified, according to its location, in ampullary (if they involve the duodenal bulb major - ampulla of Vater - or minor) or not ampu</w:t>
      </w:r>
      <w:r w:rsidRPr="005D2C0B">
        <w:rPr>
          <w:rFonts w:ascii="Book Antiqua" w:hAnsi="Book Antiqua"/>
          <w:color w:val="auto"/>
        </w:rPr>
        <w:t>l</w:t>
      </w:r>
      <w:r w:rsidRPr="005D2C0B">
        <w:rPr>
          <w:rFonts w:ascii="Book Antiqua" w:hAnsi="Book Antiqua"/>
          <w:color w:val="auto"/>
        </w:rPr>
        <w:t>lary. In both circumstances, they may occur as part of a genetic syndrome a</w:t>
      </w:r>
      <w:r w:rsidRPr="005D2C0B">
        <w:rPr>
          <w:rFonts w:ascii="Book Antiqua" w:hAnsi="Book Antiqua"/>
          <w:color w:val="auto"/>
        </w:rPr>
        <w:t>s</w:t>
      </w:r>
      <w:r w:rsidRPr="005D2C0B">
        <w:rPr>
          <w:rFonts w:ascii="Book Antiqua" w:hAnsi="Book Antiqua"/>
          <w:color w:val="auto"/>
        </w:rPr>
        <w:t>sociated with the development of polyps, as the Familial Polyposis Syndrome (FAP), or sporadically</w:t>
      </w:r>
      <w:r w:rsidR="00866987">
        <w:rPr>
          <w:rFonts w:ascii="Book Antiqua" w:eastAsiaTheme="minorEastAsia" w:hAnsi="Book Antiqua" w:hint="eastAsia"/>
          <w:color w:val="auto"/>
          <w:vertAlign w:val="superscript"/>
        </w:rPr>
        <w:t>[8,9]</w:t>
      </w:r>
      <w:r w:rsidRPr="005D2C0B">
        <w:rPr>
          <w:rFonts w:ascii="Book Antiqua" w:hAnsi="Book Antiqua"/>
          <w:color w:val="auto"/>
        </w:rPr>
        <w:t>.</w:t>
      </w:r>
    </w:p>
    <w:p w14:paraId="70CBFF46" w14:textId="07B46BBC" w:rsidR="00792914" w:rsidRPr="005D2C0B" w:rsidRDefault="00514CDD" w:rsidP="00866987">
      <w:pPr>
        <w:pStyle w:val="BodyA"/>
        <w:spacing w:line="360" w:lineRule="auto"/>
        <w:ind w:firstLineChars="100" w:firstLine="240"/>
        <w:jc w:val="both"/>
        <w:rPr>
          <w:rFonts w:ascii="Book Antiqua" w:eastAsia="Book Antiqua" w:hAnsi="Book Antiqua" w:cs="Book Antiqua"/>
          <w:color w:val="auto"/>
        </w:rPr>
      </w:pPr>
      <w:r w:rsidRPr="005D2C0B">
        <w:rPr>
          <w:rFonts w:ascii="Book Antiqua" w:hAnsi="Book Antiqua"/>
          <w:color w:val="auto"/>
        </w:rPr>
        <w:t>Sporadic nonampullary adenomatous polyps have similar incidence in both sexes and are mostly diagnosed accidentally between the sixth and eighth decades of life</w:t>
      </w:r>
      <w:r w:rsidR="00866987">
        <w:rPr>
          <w:rFonts w:ascii="Book Antiqua" w:eastAsiaTheme="minorEastAsia" w:hAnsi="Book Antiqua" w:hint="eastAsia"/>
          <w:color w:val="auto"/>
          <w:vertAlign w:val="superscript"/>
        </w:rPr>
        <w:t>[5,6]</w:t>
      </w:r>
      <w:r w:rsidRPr="005D2C0B">
        <w:rPr>
          <w:rFonts w:ascii="Book Antiqua" w:hAnsi="Book Antiqua"/>
          <w:color w:val="auto"/>
        </w:rPr>
        <w:t>. Typically, these lesions are solitary, with sessile or flat morphology, more than 10 mm, located in the second portion of the duod</w:t>
      </w:r>
      <w:r w:rsidRPr="005D2C0B">
        <w:rPr>
          <w:rFonts w:ascii="Book Antiqua" w:hAnsi="Book Antiqua"/>
          <w:color w:val="auto"/>
        </w:rPr>
        <w:t>e</w:t>
      </w:r>
      <w:r w:rsidRPr="005D2C0B">
        <w:rPr>
          <w:rFonts w:ascii="Book Antiqua" w:hAnsi="Book Antiqua"/>
          <w:color w:val="auto"/>
        </w:rPr>
        <w:t>num and asymptomatic</w:t>
      </w:r>
      <w:r w:rsidR="00866987">
        <w:rPr>
          <w:rFonts w:ascii="Book Antiqua" w:eastAsiaTheme="minorEastAsia" w:hAnsi="Book Antiqua" w:hint="eastAsia"/>
          <w:color w:val="auto"/>
          <w:vertAlign w:val="superscript"/>
        </w:rPr>
        <w:t>[9-14]</w:t>
      </w:r>
      <w:r w:rsidRPr="005D2C0B">
        <w:rPr>
          <w:rFonts w:ascii="Book Antiqua" w:hAnsi="Book Antiqua"/>
          <w:color w:val="auto"/>
        </w:rPr>
        <w:t>. However, depending on their size, location and histological characteristics, they can cause dyspepsia, abdominal pain, blee</w:t>
      </w:r>
      <w:r w:rsidRPr="005D2C0B">
        <w:rPr>
          <w:rFonts w:ascii="Book Antiqua" w:hAnsi="Book Antiqua"/>
          <w:color w:val="auto"/>
        </w:rPr>
        <w:t>d</w:t>
      </w:r>
      <w:r w:rsidRPr="005D2C0B">
        <w:rPr>
          <w:rFonts w:ascii="Book Antiqua" w:hAnsi="Book Antiqua"/>
          <w:color w:val="auto"/>
        </w:rPr>
        <w:t>ing and bowel obstruction</w:t>
      </w:r>
      <w:r w:rsidR="00866987">
        <w:rPr>
          <w:rFonts w:ascii="Book Antiqua" w:eastAsiaTheme="minorEastAsia" w:hAnsi="Book Antiqua" w:hint="eastAsia"/>
          <w:color w:val="auto"/>
          <w:vertAlign w:val="superscript"/>
        </w:rPr>
        <w:t>[5]</w:t>
      </w:r>
      <w:r w:rsidRPr="005D2C0B">
        <w:rPr>
          <w:rFonts w:ascii="Book Antiqua" w:hAnsi="Book Antiqua"/>
          <w:color w:val="auto"/>
        </w:rPr>
        <w:t>.</w:t>
      </w:r>
    </w:p>
    <w:p w14:paraId="5D0D16E4" w14:textId="4871D0EF" w:rsidR="00792914" w:rsidRPr="005D2C0B" w:rsidRDefault="00514CDD" w:rsidP="00866987">
      <w:pPr>
        <w:pStyle w:val="BodyA"/>
        <w:spacing w:line="360" w:lineRule="auto"/>
        <w:ind w:firstLineChars="100" w:firstLine="240"/>
        <w:jc w:val="both"/>
        <w:rPr>
          <w:rFonts w:ascii="Book Antiqua" w:eastAsia="Book Antiqua" w:hAnsi="Book Antiqua" w:cs="Book Antiqua"/>
          <w:color w:val="auto"/>
        </w:rPr>
      </w:pPr>
      <w:r w:rsidRPr="005D2C0B">
        <w:rPr>
          <w:rFonts w:ascii="Book Antiqua" w:hAnsi="Book Antiqua"/>
          <w:color w:val="auto"/>
        </w:rPr>
        <w:t>The traditional therapeutic approach for duodenal polyps is local surgical excision or radical surgery, respectively characterized by high rates of recu</w:t>
      </w:r>
      <w:r w:rsidRPr="005D2C0B">
        <w:rPr>
          <w:rFonts w:ascii="Book Antiqua" w:hAnsi="Book Antiqua"/>
          <w:color w:val="auto"/>
        </w:rPr>
        <w:t>r</w:t>
      </w:r>
      <w:r w:rsidRPr="005D2C0B">
        <w:rPr>
          <w:rFonts w:ascii="Book Antiqua" w:hAnsi="Book Antiqua"/>
          <w:color w:val="auto"/>
        </w:rPr>
        <w:t>rence and significant morbidity and mortality</w:t>
      </w:r>
      <w:r w:rsidR="00866987">
        <w:rPr>
          <w:rFonts w:ascii="Book Antiqua" w:eastAsiaTheme="minorEastAsia" w:hAnsi="Book Antiqua" w:hint="eastAsia"/>
          <w:color w:val="auto"/>
          <w:vertAlign w:val="superscript"/>
        </w:rPr>
        <w:t>[15,16]</w:t>
      </w:r>
      <w:r w:rsidRPr="005D2C0B">
        <w:rPr>
          <w:rFonts w:ascii="Book Antiqua" w:hAnsi="Book Antiqua"/>
          <w:color w:val="auto"/>
        </w:rPr>
        <w:t>. In 1973, Haubrich d</w:t>
      </w:r>
      <w:r w:rsidRPr="005D2C0B">
        <w:rPr>
          <w:rFonts w:ascii="Book Antiqua" w:hAnsi="Book Antiqua"/>
          <w:color w:val="auto"/>
        </w:rPr>
        <w:t>e</w:t>
      </w:r>
      <w:r w:rsidRPr="005D2C0B">
        <w:rPr>
          <w:rFonts w:ascii="Book Antiqua" w:hAnsi="Book Antiqua"/>
          <w:color w:val="auto"/>
        </w:rPr>
        <w:t>scribed the first endoscopic excision of a duodenal adenoma, which, since then, has been pointed out by several publications as a safe and effective a</w:t>
      </w:r>
      <w:r w:rsidRPr="005D2C0B">
        <w:rPr>
          <w:rFonts w:ascii="Book Antiqua" w:hAnsi="Book Antiqua"/>
          <w:color w:val="auto"/>
        </w:rPr>
        <w:t>l</w:t>
      </w:r>
      <w:r w:rsidRPr="005D2C0B">
        <w:rPr>
          <w:rFonts w:ascii="Book Antiqua" w:hAnsi="Book Antiqua"/>
          <w:color w:val="auto"/>
        </w:rPr>
        <w:t>ternative to surgery</w:t>
      </w:r>
      <w:r w:rsidR="00866987">
        <w:rPr>
          <w:rFonts w:ascii="Book Antiqua" w:eastAsiaTheme="minorEastAsia" w:hAnsi="Book Antiqua" w:hint="eastAsia"/>
          <w:color w:val="auto"/>
          <w:vertAlign w:val="superscript"/>
        </w:rPr>
        <w:t>[3,4,10,11,17-19]</w:t>
      </w:r>
      <w:r w:rsidRPr="005D2C0B">
        <w:rPr>
          <w:rFonts w:ascii="Book Antiqua" w:hAnsi="Book Antiqua"/>
          <w:color w:val="auto"/>
        </w:rPr>
        <w:t>. In a retrospective analysis of 62 patients with duodenal nonampullary polyps, the morbidity of the surgical therapy was significantly superior to the one of t</w:t>
      </w:r>
      <w:r w:rsidR="00866987">
        <w:rPr>
          <w:rFonts w:ascii="Book Antiqua" w:hAnsi="Book Antiqua"/>
          <w:color w:val="auto"/>
        </w:rPr>
        <w:t xml:space="preserve">he endoscopic resection (33% </w:t>
      </w:r>
      <w:r w:rsidR="00866987" w:rsidRPr="00866987">
        <w:rPr>
          <w:rFonts w:ascii="Book Antiqua" w:hAnsi="Book Antiqua"/>
          <w:i/>
          <w:color w:val="auto"/>
        </w:rPr>
        <w:t>vs</w:t>
      </w:r>
      <w:r w:rsidRPr="005D2C0B">
        <w:rPr>
          <w:rFonts w:ascii="Book Antiqua" w:hAnsi="Book Antiqua"/>
          <w:color w:val="auto"/>
        </w:rPr>
        <w:t xml:space="preserve"> 2%)</w:t>
      </w:r>
      <w:r w:rsidR="00866987">
        <w:rPr>
          <w:rFonts w:ascii="Book Antiqua" w:eastAsiaTheme="minorEastAsia" w:hAnsi="Book Antiqua" w:hint="eastAsia"/>
          <w:color w:val="auto"/>
          <w:vertAlign w:val="superscript"/>
        </w:rPr>
        <w:t>[20]</w:t>
      </w:r>
      <w:r w:rsidRPr="005D2C0B">
        <w:rPr>
          <w:rFonts w:ascii="Book Antiqua" w:hAnsi="Book Antiqua"/>
          <w:color w:val="auto"/>
        </w:rPr>
        <w:t>.</w:t>
      </w:r>
    </w:p>
    <w:p w14:paraId="5A340969" w14:textId="1DF56D50" w:rsidR="00792914" w:rsidRPr="005D2C0B" w:rsidRDefault="00514CDD" w:rsidP="00866987">
      <w:pPr>
        <w:pStyle w:val="BodyA"/>
        <w:spacing w:line="360" w:lineRule="auto"/>
        <w:ind w:firstLineChars="100" w:firstLine="240"/>
        <w:jc w:val="both"/>
        <w:rPr>
          <w:rFonts w:ascii="Book Antiqua" w:eastAsia="Book Antiqua" w:hAnsi="Book Antiqua" w:cs="Book Antiqua"/>
          <w:color w:val="auto"/>
        </w:rPr>
      </w:pPr>
      <w:r w:rsidRPr="005D2C0B">
        <w:rPr>
          <w:rFonts w:ascii="Book Antiqua" w:hAnsi="Book Antiqua"/>
          <w:color w:val="auto"/>
        </w:rPr>
        <w:t>The use of endoscopic techniques in the duodenum is still controversial, since it represents a diagnostic and technical challenge</w:t>
      </w:r>
      <w:r w:rsidR="00866987">
        <w:rPr>
          <w:rFonts w:ascii="Book Antiqua" w:eastAsiaTheme="minorEastAsia" w:hAnsi="Book Antiqua" w:hint="eastAsia"/>
          <w:color w:val="auto"/>
          <w:vertAlign w:val="superscript"/>
        </w:rPr>
        <w:t>[3,6]</w:t>
      </w:r>
      <w:r w:rsidRPr="005D2C0B">
        <w:rPr>
          <w:rFonts w:ascii="Book Antiqua" w:hAnsi="Book Antiqua"/>
          <w:color w:val="auto"/>
        </w:rPr>
        <w:t>. The duodenum has several peculiarities that make the endoscopic resection complications risk higher than the one described elsewhere in the gastrointestinal tract</w:t>
      </w:r>
      <w:r w:rsidR="00866987">
        <w:rPr>
          <w:rFonts w:ascii="Book Antiqua" w:eastAsiaTheme="minorEastAsia" w:hAnsi="Book Antiqua" w:hint="eastAsia"/>
          <w:color w:val="auto"/>
          <w:vertAlign w:val="superscript"/>
        </w:rPr>
        <w:t>[21]</w:t>
      </w:r>
      <w:r w:rsidRPr="005D2C0B">
        <w:rPr>
          <w:rFonts w:ascii="Book Antiqua" w:hAnsi="Book Antiqua"/>
          <w:color w:val="auto"/>
        </w:rPr>
        <w:t>. I</w:t>
      </w:r>
      <w:r w:rsidRPr="005D2C0B">
        <w:rPr>
          <w:rFonts w:ascii="Book Antiqua" w:hAnsi="Book Antiqua"/>
          <w:color w:val="auto"/>
        </w:rPr>
        <w:t>n</w:t>
      </w:r>
      <w:r w:rsidRPr="005D2C0B">
        <w:rPr>
          <w:rFonts w:ascii="Book Antiqua" w:hAnsi="Book Antiqua"/>
          <w:color w:val="auto"/>
        </w:rPr>
        <w:t>deed, its narrow lumen and retroperitoneal fixation hampers the maintenance of an adequate vision field during the procedure</w:t>
      </w:r>
      <w:r w:rsidR="00866987">
        <w:rPr>
          <w:rFonts w:ascii="Book Antiqua" w:eastAsiaTheme="minorEastAsia" w:hAnsi="Book Antiqua" w:hint="eastAsia"/>
          <w:color w:val="auto"/>
          <w:vertAlign w:val="superscript"/>
        </w:rPr>
        <w:t>[22]</w:t>
      </w:r>
      <w:r w:rsidRPr="005D2C0B">
        <w:rPr>
          <w:rFonts w:ascii="Book Antiqua" w:hAnsi="Book Antiqua"/>
          <w:color w:val="auto"/>
        </w:rPr>
        <w:t>. On the other hand, this organ has the thinnest wall of the digestive tract and shows a thick fibrous submucosa, even in a non-pathological situation, which can limit the protr</w:t>
      </w:r>
      <w:r w:rsidRPr="005D2C0B">
        <w:rPr>
          <w:rFonts w:ascii="Book Antiqua" w:hAnsi="Book Antiqua"/>
          <w:color w:val="auto"/>
        </w:rPr>
        <w:t>u</w:t>
      </w:r>
      <w:r w:rsidRPr="005D2C0B">
        <w:rPr>
          <w:rFonts w:ascii="Book Antiqua" w:hAnsi="Book Antiqua"/>
          <w:color w:val="auto"/>
        </w:rPr>
        <w:t>sion of the mucosa achieved by the submucosal saline injection</w:t>
      </w:r>
      <w:r w:rsidR="00866987">
        <w:rPr>
          <w:rFonts w:ascii="Book Antiqua" w:eastAsiaTheme="minorEastAsia" w:hAnsi="Book Antiqua" w:hint="eastAsia"/>
          <w:color w:val="auto"/>
          <w:vertAlign w:val="superscript"/>
        </w:rPr>
        <w:t>[22]</w:t>
      </w:r>
      <w:r w:rsidRPr="005D2C0B">
        <w:rPr>
          <w:rFonts w:ascii="Book Antiqua" w:hAnsi="Book Antiqua"/>
          <w:color w:val="auto"/>
        </w:rPr>
        <w:t>.</w:t>
      </w:r>
    </w:p>
    <w:p w14:paraId="1959E028" w14:textId="1499D06C" w:rsidR="00792914" w:rsidRPr="005D2C0B" w:rsidRDefault="00514CDD" w:rsidP="00866987">
      <w:pPr>
        <w:pStyle w:val="BodyA"/>
        <w:spacing w:line="360" w:lineRule="auto"/>
        <w:ind w:firstLineChars="100" w:firstLine="240"/>
        <w:jc w:val="both"/>
        <w:rPr>
          <w:rFonts w:ascii="Book Antiqua" w:eastAsia="Book Antiqua" w:hAnsi="Book Antiqua" w:cs="Book Antiqua"/>
          <w:color w:val="auto"/>
        </w:rPr>
      </w:pPr>
      <w:r w:rsidRPr="005D2C0B">
        <w:rPr>
          <w:rFonts w:ascii="Book Antiqua" w:hAnsi="Book Antiqua"/>
          <w:color w:val="auto"/>
        </w:rPr>
        <w:t>The scientific evidence of the risks and benefits of the endoscopic treatment and its long-term outcomes in the resection of nonampullary polyps, both sporadic and associated with genetic syndromes, is limited</w:t>
      </w:r>
      <w:r w:rsidR="00866987">
        <w:rPr>
          <w:rFonts w:ascii="Book Antiqua" w:eastAsiaTheme="minorEastAsia" w:hAnsi="Book Antiqua" w:hint="eastAsia"/>
          <w:color w:val="auto"/>
          <w:vertAlign w:val="superscript"/>
        </w:rPr>
        <w:t>[23,24]</w:t>
      </w:r>
      <w:r w:rsidRPr="005D2C0B">
        <w:rPr>
          <w:rFonts w:ascii="Book Antiqua" w:hAnsi="Book Antiqua"/>
          <w:color w:val="auto"/>
        </w:rPr>
        <w:t>. This reality contributes, along with the fact that this type of lesions is infrequent and has a natural history and clinical importance that is not fully understood, to the a</w:t>
      </w:r>
      <w:r w:rsidRPr="005D2C0B">
        <w:rPr>
          <w:rFonts w:ascii="Book Antiqua" w:hAnsi="Book Antiqua"/>
          <w:color w:val="auto"/>
        </w:rPr>
        <w:t>b</w:t>
      </w:r>
      <w:r w:rsidRPr="005D2C0B">
        <w:rPr>
          <w:rFonts w:ascii="Book Antiqua" w:hAnsi="Book Antiqua"/>
          <w:color w:val="auto"/>
        </w:rPr>
        <w:t>sence of a specific set of criteria for clinical guidance</w:t>
      </w:r>
      <w:r w:rsidR="00866987">
        <w:rPr>
          <w:rFonts w:ascii="Book Antiqua" w:eastAsiaTheme="minorEastAsia" w:hAnsi="Book Antiqua" w:hint="eastAsia"/>
          <w:color w:val="auto"/>
          <w:vertAlign w:val="superscript"/>
        </w:rPr>
        <w:t>[5,24,25]</w:t>
      </w:r>
      <w:r w:rsidRPr="005D2C0B">
        <w:rPr>
          <w:rFonts w:ascii="Book Antiqua" w:hAnsi="Book Antiqua"/>
          <w:color w:val="auto"/>
        </w:rPr>
        <w:t>. Consequently, the therapeutic strategies are usually considered taking into account the patient's condition, the characteristics of the lesion and the experience of who performs the endoscopic technique</w:t>
      </w:r>
      <w:r w:rsidR="00866987">
        <w:rPr>
          <w:rFonts w:ascii="Book Antiqua" w:eastAsiaTheme="minorEastAsia" w:hAnsi="Book Antiqua" w:hint="eastAsia"/>
          <w:color w:val="auto"/>
          <w:vertAlign w:val="superscript"/>
        </w:rPr>
        <w:t>[5,7,24]</w:t>
      </w:r>
      <w:r w:rsidRPr="005D2C0B">
        <w:rPr>
          <w:rFonts w:ascii="Book Antiqua" w:hAnsi="Book Antiqua"/>
          <w:color w:val="auto"/>
        </w:rPr>
        <w:t>.</w:t>
      </w:r>
    </w:p>
    <w:p w14:paraId="27F91E4C" w14:textId="31A074EF" w:rsidR="00732892" w:rsidRPr="005D2C0B" w:rsidRDefault="00514CDD" w:rsidP="00866987">
      <w:pPr>
        <w:pStyle w:val="BodyA"/>
        <w:spacing w:line="360" w:lineRule="auto"/>
        <w:ind w:firstLineChars="100" w:firstLine="240"/>
        <w:jc w:val="both"/>
        <w:rPr>
          <w:rFonts w:ascii="Book Antiqua" w:hAnsi="Book Antiqua"/>
          <w:color w:val="auto"/>
        </w:rPr>
      </w:pPr>
      <w:r w:rsidRPr="005D2C0B">
        <w:rPr>
          <w:rFonts w:ascii="Book Antiqua" w:hAnsi="Book Antiqua"/>
          <w:color w:val="auto"/>
        </w:rPr>
        <w:t>In 2010, a review published by the National Institute of Clinical Excellence (NICE) highlighted the lack of published material that addressed this topic</w:t>
      </w:r>
      <w:r w:rsidR="00866987">
        <w:rPr>
          <w:rFonts w:ascii="Book Antiqua" w:eastAsiaTheme="minorEastAsia" w:hAnsi="Book Antiqua" w:hint="eastAsia"/>
          <w:color w:val="auto"/>
          <w:vertAlign w:val="superscript"/>
        </w:rPr>
        <w:t>[23]</w:t>
      </w:r>
      <w:r w:rsidRPr="005D2C0B">
        <w:rPr>
          <w:rFonts w:ascii="Book Antiqua" w:hAnsi="Book Antiqua"/>
          <w:color w:val="auto"/>
        </w:rPr>
        <w:t>. Although the number of clinical trials has increased since then, the best treatment of nonampullary adenomas remains subject of discussion</w:t>
      </w:r>
      <w:r w:rsidR="00866987">
        <w:rPr>
          <w:rFonts w:ascii="Book Antiqua" w:eastAsiaTheme="minorEastAsia" w:hAnsi="Book Antiqua" w:hint="eastAsia"/>
          <w:color w:val="auto"/>
          <w:vertAlign w:val="superscript"/>
        </w:rPr>
        <w:t>[9]</w:t>
      </w:r>
      <w:r w:rsidRPr="005D2C0B">
        <w:rPr>
          <w:rFonts w:ascii="Book Antiqua" w:hAnsi="Book Antiqua"/>
          <w:color w:val="auto"/>
        </w:rPr>
        <w:t>. The purpose of this work is to review the scientific literature regarding endoscopic resection of sporadic duodenal nonampullary adenomatous polyps, hig</w:t>
      </w:r>
      <w:r w:rsidRPr="005D2C0B">
        <w:rPr>
          <w:rFonts w:ascii="Book Antiqua" w:hAnsi="Book Antiqua"/>
          <w:color w:val="auto"/>
        </w:rPr>
        <w:t>h</w:t>
      </w:r>
      <w:r w:rsidRPr="005D2C0B">
        <w:rPr>
          <w:rFonts w:ascii="Book Antiqua" w:hAnsi="Book Antiqua"/>
          <w:color w:val="auto"/>
        </w:rPr>
        <w:t>lighting the benefits and drawbacks of EMR and ESD based on the analysis of different outcomes obtained with their practice.</w:t>
      </w:r>
    </w:p>
    <w:p w14:paraId="39490083" w14:textId="2CEBAA3A" w:rsidR="00792914" w:rsidRPr="00866987" w:rsidRDefault="00514CDD" w:rsidP="00A9024E">
      <w:pPr>
        <w:pStyle w:val="BodyA"/>
        <w:spacing w:line="360" w:lineRule="auto"/>
        <w:jc w:val="both"/>
        <w:rPr>
          <w:rFonts w:ascii="Book Antiqua" w:eastAsia="Book Antiqua" w:hAnsi="Book Antiqua" w:cs="Book Antiqua"/>
          <w:b/>
          <w:color w:val="auto"/>
        </w:rPr>
      </w:pPr>
      <w:r w:rsidRPr="005D2C0B">
        <w:rPr>
          <w:rFonts w:ascii="Book Antiqua" w:eastAsia="Book Antiqua" w:hAnsi="Book Antiqua" w:cs="Book Antiqua"/>
          <w:color w:val="auto"/>
        </w:rPr>
        <w:br/>
      </w:r>
      <w:r w:rsidRPr="00866987">
        <w:rPr>
          <w:rFonts w:ascii="Book Antiqua" w:hAnsi="Book Antiqua"/>
          <w:b/>
          <w:color w:val="auto"/>
        </w:rPr>
        <w:t>INITIAL ASSESSMENT</w:t>
      </w:r>
    </w:p>
    <w:p w14:paraId="2934C8D9" w14:textId="2437A895" w:rsidR="00792914" w:rsidRPr="005D2C0B" w:rsidRDefault="00514CDD" w:rsidP="00A9024E">
      <w:pPr>
        <w:pStyle w:val="BodyA"/>
        <w:spacing w:line="360" w:lineRule="auto"/>
        <w:jc w:val="both"/>
        <w:rPr>
          <w:rFonts w:ascii="Book Antiqua" w:eastAsia="Book Antiqua" w:hAnsi="Book Antiqua" w:cs="Book Antiqua"/>
          <w:color w:val="auto"/>
        </w:rPr>
      </w:pPr>
      <w:r w:rsidRPr="005D2C0B">
        <w:rPr>
          <w:rFonts w:ascii="Book Antiqua" w:hAnsi="Book Antiqua"/>
          <w:color w:val="auto"/>
        </w:rPr>
        <w:t>Before endoscopic resection, it is essential to characterize the size of the polyp, duodenal folds and lumen extension involve</w:t>
      </w:r>
      <w:bookmarkStart w:id="4" w:name="_GoBack"/>
      <w:bookmarkEnd w:id="4"/>
      <w:r w:rsidRPr="005D2C0B">
        <w:rPr>
          <w:rFonts w:ascii="Book Antiqua" w:hAnsi="Book Antiqua"/>
          <w:color w:val="auto"/>
        </w:rPr>
        <w:t>ment</w:t>
      </w:r>
      <w:r w:rsidR="00866987">
        <w:rPr>
          <w:rFonts w:ascii="Book Antiqua" w:eastAsiaTheme="minorEastAsia" w:hAnsi="Book Antiqua" w:hint="eastAsia"/>
          <w:color w:val="auto"/>
          <w:vertAlign w:val="superscript"/>
        </w:rPr>
        <w:t>[6]</w:t>
      </w:r>
      <w:r w:rsidRPr="005D2C0B">
        <w:rPr>
          <w:rFonts w:ascii="Book Antiqua" w:hAnsi="Book Antiqua"/>
          <w:color w:val="auto"/>
        </w:rPr>
        <w:t>. It should be ensured that it doesn’t involve the ampulla of Vater (which would imply a different dia</w:t>
      </w:r>
      <w:r w:rsidRPr="005D2C0B">
        <w:rPr>
          <w:rFonts w:ascii="Book Antiqua" w:hAnsi="Book Antiqua"/>
          <w:color w:val="auto"/>
        </w:rPr>
        <w:t>g</w:t>
      </w:r>
      <w:r w:rsidRPr="005D2C0B">
        <w:rPr>
          <w:rFonts w:ascii="Book Antiqua" w:hAnsi="Book Antiqua"/>
          <w:color w:val="auto"/>
        </w:rPr>
        <w:t>nostic and therapeutic approach) with a side-viewing endoscope or with e</w:t>
      </w:r>
      <w:r w:rsidRPr="005D2C0B">
        <w:rPr>
          <w:rFonts w:ascii="Book Antiqua" w:hAnsi="Book Antiqua"/>
          <w:color w:val="auto"/>
        </w:rPr>
        <w:t>n</w:t>
      </w:r>
      <w:r w:rsidRPr="005D2C0B">
        <w:rPr>
          <w:rFonts w:ascii="Book Antiqua" w:hAnsi="Book Antiqua"/>
          <w:color w:val="auto"/>
        </w:rPr>
        <w:t>doscopic ultrasound</w:t>
      </w:r>
      <w:r w:rsidR="00866987">
        <w:rPr>
          <w:rFonts w:ascii="Book Antiqua" w:eastAsiaTheme="minorEastAsia" w:hAnsi="Book Antiqua" w:hint="eastAsia"/>
          <w:color w:val="auto"/>
          <w:vertAlign w:val="superscript"/>
        </w:rPr>
        <w:t>[5,6,25]</w:t>
      </w:r>
      <w:r w:rsidRPr="005D2C0B">
        <w:rPr>
          <w:rFonts w:ascii="Book Antiqua" w:hAnsi="Book Antiqua"/>
          <w:color w:val="auto"/>
        </w:rPr>
        <w:t>.</w:t>
      </w:r>
    </w:p>
    <w:p w14:paraId="6909F583" w14:textId="202DA6F8" w:rsidR="00792914" w:rsidRPr="005D2C0B" w:rsidRDefault="00514CDD" w:rsidP="00866987">
      <w:pPr>
        <w:pStyle w:val="BodyA"/>
        <w:spacing w:line="360" w:lineRule="auto"/>
        <w:ind w:firstLineChars="100" w:firstLine="240"/>
        <w:jc w:val="both"/>
        <w:rPr>
          <w:rFonts w:ascii="Book Antiqua" w:eastAsia="Book Antiqua" w:hAnsi="Book Antiqua" w:cs="Book Antiqua"/>
          <w:color w:val="auto"/>
        </w:rPr>
      </w:pPr>
      <w:r w:rsidRPr="005D2C0B">
        <w:rPr>
          <w:rFonts w:ascii="Book Antiqua" w:hAnsi="Book Antiqua"/>
          <w:color w:val="auto"/>
        </w:rPr>
        <w:t>The endoscopic appearance of duodenal adenomas cannot always disti</w:t>
      </w:r>
      <w:r w:rsidRPr="005D2C0B">
        <w:rPr>
          <w:rFonts w:ascii="Book Antiqua" w:hAnsi="Book Antiqua"/>
          <w:color w:val="auto"/>
        </w:rPr>
        <w:t>n</w:t>
      </w:r>
      <w:r w:rsidRPr="005D2C0B">
        <w:rPr>
          <w:rFonts w:ascii="Book Antiqua" w:hAnsi="Book Antiqua"/>
          <w:color w:val="auto"/>
        </w:rPr>
        <w:t>guish them safely from non-adenomatous polyps and thus, all lesions consi</w:t>
      </w:r>
      <w:r w:rsidRPr="005D2C0B">
        <w:rPr>
          <w:rFonts w:ascii="Book Antiqua" w:hAnsi="Book Antiqua"/>
          <w:color w:val="auto"/>
        </w:rPr>
        <w:t>d</w:t>
      </w:r>
      <w:r w:rsidRPr="005D2C0B">
        <w:rPr>
          <w:rFonts w:ascii="Book Antiqua" w:hAnsi="Book Antiqua"/>
          <w:color w:val="auto"/>
        </w:rPr>
        <w:t>ered suspicious should be biopsied</w:t>
      </w:r>
      <w:r w:rsidR="00866987">
        <w:rPr>
          <w:rFonts w:ascii="Book Antiqua" w:eastAsiaTheme="minorEastAsia" w:hAnsi="Book Antiqua" w:hint="eastAsia"/>
          <w:color w:val="auto"/>
          <w:vertAlign w:val="superscript"/>
        </w:rPr>
        <w:t>[25]</w:t>
      </w:r>
      <w:r w:rsidRPr="005D2C0B">
        <w:rPr>
          <w:rFonts w:ascii="Book Antiqua" w:hAnsi="Book Antiqua"/>
          <w:color w:val="auto"/>
        </w:rPr>
        <w:t>. It is also important to determine the resectability of the lesion and detect any signs that suggest submucosal inv</w:t>
      </w:r>
      <w:r w:rsidRPr="005D2C0B">
        <w:rPr>
          <w:rFonts w:ascii="Book Antiqua" w:hAnsi="Book Antiqua"/>
          <w:color w:val="auto"/>
        </w:rPr>
        <w:t>a</w:t>
      </w:r>
      <w:r w:rsidRPr="005D2C0B">
        <w:rPr>
          <w:rFonts w:ascii="Book Antiqua" w:hAnsi="Book Antiqua"/>
          <w:color w:val="auto"/>
        </w:rPr>
        <w:t>sion, and that influence the treatment, such as tumors with depression (IIc in the Paris Classification), type V pit pattern classification described by Kudo, presence of bleeding, induration, ulceration or irregularities on the surface of the polyp and non-lifting sign after submucosal saline injection</w:t>
      </w:r>
      <w:r w:rsidR="00866987">
        <w:rPr>
          <w:rFonts w:ascii="Book Antiqua" w:eastAsiaTheme="minorEastAsia" w:hAnsi="Book Antiqua" w:hint="eastAsia"/>
          <w:color w:val="auto"/>
          <w:vertAlign w:val="superscript"/>
        </w:rPr>
        <w:t>[5,6,26,27]</w:t>
      </w:r>
      <w:r w:rsidRPr="005D2C0B">
        <w:rPr>
          <w:rFonts w:ascii="Book Antiqua" w:hAnsi="Book Antiqua"/>
          <w:color w:val="auto"/>
        </w:rPr>
        <w:t>.</w:t>
      </w:r>
    </w:p>
    <w:p w14:paraId="3E1C83C6" w14:textId="6801512C" w:rsidR="00792914" w:rsidRPr="005D2C0B" w:rsidRDefault="00514CDD" w:rsidP="00866987">
      <w:pPr>
        <w:pStyle w:val="BodyA"/>
        <w:spacing w:line="360" w:lineRule="auto"/>
        <w:ind w:firstLineChars="100" w:firstLine="240"/>
        <w:jc w:val="both"/>
        <w:rPr>
          <w:rFonts w:ascii="Book Antiqua" w:eastAsia="Book Antiqua" w:hAnsi="Book Antiqua" w:cs="Book Antiqua"/>
          <w:color w:val="auto"/>
        </w:rPr>
      </w:pPr>
      <w:r w:rsidRPr="005D2C0B">
        <w:rPr>
          <w:rFonts w:ascii="Book Antiqua" w:hAnsi="Book Antiqua"/>
          <w:color w:val="auto"/>
        </w:rPr>
        <w:t>The exact role of endoscopic ultrasound in the evaluation of nonampullary adenomas remains uncertain</w:t>
      </w:r>
      <w:r w:rsidR="00866987">
        <w:rPr>
          <w:rFonts w:ascii="Book Antiqua" w:eastAsiaTheme="minorEastAsia" w:hAnsi="Book Antiqua" w:hint="eastAsia"/>
          <w:color w:val="auto"/>
          <w:vertAlign w:val="superscript"/>
        </w:rPr>
        <w:t>[24]</w:t>
      </w:r>
      <w:r w:rsidRPr="005D2C0B">
        <w:rPr>
          <w:rFonts w:ascii="Book Antiqua" w:hAnsi="Book Antiqua"/>
          <w:color w:val="auto"/>
        </w:rPr>
        <w:t>. When it’s impossible to establish the rel</w:t>
      </w:r>
      <w:r w:rsidRPr="005D2C0B">
        <w:rPr>
          <w:rFonts w:ascii="Book Antiqua" w:hAnsi="Book Antiqua"/>
          <w:color w:val="auto"/>
        </w:rPr>
        <w:t>a</w:t>
      </w:r>
      <w:r w:rsidRPr="005D2C0B">
        <w:rPr>
          <w:rFonts w:ascii="Book Antiqua" w:hAnsi="Book Antiqua"/>
          <w:color w:val="auto"/>
        </w:rPr>
        <w:t>tionship of the polyp with the pancreaticobiliary tree with a forward and side-viewing endoscopy, endoscopic ultrasound is an alternative technique, obv</w:t>
      </w:r>
      <w:r w:rsidRPr="005D2C0B">
        <w:rPr>
          <w:rFonts w:ascii="Book Antiqua" w:hAnsi="Book Antiqua"/>
          <w:color w:val="auto"/>
        </w:rPr>
        <w:t>i</w:t>
      </w:r>
      <w:r w:rsidRPr="005D2C0B">
        <w:rPr>
          <w:rFonts w:ascii="Book Antiqua" w:hAnsi="Book Antiqua"/>
          <w:color w:val="auto"/>
        </w:rPr>
        <w:t>ating the need of an endoscopic retrograde cholangiopancreatography</w:t>
      </w:r>
      <w:r w:rsidR="00866987">
        <w:rPr>
          <w:rFonts w:ascii="Book Antiqua" w:eastAsiaTheme="minorEastAsia" w:hAnsi="Book Antiqua" w:hint="eastAsia"/>
          <w:color w:val="auto"/>
          <w:vertAlign w:val="superscript"/>
        </w:rPr>
        <w:t>[5]</w:t>
      </w:r>
      <w:r w:rsidRPr="005D2C0B">
        <w:rPr>
          <w:rFonts w:ascii="Book Antiqua" w:hAnsi="Book Antiqua"/>
          <w:color w:val="auto"/>
        </w:rPr>
        <w:t>. Some researchers advocate its use in the evaluation of the depth of duodenal polyps larger than 20 mm</w:t>
      </w:r>
      <w:r w:rsidR="00866987">
        <w:rPr>
          <w:rFonts w:ascii="Book Antiqua" w:eastAsiaTheme="minorEastAsia" w:hAnsi="Book Antiqua" w:hint="eastAsia"/>
          <w:color w:val="auto"/>
          <w:vertAlign w:val="superscript"/>
        </w:rPr>
        <w:t>[7,24]</w:t>
      </w:r>
      <w:r w:rsidRPr="005D2C0B">
        <w:rPr>
          <w:rFonts w:ascii="Book Antiqua" w:hAnsi="Book Antiqua"/>
          <w:color w:val="auto"/>
        </w:rPr>
        <w:t>. However, according to Al-Kawas, the routinely use of endoscopic ultrasound, apart from not bringing great benefit, would have a considerable cost</w:t>
      </w:r>
      <w:r w:rsidR="00866987">
        <w:rPr>
          <w:rFonts w:ascii="Book Antiqua" w:eastAsiaTheme="minorEastAsia" w:hAnsi="Book Antiqua" w:hint="eastAsia"/>
          <w:color w:val="auto"/>
          <w:vertAlign w:val="superscript"/>
        </w:rPr>
        <w:t>[7]</w:t>
      </w:r>
      <w:r w:rsidRPr="005D2C0B">
        <w:rPr>
          <w:rFonts w:ascii="Book Antiqua" w:hAnsi="Book Antiqua"/>
          <w:color w:val="auto"/>
        </w:rPr>
        <w:t>.</w:t>
      </w:r>
    </w:p>
    <w:p w14:paraId="66F80CF5" w14:textId="0942960A" w:rsidR="00792914" w:rsidRPr="005D2C0B" w:rsidRDefault="00514CDD" w:rsidP="00866987">
      <w:pPr>
        <w:pStyle w:val="BodyA"/>
        <w:spacing w:line="360" w:lineRule="auto"/>
        <w:ind w:firstLineChars="100" w:firstLine="240"/>
        <w:jc w:val="both"/>
        <w:rPr>
          <w:rFonts w:ascii="Book Antiqua" w:eastAsia="Book Antiqua" w:hAnsi="Book Antiqua" w:cs="Book Antiqua"/>
          <w:color w:val="auto"/>
        </w:rPr>
      </w:pPr>
      <w:r w:rsidRPr="005D2C0B">
        <w:rPr>
          <w:rFonts w:ascii="Book Antiqua" w:hAnsi="Book Antiqua"/>
          <w:color w:val="auto"/>
        </w:rPr>
        <w:t>Newer techniques such as magnification endoscopy, endoscopy with na</w:t>
      </w:r>
      <w:r w:rsidRPr="005D2C0B">
        <w:rPr>
          <w:rFonts w:ascii="Book Antiqua" w:hAnsi="Book Antiqua"/>
          <w:color w:val="auto"/>
        </w:rPr>
        <w:t>r</w:t>
      </w:r>
      <w:r w:rsidRPr="005D2C0B">
        <w:rPr>
          <w:rFonts w:ascii="Book Antiqua" w:hAnsi="Book Antiqua"/>
          <w:color w:val="auto"/>
        </w:rPr>
        <w:t>rowbanding imaging or chromoendoscopy (with a non absorbable dye such as indigo carmine) allow better delineation of the margins of the lesion and can be used in the initial evaluation of duodenal adenomas, potentially redu</w:t>
      </w:r>
      <w:r w:rsidRPr="005D2C0B">
        <w:rPr>
          <w:rFonts w:ascii="Book Antiqua" w:hAnsi="Book Antiqua"/>
          <w:color w:val="auto"/>
        </w:rPr>
        <w:t>c</w:t>
      </w:r>
      <w:r w:rsidRPr="005D2C0B">
        <w:rPr>
          <w:rFonts w:ascii="Book Antiqua" w:hAnsi="Book Antiqua"/>
          <w:color w:val="auto"/>
        </w:rPr>
        <w:t>ing incomplete resection rates</w:t>
      </w:r>
      <w:r w:rsidR="00866987">
        <w:rPr>
          <w:rFonts w:ascii="Book Antiqua" w:eastAsiaTheme="minorEastAsia" w:hAnsi="Book Antiqua" w:hint="eastAsia"/>
          <w:color w:val="auto"/>
          <w:vertAlign w:val="superscript"/>
        </w:rPr>
        <w:t>[6,21]</w:t>
      </w:r>
      <w:r w:rsidRPr="005D2C0B">
        <w:rPr>
          <w:rFonts w:ascii="Book Antiqua" w:hAnsi="Book Antiqua"/>
          <w:color w:val="auto"/>
        </w:rPr>
        <w:t>. Although there is little information regar</w:t>
      </w:r>
      <w:r w:rsidRPr="005D2C0B">
        <w:rPr>
          <w:rFonts w:ascii="Book Antiqua" w:hAnsi="Book Antiqua"/>
          <w:color w:val="auto"/>
        </w:rPr>
        <w:t>d</w:t>
      </w:r>
      <w:r w:rsidRPr="005D2C0B">
        <w:rPr>
          <w:rFonts w:ascii="Book Antiqua" w:hAnsi="Book Antiqua"/>
          <w:color w:val="auto"/>
        </w:rPr>
        <w:t>ing the use of magnification chromoendoscopy in the duodenum, this tec</w:t>
      </w:r>
      <w:r w:rsidRPr="005D2C0B">
        <w:rPr>
          <w:rFonts w:ascii="Book Antiqua" w:hAnsi="Book Antiqua"/>
          <w:color w:val="auto"/>
        </w:rPr>
        <w:t>h</w:t>
      </w:r>
      <w:r w:rsidRPr="005D2C0B">
        <w:rPr>
          <w:rFonts w:ascii="Book Antiqua" w:hAnsi="Book Antiqua"/>
          <w:color w:val="auto"/>
        </w:rPr>
        <w:t>nique showed a reduction of local</w:t>
      </w:r>
      <w:r w:rsidR="00866987">
        <w:rPr>
          <w:rFonts w:ascii="Book Antiqua" w:hAnsi="Book Antiqua"/>
          <w:color w:val="auto"/>
        </w:rPr>
        <w:t xml:space="preserve"> neoplastic recurrence from 8.7</w:t>
      </w:r>
      <w:r w:rsidRPr="005D2C0B">
        <w:rPr>
          <w:rFonts w:ascii="Book Antiqua" w:hAnsi="Book Antiqua"/>
          <w:color w:val="auto"/>
        </w:rPr>
        <w:t>% to</w:t>
      </w:r>
      <w:r w:rsidR="00866987">
        <w:rPr>
          <w:rFonts w:ascii="Book Antiqua" w:hAnsi="Book Antiqua"/>
          <w:color w:val="auto"/>
        </w:rPr>
        <w:t xml:space="preserve"> 0.5</w:t>
      </w:r>
      <w:r w:rsidRPr="005D2C0B">
        <w:rPr>
          <w:rFonts w:ascii="Book Antiqua" w:hAnsi="Book Antiqua"/>
          <w:color w:val="auto"/>
        </w:rPr>
        <w:t>% when associated with EMR of flat colonic lesions bigger than 2 cm</w:t>
      </w:r>
      <w:r w:rsidR="00866987">
        <w:rPr>
          <w:rFonts w:ascii="Book Antiqua" w:eastAsiaTheme="minorEastAsia" w:hAnsi="Book Antiqua" w:hint="eastAsia"/>
          <w:color w:val="auto"/>
          <w:vertAlign w:val="superscript"/>
        </w:rPr>
        <w:t>[28]</w:t>
      </w:r>
      <w:r w:rsidRPr="005D2C0B">
        <w:rPr>
          <w:rFonts w:ascii="Book Antiqua" w:hAnsi="Book Antiqua"/>
          <w:color w:val="auto"/>
        </w:rPr>
        <w:t xml:space="preserve">. Shinoda </w:t>
      </w:r>
      <w:r w:rsidRPr="005D2C0B">
        <w:rPr>
          <w:rFonts w:ascii="Book Antiqua" w:hAnsi="Book Antiqua"/>
          <w:i/>
          <w:iCs/>
          <w:color w:val="auto"/>
        </w:rPr>
        <w:t>et al</w:t>
      </w:r>
      <w:r w:rsidR="00866987">
        <w:rPr>
          <w:rFonts w:ascii="Book Antiqua" w:eastAsiaTheme="minorEastAsia" w:hAnsi="Book Antiqua" w:hint="eastAsia"/>
          <w:color w:val="auto"/>
          <w:vertAlign w:val="superscript"/>
        </w:rPr>
        <w:t>[29]</w:t>
      </w:r>
      <w:r w:rsidRPr="005D2C0B">
        <w:rPr>
          <w:rFonts w:ascii="Book Antiqua" w:hAnsi="Book Antiqua"/>
          <w:color w:val="auto"/>
        </w:rPr>
        <w:t xml:space="preserve"> found that magnification endoscopy with narrowbanding imaging or indigo carmine is more accurate than endoscopic ultrasound in the evaluation of the gastric and oesophageal mucosal cancer depth. Future research will be essential for the determination of these techniques’ role in the duodenum </w:t>
      </w:r>
      <w:r w:rsidRPr="005D2C0B">
        <w:rPr>
          <w:rFonts w:ascii="Book Antiqua" w:hAnsi="Book Antiqua"/>
          <w:color w:val="auto"/>
          <w:vertAlign w:val="superscript"/>
        </w:rPr>
        <w:t>13</w:t>
      </w:r>
      <w:r w:rsidRPr="005D2C0B">
        <w:rPr>
          <w:rFonts w:ascii="Book Antiqua" w:hAnsi="Book Antiqua"/>
          <w:color w:val="auto"/>
        </w:rPr>
        <w:t>.</w:t>
      </w:r>
    </w:p>
    <w:p w14:paraId="47D24D9F" w14:textId="77777777" w:rsidR="00792914" w:rsidRPr="00866987" w:rsidRDefault="00792914" w:rsidP="00A9024E">
      <w:pPr>
        <w:pStyle w:val="BodyA"/>
        <w:spacing w:line="360" w:lineRule="auto"/>
        <w:jc w:val="both"/>
        <w:rPr>
          <w:rFonts w:ascii="Book Antiqua" w:eastAsiaTheme="minorEastAsia" w:hAnsi="Book Antiqua" w:cs="Book Antiqua"/>
          <w:color w:val="auto"/>
        </w:rPr>
      </w:pPr>
    </w:p>
    <w:p w14:paraId="01058BAD" w14:textId="62D430B6" w:rsidR="00792914" w:rsidRPr="00866987" w:rsidRDefault="00514CDD" w:rsidP="00A9024E">
      <w:pPr>
        <w:pStyle w:val="BodyA"/>
        <w:spacing w:line="360" w:lineRule="auto"/>
        <w:jc w:val="both"/>
        <w:rPr>
          <w:rFonts w:ascii="Book Antiqua" w:eastAsiaTheme="minorEastAsia" w:hAnsi="Book Antiqua" w:cs="Book Antiqua"/>
          <w:b/>
          <w:color w:val="auto"/>
        </w:rPr>
      </w:pPr>
      <w:r w:rsidRPr="00866987">
        <w:rPr>
          <w:rFonts w:ascii="Book Antiqua" w:hAnsi="Book Antiqua"/>
          <w:b/>
          <w:color w:val="auto"/>
        </w:rPr>
        <w:t>EMR</w:t>
      </w:r>
    </w:p>
    <w:p w14:paraId="4CCC1E20" w14:textId="741C7B7F" w:rsidR="00792914" w:rsidRPr="005D2C0B" w:rsidRDefault="00514CDD" w:rsidP="00A9024E">
      <w:pPr>
        <w:pStyle w:val="BodyA"/>
        <w:spacing w:line="360" w:lineRule="auto"/>
        <w:jc w:val="both"/>
        <w:rPr>
          <w:rFonts w:ascii="Book Antiqua" w:eastAsia="Book Antiqua" w:hAnsi="Book Antiqua" w:cs="Book Antiqua"/>
          <w:color w:val="auto"/>
        </w:rPr>
      </w:pPr>
      <w:r w:rsidRPr="005D2C0B">
        <w:rPr>
          <w:rFonts w:ascii="Book Antiqua" w:hAnsi="Book Antiqua"/>
          <w:color w:val="auto"/>
        </w:rPr>
        <w:t>This technique was developed to remove sessile or flat tumors that are co</w:t>
      </w:r>
      <w:r w:rsidRPr="005D2C0B">
        <w:rPr>
          <w:rFonts w:ascii="Book Antiqua" w:hAnsi="Book Antiqua"/>
          <w:color w:val="auto"/>
        </w:rPr>
        <w:t>n</w:t>
      </w:r>
      <w:r w:rsidRPr="005D2C0B">
        <w:rPr>
          <w:rFonts w:ascii="Book Antiqua" w:hAnsi="Book Antiqua"/>
          <w:color w:val="auto"/>
        </w:rPr>
        <w:t xml:space="preserve">fined to the superficial layers (mucosa and submucosa) of the GI tract wall. Classically, it’s used for </w:t>
      </w:r>
      <w:r w:rsidRPr="00866987">
        <w:rPr>
          <w:rFonts w:ascii="Book Antiqua" w:hAnsi="Book Antiqua"/>
          <w:i/>
          <w:color w:val="auto"/>
        </w:rPr>
        <w:t>en bloc</w:t>
      </w:r>
      <w:r w:rsidRPr="005D2C0B">
        <w:rPr>
          <w:rFonts w:ascii="Book Antiqua" w:hAnsi="Book Antiqua"/>
          <w:color w:val="auto"/>
        </w:rPr>
        <w:t xml:space="preserve"> or piecemeal resection, if the diameter is less or more than 2 cm, respectively</w:t>
      </w:r>
      <w:r w:rsidR="00866987">
        <w:rPr>
          <w:rFonts w:ascii="Book Antiqua" w:eastAsiaTheme="minorEastAsia" w:hAnsi="Book Antiqua" w:hint="eastAsia"/>
          <w:color w:val="auto"/>
          <w:vertAlign w:val="superscript"/>
        </w:rPr>
        <w:t>[30]</w:t>
      </w:r>
      <w:r w:rsidRPr="005D2C0B">
        <w:rPr>
          <w:rFonts w:ascii="Book Antiqua" w:hAnsi="Book Antiqua"/>
          <w:color w:val="auto"/>
        </w:rPr>
        <w:t>. The lesion is initially elevated by the injection of a saline substance into the submucosa that causes its protrusion into the duodenal lumen. Depending on the size of the polyp, the volume of injected solution can vary between 5 and 50 m</w:t>
      </w:r>
      <w:r w:rsidR="00866987" w:rsidRPr="005D2C0B">
        <w:rPr>
          <w:rFonts w:ascii="Book Antiqua" w:hAnsi="Book Antiqua"/>
          <w:color w:val="auto"/>
        </w:rPr>
        <w:t>L</w:t>
      </w:r>
      <w:r w:rsidRPr="005D2C0B">
        <w:rPr>
          <w:rFonts w:ascii="Book Antiqua" w:hAnsi="Book Antiqua"/>
          <w:color w:val="auto"/>
        </w:rPr>
        <w:t>, and it may be necessary to repeat this procedure if the cushion created by the injected fluid dissipates before the r</w:t>
      </w:r>
      <w:r w:rsidRPr="005D2C0B">
        <w:rPr>
          <w:rFonts w:ascii="Book Antiqua" w:hAnsi="Book Antiqua"/>
          <w:color w:val="auto"/>
        </w:rPr>
        <w:t>e</w:t>
      </w:r>
      <w:r w:rsidRPr="005D2C0B">
        <w:rPr>
          <w:rFonts w:ascii="Book Antiqua" w:hAnsi="Book Antiqua"/>
          <w:color w:val="auto"/>
        </w:rPr>
        <w:t>section is complete</w:t>
      </w:r>
      <w:r w:rsidR="00866987">
        <w:rPr>
          <w:rFonts w:ascii="Book Antiqua" w:eastAsiaTheme="minorEastAsia" w:hAnsi="Book Antiqua" w:hint="eastAsia"/>
          <w:color w:val="auto"/>
          <w:vertAlign w:val="superscript"/>
        </w:rPr>
        <w:t>[30]</w:t>
      </w:r>
      <w:r w:rsidRPr="005D2C0B">
        <w:rPr>
          <w:rFonts w:ascii="Book Antiqua" w:hAnsi="Book Antiqua"/>
          <w:color w:val="auto"/>
        </w:rPr>
        <w:t>. There are several solutions currently available, but is</w:t>
      </w:r>
      <w:r w:rsidRPr="005D2C0B">
        <w:rPr>
          <w:rFonts w:ascii="Book Antiqua" w:hAnsi="Book Antiqua"/>
          <w:color w:val="auto"/>
        </w:rPr>
        <w:t>o</w:t>
      </w:r>
      <w:r w:rsidRPr="005D2C0B">
        <w:rPr>
          <w:rFonts w:ascii="Book Antiqua" w:hAnsi="Book Antiqua"/>
          <w:color w:val="auto"/>
        </w:rPr>
        <w:t>tonic saline (0.9% NaCl) is the most frequently used</w:t>
      </w:r>
      <w:r w:rsidR="00866987">
        <w:rPr>
          <w:rFonts w:ascii="Book Antiqua" w:eastAsiaTheme="minorEastAsia" w:hAnsi="Book Antiqua" w:hint="eastAsia"/>
          <w:color w:val="auto"/>
          <w:vertAlign w:val="superscript"/>
        </w:rPr>
        <w:t>[30]</w:t>
      </w:r>
      <w:r w:rsidRPr="005D2C0B">
        <w:rPr>
          <w:rFonts w:ascii="Book Antiqua" w:hAnsi="Book Antiqua"/>
          <w:color w:val="auto"/>
        </w:rPr>
        <w:t>. However, scientific evidence suggests that hypertonic solutions originate a better and longer-lasting elevation</w:t>
      </w:r>
      <w:r w:rsidR="00866987">
        <w:rPr>
          <w:rFonts w:ascii="Book Antiqua" w:eastAsiaTheme="minorEastAsia" w:hAnsi="Book Antiqua" w:hint="eastAsia"/>
          <w:color w:val="auto"/>
          <w:vertAlign w:val="superscript"/>
        </w:rPr>
        <w:t>[6,31]</w:t>
      </w:r>
      <w:r w:rsidRPr="005D2C0B">
        <w:rPr>
          <w:rFonts w:ascii="Book Antiqua" w:hAnsi="Book Antiqua"/>
          <w:color w:val="auto"/>
        </w:rPr>
        <w:t>. This procedure allows the isolation of the mucosa i</w:t>
      </w:r>
      <w:r w:rsidRPr="005D2C0B">
        <w:rPr>
          <w:rFonts w:ascii="Book Antiqua" w:hAnsi="Book Antiqua"/>
          <w:color w:val="auto"/>
        </w:rPr>
        <w:t>n</w:t>
      </w:r>
      <w:r w:rsidRPr="005D2C0B">
        <w:rPr>
          <w:rFonts w:ascii="Book Antiqua" w:hAnsi="Book Antiqua"/>
          <w:color w:val="auto"/>
        </w:rPr>
        <w:t>volved, facilitating its resection with an endoscopic snare, and reduces the risk of thermal and mechanical injury of the deepest layers. The non-lifting sign enables the identification of polyps that are likely to have submucosal invasion, and that don’t usually have an indi</w:t>
      </w:r>
      <w:r w:rsidR="00866987">
        <w:rPr>
          <w:rFonts w:ascii="Book Antiqua" w:hAnsi="Book Antiqua"/>
          <w:color w:val="auto"/>
        </w:rPr>
        <w:t>cation for endoscopic trea</w:t>
      </w:r>
      <w:r w:rsidR="00866987">
        <w:rPr>
          <w:rFonts w:ascii="Book Antiqua" w:hAnsi="Book Antiqua"/>
          <w:color w:val="auto"/>
        </w:rPr>
        <w:t>t</w:t>
      </w:r>
      <w:r w:rsidR="00866987">
        <w:rPr>
          <w:rFonts w:ascii="Book Antiqua" w:hAnsi="Book Antiqua"/>
          <w:color w:val="auto"/>
        </w:rPr>
        <w:t>ment</w:t>
      </w:r>
      <w:r w:rsidR="00866987">
        <w:rPr>
          <w:rFonts w:ascii="Book Antiqua" w:eastAsiaTheme="minorEastAsia" w:hAnsi="Book Antiqua" w:hint="eastAsia"/>
          <w:color w:val="auto"/>
          <w:vertAlign w:val="superscript"/>
        </w:rPr>
        <w:t>[6,19,31]</w:t>
      </w:r>
      <w:r w:rsidRPr="005D2C0B">
        <w:rPr>
          <w:rFonts w:ascii="Book Antiqua" w:hAnsi="Book Antiqua"/>
          <w:color w:val="auto"/>
        </w:rPr>
        <w:t>. The inclusion of adrenaline in the injected solution reduces the haemorrhagic risk and provides better visibility</w:t>
      </w:r>
      <w:r w:rsidR="00866987">
        <w:rPr>
          <w:rFonts w:ascii="Book Antiqua" w:eastAsiaTheme="minorEastAsia" w:hAnsi="Book Antiqua" w:hint="eastAsia"/>
          <w:color w:val="auto"/>
          <w:vertAlign w:val="superscript"/>
        </w:rPr>
        <w:t>[6]</w:t>
      </w:r>
      <w:r w:rsidRPr="005D2C0B">
        <w:rPr>
          <w:rFonts w:ascii="Book Antiqua" w:hAnsi="Book Antiqua"/>
          <w:color w:val="auto"/>
        </w:rPr>
        <w:t>. As a diagnostic tool, and differently from ablative therapy, it holds an important role in obtaining samples for histological analysis</w:t>
      </w:r>
      <w:r w:rsidR="00866987">
        <w:rPr>
          <w:rFonts w:ascii="Book Antiqua" w:eastAsiaTheme="minorEastAsia" w:hAnsi="Book Antiqua" w:hint="eastAsia"/>
          <w:color w:val="auto"/>
          <w:vertAlign w:val="superscript"/>
        </w:rPr>
        <w:t>[31]</w:t>
      </w:r>
      <w:r w:rsidRPr="005D2C0B">
        <w:rPr>
          <w:rFonts w:ascii="Book Antiqua" w:hAnsi="Book Antiqua"/>
          <w:color w:val="auto"/>
        </w:rPr>
        <w:t>. When compared to snare or forceps pol</w:t>
      </w:r>
      <w:r w:rsidRPr="005D2C0B">
        <w:rPr>
          <w:rFonts w:ascii="Book Antiqua" w:hAnsi="Book Antiqua"/>
          <w:color w:val="auto"/>
        </w:rPr>
        <w:t>y</w:t>
      </w:r>
      <w:r w:rsidRPr="005D2C0B">
        <w:rPr>
          <w:rFonts w:ascii="Book Antiqua" w:hAnsi="Book Antiqua"/>
          <w:color w:val="auto"/>
        </w:rPr>
        <w:t>pectomy, EMR allows resection of a larger area, as well as access to deeper levels, through the excision of the medium or deep submucosal layer</w:t>
      </w:r>
      <w:r w:rsidR="00866987">
        <w:rPr>
          <w:rFonts w:ascii="Book Antiqua" w:eastAsiaTheme="minorEastAsia" w:hAnsi="Book Antiqua" w:hint="eastAsia"/>
          <w:color w:val="auto"/>
          <w:vertAlign w:val="superscript"/>
        </w:rPr>
        <w:t>[31]</w:t>
      </w:r>
      <w:r w:rsidRPr="005D2C0B">
        <w:rPr>
          <w:rFonts w:ascii="Book Antiqua" w:hAnsi="Book Antiqua"/>
          <w:color w:val="auto"/>
        </w:rPr>
        <w:t>. It thus facilitates histological assessment of the entire lesion and thereby ident</w:t>
      </w:r>
      <w:r w:rsidRPr="005D2C0B">
        <w:rPr>
          <w:rFonts w:ascii="Book Antiqua" w:hAnsi="Book Antiqua"/>
          <w:color w:val="auto"/>
        </w:rPr>
        <w:t>i</w:t>
      </w:r>
      <w:r w:rsidRPr="005D2C0B">
        <w:rPr>
          <w:rFonts w:ascii="Book Antiqua" w:hAnsi="Book Antiqua"/>
          <w:color w:val="auto"/>
        </w:rPr>
        <w:t>fies foci of malignancy that cannot be included in the surface sample obtained by forceps or snare biopsy</w:t>
      </w:r>
      <w:r w:rsidR="00866987">
        <w:rPr>
          <w:rFonts w:ascii="Book Antiqua" w:eastAsiaTheme="minorEastAsia" w:hAnsi="Book Antiqua" w:hint="eastAsia"/>
          <w:color w:val="auto"/>
          <w:vertAlign w:val="superscript"/>
        </w:rPr>
        <w:t>[18]</w:t>
      </w:r>
      <w:r w:rsidRPr="005D2C0B">
        <w:rPr>
          <w:rFonts w:ascii="Book Antiqua" w:hAnsi="Book Antiqua"/>
          <w:color w:val="auto"/>
          <w:vertAlign w:val="superscript"/>
        </w:rPr>
        <w:t xml:space="preserve"> </w:t>
      </w:r>
      <w:r w:rsidRPr="005D2C0B">
        <w:rPr>
          <w:rFonts w:ascii="Book Antiqua" w:hAnsi="Book Antiqua"/>
          <w:color w:val="auto"/>
        </w:rPr>
        <w:t>(Figure 1).</w:t>
      </w:r>
    </w:p>
    <w:p w14:paraId="6EBFD941" w14:textId="463A48D3" w:rsidR="00792914" w:rsidRPr="00866987" w:rsidRDefault="00514CDD" w:rsidP="00A9024E">
      <w:pPr>
        <w:pStyle w:val="BodyA"/>
        <w:spacing w:line="360" w:lineRule="auto"/>
        <w:jc w:val="both"/>
        <w:rPr>
          <w:rFonts w:ascii="Book Antiqua" w:eastAsiaTheme="minorEastAsia" w:hAnsi="Book Antiqua" w:cs="Book Antiqua"/>
          <w:b/>
          <w:i/>
          <w:color w:val="auto"/>
        </w:rPr>
      </w:pPr>
      <w:r w:rsidRPr="005D2C0B">
        <w:rPr>
          <w:rFonts w:ascii="Book Antiqua" w:eastAsia="Book Antiqua" w:hAnsi="Book Antiqua" w:cs="Book Antiqua"/>
          <w:color w:val="auto"/>
        </w:rPr>
        <w:br/>
      </w:r>
      <w:r w:rsidRPr="00866987">
        <w:rPr>
          <w:rFonts w:ascii="Book Antiqua" w:hAnsi="Book Antiqua"/>
          <w:b/>
          <w:i/>
          <w:color w:val="auto"/>
        </w:rPr>
        <w:t>E</w:t>
      </w:r>
      <w:r w:rsidR="00866987" w:rsidRPr="00866987">
        <w:rPr>
          <w:rFonts w:ascii="Book Antiqua" w:hAnsi="Book Antiqua"/>
          <w:b/>
          <w:i/>
          <w:color w:val="auto"/>
        </w:rPr>
        <w:t>fficacy</w:t>
      </w:r>
    </w:p>
    <w:p w14:paraId="50FE7930" w14:textId="4FEEAAB5" w:rsidR="00792914" w:rsidRPr="005D2C0B" w:rsidRDefault="00514CDD" w:rsidP="00A9024E">
      <w:pPr>
        <w:pStyle w:val="BodyA"/>
        <w:spacing w:line="360" w:lineRule="auto"/>
        <w:jc w:val="both"/>
        <w:rPr>
          <w:rFonts w:ascii="Book Antiqua" w:eastAsia="Book Antiqua" w:hAnsi="Book Antiqua" w:cs="Book Antiqua"/>
          <w:color w:val="auto"/>
        </w:rPr>
      </w:pPr>
      <w:r w:rsidRPr="005D2C0B">
        <w:rPr>
          <w:rFonts w:ascii="Book Antiqua" w:hAnsi="Book Antiqua"/>
          <w:color w:val="auto"/>
        </w:rPr>
        <w:t>The predominantly retrospective published clinical trials report an EMR complete resection rate of no</w:t>
      </w:r>
      <w:r w:rsidR="00866987">
        <w:rPr>
          <w:rFonts w:ascii="Book Antiqua" w:hAnsi="Book Antiqua"/>
          <w:color w:val="auto"/>
        </w:rPr>
        <w:t>nampullary adenomas of 79%-100%</w:t>
      </w:r>
      <w:r w:rsidR="00866987">
        <w:rPr>
          <w:rFonts w:ascii="Book Antiqua" w:eastAsiaTheme="minorEastAsia" w:hAnsi="Book Antiqua" w:hint="eastAsia"/>
          <w:color w:val="auto"/>
          <w:vertAlign w:val="superscript"/>
        </w:rPr>
        <w:t>[</w:t>
      </w:r>
      <w:r w:rsidRPr="005D2C0B">
        <w:rPr>
          <w:rFonts w:ascii="Book Antiqua" w:hAnsi="Book Antiqua"/>
          <w:color w:val="auto"/>
          <w:vertAlign w:val="superscript"/>
        </w:rPr>
        <w:t>4,10-14,18,19,32,33</w:t>
      </w:r>
      <w:r w:rsidR="00866987">
        <w:rPr>
          <w:rFonts w:ascii="Book Antiqua" w:eastAsiaTheme="minorEastAsia" w:hAnsi="Book Antiqua" w:hint="eastAsia"/>
          <w:color w:val="auto"/>
          <w:vertAlign w:val="superscript"/>
        </w:rPr>
        <w:t>]</w:t>
      </w:r>
      <w:r w:rsidRPr="005D2C0B">
        <w:rPr>
          <w:rFonts w:ascii="Book Antiqua" w:hAnsi="Book Antiqua"/>
          <w:color w:val="auto"/>
        </w:rPr>
        <w:t>. In the studies that indicate the type of resection, it appears that in 64% of the cases it was possible to remove the polyp</w:t>
      </w:r>
      <w:r w:rsidRPr="00E17111">
        <w:rPr>
          <w:rFonts w:ascii="Book Antiqua" w:hAnsi="Book Antiqua"/>
          <w:i/>
          <w:color w:val="auto"/>
        </w:rPr>
        <w:t xml:space="preserve"> en bloc</w:t>
      </w:r>
      <w:r w:rsidRPr="005D2C0B">
        <w:rPr>
          <w:rFonts w:ascii="Book Antiqua" w:hAnsi="Book Antiqua"/>
          <w:color w:val="auto"/>
        </w:rPr>
        <w:t>, having the r</w:t>
      </w:r>
      <w:r w:rsidRPr="005D2C0B">
        <w:rPr>
          <w:rFonts w:ascii="Book Antiqua" w:hAnsi="Book Antiqua"/>
          <w:color w:val="auto"/>
        </w:rPr>
        <w:t>e</w:t>
      </w:r>
      <w:r w:rsidRPr="005D2C0B">
        <w:rPr>
          <w:rFonts w:ascii="Book Antiqua" w:hAnsi="Book Antiqua"/>
          <w:color w:val="auto"/>
        </w:rPr>
        <w:t>maining been e</w:t>
      </w:r>
      <w:r w:rsidR="00866987">
        <w:rPr>
          <w:rFonts w:ascii="Book Antiqua" w:hAnsi="Book Antiqua"/>
          <w:color w:val="auto"/>
        </w:rPr>
        <w:t>xcised with piecemeal resection</w:t>
      </w:r>
      <w:r w:rsidR="00866987">
        <w:rPr>
          <w:rFonts w:ascii="Book Antiqua" w:eastAsiaTheme="minorEastAsia" w:hAnsi="Book Antiqua" w:hint="eastAsia"/>
          <w:color w:val="auto"/>
          <w:vertAlign w:val="superscript"/>
        </w:rPr>
        <w:t>[</w:t>
      </w:r>
      <w:r w:rsidRPr="005D2C0B">
        <w:rPr>
          <w:rFonts w:ascii="Book Antiqua" w:hAnsi="Book Antiqua"/>
          <w:color w:val="auto"/>
          <w:vertAlign w:val="superscript"/>
        </w:rPr>
        <w:t>4,10,12,13,18,32-35</w:t>
      </w:r>
      <w:r w:rsidR="00866987">
        <w:rPr>
          <w:rFonts w:ascii="Book Antiqua" w:eastAsiaTheme="minorEastAsia" w:hAnsi="Book Antiqua" w:hint="eastAsia"/>
          <w:color w:val="auto"/>
          <w:vertAlign w:val="superscript"/>
        </w:rPr>
        <w:t>]</w:t>
      </w:r>
      <w:r w:rsidRPr="005D2C0B">
        <w:rPr>
          <w:rFonts w:ascii="Book Antiqua" w:hAnsi="Book Antiqua"/>
          <w:color w:val="auto"/>
        </w:rPr>
        <w:t>. The latter is more frequent in lesions larger than 20 mm, hardly removed safely</w:t>
      </w:r>
      <w:r w:rsidRPr="00866987">
        <w:rPr>
          <w:rFonts w:ascii="Book Antiqua" w:hAnsi="Book Antiqua"/>
          <w:i/>
          <w:color w:val="auto"/>
        </w:rPr>
        <w:t xml:space="preserve"> en bloc</w:t>
      </w:r>
      <w:r w:rsidRPr="005D2C0B">
        <w:rPr>
          <w:rFonts w:ascii="Book Antiqua" w:hAnsi="Book Antiqua"/>
          <w:color w:val="auto"/>
        </w:rPr>
        <w:t>, and seems to be associated with higher rates of recurrence and residual l</w:t>
      </w:r>
      <w:r w:rsidRPr="005D2C0B">
        <w:rPr>
          <w:rFonts w:ascii="Book Antiqua" w:hAnsi="Book Antiqua"/>
          <w:color w:val="auto"/>
        </w:rPr>
        <w:t>e</w:t>
      </w:r>
      <w:r w:rsidRPr="005D2C0B">
        <w:rPr>
          <w:rFonts w:ascii="Book Antiqua" w:hAnsi="Book Antiqua"/>
          <w:color w:val="auto"/>
        </w:rPr>
        <w:t>sion</w:t>
      </w:r>
      <w:r w:rsidR="00866987">
        <w:rPr>
          <w:rFonts w:ascii="Book Antiqua" w:eastAsiaTheme="minorEastAsia" w:hAnsi="Book Antiqua" w:hint="eastAsia"/>
          <w:color w:val="auto"/>
          <w:vertAlign w:val="superscript"/>
        </w:rPr>
        <w:t>[</w:t>
      </w:r>
      <w:r w:rsidRPr="005D2C0B">
        <w:rPr>
          <w:rFonts w:ascii="Book Antiqua" w:hAnsi="Book Antiqua"/>
          <w:color w:val="auto"/>
          <w:vertAlign w:val="superscript"/>
        </w:rPr>
        <w:t>13,18,19,33</w:t>
      </w:r>
      <w:r w:rsidR="00866987">
        <w:rPr>
          <w:rFonts w:ascii="Book Antiqua" w:eastAsiaTheme="minorEastAsia" w:hAnsi="Book Antiqua" w:hint="eastAsia"/>
          <w:color w:val="auto"/>
          <w:vertAlign w:val="superscript"/>
        </w:rPr>
        <w:t>]</w:t>
      </w:r>
      <w:r w:rsidRPr="005D2C0B">
        <w:rPr>
          <w:rFonts w:ascii="Book Antiqua" w:hAnsi="Book Antiqua"/>
          <w:color w:val="auto"/>
        </w:rPr>
        <w:t>. The execution of the technique is a critical factor in minimizing these potential risks</w:t>
      </w:r>
      <w:r w:rsidR="00866987">
        <w:rPr>
          <w:rFonts w:ascii="Book Antiqua" w:eastAsiaTheme="minorEastAsia" w:hAnsi="Book Antiqua" w:hint="eastAsia"/>
          <w:color w:val="auto"/>
          <w:vertAlign w:val="superscript"/>
        </w:rPr>
        <w:t>[19]</w:t>
      </w:r>
      <w:r w:rsidRPr="005D2C0B">
        <w:rPr>
          <w:rFonts w:ascii="Book Antiqua" w:hAnsi="Book Antiqua"/>
          <w:color w:val="auto"/>
        </w:rPr>
        <w:t>.</w:t>
      </w:r>
    </w:p>
    <w:p w14:paraId="4D7C19E7" w14:textId="61AC3D41" w:rsidR="00792914" w:rsidRPr="005D2C0B" w:rsidRDefault="00514CDD" w:rsidP="00866987">
      <w:pPr>
        <w:pStyle w:val="BodyA"/>
        <w:spacing w:line="360" w:lineRule="auto"/>
        <w:ind w:firstLineChars="100" w:firstLine="240"/>
        <w:jc w:val="both"/>
        <w:rPr>
          <w:rFonts w:ascii="Book Antiqua" w:eastAsia="Book Antiqua" w:hAnsi="Book Antiqua" w:cs="Book Antiqua"/>
          <w:color w:val="auto"/>
        </w:rPr>
      </w:pPr>
      <w:r w:rsidRPr="005D2C0B">
        <w:rPr>
          <w:rFonts w:ascii="Book Antiqua" w:hAnsi="Book Antiqua"/>
          <w:color w:val="auto"/>
        </w:rPr>
        <w:t xml:space="preserve">Kedia </w:t>
      </w:r>
      <w:r w:rsidRPr="005D2C0B">
        <w:rPr>
          <w:rFonts w:ascii="Book Antiqua" w:hAnsi="Book Antiqua"/>
          <w:i/>
          <w:iCs/>
          <w:color w:val="auto"/>
        </w:rPr>
        <w:t>et al</w:t>
      </w:r>
      <w:r w:rsidR="00866987">
        <w:rPr>
          <w:rFonts w:ascii="Book Antiqua" w:eastAsiaTheme="minorEastAsia" w:hAnsi="Book Antiqua" w:hint="eastAsia"/>
          <w:color w:val="auto"/>
          <w:vertAlign w:val="superscript"/>
        </w:rPr>
        <w:t>[12]</w:t>
      </w:r>
      <w:r w:rsidRPr="005D2C0B">
        <w:rPr>
          <w:rFonts w:ascii="Book Antiqua" w:hAnsi="Book Antiqua"/>
          <w:color w:val="auto"/>
        </w:rPr>
        <w:t xml:space="preserve"> studied the relationship between the adenomatous polyp size, the extent of duodenal lumen involved, and the efficacy of EMR. He conclu</w:t>
      </w:r>
      <w:r w:rsidRPr="005D2C0B">
        <w:rPr>
          <w:rFonts w:ascii="Book Antiqua" w:hAnsi="Book Antiqua"/>
          <w:color w:val="auto"/>
        </w:rPr>
        <w:t>d</w:t>
      </w:r>
      <w:r w:rsidRPr="005D2C0B">
        <w:rPr>
          <w:rFonts w:ascii="Book Antiqua" w:hAnsi="Book Antiqua"/>
          <w:color w:val="auto"/>
        </w:rPr>
        <w:t>ed that although there is a significant association between the proportion of duodenal lumen involved and complete endoscopic resection, the same doesn’t happen between the latter and the size of the lesion. The complete r</w:t>
      </w:r>
      <w:r w:rsidRPr="005D2C0B">
        <w:rPr>
          <w:rFonts w:ascii="Book Antiqua" w:hAnsi="Book Antiqua"/>
          <w:color w:val="auto"/>
        </w:rPr>
        <w:t>e</w:t>
      </w:r>
      <w:r w:rsidRPr="005D2C0B">
        <w:rPr>
          <w:rFonts w:ascii="Book Antiqua" w:hAnsi="Book Antiqua"/>
          <w:color w:val="auto"/>
        </w:rPr>
        <w:t>section rate achieved in tumors involving less than one quarter of the luminal circum</w:t>
      </w:r>
      <w:r w:rsidR="00866987">
        <w:rPr>
          <w:rFonts w:ascii="Book Antiqua" w:hAnsi="Book Antiqua"/>
          <w:color w:val="auto"/>
        </w:rPr>
        <w:t>ference was 94.7%, compared to 45.5</w:t>
      </w:r>
      <w:r w:rsidRPr="005D2C0B">
        <w:rPr>
          <w:rFonts w:ascii="Book Antiqua" w:hAnsi="Book Antiqua"/>
          <w:color w:val="auto"/>
        </w:rPr>
        <w:t>% in those involving one quarter to half of the circumference. In lesions where more than half of the luminal circumference was involved no lesion was resected successfully. Thus, this author suggests that the strongest clinical predictor of a successful polyp exc</w:t>
      </w:r>
      <w:r w:rsidRPr="005D2C0B">
        <w:rPr>
          <w:rFonts w:ascii="Book Antiqua" w:hAnsi="Book Antiqua"/>
          <w:color w:val="auto"/>
        </w:rPr>
        <w:t>i</w:t>
      </w:r>
      <w:r w:rsidRPr="005D2C0B">
        <w:rPr>
          <w:rFonts w:ascii="Book Antiqua" w:hAnsi="Book Antiqua"/>
          <w:color w:val="auto"/>
        </w:rPr>
        <w:t>sion is the luminal extension that it involves. The American Society for Ga</w:t>
      </w:r>
      <w:r w:rsidRPr="005D2C0B">
        <w:rPr>
          <w:rFonts w:ascii="Book Antiqua" w:hAnsi="Book Antiqua"/>
          <w:color w:val="auto"/>
        </w:rPr>
        <w:t>s</w:t>
      </w:r>
      <w:r w:rsidRPr="005D2C0B">
        <w:rPr>
          <w:rFonts w:ascii="Book Antiqua" w:hAnsi="Book Antiqua"/>
          <w:color w:val="auto"/>
        </w:rPr>
        <w:t>trointestinal Endoscopy (ASGE) guidelines indicate that surgery should be considered in adenomas involving more than 33% of the circumference of the lumen</w:t>
      </w:r>
      <w:r w:rsidR="00866987">
        <w:rPr>
          <w:rFonts w:ascii="Book Antiqua" w:eastAsiaTheme="minorEastAsia" w:hAnsi="Book Antiqua" w:hint="eastAsia"/>
          <w:color w:val="auto"/>
          <w:vertAlign w:val="superscript"/>
        </w:rPr>
        <w:t>[24]</w:t>
      </w:r>
      <w:r w:rsidRPr="005D2C0B">
        <w:rPr>
          <w:rFonts w:ascii="Book Antiqua" w:hAnsi="Book Antiqua"/>
          <w:color w:val="auto"/>
        </w:rPr>
        <w:t>.</w:t>
      </w:r>
    </w:p>
    <w:p w14:paraId="2CFA893D" w14:textId="5E883AB0" w:rsidR="00792914" w:rsidRPr="005D2C0B" w:rsidRDefault="00514CDD" w:rsidP="00866987">
      <w:pPr>
        <w:pStyle w:val="BodyA"/>
        <w:spacing w:line="360" w:lineRule="auto"/>
        <w:ind w:firstLineChars="100" w:firstLine="240"/>
        <w:jc w:val="both"/>
        <w:rPr>
          <w:rFonts w:ascii="Book Antiqua" w:eastAsia="Book Antiqua" w:hAnsi="Book Antiqua" w:cs="Book Antiqua"/>
          <w:color w:val="auto"/>
        </w:rPr>
      </w:pPr>
      <w:r w:rsidRPr="005D2C0B">
        <w:rPr>
          <w:rFonts w:ascii="Book Antiqua" w:hAnsi="Book Antiqua"/>
          <w:color w:val="auto"/>
        </w:rPr>
        <w:t>In the studies that report the number of sessions required to achieve co</w:t>
      </w:r>
      <w:r w:rsidRPr="005D2C0B">
        <w:rPr>
          <w:rFonts w:ascii="Book Antiqua" w:hAnsi="Book Antiqua"/>
          <w:color w:val="auto"/>
        </w:rPr>
        <w:t>m</w:t>
      </w:r>
      <w:r w:rsidRPr="005D2C0B">
        <w:rPr>
          <w:rFonts w:ascii="Book Antiqua" w:hAnsi="Book Antiqua"/>
          <w:color w:val="auto"/>
        </w:rPr>
        <w:t>plete resection, 80% of the cases it wa</w:t>
      </w:r>
      <w:r w:rsidR="00866987">
        <w:rPr>
          <w:rFonts w:ascii="Book Antiqua" w:hAnsi="Book Antiqua"/>
          <w:color w:val="auto"/>
        </w:rPr>
        <w:t>s possible with one session, 17% with two sessions and only 3</w:t>
      </w:r>
      <w:r w:rsidRPr="005D2C0B">
        <w:rPr>
          <w:rFonts w:ascii="Book Antiqua" w:hAnsi="Book Antiqua"/>
          <w:color w:val="auto"/>
        </w:rPr>
        <w:t>% in three sessions</w:t>
      </w:r>
      <w:r w:rsidR="00866987">
        <w:rPr>
          <w:rFonts w:ascii="Book Antiqua" w:eastAsiaTheme="minorEastAsia" w:hAnsi="Book Antiqua" w:hint="eastAsia"/>
          <w:color w:val="auto"/>
          <w:vertAlign w:val="superscript"/>
        </w:rPr>
        <w:t>[6]</w:t>
      </w:r>
      <w:r w:rsidRPr="005D2C0B">
        <w:rPr>
          <w:rFonts w:ascii="Book Antiqua" w:hAnsi="Book Antiqua"/>
          <w:color w:val="auto"/>
        </w:rPr>
        <w:t>. In all situations, the purpose of who performs the EMR should be to remove the entire polyp in one session, without compromise of security</w:t>
      </w:r>
      <w:r w:rsidR="00866987">
        <w:rPr>
          <w:rFonts w:ascii="Book Antiqua" w:eastAsiaTheme="minorEastAsia" w:hAnsi="Book Antiqua" w:hint="eastAsia"/>
          <w:color w:val="auto"/>
          <w:vertAlign w:val="superscript"/>
        </w:rPr>
        <w:t>[21]</w:t>
      </w:r>
      <w:r w:rsidRPr="005D2C0B">
        <w:rPr>
          <w:rFonts w:ascii="Book Antiqua" w:hAnsi="Book Antiqua"/>
          <w:color w:val="auto"/>
        </w:rPr>
        <w:t>. Areas with residual adenoma and fibrosis are more difficult to resect during subsequent interventions, which are assoc</w:t>
      </w:r>
      <w:r w:rsidRPr="005D2C0B">
        <w:rPr>
          <w:rFonts w:ascii="Book Antiqua" w:hAnsi="Book Antiqua"/>
          <w:color w:val="auto"/>
        </w:rPr>
        <w:t>i</w:t>
      </w:r>
      <w:r w:rsidRPr="005D2C0B">
        <w:rPr>
          <w:rFonts w:ascii="Book Antiqua" w:hAnsi="Book Antiqua"/>
          <w:color w:val="auto"/>
        </w:rPr>
        <w:t>ated with increased risk of complications</w:t>
      </w:r>
      <w:r w:rsidR="00866987">
        <w:rPr>
          <w:rFonts w:ascii="Book Antiqua" w:eastAsiaTheme="minorEastAsia" w:hAnsi="Book Antiqua" w:hint="eastAsia"/>
          <w:color w:val="auto"/>
          <w:vertAlign w:val="superscript"/>
        </w:rPr>
        <w:t>[6,9,21]</w:t>
      </w:r>
      <w:r w:rsidRPr="005D2C0B">
        <w:rPr>
          <w:rFonts w:ascii="Book Antiqua" w:hAnsi="Book Antiqua"/>
          <w:color w:val="auto"/>
        </w:rPr>
        <w:t>.</w:t>
      </w:r>
    </w:p>
    <w:p w14:paraId="226FA63B" w14:textId="3CCB0482" w:rsidR="00792914" w:rsidRPr="005D2C0B" w:rsidRDefault="00514CDD" w:rsidP="00866987">
      <w:pPr>
        <w:pStyle w:val="BodyA"/>
        <w:spacing w:line="360" w:lineRule="auto"/>
        <w:ind w:firstLineChars="100" w:firstLine="240"/>
        <w:jc w:val="both"/>
        <w:rPr>
          <w:rFonts w:ascii="Book Antiqua" w:eastAsia="Book Antiqua" w:hAnsi="Book Antiqua" w:cs="Book Antiqua"/>
          <w:color w:val="auto"/>
        </w:rPr>
      </w:pPr>
      <w:r w:rsidRPr="005D2C0B">
        <w:rPr>
          <w:rFonts w:ascii="Book Antiqua" w:hAnsi="Book Antiqua"/>
          <w:color w:val="auto"/>
        </w:rPr>
        <w:t>The recurrence rate varies widely between 0% and 36%, and all described recurrent lesions were treated with polype</w:t>
      </w:r>
      <w:r w:rsidR="00866987">
        <w:rPr>
          <w:rFonts w:ascii="Book Antiqua" w:hAnsi="Book Antiqua"/>
          <w:color w:val="auto"/>
        </w:rPr>
        <w:t>ctomy snare or ablative ther</w:t>
      </w:r>
      <w:r w:rsidR="00866987">
        <w:rPr>
          <w:rFonts w:ascii="Book Antiqua" w:hAnsi="Book Antiqua"/>
          <w:color w:val="auto"/>
        </w:rPr>
        <w:t>a</w:t>
      </w:r>
      <w:r w:rsidR="00866987">
        <w:rPr>
          <w:rFonts w:ascii="Book Antiqua" w:hAnsi="Book Antiqua"/>
          <w:color w:val="auto"/>
        </w:rPr>
        <w:t>py</w:t>
      </w:r>
      <w:r w:rsidR="00866987" w:rsidRPr="00866987">
        <w:rPr>
          <w:rFonts w:ascii="Book Antiqua" w:eastAsiaTheme="minorEastAsia" w:hAnsi="Book Antiqua" w:hint="eastAsia"/>
          <w:color w:val="auto"/>
          <w:vertAlign w:val="superscript"/>
        </w:rPr>
        <w:t>[</w:t>
      </w:r>
      <w:r w:rsidRPr="005D2C0B">
        <w:rPr>
          <w:rFonts w:ascii="Book Antiqua" w:hAnsi="Book Antiqua"/>
          <w:color w:val="auto"/>
          <w:vertAlign w:val="superscript"/>
        </w:rPr>
        <w:t>6,9,13,18,19,36</w:t>
      </w:r>
      <w:r w:rsidR="00866987">
        <w:rPr>
          <w:rFonts w:ascii="Book Antiqua" w:eastAsiaTheme="minorEastAsia" w:hAnsi="Book Antiqua" w:hint="eastAsia"/>
          <w:color w:val="auto"/>
          <w:vertAlign w:val="superscript"/>
        </w:rPr>
        <w:t>]</w:t>
      </w:r>
      <w:r w:rsidRPr="005D2C0B">
        <w:rPr>
          <w:rFonts w:ascii="Book Antiqua" w:hAnsi="Book Antiqua"/>
          <w:color w:val="auto"/>
        </w:rPr>
        <w:t>. This high rate reinforces the need of a detailed resection of all adenomatous tissue, possibly with use of adjuvant therapy, and a rigorous follow-up period, especially in larger adenomas or with piecem</w:t>
      </w:r>
      <w:r w:rsidR="00866987">
        <w:rPr>
          <w:rFonts w:ascii="Book Antiqua" w:hAnsi="Book Antiqua"/>
          <w:color w:val="auto"/>
        </w:rPr>
        <w:t>eal rese</w:t>
      </w:r>
      <w:r w:rsidR="00866987">
        <w:rPr>
          <w:rFonts w:ascii="Book Antiqua" w:hAnsi="Book Antiqua"/>
          <w:color w:val="auto"/>
        </w:rPr>
        <w:t>c</w:t>
      </w:r>
      <w:r w:rsidR="00866987">
        <w:rPr>
          <w:rFonts w:ascii="Book Antiqua" w:hAnsi="Book Antiqua"/>
          <w:color w:val="auto"/>
        </w:rPr>
        <w:t>tion</w:t>
      </w:r>
      <w:r w:rsidR="00866987">
        <w:rPr>
          <w:rFonts w:ascii="Book Antiqua" w:eastAsiaTheme="minorEastAsia" w:hAnsi="Book Antiqua" w:hint="eastAsia"/>
          <w:color w:val="auto"/>
          <w:vertAlign w:val="superscript"/>
        </w:rPr>
        <w:t>[</w:t>
      </w:r>
      <w:r w:rsidRPr="005D2C0B">
        <w:rPr>
          <w:rFonts w:ascii="Book Antiqua" w:hAnsi="Book Antiqua"/>
          <w:color w:val="auto"/>
          <w:vertAlign w:val="superscript"/>
        </w:rPr>
        <w:t>6,12,19</w:t>
      </w:r>
      <w:r w:rsidR="00866987">
        <w:rPr>
          <w:rFonts w:ascii="Book Antiqua" w:eastAsiaTheme="minorEastAsia" w:hAnsi="Book Antiqua" w:hint="eastAsia"/>
          <w:color w:val="auto"/>
          <w:vertAlign w:val="superscript"/>
        </w:rPr>
        <w:t>]</w:t>
      </w:r>
      <w:r w:rsidRPr="005D2C0B">
        <w:rPr>
          <w:rFonts w:ascii="Book Antiqua" w:hAnsi="Book Antiqua"/>
          <w:color w:val="auto"/>
        </w:rPr>
        <w:t>.</w:t>
      </w:r>
    </w:p>
    <w:p w14:paraId="3048DA56" w14:textId="77777777" w:rsidR="00792914" w:rsidRPr="005D2C0B" w:rsidRDefault="00792914" w:rsidP="00A9024E">
      <w:pPr>
        <w:pStyle w:val="BodyA"/>
        <w:spacing w:line="360" w:lineRule="auto"/>
        <w:jc w:val="both"/>
        <w:rPr>
          <w:rFonts w:ascii="Book Antiqua" w:eastAsia="Book Antiqua" w:hAnsi="Book Antiqua" w:cs="Book Antiqua"/>
          <w:color w:val="auto"/>
        </w:rPr>
      </w:pPr>
    </w:p>
    <w:p w14:paraId="75ECD1DB" w14:textId="220FBF3C" w:rsidR="00792914" w:rsidRPr="00866987" w:rsidRDefault="00514CDD" w:rsidP="00A9024E">
      <w:pPr>
        <w:pStyle w:val="BodyA"/>
        <w:spacing w:line="360" w:lineRule="auto"/>
        <w:jc w:val="both"/>
        <w:rPr>
          <w:rFonts w:ascii="Book Antiqua" w:eastAsia="Book Antiqua" w:hAnsi="Book Antiqua" w:cs="Book Antiqua"/>
          <w:b/>
          <w:i/>
          <w:color w:val="auto"/>
        </w:rPr>
      </w:pPr>
      <w:r w:rsidRPr="00866987">
        <w:rPr>
          <w:rFonts w:ascii="Book Antiqua" w:hAnsi="Book Antiqua"/>
          <w:b/>
          <w:i/>
          <w:color w:val="auto"/>
        </w:rPr>
        <w:t>S</w:t>
      </w:r>
      <w:r w:rsidR="00866987" w:rsidRPr="00866987">
        <w:rPr>
          <w:rFonts w:ascii="Book Antiqua" w:hAnsi="Book Antiqua"/>
          <w:b/>
          <w:i/>
          <w:color w:val="auto"/>
        </w:rPr>
        <w:t>afety</w:t>
      </w:r>
    </w:p>
    <w:p w14:paraId="23C47401" w14:textId="1AF4F3C5" w:rsidR="00792914" w:rsidRPr="005D2C0B" w:rsidRDefault="00514CDD" w:rsidP="00A9024E">
      <w:pPr>
        <w:pStyle w:val="BodyA"/>
        <w:spacing w:line="360" w:lineRule="auto"/>
        <w:jc w:val="both"/>
        <w:rPr>
          <w:rFonts w:ascii="Book Antiqua" w:eastAsia="Book Antiqua" w:hAnsi="Book Antiqua" w:cs="Book Antiqua"/>
          <w:color w:val="auto"/>
        </w:rPr>
      </w:pPr>
      <w:r w:rsidRPr="005D2C0B">
        <w:rPr>
          <w:rFonts w:ascii="Book Antiqua" w:hAnsi="Book Antiqua"/>
          <w:color w:val="auto"/>
        </w:rPr>
        <w:t>Bleeding, which is associated with duodenal abundant vascularization, occurs during EMR (immediate bleeding) in 9% of procedures</w:t>
      </w:r>
      <w:r w:rsidR="00866987">
        <w:rPr>
          <w:rFonts w:ascii="Book Antiqua" w:eastAsiaTheme="minorEastAsia" w:hAnsi="Book Antiqua" w:hint="eastAsia"/>
          <w:color w:val="auto"/>
          <w:vertAlign w:val="superscript"/>
        </w:rPr>
        <w:t>[6]</w:t>
      </w:r>
      <w:r w:rsidRPr="005D2C0B">
        <w:rPr>
          <w:rFonts w:ascii="Book Antiqua" w:hAnsi="Book Antiqua"/>
          <w:color w:val="auto"/>
        </w:rPr>
        <w:t>. As there is no standardized definition of immediate haemorrhage, it’s hard to know whet</w:t>
      </w:r>
      <w:r w:rsidRPr="005D2C0B">
        <w:rPr>
          <w:rFonts w:ascii="Book Antiqua" w:hAnsi="Book Antiqua"/>
          <w:color w:val="auto"/>
        </w:rPr>
        <w:t>h</w:t>
      </w:r>
      <w:r w:rsidRPr="005D2C0B">
        <w:rPr>
          <w:rFonts w:ascii="Book Antiqua" w:hAnsi="Book Antiqua"/>
          <w:color w:val="auto"/>
        </w:rPr>
        <w:t xml:space="preserve">er the reported cases were clinically significant or had comparable gravity. However, Lepilliez </w:t>
      </w:r>
      <w:r w:rsidRPr="005D2C0B">
        <w:rPr>
          <w:rFonts w:ascii="Book Antiqua" w:hAnsi="Book Antiqua"/>
          <w:i/>
          <w:iCs/>
          <w:color w:val="auto"/>
        </w:rPr>
        <w:t>et al</w:t>
      </w:r>
      <w:r w:rsidR="00866987">
        <w:rPr>
          <w:rFonts w:ascii="Book Antiqua" w:eastAsiaTheme="minorEastAsia" w:hAnsi="Book Antiqua" w:hint="eastAsia"/>
          <w:color w:val="auto"/>
          <w:vertAlign w:val="superscript"/>
        </w:rPr>
        <w:t>[18]</w:t>
      </w:r>
      <w:r w:rsidRPr="005D2C0B">
        <w:rPr>
          <w:rFonts w:ascii="Book Antiqua" w:hAnsi="Book Antiqua"/>
          <w:color w:val="auto"/>
        </w:rPr>
        <w:t xml:space="preserve"> does not consider it a true complication, since it can often be controlled by application of endoscopic clips, using ablative therapy or adrenaline injection adrenaline. None of the described</w:t>
      </w:r>
      <w:r w:rsidR="00866987">
        <w:rPr>
          <w:rFonts w:ascii="Book Antiqua" w:hAnsi="Book Antiqua"/>
          <w:color w:val="auto"/>
        </w:rPr>
        <w:t xml:space="preserve"> cases needed blood transfusion</w:t>
      </w:r>
      <w:r w:rsidR="00866987">
        <w:rPr>
          <w:rFonts w:ascii="Book Antiqua" w:eastAsiaTheme="minorEastAsia" w:hAnsi="Book Antiqua" w:hint="eastAsia"/>
          <w:color w:val="auto"/>
          <w:vertAlign w:val="superscript"/>
        </w:rPr>
        <w:t>[</w:t>
      </w:r>
      <w:r w:rsidRPr="005D2C0B">
        <w:rPr>
          <w:rFonts w:ascii="Book Antiqua" w:hAnsi="Book Antiqua"/>
          <w:color w:val="auto"/>
          <w:vertAlign w:val="superscript"/>
        </w:rPr>
        <w:t>3,4,6,10,11,18,19</w:t>
      </w:r>
      <w:r w:rsidR="00866987">
        <w:rPr>
          <w:rFonts w:ascii="Book Antiqua" w:eastAsiaTheme="minorEastAsia" w:hAnsi="Book Antiqua" w:hint="eastAsia"/>
          <w:color w:val="auto"/>
          <w:vertAlign w:val="superscript"/>
        </w:rPr>
        <w:t>]</w:t>
      </w:r>
      <w:r w:rsidRPr="005D2C0B">
        <w:rPr>
          <w:rFonts w:ascii="Book Antiqua" w:hAnsi="Book Antiqua"/>
          <w:color w:val="auto"/>
        </w:rPr>
        <w:t>.</w:t>
      </w:r>
    </w:p>
    <w:p w14:paraId="42A31FEE" w14:textId="52F8841C" w:rsidR="00792914" w:rsidRPr="005D2C0B" w:rsidRDefault="00514CDD" w:rsidP="00866987">
      <w:pPr>
        <w:pStyle w:val="BodyA"/>
        <w:spacing w:line="360" w:lineRule="auto"/>
        <w:ind w:firstLineChars="100" w:firstLine="240"/>
        <w:jc w:val="both"/>
        <w:rPr>
          <w:rFonts w:ascii="Book Antiqua" w:eastAsia="Book Antiqua" w:hAnsi="Book Antiqua" w:cs="Book Antiqua"/>
          <w:color w:val="auto"/>
        </w:rPr>
      </w:pPr>
      <w:r w:rsidRPr="005D2C0B">
        <w:rPr>
          <w:rFonts w:ascii="Book Antiqua" w:hAnsi="Book Antiqua"/>
          <w:color w:val="auto"/>
        </w:rPr>
        <w:t>Late ble</w:t>
      </w:r>
      <w:r w:rsidR="00866987">
        <w:rPr>
          <w:rFonts w:ascii="Book Antiqua" w:hAnsi="Book Antiqua"/>
          <w:color w:val="auto"/>
        </w:rPr>
        <w:t>eding rate ranges from 0 to 12%</w:t>
      </w:r>
      <w:r w:rsidR="00866987">
        <w:rPr>
          <w:rFonts w:ascii="Book Antiqua" w:eastAsiaTheme="minorEastAsia" w:hAnsi="Book Antiqua" w:hint="eastAsia"/>
          <w:color w:val="auto"/>
          <w:vertAlign w:val="superscript"/>
        </w:rPr>
        <w:t>[</w:t>
      </w:r>
      <w:r w:rsidRPr="005D2C0B">
        <w:rPr>
          <w:rFonts w:ascii="Book Antiqua" w:hAnsi="Book Antiqua"/>
          <w:color w:val="auto"/>
          <w:vertAlign w:val="superscript"/>
        </w:rPr>
        <w:t>1,4,10,12,13,18,19,33</w:t>
      </w:r>
      <w:r w:rsidR="00866987">
        <w:rPr>
          <w:rFonts w:ascii="Book Antiqua" w:eastAsiaTheme="minorEastAsia" w:hAnsi="Book Antiqua" w:hint="eastAsia"/>
          <w:color w:val="auto"/>
          <w:vertAlign w:val="superscript"/>
        </w:rPr>
        <w:t>]</w:t>
      </w:r>
      <w:r w:rsidRPr="005D2C0B">
        <w:rPr>
          <w:rFonts w:ascii="Book Antiqua" w:hAnsi="Book Antiqua"/>
          <w:color w:val="auto"/>
        </w:rPr>
        <w:t>. A recent study, that included 50 nonampullary adenomas, showed that the risk of delayed hae</w:t>
      </w:r>
      <w:r w:rsidRPr="005D2C0B">
        <w:rPr>
          <w:rFonts w:ascii="Book Antiqua" w:hAnsi="Book Antiqua"/>
          <w:color w:val="auto"/>
        </w:rPr>
        <w:t>m</w:t>
      </w:r>
      <w:r w:rsidRPr="005D2C0B">
        <w:rPr>
          <w:rFonts w:ascii="Book Antiqua" w:hAnsi="Book Antiqua"/>
          <w:color w:val="auto"/>
        </w:rPr>
        <w:t>orrhage is significantly higher in lesions which diameter was bigger than 30 mm</w:t>
      </w:r>
      <w:r w:rsidR="00866987">
        <w:rPr>
          <w:rFonts w:ascii="Book Antiqua" w:eastAsiaTheme="minorEastAsia" w:hAnsi="Book Antiqua" w:hint="eastAsia"/>
          <w:color w:val="auto"/>
          <w:vertAlign w:val="superscript"/>
        </w:rPr>
        <w:t>[35]</w:t>
      </w:r>
      <w:r w:rsidRPr="005D2C0B">
        <w:rPr>
          <w:rFonts w:ascii="Book Antiqua" w:hAnsi="Book Antiqua"/>
          <w:color w:val="auto"/>
        </w:rPr>
        <w:t xml:space="preserve">. In all cases, bleeding occurred within the first 48 h after resection and was mostly approached conservatively or with endoscopic mono or bipolar electrocautery, epinephrine injection, haemostatic </w:t>
      </w:r>
      <w:r w:rsidR="00866987">
        <w:rPr>
          <w:rFonts w:ascii="Book Antiqua" w:hAnsi="Book Antiqua"/>
          <w:color w:val="auto"/>
        </w:rPr>
        <w:t>clips or a combination of these</w:t>
      </w:r>
      <w:r w:rsidR="00866987">
        <w:rPr>
          <w:rFonts w:ascii="Book Antiqua" w:eastAsiaTheme="minorEastAsia" w:hAnsi="Book Antiqua" w:hint="eastAsia"/>
          <w:color w:val="auto"/>
          <w:vertAlign w:val="superscript"/>
        </w:rPr>
        <w:t>[</w:t>
      </w:r>
      <w:r w:rsidRPr="005D2C0B">
        <w:rPr>
          <w:rFonts w:ascii="Book Antiqua" w:hAnsi="Book Antiqua"/>
          <w:color w:val="auto"/>
          <w:vertAlign w:val="superscript"/>
        </w:rPr>
        <w:t>1,4,10,12,13,18,19,33</w:t>
      </w:r>
      <w:r w:rsidR="00866987">
        <w:rPr>
          <w:rFonts w:ascii="Book Antiqua" w:eastAsiaTheme="minorEastAsia" w:hAnsi="Book Antiqua" w:hint="eastAsia"/>
          <w:color w:val="auto"/>
          <w:vertAlign w:val="superscript"/>
        </w:rPr>
        <w:t>]</w:t>
      </w:r>
      <w:r w:rsidRPr="005D2C0B">
        <w:rPr>
          <w:rFonts w:ascii="Book Antiqua" w:hAnsi="Book Antiqua"/>
          <w:color w:val="auto"/>
        </w:rPr>
        <w:t>.</w:t>
      </w:r>
    </w:p>
    <w:p w14:paraId="070CD7F0" w14:textId="4CC694FD" w:rsidR="00792914" w:rsidRPr="005D2C0B" w:rsidRDefault="00514CDD" w:rsidP="00866987">
      <w:pPr>
        <w:pStyle w:val="BodyA"/>
        <w:spacing w:line="360" w:lineRule="auto"/>
        <w:ind w:firstLineChars="100" w:firstLine="240"/>
        <w:jc w:val="both"/>
        <w:rPr>
          <w:rFonts w:ascii="Book Antiqua" w:eastAsia="Book Antiqua" w:hAnsi="Book Antiqua" w:cs="Book Antiqua"/>
          <w:color w:val="auto"/>
        </w:rPr>
      </w:pPr>
      <w:r w:rsidRPr="005D2C0B">
        <w:rPr>
          <w:rFonts w:ascii="Book Antiqua" w:hAnsi="Book Antiqua"/>
          <w:color w:val="auto"/>
        </w:rPr>
        <w:t>The proceeding method regarding the presence of visible non-bleeding ve</w:t>
      </w:r>
      <w:r w:rsidRPr="005D2C0B">
        <w:rPr>
          <w:rFonts w:ascii="Book Antiqua" w:hAnsi="Book Antiqua"/>
          <w:color w:val="auto"/>
        </w:rPr>
        <w:t>s</w:t>
      </w:r>
      <w:r w:rsidRPr="005D2C0B">
        <w:rPr>
          <w:rFonts w:ascii="Book Antiqua" w:hAnsi="Book Antiqua"/>
          <w:color w:val="auto"/>
        </w:rPr>
        <w:t>sels and the closure of the resected area as a preventive measure of late hae</w:t>
      </w:r>
      <w:r w:rsidRPr="005D2C0B">
        <w:rPr>
          <w:rFonts w:ascii="Book Antiqua" w:hAnsi="Book Antiqua"/>
          <w:color w:val="auto"/>
        </w:rPr>
        <w:t>m</w:t>
      </w:r>
      <w:r w:rsidRPr="005D2C0B">
        <w:rPr>
          <w:rFonts w:ascii="Book Antiqua" w:hAnsi="Book Antiqua"/>
          <w:color w:val="auto"/>
        </w:rPr>
        <w:t>orrhage, are questions that don’t gather a consensus answer</w:t>
      </w:r>
      <w:r w:rsidR="00866987">
        <w:rPr>
          <w:rFonts w:ascii="Book Antiqua" w:eastAsiaTheme="minorEastAsia" w:hAnsi="Book Antiqua" w:hint="eastAsia"/>
          <w:color w:val="auto"/>
          <w:vertAlign w:val="superscript"/>
        </w:rPr>
        <w:t>[35]</w:t>
      </w:r>
      <w:r w:rsidRPr="005D2C0B">
        <w:rPr>
          <w:rFonts w:ascii="Book Antiqua" w:hAnsi="Book Antiqua"/>
          <w:color w:val="auto"/>
        </w:rPr>
        <w:t xml:space="preserve">. Kim </w:t>
      </w:r>
      <w:r w:rsidRPr="005D2C0B">
        <w:rPr>
          <w:rFonts w:ascii="Book Antiqua" w:hAnsi="Book Antiqua"/>
          <w:i/>
          <w:iCs/>
          <w:color w:val="auto"/>
        </w:rPr>
        <w:t>et al</w:t>
      </w:r>
      <w:r w:rsidR="00866987">
        <w:rPr>
          <w:rFonts w:ascii="Book Antiqua" w:eastAsiaTheme="minorEastAsia" w:hAnsi="Book Antiqua" w:hint="eastAsia"/>
          <w:color w:val="auto"/>
          <w:vertAlign w:val="superscript"/>
        </w:rPr>
        <w:t>[13]</w:t>
      </w:r>
      <w:r w:rsidRPr="005D2C0B">
        <w:rPr>
          <w:rFonts w:ascii="Book Antiqua" w:hAnsi="Book Antiqua"/>
          <w:color w:val="auto"/>
        </w:rPr>
        <w:t xml:space="preserve"> defends that primary closure with clips is preferable to ablative therapy, since it does not increase the risk of tissue injury. Although closure of primary d</w:t>
      </w:r>
      <w:r w:rsidRPr="005D2C0B">
        <w:rPr>
          <w:rFonts w:ascii="Book Antiqua" w:hAnsi="Book Antiqua"/>
          <w:color w:val="auto"/>
        </w:rPr>
        <w:t>e</w:t>
      </w:r>
      <w:r w:rsidRPr="005D2C0B">
        <w:rPr>
          <w:rFonts w:ascii="Book Antiqua" w:hAnsi="Book Antiqua"/>
          <w:color w:val="auto"/>
        </w:rPr>
        <w:t>fects smaller than 2 cm is usually possible, it will probably be unnecessary, except in cases where there is potential risk of late bleeding</w:t>
      </w:r>
      <w:r w:rsidR="00866987">
        <w:rPr>
          <w:rFonts w:ascii="Book Antiqua" w:eastAsiaTheme="minorEastAsia" w:hAnsi="Book Antiqua" w:hint="eastAsia"/>
          <w:color w:val="auto"/>
          <w:vertAlign w:val="superscript"/>
        </w:rPr>
        <w:t>[35]</w:t>
      </w:r>
      <w:r w:rsidRPr="005D2C0B">
        <w:rPr>
          <w:rFonts w:ascii="Book Antiqua" w:hAnsi="Book Antiqua"/>
          <w:color w:val="auto"/>
        </w:rPr>
        <w:t>. On the other hand, areas bigger than 2 cm cannot be safely closed because of the difficulty in</w:t>
      </w:r>
      <w:r w:rsidR="00866987">
        <w:rPr>
          <w:rFonts w:ascii="Book Antiqua" w:hAnsi="Book Antiqua"/>
          <w:color w:val="auto"/>
        </w:rPr>
        <w:t xml:space="preserve"> opposing margins of the defect</w:t>
      </w:r>
      <w:r w:rsidR="00866987">
        <w:rPr>
          <w:rFonts w:ascii="Book Antiqua" w:eastAsiaTheme="minorEastAsia" w:hAnsi="Book Antiqua" w:hint="eastAsia"/>
          <w:color w:val="auto"/>
          <w:vertAlign w:val="superscript"/>
        </w:rPr>
        <w:t>[</w:t>
      </w:r>
      <w:r w:rsidRPr="005D2C0B">
        <w:rPr>
          <w:rFonts w:ascii="Book Antiqua" w:hAnsi="Book Antiqua"/>
          <w:color w:val="auto"/>
          <w:vertAlign w:val="superscript"/>
        </w:rPr>
        <w:t>13,18,35</w:t>
      </w:r>
      <w:r w:rsidR="00866987">
        <w:rPr>
          <w:rFonts w:ascii="Book Antiqua" w:eastAsiaTheme="minorEastAsia" w:hAnsi="Book Antiqua" w:hint="eastAsia"/>
          <w:color w:val="auto"/>
          <w:vertAlign w:val="superscript"/>
        </w:rPr>
        <w:t>]</w:t>
      </w:r>
      <w:r w:rsidRPr="005D2C0B">
        <w:rPr>
          <w:rFonts w:ascii="Book Antiqua" w:hAnsi="Book Antiqua"/>
          <w:color w:val="auto"/>
        </w:rPr>
        <w:t xml:space="preserve">. In the study of Lepilliez </w:t>
      </w:r>
      <w:r w:rsidRPr="005D2C0B">
        <w:rPr>
          <w:rFonts w:ascii="Book Antiqua" w:hAnsi="Book Antiqua"/>
          <w:i/>
          <w:iCs/>
          <w:color w:val="auto"/>
        </w:rPr>
        <w:t>et al</w:t>
      </w:r>
      <w:r w:rsidR="00866987">
        <w:rPr>
          <w:rFonts w:ascii="Book Antiqua" w:eastAsiaTheme="minorEastAsia" w:hAnsi="Book Antiqua" w:hint="eastAsia"/>
          <w:iCs/>
          <w:color w:val="auto"/>
          <w:vertAlign w:val="superscript"/>
        </w:rPr>
        <w:t>[18]</w:t>
      </w:r>
      <w:r w:rsidRPr="005D2C0B">
        <w:rPr>
          <w:rFonts w:ascii="Book Antiqua" w:hAnsi="Book Antiqua"/>
          <w:color w:val="auto"/>
        </w:rPr>
        <w:t>, the difference found between late haemorrhage rate of the cases that had haemo</w:t>
      </w:r>
      <w:r w:rsidRPr="005D2C0B">
        <w:rPr>
          <w:rFonts w:ascii="Book Antiqua" w:hAnsi="Book Antiqua"/>
          <w:color w:val="auto"/>
        </w:rPr>
        <w:t>r</w:t>
      </w:r>
      <w:r w:rsidRPr="005D2C0B">
        <w:rPr>
          <w:rFonts w:ascii="Book Antiqua" w:hAnsi="Book Antiqua"/>
          <w:color w:val="auto"/>
        </w:rPr>
        <w:t>rhagic prevention systematically done (with ablative therapy or clips) or bleeding treatment was required during the procedure, and cases that didn’t have bleeding prevention or immediate haemorrhage occurred, was statist</w:t>
      </w:r>
      <w:r w:rsidRPr="005D2C0B">
        <w:rPr>
          <w:rFonts w:ascii="Book Antiqua" w:hAnsi="Book Antiqua"/>
          <w:color w:val="auto"/>
        </w:rPr>
        <w:t>i</w:t>
      </w:r>
      <w:r w:rsidRPr="005D2C0B">
        <w:rPr>
          <w:rFonts w:ascii="Book Antiqua" w:hAnsi="Book Antiqua"/>
          <w:color w:val="auto"/>
        </w:rPr>
        <w:t>cally significant. In the first group, consisting of 14 patients, there was no late haemorrhage, while in the second 5 bleedings occurred in 23 patients (22%).</w:t>
      </w:r>
    </w:p>
    <w:p w14:paraId="12C4C9F0" w14:textId="54649867" w:rsidR="00792914" w:rsidRPr="005D2C0B" w:rsidRDefault="00514CDD" w:rsidP="00866987">
      <w:pPr>
        <w:pStyle w:val="BodyA"/>
        <w:spacing w:line="360" w:lineRule="auto"/>
        <w:ind w:firstLineChars="100" w:firstLine="240"/>
        <w:jc w:val="both"/>
        <w:rPr>
          <w:rFonts w:ascii="Book Antiqua" w:eastAsia="Book Antiqua" w:hAnsi="Book Antiqua" w:cs="Book Antiqua"/>
          <w:color w:val="auto"/>
        </w:rPr>
      </w:pPr>
      <w:r w:rsidRPr="005D2C0B">
        <w:rPr>
          <w:rFonts w:ascii="Book Antiqua" w:hAnsi="Book Antiqua"/>
          <w:color w:val="auto"/>
        </w:rPr>
        <w:t>EMR has a perforation ri</w:t>
      </w:r>
      <w:r w:rsidR="00866987">
        <w:rPr>
          <w:rFonts w:ascii="Book Antiqua" w:hAnsi="Book Antiqua"/>
          <w:color w:val="auto"/>
        </w:rPr>
        <w:t>sk of the duodenal wall of 0.6%</w:t>
      </w:r>
      <w:r w:rsidR="00866987">
        <w:rPr>
          <w:rFonts w:ascii="Book Antiqua" w:eastAsiaTheme="minorEastAsia" w:hAnsi="Book Antiqua" w:hint="eastAsia"/>
          <w:color w:val="auto"/>
          <w:vertAlign w:val="superscript"/>
        </w:rPr>
        <w:t>[</w:t>
      </w:r>
      <w:r w:rsidRPr="005D2C0B">
        <w:rPr>
          <w:rFonts w:ascii="Book Antiqua" w:hAnsi="Book Antiqua"/>
          <w:color w:val="auto"/>
          <w:vertAlign w:val="superscript"/>
        </w:rPr>
        <w:t>6,35</w:t>
      </w:r>
      <w:r w:rsidR="00866987">
        <w:rPr>
          <w:rFonts w:ascii="Book Antiqua" w:eastAsiaTheme="minorEastAsia" w:hAnsi="Book Antiqua" w:hint="eastAsia"/>
          <w:color w:val="auto"/>
          <w:vertAlign w:val="superscript"/>
        </w:rPr>
        <w:t>]</w:t>
      </w:r>
      <w:r w:rsidRPr="005D2C0B">
        <w:rPr>
          <w:rFonts w:ascii="Book Antiqua" w:hAnsi="Book Antiqua"/>
          <w:color w:val="auto"/>
        </w:rPr>
        <w:t xml:space="preserve">. Registered perforations were managed with </w:t>
      </w:r>
      <w:r w:rsidR="00866987">
        <w:rPr>
          <w:rFonts w:ascii="Book Antiqua" w:hAnsi="Book Antiqua"/>
          <w:color w:val="auto"/>
        </w:rPr>
        <w:t>endoscopy or surgery conversion</w:t>
      </w:r>
      <w:r w:rsidR="00866987">
        <w:rPr>
          <w:rFonts w:ascii="Book Antiqua" w:eastAsiaTheme="minorEastAsia" w:hAnsi="Book Antiqua" w:hint="eastAsia"/>
          <w:color w:val="auto"/>
          <w:vertAlign w:val="superscript"/>
        </w:rPr>
        <w:t>[</w:t>
      </w:r>
      <w:r w:rsidRPr="005D2C0B">
        <w:rPr>
          <w:rFonts w:ascii="Book Antiqua" w:hAnsi="Book Antiqua"/>
          <w:color w:val="auto"/>
          <w:vertAlign w:val="superscript"/>
        </w:rPr>
        <w:t>18,35</w:t>
      </w:r>
      <w:r w:rsidR="00866987">
        <w:rPr>
          <w:rFonts w:ascii="Book Antiqua" w:eastAsiaTheme="minorEastAsia" w:hAnsi="Book Antiqua" w:hint="eastAsia"/>
          <w:color w:val="auto"/>
          <w:vertAlign w:val="superscript"/>
        </w:rPr>
        <w:t>]</w:t>
      </w:r>
      <w:r w:rsidRPr="005D2C0B">
        <w:rPr>
          <w:rFonts w:ascii="Book Antiqua" w:hAnsi="Book Antiqua"/>
          <w:color w:val="auto"/>
        </w:rPr>
        <w:t>. R</w:t>
      </w:r>
      <w:r w:rsidRPr="005D2C0B">
        <w:rPr>
          <w:rFonts w:ascii="Book Antiqua" w:hAnsi="Book Antiqua"/>
          <w:color w:val="auto"/>
        </w:rPr>
        <w:t>e</w:t>
      </w:r>
      <w:r w:rsidRPr="005D2C0B">
        <w:rPr>
          <w:rFonts w:ascii="Book Antiqua" w:hAnsi="Book Antiqua"/>
          <w:color w:val="auto"/>
        </w:rPr>
        <w:t>section limited to the adenomas that lifted after the submucosal injection may be a way of preventing this complication</w:t>
      </w:r>
      <w:r w:rsidR="00866987">
        <w:rPr>
          <w:rFonts w:ascii="Book Antiqua" w:eastAsiaTheme="minorEastAsia" w:hAnsi="Book Antiqua" w:hint="eastAsia"/>
          <w:color w:val="auto"/>
          <w:vertAlign w:val="superscript"/>
        </w:rPr>
        <w:t>[36]</w:t>
      </w:r>
      <w:r w:rsidRPr="005D2C0B">
        <w:rPr>
          <w:rFonts w:ascii="Book Antiqua" w:hAnsi="Book Antiqua"/>
          <w:color w:val="auto"/>
        </w:rPr>
        <w:t>.</w:t>
      </w:r>
    </w:p>
    <w:p w14:paraId="2283B50F" w14:textId="77777777" w:rsidR="00792914" w:rsidRPr="005D2C0B" w:rsidRDefault="00792914" w:rsidP="00866987">
      <w:pPr>
        <w:pStyle w:val="BodyA"/>
        <w:spacing w:line="360" w:lineRule="auto"/>
        <w:jc w:val="both"/>
        <w:rPr>
          <w:rFonts w:ascii="Book Antiqua" w:eastAsia="Book Antiqua" w:hAnsi="Book Antiqua" w:cs="Book Antiqua"/>
          <w:color w:val="auto"/>
        </w:rPr>
      </w:pPr>
    </w:p>
    <w:p w14:paraId="12910886" w14:textId="18CAD71B" w:rsidR="00792914" w:rsidRPr="00866987" w:rsidRDefault="00514CDD" w:rsidP="00866987">
      <w:pPr>
        <w:pStyle w:val="BodyA"/>
        <w:spacing w:line="360" w:lineRule="auto"/>
        <w:jc w:val="both"/>
        <w:rPr>
          <w:rFonts w:ascii="Book Antiqua" w:eastAsiaTheme="minorEastAsia" w:hAnsi="Book Antiqua" w:cs="Book Antiqua"/>
          <w:b/>
          <w:color w:val="auto"/>
        </w:rPr>
      </w:pPr>
      <w:r w:rsidRPr="00866987">
        <w:rPr>
          <w:rFonts w:ascii="Book Antiqua" w:hAnsi="Book Antiqua"/>
          <w:b/>
          <w:color w:val="auto"/>
        </w:rPr>
        <w:t>ESD</w:t>
      </w:r>
    </w:p>
    <w:p w14:paraId="6100B10E" w14:textId="58E47D71" w:rsidR="00792914" w:rsidRPr="005D2C0B" w:rsidRDefault="00514CDD" w:rsidP="00866987">
      <w:pPr>
        <w:pStyle w:val="BodyA"/>
        <w:spacing w:line="360" w:lineRule="auto"/>
        <w:jc w:val="both"/>
        <w:rPr>
          <w:rFonts w:ascii="Book Antiqua" w:eastAsia="Book Antiqua" w:hAnsi="Book Antiqua" w:cs="Book Antiqua"/>
          <w:color w:val="auto"/>
        </w:rPr>
      </w:pPr>
      <w:r w:rsidRPr="005D2C0B">
        <w:rPr>
          <w:rFonts w:ascii="Book Antiqua" w:hAnsi="Book Antiqua"/>
          <w:color w:val="auto"/>
        </w:rPr>
        <w:t xml:space="preserve">This technique is widely used for </w:t>
      </w:r>
      <w:r w:rsidRPr="00866987">
        <w:rPr>
          <w:rFonts w:ascii="Book Antiqua" w:hAnsi="Book Antiqua"/>
          <w:i/>
          <w:color w:val="auto"/>
        </w:rPr>
        <w:t xml:space="preserve">en bloc </w:t>
      </w:r>
      <w:r w:rsidRPr="005D2C0B">
        <w:rPr>
          <w:rFonts w:ascii="Book Antiqua" w:hAnsi="Book Antiqua"/>
          <w:color w:val="auto"/>
        </w:rPr>
        <w:t xml:space="preserve">resection of gastrointestinal lesions </w:t>
      </w:r>
      <w:r w:rsidRPr="005D2C0B">
        <w:rPr>
          <w:rFonts w:ascii="Book Antiqua" w:hAnsi="Book Antiqua"/>
          <w:color w:val="auto"/>
          <w:vertAlign w:val="superscript"/>
        </w:rPr>
        <w:t>5</w:t>
      </w:r>
      <w:r w:rsidRPr="005D2C0B">
        <w:rPr>
          <w:rFonts w:ascii="Book Antiqua" w:hAnsi="Book Antiqua"/>
          <w:color w:val="auto"/>
        </w:rPr>
        <w:t>. Despite its growing use in the stomach, colon and oesophagus, its use in the duodenum is less frequent</w:t>
      </w:r>
      <w:r w:rsidR="00866987">
        <w:rPr>
          <w:rFonts w:ascii="Book Antiqua" w:eastAsiaTheme="minorEastAsia" w:hAnsi="Book Antiqua" w:hint="eastAsia"/>
          <w:color w:val="auto"/>
          <w:vertAlign w:val="superscript"/>
        </w:rPr>
        <w:t>[37]</w:t>
      </w:r>
      <w:r w:rsidRPr="005D2C0B">
        <w:rPr>
          <w:rFonts w:ascii="Book Antiqua" w:hAnsi="Book Antiqua"/>
          <w:color w:val="auto"/>
        </w:rPr>
        <w:t>. This fact is probably due to its retroperitoneal fixation, thin wall and narrow lumen, which make the intervention at this l</w:t>
      </w:r>
      <w:r w:rsidRPr="005D2C0B">
        <w:rPr>
          <w:rFonts w:ascii="Book Antiqua" w:hAnsi="Book Antiqua"/>
          <w:color w:val="auto"/>
        </w:rPr>
        <w:t>o</w:t>
      </w:r>
      <w:r w:rsidRPr="005D2C0B">
        <w:rPr>
          <w:rFonts w:ascii="Book Antiqua" w:hAnsi="Book Antiqua"/>
          <w:color w:val="auto"/>
        </w:rPr>
        <w:t>ca</w:t>
      </w:r>
      <w:r w:rsidR="00866987">
        <w:rPr>
          <w:rFonts w:ascii="Book Antiqua" w:hAnsi="Book Antiqua"/>
          <w:color w:val="auto"/>
        </w:rPr>
        <w:t>tion technically difficult</w:t>
      </w:r>
      <w:r w:rsidR="00866987">
        <w:rPr>
          <w:rFonts w:ascii="Book Antiqua" w:eastAsiaTheme="minorEastAsia" w:hAnsi="Book Antiqua" w:hint="eastAsia"/>
          <w:color w:val="auto"/>
          <w:vertAlign w:val="superscript"/>
        </w:rPr>
        <w:t>[</w:t>
      </w:r>
      <w:r w:rsidRPr="005D2C0B">
        <w:rPr>
          <w:rFonts w:ascii="Book Antiqua" w:hAnsi="Book Antiqua"/>
          <w:color w:val="auto"/>
          <w:vertAlign w:val="superscript"/>
        </w:rPr>
        <w:t>14,29</w:t>
      </w:r>
      <w:r w:rsidR="00866987">
        <w:rPr>
          <w:rFonts w:ascii="Book Antiqua" w:eastAsiaTheme="minorEastAsia" w:hAnsi="Book Antiqua" w:hint="eastAsia"/>
          <w:color w:val="auto"/>
          <w:vertAlign w:val="superscript"/>
        </w:rPr>
        <w:t>]</w:t>
      </w:r>
      <w:r w:rsidRPr="005D2C0B">
        <w:rPr>
          <w:rFonts w:ascii="Book Antiqua" w:hAnsi="Book Antiqua"/>
          <w:color w:val="auto"/>
        </w:rPr>
        <w:t>. The low prevalence of duodenal lesions may be one of reasons that can explain the ESD long learning curve in the duod</w:t>
      </w:r>
      <w:r w:rsidRPr="005D2C0B">
        <w:rPr>
          <w:rFonts w:ascii="Book Antiqua" w:hAnsi="Book Antiqua"/>
          <w:color w:val="auto"/>
        </w:rPr>
        <w:t>e</w:t>
      </w:r>
      <w:r w:rsidRPr="005D2C0B">
        <w:rPr>
          <w:rFonts w:ascii="Book Antiqua" w:hAnsi="Book Antiqua"/>
          <w:color w:val="auto"/>
        </w:rPr>
        <w:t>num</w:t>
      </w:r>
      <w:r w:rsidR="00866987">
        <w:rPr>
          <w:rFonts w:ascii="Book Antiqua" w:eastAsiaTheme="minorEastAsia" w:hAnsi="Book Antiqua" w:hint="eastAsia"/>
          <w:color w:val="auto"/>
          <w:vertAlign w:val="superscript"/>
        </w:rPr>
        <w:t>[14]</w:t>
      </w:r>
      <w:r w:rsidRPr="005D2C0B">
        <w:rPr>
          <w:rFonts w:ascii="Book Antiqua" w:hAnsi="Book Antiqua"/>
          <w:color w:val="auto"/>
        </w:rPr>
        <w:t>. The published studies that performed this technique are few and i</w:t>
      </w:r>
      <w:r w:rsidRPr="005D2C0B">
        <w:rPr>
          <w:rFonts w:ascii="Book Antiqua" w:hAnsi="Book Antiqua"/>
          <w:color w:val="auto"/>
        </w:rPr>
        <w:t>n</w:t>
      </w:r>
      <w:r w:rsidRPr="005D2C0B">
        <w:rPr>
          <w:rFonts w:ascii="Book Antiqua" w:hAnsi="Book Antiqua"/>
          <w:color w:val="auto"/>
        </w:rPr>
        <w:t>clude a small number of patien</w:t>
      </w:r>
      <w:r w:rsidR="00866987">
        <w:rPr>
          <w:rFonts w:ascii="Book Antiqua" w:hAnsi="Book Antiqua"/>
          <w:color w:val="auto"/>
        </w:rPr>
        <w:t>ts with short follow-up periods</w:t>
      </w:r>
      <w:r w:rsidR="00866987">
        <w:rPr>
          <w:rFonts w:ascii="Book Antiqua" w:eastAsiaTheme="minorEastAsia" w:hAnsi="Book Antiqua" w:hint="eastAsia"/>
          <w:color w:val="auto"/>
          <w:vertAlign w:val="superscript"/>
        </w:rPr>
        <w:t>[</w:t>
      </w:r>
      <w:r w:rsidRPr="005D2C0B">
        <w:rPr>
          <w:rFonts w:ascii="Book Antiqua" w:hAnsi="Book Antiqua"/>
          <w:color w:val="auto"/>
          <w:vertAlign w:val="superscript"/>
        </w:rPr>
        <w:t>14,29,33,38,39</w:t>
      </w:r>
      <w:r w:rsidR="00866987">
        <w:rPr>
          <w:rFonts w:ascii="Book Antiqua" w:eastAsiaTheme="minorEastAsia" w:hAnsi="Book Antiqua" w:hint="eastAsia"/>
          <w:color w:val="auto"/>
          <w:vertAlign w:val="superscript"/>
        </w:rPr>
        <w:t>]</w:t>
      </w:r>
      <w:r w:rsidRPr="005D2C0B">
        <w:rPr>
          <w:rFonts w:ascii="Book Antiqua" w:hAnsi="Book Antiqua"/>
          <w:color w:val="auto"/>
        </w:rPr>
        <w:t>.</w:t>
      </w:r>
    </w:p>
    <w:p w14:paraId="72953EA6" w14:textId="597F5FE4" w:rsidR="00792914" w:rsidRPr="005D2C0B" w:rsidRDefault="00514CDD" w:rsidP="00866987">
      <w:pPr>
        <w:pStyle w:val="BodyA"/>
        <w:spacing w:line="360" w:lineRule="auto"/>
        <w:ind w:firstLineChars="100" w:firstLine="240"/>
        <w:jc w:val="both"/>
        <w:rPr>
          <w:rFonts w:ascii="Book Antiqua" w:eastAsia="Book Antiqua" w:hAnsi="Book Antiqua" w:cs="Book Antiqua"/>
          <w:color w:val="auto"/>
        </w:rPr>
      </w:pPr>
      <w:r w:rsidRPr="005D2C0B">
        <w:rPr>
          <w:rFonts w:ascii="Book Antiqua" w:hAnsi="Book Antiqua"/>
          <w:color w:val="auto"/>
        </w:rPr>
        <w:t>ESD is generally performed in several stages. After marking the margins of the lesion, by electrocauterization, and lifting it by submucosal injection, a ci</w:t>
      </w:r>
      <w:r w:rsidRPr="005D2C0B">
        <w:rPr>
          <w:rFonts w:ascii="Book Antiqua" w:hAnsi="Book Antiqua"/>
          <w:color w:val="auto"/>
        </w:rPr>
        <w:t>r</w:t>
      </w:r>
      <w:r w:rsidRPr="005D2C0B">
        <w:rPr>
          <w:rFonts w:ascii="Book Antiqua" w:hAnsi="Book Antiqua"/>
          <w:color w:val="auto"/>
        </w:rPr>
        <w:t>cumferential incision is made in this layer, and the lesion is dissected from the underlying la</w:t>
      </w:r>
      <w:r w:rsidR="00866987">
        <w:rPr>
          <w:rFonts w:ascii="Book Antiqua" w:hAnsi="Book Antiqua"/>
          <w:color w:val="auto"/>
        </w:rPr>
        <w:t>yers by using dissection knives</w:t>
      </w:r>
      <w:r w:rsidR="00866987">
        <w:rPr>
          <w:rFonts w:ascii="Book Antiqua" w:eastAsiaTheme="minorEastAsia" w:hAnsi="Book Antiqua" w:hint="eastAsia"/>
          <w:color w:val="auto"/>
          <w:vertAlign w:val="superscript"/>
        </w:rPr>
        <w:t>[30]</w:t>
      </w:r>
      <w:r w:rsidRPr="005D2C0B">
        <w:rPr>
          <w:rFonts w:ascii="Book Antiqua" w:hAnsi="Book Antiqua"/>
          <w:color w:val="auto"/>
          <w:vertAlign w:val="superscript"/>
        </w:rPr>
        <w:t xml:space="preserve"> </w:t>
      </w:r>
      <w:r w:rsidRPr="005D2C0B">
        <w:rPr>
          <w:rFonts w:ascii="Book Antiqua" w:hAnsi="Book Antiqua"/>
          <w:color w:val="auto"/>
        </w:rPr>
        <w:t>(Figure 2).</w:t>
      </w:r>
    </w:p>
    <w:p w14:paraId="7D5BAEE3" w14:textId="7FF0EF69" w:rsidR="00792914" w:rsidRPr="00866987" w:rsidRDefault="00514CDD" w:rsidP="00866987">
      <w:pPr>
        <w:pStyle w:val="BodyA"/>
        <w:spacing w:line="360" w:lineRule="auto"/>
        <w:jc w:val="both"/>
        <w:rPr>
          <w:rFonts w:ascii="Book Antiqua" w:eastAsiaTheme="minorEastAsia" w:hAnsi="Book Antiqua" w:cs="Book Antiqua"/>
          <w:b/>
          <w:i/>
          <w:color w:val="auto"/>
        </w:rPr>
      </w:pPr>
      <w:r w:rsidRPr="005D2C0B">
        <w:rPr>
          <w:rFonts w:ascii="Book Antiqua" w:eastAsia="Book Antiqua" w:hAnsi="Book Antiqua" w:cs="Book Antiqua"/>
          <w:color w:val="auto"/>
        </w:rPr>
        <w:br/>
      </w:r>
      <w:r w:rsidRPr="00866987">
        <w:rPr>
          <w:rFonts w:ascii="Book Antiqua" w:hAnsi="Book Antiqua"/>
          <w:b/>
          <w:i/>
          <w:color w:val="auto"/>
        </w:rPr>
        <w:t>E</w:t>
      </w:r>
      <w:r w:rsidR="00866987" w:rsidRPr="00866987">
        <w:rPr>
          <w:rFonts w:ascii="Book Antiqua" w:hAnsi="Book Antiqua"/>
          <w:b/>
          <w:i/>
          <w:color w:val="auto"/>
        </w:rPr>
        <w:t>fficacy</w:t>
      </w:r>
    </w:p>
    <w:p w14:paraId="41512FA7" w14:textId="43B39F4F" w:rsidR="00792914" w:rsidRPr="005D2C0B" w:rsidRDefault="00514CDD" w:rsidP="00866987">
      <w:pPr>
        <w:pStyle w:val="BodyA"/>
        <w:spacing w:line="360" w:lineRule="auto"/>
        <w:jc w:val="both"/>
        <w:rPr>
          <w:rFonts w:ascii="Book Antiqua" w:eastAsia="Book Antiqua" w:hAnsi="Book Antiqua" w:cs="Book Antiqua"/>
          <w:color w:val="auto"/>
        </w:rPr>
      </w:pPr>
      <w:r w:rsidRPr="005D2C0B">
        <w:rPr>
          <w:rFonts w:ascii="Book Antiqua" w:hAnsi="Book Antiqua"/>
          <w:color w:val="auto"/>
        </w:rPr>
        <w:t>Complete resection rate of sporadic adenomatous nonampullary polyps by ESD</w:t>
      </w:r>
      <w:r w:rsidR="00866987">
        <w:rPr>
          <w:rFonts w:ascii="Book Antiqua" w:hAnsi="Book Antiqua"/>
          <w:color w:val="auto"/>
        </w:rPr>
        <w:t xml:space="preserve"> ranges from 86% to 100%</w:t>
      </w:r>
      <w:r w:rsidR="00866987">
        <w:rPr>
          <w:rFonts w:ascii="Book Antiqua" w:eastAsiaTheme="minorEastAsia" w:hAnsi="Book Antiqua" w:hint="eastAsia"/>
          <w:color w:val="auto"/>
          <w:vertAlign w:val="superscript"/>
        </w:rPr>
        <w:t>[</w:t>
      </w:r>
      <w:r w:rsidRPr="005D2C0B">
        <w:rPr>
          <w:rFonts w:ascii="Book Antiqua" w:hAnsi="Book Antiqua"/>
          <w:color w:val="auto"/>
          <w:vertAlign w:val="superscript"/>
        </w:rPr>
        <w:t>14,22,29,33,38,39</w:t>
      </w:r>
      <w:r w:rsidR="00866987">
        <w:rPr>
          <w:rFonts w:ascii="Book Antiqua" w:eastAsiaTheme="minorEastAsia" w:hAnsi="Book Antiqua" w:hint="eastAsia"/>
          <w:color w:val="auto"/>
          <w:vertAlign w:val="superscript"/>
        </w:rPr>
        <w:t>]</w:t>
      </w:r>
      <w:r w:rsidR="00866987">
        <w:rPr>
          <w:rFonts w:ascii="Book Antiqua" w:hAnsi="Book Antiqua"/>
          <w:color w:val="auto"/>
        </w:rPr>
        <w:t>. No recurrence was d</w:t>
      </w:r>
      <w:r w:rsidR="00866987">
        <w:rPr>
          <w:rFonts w:ascii="Book Antiqua" w:hAnsi="Book Antiqua"/>
          <w:color w:val="auto"/>
        </w:rPr>
        <w:t>e</w:t>
      </w:r>
      <w:r w:rsidR="00866987">
        <w:rPr>
          <w:rFonts w:ascii="Book Antiqua" w:hAnsi="Book Antiqua"/>
          <w:color w:val="auto"/>
        </w:rPr>
        <w:t>scribed</w:t>
      </w:r>
      <w:r w:rsidR="00866987">
        <w:rPr>
          <w:rFonts w:ascii="Book Antiqua" w:eastAsiaTheme="minorEastAsia" w:hAnsi="Book Antiqua" w:hint="eastAsia"/>
          <w:color w:val="auto"/>
          <w:vertAlign w:val="superscript"/>
        </w:rPr>
        <w:t>[</w:t>
      </w:r>
      <w:r w:rsidRPr="005D2C0B">
        <w:rPr>
          <w:rFonts w:ascii="Book Antiqua" w:hAnsi="Book Antiqua"/>
          <w:color w:val="auto"/>
          <w:vertAlign w:val="superscript"/>
        </w:rPr>
        <w:t>14,22,33,38,39</w:t>
      </w:r>
      <w:r w:rsidR="00866987">
        <w:rPr>
          <w:rFonts w:ascii="Book Antiqua" w:eastAsiaTheme="minorEastAsia" w:hAnsi="Book Antiqua" w:hint="eastAsia"/>
          <w:color w:val="auto"/>
          <w:vertAlign w:val="superscript"/>
        </w:rPr>
        <w:t>]</w:t>
      </w:r>
      <w:r w:rsidRPr="005D2C0B">
        <w:rPr>
          <w:rFonts w:ascii="Book Antiqua" w:hAnsi="Book Antiqua"/>
          <w:color w:val="auto"/>
        </w:rPr>
        <w:t>. The choice of ESD instead of piecemeal EMR may be a way of reducing the recurrence associated with this last technique</w:t>
      </w:r>
      <w:r w:rsidR="00866987">
        <w:rPr>
          <w:rFonts w:ascii="Book Antiqua" w:eastAsiaTheme="minorEastAsia" w:hAnsi="Book Antiqua" w:hint="eastAsia"/>
          <w:color w:val="auto"/>
          <w:vertAlign w:val="superscript"/>
        </w:rPr>
        <w:t>[13]</w:t>
      </w:r>
      <w:r w:rsidRPr="005D2C0B">
        <w:rPr>
          <w:rFonts w:ascii="Book Antiqua" w:hAnsi="Book Antiqua"/>
          <w:color w:val="auto"/>
        </w:rPr>
        <w:t>.</w:t>
      </w:r>
    </w:p>
    <w:p w14:paraId="629DF6CD" w14:textId="15BBE6FE" w:rsidR="00792914" w:rsidRPr="005D2C0B" w:rsidRDefault="00514CDD" w:rsidP="00866987">
      <w:pPr>
        <w:pStyle w:val="BodyA"/>
        <w:spacing w:line="360" w:lineRule="auto"/>
        <w:ind w:firstLineChars="100" w:firstLine="240"/>
        <w:jc w:val="both"/>
        <w:rPr>
          <w:rFonts w:ascii="Book Antiqua" w:eastAsia="Book Antiqua" w:hAnsi="Book Antiqua" w:cs="Book Antiqua"/>
          <w:color w:val="auto"/>
        </w:rPr>
      </w:pPr>
      <w:r w:rsidRPr="005D2C0B">
        <w:rPr>
          <w:rFonts w:ascii="Book Antiqua" w:hAnsi="Book Antiqua"/>
          <w:color w:val="auto"/>
        </w:rPr>
        <w:t xml:space="preserve">In a study by Honda </w:t>
      </w:r>
      <w:r w:rsidRPr="00866987">
        <w:rPr>
          <w:rFonts w:ascii="Book Antiqua" w:hAnsi="Book Antiqua"/>
          <w:i/>
          <w:color w:val="auto"/>
        </w:rPr>
        <w:t>et al</w:t>
      </w:r>
      <w:r w:rsidR="00866987">
        <w:rPr>
          <w:rFonts w:ascii="Book Antiqua" w:eastAsiaTheme="minorEastAsia" w:hAnsi="Book Antiqua" w:hint="eastAsia"/>
          <w:color w:val="auto"/>
          <w:vertAlign w:val="superscript"/>
        </w:rPr>
        <w:t>[14]</w:t>
      </w:r>
      <w:r w:rsidRPr="005D2C0B">
        <w:rPr>
          <w:rFonts w:ascii="Book Antiqua" w:hAnsi="Book Antiqua"/>
          <w:color w:val="auto"/>
        </w:rPr>
        <w:t>, in which 15 non ampullary adenomas were r</w:t>
      </w:r>
      <w:r w:rsidRPr="005D2C0B">
        <w:rPr>
          <w:rFonts w:ascii="Book Antiqua" w:hAnsi="Book Antiqua"/>
          <w:color w:val="auto"/>
        </w:rPr>
        <w:t>e</w:t>
      </w:r>
      <w:r w:rsidRPr="005D2C0B">
        <w:rPr>
          <w:rFonts w:ascii="Book Antiqua" w:hAnsi="Book Antiqua"/>
          <w:color w:val="auto"/>
        </w:rPr>
        <w:t>sected by endoscopy (9 by ESD and the rest by EMR), found that the average diameter of the lesions removed by ESD was 24 mm (the largest lesion had 39 mm), and that those removed by EMR had an average size of 8 mm. The mean time of the interventions was also registered. ESD and EMR procedures took respectively 85 and 16 min in average. The inclusion of larger and more challenging lesions, as well as duodenal more difficult haemostasis in duod</w:t>
      </w:r>
      <w:r w:rsidRPr="005D2C0B">
        <w:rPr>
          <w:rFonts w:ascii="Book Antiqua" w:hAnsi="Book Antiqua"/>
          <w:color w:val="auto"/>
        </w:rPr>
        <w:t>e</w:t>
      </w:r>
      <w:r w:rsidRPr="005D2C0B">
        <w:rPr>
          <w:rFonts w:ascii="Book Antiqua" w:hAnsi="Book Antiqua"/>
          <w:color w:val="auto"/>
        </w:rPr>
        <w:t>num, are possible explanations given by the author for the time consumed by ESD.</w:t>
      </w:r>
    </w:p>
    <w:p w14:paraId="61120E35" w14:textId="5590F248" w:rsidR="00792914" w:rsidRPr="005D2C0B" w:rsidRDefault="00514CDD" w:rsidP="00E17111">
      <w:pPr>
        <w:pStyle w:val="BodyA"/>
        <w:spacing w:line="360" w:lineRule="auto"/>
        <w:ind w:firstLineChars="100" w:firstLine="240"/>
        <w:jc w:val="both"/>
        <w:rPr>
          <w:rFonts w:ascii="Book Antiqua" w:eastAsia="Book Antiqua" w:hAnsi="Book Antiqua" w:cs="Book Antiqua"/>
          <w:color w:val="auto"/>
        </w:rPr>
      </w:pPr>
      <w:r w:rsidRPr="005D2C0B">
        <w:rPr>
          <w:rFonts w:ascii="Book Antiqua" w:hAnsi="Book Antiqua"/>
          <w:color w:val="auto"/>
        </w:rPr>
        <w:t>Obtaining en bloc resection with negative margins is a well-known ESD advantage</w:t>
      </w:r>
      <w:r w:rsidR="00E17111">
        <w:rPr>
          <w:rFonts w:ascii="Book Antiqua" w:eastAsiaTheme="minorEastAsia" w:hAnsi="Book Antiqua" w:hint="eastAsia"/>
          <w:color w:val="auto"/>
          <w:vertAlign w:val="superscript"/>
        </w:rPr>
        <w:t>[40]</w:t>
      </w:r>
      <w:r w:rsidRPr="005D2C0B">
        <w:rPr>
          <w:rFonts w:ascii="Book Antiqua" w:hAnsi="Book Antiqua"/>
          <w:color w:val="auto"/>
        </w:rPr>
        <w:t xml:space="preserve">. According to Endo </w:t>
      </w:r>
      <w:r w:rsidRPr="005D2C0B">
        <w:rPr>
          <w:rFonts w:ascii="Book Antiqua" w:hAnsi="Book Antiqua"/>
          <w:i/>
          <w:iCs/>
          <w:color w:val="auto"/>
        </w:rPr>
        <w:t>et al</w:t>
      </w:r>
      <w:r w:rsidR="00E17111">
        <w:rPr>
          <w:rFonts w:ascii="Book Antiqua" w:eastAsiaTheme="minorEastAsia" w:hAnsi="Book Antiqua" w:hint="eastAsia"/>
          <w:iCs/>
          <w:color w:val="auto"/>
          <w:vertAlign w:val="superscript"/>
        </w:rPr>
        <w:t>[33]</w:t>
      </w:r>
      <w:r w:rsidRPr="005D2C0B">
        <w:rPr>
          <w:rFonts w:ascii="Book Antiqua" w:hAnsi="Book Antiqua"/>
          <w:color w:val="auto"/>
        </w:rPr>
        <w:t>, ESD should be the procedure of choice for lesions larger than 10 mm, and when it is desirable to obtain en bloc resection (including lesions whose biopsy or magnification endoscopy are suggestive of carcinoma). In their study, all adenomas larger than 10 mm r</w:t>
      </w:r>
      <w:r w:rsidRPr="005D2C0B">
        <w:rPr>
          <w:rFonts w:ascii="Book Antiqua" w:hAnsi="Book Antiqua"/>
          <w:color w:val="auto"/>
        </w:rPr>
        <w:t>e</w:t>
      </w:r>
      <w:r w:rsidRPr="005D2C0B">
        <w:rPr>
          <w:rFonts w:ascii="Book Antiqua" w:hAnsi="Book Antiqua"/>
          <w:color w:val="auto"/>
        </w:rPr>
        <w:t>sected by EMR revealed positive margins. All adenomas resected by ESD had negative margins (the biggest lesion diameter was 30 mm).</w:t>
      </w:r>
    </w:p>
    <w:p w14:paraId="0CB7EB23" w14:textId="0590BF20" w:rsidR="00792914" w:rsidRPr="00E17111" w:rsidRDefault="00514CDD" w:rsidP="00866987">
      <w:pPr>
        <w:pStyle w:val="BodyA"/>
        <w:spacing w:line="360" w:lineRule="auto"/>
        <w:jc w:val="both"/>
        <w:rPr>
          <w:rFonts w:ascii="Book Antiqua" w:eastAsia="Book Antiqua" w:hAnsi="Book Antiqua" w:cs="Book Antiqua"/>
          <w:b/>
          <w:i/>
          <w:color w:val="auto"/>
        </w:rPr>
      </w:pPr>
      <w:r w:rsidRPr="005D2C0B">
        <w:rPr>
          <w:rFonts w:ascii="Book Antiqua" w:eastAsia="Book Antiqua" w:hAnsi="Book Antiqua" w:cs="Book Antiqua"/>
          <w:color w:val="auto"/>
        </w:rPr>
        <w:br/>
      </w:r>
      <w:r w:rsidRPr="00E17111">
        <w:rPr>
          <w:rFonts w:ascii="Book Antiqua" w:hAnsi="Book Antiqua"/>
          <w:b/>
          <w:i/>
          <w:color w:val="auto"/>
        </w:rPr>
        <w:t>S</w:t>
      </w:r>
      <w:r w:rsidR="00E17111" w:rsidRPr="00E17111">
        <w:rPr>
          <w:rFonts w:ascii="Book Antiqua" w:hAnsi="Book Antiqua"/>
          <w:b/>
          <w:i/>
          <w:color w:val="auto"/>
        </w:rPr>
        <w:t>afety</w:t>
      </w:r>
    </w:p>
    <w:p w14:paraId="35266E11" w14:textId="7114DF8C" w:rsidR="00792914" w:rsidRPr="005D2C0B" w:rsidRDefault="00514CDD" w:rsidP="00866987">
      <w:pPr>
        <w:pStyle w:val="BodyA"/>
        <w:spacing w:line="360" w:lineRule="auto"/>
        <w:jc w:val="both"/>
        <w:rPr>
          <w:rFonts w:ascii="Book Antiqua" w:eastAsia="Book Antiqua" w:hAnsi="Book Antiqua" w:cs="Book Antiqua"/>
          <w:color w:val="auto"/>
        </w:rPr>
      </w:pPr>
      <w:r w:rsidRPr="005D2C0B">
        <w:rPr>
          <w:rFonts w:ascii="Book Antiqua" w:hAnsi="Book Antiqua"/>
          <w:color w:val="auto"/>
        </w:rPr>
        <w:t>In three clinical trials, ESD was associated with a bl</w:t>
      </w:r>
      <w:r w:rsidR="00E17111">
        <w:rPr>
          <w:rFonts w:ascii="Book Antiqua" w:hAnsi="Book Antiqua"/>
          <w:color w:val="auto"/>
        </w:rPr>
        <w:t>eeding rate between 8% and 22%</w:t>
      </w:r>
      <w:r w:rsidR="00E17111">
        <w:rPr>
          <w:rFonts w:ascii="Book Antiqua" w:eastAsiaTheme="minorEastAsia" w:hAnsi="Book Antiqua" w:hint="eastAsia"/>
          <w:color w:val="auto"/>
          <w:vertAlign w:val="superscript"/>
        </w:rPr>
        <w:t>[</w:t>
      </w:r>
      <w:r w:rsidRPr="005D2C0B">
        <w:rPr>
          <w:rFonts w:ascii="Book Antiqua" w:hAnsi="Book Antiqua"/>
          <w:color w:val="auto"/>
          <w:vertAlign w:val="superscript"/>
        </w:rPr>
        <w:t>14,22,41</w:t>
      </w:r>
      <w:r w:rsidR="00E17111">
        <w:rPr>
          <w:rFonts w:ascii="Book Antiqua" w:eastAsiaTheme="minorEastAsia" w:hAnsi="Book Antiqua" w:hint="eastAsia"/>
          <w:color w:val="auto"/>
          <w:vertAlign w:val="superscript"/>
        </w:rPr>
        <w:t>]</w:t>
      </w:r>
      <w:r w:rsidRPr="005D2C0B">
        <w:rPr>
          <w:rFonts w:ascii="Book Antiqua" w:hAnsi="Book Antiqua"/>
          <w:color w:val="auto"/>
        </w:rPr>
        <w:t>. All cases were managed with endoscopic haemostatic clips, without requiring blood transfusion. The reported d</w:t>
      </w:r>
      <w:r w:rsidR="00E17111">
        <w:rPr>
          <w:rFonts w:ascii="Book Antiqua" w:hAnsi="Book Antiqua"/>
          <w:color w:val="auto"/>
        </w:rPr>
        <w:t>uodenal perforation rate is 31%</w:t>
      </w:r>
      <w:r w:rsidR="00E17111">
        <w:rPr>
          <w:rFonts w:ascii="Book Antiqua" w:eastAsiaTheme="minorEastAsia" w:hAnsi="Book Antiqua" w:hint="eastAsia"/>
          <w:color w:val="auto"/>
          <w:vertAlign w:val="superscript"/>
        </w:rPr>
        <w:t>[</w:t>
      </w:r>
      <w:r w:rsidRPr="005D2C0B">
        <w:rPr>
          <w:rFonts w:ascii="Book Antiqua" w:hAnsi="Book Antiqua"/>
          <w:color w:val="auto"/>
          <w:vertAlign w:val="superscript"/>
        </w:rPr>
        <w:t>14,22,33,38,39</w:t>
      </w:r>
      <w:r w:rsidR="00E17111">
        <w:rPr>
          <w:rFonts w:ascii="Book Antiqua" w:eastAsiaTheme="minorEastAsia" w:hAnsi="Book Antiqua" w:hint="eastAsia"/>
          <w:color w:val="auto"/>
          <w:vertAlign w:val="superscript"/>
        </w:rPr>
        <w:t>]</w:t>
      </w:r>
      <w:r w:rsidRPr="005D2C0B">
        <w:rPr>
          <w:rFonts w:ascii="Book Antiqua" w:hAnsi="Book Antiqua"/>
          <w:color w:val="auto"/>
        </w:rPr>
        <w:t>. This percentage is higher than the one obtained in the o</w:t>
      </w:r>
      <w:r w:rsidRPr="005D2C0B">
        <w:rPr>
          <w:rFonts w:ascii="Book Antiqua" w:hAnsi="Book Antiqua"/>
          <w:color w:val="auto"/>
        </w:rPr>
        <w:t>e</w:t>
      </w:r>
      <w:r w:rsidRPr="005D2C0B">
        <w:rPr>
          <w:rFonts w:ascii="Book Antiqua" w:hAnsi="Book Antiqua"/>
          <w:color w:val="auto"/>
        </w:rPr>
        <w:t>sophagus, stomach and colon, and is associated to the anatomica</w:t>
      </w:r>
      <w:r w:rsidR="00E17111">
        <w:rPr>
          <w:rFonts w:ascii="Book Antiqua" w:hAnsi="Book Antiqua"/>
          <w:color w:val="auto"/>
        </w:rPr>
        <w:t>l peculiarities of the duodenum</w:t>
      </w:r>
      <w:r w:rsidR="00E17111">
        <w:rPr>
          <w:rFonts w:ascii="Book Antiqua" w:eastAsiaTheme="minorEastAsia" w:hAnsi="Book Antiqua" w:hint="eastAsia"/>
          <w:color w:val="auto"/>
          <w:vertAlign w:val="superscript"/>
        </w:rPr>
        <w:t>[</w:t>
      </w:r>
      <w:r w:rsidRPr="005D2C0B">
        <w:rPr>
          <w:rFonts w:ascii="Book Antiqua" w:hAnsi="Book Antiqua"/>
          <w:color w:val="auto"/>
          <w:vertAlign w:val="superscript"/>
        </w:rPr>
        <w:t>22</w:t>
      </w:r>
      <w:r w:rsidR="00E17111">
        <w:rPr>
          <w:rFonts w:ascii="Book Antiqua" w:eastAsiaTheme="minorEastAsia" w:hAnsi="Book Antiqua" w:hint="eastAsia"/>
          <w:color w:val="auto"/>
          <w:vertAlign w:val="superscript"/>
        </w:rPr>
        <w:t>]</w:t>
      </w:r>
      <w:r w:rsidRPr="005D2C0B">
        <w:rPr>
          <w:rFonts w:ascii="Book Antiqua" w:hAnsi="Book Antiqua"/>
          <w:color w:val="auto"/>
        </w:rPr>
        <w:t>. Duodenal perforation may have a difficult approach and contribute to increased morbidity and mortality of the patient, hospitalizati</w:t>
      </w:r>
      <w:r w:rsidR="00E17111">
        <w:rPr>
          <w:rFonts w:ascii="Book Antiqua" w:hAnsi="Book Antiqua"/>
          <w:color w:val="auto"/>
        </w:rPr>
        <w:t>on period and health care costs</w:t>
      </w:r>
      <w:r w:rsidR="00E17111">
        <w:rPr>
          <w:rFonts w:ascii="Book Antiqua" w:eastAsiaTheme="minorEastAsia" w:hAnsi="Book Antiqua" w:hint="eastAsia"/>
          <w:color w:val="auto"/>
          <w:vertAlign w:val="superscript"/>
        </w:rPr>
        <w:t>[</w:t>
      </w:r>
      <w:r w:rsidRPr="005D2C0B">
        <w:rPr>
          <w:rFonts w:ascii="Book Antiqua" w:hAnsi="Book Antiqua"/>
          <w:color w:val="auto"/>
          <w:vertAlign w:val="superscript"/>
        </w:rPr>
        <w:t>40</w:t>
      </w:r>
      <w:r w:rsidR="00E17111">
        <w:rPr>
          <w:rFonts w:ascii="Book Antiqua" w:eastAsiaTheme="minorEastAsia" w:hAnsi="Book Antiqua" w:hint="eastAsia"/>
          <w:color w:val="auto"/>
          <w:vertAlign w:val="superscript"/>
        </w:rPr>
        <w:t>]</w:t>
      </w:r>
      <w:r w:rsidRPr="005D2C0B">
        <w:rPr>
          <w:rFonts w:ascii="Book Antiqua" w:hAnsi="Book Antiqua"/>
          <w:color w:val="auto"/>
        </w:rPr>
        <w:t>.</w:t>
      </w:r>
    </w:p>
    <w:p w14:paraId="1E595C3E" w14:textId="3582B25A" w:rsidR="00792914" w:rsidRPr="005D2C0B" w:rsidRDefault="00514CDD" w:rsidP="00E17111">
      <w:pPr>
        <w:pStyle w:val="BodyA"/>
        <w:spacing w:line="360" w:lineRule="auto"/>
        <w:ind w:firstLineChars="100" w:firstLine="240"/>
        <w:jc w:val="both"/>
        <w:rPr>
          <w:rFonts w:ascii="Book Antiqua" w:eastAsia="Book Antiqua" w:hAnsi="Book Antiqua" w:cs="Book Antiqua"/>
          <w:color w:val="auto"/>
        </w:rPr>
      </w:pPr>
      <w:r w:rsidRPr="005D2C0B">
        <w:rPr>
          <w:rFonts w:ascii="Book Antiqua" w:hAnsi="Book Antiqua"/>
          <w:color w:val="auto"/>
        </w:rPr>
        <w:t>Late perforation is a very serious complication that, according to a retr</w:t>
      </w:r>
      <w:r w:rsidRPr="005D2C0B">
        <w:rPr>
          <w:rFonts w:ascii="Book Antiqua" w:hAnsi="Book Antiqua"/>
          <w:color w:val="auto"/>
        </w:rPr>
        <w:t>o</w:t>
      </w:r>
      <w:r w:rsidRPr="005D2C0B">
        <w:rPr>
          <w:rFonts w:ascii="Book Antiqua" w:hAnsi="Book Antiqua"/>
          <w:color w:val="auto"/>
        </w:rPr>
        <w:t>spective study published in 2013, is significantly associated with the end</w:t>
      </w:r>
      <w:r w:rsidRPr="005D2C0B">
        <w:rPr>
          <w:rFonts w:ascii="Book Antiqua" w:hAnsi="Book Antiqua"/>
          <w:color w:val="auto"/>
        </w:rPr>
        <w:t>o</w:t>
      </w:r>
      <w:r w:rsidRPr="005D2C0B">
        <w:rPr>
          <w:rFonts w:ascii="Book Antiqua" w:hAnsi="Book Antiqua"/>
          <w:color w:val="auto"/>
        </w:rPr>
        <w:t>scopic technique that was used and the location of the lesion</w:t>
      </w:r>
      <w:r w:rsidR="00E17111">
        <w:rPr>
          <w:rFonts w:ascii="Book Antiqua" w:eastAsiaTheme="minorEastAsia" w:hAnsi="Book Antiqua" w:hint="eastAsia"/>
          <w:color w:val="auto"/>
          <w:vertAlign w:val="superscript"/>
        </w:rPr>
        <w:t>[41]</w:t>
      </w:r>
      <w:r w:rsidRPr="005D2C0B">
        <w:rPr>
          <w:rFonts w:ascii="Book Antiqua" w:hAnsi="Book Antiqua"/>
          <w:color w:val="auto"/>
        </w:rPr>
        <w:t>. In this study, that included lesions resected by EMR or ESD, all late perforations occurred after ESD or piecemeal EMR, which according to the authors, may be due to electrocautery overloading. It was also found that all perforations were distal to the ampulla of Vater, which seems to happen because of the proteolysis or chemical irritation caused by exposure of the duodenal wall to the pancreatic juice and bile enzymes, which can be decreased with the admini</w:t>
      </w:r>
      <w:r w:rsidR="00E17111">
        <w:rPr>
          <w:rFonts w:ascii="Book Antiqua" w:hAnsi="Book Antiqua"/>
          <w:color w:val="auto"/>
        </w:rPr>
        <w:t>stration of protease inhibitors</w:t>
      </w:r>
      <w:r w:rsidR="00E17111">
        <w:rPr>
          <w:rFonts w:ascii="Book Antiqua" w:eastAsiaTheme="minorEastAsia" w:hAnsi="Book Antiqua" w:hint="eastAsia"/>
          <w:color w:val="auto"/>
          <w:vertAlign w:val="superscript"/>
        </w:rPr>
        <w:t>[</w:t>
      </w:r>
      <w:r w:rsidRPr="005D2C0B">
        <w:rPr>
          <w:rFonts w:ascii="Book Antiqua" w:hAnsi="Book Antiqua"/>
          <w:color w:val="auto"/>
          <w:vertAlign w:val="superscript"/>
        </w:rPr>
        <w:t>14,39</w:t>
      </w:r>
      <w:r w:rsidR="00E17111">
        <w:rPr>
          <w:rFonts w:ascii="Book Antiqua" w:eastAsiaTheme="minorEastAsia" w:hAnsi="Book Antiqua" w:hint="eastAsia"/>
          <w:color w:val="auto"/>
          <w:vertAlign w:val="superscript"/>
        </w:rPr>
        <w:t>]</w:t>
      </w:r>
      <w:r w:rsidRPr="005D2C0B">
        <w:rPr>
          <w:rFonts w:ascii="Book Antiqua" w:hAnsi="Book Antiqua"/>
          <w:color w:val="auto"/>
        </w:rPr>
        <w:t>. Given that there are several factors that may be ass</w:t>
      </w:r>
      <w:r w:rsidRPr="005D2C0B">
        <w:rPr>
          <w:rFonts w:ascii="Book Antiqua" w:hAnsi="Book Antiqua"/>
          <w:color w:val="auto"/>
        </w:rPr>
        <w:t>o</w:t>
      </w:r>
      <w:r w:rsidRPr="005D2C0B">
        <w:rPr>
          <w:rFonts w:ascii="Book Antiqua" w:hAnsi="Book Antiqua"/>
          <w:color w:val="auto"/>
        </w:rPr>
        <w:t>ciated with perforations, it is difficult to clarify which ones are more likely to relate to their origin</w:t>
      </w:r>
      <w:r w:rsidR="00E17111">
        <w:rPr>
          <w:rFonts w:ascii="Book Antiqua" w:eastAsiaTheme="minorEastAsia" w:hAnsi="Book Antiqua" w:hint="eastAsia"/>
          <w:color w:val="auto"/>
          <w:vertAlign w:val="superscript"/>
        </w:rPr>
        <w:t>[22]</w:t>
      </w:r>
      <w:r w:rsidRPr="005D2C0B">
        <w:rPr>
          <w:rFonts w:ascii="Book Antiqua" w:hAnsi="Book Antiqua"/>
          <w:color w:val="auto"/>
        </w:rPr>
        <w:t>. Jung suggests that ESD is itself a perforation risk fa</w:t>
      </w:r>
      <w:r w:rsidRPr="005D2C0B">
        <w:rPr>
          <w:rFonts w:ascii="Book Antiqua" w:hAnsi="Book Antiqua"/>
          <w:color w:val="auto"/>
        </w:rPr>
        <w:t>c</w:t>
      </w:r>
      <w:r w:rsidRPr="005D2C0B">
        <w:rPr>
          <w:rFonts w:ascii="Book Antiqua" w:hAnsi="Book Antiqua"/>
          <w:color w:val="auto"/>
        </w:rPr>
        <w:t>tor and, therefore, it should be performed only in selected patients</w:t>
      </w:r>
      <w:r w:rsidR="00E17111">
        <w:rPr>
          <w:rFonts w:ascii="Book Antiqua" w:eastAsiaTheme="minorEastAsia" w:hAnsi="Book Antiqua" w:hint="eastAsia"/>
          <w:color w:val="auto"/>
          <w:vertAlign w:val="superscript"/>
        </w:rPr>
        <w:t>[39]</w:t>
      </w:r>
      <w:r w:rsidRPr="005D2C0B">
        <w:rPr>
          <w:rFonts w:ascii="Book Antiqua" w:hAnsi="Book Antiqua"/>
          <w:color w:val="auto"/>
        </w:rPr>
        <w:t>. The most appropriate prophylactic intervention and approach to late perforation in the duodenum have not been established yet</w:t>
      </w:r>
      <w:r w:rsidR="00E17111">
        <w:rPr>
          <w:rFonts w:ascii="Book Antiqua" w:eastAsiaTheme="minorEastAsia" w:hAnsi="Book Antiqua" w:hint="eastAsia"/>
          <w:color w:val="auto"/>
          <w:vertAlign w:val="superscript"/>
        </w:rPr>
        <w:t>[41]</w:t>
      </w:r>
      <w:r w:rsidRPr="005D2C0B">
        <w:rPr>
          <w:rFonts w:ascii="Book Antiqua" w:hAnsi="Book Antiqua"/>
          <w:color w:val="auto"/>
        </w:rPr>
        <w:t>.</w:t>
      </w:r>
    </w:p>
    <w:p w14:paraId="653476BC" w14:textId="77777777" w:rsidR="00792914" w:rsidRPr="005D2C0B" w:rsidRDefault="00792914" w:rsidP="00866987">
      <w:pPr>
        <w:pStyle w:val="BodyA"/>
        <w:spacing w:line="360" w:lineRule="auto"/>
        <w:jc w:val="both"/>
        <w:rPr>
          <w:rFonts w:ascii="Book Antiqua" w:eastAsia="Book Antiqua" w:hAnsi="Book Antiqua" w:cs="Book Antiqua"/>
          <w:color w:val="auto"/>
        </w:rPr>
      </w:pPr>
    </w:p>
    <w:p w14:paraId="4F001849" w14:textId="73EE3E01" w:rsidR="00792914" w:rsidRPr="00E17111" w:rsidRDefault="00514CDD" w:rsidP="00866987">
      <w:pPr>
        <w:pStyle w:val="BodyA"/>
        <w:spacing w:line="360" w:lineRule="auto"/>
        <w:jc w:val="both"/>
        <w:rPr>
          <w:rFonts w:ascii="Book Antiqua" w:eastAsiaTheme="minorEastAsia" w:hAnsi="Book Antiqua" w:cs="Book Antiqua"/>
          <w:b/>
          <w:color w:val="auto"/>
        </w:rPr>
      </w:pPr>
      <w:r w:rsidRPr="00E17111">
        <w:rPr>
          <w:rFonts w:ascii="Book Antiqua" w:hAnsi="Book Antiqua"/>
          <w:b/>
          <w:color w:val="auto"/>
        </w:rPr>
        <w:t>FOLLOW-UP</w:t>
      </w:r>
    </w:p>
    <w:p w14:paraId="51B09012" w14:textId="443A8004" w:rsidR="00792914" w:rsidRPr="005D2C0B" w:rsidRDefault="00514CDD" w:rsidP="00866987">
      <w:pPr>
        <w:pStyle w:val="BodyA"/>
        <w:spacing w:line="360" w:lineRule="auto"/>
        <w:jc w:val="both"/>
        <w:rPr>
          <w:rFonts w:ascii="Book Antiqua" w:eastAsia="Book Antiqua" w:hAnsi="Book Antiqua" w:cs="Book Antiqua"/>
          <w:color w:val="auto"/>
        </w:rPr>
      </w:pPr>
      <w:r w:rsidRPr="005D2C0B">
        <w:rPr>
          <w:rFonts w:ascii="Book Antiqua" w:hAnsi="Book Antiqua"/>
          <w:color w:val="auto"/>
        </w:rPr>
        <w:t>The guidelines published by the ASGE emphasize that all patients who have undergone endoscopic resection of a sporadic duodenal adenoma should be considered for a follow-up program for the detection and treatment of any recurrence</w:t>
      </w:r>
      <w:r w:rsidR="00E17111">
        <w:rPr>
          <w:rFonts w:ascii="Book Antiqua" w:eastAsiaTheme="minorEastAsia" w:hAnsi="Book Antiqua" w:hint="eastAsia"/>
          <w:color w:val="auto"/>
          <w:vertAlign w:val="superscript"/>
        </w:rPr>
        <w:t>[24]</w:t>
      </w:r>
      <w:r w:rsidRPr="005D2C0B">
        <w:rPr>
          <w:rFonts w:ascii="Book Antiqua" w:hAnsi="Book Antiqua"/>
          <w:color w:val="auto"/>
        </w:rPr>
        <w:t>. However, because of the lack of information, formal reco</w:t>
      </w:r>
      <w:r w:rsidRPr="005D2C0B">
        <w:rPr>
          <w:rFonts w:ascii="Book Antiqua" w:hAnsi="Book Antiqua"/>
          <w:color w:val="auto"/>
        </w:rPr>
        <w:t>m</w:t>
      </w:r>
      <w:r w:rsidRPr="005D2C0B">
        <w:rPr>
          <w:rFonts w:ascii="Book Antiqua" w:hAnsi="Book Antiqua"/>
          <w:color w:val="auto"/>
        </w:rPr>
        <w:t>mendations regarding surveillance intervals have not been defined. These should be applied on a patient-basis adjusted on the characteristics of the po</w:t>
      </w:r>
      <w:r w:rsidRPr="005D2C0B">
        <w:rPr>
          <w:rFonts w:ascii="Book Antiqua" w:hAnsi="Book Antiqua"/>
          <w:color w:val="auto"/>
        </w:rPr>
        <w:t>l</w:t>
      </w:r>
      <w:r w:rsidRPr="005D2C0B">
        <w:rPr>
          <w:rFonts w:ascii="Book Antiqua" w:hAnsi="Book Antiqua"/>
          <w:color w:val="auto"/>
        </w:rPr>
        <w:t>yp, adequacy of the initial resection, eventual occurrence of complications and comorbidities of the patient</w:t>
      </w:r>
      <w:r w:rsidR="00E17111">
        <w:rPr>
          <w:rFonts w:ascii="Book Antiqua" w:eastAsiaTheme="minorEastAsia" w:hAnsi="Book Antiqua" w:hint="eastAsia"/>
          <w:color w:val="auto"/>
          <w:vertAlign w:val="superscript"/>
        </w:rPr>
        <w:t>[22]</w:t>
      </w:r>
      <w:r w:rsidRPr="005D2C0B">
        <w:rPr>
          <w:rFonts w:ascii="Book Antiqua" w:hAnsi="Book Antiqua"/>
          <w:color w:val="auto"/>
        </w:rPr>
        <w:t>. According to a review article, most a</w:t>
      </w:r>
      <w:r w:rsidRPr="005D2C0B">
        <w:rPr>
          <w:rFonts w:ascii="Book Antiqua" w:hAnsi="Book Antiqua"/>
          <w:color w:val="auto"/>
        </w:rPr>
        <w:t>u</w:t>
      </w:r>
      <w:r w:rsidRPr="005D2C0B">
        <w:rPr>
          <w:rFonts w:ascii="Book Antiqua" w:hAnsi="Book Antiqua"/>
          <w:color w:val="auto"/>
        </w:rPr>
        <w:t>thors recommended a follow-up endoscopy 3-6 mo after resection, followed by surveillance endoscopies each 6 to 12 mo</w:t>
      </w:r>
      <w:r w:rsidR="00E17111" w:rsidRPr="00E17111">
        <w:rPr>
          <w:rFonts w:ascii="Book Antiqua" w:eastAsiaTheme="minorEastAsia" w:hAnsi="Book Antiqua" w:hint="eastAsia"/>
          <w:color w:val="auto"/>
          <w:vertAlign w:val="superscript"/>
        </w:rPr>
        <w:t>[</w:t>
      </w:r>
      <w:r w:rsidRPr="005D2C0B">
        <w:rPr>
          <w:rFonts w:ascii="Book Antiqua" w:hAnsi="Book Antiqua"/>
          <w:color w:val="auto"/>
          <w:vertAlign w:val="superscript"/>
        </w:rPr>
        <w:t>6</w:t>
      </w:r>
      <w:r w:rsidR="00E17111">
        <w:rPr>
          <w:rFonts w:ascii="Book Antiqua" w:eastAsiaTheme="minorEastAsia" w:hAnsi="Book Antiqua" w:hint="eastAsia"/>
          <w:color w:val="auto"/>
          <w:vertAlign w:val="superscript"/>
        </w:rPr>
        <w:t>]</w:t>
      </w:r>
      <w:r w:rsidRPr="005D2C0B">
        <w:rPr>
          <w:rFonts w:ascii="Book Antiqua" w:hAnsi="Book Antiqua"/>
          <w:color w:val="auto"/>
        </w:rPr>
        <w:t>.</w:t>
      </w:r>
    </w:p>
    <w:p w14:paraId="71D8FC80" w14:textId="3307D890" w:rsidR="00792914" w:rsidRPr="00E17111" w:rsidRDefault="00514CDD" w:rsidP="00866987">
      <w:pPr>
        <w:pStyle w:val="BodyA"/>
        <w:spacing w:line="360" w:lineRule="auto"/>
        <w:jc w:val="both"/>
        <w:rPr>
          <w:rFonts w:ascii="Book Antiqua" w:eastAsiaTheme="minorEastAsia" w:hAnsi="Book Antiqua" w:cs="Book Antiqua"/>
          <w:b/>
          <w:color w:val="auto"/>
        </w:rPr>
      </w:pPr>
      <w:r w:rsidRPr="005D2C0B">
        <w:rPr>
          <w:rFonts w:ascii="Book Antiqua" w:eastAsia="Book Antiqua" w:hAnsi="Book Antiqua" w:cs="Book Antiqua"/>
          <w:color w:val="auto"/>
        </w:rPr>
        <w:br/>
      </w:r>
      <w:r w:rsidRPr="00E17111">
        <w:rPr>
          <w:rFonts w:ascii="Book Antiqua" w:hAnsi="Book Antiqua"/>
          <w:b/>
          <w:color w:val="auto"/>
        </w:rPr>
        <w:t>CONCLUSION</w:t>
      </w:r>
    </w:p>
    <w:p w14:paraId="2C5BB456" w14:textId="1836B937" w:rsidR="00792914" w:rsidRPr="005D2C0B" w:rsidRDefault="00514CDD" w:rsidP="00866987">
      <w:pPr>
        <w:pStyle w:val="BodyA"/>
        <w:spacing w:line="360" w:lineRule="auto"/>
        <w:jc w:val="both"/>
        <w:rPr>
          <w:rFonts w:ascii="Book Antiqua" w:eastAsia="Book Antiqua" w:hAnsi="Book Antiqua" w:cs="Book Antiqua"/>
          <w:color w:val="auto"/>
        </w:rPr>
      </w:pPr>
      <w:r w:rsidRPr="005D2C0B">
        <w:rPr>
          <w:rFonts w:ascii="Book Antiqua" w:hAnsi="Book Antiqua"/>
          <w:color w:val="auto"/>
        </w:rPr>
        <w:t>Analysis of the literature on this topic reveals a reduced number of reviews and studies, that generally include a small sample of patients and short fo</w:t>
      </w:r>
      <w:r w:rsidRPr="005D2C0B">
        <w:rPr>
          <w:rFonts w:ascii="Book Antiqua" w:hAnsi="Book Antiqua"/>
          <w:color w:val="auto"/>
        </w:rPr>
        <w:t>l</w:t>
      </w:r>
      <w:r w:rsidRPr="005D2C0B">
        <w:rPr>
          <w:rFonts w:ascii="Book Antiqua" w:hAnsi="Book Antiqua"/>
          <w:color w:val="auto"/>
        </w:rPr>
        <w:t>low-up periods, which hinders drawing consistent conclusions about the e</w:t>
      </w:r>
      <w:r w:rsidRPr="005D2C0B">
        <w:rPr>
          <w:rFonts w:ascii="Book Antiqua" w:hAnsi="Book Antiqua"/>
          <w:color w:val="auto"/>
        </w:rPr>
        <w:t>n</w:t>
      </w:r>
      <w:r w:rsidRPr="005D2C0B">
        <w:rPr>
          <w:rFonts w:ascii="Book Antiqua" w:hAnsi="Book Antiqua"/>
          <w:color w:val="auto"/>
        </w:rPr>
        <w:t>doscopic resection long-term effectiveness of sporadic nonampullary aden</w:t>
      </w:r>
      <w:r w:rsidRPr="005D2C0B">
        <w:rPr>
          <w:rFonts w:ascii="Book Antiqua" w:hAnsi="Book Antiqua"/>
          <w:color w:val="auto"/>
        </w:rPr>
        <w:t>o</w:t>
      </w:r>
      <w:r w:rsidR="00E17111">
        <w:rPr>
          <w:rFonts w:ascii="Book Antiqua" w:hAnsi="Book Antiqua"/>
          <w:color w:val="auto"/>
        </w:rPr>
        <w:t>mas</w:t>
      </w:r>
      <w:r w:rsidR="00E17111">
        <w:rPr>
          <w:rFonts w:ascii="Book Antiqua" w:eastAsiaTheme="minorEastAsia" w:hAnsi="Book Antiqua" w:hint="eastAsia"/>
          <w:color w:val="auto"/>
          <w:vertAlign w:val="superscript"/>
        </w:rPr>
        <w:t>[</w:t>
      </w:r>
      <w:r w:rsidRPr="005D2C0B">
        <w:rPr>
          <w:rFonts w:ascii="Book Antiqua" w:hAnsi="Book Antiqua"/>
          <w:color w:val="auto"/>
          <w:vertAlign w:val="superscript"/>
        </w:rPr>
        <w:t>13,19,26,34</w:t>
      </w:r>
      <w:r w:rsidR="00E17111">
        <w:rPr>
          <w:rFonts w:ascii="Book Antiqua" w:eastAsiaTheme="minorEastAsia" w:hAnsi="Book Antiqua" w:hint="eastAsia"/>
          <w:color w:val="auto"/>
          <w:vertAlign w:val="superscript"/>
        </w:rPr>
        <w:t>]</w:t>
      </w:r>
      <w:r w:rsidRPr="005D2C0B">
        <w:rPr>
          <w:rFonts w:ascii="Book Antiqua" w:hAnsi="Book Antiqua"/>
          <w:color w:val="auto"/>
        </w:rPr>
        <w:t>. Some of the results obtained in clinical trials exhibit considerable variability, which doesn’t have a clear justification, but may be associated, for example, to inconsistencies in outcome definitions by different authors, as well as the length of the follow-up period</w:t>
      </w:r>
      <w:r w:rsidR="00E17111">
        <w:rPr>
          <w:rFonts w:ascii="Book Antiqua" w:eastAsiaTheme="minorEastAsia" w:hAnsi="Book Antiqua" w:hint="eastAsia"/>
          <w:color w:val="auto"/>
          <w:vertAlign w:val="superscript"/>
        </w:rPr>
        <w:t>[7]</w:t>
      </w:r>
      <w:r w:rsidRPr="005D2C0B">
        <w:rPr>
          <w:rFonts w:ascii="Book Antiqua" w:hAnsi="Book Antiqua"/>
          <w:color w:val="auto"/>
        </w:rPr>
        <w:t>. Moreover, most studies have a retrospective character, which can introduce selection bias and underestimate the complication rate</w:t>
      </w:r>
      <w:r w:rsidR="00E17111">
        <w:rPr>
          <w:rFonts w:ascii="Book Antiqua" w:eastAsiaTheme="minorEastAsia" w:hAnsi="Book Antiqua" w:hint="eastAsia"/>
          <w:color w:val="auto"/>
          <w:vertAlign w:val="superscript"/>
        </w:rPr>
        <w:t>[34]</w:t>
      </w:r>
      <w:r w:rsidRPr="005D2C0B">
        <w:rPr>
          <w:rFonts w:ascii="Book Antiqua" w:hAnsi="Book Antiqua"/>
          <w:color w:val="auto"/>
        </w:rPr>
        <w:t>.</w:t>
      </w:r>
    </w:p>
    <w:p w14:paraId="55220834" w14:textId="2B92B184" w:rsidR="00792914" w:rsidRPr="005D2C0B" w:rsidRDefault="00514CDD" w:rsidP="00E17111">
      <w:pPr>
        <w:pStyle w:val="BodyA"/>
        <w:spacing w:line="360" w:lineRule="auto"/>
        <w:ind w:firstLineChars="100" w:firstLine="240"/>
        <w:jc w:val="both"/>
        <w:rPr>
          <w:rFonts w:ascii="Book Antiqua" w:eastAsia="Book Antiqua" w:hAnsi="Book Antiqua" w:cs="Book Antiqua"/>
          <w:color w:val="auto"/>
        </w:rPr>
      </w:pPr>
      <w:r w:rsidRPr="005D2C0B">
        <w:rPr>
          <w:rFonts w:ascii="Book Antiqua" w:hAnsi="Book Antiqua"/>
          <w:color w:val="auto"/>
        </w:rPr>
        <w:t>Although most of the analysed studies and endoscopic techniques me</w:t>
      </w:r>
      <w:r w:rsidRPr="005D2C0B">
        <w:rPr>
          <w:rFonts w:ascii="Book Antiqua" w:hAnsi="Book Antiqua"/>
          <w:color w:val="auto"/>
        </w:rPr>
        <w:t>n</w:t>
      </w:r>
      <w:r w:rsidRPr="005D2C0B">
        <w:rPr>
          <w:rFonts w:ascii="Book Antiqua" w:hAnsi="Book Antiqua"/>
          <w:color w:val="auto"/>
        </w:rPr>
        <w:t>tioned in this review were predominantly developed in Asian countries, it is important to note that this reality may not reflect the Western context</w:t>
      </w:r>
      <w:r w:rsidR="00E17111">
        <w:rPr>
          <w:rFonts w:ascii="Book Antiqua" w:eastAsiaTheme="minorEastAsia" w:hAnsi="Book Antiqua" w:hint="eastAsia"/>
          <w:color w:val="auto"/>
          <w:vertAlign w:val="superscript"/>
        </w:rPr>
        <w:t>[6]</w:t>
      </w:r>
      <w:r w:rsidRPr="005D2C0B">
        <w:rPr>
          <w:rFonts w:ascii="Book Antiqua" w:hAnsi="Book Antiqua"/>
          <w:color w:val="auto"/>
        </w:rPr>
        <w:t xml:space="preserve">. After comparing these two populations, Min </w:t>
      </w:r>
      <w:r w:rsidRPr="005D2C0B">
        <w:rPr>
          <w:rFonts w:ascii="Book Antiqua" w:hAnsi="Book Antiqua"/>
          <w:i/>
          <w:iCs/>
          <w:color w:val="auto"/>
        </w:rPr>
        <w:t>et al</w:t>
      </w:r>
      <w:r w:rsidR="00E17111">
        <w:rPr>
          <w:rFonts w:ascii="Book Antiqua" w:eastAsiaTheme="minorEastAsia" w:hAnsi="Book Antiqua" w:hint="eastAsia"/>
          <w:color w:val="auto"/>
          <w:vertAlign w:val="superscript"/>
        </w:rPr>
        <w:t>[34]</w:t>
      </w:r>
      <w:r w:rsidRPr="005D2C0B">
        <w:rPr>
          <w:rFonts w:ascii="Book Antiqua" w:hAnsi="Book Antiqua"/>
          <w:color w:val="auto"/>
        </w:rPr>
        <w:t xml:space="preserve"> states that Western studies show a lower complete resection rate, and suggests that this discrepancy can be clarified by the smaller sized lesions included in Asian studies, since the diagnosis of smaller adenomas has increased in these countries due to gastric cancer screening programs and subsequ</w:t>
      </w:r>
      <w:r w:rsidR="00E17111">
        <w:rPr>
          <w:rFonts w:ascii="Book Antiqua" w:hAnsi="Book Antiqua"/>
          <w:color w:val="auto"/>
        </w:rPr>
        <w:t>ent widespread of the endosc</w:t>
      </w:r>
      <w:r w:rsidR="00E17111">
        <w:rPr>
          <w:rFonts w:ascii="Book Antiqua" w:hAnsi="Book Antiqua"/>
          <w:color w:val="auto"/>
        </w:rPr>
        <w:t>o</w:t>
      </w:r>
      <w:r w:rsidR="00E17111">
        <w:rPr>
          <w:rFonts w:ascii="Book Antiqua" w:hAnsi="Book Antiqua"/>
          <w:color w:val="auto"/>
        </w:rPr>
        <w:t>py</w:t>
      </w:r>
      <w:r w:rsidR="00E17111" w:rsidRPr="00E17111">
        <w:rPr>
          <w:rFonts w:ascii="Book Antiqua" w:eastAsiaTheme="minorEastAsia" w:hAnsi="Book Antiqua" w:hint="eastAsia"/>
          <w:color w:val="auto"/>
          <w:vertAlign w:val="superscript"/>
        </w:rPr>
        <w:t>[</w:t>
      </w:r>
      <w:r w:rsidRPr="005D2C0B">
        <w:rPr>
          <w:rFonts w:ascii="Book Antiqua" w:hAnsi="Book Antiqua"/>
          <w:color w:val="auto"/>
          <w:vertAlign w:val="superscript"/>
        </w:rPr>
        <w:t>12,18,19,34</w:t>
      </w:r>
      <w:r w:rsidR="00E17111">
        <w:rPr>
          <w:rFonts w:ascii="Book Antiqua" w:eastAsiaTheme="minorEastAsia" w:hAnsi="Book Antiqua" w:hint="eastAsia"/>
          <w:color w:val="auto"/>
          <w:vertAlign w:val="superscript"/>
        </w:rPr>
        <w:t>]</w:t>
      </w:r>
      <w:r w:rsidRPr="005D2C0B">
        <w:rPr>
          <w:rFonts w:ascii="Book Antiqua" w:hAnsi="Book Antiqua"/>
          <w:color w:val="auto"/>
        </w:rPr>
        <w:t>. Local recurrence rates are higher in Western countries, which again may be explained not only by the difference in the lesions size, but also by the follow-up period after resection, that seems to b</w:t>
      </w:r>
      <w:r w:rsidR="00E17111">
        <w:rPr>
          <w:rFonts w:ascii="Book Antiqua" w:hAnsi="Book Antiqua"/>
          <w:color w:val="auto"/>
        </w:rPr>
        <w:t>e shorter in Asia (6-29</w:t>
      </w:r>
      <w:r w:rsidR="00E17111">
        <w:rPr>
          <w:rFonts w:ascii="Book Antiqua" w:eastAsiaTheme="minorEastAsia" w:hAnsi="Book Antiqua" w:hint="eastAsia"/>
          <w:color w:val="auto"/>
        </w:rPr>
        <w:t xml:space="preserve"> mo</w:t>
      </w:r>
      <w:r w:rsidR="00E17111">
        <w:rPr>
          <w:rFonts w:ascii="Book Antiqua" w:hAnsi="Book Antiqua"/>
          <w:color w:val="auto"/>
        </w:rPr>
        <w:t xml:space="preserve"> </w:t>
      </w:r>
      <w:r w:rsidR="00E17111" w:rsidRPr="00E17111">
        <w:rPr>
          <w:rFonts w:ascii="Book Antiqua" w:hAnsi="Book Antiqua"/>
          <w:i/>
          <w:color w:val="auto"/>
        </w:rPr>
        <w:t>vs</w:t>
      </w:r>
      <w:r w:rsidRPr="005D2C0B">
        <w:rPr>
          <w:rFonts w:ascii="Book Antiqua" w:hAnsi="Book Antiqua"/>
          <w:color w:val="auto"/>
        </w:rPr>
        <w:t xml:space="preserve"> 13-71 mo)</w:t>
      </w:r>
      <w:r w:rsidR="00E17111">
        <w:rPr>
          <w:rFonts w:ascii="Book Antiqua" w:eastAsiaTheme="minorEastAsia" w:hAnsi="Book Antiqua" w:hint="eastAsia"/>
          <w:color w:val="auto"/>
          <w:vertAlign w:val="superscript"/>
        </w:rPr>
        <w:t>[34]</w:t>
      </w:r>
      <w:r w:rsidRPr="005D2C0B">
        <w:rPr>
          <w:rFonts w:ascii="Book Antiqua" w:hAnsi="Book Antiqua"/>
          <w:color w:val="auto"/>
        </w:rPr>
        <w:t>. Authors, however, rarely address this divergence.</w:t>
      </w:r>
    </w:p>
    <w:p w14:paraId="15A19F3D" w14:textId="109B88F9" w:rsidR="00792914" w:rsidRPr="005D2C0B" w:rsidRDefault="00514CDD" w:rsidP="00E17111">
      <w:pPr>
        <w:pStyle w:val="BodyA"/>
        <w:spacing w:line="360" w:lineRule="auto"/>
        <w:ind w:firstLineChars="100" w:firstLine="240"/>
        <w:jc w:val="both"/>
        <w:rPr>
          <w:rFonts w:ascii="Book Antiqua" w:eastAsia="Book Antiqua" w:hAnsi="Book Antiqua" w:cs="Book Antiqua"/>
          <w:color w:val="auto"/>
        </w:rPr>
      </w:pPr>
      <w:r w:rsidRPr="005D2C0B">
        <w:rPr>
          <w:rFonts w:ascii="Book Antiqua" w:hAnsi="Book Antiqua"/>
          <w:color w:val="auto"/>
        </w:rPr>
        <w:t>EMR is an alternative to surgery in patients with less invasive superficial duodenal adenomas, entailing shorter hospital in-stay, lower costs, and providing a reasonable complication rate that can usually be controlled by endoscopy</w:t>
      </w:r>
      <w:r w:rsidR="00E17111">
        <w:rPr>
          <w:rFonts w:ascii="Book Antiqua" w:eastAsiaTheme="minorEastAsia" w:hAnsi="Book Antiqua" w:hint="eastAsia"/>
          <w:color w:val="auto"/>
          <w:vertAlign w:val="superscript"/>
        </w:rPr>
        <w:t>[13]</w:t>
      </w:r>
      <w:r w:rsidRPr="005D2C0B">
        <w:rPr>
          <w:rFonts w:ascii="Book Antiqua" w:hAnsi="Book Antiqua"/>
          <w:color w:val="auto"/>
        </w:rPr>
        <w:t>. Resection is most likely to be complete in adenomas involving less than half of the luminal circumference</w:t>
      </w:r>
      <w:r w:rsidR="00E17111">
        <w:rPr>
          <w:rFonts w:ascii="Book Antiqua" w:eastAsiaTheme="minorEastAsia" w:hAnsi="Book Antiqua" w:hint="eastAsia"/>
          <w:color w:val="auto"/>
          <w:vertAlign w:val="superscript"/>
        </w:rPr>
        <w:t>[12]</w:t>
      </w:r>
      <w:r w:rsidRPr="005D2C0B">
        <w:rPr>
          <w:rFonts w:ascii="Book Antiqua" w:hAnsi="Book Antiqua"/>
          <w:color w:val="auto"/>
        </w:rPr>
        <w:t>. It requires a tight monitoring period, especially after big adenomas or piecemeal resection, so that early d</w:t>
      </w:r>
      <w:r w:rsidRPr="005D2C0B">
        <w:rPr>
          <w:rFonts w:ascii="Book Antiqua" w:hAnsi="Book Antiqua"/>
          <w:color w:val="auto"/>
        </w:rPr>
        <w:t>e</w:t>
      </w:r>
      <w:r w:rsidRPr="005D2C0B">
        <w:rPr>
          <w:rFonts w:ascii="Book Antiqua" w:hAnsi="Book Antiqua"/>
          <w:color w:val="auto"/>
        </w:rPr>
        <w:t>tection and treatment of residual or recurrent lesions is possible</w:t>
      </w:r>
      <w:r w:rsidR="00E17111">
        <w:rPr>
          <w:rFonts w:ascii="Book Antiqua" w:eastAsiaTheme="minorEastAsia" w:hAnsi="Book Antiqua" w:hint="eastAsia"/>
          <w:color w:val="auto"/>
          <w:vertAlign w:val="superscript"/>
        </w:rPr>
        <w:t>[6,13]</w:t>
      </w:r>
      <w:r w:rsidRPr="005D2C0B">
        <w:rPr>
          <w:rFonts w:ascii="Book Antiqua" w:hAnsi="Book Antiqua"/>
          <w:color w:val="auto"/>
        </w:rPr>
        <w:t>.</w:t>
      </w:r>
      <w:r w:rsidR="00866987">
        <w:rPr>
          <w:rFonts w:ascii="Book Antiqua" w:hAnsi="Book Antiqua"/>
          <w:color w:val="auto"/>
        </w:rPr>
        <w:t xml:space="preserve"> </w:t>
      </w:r>
      <w:r w:rsidRPr="005D2C0B">
        <w:rPr>
          <w:rFonts w:ascii="Book Antiqua" w:hAnsi="Book Antiqua"/>
          <w:color w:val="auto"/>
        </w:rPr>
        <w:t>ESD, al</w:t>
      </w:r>
      <w:r w:rsidRPr="005D2C0B">
        <w:rPr>
          <w:rFonts w:ascii="Book Antiqua" w:hAnsi="Book Antiqua"/>
          <w:color w:val="auto"/>
        </w:rPr>
        <w:t>t</w:t>
      </w:r>
      <w:r w:rsidRPr="005D2C0B">
        <w:rPr>
          <w:rFonts w:ascii="Book Antiqua" w:hAnsi="Book Antiqua"/>
          <w:color w:val="auto"/>
        </w:rPr>
        <w:t>hough potentially providing en bloc resection with negative margins, has higher haemorrhagic and perforation risks in the duodenum when compared to EMR</w:t>
      </w:r>
      <w:r w:rsidR="00E17111">
        <w:rPr>
          <w:rFonts w:ascii="Book Antiqua" w:eastAsiaTheme="minorEastAsia" w:hAnsi="Book Antiqua" w:hint="eastAsia"/>
          <w:color w:val="auto"/>
          <w:vertAlign w:val="superscript"/>
        </w:rPr>
        <w:t>[9]</w:t>
      </w:r>
      <w:r w:rsidRPr="005D2C0B">
        <w:rPr>
          <w:rFonts w:ascii="Book Antiqua" w:hAnsi="Book Antiqua"/>
          <w:color w:val="auto"/>
        </w:rPr>
        <w:t>. Therefore, when choosing the appropriate endoscopic technique, the risks of the procedure must be balanced against its benefits</w:t>
      </w:r>
      <w:r w:rsidR="00E17111">
        <w:rPr>
          <w:rFonts w:ascii="Book Antiqua" w:eastAsiaTheme="minorEastAsia" w:hAnsi="Book Antiqua" w:hint="eastAsia"/>
          <w:color w:val="auto"/>
          <w:vertAlign w:val="superscript"/>
        </w:rPr>
        <w:t>[40]</w:t>
      </w:r>
      <w:r w:rsidRPr="005D2C0B">
        <w:rPr>
          <w:rFonts w:ascii="Book Antiqua" w:hAnsi="Book Antiqua"/>
          <w:color w:val="auto"/>
        </w:rPr>
        <w:t>.</w:t>
      </w:r>
    </w:p>
    <w:p w14:paraId="7466B3A9" w14:textId="77777777" w:rsidR="00792914" w:rsidRPr="005D2C0B" w:rsidRDefault="00514CDD" w:rsidP="00E17111">
      <w:pPr>
        <w:pStyle w:val="BodyA"/>
        <w:spacing w:line="360" w:lineRule="auto"/>
        <w:ind w:firstLineChars="100" w:firstLine="240"/>
        <w:jc w:val="both"/>
        <w:rPr>
          <w:rFonts w:ascii="Book Antiqua" w:eastAsia="Book Antiqua" w:hAnsi="Book Antiqua" w:cs="Book Antiqua"/>
          <w:color w:val="auto"/>
        </w:rPr>
      </w:pPr>
      <w:r w:rsidRPr="005D2C0B">
        <w:rPr>
          <w:rFonts w:ascii="Book Antiqua" w:hAnsi="Book Antiqua"/>
          <w:color w:val="auto"/>
        </w:rPr>
        <w:t>Although the scientific evidence level in this area is limited, the results o</w:t>
      </w:r>
      <w:r w:rsidRPr="005D2C0B">
        <w:rPr>
          <w:rFonts w:ascii="Book Antiqua" w:hAnsi="Book Antiqua"/>
          <w:color w:val="auto"/>
        </w:rPr>
        <w:t>b</w:t>
      </w:r>
      <w:r w:rsidRPr="005D2C0B">
        <w:rPr>
          <w:rFonts w:ascii="Book Antiqua" w:hAnsi="Book Antiqua"/>
          <w:color w:val="auto"/>
        </w:rPr>
        <w:t>tained in these last years are encouraging. However, prospective studies with larger samples and extended follow-up periods will be necessary. Future d</w:t>
      </w:r>
      <w:r w:rsidRPr="005D2C0B">
        <w:rPr>
          <w:rFonts w:ascii="Book Antiqua" w:hAnsi="Book Antiqua"/>
          <w:color w:val="auto"/>
        </w:rPr>
        <w:t>e</w:t>
      </w:r>
      <w:r w:rsidRPr="005D2C0B">
        <w:rPr>
          <w:rFonts w:ascii="Book Antiqua" w:hAnsi="Book Antiqua"/>
          <w:color w:val="auto"/>
        </w:rPr>
        <w:t>velopment of techniques and tools that contribute to the prevention and early detection of recurrence, and increase the efficacy and safety of endoscopic r</w:t>
      </w:r>
      <w:r w:rsidRPr="005D2C0B">
        <w:rPr>
          <w:rFonts w:ascii="Book Antiqua" w:hAnsi="Book Antiqua"/>
          <w:color w:val="auto"/>
        </w:rPr>
        <w:t>e</w:t>
      </w:r>
      <w:r w:rsidRPr="005D2C0B">
        <w:rPr>
          <w:rFonts w:ascii="Book Antiqua" w:hAnsi="Book Antiqua"/>
          <w:color w:val="auto"/>
        </w:rPr>
        <w:t>section in the duodenum, will be essential for a better therapeutic approach to these patients.</w:t>
      </w:r>
    </w:p>
    <w:p w14:paraId="05B50811" w14:textId="77777777" w:rsidR="00792914" w:rsidRPr="00FC1F35" w:rsidRDefault="00792914" w:rsidP="00FC1F35">
      <w:pPr>
        <w:pStyle w:val="BodyA"/>
        <w:spacing w:line="360" w:lineRule="auto"/>
        <w:jc w:val="both"/>
        <w:rPr>
          <w:rFonts w:ascii="Book Antiqua" w:eastAsiaTheme="minorEastAsia" w:hAnsi="Book Antiqua" w:cs="Book Antiqua"/>
          <w:color w:val="auto"/>
        </w:rPr>
      </w:pPr>
      <w:bookmarkStart w:id="5" w:name="_ENREF_1"/>
    </w:p>
    <w:p w14:paraId="0D032DE0" w14:textId="77777777" w:rsidR="00792914" w:rsidRPr="00FC1F35" w:rsidRDefault="00514CDD" w:rsidP="00FC1F35">
      <w:pPr>
        <w:pStyle w:val="BodyA"/>
        <w:spacing w:line="360" w:lineRule="auto"/>
        <w:jc w:val="both"/>
        <w:rPr>
          <w:rFonts w:ascii="Book Antiqua" w:eastAsia="Book Antiqua" w:hAnsi="Book Antiqua" w:cs="Book Antiqua"/>
          <w:b/>
          <w:color w:val="auto"/>
        </w:rPr>
      </w:pPr>
      <w:r w:rsidRPr="00FC1F35">
        <w:rPr>
          <w:rFonts w:ascii="Book Antiqua" w:hAnsi="Book Antiqua"/>
          <w:b/>
          <w:color w:val="auto"/>
        </w:rPr>
        <w:t>REFERENCES</w:t>
      </w:r>
    </w:p>
    <w:bookmarkEnd w:id="5"/>
    <w:p w14:paraId="582F952E" w14:textId="77777777" w:rsidR="00FC1F35" w:rsidRPr="00FC1F35" w:rsidRDefault="00FC1F35" w:rsidP="00FC1F3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FC1F35">
        <w:rPr>
          <w:rFonts w:ascii="Book Antiqua" w:eastAsia="宋体" w:hAnsi="Book Antiqua" w:cs="宋体"/>
          <w:color w:val="000000"/>
          <w:bdr w:val="none" w:sz="0" w:space="0" w:color="auto"/>
          <w:lang w:eastAsia="zh-CN"/>
        </w:rPr>
        <w:t>1 </w:t>
      </w:r>
      <w:r w:rsidRPr="00FC1F35">
        <w:rPr>
          <w:rFonts w:ascii="Book Antiqua" w:eastAsia="宋体" w:hAnsi="Book Antiqua" w:cs="宋体"/>
          <w:b/>
          <w:bCs/>
          <w:color w:val="000000"/>
          <w:bdr w:val="none" w:sz="0" w:space="0" w:color="auto"/>
          <w:lang w:eastAsia="zh-CN"/>
        </w:rPr>
        <w:t>Conio M</w:t>
      </w:r>
      <w:r w:rsidRPr="00FC1F35">
        <w:rPr>
          <w:rFonts w:ascii="Book Antiqua" w:eastAsia="宋体" w:hAnsi="Book Antiqua" w:cs="宋体"/>
          <w:color w:val="000000"/>
          <w:bdr w:val="none" w:sz="0" w:space="0" w:color="auto"/>
          <w:lang w:eastAsia="zh-CN"/>
        </w:rPr>
        <w:t>, De Ceglie A, Filiberti R, Fisher DA, Siersema PD. Cap-assisted EMR of large, sporadic, nonampullary duodenal polyps. </w:t>
      </w:r>
      <w:r w:rsidRPr="00FC1F35">
        <w:rPr>
          <w:rFonts w:ascii="Book Antiqua" w:eastAsia="宋体" w:hAnsi="Book Antiqua" w:cs="宋体"/>
          <w:i/>
          <w:iCs/>
          <w:color w:val="000000"/>
          <w:bdr w:val="none" w:sz="0" w:space="0" w:color="auto"/>
          <w:lang w:eastAsia="zh-CN"/>
        </w:rPr>
        <w:t>Gastrointest E</w:t>
      </w:r>
      <w:r w:rsidRPr="00FC1F35">
        <w:rPr>
          <w:rFonts w:ascii="Book Antiqua" w:eastAsia="宋体" w:hAnsi="Book Antiqua" w:cs="宋体"/>
          <w:i/>
          <w:iCs/>
          <w:color w:val="000000"/>
          <w:bdr w:val="none" w:sz="0" w:space="0" w:color="auto"/>
          <w:lang w:eastAsia="zh-CN"/>
        </w:rPr>
        <w:t>n</w:t>
      </w:r>
      <w:r w:rsidRPr="00FC1F35">
        <w:rPr>
          <w:rFonts w:ascii="Book Antiqua" w:eastAsia="宋体" w:hAnsi="Book Antiqua" w:cs="宋体"/>
          <w:i/>
          <w:iCs/>
          <w:color w:val="000000"/>
          <w:bdr w:val="none" w:sz="0" w:space="0" w:color="auto"/>
          <w:lang w:eastAsia="zh-CN"/>
        </w:rPr>
        <w:t>dosc</w:t>
      </w:r>
      <w:r w:rsidRPr="00FC1F35">
        <w:rPr>
          <w:rFonts w:ascii="Book Antiqua" w:eastAsia="宋体" w:hAnsi="Book Antiqua" w:cs="宋体"/>
          <w:color w:val="000000"/>
          <w:bdr w:val="none" w:sz="0" w:space="0" w:color="auto"/>
          <w:lang w:eastAsia="zh-CN"/>
        </w:rPr>
        <w:t> 2012; </w:t>
      </w:r>
      <w:r w:rsidRPr="00FC1F35">
        <w:rPr>
          <w:rFonts w:ascii="Book Antiqua" w:eastAsia="宋体" w:hAnsi="Book Antiqua" w:cs="宋体"/>
          <w:b/>
          <w:bCs/>
          <w:color w:val="000000"/>
          <w:bdr w:val="none" w:sz="0" w:space="0" w:color="auto"/>
          <w:lang w:eastAsia="zh-CN"/>
        </w:rPr>
        <w:t>76</w:t>
      </w:r>
      <w:r w:rsidRPr="00FC1F35">
        <w:rPr>
          <w:rFonts w:ascii="Book Antiqua" w:eastAsia="宋体" w:hAnsi="Book Antiqua" w:cs="宋体"/>
          <w:color w:val="000000"/>
          <w:bdr w:val="none" w:sz="0" w:space="0" w:color="auto"/>
          <w:lang w:eastAsia="zh-CN"/>
        </w:rPr>
        <w:t>: 1160-1169 [PMID: 23021169 DOI: 10.1016/j.gie.2012.08.009]</w:t>
      </w:r>
    </w:p>
    <w:p w14:paraId="347AF4FB" w14:textId="77777777" w:rsidR="00FC1F35" w:rsidRPr="00FC1F35" w:rsidRDefault="00FC1F35" w:rsidP="00FC1F3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FC1F35">
        <w:rPr>
          <w:rFonts w:ascii="Book Antiqua" w:eastAsia="宋体" w:hAnsi="Book Antiqua" w:cs="宋体"/>
          <w:color w:val="000000"/>
          <w:bdr w:val="none" w:sz="0" w:space="0" w:color="auto"/>
          <w:lang w:eastAsia="zh-CN"/>
        </w:rPr>
        <w:t>2 </w:t>
      </w:r>
      <w:r w:rsidRPr="00FC1F35">
        <w:rPr>
          <w:rFonts w:ascii="Book Antiqua" w:eastAsia="宋体" w:hAnsi="Book Antiqua" w:cs="宋体"/>
          <w:b/>
          <w:bCs/>
          <w:color w:val="000000"/>
          <w:bdr w:val="none" w:sz="0" w:space="0" w:color="auto"/>
          <w:lang w:eastAsia="zh-CN"/>
        </w:rPr>
        <w:t>Jepsen JM</w:t>
      </w:r>
      <w:r w:rsidRPr="00FC1F35">
        <w:rPr>
          <w:rFonts w:ascii="Book Antiqua" w:eastAsia="宋体" w:hAnsi="Book Antiqua" w:cs="宋体"/>
          <w:color w:val="000000"/>
          <w:bdr w:val="none" w:sz="0" w:space="0" w:color="auto"/>
          <w:lang w:eastAsia="zh-CN"/>
        </w:rPr>
        <w:t>, Persson M, Jakobsen NO, Christiansen T, Skoubo-Kristensen E, Funch-Jensen P, Kruse A, Thommesen P. Prospective study of prevalence and endoscopic and histopathologic characteristics of duodenal polyps in patients submitted to upper endoscopy. </w:t>
      </w:r>
      <w:r w:rsidRPr="00FC1F35">
        <w:rPr>
          <w:rFonts w:ascii="Book Antiqua" w:eastAsia="宋体" w:hAnsi="Book Antiqua" w:cs="宋体"/>
          <w:i/>
          <w:iCs/>
          <w:color w:val="000000"/>
          <w:bdr w:val="none" w:sz="0" w:space="0" w:color="auto"/>
          <w:lang w:eastAsia="zh-CN"/>
        </w:rPr>
        <w:t>Scand J Gastroenterol</w:t>
      </w:r>
      <w:r w:rsidRPr="00FC1F35">
        <w:rPr>
          <w:rFonts w:ascii="Book Antiqua" w:eastAsia="宋体" w:hAnsi="Book Antiqua" w:cs="宋体"/>
          <w:color w:val="000000"/>
          <w:bdr w:val="none" w:sz="0" w:space="0" w:color="auto"/>
          <w:lang w:eastAsia="zh-CN"/>
        </w:rPr>
        <w:t> 1994; </w:t>
      </w:r>
      <w:r w:rsidRPr="00FC1F35">
        <w:rPr>
          <w:rFonts w:ascii="Book Antiqua" w:eastAsia="宋体" w:hAnsi="Book Antiqua" w:cs="宋体"/>
          <w:b/>
          <w:bCs/>
          <w:color w:val="000000"/>
          <w:bdr w:val="none" w:sz="0" w:space="0" w:color="auto"/>
          <w:lang w:eastAsia="zh-CN"/>
        </w:rPr>
        <w:t>29</w:t>
      </w:r>
      <w:r w:rsidRPr="00FC1F35">
        <w:rPr>
          <w:rFonts w:ascii="Book Antiqua" w:eastAsia="宋体" w:hAnsi="Book Antiqua" w:cs="宋体"/>
          <w:color w:val="000000"/>
          <w:bdr w:val="none" w:sz="0" w:space="0" w:color="auto"/>
          <w:lang w:eastAsia="zh-CN"/>
        </w:rPr>
        <w:t>: 483-487 [PMID: 8079103 DOI: 10.3109/00365529409092458]</w:t>
      </w:r>
    </w:p>
    <w:p w14:paraId="6C1510E8" w14:textId="4B4593E6" w:rsidR="00FC1F35" w:rsidRPr="00FC1F35" w:rsidRDefault="00FC1F35" w:rsidP="00FC1F3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FC1F35">
        <w:rPr>
          <w:rFonts w:ascii="Book Antiqua" w:eastAsia="宋体" w:hAnsi="Book Antiqua" w:cs="宋体"/>
          <w:color w:val="000000"/>
          <w:bdr w:val="none" w:sz="0" w:space="0" w:color="auto"/>
          <w:lang w:eastAsia="zh-CN"/>
        </w:rPr>
        <w:t>3 </w:t>
      </w:r>
      <w:r w:rsidRPr="00FC1F35">
        <w:rPr>
          <w:rFonts w:ascii="Book Antiqua" w:eastAsia="宋体" w:hAnsi="Book Antiqua" w:cs="宋体"/>
          <w:b/>
          <w:bCs/>
          <w:color w:val="000000"/>
          <w:bdr w:val="none" w:sz="0" w:space="0" w:color="auto"/>
          <w:lang w:eastAsia="zh-CN"/>
        </w:rPr>
        <w:t>Oka S</w:t>
      </w:r>
      <w:r w:rsidRPr="00FC1F35">
        <w:rPr>
          <w:rFonts w:ascii="Book Antiqua" w:eastAsia="宋体" w:hAnsi="Book Antiqua" w:cs="宋体"/>
          <w:color w:val="000000"/>
          <w:bdr w:val="none" w:sz="0" w:space="0" w:color="auto"/>
          <w:lang w:eastAsia="zh-CN"/>
        </w:rPr>
        <w:t>, Tanaka S, Nagata S, Hiyama T, Ito M, Kitadai Y, Yoshihara M, Haruma K, Chayama K. Clinicopathologic features and endoscopic resection of early primary nonampullary duodenal carcinoma. </w:t>
      </w:r>
      <w:r w:rsidRPr="00FC1F35">
        <w:rPr>
          <w:rFonts w:ascii="Book Antiqua" w:eastAsia="宋体" w:hAnsi="Book Antiqua" w:cs="宋体"/>
          <w:i/>
          <w:iCs/>
          <w:color w:val="000000"/>
          <w:bdr w:val="none" w:sz="0" w:space="0" w:color="auto"/>
          <w:lang w:eastAsia="zh-CN"/>
        </w:rPr>
        <w:t>J Clin Gastroente</w:t>
      </w:r>
      <w:r w:rsidRPr="00FC1F35">
        <w:rPr>
          <w:rFonts w:ascii="Book Antiqua" w:eastAsia="宋体" w:hAnsi="Book Antiqua" w:cs="宋体"/>
          <w:i/>
          <w:iCs/>
          <w:color w:val="000000"/>
          <w:bdr w:val="none" w:sz="0" w:space="0" w:color="auto"/>
          <w:lang w:eastAsia="zh-CN"/>
        </w:rPr>
        <w:t>r</w:t>
      </w:r>
      <w:r w:rsidRPr="00FC1F35">
        <w:rPr>
          <w:rFonts w:ascii="Book Antiqua" w:eastAsia="宋体" w:hAnsi="Book Antiqua" w:cs="宋体"/>
          <w:i/>
          <w:iCs/>
          <w:color w:val="000000"/>
          <w:bdr w:val="none" w:sz="0" w:space="0" w:color="auto"/>
          <w:lang w:eastAsia="zh-CN"/>
        </w:rPr>
        <w:t>ol</w:t>
      </w:r>
      <w:r w:rsidRPr="00FC1F35">
        <w:rPr>
          <w:rFonts w:ascii="Book Antiqua" w:eastAsia="宋体" w:hAnsi="Book Antiqua" w:cs="宋体"/>
          <w:color w:val="000000"/>
          <w:bdr w:val="none" w:sz="0" w:space="0" w:color="auto"/>
          <w:lang w:eastAsia="zh-CN"/>
        </w:rPr>
        <w:t> </w:t>
      </w:r>
      <w:r>
        <w:rPr>
          <w:rFonts w:ascii="Book Antiqua" w:eastAsia="宋体" w:hAnsi="Book Antiqua" w:cs="宋体" w:hint="eastAsia"/>
          <w:color w:val="000000"/>
          <w:bdr w:val="none" w:sz="0" w:space="0" w:color="auto"/>
          <w:lang w:eastAsia="zh-CN"/>
        </w:rPr>
        <w:t>2003</w:t>
      </w:r>
      <w:r w:rsidRPr="00FC1F35">
        <w:rPr>
          <w:rFonts w:ascii="Book Antiqua" w:eastAsia="宋体" w:hAnsi="Book Antiqua" w:cs="宋体"/>
          <w:color w:val="000000"/>
          <w:bdr w:val="none" w:sz="0" w:space="0" w:color="auto"/>
          <w:lang w:eastAsia="zh-CN"/>
        </w:rPr>
        <w:t>; </w:t>
      </w:r>
      <w:r w:rsidRPr="00FC1F35">
        <w:rPr>
          <w:rFonts w:ascii="Book Antiqua" w:eastAsia="宋体" w:hAnsi="Book Antiqua" w:cs="宋体"/>
          <w:b/>
          <w:bCs/>
          <w:color w:val="000000"/>
          <w:bdr w:val="none" w:sz="0" w:space="0" w:color="auto"/>
          <w:lang w:eastAsia="zh-CN"/>
        </w:rPr>
        <w:t>37</w:t>
      </w:r>
      <w:r w:rsidRPr="00FC1F35">
        <w:rPr>
          <w:rFonts w:ascii="Book Antiqua" w:eastAsia="宋体" w:hAnsi="Book Antiqua" w:cs="宋体"/>
          <w:color w:val="000000"/>
          <w:bdr w:val="none" w:sz="0" w:space="0" w:color="auto"/>
          <w:lang w:eastAsia="zh-CN"/>
        </w:rPr>
        <w:t>: 381-386 [PMID: 14564184 DOI: 10.1097/00004836-200311000-00006]</w:t>
      </w:r>
    </w:p>
    <w:p w14:paraId="7F36784F" w14:textId="77777777" w:rsidR="00FC1F35" w:rsidRPr="00FC1F35" w:rsidRDefault="00FC1F35" w:rsidP="00FC1F3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FC1F35">
        <w:rPr>
          <w:rFonts w:ascii="Book Antiqua" w:eastAsia="宋体" w:hAnsi="Book Antiqua" w:cs="宋体"/>
          <w:color w:val="000000"/>
          <w:bdr w:val="none" w:sz="0" w:space="0" w:color="auto"/>
          <w:lang w:eastAsia="zh-CN"/>
        </w:rPr>
        <w:t>4 </w:t>
      </w:r>
      <w:r w:rsidRPr="00FC1F35">
        <w:rPr>
          <w:rFonts w:ascii="Book Antiqua" w:eastAsia="宋体" w:hAnsi="Book Antiqua" w:cs="宋体"/>
          <w:b/>
          <w:bCs/>
          <w:color w:val="000000"/>
          <w:bdr w:val="none" w:sz="0" w:space="0" w:color="auto"/>
          <w:lang w:eastAsia="zh-CN"/>
        </w:rPr>
        <w:t>Hirasawa R</w:t>
      </w:r>
      <w:r w:rsidRPr="00FC1F35">
        <w:rPr>
          <w:rFonts w:ascii="Book Antiqua" w:eastAsia="宋体" w:hAnsi="Book Antiqua" w:cs="宋体"/>
          <w:color w:val="000000"/>
          <w:bdr w:val="none" w:sz="0" w:space="0" w:color="auto"/>
          <w:lang w:eastAsia="zh-CN"/>
        </w:rPr>
        <w:t>, Iishi H, Tatsuta M, Ishiguro S. Clinicopathologic features and endoscopic resection of duodenal adenocarcinomas and adenomas with the submucosal saline injection technique. </w:t>
      </w:r>
      <w:r w:rsidRPr="00FC1F35">
        <w:rPr>
          <w:rFonts w:ascii="Book Antiqua" w:eastAsia="宋体" w:hAnsi="Book Antiqua" w:cs="宋体"/>
          <w:i/>
          <w:iCs/>
          <w:color w:val="000000"/>
          <w:bdr w:val="none" w:sz="0" w:space="0" w:color="auto"/>
          <w:lang w:eastAsia="zh-CN"/>
        </w:rPr>
        <w:t>Gastrointest Endosc</w:t>
      </w:r>
      <w:r w:rsidRPr="00FC1F35">
        <w:rPr>
          <w:rFonts w:ascii="Book Antiqua" w:eastAsia="宋体" w:hAnsi="Book Antiqua" w:cs="宋体"/>
          <w:color w:val="000000"/>
          <w:bdr w:val="none" w:sz="0" w:space="0" w:color="auto"/>
          <w:lang w:eastAsia="zh-CN"/>
        </w:rPr>
        <w:t> 1997; </w:t>
      </w:r>
      <w:r w:rsidRPr="00FC1F35">
        <w:rPr>
          <w:rFonts w:ascii="Book Antiqua" w:eastAsia="宋体" w:hAnsi="Book Antiqua" w:cs="宋体"/>
          <w:b/>
          <w:bCs/>
          <w:color w:val="000000"/>
          <w:bdr w:val="none" w:sz="0" w:space="0" w:color="auto"/>
          <w:lang w:eastAsia="zh-CN"/>
        </w:rPr>
        <w:t>46</w:t>
      </w:r>
      <w:r w:rsidRPr="00FC1F35">
        <w:rPr>
          <w:rFonts w:ascii="Book Antiqua" w:eastAsia="宋体" w:hAnsi="Book Antiqua" w:cs="宋体"/>
          <w:color w:val="000000"/>
          <w:bdr w:val="none" w:sz="0" w:space="0" w:color="auto"/>
          <w:lang w:eastAsia="zh-CN"/>
        </w:rPr>
        <w:t>: 507-513 [PMID: 9434217 DOI: 10.1016/S0016-5107(97)70005-1]</w:t>
      </w:r>
    </w:p>
    <w:p w14:paraId="67B25B6B" w14:textId="77777777" w:rsidR="00FC1F35" w:rsidRPr="00FC1F35" w:rsidRDefault="00FC1F35" w:rsidP="00FC1F3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FC1F35">
        <w:rPr>
          <w:rFonts w:ascii="Book Antiqua" w:eastAsia="宋体" w:hAnsi="Book Antiqua" w:cs="宋体"/>
          <w:color w:val="000000"/>
          <w:bdr w:val="none" w:sz="0" w:space="0" w:color="auto"/>
          <w:lang w:eastAsia="zh-CN"/>
        </w:rPr>
        <w:t>5 </w:t>
      </w:r>
      <w:r w:rsidRPr="00FC1F35">
        <w:rPr>
          <w:rFonts w:ascii="Book Antiqua" w:eastAsia="宋体" w:hAnsi="Book Antiqua" w:cs="宋体"/>
          <w:b/>
          <w:bCs/>
          <w:color w:val="000000"/>
          <w:bdr w:val="none" w:sz="0" w:space="0" w:color="auto"/>
          <w:lang w:eastAsia="zh-CN"/>
        </w:rPr>
        <w:t>Culver EL</w:t>
      </w:r>
      <w:r w:rsidRPr="00FC1F35">
        <w:rPr>
          <w:rFonts w:ascii="Book Antiqua" w:eastAsia="宋体" w:hAnsi="Book Antiqua" w:cs="宋体"/>
          <w:color w:val="000000"/>
          <w:bdr w:val="none" w:sz="0" w:space="0" w:color="auto"/>
          <w:lang w:eastAsia="zh-CN"/>
        </w:rPr>
        <w:t>, McIntyre AS. Sporadic duodenal polyps: classification, invest</w:t>
      </w:r>
      <w:r w:rsidRPr="00FC1F35">
        <w:rPr>
          <w:rFonts w:ascii="Book Antiqua" w:eastAsia="宋体" w:hAnsi="Book Antiqua" w:cs="宋体"/>
          <w:color w:val="000000"/>
          <w:bdr w:val="none" w:sz="0" w:space="0" w:color="auto"/>
          <w:lang w:eastAsia="zh-CN"/>
        </w:rPr>
        <w:t>i</w:t>
      </w:r>
      <w:r w:rsidRPr="00FC1F35">
        <w:rPr>
          <w:rFonts w:ascii="Book Antiqua" w:eastAsia="宋体" w:hAnsi="Book Antiqua" w:cs="宋体"/>
          <w:color w:val="000000"/>
          <w:bdr w:val="none" w:sz="0" w:space="0" w:color="auto"/>
          <w:lang w:eastAsia="zh-CN"/>
        </w:rPr>
        <w:t>gation, and management. </w:t>
      </w:r>
      <w:r w:rsidRPr="00FC1F35">
        <w:rPr>
          <w:rFonts w:ascii="Book Antiqua" w:eastAsia="宋体" w:hAnsi="Book Antiqua" w:cs="宋体"/>
          <w:i/>
          <w:iCs/>
          <w:color w:val="000000"/>
          <w:bdr w:val="none" w:sz="0" w:space="0" w:color="auto"/>
          <w:lang w:eastAsia="zh-CN"/>
        </w:rPr>
        <w:t>Endoscopy</w:t>
      </w:r>
      <w:r w:rsidRPr="00FC1F35">
        <w:rPr>
          <w:rFonts w:ascii="Book Antiqua" w:eastAsia="宋体" w:hAnsi="Book Antiqua" w:cs="宋体"/>
          <w:color w:val="000000"/>
          <w:bdr w:val="none" w:sz="0" w:space="0" w:color="auto"/>
          <w:lang w:eastAsia="zh-CN"/>
        </w:rPr>
        <w:t> 2011; </w:t>
      </w:r>
      <w:r w:rsidRPr="00FC1F35">
        <w:rPr>
          <w:rFonts w:ascii="Book Antiqua" w:eastAsia="宋体" w:hAnsi="Book Antiqua" w:cs="宋体"/>
          <w:b/>
          <w:bCs/>
          <w:color w:val="000000"/>
          <w:bdr w:val="none" w:sz="0" w:space="0" w:color="auto"/>
          <w:lang w:eastAsia="zh-CN"/>
        </w:rPr>
        <w:t>43</w:t>
      </w:r>
      <w:r w:rsidRPr="00FC1F35">
        <w:rPr>
          <w:rFonts w:ascii="Book Antiqua" w:eastAsia="宋体" w:hAnsi="Book Antiqua" w:cs="宋体"/>
          <w:color w:val="000000"/>
          <w:bdr w:val="none" w:sz="0" w:space="0" w:color="auto"/>
          <w:lang w:eastAsia="zh-CN"/>
        </w:rPr>
        <w:t>: 144-155 [PMID: 21271466 DOI: 10.1055/s-0030-1255925]</w:t>
      </w:r>
    </w:p>
    <w:p w14:paraId="406A074A" w14:textId="77777777" w:rsidR="00FC1F35" w:rsidRPr="00FC1F35" w:rsidRDefault="00FC1F35" w:rsidP="00FC1F3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FC1F35">
        <w:rPr>
          <w:rFonts w:ascii="Book Antiqua" w:eastAsia="宋体" w:hAnsi="Book Antiqua" w:cs="宋体"/>
          <w:color w:val="000000"/>
          <w:bdr w:val="none" w:sz="0" w:space="0" w:color="auto"/>
          <w:lang w:eastAsia="zh-CN"/>
        </w:rPr>
        <w:t>6 </w:t>
      </w:r>
      <w:r w:rsidRPr="00FC1F35">
        <w:rPr>
          <w:rFonts w:ascii="Book Antiqua" w:eastAsia="宋体" w:hAnsi="Book Antiqua" w:cs="宋体"/>
          <w:b/>
          <w:bCs/>
          <w:color w:val="000000"/>
          <w:bdr w:val="none" w:sz="0" w:space="0" w:color="auto"/>
          <w:lang w:eastAsia="zh-CN"/>
        </w:rPr>
        <w:t>Basford PJ</w:t>
      </w:r>
      <w:r w:rsidRPr="00FC1F35">
        <w:rPr>
          <w:rFonts w:ascii="Book Antiqua" w:eastAsia="宋体" w:hAnsi="Book Antiqua" w:cs="宋体"/>
          <w:color w:val="000000"/>
          <w:bdr w:val="none" w:sz="0" w:space="0" w:color="auto"/>
          <w:lang w:eastAsia="zh-CN"/>
        </w:rPr>
        <w:t>, Bhandari P. Endoscopic management of nonampullary duod</w:t>
      </w:r>
      <w:r w:rsidRPr="00FC1F35">
        <w:rPr>
          <w:rFonts w:ascii="Book Antiqua" w:eastAsia="宋体" w:hAnsi="Book Antiqua" w:cs="宋体"/>
          <w:color w:val="000000"/>
          <w:bdr w:val="none" w:sz="0" w:space="0" w:color="auto"/>
          <w:lang w:eastAsia="zh-CN"/>
        </w:rPr>
        <w:t>e</w:t>
      </w:r>
      <w:r w:rsidRPr="00FC1F35">
        <w:rPr>
          <w:rFonts w:ascii="Book Antiqua" w:eastAsia="宋体" w:hAnsi="Book Antiqua" w:cs="宋体"/>
          <w:color w:val="000000"/>
          <w:bdr w:val="none" w:sz="0" w:space="0" w:color="auto"/>
          <w:lang w:eastAsia="zh-CN"/>
        </w:rPr>
        <w:t>nal polyps. </w:t>
      </w:r>
      <w:r w:rsidRPr="00FC1F35">
        <w:rPr>
          <w:rFonts w:ascii="Book Antiqua" w:eastAsia="宋体" w:hAnsi="Book Antiqua" w:cs="宋体"/>
          <w:i/>
          <w:iCs/>
          <w:color w:val="000000"/>
          <w:bdr w:val="none" w:sz="0" w:space="0" w:color="auto"/>
          <w:lang w:eastAsia="zh-CN"/>
        </w:rPr>
        <w:t>Therap Adv Gastroenterol</w:t>
      </w:r>
      <w:r w:rsidRPr="00FC1F35">
        <w:rPr>
          <w:rFonts w:ascii="Book Antiqua" w:eastAsia="宋体" w:hAnsi="Book Antiqua" w:cs="宋体"/>
          <w:color w:val="000000"/>
          <w:bdr w:val="none" w:sz="0" w:space="0" w:color="auto"/>
          <w:lang w:eastAsia="zh-CN"/>
        </w:rPr>
        <w:t> 2012; </w:t>
      </w:r>
      <w:r w:rsidRPr="00FC1F35">
        <w:rPr>
          <w:rFonts w:ascii="Book Antiqua" w:eastAsia="宋体" w:hAnsi="Book Antiqua" w:cs="宋体"/>
          <w:b/>
          <w:bCs/>
          <w:color w:val="000000"/>
          <w:bdr w:val="none" w:sz="0" w:space="0" w:color="auto"/>
          <w:lang w:eastAsia="zh-CN"/>
        </w:rPr>
        <w:t>5</w:t>
      </w:r>
      <w:r w:rsidRPr="00FC1F35">
        <w:rPr>
          <w:rFonts w:ascii="Book Antiqua" w:eastAsia="宋体" w:hAnsi="Book Antiqua" w:cs="宋体"/>
          <w:color w:val="000000"/>
          <w:bdr w:val="none" w:sz="0" w:space="0" w:color="auto"/>
          <w:lang w:eastAsia="zh-CN"/>
        </w:rPr>
        <w:t>: 127-138 [PMID: 22423261 DOI: 10.1177/1756283x11429590]</w:t>
      </w:r>
    </w:p>
    <w:p w14:paraId="3EA67F8B" w14:textId="77777777" w:rsidR="00FC1F35" w:rsidRPr="00FC1F35" w:rsidRDefault="00FC1F35" w:rsidP="00FC1F3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FC1F35">
        <w:rPr>
          <w:rFonts w:ascii="Book Antiqua" w:eastAsia="宋体" w:hAnsi="Book Antiqua" w:cs="宋体"/>
          <w:color w:val="000000"/>
          <w:bdr w:val="none" w:sz="0" w:space="0" w:color="auto"/>
          <w:lang w:eastAsia="zh-CN"/>
        </w:rPr>
        <w:t>7 </w:t>
      </w:r>
      <w:r w:rsidRPr="00FC1F35">
        <w:rPr>
          <w:rFonts w:ascii="Book Antiqua" w:eastAsia="宋体" w:hAnsi="Book Antiqua" w:cs="宋体"/>
          <w:b/>
          <w:bCs/>
          <w:color w:val="000000"/>
          <w:bdr w:val="none" w:sz="0" w:space="0" w:color="auto"/>
          <w:lang w:eastAsia="zh-CN"/>
        </w:rPr>
        <w:t>Al-Kawas FH</w:t>
      </w:r>
      <w:r w:rsidRPr="00FC1F35">
        <w:rPr>
          <w:rFonts w:ascii="Book Antiqua" w:eastAsia="宋体" w:hAnsi="Book Antiqua" w:cs="宋体"/>
          <w:color w:val="000000"/>
          <w:bdr w:val="none" w:sz="0" w:space="0" w:color="auto"/>
          <w:lang w:eastAsia="zh-CN"/>
        </w:rPr>
        <w:t>. The significance and management of nonampullary duod</w:t>
      </w:r>
      <w:r w:rsidRPr="00FC1F35">
        <w:rPr>
          <w:rFonts w:ascii="Book Antiqua" w:eastAsia="宋体" w:hAnsi="Book Antiqua" w:cs="宋体"/>
          <w:color w:val="000000"/>
          <w:bdr w:val="none" w:sz="0" w:space="0" w:color="auto"/>
          <w:lang w:eastAsia="zh-CN"/>
        </w:rPr>
        <w:t>e</w:t>
      </w:r>
      <w:r w:rsidRPr="00FC1F35">
        <w:rPr>
          <w:rFonts w:ascii="Book Antiqua" w:eastAsia="宋体" w:hAnsi="Book Antiqua" w:cs="宋体"/>
          <w:color w:val="000000"/>
          <w:bdr w:val="none" w:sz="0" w:space="0" w:color="auto"/>
          <w:lang w:eastAsia="zh-CN"/>
        </w:rPr>
        <w:t>nal polyps. </w:t>
      </w:r>
      <w:r w:rsidRPr="00FC1F35">
        <w:rPr>
          <w:rFonts w:ascii="Book Antiqua" w:eastAsia="宋体" w:hAnsi="Book Antiqua" w:cs="宋体"/>
          <w:i/>
          <w:iCs/>
          <w:color w:val="000000"/>
          <w:bdr w:val="none" w:sz="0" w:space="0" w:color="auto"/>
          <w:lang w:eastAsia="zh-CN"/>
        </w:rPr>
        <w:t>Gastroenterol Hepatol (N Y)</w:t>
      </w:r>
      <w:r w:rsidRPr="00FC1F35">
        <w:rPr>
          <w:rFonts w:ascii="Book Antiqua" w:eastAsia="宋体" w:hAnsi="Book Antiqua" w:cs="宋体"/>
          <w:color w:val="000000"/>
          <w:bdr w:val="none" w:sz="0" w:space="0" w:color="auto"/>
          <w:lang w:eastAsia="zh-CN"/>
        </w:rPr>
        <w:t> 2011; </w:t>
      </w:r>
      <w:r w:rsidRPr="00FC1F35">
        <w:rPr>
          <w:rFonts w:ascii="Book Antiqua" w:eastAsia="宋体" w:hAnsi="Book Antiqua" w:cs="宋体"/>
          <w:b/>
          <w:bCs/>
          <w:color w:val="000000"/>
          <w:bdr w:val="none" w:sz="0" w:space="0" w:color="auto"/>
          <w:lang w:eastAsia="zh-CN"/>
        </w:rPr>
        <w:t>7</w:t>
      </w:r>
      <w:r w:rsidRPr="00FC1F35">
        <w:rPr>
          <w:rFonts w:ascii="Book Antiqua" w:eastAsia="宋体" w:hAnsi="Book Antiqua" w:cs="宋体"/>
          <w:color w:val="000000"/>
          <w:bdr w:val="none" w:sz="0" w:space="0" w:color="auto"/>
          <w:lang w:eastAsia="zh-CN"/>
        </w:rPr>
        <w:t>: 329-332 [PMID: 21857835]</w:t>
      </w:r>
    </w:p>
    <w:p w14:paraId="1477D349" w14:textId="77777777" w:rsidR="00FC1F35" w:rsidRPr="00FC1F35" w:rsidRDefault="00FC1F35" w:rsidP="00FC1F3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FC1F35">
        <w:rPr>
          <w:rFonts w:ascii="Book Antiqua" w:eastAsia="宋体" w:hAnsi="Book Antiqua" w:cs="宋体"/>
          <w:color w:val="000000"/>
          <w:bdr w:val="none" w:sz="0" w:space="0" w:color="auto"/>
          <w:lang w:eastAsia="zh-CN"/>
        </w:rPr>
        <w:t>8 </w:t>
      </w:r>
      <w:r w:rsidRPr="00FC1F35">
        <w:rPr>
          <w:rFonts w:ascii="Book Antiqua" w:eastAsia="宋体" w:hAnsi="Book Antiqua" w:cs="宋体"/>
          <w:b/>
          <w:bCs/>
          <w:color w:val="000000"/>
          <w:bdr w:val="none" w:sz="0" w:space="0" w:color="auto"/>
          <w:lang w:eastAsia="zh-CN"/>
        </w:rPr>
        <w:t>Bülow S</w:t>
      </w:r>
      <w:r w:rsidRPr="00FC1F35">
        <w:rPr>
          <w:rFonts w:ascii="Book Antiqua" w:eastAsia="宋体" w:hAnsi="Book Antiqua" w:cs="宋体"/>
          <w:color w:val="000000"/>
          <w:bdr w:val="none" w:sz="0" w:space="0" w:color="auto"/>
          <w:lang w:eastAsia="zh-CN"/>
        </w:rPr>
        <w:t>, Bülow C, Nielsen TF, Karlsen L, Moesgaard F. Centralized regi</w:t>
      </w:r>
      <w:r w:rsidRPr="00FC1F35">
        <w:rPr>
          <w:rFonts w:ascii="Book Antiqua" w:eastAsia="宋体" w:hAnsi="Book Antiqua" w:cs="宋体"/>
          <w:color w:val="000000"/>
          <w:bdr w:val="none" w:sz="0" w:space="0" w:color="auto"/>
          <w:lang w:eastAsia="zh-CN"/>
        </w:rPr>
        <w:t>s</w:t>
      </w:r>
      <w:r w:rsidRPr="00FC1F35">
        <w:rPr>
          <w:rFonts w:ascii="Book Antiqua" w:eastAsia="宋体" w:hAnsi="Book Antiqua" w:cs="宋体"/>
          <w:color w:val="000000"/>
          <w:bdr w:val="none" w:sz="0" w:space="0" w:color="auto"/>
          <w:lang w:eastAsia="zh-CN"/>
        </w:rPr>
        <w:t>tration, prophylactic examination, and treatment results in improved progn</w:t>
      </w:r>
      <w:r w:rsidRPr="00FC1F35">
        <w:rPr>
          <w:rFonts w:ascii="Book Antiqua" w:eastAsia="宋体" w:hAnsi="Book Antiqua" w:cs="宋体"/>
          <w:color w:val="000000"/>
          <w:bdr w:val="none" w:sz="0" w:space="0" w:color="auto"/>
          <w:lang w:eastAsia="zh-CN"/>
        </w:rPr>
        <w:t>o</w:t>
      </w:r>
      <w:r w:rsidRPr="00FC1F35">
        <w:rPr>
          <w:rFonts w:ascii="Book Antiqua" w:eastAsia="宋体" w:hAnsi="Book Antiqua" w:cs="宋体"/>
          <w:color w:val="000000"/>
          <w:bdr w:val="none" w:sz="0" w:space="0" w:color="auto"/>
          <w:lang w:eastAsia="zh-CN"/>
        </w:rPr>
        <w:t>sis in familial adenomatous polyposis. Results from the Danish Polyposis Register. </w:t>
      </w:r>
      <w:r w:rsidRPr="00FC1F35">
        <w:rPr>
          <w:rFonts w:ascii="Book Antiqua" w:eastAsia="宋体" w:hAnsi="Book Antiqua" w:cs="宋体"/>
          <w:i/>
          <w:iCs/>
          <w:color w:val="000000"/>
          <w:bdr w:val="none" w:sz="0" w:space="0" w:color="auto"/>
          <w:lang w:eastAsia="zh-CN"/>
        </w:rPr>
        <w:t>Scand J Gastroenterol</w:t>
      </w:r>
      <w:r w:rsidRPr="00FC1F35">
        <w:rPr>
          <w:rFonts w:ascii="Book Antiqua" w:eastAsia="宋体" w:hAnsi="Book Antiqua" w:cs="宋体"/>
          <w:color w:val="000000"/>
          <w:bdr w:val="none" w:sz="0" w:space="0" w:color="auto"/>
          <w:lang w:eastAsia="zh-CN"/>
        </w:rPr>
        <w:t> 1995; </w:t>
      </w:r>
      <w:r w:rsidRPr="00FC1F35">
        <w:rPr>
          <w:rFonts w:ascii="Book Antiqua" w:eastAsia="宋体" w:hAnsi="Book Antiqua" w:cs="宋体"/>
          <w:b/>
          <w:bCs/>
          <w:color w:val="000000"/>
          <w:bdr w:val="none" w:sz="0" w:space="0" w:color="auto"/>
          <w:lang w:eastAsia="zh-CN"/>
        </w:rPr>
        <w:t>30</w:t>
      </w:r>
      <w:r w:rsidRPr="00FC1F35">
        <w:rPr>
          <w:rFonts w:ascii="Book Antiqua" w:eastAsia="宋体" w:hAnsi="Book Antiqua" w:cs="宋体"/>
          <w:color w:val="000000"/>
          <w:bdr w:val="none" w:sz="0" w:space="0" w:color="auto"/>
          <w:lang w:eastAsia="zh-CN"/>
        </w:rPr>
        <w:t>: 989-993 [PMID: 8545620 DOI: 10.3109/00365529509096343]</w:t>
      </w:r>
    </w:p>
    <w:p w14:paraId="53F15E8D" w14:textId="77777777" w:rsidR="00FC1F35" w:rsidRPr="00FC1F35" w:rsidRDefault="00FC1F35" w:rsidP="00FC1F3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FC1F35">
        <w:rPr>
          <w:rFonts w:ascii="Book Antiqua" w:eastAsia="宋体" w:hAnsi="Book Antiqua" w:cs="宋体"/>
          <w:color w:val="000000"/>
          <w:bdr w:val="none" w:sz="0" w:space="0" w:color="auto"/>
          <w:lang w:eastAsia="zh-CN"/>
        </w:rPr>
        <w:t>9 </w:t>
      </w:r>
      <w:r w:rsidRPr="00FC1F35">
        <w:rPr>
          <w:rFonts w:ascii="Book Antiqua" w:eastAsia="宋体" w:hAnsi="Book Antiqua" w:cs="宋体"/>
          <w:b/>
          <w:bCs/>
          <w:color w:val="000000"/>
          <w:bdr w:val="none" w:sz="0" w:space="0" w:color="auto"/>
          <w:lang w:eastAsia="zh-CN"/>
        </w:rPr>
        <w:t>Basford PJ</w:t>
      </w:r>
      <w:r w:rsidRPr="00FC1F35">
        <w:rPr>
          <w:rFonts w:ascii="Book Antiqua" w:eastAsia="宋体" w:hAnsi="Book Antiqua" w:cs="宋体"/>
          <w:color w:val="000000"/>
          <w:bdr w:val="none" w:sz="0" w:space="0" w:color="auto"/>
          <w:lang w:eastAsia="zh-CN"/>
        </w:rPr>
        <w:t>, George R, Nixon E, Chaudhuri T, Mead R, Bhandari P. End</w:t>
      </w:r>
      <w:r w:rsidRPr="00FC1F35">
        <w:rPr>
          <w:rFonts w:ascii="Book Antiqua" w:eastAsia="宋体" w:hAnsi="Book Antiqua" w:cs="宋体"/>
          <w:color w:val="000000"/>
          <w:bdr w:val="none" w:sz="0" w:space="0" w:color="auto"/>
          <w:lang w:eastAsia="zh-CN"/>
        </w:rPr>
        <w:t>o</w:t>
      </w:r>
      <w:r w:rsidRPr="00FC1F35">
        <w:rPr>
          <w:rFonts w:ascii="Book Antiqua" w:eastAsia="宋体" w:hAnsi="Book Antiqua" w:cs="宋体"/>
          <w:color w:val="000000"/>
          <w:bdr w:val="none" w:sz="0" w:space="0" w:color="auto"/>
          <w:lang w:eastAsia="zh-CN"/>
        </w:rPr>
        <w:t>scopic resection of sporadic duodenal adenomas: comparison of endoscopic mucosal resection (EMR) with hybrid endoscopic submucosal dissection (ESD) techniques and the risks of late delayed bleeding. </w:t>
      </w:r>
      <w:r w:rsidRPr="00FC1F35">
        <w:rPr>
          <w:rFonts w:ascii="Book Antiqua" w:eastAsia="宋体" w:hAnsi="Book Antiqua" w:cs="宋体"/>
          <w:i/>
          <w:iCs/>
          <w:color w:val="000000"/>
          <w:bdr w:val="none" w:sz="0" w:space="0" w:color="auto"/>
          <w:lang w:eastAsia="zh-CN"/>
        </w:rPr>
        <w:t>Surg Endosc</w:t>
      </w:r>
      <w:r w:rsidRPr="00FC1F35">
        <w:rPr>
          <w:rFonts w:ascii="Book Antiqua" w:eastAsia="宋体" w:hAnsi="Book Antiqua" w:cs="宋体"/>
          <w:color w:val="000000"/>
          <w:bdr w:val="none" w:sz="0" w:space="0" w:color="auto"/>
          <w:lang w:eastAsia="zh-CN"/>
        </w:rPr>
        <w:t> 2014; </w:t>
      </w:r>
      <w:r w:rsidRPr="00FC1F35">
        <w:rPr>
          <w:rFonts w:ascii="Book Antiqua" w:eastAsia="宋体" w:hAnsi="Book Antiqua" w:cs="宋体"/>
          <w:b/>
          <w:bCs/>
          <w:color w:val="000000"/>
          <w:bdr w:val="none" w:sz="0" w:space="0" w:color="auto"/>
          <w:lang w:eastAsia="zh-CN"/>
        </w:rPr>
        <w:t>28</w:t>
      </w:r>
      <w:r w:rsidRPr="00FC1F35">
        <w:rPr>
          <w:rFonts w:ascii="Book Antiqua" w:eastAsia="宋体" w:hAnsi="Book Antiqua" w:cs="宋体"/>
          <w:color w:val="000000"/>
          <w:bdr w:val="none" w:sz="0" w:space="0" w:color="auto"/>
          <w:lang w:eastAsia="zh-CN"/>
        </w:rPr>
        <w:t>: 1594-1600 [PMID: 24442676 DOI: 10.1007/s00464-013-3356-y]</w:t>
      </w:r>
    </w:p>
    <w:p w14:paraId="6DC5288D" w14:textId="77777777" w:rsidR="00FC1F35" w:rsidRPr="00FC1F35" w:rsidRDefault="00FC1F35" w:rsidP="00FC1F3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FC1F35">
        <w:rPr>
          <w:rFonts w:ascii="Book Antiqua" w:eastAsia="宋体" w:hAnsi="Book Antiqua" w:cs="宋体"/>
          <w:color w:val="000000"/>
          <w:bdr w:val="none" w:sz="0" w:space="0" w:color="auto"/>
          <w:lang w:eastAsia="zh-CN"/>
        </w:rPr>
        <w:t>10 </w:t>
      </w:r>
      <w:r w:rsidRPr="00FC1F35">
        <w:rPr>
          <w:rFonts w:ascii="Book Antiqua" w:eastAsia="宋体" w:hAnsi="Book Antiqua" w:cs="宋体"/>
          <w:b/>
          <w:bCs/>
          <w:color w:val="000000"/>
          <w:bdr w:val="none" w:sz="0" w:space="0" w:color="auto"/>
          <w:lang w:eastAsia="zh-CN"/>
        </w:rPr>
        <w:t>Apel D</w:t>
      </w:r>
      <w:r w:rsidRPr="00FC1F35">
        <w:rPr>
          <w:rFonts w:ascii="Book Antiqua" w:eastAsia="宋体" w:hAnsi="Book Antiqua" w:cs="宋体"/>
          <w:color w:val="000000"/>
          <w:bdr w:val="none" w:sz="0" w:space="0" w:color="auto"/>
          <w:lang w:eastAsia="zh-CN"/>
        </w:rPr>
        <w:t>, Jakobs R, Spiethoff A, Riemann JF. Follow-up after endoscopic snare resection of duodenal adenomas. </w:t>
      </w:r>
      <w:r w:rsidRPr="00FC1F35">
        <w:rPr>
          <w:rFonts w:ascii="Book Antiqua" w:eastAsia="宋体" w:hAnsi="Book Antiqua" w:cs="宋体"/>
          <w:i/>
          <w:iCs/>
          <w:color w:val="000000"/>
          <w:bdr w:val="none" w:sz="0" w:space="0" w:color="auto"/>
          <w:lang w:eastAsia="zh-CN"/>
        </w:rPr>
        <w:t>Endoscopy</w:t>
      </w:r>
      <w:r w:rsidRPr="00FC1F35">
        <w:rPr>
          <w:rFonts w:ascii="Book Antiqua" w:eastAsia="宋体" w:hAnsi="Book Antiqua" w:cs="宋体"/>
          <w:color w:val="000000"/>
          <w:bdr w:val="none" w:sz="0" w:space="0" w:color="auto"/>
          <w:lang w:eastAsia="zh-CN"/>
        </w:rPr>
        <w:t> 2005; </w:t>
      </w:r>
      <w:r w:rsidRPr="00FC1F35">
        <w:rPr>
          <w:rFonts w:ascii="Book Antiqua" w:eastAsia="宋体" w:hAnsi="Book Antiqua" w:cs="宋体"/>
          <w:b/>
          <w:bCs/>
          <w:color w:val="000000"/>
          <w:bdr w:val="none" w:sz="0" w:space="0" w:color="auto"/>
          <w:lang w:eastAsia="zh-CN"/>
        </w:rPr>
        <w:t>37</w:t>
      </w:r>
      <w:r w:rsidRPr="00FC1F35">
        <w:rPr>
          <w:rFonts w:ascii="Book Antiqua" w:eastAsia="宋体" w:hAnsi="Book Antiqua" w:cs="宋体"/>
          <w:color w:val="000000"/>
          <w:bdr w:val="none" w:sz="0" w:space="0" w:color="auto"/>
          <w:lang w:eastAsia="zh-CN"/>
        </w:rPr>
        <w:t>: 444-448 [PMID: 15844023 DOI: 10.1055/s-2005-861287]</w:t>
      </w:r>
    </w:p>
    <w:p w14:paraId="3FB1A78D" w14:textId="77777777" w:rsidR="00FC1F35" w:rsidRPr="00FC1F35" w:rsidRDefault="00FC1F35" w:rsidP="00FC1F3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FC1F35">
        <w:rPr>
          <w:rFonts w:ascii="Book Antiqua" w:eastAsia="宋体" w:hAnsi="Book Antiqua" w:cs="宋体"/>
          <w:color w:val="000000"/>
          <w:bdr w:val="none" w:sz="0" w:space="0" w:color="auto"/>
          <w:lang w:eastAsia="zh-CN"/>
        </w:rPr>
        <w:t>11 </w:t>
      </w:r>
      <w:r w:rsidRPr="00FC1F35">
        <w:rPr>
          <w:rFonts w:ascii="Book Antiqua" w:eastAsia="宋体" w:hAnsi="Book Antiqua" w:cs="宋体"/>
          <w:b/>
          <w:bCs/>
          <w:color w:val="000000"/>
          <w:bdr w:val="none" w:sz="0" w:space="0" w:color="auto"/>
          <w:lang w:eastAsia="zh-CN"/>
        </w:rPr>
        <w:t>Ahmad NA</w:t>
      </w:r>
      <w:r w:rsidRPr="00FC1F35">
        <w:rPr>
          <w:rFonts w:ascii="Book Antiqua" w:eastAsia="宋体" w:hAnsi="Book Antiqua" w:cs="宋体"/>
          <w:color w:val="000000"/>
          <w:bdr w:val="none" w:sz="0" w:space="0" w:color="auto"/>
          <w:lang w:eastAsia="zh-CN"/>
        </w:rPr>
        <w:t>, Kochman ML, Long WB, Furth EE, Ginsberg GG. Efficacy, safety, and clinical outcomes of endoscopic mucosal resection: a study of 101 cases. </w:t>
      </w:r>
      <w:r w:rsidRPr="00FC1F35">
        <w:rPr>
          <w:rFonts w:ascii="Book Antiqua" w:eastAsia="宋体" w:hAnsi="Book Antiqua" w:cs="宋体"/>
          <w:i/>
          <w:iCs/>
          <w:color w:val="000000"/>
          <w:bdr w:val="none" w:sz="0" w:space="0" w:color="auto"/>
          <w:lang w:eastAsia="zh-CN"/>
        </w:rPr>
        <w:t>Gastrointest Endosc</w:t>
      </w:r>
      <w:r w:rsidRPr="00FC1F35">
        <w:rPr>
          <w:rFonts w:ascii="Book Antiqua" w:eastAsia="宋体" w:hAnsi="Book Antiqua" w:cs="宋体"/>
          <w:color w:val="000000"/>
          <w:bdr w:val="none" w:sz="0" w:space="0" w:color="auto"/>
          <w:lang w:eastAsia="zh-CN"/>
        </w:rPr>
        <w:t> 2002; </w:t>
      </w:r>
      <w:r w:rsidRPr="00FC1F35">
        <w:rPr>
          <w:rFonts w:ascii="Book Antiqua" w:eastAsia="宋体" w:hAnsi="Book Antiqua" w:cs="宋体"/>
          <w:b/>
          <w:bCs/>
          <w:color w:val="000000"/>
          <w:bdr w:val="none" w:sz="0" w:space="0" w:color="auto"/>
          <w:lang w:eastAsia="zh-CN"/>
        </w:rPr>
        <w:t>55</w:t>
      </w:r>
      <w:r w:rsidRPr="00FC1F35">
        <w:rPr>
          <w:rFonts w:ascii="Book Antiqua" w:eastAsia="宋体" w:hAnsi="Book Antiqua" w:cs="宋体"/>
          <w:color w:val="000000"/>
          <w:bdr w:val="none" w:sz="0" w:space="0" w:color="auto"/>
          <w:lang w:eastAsia="zh-CN"/>
        </w:rPr>
        <w:t>: 390-396 [PMID: 11868015 DOI: 10.1067/mge.2002.121881]</w:t>
      </w:r>
    </w:p>
    <w:p w14:paraId="1D75AF81" w14:textId="77777777" w:rsidR="00FC1F35" w:rsidRPr="00FC1F35" w:rsidRDefault="00FC1F35" w:rsidP="00FC1F3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FC1F35">
        <w:rPr>
          <w:rFonts w:ascii="Book Antiqua" w:eastAsia="宋体" w:hAnsi="Book Antiqua" w:cs="宋体"/>
          <w:color w:val="000000"/>
          <w:bdr w:val="none" w:sz="0" w:space="0" w:color="auto"/>
          <w:lang w:eastAsia="zh-CN"/>
        </w:rPr>
        <w:t>12 </w:t>
      </w:r>
      <w:r w:rsidRPr="00FC1F35">
        <w:rPr>
          <w:rFonts w:ascii="Book Antiqua" w:eastAsia="宋体" w:hAnsi="Book Antiqua" w:cs="宋体"/>
          <w:b/>
          <w:bCs/>
          <w:color w:val="000000"/>
          <w:bdr w:val="none" w:sz="0" w:space="0" w:color="auto"/>
          <w:lang w:eastAsia="zh-CN"/>
        </w:rPr>
        <w:t>Kedia P</w:t>
      </w:r>
      <w:r w:rsidRPr="00FC1F35">
        <w:rPr>
          <w:rFonts w:ascii="Book Antiqua" w:eastAsia="宋体" w:hAnsi="Book Antiqua" w:cs="宋体"/>
          <w:color w:val="000000"/>
          <w:bdr w:val="none" w:sz="0" w:space="0" w:color="auto"/>
          <w:lang w:eastAsia="zh-CN"/>
        </w:rPr>
        <w:t>, Brensinger C, Ginsberg G. Endoscopic predictors of successful endoluminal eradication in sporadic duodenal adenomas and its acute co</w:t>
      </w:r>
      <w:r w:rsidRPr="00FC1F35">
        <w:rPr>
          <w:rFonts w:ascii="Book Antiqua" w:eastAsia="宋体" w:hAnsi="Book Antiqua" w:cs="宋体"/>
          <w:color w:val="000000"/>
          <w:bdr w:val="none" w:sz="0" w:space="0" w:color="auto"/>
          <w:lang w:eastAsia="zh-CN"/>
        </w:rPr>
        <w:t>m</w:t>
      </w:r>
      <w:r w:rsidRPr="00FC1F35">
        <w:rPr>
          <w:rFonts w:ascii="Book Antiqua" w:eastAsia="宋体" w:hAnsi="Book Antiqua" w:cs="宋体"/>
          <w:color w:val="000000"/>
          <w:bdr w:val="none" w:sz="0" w:space="0" w:color="auto"/>
          <w:lang w:eastAsia="zh-CN"/>
        </w:rPr>
        <w:t>plications. </w:t>
      </w:r>
      <w:r w:rsidRPr="00FC1F35">
        <w:rPr>
          <w:rFonts w:ascii="Book Antiqua" w:eastAsia="宋体" w:hAnsi="Book Antiqua" w:cs="宋体"/>
          <w:i/>
          <w:iCs/>
          <w:color w:val="000000"/>
          <w:bdr w:val="none" w:sz="0" w:space="0" w:color="auto"/>
          <w:lang w:eastAsia="zh-CN"/>
        </w:rPr>
        <w:t>Gastrointest Endosc</w:t>
      </w:r>
      <w:r w:rsidRPr="00FC1F35">
        <w:rPr>
          <w:rFonts w:ascii="Book Antiqua" w:eastAsia="宋体" w:hAnsi="Book Antiqua" w:cs="宋体"/>
          <w:color w:val="000000"/>
          <w:bdr w:val="none" w:sz="0" w:space="0" w:color="auto"/>
          <w:lang w:eastAsia="zh-CN"/>
        </w:rPr>
        <w:t> 2010; </w:t>
      </w:r>
      <w:r w:rsidRPr="00FC1F35">
        <w:rPr>
          <w:rFonts w:ascii="Book Antiqua" w:eastAsia="宋体" w:hAnsi="Book Antiqua" w:cs="宋体"/>
          <w:b/>
          <w:bCs/>
          <w:color w:val="000000"/>
          <w:bdr w:val="none" w:sz="0" w:space="0" w:color="auto"/>
          <w:lang w:eastAsia="zh-CN"/>
        </w:rPr>
        <w:t>72</w:t>
      </w:r>
      <w:r w:rsidRPr="00FC1F35">
        <w:rPr>
          <w:rFonts w:ascii="Book Antiqua" w:eastAsia="宋体" w:hAnsi="Book Antiqua" w:cs="宋体"/>
          <w:color w:val="000000"/>
          <w:bdr w:val="none" w:sz="0" w:space="0" w:color="auto"/>
          <w:lang w:eastAsia="zh-CN"/>
        </w:rPr>
        <w:t>: 1297-1301 [PMID: 20970793 DOI: 10.1016/j.gie.2010.07.039]</w:t>
      </w:r>
    </w:p>
    <w:p w14:paraId="46DAB530" w14:textId="77777777" w:rsidR="00FC1F35" w:rsidRPr="00FC1F35" w:rsidRDefault="00FC1F35" w:rsidP="00FC1F3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FC1F35">
        <w:rPr>
          <w:rFonts w:ascii="Book Antiqua" w:eastAsia="宋体" w:hAnsi="Book Antiqua" w:cs="宋体"/>
          <w:color w:val="000000"/>
          <w:bdr w:val="none" w:sz="0" w:space="0" w:color="auto"/>
          <w:lang w:eastAsia="zh-CN"/>
        </w:rPr>
        <w:t>13 </w:t>
      </w:r>
      <w:r w:rsidRPr="00FC1F35">
        <w:rPr>
          <w:rFonts w:ascii="Book Antiqua" w:eastAsia="宋体" w:hAnsi="Book Antiqua" w:cs="宋体"/>
          <w:b/>
          <w:bCs/>
          <w:color w:val="000000"/>
          <w:bdr w:val="none" w:sz="0" w:space="0" w:color="auto"/>
          <w:lang w:eastAsia="zh-CN"/>
        </w:rPr>
        <w:t>Kim HK</w:t>
      </w:r>
      <w:r w:rsidRPr="00FC1F35">
        <w:rPr>
          <w:rFonts w:ascii="Book Antiqua" w:eastAsia="宋体" w:hAnsi="Book Antiqua" w:cs="宋体"/>
          <w:color w:val="000000"/>
          <w:bdr w:val="none" w:sz="0" w:space="0" w:color="auto"/>
          <w:lang w:eastAsia="zh-CN"/>
        </w:rPr>
        <w:t>, Chung WC, Lee BI, Cho YS. Efficacy and long-term outcome of endoscopic treatment of sporadic nonampullary duodenal adenoma. </w:t>
      </w:r>
      <w:r w:rsidRPr="00FC1F35">
        <w:rPr>
          <w:rFonts w:ascii="Book Antiqua" w:eastAsia="宋体" w:hAnsi="Book Antiqua" w:cs="宋体"/>
          <w:i/>
          <w:iCs/>
          <w:color w:val="000000"/>
          <w:bdr w:val="none" w:sz="0" w:space="0" w:color="auto"/>
          <w:lang w:eastAsia="zh-CN"/>
        </w:rPr>
        <w:t>Gut Li</w:t>
      </w:r>
      <w:r w:rsidRPr="00FC1F35">
        <w:rPr>
          <w:rFonts w:ascii="Book Antiqua" w:eastAsia="宋体" w:hAnsi="Book Antiqua" w:cs="宋体"/>
          <w:i/>
          <w:iCs/>
          <w:color w:val="000000"/>
          <w:bdr w:val="none" w:sz="0" w:space="0" w:color="auto"/>
          <w:lang w:eastAsia="zh-CN"/>
        </w:rPr>
        <w:t>v</w:t>
      </w:r>
      <w:r w:rsidRPr="00FC1F35">
        <w:rPr>
          <w:rFonts w:ascii="Book Antiqua" w:eastAsia="宋体" w:hAnsi="Book Antiqua" w:cs="宋体"/>
          <w:i/>
          <w:iCs/>
          <w:color w:val="000000"/>
          <w:bdr w:val="none" w:sz="0" w:space="0" w:color="auto"/>
          <w:lang w:eastAsia="zh-CN"/>
        </w:rPr>
        <w:t>er</w:t>
      </w:r>
      <w:r w:rsidRPr="00FC1F35">
        <w:rPr>
          <w:rFonts w:ascii="Book Antiqua" w:eastAsia="宋体" w:hAnsi="Book Antiqua" w:cs="宋体"/>
          <w:color w:val="000000"/>
          <w:bdr w:val="none" w:sz="0" w:space="0" w:color="auto"/>
          <w:lang w:eastAsia="zh-CN"/>
        </w:rPr>
        <w:t> 2010; </w:t>
      </w:r>
      <w:r w:rsidRPr="00FC1F35">
        <w:rPr>
          <w:rFonts w:ascii="Book Antiqua" w:eastAsia="宋体" w:hAnsi="Book Antiqua" w:cs="宋体"/>
          <w:b/>
          <w:bCs/>
          <w:color w:val="000000"/>
          <w:bdr w:val="none" w:sz="0" w:space="0" w:color="auto"/>
          <w:lang w:eastAsia="zh-CN"/>
        </w:rPr>
        <w:t>4</w:t>
      </w:r>
      <w:r w:rsidRPr="00FC1F35">
        <w:rPr>
          <w:rFonts w:ascii="Book Antiqua" w:eastAsia="宋体" w:hAnsi="Book Antiqua" w:cs="宋体"/>
          <w:color w:val="000000"/>
          <w:bdr w:val="none" w:sz="0" w:space="0" w:color="auto"/>
          <w:lang w:eastAsia="zh-CN"/>
        </w:rPr>
        <w:t>: 373-377 [PMID: 20981216 DOI: 10.5009/gnl.2010.4.3.373]</w:t>
      </w:r>
    </w:p>
    <w:p w14:paraId="4F65DDA9" w14:textId="77777777" w:rsidR="00FC1F35" w:rsidRPr="00FC1F35" w:rsidRDefault="00FC1F35" w:rsidP="00FC1F3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FC1F35">
        <w:rPr>
          <w:rFonts w:ascii="Book Antiqua" w:eastAsia="宋体" w:hAnsi="Book Antiqua" w:cs="宋体"/>
          <w:color w:val="000000"/>
          <w:bdr w:val="none" w:sz="0" w:space="0" w:color="auto"/>
          <w:lang w:eastAsia="zh-CN"/>
        </w:rPr>
        <w:t>14 </w:t>
      </w:r>
      <w:r w:rsidRPr="00FC1F35">
        <w:rPr>
          <w:rFonts w:ascii="Book Antiqua" w:eastAsia="宋体" w:hAnsi="Book Antiqua" w:cs="宋体"/>
          <w:b/>
          <w:bCs/>
          <w:color w:val="000000"/>
          <w:bdr w:val="none" w:sz="0" w:space="0" w:color="auto"/>
          <w:lang w:eastAsia="zh-CN"/>
        </w:rPr>
        <w:t>Honda T</w:t>
      </w:r>
      <w:r w:rsidRPr="00FC1F35">
        <w:rPr>
          <w:rFonts w:ascii="Book Antiqua" w:eastAsia="宋体" w:hAnsi="Book Antiqua" w:cs="宋体"/>
          <w:color w:val="000000"/>
          <w:bdr w:val="none" w:sz="0" w:space="0" w:color="auto"/>
          <w:lang w:eastAsia="zh-CN"/>
        </w:rPr>
        <w:t>, Yamamoto H, Osawa H, Yoshizawa M, Nakano H, Sunada K, Hanatsuka K, Sugano K. Endoscopic submucosal dissection for superficial duodenal neoplasms. </w:t>
      </w:r>
      <w:r w:rsidRPr="00FC1F35">
        <w:rPr>
          <w:rFonts w:ascii="Book Antiqua" w:eastAsia="宋体" w:hAnsi="Book Antiqua" w:cs="宋体"/>
          <w:i/>
          <w:iCs/>
          <w:color w:val="000000"/>
          <w:bdr w:val="none" w:sz="0" w:space="0" w:color="auto"/>
          <w:lang w:eastAsia="zh-CN"/>
        </w:rPr>
        <w:t>Dig Endosc</w:t>
      </w:r>
      <w:r w:rsidRPr="00FC1F35">
        <w:rPr>
          <w:rFonts w:ascii="Book Antiqua" w:eastAsia="宋体" w:hAnsi="Book Antiqua" w:cs="宋体"/>
          <w:color w:val="000000"/>
          <w:bdr w:val="none" w:sz="0" w:space="0" w:color="auto"/>
          <w:lang w:eastAsia="zh-CN"/>
        </w:rPr>
        <w:t> 2009; </w:t>
      </w:r>
      <w:r w:rsidRPr="00FC1F35">
        <w:rPr>
          <w:rFonts w:ascii="Book Antiqua" w:eastAsia="宋体" w:hAnsi="Book Antiqua" w:cs="宋体"/>
          <w:b/>
          <w:bCs/>
          <w:color w:val="000000"/>
          <w:bdr w:val="none" w:sz="0" w:space="0" w:color="auto"/>
          <w:lang w:eastAsia="zh-CN"/>
        </w:rPr>
        <w:t>21</w:t>
      </w:r>
      <w:r w:rsidRPr="00FC1F35">
        <w:rPr>
          <w:rFonts w:ascii="Book Antiqua" w:eastAsia="宋体" w:hAnsi="Book Antiqua" w:cs="宋体"/>
          <w:color w:val="000000"/>
          <w:bdr w:val="none" w:sz="0" w:space="0" w:color="auto"/>
          <w:lang w:eastAsia="zh-CN"/>
        </w:rPr>
        <w:t>: 270-274 [PMID: 19961529 DOI: 10.1111/j.1443-1661.2009.00908.x]</w:t>
      </w:r>
    </w:p>
    <w:p w14:paraId="11F57377" w14:textId="77777777" w:rsidR="00FC1F35" w:rsidRPr="00FC1F35" w:rsidRDefault="00FC1F35" w:rsidP="00FC1F3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FC1F35">
        <w:rPr>
          <w:rFonts w:ascii="Book Antiqua" w:eastAsia="宋体" w:hAnsi="Book Antiqua" w:cs="宋体"/>
          <w:color w:val="000000"/>
          <w:bdr w:val="none" w:sz="0" w:space="0" w:color="auto"/>
          <w:lang w:eastAsia="zh-CN"/>
        </w:rPr>
        <w:t>15 </w:t>
      </w:r>
      <w:r w:rsidRPr="00FC1F35">
        <w:rPr>
          <w:rFonts w:ascii="Book Antiqua" w:eastAsia="宋体" w:hAnsi="Book Antiqua" w:cs="宋体"/>
          <w:b/>
          <w:bCs/>
          <w:color w:val="000000"/>
          <w:bdr w:val="none" w:sz="0" w:space="0" w:color="auto"/>
          <w:lang w:eastAsia="zh-CN"/>
        </w:rPr>
        <w:t>Galandiuk S</w:t>
      </w:r>
      <w:r w:rsidRPr="00FC1F35">
        <w:rPr>
          <w:rFonts w:ascii="Book Antiqua" w:eastAsia="宋体" w:hAnsi="Book Antiqua" w:cs="宋体"/>
          <w:color w:val="000000"/>
          <w:bdr w:val="none" w:sz="0" w:space="0" w:color="auto"/>
          <w:lang w:eastAsia="zh-CN"/>
        </w:rPr>
        <w:t>, Hermann RE, Jagelman DG, Fazio VW, Sivak MV. Villous tumors of the duodenum. </w:t>
      </w:r>
      <w:r w:rsidRPr="00FC1F35">
        <w:rPr>
          <w:rFonts w:ascii="Book Antiqua" w:eastAsia="宋体" w:hAnsi="Book Antiqua" w:cs="宋体"/>
          <w:i/>
          <w:iCs/>
          <w:color w:val="000000"/>
          <w:bdr w:val="none" w:sz="0" w:space="0" w:color="auto"/>
          <w:lang w:eastAsia="zh-CN"/>
        </w:rPr>
        <w:t>Ann Surg</w:t>
      </w:r>
      <w:r w:rsidRPr="00FC1F35">
        <w:rPr>
          <w:rFonts w:ascii="Book Antiqua" w:eastAsia="宋体" w:hAnsi="Book Antiqua" w:cs="宋体"/>
          <w:color w:val="000000"/>
          <w:bdr w:val="none" w:sz="0" w:space="0" w:color="auto"/>
          <w:lang w:eastAsia="zh-CN"/>
        </w:rPr>
        <w:t> 1988; </w:t>
      </w:r>
      <w:r w:rsidRPr="00FC1F35">
        <w:rPr>
          <w:rFonts w:ascii="Book Antiqua" w:eastAsia="宋体" w:hAnsi="Book Antiqua" w:cs="宋体"/>
          <w:b/>
          <w:bCs/>
          <w:color w:val="000000"/>
          <w:bdr w:val="none" w:sz="0" w:space="0" w:color="auto"/>
          <w:lang w:eastAsia="zh-CN"/>
        </w:rPr>
        <w:t>207</w:t>
      </w:r>
      <w:r w:rsidRPr="00FC1F35">
        <w:rPr>
          <w:rFonts w:ascii="Book Antiqua" w:eastAsia="宋体" w:hAnsi="Book Antiqua" w:cs="宋体"/>
          <w:color w:val="000000"/>
          <w:bdr w:val="none" w:sz="0" w:space="0" w:color="auto"/>
          <w:lang w:eastAsia="zh-CN"/>
        </w:rPr>
        <w:t>: 234-239 [PMID: 3345110 DOI: 10.1097/00000658-198803000-00002]</w:t>
      </w:r>
    </w:p>
    <w:p w14:paraId="105B5242" w14:textId="4747CE46" w:rsidR="00FC1F35" w:rsidRPr="00FC1F35" w:rsidRDefault="00FC1F35" w:rsidP="00FC1F3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FC1F35">
        <w:rPr>
          <w:rFonts w:ascii="Book Antiqua" w:eastAsia="宋体" w:hAnsi="Book Antiqua" w:cs="宋体"/>
          <w:color w:val="000000"/>
          <w:bdr w:val="none" w:sz="0" w:space="0" w:color="auto"/>
          <w:lang w:eastAsia="zh-CN"/>
        </w:rPr>
        <w:t>16 </w:t>
      </w:r>
      <w:r w:rsidRPr="00FC1F35">
        <w:rPr>
          <w:rFonts w:ascii="Book Antiqua" w:eastAsia="宋体" w:hAnsi="Book Antiqua" w:cs="宋体"/>
          <w:b/>
          <w:bCs/>
          <w:color w:val="000000"/>
          <w:bdr w:val="none" w:sz="0" w:space="0" w:color="auto"/>
          <w:lang w:eastAsia="zh-CN"/>
        </w:rPr>
        <w:t>Farnell MB</w:t>
      </w:r>
      <w:r w:rsidRPr="00FC1F35">
        <w:rPr>
          <w:rFonts w:ascii="Book Antiqua" w:eastAsia="宋体" w:hAnsi="Book Antiqua" w:cs="宋体"/>
          <w:color w:val="000000"/>
          <w:bdr w:val="none" w:sz="0" w:space="0" w:color="auto"/>
          <w:lang w:eastAsia="zh-CN"/>
        </w:rPr>
        <w:t>, Sakorafas GH, Sarr MG, Rowland CM, Tsiotos GG, Farley DR, Nagorney DM. Villous tumors of the duodenum: reappraisal of local vs. e</w:t>
      </w:r>
      <w:r w:rsidRPr="00FC1F35">
        <w:rPr>
          <w:rFonts w:ascii="Book Antiqua" w:eastAsia="宋体" w:hAnsi="Book Antiqua" w:cs="宋体"/>
          <w:color w:val="000000"/>
          <w:bdr w:val="none" w:sz="0" w:space="0" w:color="auto"/>
          <w:lang w:eastAsia="zh-CN"/>
        </w:rPr>
        <w:t>x</w:t>
      </w:r>
      <w:r w:rsidRPr="00FC1F35">
        <w:rPr>
          <w:rFonts w:ascii="Book Antiqua" w:eastAsia="宋体" w:hAnsi="Book Antiqua" w:cs="宋体"/>
          <w:color w:val="000000"/>
          <w:bdr w:val="none" w:sz="0" w:space="0" w:color="auto"/>
          <w:lang w:eastAsia="zh-CN"/>
        </w:rPr>
        <w:t>tended resection. </w:t>
      </w:r>
      <w:r w:rsidRPr="00FC1F35">
        <w:rPr>
          <w:rFonts w:ascii="Book Antiqua" w:eastAsia="宋体" w:hAnsi="Book Antiqua" w:cs="宋体"/>
          <w:i/>
          <w:iCs/>
          <w:color w:val="000000"/>
          <w:bdr w:val="none" w:sz="0" w:space="0" w:color="auto"/>
          <w:lang w:eastAsia="zh-CN"/>
        </w:rPr>
        <w:t>J Gastrointest Surg</w:t>
      </w:r>
      <w:r w:rsidRPr="00FC1F35">
        <w:rPr>
          <w:rFonts w:ascii="Book Antiqua" w:eastAsia="宋体" w:hAnsi="Book Antiqua" w:cs="宋体"/>
          <w:color w:val="000000"/>
          <w:bdr w:val="none" w:sz="0" w:space="0" w:color="auto"/>
          <w:lang w:eastAsia="zh-CN"/>
        </w:rPr>
        <w:t> </w:t>
      </w:r>
      <w:r>
        <w:rPr>
          <w:rFonts w:ascii="Book Antiqua" w:eastAsia="宋体" w:hAnsi="Book Antiqua" w:cs="宋体" w:hint="eastAsia"/>
          <w:color w:val="000000"/>
          <w:bdr w:val="none" w:sz="0" w:space="0" w:color="auto"/>
          <w:lang w:eastAsia="zh-CN"/>
        </w:rPr>
        <w:t>2000</w:t>
      </w:r>
      <w:r w:rsidRPr="00FC1F35">
        <w:rPr>
          <w:rFonts w:ascii="Book Antiqua" w:eastAsia="宋体" w:hAnsi="Book Antiqua" w:cs="宋体"/>
          <w:color w:val="000000"/>
          <w:bdr w:val="none" w:sz="0" w:space="0" w:color="auto"/>
          <w:lang w:eastAsia="zh-CN"/>
        </w:rPr>
        <w:t>; </w:t>
      </w:r>
      <w:r w:rsidRPr="00FC1F35">
        <w:rPr>
          <w:rFonts w:ascii="Book Antiqua" w:eastAsia="宋体" w:hAnsi="Book Antiqua" w:cs="宋体"/>
          <w:b/>
          <w:bCs/>
          <w:color w:val="000000"/>
          <w:bdr w:val="none" w:sz="0" w:space="0" w:color="auto"/>
          <w:lang w:eastAsia="zh-CN"/>
        </w:rPr>
        <w:t>4</w:t>
      </w:r>
      <w:r w:rsidRPr="00FC1F35">
        <w:rPr>
          <w:rFonts w:ascii="Book Antiqua" w:eastAsia="宋体" w:hAnsi="Book Antiqua" w:cs="宋体"/>
          <w:color w:val="000000"/>
          <w:bdr w:val="none" w:sz="0" w:space="0" w:color="auto"/>
          <w:lang w:eastAsia="zh-CN"/>
        </w:rPr>
        <w:t>: 13-21, discussion 22-3 [PMID: 10631358]</w:t>
      </w:r>
    </w:p>
    <w:p w14:paraId="1A6F6008" w14:textId="77777777" w:rsidR="00FC1F35" w:rsidRPr="00FC1F35" w:rsidRDefault="00FC1F35" w:rsidP="00FC1F3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FC1F35">
        <w:rPr>
          <w:rFonts w:ascii="Book Antiqua" w:eastAsia="宋体" w:hAnsi="Book Antiqua" w:cs="宋体"/>
          <w:color w:val="000000"/>
          <w:bdr w:val="none" w:sz="0" w:space="0" w:color="auto"/>
          <w:lang w:eastAsia="zh-CN"/>
        </w:rPr>
        <w:t>17 </w:t>
      </w:r>
      <w:r w:rsidRPr="00FC1F35">
        <w:rPr>
          <w:rFonts w:ascii="Book Antiqua" w:eastAsia="宋体" w:hAnsi="Book Antiqua" w:cs="宋体"/>
          <w:b/>
          <w:bCs/>
          <w:color w:val="000000"/>
          <w:bdr w:val="none" w:sz="0" w:space="0" w:color="auto"/>
          <w:lang w:eastAsia="zh-CN"/>
        </w:rPr>
        <w:t>Haubrich WS</w:t>
      </w:r>
      <w:r w:rsidRPr="00FC1F35">
        <w:rPr>
          <w:rFonts w:ascii="Book Antiqua" w:eastAsia="宋体" w:hAnsi="Book Antiqua" w:cs="宋体"/>
          <w:color w:val="000000"/>
          <w:bdr w:val="none" w:sz="0" w:space="0" w:color="auto"/>
          <w:lang w:eastAsia="zh-CN"/>
        </w:rPr>
        <w:t>, Johnson RB, Foroozan P. Endoscopic removal of a duodenal adenoma. </w:t>
      </w:r>
      <w:r w:rsidRPr="00FC1F35">
        <w:rPr>
          <w:rFonts w:ascii="Book Antiqua" w:eastAsia="宋体" w:hAnsi="Book Antiqua" w:cs="宋体"/>
          <w:i/>
          <w:iCs/>
          <w:color w:val="000000"/>
          <w:bdr w:val="none" w:sz="0" w:space="0" w:color="auto"/>
          <w:lang w:eastAsia="zh-CN"/>
        </w:rPr>
        <w:t>Gastrointest Endosc</w:t>
      </w:r>
      <w:r w:rsidRPr="00FC1F35">
        <w:rPr>
          <w:rFonts w:ascii="Book Antiqua" w:eastAsia="宋体" w:hAnsi="Book Antiqua" w:cs="宋体"/>
          <w:color w:val="000000"/>
          <w:bdr w:val="none" w:sz="0" w:space="0" w:color="auto"/>
          <w:lang w:eastAsia="zh-CN"/>
        </w:rPr>
        <w:t> 1973; </w:t>
      </w:r>
      <w:r w:rsidRPr="00FC1F35">
        <w:rPr>
          <w:rFonts w:ascii="Book Antiqua" w:eastAsia="宋体" w:hAnsi="Book Antiqua" w:cs="宋体"/>
          <w:b/>
          <w:bCs/>
          <w:color w:val="000000"/>
          <w:bdr w:val="none" w:sz="0" w:space="0" w:color="auto"/>
          <w:lang w:eastAsia="zh-CN"/>
        </w:rPr>
        <w:t>19</w:t>
      </w:r>
      <w:r w:rsidRPr="00FC1F35">
        <w:rPr>
          <w:rFonts w:ascii="Book Antiqua" w:eastAsia="宋体" w:hAnsi="Book Antiqua" w:cs="宋体"/>
          <w:color w:val="000000"/>
          <w:bdr w:val="none" w:sz="0" w:space="0" w:color="auto"/>
          <w:lang w:eastAsia="zh-CN"/>
        </w:rPr>
        <w:t>: 201 [PMID: 4699356]</w:t>
      </w:r>
    </w:p>
    <w:p w14:paraId="3DC3D345" w14:textId="77777777" w:rsidR="00FC1F35" w:rsidRPr="00FC1F35" w:rsidRDefault="00FC1F35" w:rsidP="00FC1F3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FC1F35">
        <w:rPr>
          <w:rFonts w:ascii="Book Antiqua" w:eastAsia="宋体" w:hAnsi="Book Antiqua" w:cs="宋体"/>
          <w:color w:val="000000"/>
          <w:bdr w:val="none" w:sz="0" w:space="0" w:color="auto"/>
          <w:lang w:eastAsia="zh-CN"/>
        </w:rPr>
        <w:t>18 </w:t>
      </w:r>
      <w:r w:rsidRPr="00FC1F35">
        <w:rPr>
          <w:rFonts w:ascii="Book Antiqua" w:eastAsia="宋体" w:hAnsi="Book Antiqua" w:cs="宋体"/>
          <w:b/>
          <w:bCs/>
          <w:color w:val="000000"/>
          <w:bdr w:val="none" w:sz="0" w:space="0" w:color="auto"/>
          <w:lang w:eastAsia="zh-CN"/>
        </w:rPr>
        <w:t>Lépilliez V</w:t>
      </w:r>
      <w:r w:rsidRPr="00FC1F35">
        <w:rPr>
          <w:rFonts w:ascii="Book Antiqua" w:eastAsia="宋体" w:hAnsi="Book Antiqua" w:cs="宋体"/>
          <w:color w:val="000000"/>
          <w:bdr w:val="none" w:sz="0" w:space="0" w:color="auto"/>
          <w:lang w:eastAsia="zh-CN"/>
        </w:rPr>
        <w:t>, Chemaly M, Ponchon T, Napoleon B, Saurin JC. Endoscopic resection of sporadic duodenal adenomas: an efficient technique with a su</w:t>
      </w:r>
      <w:r w:rsidRPr="00FC1F35">
        <w:rPr>
          <w:rFonts w:ascii="Book Antiqua" w:eastAsia="宋体" w:hAnsi="Book Antiqua" w:cs="宋体"/>
          <w:color w:val="000000"/>
          <w:bdr w:val="none" w:sz="0" w:space="0" w:color="auto"/>
          <w:lang w:eastAsia="zh-CN"/>
        </w:rPr>
        <w:t>b</w:t>
      </w:r>
      <w:r w:rsidRPr="00FC1F35">
        <w:rPr>
          <w:rFonts w:ascii="Book Antiqua" w:eastAsia="宋体" w:hAnsi="Book Antiqua" w:cs="宋体"/>
          <w:color w:val="000000"/>
          <w:bdr w:val="none" w:sz="0" w:space="0" w:color="auto"/>
          <w:lang w:eastAsia="zh-CN"/>
        </w:rPr>
        <w:t>stantial risk of delayed bleeding. </w:t>
      </w:r>
      <w:r w:rsidRPr="00FC1F35">
        <w:rPr>
          <w:rFonts w:ascii="Book Antiqua" w:eastAsia="宋体" w:hAnsi="Book Antiqua" w:cs="宋体"/>
          <w:i/>
          <w:iCs/>
          <w:color w:val="000000"/>
          <w:bdr w:val="none" w:sz="0" w:space="0" w:color="auto"/>
          <w:lang w:eastAsia="zh-CN"/>
        </w:rPr>
        <w:t>Endoscopy</w:t>
      </w:r>
      <w:r w:rsidRPr="00FC1F35">
        <w:rPr>
          <w:rFonts w:ascii="Book Antiqua" w:eastAsia="宋体" w:hAnsi="Book Antiqua" w:cs="宋体"/>
          <w:color w:val="000000"/>
          <w:bdr w:val="none" w:sz="0" w:space="0" w:color="auto"/>
          <w:lang w:eastAsia="zh-CN"/>
        </w:rPr>
        <w:t> 2008; </w:t>
      </w:r>
      <w:r w:rsidRPr="00FC1F35">
        <w:rPr>
          <w:rFonts w:ascii="Book Antiqua" w:eastAsia="宋体" w:hAnsi="Book Antiqua" w:cs="宋体"/>
          <w:b/>
          <w:bCs/>
          <w:color w:val="000000"/>
          <w:bdr w:val="none" w:sz="0" w:space="0" w:color="auto"/>
          <w:lang w:eastAsia="zh-CN"/>
        </w:rPr>
        <w:t>40</w:t>
      </w:r>
      <w:r w:rsidRPr="00FC1F35">
        <w:rPr>
          <w:rFonts w:ascii="Book Antiqua" w:eastAsia="宋体" w:hAnsi="Book Antiqua" w:cs="宋体"/>
          <w:color w:val="000000"/>
          <w:bdr w:val="none" w:sz="0" w:space="0" w:color="auto"/>
          <w:lang w:eastAsia="zh-CN"/>
        </w:rPr>
        <w:t>: 806-810 [PMID: 18828076 DOI: 10.1055/s-2008-1077619]</w:t>
      </w:r>
    </w:p>
    <w:p w14:paraId="1C8CD908" w14:textId="77777777" w:rsidR="00FC1F35" w:rsidRPr="00FC1F35" w:rsidRDefault="00FC1F35" w:rsidP="00FC1F3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FC1F35">
        <w:rPr>
          <w:rFonts w:ascii="Book Antiqua" w:eastAsia="宋体" w:hAnsi="Book Antiqua" w:cs="宋体"/>
          <w:color w:val="000000"/>
          <w:bdr w:val="none" w:sz="0" w:space="0" w:color="auto"/>
          <w:lang w:eastAsia="zh-CN"/>
        </w:rPr>
        <w:t>19 </w:t>
      </w:r>
      <w:r w:rsidRPr="00FC1F35">
        <w:rPr>
          <w:rFonts w:ascii="Book Antiqua" w:eastAsia="宋体" w:hAnsi="Book Antiqua" w:cs="宋体"/>
          <w:b/>
          <w:bCs/>
          <w:color w:val="000000"/>
          <w:bdr w:val="none" w:sz="0" w:space="0" w:color="auto"/>
          <w:lang w:eastAsia="zh-CN"/>
        </w:rPr>
        <w:t>Alexander S</w:t>
      </w:r>
      <w:r w:rsidRPr="00FC1F35">
        <w:rPr>
          <w:rFonts w:ascii="Book Antiqua" w:eastAsia="宋体" w:hAnsi="Book Antiqua" w:cs="宋体"/>
          <w:color w:val="000000"/>
          <w:bdr w:val="none" w:sz="0" w:space="0" w:color="auto"/>
          <w:lang w:eastAsia="zh-CN"/>
        </w:rPr>
        <w:t>, Bourke MJ, Williams SJ, Bailey A, Co J. EMR of large, sessile, sporadic nonampullary duodenal adenomas: technical aspects and long-term outcome (with videos). </w:t>
      </w:r>
      <w:r w:rsidRPr="00FC1F35">
        <w:rPr>
          <w:rFonts w:ascii="Book Antiqua" w:eastAsia="宋体" w:hAnsi="Book Antiqua" w:cs="宋体"/>
          <w:i/>
          <w:iCs/>
          <w:color w:val="000000"/>
          <w:bdr w:val="none" w:sz="0" w:space="0" w:color="auto"/>
          <w:lang w:eastAsia="zh-CN"/>
        </w:rPr>
        <w:t>Gastrointest Endosc</w:t>
      </w:r>
      <w:r w:rsidRPr="00FC1F35">
        <w:rPr>
          <w:rFonts w:ascii="Book Antiqua" w:eastAsia="宋体" w:hAnsi="Book Antiqua" w:cs="宋体"/>
          <w:color w:val="000000"/>
          <w:bdr w:val="none" w:sz="0" w:space="0" w:color="auto"/>
          <w:lang w:eastAsia="zh-CN"/>
        </w:rPr>
        <w:t> 2009; </w:t>
      </w:r>
      <w:r w:rsidRPr="00FC1F35">
        <w:rPr>
          <w:rFonts w:ascii="Book Antiqua" w:eastAsia="宋体" w:hAnsi="Book Antiqua" w:cs="宋体"/>
          <w:b/>
          <w:bCs/>
          <w:color w:val="000000"/>
          <w:bdr w:val="none" w:sz="0" w:space="0" w:color="auto"/>
          <w:lang w:eastAsia="zh-CN"/>
        </w:rPr>
        <w:t>69</w:t>
      </w:r>
      <w:r w:rsidRPr="00FC1F35">
        <w:rPr>
          <w:rFonts w:ascii="Book Antiqua" w:eastAsia="宋体" w:hAnsi="Book Antiqua" w:cs="宋体"/>
          <w:color w:val="000000"/>
          <w:bdr w:val="none" w:sz="0" w:space="0" w:color="auto"/>
          <w:lang w:eastAsia="zh-CN"/>
        </w:rPr>
        <w:t>: 66-73 [PMID: 18725157 DOI: 10.1016/j.gie.2008.04.061]</w:t>
      </w:r>
    </w:p>
    <w:p w14:paraId="626ECF03" w14:textId="28C1269A" w:rsidR="00FC1F35" w:rsidRPr="00FC1F35" w:rsidRDefault="00FC1F35" w:rsidP="00FC1F3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FC1F35">
        <w:rPr>
          <w:rFonts w:ascii="Book Antiqua" w:eastAsia="宋体" w:hAnsi="Book Antiqua" w:cs="宋体"/>
          <w:color w:val="000000"/>
          <w:bdr w:val="none" w:sz="0" w:space="0" w:color="auto"/>
          <w:lang w:eastAsia="zh-CN"/>
        </w:rPr>
        <w:t>20 </w:t>
      </w:r>
      <w:r w:rsidRPr="00FC1F35">
        <w:rPr>
          <w:rFonts w:ascii="Book Antiqua" w:eastAsia="宋体" w:hAnsi="Book Antiqua" w:cs="宋体"/>
          <w:b/>
          <w:bCs/>
          <w:color w:val="000000"/>
          <w:bdr w:val="none" w:sz="0" w:space="0" w:color="auto"/>
          <w:lang w:eastAsia="zh-CN"/>
        </w:rPr>
        <w:t>Perez A</w:t>
      </w:r>
      <w:r w:rsidRPr="00FC1F35">
        <w:rPr>
          <w:rFonts w:ascii="Book Antiqua" w:eastAsia="宋体" w:hAnsi="Book Antiqua" w:cs="宋体"/>
          <w:color w:val="000000"/>
          <w:bdr w:val="none" w:sz="0" w:space="0" w:color="auto"/>
          <w:lang w:eastAsia="zh-CN"/>
        </w:rPr>
        <w:t>, Saltzman JR, Carr-Locke DL, Brooks DC, Osteen RT, Zinner MJ, Ashley SW, Whang EE. Benign nonampullary duodenal neoplasms. </w:t>
      </w:r>
      <w:r w:rsidRPr="00FC1F35">
        <w:rPr>
          <w:rFonts w:ascii="Book Antiqua" w:eastAsia="宋体" w:hAnsi="Book Antiqua" w:cs="宋体"/>
          <w:i/>
          <w:iCs/>
          <w:color w:val="000000"/>
          <w:bdr w:val="none" w:sz="0" w:space="0" w:color="auto"/>
          <w:lang w:eastAsia="zh-CN"/>
        </w:rPr>
        <w:t>J Gastr</w:t>
      </w:r>
      <w:r w:rsidRPr="00FC1F35">
        <w:rPr>
          <w:rFonts w:ascii="Book Antiqua" w:eastAsia="宋体" w:hAnsi="Book Antiqua" w:cs="宋体"/>
          <w:i/>
          <w:iCs/>
          <w:color w:val="000000"/>
          <w:bdr w:val="none" w:sz="0" w:space="0" w:color="auto"/>
          <w:lang w:eastAsia="zh-CN"/>
        </w:rPr>
        <w:t>o</w:t>
      </w:r>
      <w:r w:rsidRPr="00FC1F35">
        <w:rPr>
          <w:rFonts w:ascii="Book Antiqua" w:eastAsia="宋体" w:hAnsi="Book Antiqua" w:cs="宋体"/>
          <w:i/>
          <w:iCs/>
          <w:color w:val="000000"/>
          <w:bdr w:val="none" w:sz="0" w:space="0" w:color="auto"/>
          <w:lang w:eastAsia="zh-CN"/>
        </w:rPr>
        <w:t>intest Surg</w:t>
      </w:r>
      <w:r w:rsidRPr="00FC1F35">
        <w:rPr>
          <w:rFonts w:ascii="Book Antiqua" w:eastAsia="宋体" w:hAnsi="Book Antiqua" w:cs="宋体"/>
          <w:color w:val="000000"/>
          <w:bdr w:val="none" w:sz="0" w:space="0" w:color="auto"/>
          <w:lang w:eastAsia="zh-CN"/>
        </w:rPr>
        <w:t> </w:t>
      </w:r>
      <w:r>
        <w:rPr>
          <w:rFonts w:ascii="Book Antiqua" w:eastAsia="宋体" w:hAnsi="Book Antiqua" w:cs="宋体" w:hint="eastAsia"/>
          <w:color w:val="000000"/>
          <w:bdr w:val="none" w:sz="0" w:space="0" w:color="auto"/>
          <w:lang w:eastAsia="zh-CN"/>
        </w:rPr>
        <w:t>2003</w:t>
      </w:r>
      <w:r w:rsidRPr="00FC1F35">
        <w:rPr>
          <w:rFonts w:ascii="Book Antiqua" w:eastAsia="宋体" w:hAnsi="Book Antiqua" w:cs="宋体"/>
          <w:color w:val="000000"/>
          <w:bdr w:val="none" w:sz="0" w:space="0" w:color="auto"/>
          <w:lang w:eastAsia="zh-CN"/>
        </w:rPr>
        <w:t>; </w:t>
      </w:r>
      <w:r w:rsidRPr="00FC1F35">
        <w:rPr>
          <w:rFonts w:ascii="Book Antiqua" w:eastAsia="宋体" w:hAnsi="Book Antiqua" w:cs="宋体"/>
          <w:b/>
          <w:bCs/>
          <w:color w:val="000000"/>
          <w:bdr w:val="none" w:sz="0" w:space="0" w:color="auto"/>
          <w:lang w:eastAsia="zh-CN"/>
        </w:rPr>
        <w:t>7</w:t>
      </w:r>
      <w:r w:rsidRPr="00FC1F35">
        <w:rPr>
          <w:rFonts w:ascii="Book Antiqua" w:eastAsia="宋体" w:hAnsi="Book Antiqua" w:cs="宋体"/>
          <w:color w:val="000000"/>
          <w:bdr w:val="none" w:sz="0" w:space="0" w:color="auto"/>
          <w:lang w:eastAsia="zh-CN"/>
        </w:rPr>
        <w:t>: 536-541 [PMID: 12763412 DOI: 10.1016/S1091-255X(02)00146-4]</w:t>
      </w:r>
    </w:p>
    <w:p w14:paraId="50088E64" w14:textId="77777777" w:rsidR="00FC1F35" w:rsidRPr="00FC1F35" w:rsidRDefault="00FC1F35" w:rsidP="00FC1F3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FC1F35">
        <w:rPr>
          <w:rFonts w:ascii="Book Antiqua" w:eastAsia="宋体" w:hAnsi="Book Antiqua" w:cs="宋体"/>
          <w:color w:val="000000"/>
          <w:bdr w:val="none" w:sz="0" w:space="0" w:color="auto"/>
          <w:lang w:eastAsia="zh-CN"/>
        </w:rPr>
        <w:t>21 </w:t>
      </w:r>
      <w:r w:rsidRPr="00FC1F35">
        <w:rPr>
          <w:rFonts w:ascii="Book Antiqua" w:eastAsia="宋体" w:hAnsi="Book Antiqua" w:cs="宋体"/>
          <w:b/>
          <w:bCs/>
          <w:color w:val="000000"/>
          <w:bdr w:val="none" w:sz="0" w:space="0" w:color="auto"/>
          <w:lang w:eastAsia="zh-CN"/>
        </w:rPr>
        <w:t>Bourke MJ</w:t>
      </w:r>
      <w:r w:rsidRPr="00FC1F35">
        <w:rPr>
          <w:rFonts w:ascii="Book Antiqua" w:eastAsia="宋体" w:hAnsi="Book Antiqua" w:cs="宋体"/>
          <w:color w:val="000000"/>
          <w:bdr w:val="none" w:sz="0" w:space="0" w:color="auto"/>
          <w:lang w:eastAsia="zh-CN"/>
        </w:rPr>
        <w:t>. Endoscopic resection in the duodenum: current limitations and future directions. </w:t>
      </w:r>
      <w:r w:rsidRPr="00FC1F35">
        <w:rPr>
          <w:rFonts w:ascii="Book Antiqua" w:eastAsia="宋体" w:hAnsi="Book Antiqua" w:cs="宋体"/>
          <w:i/>
          <w:iCs/>
          <w:color w:val="000000"/>
          <w:bdr w:val="none" w:sz="0" w:space="0" w:color="auto"/>
          <w:lang w:eastAsia="zh-CN"/>
        </w:rPr>
        <w:t>Endoscopy</w:t>
      </w:r>
      <w:r w:rsidRPr="00FC1F35">
        <w:rPr>
          <w:rFonts w:ascii="Book Antiqua" w:eastAsia="宋体" w:hAnsi="Book Antiqua" w:cs="宋体"/>
          <w:color w:val="000000"/>
          <w:bdr w:val="none" w:sz="0" w:space="0" w:color="auto"/>
          <w:lang w:eastAsia="zh-CN"/>
        </w:rPr>
        <w:t> 2013; </w:t>
      </w:r>
      <w:r w:rsidRPr="00FC1F35">
        <w:rPr>
          <w:rFonts w:ascii="Book Antiqua" w:eastAsia="宋体" w:hAnsi="Book Antiqua" w:cs="宋体"/>
          <w:b/>
          <w:bCs/>
          <w:color w:val="000000"/>
          <w:bdr w:val="none" w:sz="0" w:space="0" w:color="auto"/>
          <w:lang w:eastAsia="zh-CN"/>
        </w:rPr>
        <w:t>45</w:t>
      </w:r>
      <w:r w:rsidRPr="00FC1F35">
        <w:rPr>
          <w:rFonts w:ascii="Book Antiqua" w:eastAsia="宋体" w:hAnsi="Book Antiqua" w:cs="宋体"/>
          <w:color w:val="000000"/>
          <w:bdr w:val="none" w:sz="0" w:space="0" w:color="auto"/>
          <w:lang w:eastAsia="zh-CN"/>
        </w:rPr>
        <w:t>: 127-132 [PMID: 23364840 DOI: 10.1055/s-0032-1326177]</w:t>
      </w:r>
    </w:p>
    <w:p w14:paraId="734B662C" w14:textId="2D6B90D0" w:rsidR="00FC1F35" w:rsidRPr="00FC1F35" w:rsidRDefault="00FC1F35" w:rsidP="00FC1F3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Pr>
          <w:rFonts w:ascii="Book Antiqua" w:eastAsia="宋体" w:hAnsi="Book Antiqua" w:cs="宋体"/>
          <w:color w:val="000000"/>
          <w:bdr w:val="none" w:sz="0" w:space="0" w:color="auto"/>
          <w:lang w:eastAsia="zh-CN"/>
        </w:rPr>
        <w:t xml:space="preserve">22 </w:t>
      </w:r>
      <w:r w:rsidRPr="00FC1F35">
        <w:rPr>
          <w:rFonts w:ascii="Book Antiqua" w:eastAsia="宋体" w:hAnsi="Book Antiqua" w:cs="宋体"/>
          <w:b/>
          <w:color w:val="000000"/>
          <w:bdr w:val="none" w:sz="0" w:space="0" w:color="auto"/>
          <w:lang w:eastAsia="zh-CN"/>
        </w:rPr>
        <w:t>Hoteya YN</w:t>
      </w:r>
      <w:r w:rsidRPr="00FC1F35">
        <w:rPr>
          <w:rFonts w:ascii="Book Antiqua" w:eastAsia="宋体" w:hAnsi="Book Antiqua" w:cs="宋体"/>
          <w:color w:val="000000"/>
          <w:bdr w:val="none" w:sz="0" w:space="0" w:color="auto"/>
          <w:lang w:eastAsia="zh-CN"/>
        </w:rPr>
        <w:t>, Iizuka T, Kikuchi D, Mitani T, Matsui A, Ogawa O, Yamashita S, Furuhata T, Yamada A, Kimura R, Nomura K, Kuribayashi Y, Kaise1 M. Endoscopic submucosal dissection for nonampullary large superficial aden</w:t>
      </w:r>
      <w:r w:rsidRPr="00FC1F35">
        <w:rPr>
          <w:rFonts w:ascii="Book Antiqua" w:eastAsia="宋体" w:hAnsi="Book Antiqua" w:cs="宋体"/>
          <w:color w:val="000000"/>
          <w:bdr w:val="none" w:sz="0" w:space="0" w:color="auto"/>
          <w:lang w:eastAsia="zh-CN"/>
        </w:rPr>
        <w:t>o</w:t>
      </w:r>
      <w:r w:rsidRPr="00FC1F35">
        <w:rPr>
          <w:rFonts w:ascii="Book Antiqua" w:eastAsia="宋体" w:hAnsi="Book Antiqua" w:cs="宋体"/>
          <w:color w:val="000000"/>
          <w:bdr w:val="none" w:sz="0" w:space="0" w:color="auto"/>
          <w:lang w:eastAsia="zh-CN"/>
        </w:rPr>
        <w:t xml:space="preserve">carcinoma/adenoma of the duodenum: feasibility and long-term outcomes. </w:t>
      </w:r>
      <w:r w:rsidRPr="00FC1F35">
        <w:rPr>
          <w:rFonts w:ascii="Book Antiqua" w:eastAsia="宋体" w:hAnsi="Book Antiqua" w:cs="宋体"/>
          <w:i/>
          <w:color w:val="000000"/>
          <w:bdr w:val="none" w:sz="0" w:space="0" w:color="auto"/>
          <w:lang w:eastAsia="zh-CN"/>
        </w:rPr>
        <w:t>Endoscopy International Open</w:t>
      </w:r>
      <w:r w:rsidRPr="00FC1F35">
        <w:rPr>
          <w:rFonts w:ascii="Book Antiqua" w:eastAsia="宋体" w:hAnsi="Book Antiqua" w:cs="宋体"/>
          <w:color w:val="000000"/>
          <w:bdr w:val="none" w:sz="0" w:space="0" w:color="auto"/>
          <w:lang w:eastAsia="zh-CN"/>
        </w:rPr>
        <w:t xml:space="preserve"> 2013</w:t>
      </w:r>
      <w:r>
        <w:rPr>
          <w:rFonts w:ascii="Book Antiqua" w:eastAsia="宋体" w:hAnsi="Book Antiqua" w:cs="宋体" w:hint="eastAsia"/>
          <w:color w:val="000000"/>
          <w:bdr w:val="none" w:sz="0" w:space="0" w:color="auto"/>
          <w:lang w:eastAsia="zh-CN"/>
        </w:rPr>
        <w:t>:</w:t>
      </w:r>
      <w:r w:rsidRPr="00FC1F35">
        <w:rPr>
          <w:rFonts w:ascii="Book Antiqua" w:eastAsia="宋体" w:hAnsi="Book Antiqua" w:cs="宋体"/>
          <w:color w:val="000000"/>
          <w:bdr w:val="none" w:sz="0" w:space="0" w:color="auto"/>
          <w:lang w:eastAsia="zh-CN"/>
        </w:rPr>
        <w:t xml:space="preserve"> E2-E7 [DOI: 10.1055/s-0033-1359232]</w:t>
      </w:r>
    </w:p>
    <w:p w14:paraId="2E9B89A4" w14:textId="36066506" w:rsidR="00FC1F35" w:rsidRPr="00FC1F35" w:rsidRDefault="00FC1F35" w:rsidP="00FC1F3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Pr>
          <w:rFonts w:ascii="Book Antiqua" w:eastAsia="宋体" w:hAnsi="Book Antiqua" w:cs="宋体"/>
          <w:color w:val="000000"/>
          <w:bdr w:val="none" w:sz="0" w:space="0" w:color="auto"/>
          <w:lang w:eastAsia="zh-CN"/>
        </w:rPr>
        <w:t xml:space="preserve">23 </w:t>
      </w:r>
      <w:r w:rsidRPr="00FC1F35">
        <w:rPr>
          <w:rFonts w:ascii="Book Antiqua" w:eastAsia="宋体" w:hAnsi="Book Antiqua" w:cs="宋体"/>
          <w:b/>
          <w:color w:val="000000"/>
          <w:bdr w:val="none" w:sz="0" w:space="0" w:color="auto"/>
          <w:lang w:eastAsia="zh-CN"/>
        </w:rPr>
        <w:t>NICE</w:t>
      </w:r>
      <w:r w:rsidRPr="00FC1F35">
        <w:rPr>
          <w:rFonts w:ascii="Book Antiqua" w:eastAsia="宋体" w:hAnsi="Book Antiqua" w:cs="宋体"/>
          <w:color w:val="000000"/>
          <w:bdr w:val="none" w:sz="0" w:space="0" w:color="auto"/>
          <w:lang w:eastAsia="zh-CN"/>
        </w:rPr>
        <w:t>. Endoscopic mucosal resection and endoscopic submucosal disse</w:t>
      </w:r>
      <w:r w:rsidRPr="00FC1F35">
        <w:rPr>
          <w:rFonts w:ascii="Book Antiqua" w:eastAsia="宋体" w:hAnsi="Book Antiqua" w:cs="宋体"/>
          <w:color w:val="000000"/>
          <w:bdr w:val="none" w:sz="0" w:space="0" w:color="auto"/>
          <w:lang w:eastAsia="zh-CN"/>
        </w:rPr>
        <w:t>c</w:t>
      </w:r>
      <w:r w:rsidRPr="00FC1F35">
        <w:rPr>
          <w:rFonts w:ascii="Book Antiqua" w:eastAsia="宋体" w:hAnsi="Book Antiqua" w:cs="宋体"/>
          <w:color w:val="000000"/>
          <w:bdr w:val="none" w:sz="0" w:space="0" w:color="auto"/>
          <w:lang w:eastAsia="zh-CN"/>
        </w:rPr>
        <w:t>tion of non-ampullary duodenal lesions. 2010</w:t>
      </w:r>
      <w:r>
        <w:rPr>
          <w:rFonts w:ascii="Book Antiqua" w:eastAsia="宋体" w:hAnsi="Book Antiqua" w:cs="宋体" w:hint="eastAsia"/>
          <w:color w:val="000000"/>
          <w:bdr w:val="none" w:sz="0" w:space="0" w:color="auto"/>
          <w:lang w:eastAsia="zh-CN"/>
        </w:rPr>
        <w:t>.</w:t>
      </w:r>
      <w:r>
        <w:rPr>
          <w:rFonts w:ascii="Book Antiqua" w:eastAsia="宋体" w:hAnsi="Book Antiqua" w:cs="宋体"/>
          <w:color w:val="000000"/>
          <w:bdr w:val="none" w:sz="0" w:space="0" w:color="auto"/>
          <w:lang w:eastAsia="zh-CN"/>
        </w:rPr>
        <w:t xml:space="preserve"> </w:t>
      </w:r>
      <w:r w:rsidRPr="004E1F0C">
        <w:rPr>
          <w:rFonts w:ascii="Book Antiqua" w:hAnsi="Book Antiqua"/>
        </w:rPr>
        <w:t xml:space="preserve">Available from: URL: </w:t>
      </w:r>
      <w:r>
        <w:rPr>
          <w:rFonts w:ascii="Book Antiqua" w:eastAsia="宋体" w:hAnsi="Book Antiqua" w:cs="宋体"/>
          <w:color w:val="000000"/>
          <w:bdr w:val="none" w:sz="0" w:space="0" w:color="auto"/>
          <w:lang w:eastAsia="zh-CN"/>
        </w:rPr>
        <w:t>www.nice.org.uk/ipg359</w:t>
      </w:r>
    </w:p>
    <w:p w14:paraId="1FFC2263" w14:textId="77777777" w:rsidR="00FC1F35" w:rsidRPr="00FC1F35" w:rsidRDefault="00FC1F35" w:rsidP="00FC1F3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FC1F35">
        <w:rPr>
          <w:rFonts w:ascii="Book Antiqua" w:eastAsia="宋体" w:hAnsi="Book Antiqua" w:cs="宋体"/>
          <w:color w:val="000000"/>
          <w:bdr w:val="none" w:sz="0" w:space="0" w:color="auto"/>
          <w:lang w:eastAsia="zh-CN"/>
        </w:rPr>
        <w:t>24 </w:t>
      </w:r>
      <w:r w:rsidRPr="00FC1F35">
        <w:rPr>
          <w:rFonts w:ascii="Book Antiqua" w:eastAsia="宋体" w:hAnsi="Book Antiqua" w:cs="宋体"/>
          <w:b/>
          <w:bCs/>
          <w:color w:val="000000"/>
          <w:bdr w:val="none" w:sz="0" w:space="0" w:color="auto"/>
          <w:lang w:eastAsia="zh-CN"/>
        </w:rPr>
        <w:t>Adler DG</w:t>
      </w:r>
      <w:r w:rsidRPr="00FC1F35">
        <w:rPr>
          <w:rFonts w:ascii="Book Antiqua" w:eastAsia="宋体" w:hAnsi="Book Antiqua" w:cs="宋体"/>
          <w:color w:val="000000"/>
          <w:bdr w:val="none" w:sz="0" w:space="0" w:color="auto"/>
          <w:lang w:eastAsia="zh-CN"/>
        </w:rPr>
        <w:t>, Qureshi W, Davila R, Gan SI, Lichtenstein D, Rajan E, Shen B, Zuckerman MJ, Fanelli RD, Van Guilder T, Baron TH. The role of endoscopy in ampullary and duodenal adenomas. </w:t>
      </w:r>
      <w:r w:rsidRPr="00FC1F35">
        <w:rPr>
          <w:rFonts w:ascii="Book Antiqua" w:eastAsia="宋体" w:hAnsi="Book Antiqua" w:cs="宋体"/>
          <w:i/>
          <w:iCs/>
          <w:color w:val="000000"/>
          <w:bdr w:val="none" w:sz="0" w:space="0" w:color="auto"/>
          <w:lang w:eastAsia="zh-CN"/>
        </w:rPr>
        <w:t>Gastrointest Endosc</w:t>
      </w:r>
      <w:r w:rsidRPr="00FC1F35">
        <w:rPr>
          <w:rFonts w:ascii="Book Antiqua" w:eastAsia="宋体" w:hAnsi="Book Antiqua" w:cs="宋体"/>
          <w:color w:val="000000"/>
          <w:bdr w:val="none" w:sz="0" w:space="0" w:color="auto"/>
          <w:lang w:eastAsia="zh-CN"/>
        </w:rPr>
        <w:t> 2006; </w:t>
      </w:r>
      <w:r w:rsidRPr="00FC1F35">
        <w:rPr>
          <w:rFonts w:ascii="Book Antiqua" w:eastAsia="宋体" w:hAnsi="Book Antiqua" w:cs="宋体"/>
          <w:b/>
          <w:bCs/>
          <w:color w:val="000000"/>
          <w:bdr w:val="none" w:sz="0" w:space="0" w:color="auto"/>
          <w:lang w:eastAsia="zh-CN"/>
        </w:rPr>
        <w:t>64</w:t>
      </w:r>
      <w:r w:rsidRPr="00FC1F35">
        <w:rPr>
          <w:rFonts w:ascii="Book Antiqua" w:eastAsia="宋体" w:hAnsi="Book Antiqua" w:cs="宋体"/>
          <w:color w:val="000000"/>
          <w:bdr w:val="none" w:sz="0" w:space="0" w:color="auto"/>
          <w:lang w:eastAsia="zh-CN"/>
        </w:rPr>
        <w:t>: 849-854 [PMID: 17140885 DOI: 10.1016/j.gie.2006.08.044]</w:t>
      </w:r>
    </w:p>
    <w:p w14:paraId="26BFE038" w14:textId="77777777" w:rsidR="00FC1F35" w:rsidRPr="00FC1F35" w:rsidRDefault="00FC1F35" w:rsidP="00FC1F3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FC1F35">
        <w:rPr>
          <w:rFonts w:ascii="Book Antiqua" w:eastAsia="宋体" w:hAnsi="Book Antiqua" w:cs="宋体"/>
          <w:color w:val="000000"/>
          <w:bdr w:val="none" w:sz="0" w:space="0" w:color="auto"/>
          <w:lang w:eastAsia="zh-CN"/>
        </w:rPr>
        <w:t>25 </w:t>
      </w:r>
      <w:r w:rsidRPr="00FC1F35">
        <w:rPr>
          <w:rFonts w:ascii="Book Antiqua" w:eastAsia="宋体" w:hAnsi="Book Antiqua" w:cs="宋体"/>
          <w:b/>
          <w:bCs/>
          <w:color w:val="000000"/>
          <w:bdr w:val="none" w:sz="0" w:space="0" w:color="auto"/>
          <w:lang w:eastAsia="zh-CN"/>
        </w:rPr>
        <w:t>Waye JD</w:t>
      </w:r>
      <w:r w:rsidRPr="00FC1F35">
        <w:rPr>
          <w:rFonts w:ascii="Book Antiqua" w:eastAsia="宋体" w:hAnsi="Book Antiqua" w:cs="宋体"/>
          <w:color w:val="000000"/>
          <w:bdr w:val="none" w:sz="0" w:space="0" w:color="auto"/>
          <w:lang w:eastAsia="zh-CN"/>
        </w:rPr>
        <w:t>, Barkun A, Goh KL, Novis B, Ogoshi K, Shim CS, Tanaka M. A</w:t>
      </w:r>
      <w:r w:rsidRPr="00FC1F35">
        <w:rPr>
          <w:rFonts w:ascii="Book Antiqua" w:eastAsia="宋体" w:hAnsi="Book Antiqua" w:cs="宋体"/>
          <w:color w:val="000000"/>
          <w:bdr w:val="none" w:sz="0" w:space="0" w:color="auto"/>
          <w:lang w:eastAsia="zh-CN"/>
        </w:rPr>
        <w:t>p</w:t>
      </w:r>
      <w:r w:rsidRPr="00FC1F35">
        <w:rPr>
          <w:rFonts w:ascii="Book Antiqua" w:eastAsia="宋体" w:hAnsi="Book Antiqua" w:cs="宋体"/>
          <w:color w:val="000000"/>
          <w:bdr w:val="none" w:sz="0" w:space="0" w:color="auto"/>
          <w:lang w:eastAsia="zh-CN"/>
        </w:rPr>
        <w:t>proach to benign duodenal polyps. </w:t>
      </w:r>
      <w:r w:rsidRPr="00FC1F35">
        <w:rPr>
          <w:rFonts w:ascii="Book Antiqua" w:eastAsia="宋体" w:hAnsi="Book Antiqua" w:cs="宋体"/>
          <w:i/>
          <w:iCs/>
          <w:color w:val="000000"/>
          <w:bdr w:val="none" w:sz="0" w:space="0" w:color="auto"/>
          <w:lang w:eastAsia="zh-CN"/>
        </w:rPr>
        <w:t>Gastrointest Endosc</w:t>
      </w:r>
      <w:r w:rsidRPr="00FC1F35">
        <w:rPr>
          <w:rFonts w:ascii="Book Antiqua" w:eastAsia="宋体" w:hAnsi="Book Antiqua" w:cs="宋体"/>
          <w:color w:val="000000"/>
          <w:bdr w:val="none" w:sz="0" w:space="0" w:color="auto"/>
          <w:lang w:eastAsia="zh-CN"/>
        </w:rPr>
        <w:t> 2002; </w:t>
      </w:r>
      <w:r w:rsidRPr="00FC1F35">
        <w:rPr>
          <w:rFonts w:ascii="Book Antiqua" w:eastAsia="宋体" w:hAnsi="Book Antiqua" w:cs="宋体"/>
          <w:b/>
          <w:bCs/>
          <w:color w:val="000000"/>
          <w:bdr w:val="none" w:sz="0" w:space="0" w:color="auto"/>
          <w:lang w:eastAsia="zh-CN"/>
        </w:rPr>
        <w:t>55</w:t>
      </w:r>
      <w:r w:rsidRPr="00FC1F35">
        <w:rPr>
          <w:rFonts w:ascii="Book Antiqua" w:eastAsia="宋体" w:hAnsi="Book Antiqua" w:cs="宋体"/>
          <w:color w:val="000000"/>
          <w:bdr w:val="none" w:sz="0" w:space="0" w:color="auto"/>
          <w:lang w:eastAsia="zh-CN"/>
        </w:rPr>
        <w:t>: 962-963 [PMID: 12024167 DOI: 10.1067/mge.2002.122035]</w:t>
      </w:r>
    </w:p>
    <w:p w14:paraId="2A099D49" w14:textId="59A37C29" w:rsidR="00FC1F35" w:rsidRPr="00FC1F35" w:rsidRDefault="00FC1F35" w:rsidP="00FC1F3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FC1F35">
        <w:rPr>
          <w:rFonts w:ascii="Book Antiqua" w:eastAsia="宋体" w:hAnsi="Book Antiqua" w:cs="宋体"/>
          <w:color w:val="000000"/>
          <w:bdr w:val="none" w:sz="0" w:space="0" w:color="auto"/>
          <w:lang w:eastAsia="zh-CN"/>
        </w:rPr>
        <w:t>26 The Paris endoscopic classification of superficial neoplastic lesions: esop</w:t>
      </w:r>
      <w:r w:rsidRPr="00FC1F35">
        <w:rPr>
          <w:rFonts w:ascii="Book Antiqua" w:eastAsia="宋体" w:hAnsi="Book Antiqua" w:cs="宋体"/>
          <w:color w:val="000000"/>
          <w:bdr w:val="none" w:sz="0" w:space="0" w:color="auto"/>
          <w:lang w:eastAsia="zh-CN"/>
        </w:rPr>
        <w:t>h</w:t>
      </w:r>
      <w:r w:rsidRPr="00FC1F35">
        <w:rPr>
          <w:rFonts w:ascii="Book Antiqua" w:eastAsia="宋体" w:hAnsi="Book Antiqua" w:cs="宋体"/>
          <w:color w:val="000000"/>
          <w:bdr w:val="none" w:sz="0" w:space="0" w:color="auto"/>
          <w:lang w:eastAsia="zh-CN"/>
        </w:rPr>
        <w:t>agus, stomach, and colon: November 30 to December 1, 2002. </w:t>
      </w:r>
      <w:r w:rsidRPr="00FC1F35">
        <w:rPr>
          <w:rFonts w:ascii="Book Antiqua" w:eastAsia="宋体" w:hAnsi="Book Antiqua" w:cs="宋体"/>
          <w:i/>
          <w:iCs/>
          <w:color w:val="000000"/>
          <w:bdr w:val="none" w:sz="0" w:space="0" w:color="auto"/>
          <w:lang w:eastAsia="zh-CN"/>
        </w:rPr>
        <w:t>Gastrointest E</w:t>
      </w:r>
      <w:r w:rsidRPr="00FC1F35">
        <w:rPr>
          <w:rFonts w:ascii="Book Antiqua" w:eastAsia="宋体" w:hAnsi="Book Antiqua" w:cs="宋体"/>
          <w:i/>
          <w:iCs/>
          <w:color w:val="000000"/>
          <w:bdr w:val="none" w:sz="0" w:space="0" w:color="auto"/>
          <w:lang w:eastAsia="zh-CN"/>
        </w:rPr>
        <w:t>n</w:t>
      </w:r>
      <w:r w:rsidRPr="00FC1F35">
        <w:rPr>
          <w:rFonts w:ascii="Book Antiqua" w:eastAsia="宋体" w:hAnsi="Book Antiqua" w:cs="宋体"/>
          <w:i/>
          <w:iCs/>
          <w:color w:val="000000"/>
          <w:bdr w:val="none" w:sz="0" w:space="0" w:color="auto"/>
          <w:lang w:eastAsia="zh-CN"/>
        </w:rPr>
        <w:t>dosc</w:t>
      </w:r>
      <w:r w:rsidRPr="00FC1F35">
        <w:rPr>
          <w:rFonts w:ascii="Book Antiqua" w:eastAsia="宋体" w:hAnsi="Book Antiqua" w:cs="宋体"/>
          <w:color w:val="000000"/>
          <w:bdr w:val="none" w:sz="0" w:space="0" w:color="auto"/>
          <w:lang w:eastAsia="zh-CN"/>
        </w:rPr>
        <w:t> 2003; </w:t>
      </w:r>
      <w:r w:rsidRPr="00FC1F35">
        <w:rPr>
          <w:rFonts w:ascii="Book Antiqua" w:eastAsia="宋体" w:hAnsi="Book Antiqua" w:cs="宋体"/>
          <w:b/>
          <w:bCs/>
          <w:color w:val="000000"/>
          <w:bdr w:val="none" w:sz="0" w:space="0" w:color="auto"/>
          <w:lang w:eastAsia="zh-CN"/>
        </w:rPr>
        <w:t>58</w:t>
      </w:r>
      <w:r w:rsidRPr="00FC1F35">
        <w:rPr>
          <w:rFonts w:ascii="Book Antiqua" w:eastAsia="宋体" w:hAnsi="Book Antiqua" w:cs="宋体"/>
          <w:color w:val="000000"/>
          <w:bdr w:val="none" w:sz="0" w:space="0" w:color="auto"/>
          <w:lang w:eastAsia="zh-CN"/>
        </w:rPr>
        <w:t>: S3-43 [PMID: 14652541 DOI: 10.1016/S0016-5107(03)02159-X]</w:t>
      </w:r>
    </w:p>
    <w:p w14:paraId="4DE3C44C" w14:textId="77777777" w:rsidR="00FC1F35" w:rsidRPr="00FC1F35" w:rsidRDefault="00FC1F35" w:rsidP="00FC1F3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FC1F35">
        <w:rPr>
          <w:rFonts w:ascii="Book Antiqua" w:eastAsia="宋体" w:hAnsi="Book Antiqua" w:cs="宋体"/>
          <w:color w:val="000000"/>
          <w:bdr w:val="none" w:sz="0" w:space="0" w:color="auto"/>
          <w:lang w:eastAsia="zh-CN"/>
        </w:rPr>
        <w:t>27 </w:t>
      </w:r>
      <w:r w:rsidRPr="00FC1F35">
        <w:rPr>
          <w:rFonts w:ascii="Book Antiqua" w:eastAsia="宋体" w:hAnsi="Book Antiqua" w:cs="宋体"/>
          <w:b/>
          <w:bCs/>
          <w:color w:val="000000"/>
          <w:bdr w:val="none" w:sz="0" w:space="0" w:color="auto"/>
          <w:lang w:eastAsia="zh-CN"/>
        </w:rPr>
        <w:t>Kudo S</w:t>
      </w:r>
      <w:r w:rsidRPr="00FC1F35">
        <w:rPr>
          <w:rFonts w:ascii="Book Antiqua" w:eastAsia="宋体" w:hAnsi="Book Antiqua" w:cs="宋体"/>
          <w:color w:val="000000"/>
          <w:bdr w:val="none" w:sz="0" w:space="0" w:color="auto"/>
          <w:lang w:eastAsia="zh-CN"/>
        </w:rPr>
        <w:t>, Hirota S, Nakajima T, Hosobe S, Kusaka H, Kobayashi T, Himori M, Yagyuu A. Colorectal tumours and pit pattern. </w:t>
      </w:r>
      <w:r w:rsidRPr="00FC1F35">
        <w:rPr>
          <w:rFonts w:ascii="Book Antiqua" w:eastAsia="宋体" w:hAnsi="Book Antiqua" w:cs="宋体"/>
          <w:i/>
          <w:iCs/>
          <w:color w:val="000000"/>
          <w:bdr w:val="none" w:sz="0" w:space="0" w:color="auto"/>
          <w:lang w:eastAsia="zh-CN"/>
        </w:rPr>
        <w:t>J Clin Pathol</w:t>
      </w:r>
      <w:r w:rsidRPr="00FC1F35">
        <w:rPr>
          <w:rFonts w:ascii="Book Antiqua" w:eastAsia="宋体" w:hAnsi="Book Antiqua" w:cs="宋体"/>
          <w:color w:val="000000"/>
          <w:bdr w:val="none" w:sz="0" w:space="0" w:color="auto"/>
          <w:lang w:eastAsia="zh-CN"/>
        </w:rPr>
        <w:t> 1994; </w:t>
      </w:r>
      <w:r w:rsidRPr="00FC1F35">
        <w:rPr>
          <w:rFonts w:ascii="Book Antiqua" w:eastAsia="宋体" w:hAnsi="Book Antiqua" w:cs="宋体"/>
          <w:b/>
          <w:bCs/>
          <w:color w:val="000000"/>
          <w:bdr w:val="none" w:sz="0" w:space="0" w:color="auto"/>
          <w:lang w:eastAsia="zh-CN"/>
        </w:rPr>
        <w:t>47</w:t>
      </w:r>
      <w:r w:rsidRPr="00FC1F35">
        <w:rPr>
          <w:rFonts w:ascii="Book Antiqua" w:eastAsia="宋体" w:hAnsi="Book Antiqua" w:cs="宋体"/>
          <w:color w:val="000000"/>
          <w:bdr w:val="none" w:sz="0" w:space="0" w:color="auto"/>
          <w:lang w:eastAsia="zh-CN"/>
        </w:rPr>
        <w:t>: 880-885 [PMID: 7962600 DOI: 10.1136/jcp.47.10.880]</w:t>
      </w:r>
    </w:p>
    <w:p w14:paraId="35EE7C17" w14:textId="77777777" w:rsidR="00FC1F35" w:rsidRPr="00FC1F35" w:rsidRDefault="00FC1F35" w:rsidP="00FC1F3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FC1F35">
        <w:rPr>
          <w:rFonts w:ascii="Book Antiqua" w:eastAsia="宋体" w:hAnsi="Book Antiqua" w:cs="宋体"/>
          <w:color w:val="000000"/>
          <w:bdr w:val="none" w:sz="0" w:space="0" w:color="auto"/>
          <w:lang w:eastAsia="zh-CN"/>
        </w:rPr>
        <w:t>28 </w:t>
      </w:r>
      <w:r w:rsidRPr="00FC1F35">
        <w:rPr>
          <w:rFonts w:ascii="Book Antiqua" w:eastAsia="宋体" w:hAnsi="Book Antiqua" w:cs="宋体"/>
          <w:b/>
          <w:bCs/>
          <w:color w:val="000000"/>
          <w:bdr w:val="none" w:sz="0" w:space="0" w:color="auto"/>
          <w:lang w:eastAsia="zh-CN"/>
        </w:rPr>
        <w:t>Hurlstone DP</w:t>
      </w:r>
      <w:r w:rsidRPr="00FC1F35">
        <w:rPr>
          <w:rFonts w:ascii="Book Antiqua" w:eastAsia="宋体" w:hAnsi="Book Antiqua" w:cs="宋体"/>
          <w:color w:val="000000"/>
          <w:bdr w:val="none" w:sz="0" w:space="0" w:color="auto"/>
          <w:lang w:eastAsia="zh-CN"/>
        </w:rPr>
        <w:t>, Cross SS, Brown S, Sanders DS, Lobo AJ. A prospective evaluation of high-magnification chromoscopic colonoscopy in predicting completeness of EMR. </w:t>
      </w:r>
      <w:r w:rsidRPr="00FC1F35">
        <w:rPr>
          <w:rFonts w:ascii="Book Antiqua" w:eastAsia="宋体" w:hAnsi="Book Antiqua" w:cs="宋体"/>
          <w:i/>
          <w:iCs/>
          <w:color w:val="000000"/>
          <w:bdr w:val="none" w:sz="0" w:space="0" w:color="auto"/>
          <w:lang w:eastAsia="zh-CN"/>
        </w:rPr>
        <w:t>Gastrointest Endosc</w:t>
      </w:r>
      <w:r w:rsidRPr="00FC1F35">
        <w:rPr>
          <w:rFonts w:ascii="Book Antiqua" w:eastAsia="宋体" w:hAnsi="Book Antiqua" w:cs="宋体"/>
          <w:color w:val="000000"/>
          <w:bdr w:val="none" w:sz="0" w:space="0" w:color="auto"/>
          <w:lang w:eastAsia="zh-CN"/>
        </w:rPr>
        <w:t> 2004; </w:t>
      </w:r>
      <w:r w:rsidRPr="00FC1F35">
        <w:rPr>
          <w:rFonts w:ascii="Book Antiqua" w:eastAsia="宋体" w:hAnsi="Book Antiqua" w:cs="宋体"/>
          <w:b/>
          <w:bCs/>
          <w:color w:val="000000"/>
          <w:bdr w:val="none" w:sz="0" w:space="0" w:color="auto"/>
          <w:lang w:eastAsia="zh-CN"/>
        </w:rPr>
        <w:t>59</w:t>
      </w:r>
      <w:r w:rsidRPr="00FC1F35">
        <w:rPr>
          <w:rFonts w:ascii="Book Antiqua" w:eastAsia="宋体" w:hAnsi="Book Antiqua" w:cs="宋体"/>
          <w:color w:val="000000"/>
          <w:bdr w:val="none" w:sz="0" w:space="0" w:color="auto"/>
          <w:lang w:eastAsia="zh-CN"/>
        </w:rPr>
        <w:t>: 642-650 [PMID: 15114306 DOI: 10.1016/S0016-5107(04)00156-7]</w:t>
      </w:r>
    </w:p>
    <w:p w14:paraId="191B4816" w14:textId="77777777" w:rsidR="00FC1F35" w:rsidRPr="00FC1F35" w:rsidRDefault="00FC1F35" w:rsidP="00FC1F3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FC1F35">
        <w:rPr>
          <w:rFonts w:ascii="Book Antiqua" w:eastAsia="宋体" w:hAnsi="Book Antiqua" w:cs="宋体"/>
          <w:color w:val="000000"/>
          <w:bdr w:val="none" w:sz="0" w:space="0" w:color="auto"/>
          <w:lang w:eastAsia="zh-CN"/>
        </w:rPr>
        <w:t>29 </w:t>
      </w:r>
      <w:r w:rsidRPr="00FC1F35">
        <w:rPr>
          <w:rFonts w:ascii="Book Antiqua" w:eastAsia="宋体" w:hAnsi="Book Antiqua" w:cs="宋体"/>
          <w:b/>
          <w:bCs/>
          <w:color w:val="000000"/>
          <w:bdr w:val="none" w:sz="0" w:space="0" w:color="auto"/>
          <w:lang w:eastAsia="zh-CN"/>
        </w:rPr>
        <w:t>Shinoda M</w:t>
      </w:r>
      <w:r w:rsidRPr="00FC1F35">
        <w:rPr>
          <w:rFonts w:ascii="Book Antiqua" w:eastAsia="宋体" w:hAnsi="Book Antiqua" w:cs="宋体"/>
          <w:color w:val="000000"/>
          <w:bdr w:val="none" w:sz="0" w:space="0" w:color="auto"/>
          <w:lang w:eastAsia="zh-CN"/>
        </w:rPr>
        <w:t>, Makino A, Wada M, Kabeshima Y, Takahashi T, Kawakubo H, Shito M, Sugiura H, Omori T. Successful endoscopic submucosal dissection for mucosal cancer of the duodenum. </w:t>
      </w:r>
      <w:r w:rsidRPr="00FC1F35">
        <w:rPr>
          <w:rFonts w:ascii="Book Antiqua" w:eastAsia="宋体" w:hAnsi="Book Antiqua" w:cs="宋体"/>
          <w:i/>
          <w:iCs/>
          <w:color w:val="000000"/>
          <w:bdr w:val="none" w:sz="0" w:space="0" w:color="auto"/>
          <w:lang w:eastAsia="zh-CN"/>
        </w:rPr>
        <w:t>Dig Endosc</w:t>
      </w:r>
      <w:r w:rsidRPr="00FC1F35">
        <w:rPr>
          <w:rFonts w:ascii="Book Antiqua" w:eastAsia="宋体" w:hAnsi="Book Antiqua" w:cs="宋体"/>
          <w:color w:val="000000"/>
          <w:bdr w:val="none" w:sz="0" w:space="0" w:color="auto"/>
          <w:lang w:eastAsia="zh-CN"/>
        </w:rPr>
        <w:t> 2010; </w:t>
      </w:r>
      <w:r w:rsidRPr="00FC1F35">
        <w:rPr>
          <w:rFonts w:ascii="Book Antiqua" w:eastAsia="宋体" w:hAnsi="Book Antiqua" w:cs="宋体"/>
          <w:b/>
          <w:bCs/>
          <w:color w:val="000000"/>
          <w:bdr w:val="none" w:sz="0" w:space="0" w:color="auto"/>
          <w:lang w:eastAsia="zh-CN"/>
        </w:rPr>
        <w:t>22</w:t>
      </w:r>
      <w:r w:rsidRPr="00FC1F35">
        <w:rPr>
          <w:rFonts w:ascii="Book Antiqua" w:eastAsia="宋体" w:hAnsi="Book Antiqua" w:cs="宋体"/>
          <w:color w:val="000000"/>
          <w:bdr w:val="none" w:sz="0" w:space="0" w:color="auto"/>
          <w:lang w:eastAsia="zh-CN"/>
        </w:rPr>
        <w:t>: 49-52 [PMID: 20078665 DOI: 10.1111/j.1443-1661.2009.00917.x]</w:t>
      </w:r>
    </w:p>
    <w:p w14:paraId="46A943A4" w14:textId="77777777" w:rsidR="00FC1F35" w:rsidRPr="00FC1F35" w:rsidRDefault="00FC1F35" w:rsidP="00FC1F3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FC1F35">
        <w:rPr>
          <w:rFonts w:ascii="Book Antiqua" w:eastAsia="宋体" w:hAnsi="Book Antiqua" w:cs="宋体"/>
          <w:color w:val="000000"/>
          <w:bdr w:val="none" w:sz="0" w:space="0" w:color="auto"/>
          <w:lang w:eastAsia="zh-CN"/>
        </w:rPr>
        <w:t>30 </w:t>
      </w:r>
      <w:r w:rsidRPr="00FC1F35">
        <w:rPr>
          <w:rFonts w:ascii="Book Antiqua" w:eastAsia="宋体" w:hAnsi="Book Antiqua" w:cs="宋体"/>
          <w:b/>
          <w:bCs/>
          <w:color w:val="000000"/>
          <w:bdr w:val="none" w:sz="0" w:space="0" w:color="auto"/>
          <w:lang w:eastAsia="zh-CN"/>
        </w:rPr>
        <w:t>Kantsevoy SV</w:t>
      </w:r>
      <w:r w:rsidRPr="00FC1F35">
        <w:rPr>
          <w:rFonts w:ascii="Book Antiqua" w:eastAsia="宋体" w:hAnsi="Book Antiqua" w:cs="宋体"/>
          <w:color w:val="000000"/>
          <w:bdr w:val="none" w:sz="0" w:space="0" w:color="auto"/>
          <w:lang w:eastAsia="zh-CN"/>
        </w:rPr>
        <w:t>, Adler DG, Conway JD, Diehl DL, Farraye FA, Kwon R, Mamula P, Rodriguez S, Shah RJ, Wong Kee Song LM, Tierney WM. End</w:t>
      </w:r>
      <w:r w:rsidRPr="00FC1F35">
        <w:rPr>
          <w:rFonts w:ascii="Book Antiqua" w:eastAsia="宋体" w:hAnsi="Book Antiqua" w:cs="宋体"/>
          <w:color w:val="000000"/>
          <w:bdr w:val="none" w:sz="0" w:space="0" w:color="auto"/>
          <w:lang w:eastAsia="zh-CN"/>
        </w:rPr>
        <w:t>o</w:t>
      </w:r>
      <w:r w:rsidRPr="00FC1F35">
        <w:rPr>
          <w:rFonts w:ascii="Book Antiqua" w:eastAsia="宋体" w:hAnsi="Book Antiqua" w:cs="宋体"/>
          <w:color w:val="000000"/>
          <w:bdr w:val="none" w:sz="0" w:space="0" w:color="auto"/>
          <w:lang w:eastAsia="zh-CN"/>
        </w:rPr>
        <w:t>scopic mucosal resection and endoscopic submucosal dissection. </w:t>
      </w:r>
      <w:r w:rsidRPr="00FC1F35">
        <w:rPr>
          <w:rFonts w:ascii="Book Antiqua" w:eastAsia="宋体" w:hAnsi="Book Antiqua" w:cs="宋体"/>
          <w:i/>
          <w:iCs/>
          <w:color w:val="000000"/>
          <w:bdr w:val="none" w:sz="0" w:space="0" w:color="auto"/>
          <w:lang w:eastAsia="zh-CN"/>
        </w:rPr>
        <w:t>Gastrointest Endosc</w:t>
      </w:r>
      <w:r w:rsidRPr="00FC1F35">
        <w:rPr>
          <w:rFonts w:ascii="Book Antiqua" w:eastAsia="宋体" w:hAnsi="Book Antiqua" w:cs="宋体"/>
          <w:color w:val="000000"/>
          <w:bdr w:val="none" w:sz="0" w:space="0" w:color="auto"/>
          <w:lang w:eastAsia="zh-CN"/>
        </w:rPr>
        <w:t> 2008; </w:t>
      </w:r>
      <w:r w:rsidRPr="00FC1F35">
        <w:rPr>
          <w:rFonts w:ascii="Book Antiqua" w:eastAsia="宋体" w:hAnsi="Book Antiqua" w:cs="宋体"/>
          <w:b/>
          <w:bCs/>
          <w:color w:val="000000"/>
          <w:bdr w:val="none" w:sz="0" w:space="0" w:color="auto"/>
          <w:lang w:eastAsia="zh-CN"/>
        </w:rPr>
        <w:t>68</w:t>
      </w:r>
      <w:r w:rsidRPr="00FC1F35">
        <w:rPr>
          <w:rFonts w:ascii="Book Antiqua" w:eastAsia="宋体" w:hAnsi="Book Antiqua" w:cs="宋体"/>
          <w:color w:val="000000"/>
          <w:bdr w:val="none" w:sz="0" w:space="0" w:color="auto"/>
          <w:lang w:eastAsia="zh-CN"/>
        </w:rPr>
        <w:t>: 11-18 [PMID: 18577472 DOI: 10.1016/j.gie.2008.01.037]</w:t>
      </w:r>
    </w:p>
    <w:p w14:paraId="6694C7A3" w14:textId="77777777" w:rsidR="00FC1F35" w:rsidRPr="00FC1F35" w:rsidRDefault="00FC1F35" w:rsidP="00FC1F3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FC1F35">
        <w:rPr>
          <w:rFonts w:ascii="Book Antiqua" w:eastAsia="宋体" w:hAnsi="Book Antiqua" w:cs="宋体"/>
          <w:color w:val="000000"/>
          <w:bdr w:val="none" w:sz="0" w:space="0" w:color="auto"/>
          <w:lang w:eastAsia="zh-CN"/>
        </w:rPr>
        <w:t>31 </w:t>
      </w:r>
      <w:r w:rsidRPr="00FC1F35">
        <w:rPr>
          <w:rFonts w:ascii="Book Antiqua" w:eastAsia="宋体" w:hAnsi="Book Antiqua" w:cs="宋体"/>
          <w:b/>
          <w:bCs/>
          <w:color w:val="000000"/>
          <w:bdr w:val="none" w:sz="0" w:space="0" w:color="auto"/>
          <w:lang w:eastAsia="zh-CN"/>
        </w:rPr>
        <w:t>Uraoka T</w:t>
      </w:r>
      <w:r w:rsidRPr="00FC1F35">
        <w:rPr>
          <w:rFonts w:ascii="Book Antiqua" w:eastAsia="宋体" w:hAnsi="Book Antiqua" w:cs="宋体"/>
          <w:color w:val="000000"/>
          <w:bdr w:val="none" w:sz="0" w:space="0" w:color="auto"/>
          <w:lang w:eastAsia="zh-CN"/>
        </w:rPr>
        <w:t>, Saito Y, Yamamoto K, Fujii T. Submucosal injection solution for gastrointestinal tract endoscopic mucosal resection and endoscopic submuc</w:t>
      </w:r>
      <w:r w:rsidRPr="00FC1F35">
        <w:rPr>
          <w:rFonts w:ascii="Book Antiqua" w:eastAsia="宋体" w:hAnsi="Book Antiqua" w:cs="宋体"/>
          <w:color w:val="000000"/>
          <w:bdr w:val="none" w:sz="0" w:space="0" w:color="auto"/>
          <w:lang w:eastAsia="zh-CN"/>
        </w:rPr>
        <w:t>o</w:t>
      </w:r>
      <w:r w:rsidRPr="00FC1F35">
        <w:rPr>
          <w:rFonts w:ascii="Book Antiqua" w:eastAsia="宋体" w:hAnsi="Book Antiqua" w:cs="宋体"/>
          <w:color w:val="000000"/>
          <w:bdr w:val="none" w:sz="0" w:space="0" w:color="auto"/>
          <w:lang w:eastAsia="zh-CN"/>
        </w:rPr>
        <w:t>sal dissection. </w:t>
      </w:r>
      <w:r w:rsidRPr="00FC1F35">
        <w:rPr>
          <w:rFonts w:ascii="Book Antiqua" w:eastAsia="宋体" w:hAnsi="Book Antiqua" w:cs="宋体"/>
          <w:i/>
          <w:iCs/>
          <w:color w:val="000000"/>
          <w:bdr w:val="none" w:sz="0" w:space="0" w:color="auto"/>
          <w:lang w:eastAsia="zh-CN"/>
        </w:rPr>
        <w:t>Drug Des Devel Ther</w:t>
      </w:r>
      <w:r w:rsidRPr="00FC1F35">
        <w:rPr>
          <w:rFonts w:ascii="Book Antiqua" w:eastAsia="宋体" w:hAnsi="Book Antiqua" w:cs="宋体"/>
          <w:color w:val="000000"/>
          <w:bdr w:val="none" w:sz="0" w:space="0" w:color="auto"/>
          <w:lang w:eastAsia="zh-CN"/>
        </w:rPr>
        <w:t> 2009; </w:t>
      </w:r>
      <w:r w:rsidRPr="00FC1F35">
        <w:rPr>
          <w:rFonts w:ascii="Book Antiqua" w:eastAsia="宋体" w:hAnsi="Book Antiqua" w:cs="宋体"/>
          <w:b/>
          <w:bCs/>
          <w:color w:val="000000"/>
          <w:bdr w:val="none" w:sz="0" w:space="0" w:color="auto"/>
          <w:lang w:eastAsia="zh-CN"/>
        </w:rPr>
        <w:t>2</w:t>
      </w:r>
      <w:r w:rsidRPr="00FC1F35">
        <w:rPr>
          <w:rFonts w:ascii="Book Antiqua" w:eastAsia="宋体" w:hAnsi="Book Antiqua" w:cs="宋体"/>
          <w:color w:val="000000"/>
          <w:bdr w:val="none" w:sz="0" w:space="0" w:color="auto"/>
          <w:lang w:eastAsia="zh-CN"/>
        </w:rPr>
        <w:t>: 131-138 [PMID: 19920900 DOI: 10.2147/DDDT.S3219]</w:t>
      </w:r>
    </w:p>
    <w:p w14:paraId="74BBA8FB" w14:textId="77777777" w:rsidR="00FC1F35" w:rsidRPr="00FC1F35" w:rsidRDefault="00FC1F35" w:rsidP="00FC1F3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FC1F35">
        <w:rPr>
          <w:rFonts w:ascii="Book Antiqua" w:eastAsia="宋体" w:hAnsi="Book Antiqua" w:cs="宋体"/>
          <w:color w:val="000000"/>
          <w:bdr w:val="none" w:sz="0" w:space="0" w:color="auto"/>
          <w:lang w:eastAsia="zh-CN"/>
        </w:rPr>
        <w:t>32 </w:t>
      </w:r>
      <w:r w:rsidRPr="00FC1F35">
        <w:rPr>
          <w:rFonts w:ascii="Book Antiqua" w:eastAsia="宋体" w:hAnsi="Book Antiqua" w:cs="宋体"/>
          <w:b/>
          <w:bCs/>
          <w:color w:val="000000"/>
          <w:bdr w:val="none" w:sz="0" w:space="0" w:color="auto"/>
          <w:lang w:eastAsia="zh-CN"/>
        </w:rPr>
        <w:t>Sohn JW</w:t>
      </w:r>
      <w:r w:rsidRPr="00FC1F35">
        <w:rPr>
          <w:rFonts w:ascii="Book Antiqua" w:eastAsia="宋体" w:hAnsi="Book Antiqua" w:cs="宋体"/>
          <w:color w:val="000000"/>
          <w:bdr w:val="none" w:sz="0" w:space="0" w:color="auto"/>
          <w:lang w:eastAsia="zh-CN"/>
        </w:rPr>
        <w:t>, Jeon SW, Cho CM, Jung MK, Kim SK, Lee DS, Son HS, Chung IK. Endoscopic resection of duodenal neoplasms: a single-center study. </w:t>
      </w:r>
      <w:r w:rsidRPr="00FC1F35">
        <w:rPr>
          <w:rFonts w:ascii="Book Antiqua" w:eastAsia="宋体" w:hAnsi="Book Antiqua" w:cs="宋体"/>
          <w:i/>
          <w:iCs/>
          <w:color w:val="000000"/>
          <w:bdr w:val="none" w:sz="0" w:space="0" w:color="auto"/>
          <w:lang w:eastAsia="zh-CN"/>
        </w:rPr>
        <w:t>Surg E</w:t>
      </w:r>
      <w:r w:rsidRPr="00FC1F35">
        <w:rPr>
          <w:rFonts w:ascii="Book Antiqua" w:eastAsia="宋体" w:hAnsi="Book Antiqua" w:cs="宋体"/>
          <w:i/>
          <w:iCs/>
          <w:color w:val="000000"/>
          <w:bdr w:val="none" w:sz="0" w:space="0" w:color="auto"/>
          <w:lang w:eastAsia="zh-CN"/>
        </w:rPr>
        <w:t>n</w:t>
      </w:r>
      <w:r w:rsidRPr="00FC1F35">
        <w:rPr>
          <w:rFonts w:ascii="Book Antiqua" w:eastAsia="宋体" w:hAnsi="Book Antiqua" w:cs="宋体"/>
          <w:i/>
          <w:iCs/>
          <w:color w:val="000000"/>
          <w:bdr w:val="none" w:sz="0" w:space="0" w:color="auto"/>
          <w:lang w:eastAsia="zh-CN"/>
        </w:rPr>
        <w:t>dosc</w:t>
      </w:r>
      <w:r w:rsidRPr="00FC1F35">
        <w:rPr>
          <w:rFonts w:ascii="Book Antiqua" w:eastAsia="宋体" w:hAnsi="Book Antiqua" w:cs="宋体"/>
          <w:color w:val="000000"/>
          <w:bdr w:val="none" w:sz="0" w:space="0" w:color="auto"/>
          <w:lang w:eastAsia="zh-CN"/>
        </w:rPr>
        <w:t> 2010; </w:t>
      </w:r>
      <w:r w:rsidRPr="00FC1F35">
        <w:rPr>
          <w:rFonts w:ascii="Book Antiqua" w:eastAsia="宋体" w:hAnsi="Book Antiqua" w:cs="宋体"/>
          <w:b/>
          <w:bCs/>
          <w:color w:val="000000"/>
          <w:bdr w:val="none" w:sz="0" w:space="0" w:color="auto"/>
          <w:lang w:eastAsia="zh-CN"/>
        </w:rPr>
        <w:t>24</w:t>
      </w:r>
      <w:r w:rsidRPr="00FC1F35">
        <w:rPr>
          <w:rFonts w:ascii="Book Antiqua" w:eastAsia="宋体" w:hAnsi="Book Antiqua" w:cs="宋体"/>
          <w:color w:val="000000"/>
          <w:bdr w:val="none" w:sz="0" w:space="0" w:color="auto"/>
          <w:lang w:eastAsia="zh-CN"/>
        </w:rPr>
        <w:t>: 3195-3200 [PMID: 20490557 DOI: 10.1007/s00464-010-1114-y]</w:t>
      </w:r>
    </w:p>
    <w:p w14:paraId="5E4E8D2F" w14:textId="77777777" w:rsidR="00FC1F35" w:rsidRPr="00FC1F35" w:rsidRDefault="00FC1F35" w:rsidP="00FC1F3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FC1F35">
        <w:rPr>
          <w:rFonts w:ascii="Book Antiqua" w:eastAsia="宋体" w:hAnsi="Book Antiqua" w:cs="宋体"/>
          <w:color w:val="000000"/>
          <w:bdr w:val="none" w:sz="0" w:space="0" w:color="auto"/>
          <w:lang w:eastAsia="zh-CN"/>
        </w:rPr>
        <w:t>33 </w:t>
      </w:r>
      <w:r w:rsidRPr="00FC1F35">
        <w:rPr>
          <w:rFonts w:ascii="Book Antiqua" w:eastAsia="宋体" w:hAnsi="Book Antiqua" w:cs="宋体"/>
          <w:b/>
          <w:bCs/>
          <w:color w:val="000000"/>
          <w:bdr w:val="none" w:sz="0" w:space="0" w:color="auto"/>
          <w:lang w:eastAsia="zh-CN"/>
        </w:rPr>
        <w:t>Endo M</w:t>
      </w:r>
      <w:r w:rsidRPr="00FC1F35">
        <w:rPr>
          <w:rFonts w:ascii="Book Antiqua" w:eastAsia="宋体" w:hAnsi="Book Antiqua" w:cs="宋体"/>
          <w:color w:val="000000"/>
          <w:bdr w:val="none" w:sz="0" w:space="0" w:color="auto"/>
          <w:lang w:eastAsia="zh-CN"/>
        </w:rPr>
        <w:t>, Abiko Y, Oana S, Kudara N, Chiba T, Suzuki K, Koizuka H, Uesugi N, Sugai T. Usefulness of endoscopic treatment for duodenal aden</w:t>
      </w:r>
      <w:r w:rsidRPr="00FC1F35">
        <w:rPr>
          <w:rFonts w:ascii="Book Antiqua" w:eastAsia="宋体" w:hAnsi="Book Antiqua" w:cs="宋体"/>
          <w:color w:val="000000"/>
          <w:bdr w:val="none" w:sz="0" w:space="0" w:color="auto"/>
          <w:lang w:eastAsia="zh-CN"/>
        </w:rPr>
        <w:t>o</w:t>
      </w:r>
      <w:r w:rsidRPr="00FC1F35">
        <w:rPr>
          <w:rFonts w:ascii="Book Antiqua" w:eastAsia="宋体" w:hAnsi="Book Antiqua" w:cs="宋体"/>
          <w:color w:val="000000"/>
          <w:bdr w:val="none" w:sz="0" w:space="0" w:color="auto"/>
          <w:lang w:eastAsia="zh-CN"/>
        </w:rPr>
        <w:t>ma. </w:t>
      </w:r>
      <w:r w:rsidRPr="00FC1F35">
        <w:rPr>
          <w:rFonts w:ascii="Book Antiqua" w:eastAsia="宋体" w:hAnsi="Book Antiqua" w:cs="宋体"/>
          <w:i/>
          <w:iCs/>
          <w:color w:val="000000"/>
          <w:bdr w:val="none" w:sz="0" w:space="0" w:color="auto"/>
          <w:lang w:eastAsia="zh-CN"/>
        </w:rPr>
        <w:t>Dig Endosc</w:t>
      </w:r>
      <w:r w:rsidRPr="00FC1F35">
        <w:rPr>
          <w:rFonts w:ascii="Book Antiqua" w:eastAsia="宋体" w:hAnsi="Book Antiqua" w:cs="宋体"/>
          <w:color w:val="000000"/>
          <w:bdr w:val="none" w:sz="0" w:space="0" w:color="auto"/>
          <w:lang w:eastAsia="zh-CN"/>
        </w:rPr>
        <w:t> 2010; </w:t>
      </w:r>
      <w:r w:rsidRPr="00FC1F35">
        <w:rPr>
          <w:rFonts w:ascii="Book Antiqua" w:eastAsia="宋体" w:hAnsi="Book Antiqua" w:cs="宋体"/>
          <w:b/>
          <w:bCs/>
          <w:color w:val="000000"/>
          <w:bdr w:val="none" w:sz="0" w:space="0" w:color="auto"/>
          <w:lang w:eastAsia="zh-CN"/>
        </w:rPr>
        <w:t>22</w:t>
      </w:r>
      <w:r w:rsidRPr="00FC1F35">
        <w:rPr>
          <w:rFonts w:ascii="Book Antiqua" w:eastAsia="宋体" w:hAnsi="Book Antiqua" w:cs="宋体"/>
          <w:color w:val="000000"/>
          <w:bdr w:val="none" w:sz="0" w:space="0" w:color="auto"/>
          <w:lang w:eastAsia="zh-CN"/>
        </w:rPr>
        <w:t>: 360-365 [PMID: 21175499 DOI: 10.1111/j.1443-1661.2010.01014.x]</w:t>
      </w:r>
    </w:p>
    <w:p w14:paraId="068B226A" w14:textId="77777777" w:rsidR="00FC1F35" w:rsidRPr="00FC1F35" w:rsidRDefault="00FC1F35" w:rsidP="00FC1F3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FC1F35">
        <w:rPr>
          <w:rFonts w:ascii="Book Antiqua" w:eastAsia="宋体" w:hAnsi="Book Antiqua" w:cs="宋体"/>
          <w:color w:val="000000"/>
          <w:bdr w:val="none" w:sz="0" w:space="0" w:color="auto"/>
          <w:lang w:eastAsia="zh-CN"/>
        </w:rPr>
        <w:t>34 </w:t>
      </w:r>
      <w:r w:rsidRPr="00FC1F35">
        <w:rPr>
          <w:rFonts w:ascii="Book Antiqua" w:eastAsia="宋体" w:hAnsi="Book Antiqua" w:cs="宋体"/>
          <w:b/>
          <w:bCs/>
          <w:color w:val="000000"/>
          <w:bdr w:val="none" w:sz="0" w:space="0" w:color="auto"/>
          <w:lang w:eastAsia="zh-CN"/>
        </w:rPr>
        <w:t>Min YW</w:t>
      </w:r>
      <w:r w:rsidRPr="00FC1F35">
        <w:rPr>
          <w:rFonts w:ascii="Book Antiqua" w:eastAsia="宋体" w:hAnsi="Book Antiqua" w:cs="宋体"/>
          <w:color w:val="000000"/>
          <w:bdr w:val="none" w:sz="0" w:space="0" w:color="auto"/>
          <w:lang w:eastAsia="zh-CN"/>
        </w:rPr>
        <w:t>, Min BH, Kim ER, Lee JH, Rhee PL, Rhee JC, Kim JJ. Efficacy and safety of endoscopic treatment for nonampullary sporadic duodenal aden</w:t>
      </w:r>
      <w:r w:rsidRPr="00FC1F35">
        <w:rPr>
          <w:rFonts w:ascii="Book Antiqua" w:eastAsia="宋体" w:hAnsi="Book Antiqua" w:cs="宋体"/>
          <w:color w:val="000000"/>
          <w:bdr w:val="none" w:sz="0" w:space="0" w:color="auto"/>
          <w:lang w:eastAsia="zh-CN"/>
        </w:rPr>
        <w:t>o</w:t>
      </w:r>
      <w:r w:rsidRPr="00FC1F35">
        <w:rPr>
          <w:rFonts w:ascii="Book Antiqua" w:eastAsia="宋体" w:hAnsi="Book Antiqua" w:cs="宋体"/>
          <w:color w:val="000000"/>
          <w:bdr w:val="none" w:sz="0" w:space="0" w:color="auto"/>
          <w:lang w:eastAsia="zh-CN"/>
        </w:rPr>
        <w:t>mas. </w:t>
      </w:r>
      <w:r w:rsidRPr="00FC1F35">
        <w:rPr>
          <w:rFonts w:ascii="Book Antiqua" w:eastAsia="宋体" w:hAnsi="Book Antiqua" w:cs="宋体"/>
          <w:i/>
          <w:iCs/>
          <w:color w:val="000000"/>
          <w:bdr w:val="none" w:sz="0" w:space="0" w:color="auto"/>
          <w:lang w:eastAsia="zh-CN"/>
        </w:rPr>
        <w:t>Dig Dis Sci</w:t>
      </w:r>
      <w:r w:rsidRPr="00FC1F35">
        <w:rPr>
          <w:rFonts w:ascii="Book Antiqua" w:eastAsia="宋体" w:hAnsi="Book Antiqua" w:cs="宋体"/>
          <w:color w:val="000000"/>
          <w:bdr w:val="none" w:sz="0" w:space="0" w:color="auto"/>
          <w:lang w:eastAsia="zh-CN"/>
        </w:rPr>
        <w:t> 2013; </w:t>
      </w:r>
      <w:r w:rsidRPr="00FC1F35">
        <w:rPr>
          <w:rFonts w:ascii="Book Antiqua" w:eastAsia="宋体" w:hAnsi="Book Antiqua" w:cs="宋体"/>
          <w:b/>
          <w:bCs/>
          <w:color w:val="000000"/>
          <w:bdr w:val="none" w:sz="0" w:space="0" w:color="auto"/>
          <w:lang w:eastAsia="zh-CN"/>
        </w:rPr>
        <w:t>58</w:t>
      </w:r>
      <w:r w:rsidRPr="00FC1F35">
        <w:rPr>
          <w:rFonts w:ascii="Book Antiqua" w:eastAsia="宋体" w:hAnsi="Book Antiqua" w:cs="宋体"/>
          <w:color w:val="000000"/>
          <w:bdr w:val="none" w:sz="0" w:space="0" w:color="auto"/>
          <w:lang w:eastAsia="zh-CN"/>
        </w:rPr>
        <w:t>: 2926-2932 [PMID: 23695872 DOI: 10.1007/s10620-013-2708-8]</w:t>
      </w:r>
    </w:p>
    <w:p w14:paraId="22B3E3EC" w14:textId="77777777" w:rsidR="00FC1F35" w:rsidRPr="00FC1F35" w:rsidRDefault="00FC1F35" w:rsidP="00FC1F3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FC1F35">
        <w:rPr>
          <w:rFonts w:ascii="Book Antiqua" w:eastAsia="宋体" w:hAnsi="Book Antiqua" w:cs="宋体"/>
          <w:color w:val="000000"/>
          <w:bdr w:val="none" w:sz="0" w:space="0" w:color="auto"/>
          <w:lang w:eastAsia="zh-CN"/>
        </w:rPr>
        <w:t>35 </w:t>
      </w:r>
      <w:r w:rsidRPr="00FC1F35">
        <w:rPr>
          <w:rFonts w:ascii="Book Antiqua" w:eastAsia="宋体" w:hAnsi="Book Antiqua" w:cs="宋体"/>
          <w:b/>
          <w:bCs/>
          <w:color w:val="000000"/>
          <w:bdr w:val="none" w:sz="0" w:space="0" w:color="auto"/>
          <w:lang w:eastAsia="zh-CN"/>
        </w:rPr>
        <w:t>Fanning SB</w:t>
      </w:r>
      <w:r w:rsidRPr="00FC1F35">
        <w:rPr>
          <w:rFonts w:ascii="Book Antiqua" w:eastAsia="宋体" w:hAnsi="Book Antiqua" w:cs="宋体"/>
          <w:color w:val="000000"/>
          <w:bdr w:val="none" w:sz="0" w:space="0" w:color="auto"/>
          <w:lang w:eastAsia="zh-CN"/>
        </w:rPr>
        <w:t>, Bourke MJ, Williams SJ, Chung A, Kariyawasam VC. Giant laterally spreading tumors of the duodenum: endoscopic resection outcomes, limitations, and caveats. </w:t>
      </w:r>
      <w:r w:rsidRPr="00FC1F35">
        <w:rPr>
          <w:rFonts w:ascii="Book Antiqua" w:eastAsia="宋体" w:hAnsi="Book Antiqua" w:cs="宋体"/>
          <w:i/>
          <w:iCs/>
          <w:color w:val="000000"/>
          <w:bdr w:val="none" w:sz="0" w:space="0" w:color="auto"/>
          <w:lang w:eastAsia="zh-CN"/>
        </w:rPr>
        <w:t>Gastrointest Endosc</w:t>
      </w:r>
      <w:r w:rsidRPr="00FC1F35">
        <w:rPr>
          <w:rFonts w:ascii="Book Antiqua" w:eastAsia="宋体" w:hAnsi="Book Antiqua" w:cs="宋体"/>
          <w:color w:val="000000"/>
          <w:bdr w:val="none" w:sz="0" w:space="0" w:color="auto"/>
          <w:lang w:eastAsia="zh-CN"/>
        </w:rPr>
        <w:t> 2012; </w:t>
      </w:r>
      <w:r w:rsidRPr="00FC1F35">
        <w:rPr>
          <w:rFonts w:ascii="Book Antiqua" w:eastAsia="宋体" w:hAnsi="Book Antiqua" w:cs="宋体"/>
          <w:b/>
          <w:bCs/>
          <w:color w:val="000000"/>
          <w:bdr w:val="none" w:sz="0" w:space="0" w:color="auto"/>
          <w:lang w:eastAsia="zh-CN"/>
        </w:rPr>
        <w:t>75</w:t>
      </w:r>
      <w:r w:rsidRPr="00FC1F35">
        <w:rPr>
          <w:rFonts w:ascii="Book Antiqua" w:eastAsia="宋体" w:hAnsi="Book Antiqua" w:cs="宋体"/>
          <w:color w:val="000000"/>
          <w:bdr w:val="none" w:sz="0" w:space="0" w:color="auto"/>
          <w:lang w:eastAsia="zh-CN"/>
        </w:rPr>
        <w:t>: 805-812 [PMID: 22305507 DOI: 10.1016/j.gie.2011.11.038]</w:t>
      </w:r>
    </w:p>
    <w:p w14:paraId="6A3B9D0A" w14:textId="77777777" w:rsidR="00FC1F35" w:rsidRPr="00FC1F35" w:rsidRDefault="00FC1F35" w:rsidP="00FC1F3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FC1F35">
        <w:rPr>
          <w:rFonts w:ascii="Book Antiqua" w:eastAsia="宋体" w:hAnsi="Book Antiqua" w:cs="宋体"/>
          <w:color w:val="000000"/>
          <w:bdr w:val="none" w:sz="0" w:space="0" w:color="auto"/>
          <w:lang w:eastAsia="zh-CN"/>
        </w:rPr>
        <w:t>36 </w:t>
      </w:r>
      <w:r w:rsidRPr="00FC1F35">
        <w:rPr>
          <w:rFonts w:ascii="Book Antiqua" w:eastAsia="宋体" w:hAnsi="Book Antiqua" w:cs="宋体"/>
          <w:b/>
          <w:bCs/>
          <w:color w:val="000000"/>
          <w:bdr w:val="none" w:sz="0" w:space="0" w:color="auto"/>
          <w:lang w:eastAsia="zh-CN"/>
        </w:rPr>
        <w:t>Abbass R</w:t>
      </w:r>
      <w:r w:rsidRPr="00FC1F35">
        <w:rPr>
          <w:rFonts w:ascii="Book Antiqua" w:eastAsia="宋体" w:hAnsi="Book Antiqua" w:cs="宋体"/>
          <w:color w:val="000000"/>
          <w:bdr w:val="none" w:sz="0" w:space="0" w:color="auto"/>
          <w:lang w:eastAsia="zh-CN"/>
        </w:rPr>
        <w:t>, Rigaux J, Al-Kawas FH. Nonampullary duodenal polyps: cha</w:t>
      </w:r>
      <w:r w:rsidRPr="00FC1F35">
        <w:rPr>
          <w:rFonts w:ascii="Book Antiqua" w:eastAsia="宋体" w:hAnsi="Book Antiqua" w:cs="宋体"/>
          <w:color w:val="000000"/>
          <w:bdr w:val="none" w:sz="0" w:space="0" w:color="auto"/>
          <w:lang w:eastAsia="zh-CN"/>
        </w:rPr>
        <w:t>r</w:t>
      </w:r>
      <w:r w:rsidRPr="00FC1F35">
        <w:rPr>
          <w:rFonts w:ascii="Book Antiqua" w:eastAsia="宋体" w:hAnsi="Book Antiqua" w:cs="宋体"/>
          <w:color w:val="000000"/>
          <w:bdr w:val="none" w:sz="0" w:space="0" w:color="auto"/>
          <w:lang w:eastAsia="zh-CN"/>
        </w:rPr>
        <w:t>acteristics and endoscopic management. </w:t>
      </w:r>
      <w:r w:rsidRPr="00FC1F35">
        <w:rPr>
          <w:rFonts w:ascii="Book Antiqua" w:eastAsia="宋体" w:hAnsi="Book Antiqua" w:cs="宋体"/>
          <w:i/>
          <w:iCs/>
          <w:color w:val="000000"/>
          <w:bdr w:val="none" w:sz="0" w:space="0" w:color="auto"/>
          <w:lang w:eastAsia="zh-CN"/>
        </w:rPr>
        <w:t>Gastrointest Endosc</w:t>
      </w:r>
      <w:r w:rsidRPr="00FC1F35">
        <w:rPr>
          <w:rFonts w:ascii="Book Antiqua" w:eastAsia="宋体" w:hAnsi="Book Antiqua" w:cs="宋体"/>
          <w:color w:val="000000"/>
          <w:bdr w:val="none" w:sz="0" w:space="0" w:color="auto"/>
          <w:lang w:eastAsia="zh-CN"/>
        </w:rPr>
        <w:t> 2010; </w:t>
      </w:r>
      <w:r w:rsidRPr="00FC1F35">
        <w:rPr>
          <w:rFonts w:ascii="Book Antiqua" w:eastAsia="宋体" w:hAnsi="Book Antiqua" w:cs="宋体"/>
          <w:b/>
          <w:bCs/>
          <w:color w:val="000000"/>
          <w:bdr w:val="none" w:sz="0" w:space="0" w:color="auto"/>
          <w:lang w:eastAsia="zh-CN"/>
        </w:rPr>
        <w:t>71</w:t>
      </w:r>
      <w:r w:rsidRPr="00FC1F35">
        <w:rPr>
          <w:rFonts w:ascii="Book Antiqua" w:eastAsia="宋体" w:hAnsi="Book Antiqua" w:cs="宋体"/>
          <w:color w:val="000000"/>
          <w:bdr w:val="none" w:sz="0" w:space="0" w:color="auto"/>
          <w:lang w:eastAsia="zh-CN"/>
        </w:rPr>
        <w:t>: 754-759 [PMID: 20363416 DOI: 10.1016/j.gie.2009.11.043]</w:t>
      </w:r>
    </w:p>
    <w:p w14:paraId="0C046D57" w14:textId="77777777" w:rsidR="00FC1F35" w:rsidRPr="00FC1F35" w:rsidRDefault="00FC1F35" w:rsidP="00FC1F3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FC1F35">
        <w:rPr>
          <w:rFonts w:ascii="Book Antiqua" w:eastAsia="宋体" w:hAnsi="Book Antiqua" w:cs="宋体"/>
          <w:color w:val="000000"/>
          <w:bdr w:val="none" w:sz="0" w:space="0" w:color="auto"/>
          <w:lang w:eastAsia="zh-CN"/>
        </w:rPr>
        <w:t>37 </w:t>
      </w:r>
      <w:r w:rsidRPr="00FC1F35">
        <w:rPr>
          <w:rFonts w:ascii="Book Antiqua" w:eastAsia="宋体" w:hAnsi="Book Antiqua" w:cs="宋体"/>
          <w:b/>
          <w:bCs/>
          <w:color w:val="000000"/>
          <w:bdr w:val="none" w:sz="0" w:space="0" w:color="auto"/>
          <w:lang w:eastAsia="zh-CN"/>
        </w:rPr>
        <w:t>Oka S</w:t>
      </w:r>
      <w:r w:rsidRPr="00FC1F35">
        <w:rPr>
          <w:rFonts w:ascii="Book Antiqua" w:eastAsia="宋体" w:hAnsi="Book Antiqua" w:cs="宋体"/>
          <w:color w:val="000000"/>
          <w:bdr w:val="none" w:sz="0" w:space="0" w:color="auto"/>
          <w:lang w:eastAsia="zh-CN"/>
        </w:rPr>
        <w:t>, Tanaka S, Kaneko I, Mouri R, Hirata M, Kawamura T, Yoshihara M, Chayama K. Advantage of endoscopic submucosal dissection compared with EMR for early gastric cancer. </w:t>
      </w:r>
      <w:r w:rsidRPr="00FC1F35">
        <w:rPr>
          <w:rFonts w:ascii="Book Antiqua" w:eastAsia="宋体" w:hAnsi="Book Antiqua" w:cs="宋体"/>
          <w:i/>
          <w:iCs/>
          <w:color w:val="000000"/>
          <w:bdr w:val="none" w:sz="0" w:space="0" w:color="auto"/>
          <w:lang w:eastAsia="zh-CN"/>
        </w:rPr>
        <w:t>Gastrointest Endosc</w:t>
      </w:r>
      <w:r w:rsidRPr="00FC1F35">
        <w:rPr>
          <w:rFonts w:ascii="Book Antiqua" w:eastAsia="宋体" w:hAnsi="Book Antiqua" w:cs="宋体"/>
          <w:color w:val="000000"/>
          <w:bdr w:val="none" w:sz="0" w:space="0" w:color="auto"/>
          <w:lang w:eastAsia="zh-CN"/>
        </w:rPr>
        <w:t> 2006; </w:t>
      </w:r>
      <w:r w:rsidRPr="00FC1F35">
        <w:rPr>
          <w:rFonts w:ascii="Book Antiqua" w:eastAsia="宋体" w:hAnsi="Book Antiqua" w:cs="宋体"/>
          <w:b/>
          <w:bCs/>
          <w:color w:val="000000"/>
          <w:bdr w:val="none" w:sz="0" w:space="0" w:color="auto"/>
          <w:lang w:eastAsia="zh-CN"/>
        </w:rPr>
        <w:t>64</w:t>
      </w:r>
      <w:r w:rsidRPr="00FC1F35">
        <w:rPr>
          <w:rFonts w:ascii="Book Antiqua" w:eastAsia="宋体" w:hAnsi="Book Antiqua" w:cs="宋体"/>
          <w:color w:val="000000"/>
          <w:bdr w:val="none" w:sz="0" w:space="0" w:color="auto"/>
          <w:lang w:eastAsia="zh-CN"/>
        </w:rPr>
        <w:t>: 877-883 [PMID: 17140890 DOI: 10.1016/j.gie.2006.03.932]</w:t>
      </w:r>
    </w:p>
    <w:p w14:paraId="20E35AE1" w14:textId="77777777" w:rsidR="00FC1F35" w:rsidRPr="00FC1F35" w:rsidRDefault="00FC1F35" w:rsidP="00FC1F3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FC1F35">
        <w:rPr>
          <w:rFonts w:ascii="Book Antiqua" w:eastAsia="宋体" w:hAnsi="Book Antiqua" w:cs="宋体"/>
          <w:color w:val="000000"/>
          <w:bdr w:val="none" w:sz="0" w:space="0" w:color="auto"/>
          <w:lang w:eastAsia="zh-CN"/>
        </w:rPr>
        <w:t>38 </w:t>
      </w:r>
      <w:r w:rsidRPr="00FC1F35">
        <w:rPr>
          <w:rFonts w:ascii="Book Antiqua" w:eastAsia="宋体" w:hAnsi="Book Antiqua" w:cs="宋体"/>
          <w:b/>
          <w:bCs/>
          <w:color w:val="000000"/>
          <w:bdr w:val="none" w:sz="0" w:space="0" w:color="auto"/>
          <w:lang w:eastAsia="zh-CN"/>
        </w:rPr>
        <w:t>Takahashi T</w:t>
      </w:r>
      <w:r w:rsidRPr="00FC1F35">
        <w:rPr>
          <w:rFonts w:ascii="Book Antiqua" w:eastAsia="宋体" w:hAnsi="Book Antiqua" w:cs="宋体"/>
          <w:color w:val="000000"/>
          <w:bdr w:val="none" w:sz="0" w:space="0" w:color="auto"/>
          <w:lang w:eastAsia="zh-CN"/>
        </w:rPr>
        <w:t>, Ando T, Kabeshima Y, Kawakubo H, Shito M, Sugiura H, Omori T. Borderline cases between benignancy and malignancy of the du</w:t>
      </w:r>
      <w:r w:rsidRPr="00FC1F35">
        <w:rPr>
          <w:rFonts w:ascii="Book Antiqua" w:eastAsia="宋体" w:hAnsi="Book Antiqua" w:cs="宋体"/>
          <w:color w:val="000000"/>
          <w:bdr w:val="none" w:sz="0" w:space="0" w:color="auto"/>
          <w:lang w:eastAsia="zh-CN"/>
        </w:rPr>
        <w:t>o</w:t>
      </w:r>
      <w:r w:rsidRPr="00FC1F35">
        <w:rPr>
          <w:rFonts w:ascii="Book Antiqua" w:eastAsia="宋体" w:hAnsi="Book Antiqua" w:cs="宋体"/>
          <w:color w:val="000000"/>
          <w:bdr w:val="none" w:sz="0" w:space="0" w:color="auto"/>
          <w:lang w:eastAsia="zh-CN"/>
        </w:rPr>
        <w:t>denum diagnosed successfully by endoscopic submucosal dissection. </w:t>
      </w:r>
      <w:r w:rsidRPr="00FC1F35">
        <w:rPr>
          <w:rFonts w:ascii="Book Antiqua" w:eastAsia="宋体" w:hAnsi="Book Antiqua" w:cs="宋体"/>
          <w:i/>
          <w:iCs/>
          <w:color w:val="000000"/>
          <w:bdr w:val="none" w:sz="0" w:space="0" w:color="auto"/>
          <w:lang w:eastAsia="zh-CN"/>
        </w:rPr>
        <w:t>Scand J Gastroenterol</w:t>
      </w:r>
      <w:r w:rsidRPr="00FC1F35">
        <w:rPr>
          <w:rFonts w:ascii="Book Antiqua" w:eastAsia="宋体" w:hAnsi="Book Antiqua" w:cs="宋体"/>
          <w:color w:val="000000"/>
          <w:bdr w:val="none" w:sz="0" w:space="0" w:color="auto"/>
          <w:lang w:eastAsia="zh-CN"/>
        </w:rPr>
        <w:t> 2009; </w:t>
      </w:r>
      <w:r w:rsidRPr="00FC1F35">
        <w:rPr>
          <w:rFonts w:ascii="Book Antiqua" w:eastAsia="宋体" w:hAnsi="Book Antiqua" w:cs="宋体"/>
          <w:b/>
          <w:bCs/>
          <w:color w:val="000000"/>
          <w:bdr w:val="none" w:sz="0" w:space="0" w:color="auto"/>
          <w:lang w:eastAsia="zh-CN"/>
        </w:rPr>
        <w:t>44</w:t>
      </w:r>
      <w:r w:rsidRPr="00FC1F35">
        <w:rPr>
          <w:rFonts w:ascii="Book Antiqua" w:eastAsia="宋体" w:hAnsi="Book Antiqua" w:cs="宋体"/>
          <w:color w:val="000000"/>
          <w:bdr w:val="none" w:sz="0" w:space="0" w:color="auto"/>
          <w:lang w:eastAsia="zh-CN"/>
        </w:rPr>
        <w:t>: 1377-1383 [PMID: 19821793 DOI: 10.3109/00365520903287551]</w:t>
      </w:r>
    </w:p>
    <w:p w14:paraId="4D222D06" w14:textId="77777777" w:rsidR="00FC1F35" w:rsidRPr="00FC1F35" w:rsidRDefault="00FC1F35" w:rsidP="00FC1F3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FC1F35">
        <w:rPr>
          <w:rFonts w:ascii="Book Antiqua" w:eastAsia="宋体" w:hAnsi="Book Antiqua" w:cs="宋体"/>
          <w:color w:val="000000"/>
          <w:bdr w:val="none" w:sz="0" w:space="0" w:color="auto"/>
          <w:lang w:eastAsia="zh-CN"/>
        </w:rPr>
        <w:t>39 </w:t>
      </w:r>
      <w:r w:rsidRPr="00FC1F35">
        <w:rPr>
          <w:rFonts w:ascii="Book Antiqua" w:eastAsia="宋体" w:hAnsi="Book Antiqua" w:cs="宋体"/>
          <w:b/>
          <w:bCs/>
          <w:color w:val="000000"/>
          <w:bdr w:val="none" w:sz="0" w:space="0" w:color="auto"/>
          <w:lang w:eastAsia="zh-CN"/>
        </w:rPr>
        <w:t>Jung JH</w:t>
      </w:r>
      <w:r w:rsidRPr="00FC1F35">
        <w:rPr>
          <w:rFonts w:ascii="Book Antiqua" w:eastAsia="宋体" w:hAnsi="Book Antiqua" w:cs="宋体"/>
          <w:color w:val="000000"/>
          <w:bdr w:val="none" w:sz="0" w:space="0" w:color="auto"/>
          <w:lang w:eastAsia="zh-CN"/>
        </w:rPr>
        <w:t>, Choi KD, Ahn JY, Lee JH, Jung HY, Choi KS, Lee GH, Song HJ, Kim DH, Kim MY, Bae SE, Kim JH. Endoscopic submucosal dissection for sessile, nonampullary duodenal adenomas. </w:t>
      </w:r>
      <w:r w:rsidRPr="00FC1F35">
        <w:rPr>
          <w:rFonts w:ascii="Book Antiqua" w:eastAsia="宋体" w:hAnsi="Book Antiqua" w:cs="宋体"/>
          <w:i/>
          <w:iCs/>
          <w:color w:val="000000"/>
          <w:bdr w:val="none" w:sz="0" w:space="0" w:color="auto"/>
          <w:lang w:eastAsia="zh-CN"/>
        </w:rPr>
        <w:t>Endoscopy</w:t>
      </w:r>
      <w:r w:rsidRPr="00FC1F35">
        <w:rPr>
          <w:rFonts w:ascii="Book Antiqua" w:eastAsia="宋体" w:hAnsi="Book Antiqua" w:cs="宋体"/>
          <w:color w:val="000000"/>
          <w:bdr w:val="none" w:sz="0" w:space="0" w:color="auto"/>
          <w:lang w:eastAsia="zh-CN"/>
        </w:rPr>
        <w:t> 2013; </w:t>
      </w:r>
      <w:r w:rsidRPr="00FC1F35">
        <w:rPr>
          <w:rFonts w:ascii="Book Antiqua" w:eastAsia="宋体" w:hAnsi="Book Antiqua" w:cs="宋体"/>
          <w:b/>
          <w:bCs/>
          <w:color w:val="000000"/>
          <w:bdr w:val="none" w:sz="0" w:space="0" w:color="auto"/>
          <w:lang w:eastAsia="zh-CN"/>
        </w:rPr>
        <w:t>45</w:t>
      </w:r>
      <w:r w:rsidRPr="00FC1F35">
        <w:rPr>
          <w:rFonts w:ascii="Book Antiqua" w:eastAsia="宋体" w:hAnsi="Book Antiqua" w:cs="宋体"/>
          <w:color w:val="000000"/>
          <w:bdr w:val="none" w:sz="0" w:space="0" w:color="auto"/>
          <w:lang w:eastAsia="zh-CN"/>
        </w:rPr>
        <w:t>: 133-135 [PMID: 23364841 DOI: 10.1055/s-0032-1326178]</w:t>
      </w:r>
    </w:p>
    <w:p w14:paraId="33261D5E" w14:textId="77777777" w:rsidR="00FC1F35" w:rsidRPr="00FC1F35" w:rsidRDefault="00FC1F35" w:rsidP="00FC1F3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FC1F35">
        <w:rPr>
          <w:rFonts w:ascii="Book Antiqua" w:eastAsia="宋体" w:hAnsi="Book Antiqua" w:cs="宋体"/>
          <w:color w:val="000000"/>
          <w:bdr w:val="none" w:sz="0" w:space="0" w:color="auto"/>
          <w:lang w:eastAsia="zh-CN"/>
        </w:rPr>
        <w:t>40 </w:t>
      </w:r>
      <w:r w:rsidRPr="00FC1F35">
        <w:rPr>
          <w:rFonts w:ascii="Book Antiqua" w:eastAsia="宋体" w:hAnsi="Book Antiqua" w:cs="宋体"/>
          <w:b/>
          <w:bCs/>
          <w:color w:val="000000"/>
          <w:bdr w:val="none" w:sz="0" w:space="0" w:color="auto"/>
          <w:lang w:eastAsia="zh-CN"/>
        </w:rPr>
        <w:t>Perumpail R</w:t>
      </w:r>
      <w:r w:rsidRPr="00FC1F35">
        <w:rPr>
          <w:rFonts w:ascii="Book Antiqua" w:eastAsia="宋体" w:hAnsi="Book Antiqua" w:cs="宋体"/>
          <w:color w:val="000000"/>
          <w:bdr w:val="none" w:sz="0" w:space="0" w:color="auto"/>
          <w:lang w:eastAsia="zh-CN"/>
        </w:rPr>
        <w:t>, Friedland S. Treatment of nonampullary sporadic duodenal adenomas with endoscopic mucosal resection or ablation. </w:t>
      </w:r>
      <w:r w:rsidRPr="00FC1F35">
        <w:rPr>
          <w:rFonts w:ascii="Book Antiqua" w:eastAsia="宋体" w:hAnsi="Book Antiqua" w:cs="宋体"/>
          <w:i/>
          <w:iCs/>
          <w:color w:val="000000"/>
          <w:bdr w:val="none" w:sz="0" w:space="0" w:color="auto"/>
          <w:lang w:eastAsia="zh-CN"/>
        </w:rPr>
        <w:t>Dig Dis Sci</w:t>
      </w:r>
      <w:r w:rsidRPr="00FC1F35">
        <w:rPr>
          <w:rFonts w:ascii="Book Antiqua" w:eastAsia="宋体" w:hAnsi="Book Antiqua" w:cs="宋体"/>
          <w:color w:val="000000"/>
          <w:bdr w:val="none" w:sz="0" w:space="0" w:color="auto"/>
          <w:lang w:eastAsia="zh-CN"/>
        </w:rPr>
        <w:t> 2013; </w:t>
      </w:r>
      <w:r w:rsidRPr="00FC1F35">
        <w:rPr>
          <w:rFonts w:ascii="Book Antiqua" w:eastAsia="宋体" w:hAnsi="Book Antiqua" w:cs="宋体"/>
          <w:b/>
          <w:bCs/>
          <w:color w:val="000000"/>
          <w:bdr w:val="none" w:sz="0" w:space="0" w:color="auto"/>
          <w:lang w:eastAsia="zh-CN"/>
        </w:rPr>
        <w:t>58</w:t>
      </w:r>
      <w:r w:rsidRPr="00FC1F35">
        <w:rPr>
          <w:rFonts w:ascii="Book Antiqua" w:eastAsia="宋体" w:hAnsi="Book Antiqua" w:cs="宋体"/>
          <w:color w:val="000000"/>
          <w:bdr w:val="none" w:sz="0" w:space="0" w:color="auto"/>
          <w:lang w:eastAsia="zh-CN"/>
        </w:rPr>
        <w:t>: 2751-2752 [PMID: 23884756 DOI: 10.1007/s10620-013-2787-6]</w:t>
      </w:r>
    </w:p>
    <w:p w14:paraId="58415EFC" w14:textId="77777777" w:rsidR="00FC1F35" w:rsidRPr="00FC1F35" w:rsidRDefault="00FC1F35" w:rsidP="00FC1F3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FC1F35">
        <w:rPr>
          <w:rFonts w:ascii="Book Antiqua" w:eastAsia="宋体" w:hAnsi="Book Antiqua" w:cs="宋体"/>
          <w:color w:val="000000"/>
          <w:bdr w:val="none" w:sz="0" w:space="0" w:color="auto"/>
          <w:lang w:eastAsia="zh-CN"/>
        </w:rPr>
        <w:t>41 </w:t>
      </w:r>
      <w:r w:rsidRPr="00FC1F35">
        <w:rPr>
          <w:rFonts w:ascii="Book Antiqua" w:eastAsia="宋体" w:hAnsi="Book Antiqua" w:cs="宋体"/>
          <w:b/>
          <w:bCs/>
          <w:color w:val="000000"/>
          <w:bdr w:val="none" w:sz="0" w:space="0" w:color="auto"/>
          <w:lang w:eastAsia="zh-CN"/>
        </w:rPr>
        <w:t>Inoue T</w:t>
      </w:r>
      <w:r w:rsidRPr="00FC1F35">
        <w:rPr>
          <w:rFonts w:ascii="Book Antiqua" w:eastAsia="宋体" w:hAnsi="Book Antiqua" w:cs="宋体"/>
          <w:color w:val="000000"/>
          <w:bdr w:val="none" w:sz="0" w:space="0" w:color="auto"/>
          <w:lang w:eastAsia="zh-CN"/>
        </w:rPr>
        <w:t>, Uedo N, Yamashina T, Yamamoto S, Hanaoka N, Takeuchi Y, H</w:t>
      </w:r>
      <w:r w:rsidRPr="00FC1F35">
        <w:rPr>
          <w:rFonts w:ascii="Book Antiqua" w:eastAsia="宋体" w:hAnsi="Book Antiqua" w:cs="宋体"/>
          <w:color w:val="000000"/>
          <w:bdr w:val="none" w:sz="0" w:space="0" w:color="auto"/>
          <w:lang w:eastAsia="zh-CN"/>
        </w:rPr>
        <w:t>i</w:t>
      </w:r>
      <w:r w:rsidRPr="00FC1F35">
        <w:rPr>
          <w:rFonts w:ascii="Book Antiqua" w:eastAsia="宋体" w:hAnsi="Book Antiqua" w:cs="宋体"/>
          <w:color w:val="000000"/>
          <w:bdr w:val="none" w:sz="0" w:space="0" w:color="auto"/>
          <w:lang w:eastAsia="zh-CN"/>
        </w:rPr>
        <w:t>gashino K, Ishihara R, Iishi H, Tatsuta M, Takahashi H, Eguchi H, Ohigashi H. Delayed perforation: a hazardous complication of endoscopic resection for non-ampullary duodenal neoplasm. </w:t>
      </w:r>
      <w:r w:rsidRPr="00FC1F35">
        <w:rPr>
          <w:rFonts w:ascii="Book Antiqua" w:eastAsia="宋体" w:hAnsi="Book Antiqua" w:cs="宋体"/>
          <w:i/>
          <w:iCs/>
          <w:color w:val="000000"/>
          <w:bdr w:val="none" w:sz="0" w:space="0" w:color="auto"/>
          <w:lang w:eastAsia="zh-CN"/>
        </w:rPr>
        <w:t>Dig Endosc</w:t>
      </w:r>
      <w:r w:rsidRPr="00FC1F35">
        <w:rPr>
          <w:rFonts w:ascii="Book Antiqua" w:eastAsia="宋体" w:hAnsi="Book Antiqua" w:cs="宋体"/>
          <w:color w:val="000000"/>
          <w:bdr w:val="none" w:sz="0" w:space="0" w:color="auto"/>
          <w:lang w:eastAsia="zh-CN"/>
        </w:rPr>
        <w:t> 2014; </w:t>
      </w:r>
      <w:r w:rsidRPr="00FC1F35">
        <w:rPr>
          <w:rFonts w:ascii="Book Antiqua" w:eastAsia="宋体" w:hAnsi="Book Antiqua" w:cs="宋体"/>
          <w:b/>
          <w:bCs/>
          <w:color w:val="000000"/>
          <w:bdr w:val="none" w:sz="0" w:space="0" w:color="auto"/>
          <w:lang w:eastAsia="zh-CN"/>
        </w:rPr>
        <w:t>26</w:t>
      </w:r>
      <w:r w:rsidRPr="00FC1F35">
        <w:rPr>
          <w:rFonts w:ascii="Book Antiqua" w:eastAsia="宋体" w:hAnsi="Book Antiqua" w:cs="宋体"/>
          <w:color w:val="000000"/>
          <w:bdr w:val="none" w:sz="0" w:space="0" w:color="auto"/>
          <w:lang w:eastAsia="zh-CN"/>
        </w:rPr>
        <w:t>: 220-227 [PMID: 23621427 DOI: 10.1111/den.12104]</w:t>
      </w:r>
    </w:p>
    <w:p w14:paraId="70AB43A8" w14:textId="77777777" w:rsidR="00792914" w:rsidRPr="00FC1F35" w:rsidRDefault="00792914" w:rsidP="00FC1F35">
      <w:pPr>
        <w:pStyle w:val="BodyA"/>
        <w:spacing w:line="360" w:lineRule="auto"/>
        <w:jc w:val="both"/>
        <w:rPr>
          <w:rFonts w:ascii="Book Antiqua" w:eastAsiaTheme="minorEastAsia" w:hAnsi="Book Antiqua" w:cs="Book Antiqua"/>
          <w:color w:val="auto"/>
        </w:rPr>
      </w:pPr>
    </w:p>
    <w:p w14:paraId="3F5336EF" w14:textId="2D0E3EB3" w:rsidR="00E17111" w:rsidRPr="00FC1F35" w:rsidRDefault="00E17111" w:rsidP="00FC1F35">
      <w:pPr>
        <w:pStyle w:val="PlainText"/>
        <w:spacing w:line="360" w:lineRule="auto"/>
        <w:jc w:val="right"/>
        <w:rPr>
          <w:rFonts w:ascii="Book Antiqua" w:hAnsi="Book Antiqua"/>
          <w:b/>
          <w:sz w:val="24"/>
          <w:szCs w:val="24"/>
        </w:rPr>
      </w:pPr>
      <w:r w:rsidRPr="00FC1F35">
        <w:rPr>
          <w:rFonts w:ascii="Book Antiqua" w:hAnsi="Book Antiqua"/>
          <w:b/>
          <w:sz w:val="24"/>
          <w:szCs w:val="24"/>
        </w:rPr>
        <w:t>P-Reviewer:</w:t>
      </w:r>
      <w:r w:rsidRPr="00FC1F35">
        <w:rPr>
          <w:rFonts w:ascii="Book Antiqua" w:hAnsi="Book Antiqua" w:cs="Tahoma"/>
          <w:color w:val="000000"/>
          <w:sz w:val="24"/>
          <w:szCs w:val="24"/>
        </w:rPr>
        <w:t xml:space="preserve"> de Lange T, Gurkan A, Hu H</w:t>
      </w:r>
      <w:r w:rsidRPr="00FC1F35">
        <w:rPr>
          <w:rFonts w:ascii="Book Antiqua" w:hAnsi="Book Antiqua"/>
          <w:b/>
          <w:sz w:val="24"/>
          <w:szCs w:val="24"/>
        </w:rPr>
        <w:t xml:space="preserve"> S-Editor: </w:t>
      </w:r>
      <w:r w:rsidRPr="00FC1F35">
        <w:rPr>
          <w:rFonts w:ascii="Book Antiqua" w:hAnsi="Book Antiqua"/>
          <w:sz w:val="24"/>
          <w:szCs w:val="24"/>
        </w:rPr>
        <w:t>Ji FF</w:t>
      </w:r>
      <w:r w:rsidRPr="00FC1F35">
        <w:rPr>
          <w:rFonts w:ascii="Book Antiqua" w:hAnsi="Book Antiqua"/>
          <w:b/>
          <w:sz w:val="24"/>
          <w:szCs w:val="24"/>
        </w:rPr>
        <w:t xml:space="preserve"> L-Editor: E-Editor:</w:t>
      </w:r>
    </w:p>
    <w:p w14:paraId="7806FE35" w14:textId="77777777" w:rsidR="00E17111" w:rsidRDefault="00E17111" w:rsidP="00A9024E">
      <w:pPr>
        <w:pStyle w:val="BodyA"/>
        <w:spacing w:line="360" w:lineRule="auto"/>
        <w:jc w:val="both"/>
        <w:rPr>
          <w:rFonts w:ascii="Book Antiqua" w:eastAsiaTheme="minorEastAsia" w:hAnsi="Book Antiqua" w:cs="Book Antiqua"/>
          <w:color w:val="auto"/>
        </w:rPr>
      </w:pPr>
    </w:p>
    <w:p w14:paraId="0B0ACFD7" w14:textId="77777777" w:rsidR="00E17111" w:rsidRPr="00E17111" w:rsidRDefault="00E17111" w:rsidP="00A9024E">
      <w:pPr>
        <w:pStyle w:val="BodyA"/>
        <w:spacing w:line="360" w:lineRule="auto"/>
        <w:jc w:val="both"/>
        <w:rPr>
          <w:rFonts w:ascii="Book Antiqua" w:eastAsiaTheme="minorEastAsia" w:hAnsi="Book Antiqua" w:cs="Book Antiqua"/>
          <w:color w:val="auto"/>
        </w:rPr>
      </w:pPr>
    </w:p>
    <w:p w14:paraId="754F6D87" w14:textId="33930907" w:rsidR="008F6A82" w:rsidRPr="005D2C0B" w:rsidRDefault="00E17111" w:rsidP="00A9024E">
      <w:pPr>
        <w:pStyle w:val="BodyA"/>
        <w:spacing w:line="360" w:lineRule="auto"/>
        <w:jc w:val="both"/>
        <w:rPr>
          <w:rFonts w:ascii="Book Antiqua" w:eastAsia="Book Antiqua" w:hAnsi="Book Antiqua" w:cs="Book Antiqua"/>
          <w:color w:val="auto"/>
        </w:rPr>
      </w:pPr>
      <w:r>
        <w:rPr>
          <w:rFonts w:ascii="Book Antiqua" w:eastAsia="Book Antiqua" w:hAnsi="Book Antiqua" w:cs="Book Antiqua"/>
          <w:noProof/>
          <w:color w:val="auto"/>
          <w:lang w:eastAsia="en-US"/>
        </w:rPr>
        <w:drawing>
          <wp:inline distT="0" distB="0" distL="0" distR="0" wp14:anchorId="787A9E7F" wp14:editId="67FCD29D">
            <wp:extent cx="5270500" cy="2996985"/>
            <wp:effectExtent l="0" t="0" r="6350" b="0"/>
            <wp:docPr id="1" name="图片 1" descr="C:\Users\Administrator.PC--20130702KXV\Desktop\以检测\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PC--20130702KXV\Desktop\以检测\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0500" cy="2996985"/>
                    </a:xfrm>
                    <a:prstGeom prst="rect">
                      <a:avLst/>
                    </a:prstGeom>
                    <a:noFill/>
                    <a:ln>
                      <a:noFill/>
                    </a:ln>
                  </pic:spPr>
                </pic:pic>
              </a:graphicData>
            </a:graphic>
          </wp:inline>
        </w:drawing>
      </w:r>
    </w:p>
    <w:p w14:paraId="5E4C868D" w14:textId="509121E3" w:rsidR="00792914" w:rsidRPr="00E17111" w:rsidRDefault="00514CDD" w:rsidP="00E17111">
      <w:pPr>
        <w:pStyle w:val="BodyA"/>
        <w:spacing w:line="360" w:lineRule="auto"/>
        <w:jc w:val="both"/>
        <w:rPr>
          <w:rFonts w:ascii="Book Antiqua" w:hAnsi="Book Antiqua"/>
          <w:b/>
          <w:color w:val="auto"/>
        </w:rPr>
      </w:pPr>
      <w:r w:rsidRPr="00E17111">
        <w:rPr>
          <w:rFonts w:ascii="Book Antiqua" w:hAnsi="Book Antiqua"/>
          <w:b/>
          <w:color w:val="auto"/>
        </w:rPr>
        <w:t>Figure 1</w:t>
      </w:r>
      <w:r w:rsidR="008F6A82" w:rsidRPr="00E17111">
        <w:rPr>
          <w:rFonts w:ascii="Book Antiqua" w:hAnsi="Book Antiqua"/>
          <w:b/>
          <w:color w:val="auto"/>
        </w:rPr>
        <w:t xml:space="preserve"> </w:t>
      </w:r>
      <w:r w:rsidR="00777F70" w:rsidRPr="00E17111">
        <w:rPr>
          <w:rFonts w:ascii="Book Antiqua" w:hAnsi="Book Antiqua"/>
          <w:b/>
          <w:color w:val="auto"/>
        </w:rPr>
        <w:t>Endoscopic resection of a sporadic neoplastic lesion in the duod</w:t>
      </w:r>
      <w:r w:rsidR="00777F70" w:rsidRPr="00E17111">
        <w:rPr>
          <w:rFonts w:ascii="Book Antiqua" w:hAnsi="Book Antiqua"/>
          <w:b/>
          <w:color w:val="auto"/>
        </w:rPr>
        <w:t>e</w:t>
      </w:r>
      <w:r w:rsidR="00777F70" w:rsidRPr="00E17111">
        <w:rPr>
          <w:rFonts w:ascii="Book Antiqua" w:hAnsi="Book Antiqua"/>
          <w:b/>
          <w:color w:val="auto"/>
        </w:rPr>
        <w:t>num using endoscopic mucosal resection technique.</w:t>
      </w:r>
      <w:r w:rsidR="00E17111">
        <w:rPr>
          <w:rFonts w:ascii="Book Antiqua" w:eastAsiaTheme="minorEastAsia" w:hAnsi="Book Antiqua" w:hint="eastAsia"/>
          <w:b/>
          <w:color w:val="auto"/>
        </w:rPr>
        <w:t xml:space="preserve"> </w:t>
      </w:r>
      <w:r w:rsidRPr="005D2C0B">
        <w:rPr>
          <w:rFonts w:ascii="Book Antiqua" w:hAnsi="Book Antiqua"/>
          <w:color w:val="auto"/>
        </w:rPr>
        <w:t>A: Sessile lesion in the descending duodenum seen with white light (type 0 - Isp of the Paris classif</w:t>
      </w:r>
      <w:r w:rsidRPr="005D2C0B">
        <w:rPr>
          <w:rFonts w:ascii="Book Antiqua" w:hAnsi="Book Antiqua"/>
          <w:color w:val="auto"/>
        </w:rPr>
        <w:t>i</w:t>
      </w:r>
      <w:r w:rsidRPr="005D2C0B">
        <w:rPr>
          <w:rFonts w:ascii="Book Antiqua" w:hAnsi="Book Antiqua"/>
          <w:color w:val="auto"/>
        </w:rPr>
        <w:t>cation)</w:t>
      </w:r>
      <w:r w:rsidR="00E17111">
        <w:rPr>
          <w:rFonts w:ascii="Book Antiqua" w:eastAsiaTheme="minorEastAsia" w:hAnsi="Book Antiqua" w:hint="eastAsia"/>
          <w:color w:val="auto"/>
        </w:rPr>
        <w:t>;</w:t>
      </w:r>
      <w:r w:rsidR="00E17111">
        <w:rPr>
          <w:rFonts w:ascii="Book Antiqua" w:eastAsiaTheme="minorEastAsia" w:hAnsi="Book Antiqua" w:cs="Book Antiqua" w:hint="eastAsia"/>
          <w:color w:val="auto"/>
        </w:rPr>
        <w:t xml:space="preserve"> </w:t>
      </w:r>
      <w:r w:rsidRPr="005D2C0B">
        <w:rPr>
          <w:rFonts w:ascii="Book Antiqua" w:hAnsi="Book Antiqua"/>
          <w:color w:val="auto"/>
        </w:rPr>
        <w:t>B: Same lesion after chromoendoscopy with indigo carmine</w:t>
      </w:r>
      <w:r w:rsidR="00E17111">
        <w:rPr>
          <w:rFonts w:ascii="Book Antiqua" w:eastAsiaTheme="minorEastAsia" w:hAnsi="Book Antiqua" w:hint="eastAsia"/>
          <w:color w:val="auto"/>
        </w:rPr>
        <w:t>;</w:t>
      </w:r>
      <w:r w:rsidR="00E17111">
        <w:rPr>
          <w:rFonts w:ascii="Book Antiqua" w:eastAsiaTheme="minorEastAsia" w:hAnsi="Book Antiqua" w:cs="Book Antiqua" w:hint="eastAsia"/>
          <w:color w:val="auto"/>
        </w:rPr>
        <w:t xml:space="preserve"> </w:t>
      </w:r>
      <w:r w:rsidRPr="005D2C0B">
        <w:rPr>
          <w:rFonts w:ascii="Book Antiqua" w:hAnsi="Book Antiqua"/>
          <w:color w:val="auto"/>
        </w:rPr>
        <w:t>C: Same subepithelial lesion after injection of diluted adrenaline</w:t>
      </w:r>
      <w:r w:rsidR="00E17111">
        <w:rPr>
          <w:rFonts w:ascii="Book Antiqua" w:eastAsiaTheme="minorEastAsia" w:hAnsi="Book Antiqua" w:hint="eastAsia"/>
          <w:color w:val="auto"/>
        </w:rPr>
        <w:t>;</w:t>
      </w:r>
      <w:r w:rsidR="00E17111">
        <w:rPr>
          <w:rFonts w:ascii="Book Antiqua" w:eastAsiaTheme="minorEastAsia" w:hAnsi="Book Antiqua" w:cs="Book Antiqua" w:hint="eastAsia"/>
          <w:color w:val="auto"/>
        </w:rPr>
        <w:t xml:space="preserve"> </w:t>
      </w:r>
      <w:r w:rsidRPr="005D2C0B">
        <w:rPr>
          <w:rFonts w:ascii="Book Antiqua" w:hAnsi="Book Antiqua"/>
          <w:color w:val="auto"/>
        </w:rPr>
        <w:t xml:space="preserve">D: Resected area after </w:t>
      </w:r>
      <w:r w:rsidR="00E17111" w:rsidRPr="005D2C0B">
        <w:rPr>
          <w:rFonts w:ascii="Book Antiqua" w:hAnsi="Book Antiqua"/>
          <w:color w:val="auto"/>
        </w:rPr>
        <w:t>endoscopic mucosal resection</w:t>
      </w:r>
      <w:r w:rsidR="00E17111">
        <w:rPr>
          <w:rFonts w:ascii="Book Antiqua" w:eastAsiaTheme="minorEastAsia" w:hAnsi="Book Antiqua" w:hint="eastAsia"/>
          <w:color w:val="auto"/>
        </w:rPr>
        <w:t>;</w:t>
      </w:r>
      <w:r w:rsidR="00E17111">
        <w:rPr>
          <w:rFonts w:ascii="Book Antiqua" w:eastAsiaTheme="minorEastAsia" w:hAnsi="Book Antiqua" w:cs="Book Antiqua" w:hint="eastAsia"/>
          <w:color w:val="auto"/>
        </w:rPr>
        <w:t xml:space="preserve"> </w:t>
      </w:r>
      <w:r w:rsidRPr="005D2C0B">
        <w:rPr>
          <w:rFonts w:ascii="Book Antiqua" w:hAnsi="Book Antiqua"/>
          <w:color w:val="auto"/>
        </w:rPr>
        <w:t>E: Closure of the resected area with clips</w:t>
      </w:r>
      <w:r w:rsidR="00E17111">
        <w:rPr>
          <w:rFonts w:ascii="Book Antiqua" w:eastAsiaTheme="minorEastAsia" w:hAnsi="Book Antiqua" w:hint="eastAsia"/>
          <w:color w:val="auto"/>
        </w:rPr>
        <w:t>;</w:t>
      </w:r>
      <w:r w:rsidR="00E17111">
        <w:rPr>
          <w:rFonts w:ascii="Book Antiqua" w:eastAsiaTheme="minorEastAsia" w:hAnsi="Book Antiqua" w:cs="Book Antiqua" w:hint="eastAsia"/>
          <w:color w:val="auto"/>
        </w:rPr>
        <w:t xml:space="preserve"> </w:t>
      </w:r>
      <w:r w:rsidRPr="005D2C0B">
        <w:rPr>
          <w:rFonts w:ascii="Book Antiqua" w:hAnsi="Book Antiqua"/>
          <w:color w:val="auto"/>
        </w:rPr>
        <w:t xml:space="preserve">F: Lesion resected </w:t>
      </w:r>
      <w:r w:rsidRPr="00E17111">
        <w:rPr>
          <w:rFonts w:ascii="Book Antiqua" w:hAnsi="Book Antiqua"/>
          <w:i/>
          <w:color w:val="auto"/>
        </w:rPr>
        <w:t>en bloc</w:t>
      </w:r>
      <w:r w:rsidRPr="005D2C0B">
        <w:rPr>
          <w:rFonts w:ascii="Book Antiqua" w:hAnsi="Book Antiqua"/>
          <w:color w:val="auto"/>
        </w:rPr>
        <w:t>. Histology revealed a well-differentiated tubular ad</w:t>
      </w:r>
      <w:r w:rsidRPr="005D2C0B">
        <w:rPr>
          <w:rFonts w:ascii="Book Antiqua" w:hAnsi="Book Antiqua"/>
          <w:color w:val="auto"/>
        </w:rPr>
        <w:t>e</w:t>
      </w:r>
      <w:r w:rsidRPr="005D2C0B">
        <w:rPr>
          <w:rFonts w:ascii="Book Antiqua" w:hAnsi="Book Antiqua"/>
          <w:color w:val="auto"/>
        </w:rPr>
        <w:t>nocarcinoma limited to the mucosa, with 7</w:t>
      </w:r>
      <w:r w:rsidR="00E17111">
        <w:rPr>
          <w:rFonts w:ascii="Book Antiqua" w:eastAsiaTheme="minorEastAsia" w:hAnsi="Book Antiqua" w:hint="eastAsia"/>
          <w:color w:val="auto"/>
        </w:rPr>
        <w:t xml:space="preserve"> </w:t>
      </w:r>
      <w:r w:rsidR="00E17111" w:rsidRPr="005D2C0B">
        <w:rPr>
          <w:rFonts w:ascii="Book Antiqua" w:hAnsi="Book Antiqua"/>
          <w:color w:val="auto"/>
        </w:rPr>
        <w:t xml:space="preserve">mm </w:t>
      </w:r>
      <w:r w:rsidR="00E17111" w:rsidRPr="009D014F">
        <w:rPr>
          <w:rFonts w:ascii="Book Antiqua" w:hAnsi="Book Antiqua" w:cs="Times New Roman"/>
        </w:rPr>
        <w:t>×</w:t>
      </w:r>
      <w:r w:rsidR="00E17111">
        <w:rPr>
          <w:rFonts w:ascii="Book Antiqua" w:eastAsiaTheme="minorEastAsia" w:hAnsi="Book Antiqua" w:hint="eastAsia"/>
          <w:color w:val="auto"/>
        </w:rPr>
        <w:t xml:space="preserve"> </w:t>
      </w:r>
      <w:r w:rsidRPr="005D2C0B">
        <w:rPr>
          <w:rFonts w:ascii="Book Antiqua" w:hAnsi="Book Antiqua"/>
          <w:color w:val="auto"/>
        </w:rPr>
        <w:t>8</w:t>
      </w:r>
      <w:r w:rsidR="00E17111">
        <w:rPr>
          <w:rFonts w:ascii="Book Antiqua" w:eastAsiaTheme="minorEastAsia" w:hAnsi="Book Antiqua" w:hint="eastAsia"/>
          <w:color w:val="auto"/>
        </w:rPr>
        <w:t xml:space="preserve"> </w:t>
      </w:r>
      <w:r w:rsidRPr="005D2C0B">
        <w:rPr>
          <w:rFonts w:ascii="Book Antiqua" w:hAnsi="Book Antiqua"/>
          <w:color w:val="auto"/>
        </w:rPr>
        <w:t>mm, without lymphatic or vascular invasion.</w:t>
      </w:r>
    </w:p>
    <w:p w14:paraId="38D2A996" w14:textId="36C342B9" w:rsidR="00792914" w:rsidRPr="00E17111" w:rsidRDefault="00792914" w:rsidP="00A9024E">
      <w:pPr>
        <w:pStyle w:val="BodyA"/>
        <w:spacing w:line="360" w:lineRule="auto"/>
        <w:jc w:val="both"/>
        <w:rPr>
          <w:rFonts w:ascii="Book Antiqua" w:eastAsia="Book Antiqua" w:hAnsi="Book Antiqua" w:cs="Book Antiqua"/>
          <w:color w:val="auto"/>
        </w:rPr>
      </w:pPr>
    </w:p>
    <w:p w14:paraId="04C0BB95" w14:textId="5275393D" w:rsidR="00792914" w:rsidRPr="005D2C0B" w:rsidRDefault="00E17111" w:rsidP="00A9024E">
      <w:pPr>
        <w:pStyle w:val="BodyA"/>
        <w:spacing w:line="360" w:lineRule="auto"/>
        <w:jc w:val="both"/>
        <w:rPr>
          <w:rFonts w:ascii="Book Antiqua" w:eastAsia="Book Antiqua" w:hAnsi="Book Antiqua" w:cs="Book Antiqua"/>
          <w:color w:val="auto"/>
        </w:rPr>
      </w:pPr>
      <w:r>
        <w:rPr>
          <w:rFonts w:ascii="Book Antiqua" w:eastAsia="Book Antiqua" w:hAnsi="Book Antiqua" w:cs="Book Antiqua"/>
          <w:noProof/>
          <w:color w:val="auto"/>
          <w:lang w:eastAsia="en-US"/>
        </w:rPr>
        <w:drawing>
          <wp:inline distT="0" distB="0" distL="0" distR="0" wp14:anchorId="799D5FEC" wp14:editId="5F46F017">
            <wp:extent cx="5270500" cy="3114659"/>
            <wp:effectExtent l="0" t="0" r="6350" b="0"/>
            <wp:docPr id="2" name="图片 2" descr="C:\Users\Administrator.PC--20130702KXV\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PC--20130702KXV\Desktop\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500" cy="3114659"/>
                    </a:xfrm>
                    <a:prstGeom prst="rect">
                      <a:avLst/>
                    </a:prstGeom>
                    <a:noFill/>
                    <a:ln>
                      <a:noFill/>
                    </a:ln>
                  </pic:spPr>
                </pic:pic>
              </a:graphicData>
            </a:graphic>
          </wp:inline>
        </w:drawing>
      </w:r>
    </w:p>
    <w:p w14:paraId="1EBBA86C" w14:textId="79290D94" w:rsidR="00792914" w:rsidRPr="00E17111" w:rsidRDefault="00514CDD" w:rsidP="00E17111">
      <w:pPr>
        <w:pStyle w:val="BodyA"/>
        <w:spacing w:line="360" w:lineRule="auto"/>
        <w:jc w:val="both"/>
        <w:rPr>
          <w:rFonts w:ascii="Book Antiqua" w:hAnsi="Book Antiqua"/>
          <w:b/>
          <w:color w:val="auto"/>
        </w:rPr>
      </w:pPr>
      <w:r w:rsidRPr="00E17111">
        <w:rPr>
          <w:rFonts w:ascii="Book Antiqua" w:hAnsi="Book Antiqua"/>
          <w:b/>
          <w:color w:val="auto"/>
        </w:rPr>
        <w:t>Figure 2</w:t>
      </w:r>
      <w:r w:rsidR="00E17111" w:rsidRPr="00E17111">
        <w:rPr>
          <w:rFonts w:ascii="Book Antiqua" w:eastAsiaTheme="minorEastAsia" w:hAnsi="Book Antiqua" w:hint="eastAsia"/>
          <w:b/>
          <w:color w:val="auto"/>
        </w:rPr>
        <w:t xml:space="preserve"> </w:t>
      </w:r>
      <w:r w:rsidR="00777F70" w:rsidRPr="00E17111">
        <w:rPr>
          <w:rFonts w:ascii="Book Antiqua" w:hAnsi="Book Antiqua"/>
          <w:b/>
          <w:color w:val="auto"/>
        </w:rPr>
        <w:t>Endoscopic resection of a sporadic neoplastic lesion in the duod</w:t>
      </w:r>
      <w:r w:rsidR="00777F70" w:rsidRPr="00E17111">
        <w:rPr>
          <w:rFonts w:ascii="Book Antiqua" w:hAnsi="Book Antiqua"/>
          <w:b/>
          <w:color w:val="auto"/>
        </w:rPr>
        <w:t>e</w:t>
      </w:r>
      <w:r w:rsidR="00777F70" w:rsidRPr="00E17111">
        <w:rPr>
          <w:rFonts w:ascii="Book Antiqua" w:hAnsi="Book Antiqua"/>
          <w:b/>
          <w:color w:val="auto"/>
        </w:rPr>
        <w:t>num using endoscopic submucosal dissection technique.</w:t>
      </w:r>
      <w:r w:rsidR="00E17111">
        <w:rPr>
          <w:rFonts w:ascii="Book Antiqua" w:eastAsiaTheme="minorEastAsia" w:hAnsi="Book Antiqua" w:hint="eastAsia"/>
          <w:b/>
          <w:color w:val="auto"/>
        </w:rPr>
        <w:t xml:space="preserve"> </w:t>
      </w:r>
      <w:r w:rsidRPr="005D2C0B">
        <w:rPr>
          <w:rFonts w:ascii="Book Antiqua" w:hAnsi="Book Antiqua"/>
          <w:color w:val="auto"/>
        </w:rPr>
        <w:t>A: Flat lesion in the descending duodenum seen with white light (type 0-IIa of the Paris class</w:t>
      </w:r>
      <w:r w:rsidRPr="005D2C0B">
        <w:rPr>
          <w:rFonts w:ascii="Book Antiqua" w:hAnsi="Book Antiqua"/>
          <w:color w:val="auto"/>
        </w:rPr>
        <w:t>i</w:t>
      </w:r>
      <w:r w:rsidRPr="005D2C0B">
        <w:rPr>
          <w:rFonts w:ascii="Book Antiqua" w:hAnsi="Book Antiqua"/>
          <w:color w:val="auto"/>
        </w:rPr>
        <w:t>fication)</w:t>
      </w:r>
      <w:r w:rsidR="00E17111">
        <w:rPr>
          <w:rFonts w:ascii="Book Antiqua" w:eastAsiaTheme="minorEastAsia" w:hAnsi="Book Antiqua" w:hint="eastAsia"/>
          <w:color w:val="auto"/>
        </w:rPr>
        <w:t>;</w:t>
      </w:r>
      <w:r w:rsidR="00E17111">
        <w:rPr>
          <w:rFonts w:ascii="Book Antiqua" w:eastAsiaTheme="minorEastAsia" w:hAnsi="Book Antiqua" w:cs="Book Antiqua" w:hint="eastAsia"/>
          <w:color w:val="auto"/>
        </w:rPr>
        <w:t xml:space="preserve"> </w:t>
      </w:r>
      <w:r w:rsidRPr="005D2C0B">
        <w:rPr>
          <w:rFonts w:ascii="Book Antiqua" w:hAnsi="Book Antiqua"/>
          <w:color w:val="auto"/>
        </w:rPr>
        <w:t>B: Same lesion after chromoendoscopy with indigo carmine</w:t>
      </w:r>
      <w:r w:rsidR="00E17111">
        <w:rPr>
          <w:rFonts w:ascii="Book Antiqua" w:eastAsiaTheme="minorEastAsia" w:hAnsi="Book Antiqua" w:hint="eastAsia"/>
          <w:color w:val="auto"/>
        </w:rPr>
        <w:t>;</w:t>
      </w:r>
      <w:r w:rsidR="00E17111">
        <w:rPr>
          <w:rFonts w:ascii="Book Antiqua" w:eastAsiaTheme="minorEastAsia" w:hAnsi="Book Antiqua" w:cs="Book Antiqua" w:hint="eastAsia"/>
          <w:color w:val="auto"/>
        </w:rPr>
        <w:t xml:space="preserve"> </w:t>
      </w:r>
      <w:r w:rsidRPr="005D2C0B">
        <w:rPr>
          <w:rFonts w:ascii="Book Antiqua" w:hAnsi="Book Antiqua"/>
          <w:color w:val="auto"/>
        </w:rPr>
        <w:t>C: Pa</w:t>
      </w:r>
      <w:r w:rsidRPr="005D2C0B">
        <w:rPr>
          <w:rFonts w:ascii="Book Antiqua" w:hAnsi="Book Antiqua"/>
          <w:color w:val="auto"/>
        </w:rPr>
        <w:t>r</w:t>
      </w:r>
      <w:r w:rsidRPr="005D2C0B">
        <w:rPr>
          <w:rFonts w:ascii="Book Antiqua" w:hAnsi="Book Antiqua"/>
          <w:color w:val="auto"/>
        </w:rPr>
        <w:t xml:space="preserve">tial dissection with </w:t>
      </w:r>
      <w:r w:rsidR="00E17111" w:rsidRPr="005D2C0B">
        <w:rPr>
          <w:rFonts w:ascii="Book Antiqua" w:hAnsi="Book Antiqua"/>
          <w:color w:val="auto"/>
        </w:rPr>
        <w:t>endoscopic submucosal dissection</w:t>
      </w:r>
      <w:r w:rsidR="00E17111">
        <w:rPr>
          <w:rFonts w:ascii="Book Antiqua" w:eastAsiaTheme="minorEastAsia" w:hAnsi="Book Antiqua" w:hint="eastAsia"/>
          <w:color w:val="auto"/>
        </w:rPr>
        <w:t>;</w:t>
      </w:r>
      <w:r w:rsidR="00E17111">
        <w:rPr>
          <w:rFonts w:ascii="Book Antiqua" w:eastAsiaTheme="minorEastAsia" w:hAnsi="Book Antiqua" w:cs="Book Antiqua" w:hint="eastAsia"/>
          <w:color w:val="auto"/>
        </w:rPr>
        <w:t xml:space="preserve"> </w:t>
      </w:r>
      <w:r w:rsidRPr="005D2C0B">
        <w:rPr>
          <w:rFonts w:ascii="Book Antiqua" w:hAnsi="Book Antiqua"/>
          <w:color w:val="auto"/>
        </w:rPr>
        <w:t>D: Dissection plan where the submucosal layer and the partially dissected lesion can be seen</w:t>
      </w:r>
      <w:r w:rsidR="00E17111">
        <w:rPr>
          <w:rFonts w:ascii="Book Antiqua" w:eastAsiaTheme="minorEastAsia" w:hAnsi="Book Antiqua" w:hint="eastAsia"/>
          <w:color w:val="auto"/>
        </w:rPr>
        <w:t>;</w:t>
      </w:r>
      <w:r w:rsidR="00E17111">
        <w:rPr>
          <w:rFonts w:ascii="Book Antiqua" w:eastAsiaTheme="minorEastAsia" w:hAnsi="Book Antiqua" w:cs="Book Antiqua" w:hint="eastAsia"/>
          <w:color w:val="auto"/>
        </w:rPr>
        <w:t xml:space="preserve"> </w:t>
      </w:r>
      <w:r w:rsidRPr="005D2C0B">
        <w:rPr>
          <w:rFonts w:ascii="Book Antiqua" w:hAnsi="Book Antiqua"/>
          <w:color w:val="auto"/>
        </w:rPr>
        <w:t>E: Dissected area</w:t>
      </w:r>
      <w:r w:rsidR="00E17111">
        <w:rPr>
          <w:rFonts w:ascii="Book Antiqua" w:eastAsiaTheme="minorEastAsia" w:hAnsi="Book Antiqua" w:hint="eastAsia"/>
          <w:color w:val="auto"/>
        </w:rPr>
        <w:t>;</w:t>
      </w:r>
      <w:r w:rsidR="00E17111">
        <w:rPr>
          <w:rFonts w:ascii="Book Antiqua" w:eastAsiaTheme="minorEastAsia" w:hAnsi="Book Antiqua" w:cs="Book Antiqua" w:hint="eastAsia"/>
          <w:color w:val="auto"/>
        </w:rPr>
        <w:t xml:space="preserve"> </w:t>
      </w:r>
      <w:r w:rsidRPr="005D2C0B">
        <w:rPr>
          <w:rFonts w:ascii="Book Antiqua" w:hAnsi="Book Antiqua"/>
          <w:color w:val="auto"/>
        </w:rPr>
        <w:t xml:space="preserve">F: </w:t>
      </w:r>
      <w:r w:rsidRPr="00E17111">
        <w:rPr>
          <w:rFonts w:ascii="Book Antiqua" w:hAnsi="Book Antiqua"/>
          <w:i/>
          <w:color w:val="auto"/>
        </w:rPr>
        <w:t>En bloc</w:t>
      </w:r>
      <w:r w:rsidRPr="005D2C0B">
        <w:rPr>
          <w:rFonts w:ascii="Book Antiqua" w:hAnsi="Book Antiqua"/>
          <w:color w:val="auto"/>
        </w:rPr>
        <w:t xml:space="preserve"> dissected lesion. Histology revealed a well-differentiated adenocarcinoma limited to the mucosa, 40</w:t>
      </w:r>
      <w:r w:rsidR="00E17111" w:rsidRPr="00E17111">
        <w:rPr>
          <w:rFonts w:ascii="Book Antiqua" w:hAnsi="Book Antiqua"/>
          <w:color w:val="auto"/>
        </w:rPr>
        <w:t xml:space="preserve"> </w:t>
      </w:r>
      <w:r w:rsidR="00E17111" w:rsidRPr="005D2C0B">
        <w:rPr>
          <w:rFonts w:ascii="Book Antiqua" w:hAnsi="Book Antiqua"/>
          <w:color w:val="auto"/>
        </w:rPr>
        <w:t xml:space="preserve">mm </w:t>
      </w:r>
      <w:r w:rsidR="00E17111" w:rsidRPr="009D014F">
        <w:rPr>
          <w:rFonts w:ascii="Book Antiqua" w:hAnsi="Book Antiqua" w:cs="Times New Roman"/>
        </w:rPr>
        <w:t>×</w:t>
      </w:r>
      <w:r w:rsidR="00E17111">
        <w:rPr>
          <w:rFonts w:ascii="Book Antiqua" w:eastAsiaTheme="minorEastAsia" w:hAnsi="Book Antiqua" w:hint="eastAsia"/>
          <w:color w:val="auto"/>
        </w:rPr>
        <w:t xml:space="preserve"> 32 </w:t>
      </w:r>
      <w:r w:rsidR="00E17111" w:rsidRPr="005D2C0B">
        <w:rPr>
          <w:rFonts w:ascii="Book Antiqua" w:hAnsi="Book Antiqua"/>
          <w:color w:val="auto"/>
        </w:rPr>
        <w:t>mm</w:t>
      </w:r>
      <w:r w:rsidRPr="005D2C0B">
        <w:rPr>
          <w:rFonts w:ascii="Book Antiqua" w:hAnsi="Book Antiqua"/>
          <w:color w:val="auto"/>
        </w:rPr>
        <w:t>, wit</w:t>
      </w:r>
      <w:r w:rsidRPr="005D2C0B">
        <w:rPr>
          <w:rFonts w:ascii="Book Antiqua" w:hAnsi="Book Antiqua"/>
          <w:color w:val="auto"/>
        </w:rPr>
        <w:t>h</w:t>
      </w:r>
      <w:r w:rsidRPr="005D2C0B">
        <w:rPr>
          <w:rFonts w:ascii="Book Antiqua" w:hAnsi="Book Antiqua"/>
          <w:color w:val="auto"/>
        </w:rPr>
        <w:t>out lymphatic or vascular invasion.</w:t>
      </w:r>
    </w:p>
    <w:p w14:paraId="2038ED09" w14:textId="77777777" w:rsidR="00792914" w:rsidRPr="00E17111" w:rsidRDefault="00792914" w:rsidP="00A9024E">
      <w:pPr>
        <w:pStyle w:val="BodyA"/>
        <w:spacing w:line="360" w:lineRule="auto"/>
        <w:jc w:val="both"/>
        <w:rPr>
          <w:rFonts w:ascii="Book Antiqua" w:eastAsia="Book Antiqua" w:hAnsi="Book Antiqua" w:cs="Book Antiqua"/>
          <w:color w:val="auto"/>
        </w:rPr>
      </w:pPr>
    </w:p>
    <w:p w14:paraId="2E1E0662" w14:textId="36FAD0A4" w:rsidR="00792914" w:rsidRPr="005D2C0B" w:rsidRDefault="00792914" w:rsidP="00A9024E">
      <w:pPr>
        <w:pStyle w:val="BodyA"/>
        <w:spacing w:line="360" w:lineRule="auto"/>
        <w:jc w:val="both"/>
        <w:rPr>
          <w:rFonts w:ascii="Book Antiqua" w:hAnsi="Book Antiqua"/>
          <w:color w:val="auto"/>
        </w:rPr>
      </w:pPr>
    </w:p>
    <w:sectPr w:rsidR="00792914" w:rsidRPr="005D2C0B">
      <w:footerReference w:type="default" r:id="rId11"/>
      <w:pgSz w:w="11900" w:h="16840"/>
      <w:pgMar w:top="1440" w:right="1800" w:bottom="1440" w:left="1800" w:header="708" w:footer="708"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A0AAAF" w14:textId="77777777" w:rsidR="009B63D7" w:rsidRDefault="009B63D7">
      <w:r>
        <w:separator/>
      </w:r>
    </w:p>
  </w:endnote>
  <w:endnote w:type="continuationSeparator" w:id="0">
    <w:p w14:paraId="4DD8D1E0" w14:textId="77777777" w:rsidR="009B63D7" w:rsidRDefault="009B63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 Antiqua">
    <w:panose1 w:val="02040602050305030304"/>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宋体">
    <w:charset w:val="50"/>
    <w:family w:val="auto"/>
    <w:pitch w:val="variable"/>
    <w:sig w:usb0="00000001" w:usb1="080E0000" w:usb2="00000010" w:usb3="00000000" w:csb0="00040000"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Cambria">
    <w:panose1 w:val="02040503050406030204"/>
    <w:charset w:val="00"/>
    <w:family w:val="auto"/>
    <w:pitch w:val="variable"/>
    <w:sig w:usb0="E00002FF" w:usb1="400004FF" w:usb2="00000000" w:usb3="00000000" w:csb0="0000019F" w:csb1="00000000"/>
  </w:font>
  <w:font w:name="Courier New">
    <w:panose1 w:val="02070309020205020404"/>
    <w:charset w:val="00"/>
    <w:family w:val="auto"/>
    <w:pitch w:val="variable"/>
    <w:sig w:usb0="E0002AFF" w:usb1="C0007843" w:usb2="00000009" w:usb3="00000000" w:csb0="000001FF" w:csb1="00000000"/>
  </w:font>
  <w:font w:name="Garamond">
    <w:panose1 w:val="02020404030301010803"/>
    <w:charset w:val="00"/>
    <w:family w:val="auto"/>
    <w:pitch w:val="variable"/>
    <w:sig w:usb0="00000003" w:usb1="00000000" w:usb2="00000000" w:usb3="00000000" w:csb0="00000001"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黑体">
    <w:altName w:val="Arial Unicode MS"/>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E9A48E" w14:textId="77777777" w:rsidR="00866987" w:rsidRDefault="00866987">
    <w:pPr>
      <w:pStyle w:val="Footer"/>
      <w:tabs>
        <w:tab w:val="clear" w:pos="8640"/>
        <w:tab w:val="right" w:pos="8280"/>
      </w:tabs>
      <w:jc w:val="right"/>
    </w:pPr>
    <w:r>
      <w:fldChar w:fldCharType="begin"/>
    </w:r>
    <w:r>
      <w:instrText xml:space="preserve"> PAGE </w:instrText>
    </w:r>
    <w:r>
      <w:fldChar w:fldCharType="separate"/>
    </w:r>
    <w:r w:rsidR="00610CEE">
      <w:rPr>
        <w:noProof/>
      </w:rPr>
      <w:t>1</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944EDC" w14:textId="77777777" w:rsidR="009B63D7" w:rsidRDefault="009B63D7">
      <w:r>
        <w:separator/>
      </w:r>
    </w:p>
  </w:footnote>
  <w:footnote w:type="continuationSeparator" w:id="0">
    <w:p w14:paraId="706B6C83" w14:textId="77777777" w:rsidR="009B63D7" w:rsidRDefault="009B63D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492108"/>
    <w:multiLevelType w:val="multilevel"/>
    <w:tmpl w:val="EE4ED536"/>
    <w:lvl w:ilvl="0">
      <w:start w:val="1"/>
      <w:numFmt w:val="bullet"/>
      <w:lvlText w:val="*"/>
      <w:lvlJc w:val="left"/>
      <w:pPr>
        <w:tabs>
          <w:tab w:val="num" w:pos="196"/>
        </w:tabs>
        <w:ind w:left="196" w:hanging="196"/>
      </w:pPr>
      <w:rPr>
        <w:rFonts w:ascii="Book Antiqua" w:eastAsia="Book Antiqua" w:hAnsi="Book Antiqua" w:cs="Book Antiqua"/>
        <w:position w:val="-2"/>
        <w:sz w:val="24"/>
        <w:szCs w:val="24"/>
        <w:rtl w:val="0"/>
        <w:lang w:val="en-US"/>
      </w:rPr>
    </w:lvl>
    <w:lvl w:ilvl="1">
      <w:start w:val="1"/>
      <w:numFmt w:val="bullet"/>
      <w:lvlText w:val="*"/>
      <w:lvlJc w:val="left"/>
      <w:pPr>
        <w:tabs>
          <w:tab w:val="num" w:pos="376"/>
        </w:tabs>
        <w:ind w:left="376" w:hanging="196"/>
      </w:pPr>
      <w:rPr>
        <w:rFonts w:ascii="Book Antiqua" w:eastAsia="Book Antiqua" w:hAnsi="Book Antiqua" w:cs="Book Antiqua"/>
        <w:position w:val="-2"/>
        <w:sz w:val="24"/>
        <w:szCs w:val="24"/>
        <w:rtl w:val="0"/>
        <w:lang w:val="en-US"/>
      </w:rPr>
    </w:lvl>
    <w:lvl w:ilvl="2">
      <w:start w:val="1"/>
      <w:numFmt w:val="bullet"/>
      <w:lvlText w:val="*"/>
      <w:lvlJc w:val="left"/>
      <w:pPr>
        <w:tabs>
          <w:tab w:val="num" w:pos="556"/>
        </w:tabs>
        <w:ind w:left="556" w:hanging="196"/>
      </w:pPr>
      <w:rPr>
        <w:rFonts w:ascii="Book Antiqua" w:eastAsia="Book Antiqua" w:hAnsi="Book Antiqua" w:cs="Book Antiqua"/>
        <w:position w:val="-2"/>
        <w:sz w:val="24"/>
        <w:szCs w:val="24"/>
        <w:rtl w:val="0"/>
        <w:lang w:val="en-US"/>
      </w:rPr>
    </w:lvl>
    <w:lvl w:ilvl="3">
      <w:start w:val="1"/>
      <w:numFmt w:val="bullet"/>
      <w:lvlText w:val="*"/>
      <w:lvlJc w:val="left"/>
      <w:pPr>
        <w:tabs>
          <w:tab w:val="num" w:pos="736"/>
        </w:tabs>
        <w:ind w:left="736" w:hanging="196"/>
      </w:pPr>
      <w:rPr>
        <w:rFonts w:ascii="Book Antiqua" w:eastAsia="Book Antiqua" w:hAnsi="Book Antiqua" w:cs="Book Antiqua"/>
        <w:position w:val="-2"/>
        <w:sz w:val="24"/>
        <w:szCs w:val="24"/>
        <w:rtl w:val="0"/>
        <w:lang w:val="en-US"/>
      </w:rPr>
    </w:lvl>
    <w:lvl w:ilvl="4">
      <w:start w:val="1"/>
      <w:numFmt w:val="bullet"/>
      <w:lvlText w:val="*"/>
      <w:lvlJc w:val="left"/>
      <w:pPr>
        <w:tabs>
          <w:tab w:val="num" w:pos="916"/>
        </w:tabs>
        <w:ind w:left="916" w:hanging="196"/>
      </w:pPr>
      <w:rPr>
        <w:rFonts w:ascii="Book Antiqua" w:eastAsia="Book Antiqua" w:hAnsi="Book Antiqua" w:cs="Book Antiqua"/>
        <w:position w:val="-2"/>
        <w:sz w:val="24"/>
        <w:szCs w:val="24"/>
        <w:rtl w:val="0"/>
        <w:lang w:val="en-US"/>
      </w:rPr>
    </w:lvl>
    <w:lvl w:ilvl="5">
      <w:start w:val="1"/>
      <w:numFmt w:val="bullet"/>
      <w:lvlText w:val="*"/>
      <w:lvlJc w:val="left"/>
      <w:pPr>
        <w:tabs>
          <w:tab w:val="num" w:pos="1096"/>
        </w:tabs>
        <w:ind w:left="1096" w:hanging="196"/>
      </w:pPr>
      <w:rPr>
        <w:rFonts w:ascii="Book Antiqua" w:eastAsia="Book Antiqua" w:hAnsi="Book Antiqua" w:cs="Book Antiqua"/>
        <w:position w:val="-2"/>
        <w:sz w:val="24"/>
        <w:szCs w:val="24"/>
        <w:rtl w:val="0"/>
        <w:lang w:val="en-US"/>
      </w:rPr>
    </w:lvl>
    <w:lvl w:ilvl="6">
      <w:start w:val="1"/>
      <w:numFmt w:val="bullet"/>
      <w:lvlText w:val="*"/>
      <w:lvlJc w:val="left"/>
      <w:pPr>
        <w:tabs>
          <w:tab w:val="num" w:pos="1276"/>
        </w:tabs>
        <w:ind w:left="1276" w:hanging="196"/>
      </w:pPr>
      <w:rPr>
        <w:rFonts w:ascii="Book Antiqua" w:eastAsia="Book Antiqua" w:hAnsi="Book Antiqua" w:cs="Book Antiqua"/>
        <w:position w:val="-2"/>
        <w:sz w:val="24"/>
        <w:szCs w:val="24"/>
        <w:rtl w:val="0"/>
        <w:lang w:val="en-US"/>
      </w:rPr>
    </w:lvl>
    <w:lvl w:ilvl="7">
      <w:start w:val="1"/>
      <w:numFmt w:val="bullet"/>
      <w:lvlText w:val="*"/>
      <w:lvlJc w:val="left"/>
      <w:pPr>
        <w:tabs>
          <w:tab w:val="num" w:pos="1456"/>
        </w:tabs>
        <w:ind w:left="1456" w:hanging="196"/>
      </w:pPr>
      <w:rPr>
        <w:rFonts w:ascii="Book Antiqua" w:eastAsia="Book Antiqua" w:hAnsi="Book Antiqua" w:cs="Book Antiqua"/>
        <w:position w:val="-2"/>
        <w:sz w:val="24"/>
        <w:szCs w:val="24"/>
        <w:rtl w:val="0"/>
        <w:lang w:val="en-US"/>
      </w:rPr>
    </w:lvl>
    <w:lvl w:ilvl="8">
      <w:start w:val="1"/>
      <w:numFmt w:val="bullet"/>
      <w:lvlText w:val="*"/>
      <w:lvlJc w:val="left"/>
      <w:pPr>
        <w:tabs>
          <w:tab w:val="num" w:pos="1636"/>
        </w:tabs>
        <w:ind w:left="1636" w:hanging="196"/>
      </w:pPr>
      <w:rPr>
        <w:rFonts w:ascii="Book Antiqua" w:eastAsia="Book Antiqua" w:hAnsi="Book Antiqua" w:cs="Book Antiqua"/>
        <w:position w:val="-2"/>
        <w:sz w:val="24"/>
        <w:szCs w:val="24"/>
        <w:rtl w:val="0"/>
        <w:lang w:val="en-US"/>
      </w:rPr>
    </w:lvl>
  </w:abstractNum>
  <w:abstractNum w:abstractNumId="1">
    <w:nsid w:val="22781A68"/>
    <w:multiLevelType w:val="multilevel"/>
    <w:tmpl w:val="9ED24D42"/>
    <w:styleLink w:val="List0"/>
    <w:lvl w:ilvl="0">
      <w:numFmt w:val="bullet"/>
      <w:lvlText w:val="*"/>
      <w:lvlJc w:val="left"/>
      <w:pPr>
        <w:tabs>
          <w:tab w:val="num" w:pos="196"/>
        </w:tabs>
        <w:ind w:left="196" w:hanging="196"/>
      </w:pPr>
      <w:rPr>
        <w:rFonts w:ascii="Book Antiqua" w:eastAsia="Book Antiqua" w:hAnsi="Book Antiqua" w:cs="Book Antiqua"/>
        <w:position w:val="-2"/>
        <w:sz w:val="24"/>
        <w:szCs w:val="24"/>
        <w:rtl w:val="0"/>
        <w:lang w:val="en-US"/>
      </w:rPr>
    </w:lvl>
    <w:lvl w:ilvl="1">
      <w:start w:val="1"/>
      <w:numFmt w:val="bullet"/>
      <w:lvlText w:val="*"/>
      <w:lvlJc w:val="left"/>
      <w:pPr>
        <w:tabs>
          <w:tab w:val="num" w:pos="376"/>
        </w:tabs>
        <w:ind w:left="376" w:hanging="196"/>
      </w:pPr>
      <w:rPr>
        <w:rFonts w:ascii="Book Antiqua" w:eastAsia="Book Antiqua" w:hAnsi="Book Antiqua" w:cs="Book Antiqua"/>
        <w:position w:val="-2"/>
        <w:sz w:val="24"/>
        <w:szCs w:val="24"/>
        <w:rtl w:val="0"/>
        <w:lang w:val="en-US"/>
      </w:rPr>
    </w:lvl>
    <w:lvl w:ilvl="2">
      <w:start w:val="1"/>
      <w:numFmt w:val="bullet"/>
      <w:lvlText w:val="*"/>
      <w:lvlJc w:val="left"/>
      <w:pPr>
        <w:tabs>
          <w:tab w:val="num" w:pos="556"/>
        </w:tabs>
        <w:ind w:left="556" w:hanging="196"/>
      </w:pPr>
      <w:rPr>
        <w:rFonts w:ascii="Book Antiqua" w:eastAsia="Book Antiqua" w:hAnsi="Book Antiqua" w:cs="Book Antiqua"/>
        <w:position w:val="-2"/>
        <w:sz w:val="24"/>
        <w:szCs w:val="24"/>
        <w:rtl w:val="0"/>
        <w:lang w:val="en-US"/>
      </w:rPr>
    </w:lvl>
    <w:lvl w:ilvl="3">
      <w:start w:val="1"/>
      <w:numFmt w:val="bullet"/>
      <w:lvlText w:val="*"/>
      <w:lvlJc w:val="left"/>
      <w:pPr>
        <w:tabs>
          <w:tab w:val="num" w:pos="736"/>
        </w:tabs>
        <w:ind w:left="736" w:hanging="196"/>
      </w:pPr>
      <w:rPr>
        <w:rFonts w:ascii="Book Antiqua" w:eastAsia="Book Antiqua" w:hAnsi="Book Antiqua" w:cs="Book Antiqua"/>
        <w:position w:val="-2"/>
        <w:sz w:val="24"/>
        <w:szCs w:val="24"/>
        <w:rtl w:val="0"/>
        <w:lang w:val="en-US"/>
      </w:rPr>
    </w:lvl>
    <w:lvl w:ilvl="4">
      <w:start w:val="1"/>
      <w:numFmt w:val="bullet"/>
      <w:lvlText w:val="*"/>
      <w:lvlJc w:val="left"/>
      <w:pPr>
        <w:tabs>
          <w:tab w:val="num" w:pos="916"/>
        </w:tabs>
        <w:ind w:left="916" w:hanging="196"/>
      </w:pPr>
      <w:rPr>
        <w:rFonts w:ascii="Book Antiqua" w:eastAsia="Book Antiqua" w:hAnsi="Book Antiqua" w:cs="Book Antiqua"/>
        <w:position w:val="-2"/>
        <w:sz w:val="24"/>
        <w:szCs w:val="24"/>
        <w:rtl w:val="0"/>
        <w:lang w:val="en-US"/>
      </w:rPr>
    </w:lvl>
    <w:lvl w:ilvl="5">
      <w:start w:val="1"/>
      <w:numFmt w:val="bullet"/>
      <w:lvlText w:val="*"/>
      <w:lvlJc w:val="left"/>
      <w:pPr>
        <w:tabs>
          <w:tab w:val="num" w:pos="1096"/>
        </w:tabs>
        <w:ind w:left="1096" w:hanging="196"/>
      </w:pPr>
      <w:rPr>
        <w:rFonts w:ascii="Book Antiqua" w:eastAsia="Book Antiqua" w:hAnsi="Book Antiqua" w:cs="Book Antiqua"/>
        <w:position w:val="-2"/>
        <w:sz w:val="24"/>
        <w:szCs w:val="24"/>
        <w:rtl w:val="0"/>
        <w:lang w:val="en-US"/>
      </w:rPr>
    </w:lvl>
    <w:lvl w:ilvl="6">
      <w:start w:val="1"/>
      <w:numFmt w:val="bullet"/>
      <w:lvlText w:val="*"/>
      <w:lvlJc w:val="left"/>
      <w:pPr>
        <w:tabs>
          <w:tab w:val="num" w:pos="1276"/>
        </w:tabs>
        <w:ind w:left="1276" w:hanging="196"/>
      </w:pPr>
      <w:rPr>
        <w:rFonts w:ascii="Book Antiqua" w:eastAsia="Book Antiqua" w:hAnsi="Book Antiqua" w:cs="Book Antiqua"/>
        <w:position w:val="-2"/>
        <w:sz w:val="24"/>
        <w:szCs w:val="24"/>
        <w:rtl w:val="0"/>
        <w:lang w:val="en-US"/>
      </w:rPr>
    </w:lvl>
    <w:lvl w:ilvl="7">
      <w:start w:val="1"/>
      <w:numFmt w:val="bullet"/>
      <w:lvlText w:val="*"/>
      <w:lvlJc w:val="left"/>
      <w:pPr>
        <w:tabs>
          <w:tab w:val="num" w:pos="1456"/>
        </w:tabs>
        <w:ind w:left="1456" w:hanging="196"/>
      </w:pPr>
      <w:rPr>
        <w:rFonts w:ascii="Book Antiqua" w:eastAsia="Book Antiqua" w:hAnsi="Book Antiqua" w:cs="Book Antiqua"/>
        <w:position w:val="-2"/>
        <w:sz w:val="24"/>
        <w:szCs w:val="24"/>
        <w:rtl w:val="0"/>
        <w:lang w:val="en-US"/>
      </w:rPr>
    </w:lvl>
    <w:lvl w:ilvl="8">
      <w:start w:val="1"/>
      <w:numFmt w:val="bullet"/>
      <w:lvlText w:val="*"/>
      <w:lvlJc w:val="left"/>
      <w:pPr>
        <w:tabs>
          <w:tab w:val="num" w:pos="1636"/>
        </w:tabs>
        <w:ind w:left="1636" w:hanging="196"/>
      </w:pPr>
      <w:rPr>
        <w:rFonts w:ascii="Book Antiqua" w:eastAsia="Book Antiqua" w:hAnsi="Book Antiqua" w:cs="Book Antiqua"/>
        <w:position w:val="-2"/>
        <w:sz w:val="24"/>
        <w:szCs w:val="24"/>
        <w:rtl w:val="0"/>
        <w:lang w:val="en-US"/>
      </w:rPr>
    </w:lvl>
  </w:abstractNum>
  <w:abstractNum w:abstractNumId="2">
    <w:nsid w:val="7D237790"/>
    <w:multiLevelType w:val="multilevel"/>
    <w:tmpl w:val="6576F06E"/>
    <w:lvl w:ilvl="0">
      <w:start w:val="1"/>
      <w:numFmt w:val="bullet"/>
      <w:lvlText w:val="•"/>
      <w:lvlJc w:val="left"/>
      <w:rPr>
        <w:position w:val="-2"/>
      </w:rPr>
    </w:lvl>
    <w:lvl w:ilvl="1">
      <w:start w:val="1"/>
      <w:numFmt w:val="bullet"/>
      <w:lvlText w:val="•"/>
      <w:lvlJc w:val="left"/>
      <w:rPr>
        <w:position w:val="-2"/>
      </w:rPr>
    </w:lvl>
    <w:lvl w:ilvl="2">
      <w:start w:val="1"/>
      <w:numFmt w:val="bullet"/>
      <w:lvlText w:val="•"/>
      <w:lvlJc w:val="left"/>
      <w:rPr>
        <w:position w:val="-2"/>
      </w:rPr>
    </w:lvl>
    <w:lvl w:ilvl="3">
      <w:start w:val="1"/>
      <w:numFmt w:val="bullet"/>
      <w:lvlText w:val="•"/>
      <w:lvlJc w:val="left"/>
      <w:rPr>
        <w:position w:val="-2"/>
      </w:rPr>
    </w:lvl>
    <w:lvl w:ilvl="4">
      <w:start w:val="1"/>
      <w:numFmt w:val="bullet"/>
      <w:lvlText w:val="•"/>
      <w:lvlJc w:val="left"/>
      <w:rPr>
        <w:position w:val="-2"/>
      </w:rPr>
    </w:lvl>
    <w:lvl w:ilvl="5">
      <w:start w:val="1"/>
      <w:numFmt w:val="bullet"/>
      <w:lvlText w:val="•"/>
      <w:lvlJc w:val="left"/>
      <w:rPr>
        <w:position w:val="-2"/>
      </w:rPr>
    </w:lvl>
    <w:lvl w:ilvl="6">
      <w:start w:val="1"/>
      <w:numFmt w:val="bullet"/>
      <w:lvlText w:val="•"/>
      <w:lvlJc w:val="left"/>
      <w:rPr>
        <w:position w:val="-2"/>
      </w:rPr>
    </w:lvl>
    <w:lvl w:ilvl="7">
      <w:start w:val="1"/>
      <w:numFmt w:val="bullet"/>
      <w:lvlText w:val="•"/>
      <w:lvlJc w:val="left"/>
      <w:rPr>
        <w:position w:val="-2"/>
      </w:rPr>
    </w:lvl>
    <w:lvl w:ilvl="8">
      <w:start w:val="1"/>
      <w:numFmt w:val="bullet"/>
      <w:lvlText w:val="•"/>
      <w:lvlJc w:val="left"/>
      <w:rPr>
        <w:position w:val="-2"/>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720"/>
  <w:autoHyphenation/>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
  <w:rsids>
    <w:rsidRoot w:val="00792914"/>
    <w:rsid w:val="00071FD6"/>
    <w:rsid w:val="00144CEC"/>
    <w:rsid w:val="0020476C"/>
    <w:rsid w:val="002D3EFE"/>
    <w:rsid w:val="0037326C"/>
    <w:rsid w:val="00376C85"/>
    <w:rsid w:val="00514CDD"/>
    <w:rsid w:val="00525EC9"/>
    <w:rsid w:val="00572B8C"/>
    <w:rsid w:val="005D2C0B"/>
    <w:rsid w:val="00610CEE"/>
    <w:rsid w:val="0068056F"/>
    <w:rsid w:val="00732892"/>
    <w:rsid w:val="00777F70"/>
    <w:rsid w:val="00785221"/>
    <w:rsid w:val="00792914"/>
    <w:rsid w:val="007B56B8"/>
    <w:rsid w:val="00866987"/>
    <w:rsid w:val="00895AAB"/>
    <w:rsid w:val="008F6A82"/>
    <w:rsid w:val="00957136"/>
    <w:rsid w:val="009B63D7"/>
    <w:rsid w:val="00A23D70"/>
    <w:rsid w:val="00A65F4F"/>
    <w:rsid w:val="00A9024E"/>
    <w:rsid w:val="00BA7A8A"/>
    <w:rsid w:val="00C72F6F"/>
    <w:rsid w:val="00D01171"/>
    <w:rsid w:val="00E17111"/>
    <w:rsid w:val="00E87AAE"/>
    <w:rsid w:val="00F0631F"/>
    <w:rsid w:val="00FC1F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2B3B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eastAsia="en-US"/>
    </w:rPr>
  </w:style>
  <w:style w:type="paragraph" w:styleId="Heading3">
    <w:name w:val="heading 3"/>
    <w:basedOn w:val="Normal"/>
    <w:link w:val="Heading3Char"/>
    <w:uiPriority w:val="9"/>
    <w:qFormat/>
    <w:rsid w:val="007B56B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2"/>
    </w:pPr>
    <w:rPr>
      <w:rFonts w:ascii="Times" w:hAnsi="Times"/>
      <w:b/>
      <w:bCs/>
      <w:sz w:val="27"/>
      <w:szCs w:val="27"/>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styleId="Footer">
    <w:name w:val="footer"/>
    <w:pPr>
      <w:tabs>
        <w:tab w:val="center" w:pos="4320"/>
        <w:tab w:val="right" w:pos="8640"/>
      </w:tabs>
    </w:pPr>
    <w:rPr>
      <w:rFonts w:ascii="Cambria" w:eastAsia="Cambria" w:hAnsi="Cambria" w:cs="Cambria"/>
      <w:color w:val="000000"/>
      <w:sz w:val="24"/>
      <w:szCs w:val="24"/>
      <w:u w:color="000000"/>
      <w:lang w:val="pt-PT"/>
    </w:rPr>
  </w:style>
  <w:style w:type="paragraph" w:customStyle="1" w:styleId="BodyA">
    <w:name w:val="Body A"/>
    <w:rPr>
      <w:rFonts w:ascii="Cambria" w:eastAsia="Cambria" w:hAnsi="Cambria" w:cs="Cambria"/>
      <w:color w:val="000000"/>
      <w:sz w:val="24"/>
      <w:szCs w:val="24"/>
      <w:u w:color="000000"/>
    </w:rPr>
  </w:style>
  <w:style w:type="numbering" w:customStyle="1" w:styleId="List0">
    <w:name w:val="List 0"/>
    <w:basedOn w:val="Bullet"/>
    <w:pPr>
      <w:numPr>
        <w:numId w:val="3"/>
      </w:numPr>
    </w:pPr>
  </w:style>
  <w:style w:type="numbering" w:customStyle="1" w:styleId="Bullet">
    <w:name w:val="Bullet"/>
  </w:style>
  <w:style w:type="paragraph" w:styleId="Header">
    <w:name w:val="header"/>
    <w:basedOn w:val="Normal"/>
    <w:link w:val="HeaderChar"/>
    <w:uiPriority w:val="99"/>
    <w:unhideWhenUsed/>
    <w:rsid w:val="00BA7A8A"/>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BA7A8A"/>
    <w:rPr>
      <w:sz w:val="18"/>
      <w:szCs w:val="18"/>
      <w:lang w:eastAsia="en-US"/>
    </w:rPr>
  </w:style>
  <w:style w:type="paragraph" w:styleId="ListParagraph">
    <w:name w:val="List Paragraph"/>
    <w:basedOn w:val="Normal"/>
    <w:uiPriority w:val="34"/>
    <w:qFormat/>
    <w:rsid w:val="00BA7A8A"/>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Chars="200" w:firstLine="420"/>
      <w:jc w:val="both"/>
    </w:pPr>
    <w:rPr>
      <w:rFonts w:asciiTheme="minorHAnsi" w:hAnsiTheme="minorHAnsi" w:cstheme="minorBidi"/>
      <w:kern w:val="2"/>
      <w:sz w:val="21"/>
      <w:szCs w:val="22"/>
      <w:bdr w:val="none" w:sz="0" w:space="0" w:color="auto"/>
      <w:lang w:eastAsia="zh-CN"/>
    </w:rPr>
  </w:style>
  <w:style w:type="character" w:styleId="CommentReference">
    <w:name w:val="annotation reference"/>
    <w:basedOn w:val="DefaultParagraphFont"/>
    <w:uiPriority w:val="99"/>
    <w:semiHidden/>
    <w:unhideWhenUsed/>
    <w:rsid w:val="00957136"/>
    <w:rPr>
      <w:sz w:val="21"/>
      <w:szCs w:val="21"/>
    </w:rPr>
  </w:style>
  <w:style w:type="paragraph" w:styleId="CommentText">
    <w:name w:val="annotation text"/>
    <w:basedOn w:val="Normal"/>
    <w:link w:val="CommentTextChar"/>
    <w:uiPriority w:val="99"/>
    <w:semiHidden/>
    <w:unhideWhenUsed/>
    <w:rsid w:val="00957136"/>
  </w:style>
  <w:style w:type="character" w:customStyle="1" w:styleId="CommentTextChar">
    <w:name w:val="Comment Text Char"/>
    <w:basedOn w:val="DefaultParagraphFont"/>
    <w:link w:val="CommentText"/>
    <w:uiPriority w:val="99"/>
    <w:semiHidden/>
    <w:rsid w:val="00957136"/>
    <w:rPr>
      <w:sz w:val="24"/>
      <w:szCs w:val="24"/>
      <w:lang w:eastAsia="en-US"/>
    </w:rPr>
  </w:style>
  <w:style w:type="paragraph" w:styleId="CommentSubject">
    <w:name w:val="annotation subject"/>
    <w:basedOn w:val="CommentText"/>
    <w:next w:val="CommentText"/>
    <w:link w:val="CommentSubjectChar"/>
    <w:uiPriority w:val="99"/>
    <w:semiHidden/>
    <w:unhideWhenUsed/>
    <w:rsid w:val="00957136"/>
    <w:rPr>
      <w:b/>
      <w:bCs/>
    </w:rPr>
  </w:style>
  <w:style w:type="character" w:customStyle="1" w:styleId="CommentSubjectChar">
    <w:name w:val="Comment Subject Char"/>
    <w:basedOn w:val="CommentTextChar"/>
    <w:link w:val="CommentSubject"/>
    <w:uiPriority w:val="99"/>
    <w:semiHidden/>
    <w:rsid w:val="00957136"/>
    <w:rPr>
      <w:b/>
      <w:bCs/>
      <w:sz w:val="24"/>
      <w:szCs w:val="24"/>
      <w:lang w:eastAsia="en-US"/>
    </w:rPr>
  </w:style>
  <w:style w:type="paragraph" w:styleId="BalloonText">
    <w:name w:val="Balloon Text"/>
    <w:basedOn w:val="Normal"/>
    <w:link w:val="BalloonTextChar"/>
    <w:uiPriority w:val="99"/>
    <w:semiHidden/>
    <w:unhideWhenUsed/>
    <w:rsid w:val="00957136"/>
    <w:rPr>
      <w:sz w:val="18"/>
      <w:szCs w:val="18"/>
    </w:rPr>
  </w:style>
  <w:style w:type="character" w:customStyle="1" w:styleId="BalloonTextChar">
    <w:name w:val="Balloon Text Char"/>
    <w:basedOn w:val="DefaultParagraphFont"/>
    <w:link w:val="BalloonText"/>
    <w:uiPriority w:val="99"/>
    <w:semiHidden/>
    <w:rsid w:val="00957136"/>
    <w:rPr>
      <w:sz w:val="18"/>
      <w:szCs w:val="18"/>
      <w:lang w:eastAsia="en-US"/>
    </w:rPr>
  </w:style>
  <w:style w:type="character" w:customStyle="1" w:styleId="Heading3Char">
    <w:name w:val="Heading 3 Char"/>
    <w:basedOn w:val="DefaultParagraphFont"/>
    <w:link w:val="Heading3"/>
    <w:uiPriority w:val="9"/>
    <w:rsid w:val="007B56B8"/>
    <w:rPr>
      <w:rFonts w:ascii="Times" w:hAnsi="Times"/>
      <w:b/>
      <w:bCs/>
      <w:sz w:val="27"/>
      <w:szCs w:val="27"/>
      <w:bdr w:val="none" w:sz="0" w:space="0" w:color="auto"/>
      <w:lang w:eastAsia="en-US"/>
    </w:rPr>
  </w:style>
  <w:style w:type="character" w:styleId="Emphasis">
    <w:name w:val="Emphasis"/>
    <w:basedOn w:val="DefaultParagraphFont"/>
    <w:uiPriority w:val="20"/>
    <w:qFormat/>
    <w:rsid w:val="008F6A82"/>
    <w:rPr>
      <w:i/>
      <w:iCs/>
    </w:rPr>
  </w:style>
  <w:style w:type="paragraph" w:styleId="PlainText">
    <w:name w:val="Plain Text"/>
    <w:basedOn w:val="Normal"/>
    <w:link w:val="PlainTextChar"/>
    <w:rsid w:val="00E17111"/>
    <w:pPr>
      <w:widowControl w:val="0"/>
      <w:pBdr>
        <w:top w:val="none" w:sz="0" w:space="0" w:color="auto"/>
        <w:left w:val="none" w:sz="0" w:space="0" w:color="auto"/>
        <w:bottom w:val="none" w:sz="0" w:space="0" w:color="auto"/>
        <w:right w:val="none" w:sz="0" w:space="0" w:color="auto"/>
        <w:between w:val="none" w:sz="0" w:space="0" w:color="auto"/>
        <w:bar w:val="none" w:sz="0" w:color="auto"/>
      </w:pBdr>
      <w:jc w:val="both"/>
    </w:pPr>
    <w:rPr>
      <w:rFonts w:ascii="宋体" w:eastAsia="宋体" w:hAnsi="Courier New" w:cs="Courier New"/>
      <w:kern w:val="2"/>
      <w:sz w:val="21"/>
      <w:szCs w:val="21"/>
      <w:bdr w:val="none" w:sz="0" w:space="0" w:color="auto"/>
      <w:lang w:eastAsia="zh-CN"/>
    </w:rPr>
  </w:style>
  <w:style w:type="character" w:customStyle="1" w:styleId="PlainTextChar">
    <w:name w:val="Plain Text Char"/>
    <w:basedOn w:val="DefaultParagraphFont"/>
    <w:link w:val="PlainText"/>
    <w:rsid w:val="00E17111"/>
    <w:rPr>
      <w:rFonts w:ascii="宋体" w:eastAsia="宋体" w:hAnsi="Courier New" w:cs="Courier New"/>
      <w:kern w:val="2"/>
      <w:sz w:val="21"/>
      <w:szCs w:val="21"/>
      <w:bdr w:val="none" w:sz="0" w:space="0" w:color="auto"/>
    </w:rPr>
  </w:style>
  <w:style w:type="character" w:customStyle="1" w:styleId="apple-converted-space">
    <w:name w:val="apple-converted-space"/>
    <w:basedOn w:val="DefaultParagraphFont"/>
    <w:rsid w:val="00FC1F3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eastAsia="en-US"/>
    </w:rPr>
  </w:style>
  <w:style w:type="paragraph" w:styleId="Heading3">
    <w:name w:val="heading 3"/>
    <w:basedOn w:val="Normal"/>
    <w:link w:val="Heading3Char"/>
    <w:uiPriority w:val="9"/>
    <w:qFormat/>
    <w:rsid w:val="007B56B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2"/>
    </w:pPr>
    <w:rPr>
      <w:rFonts w:ascii="Times" w:hAnsi="Times"/>
      <w:b/>
      <w:bCs/>
      <w:sz w:val="27"/>
      <w:szCs w:val="27"/>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styleId="Footer">
    <w:name w:val="footer"/>
    <w:pPr>
      <w:tabs>
        <w:tab w:val="center" w:pos="4320"/>
        <w:tab w:val="right" w:pos="8640"/>
      </w:tabs>
    </w:pPr>
    <w:rPr>
      <w:rFonts w:ascii="Cambria" w:eastAsia="Cambria" w:hAnsi="Cambria" w:cs="Cambria"/>
      <w:color w:val="000000"/>
      <w:sz w:val="24"/>
      <w:szCs w:val="24"/>
      <w:u w:color="000000"/>
      <w:lang w:val="pt-PT"/>
    </w:rPr>
  </w:style>
  <w:style w:type="paragraph" w:customStyle="1" w:styleId="BodyA">
    <w:name w:val="Body A"/>
    <w:rPr>
      <w:rFonts w:ascii="Cambria" w:eastAsia="Cambria" w:hAnsi="Cambria" w:cs="Cambria"/>
      <w:color w:val="000000"/>
      <w:sz w:val="24"/>
      <w:szCs w:val="24"/>
      <w:u w:color="000000"/>
    </w:rPr>
  </w:style>
  <w:style w:type="numbering" w:customStyle="1" w:styleId="List0">
    <w:name w:val="List 0"/>
    <w:basedOn w:val="Bullet"/>
    <w:pPr>
      <w:numPr>
        <w:numId w:val="3"/>
      </w:numPr>
    </w:pPr>
  </w:style>
  <w:style w:type="numbering" w:customStyle="1" w:styleId="Bullet">
    <w:name w:val="Bullet"/>
  </w:style>
  <w:style w:type="paragraph" w:styleId="Header">
    <w:name w:val="header"/>
    <w:basedOn w:val="Normal"/>
    <w:link w:val="HeaderChar"/>
    <w:uiPriority w:val="99"/>
    <w:unhideWhenUsed/>
    <w:rsid w:val="00BA7A8A"/>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BA7A8A"/>
    <w:rPr>
      <w:sz w:val="18"/>
      <w:szCs w:val="18"/>
      <w:lang w:eastAsia="en-US"/>
    </w:rPr>
  </w:style>
  <w:style w:type="paragraph" w:styleId="ListParagraph">
    <w:name w:val="List Paragraph"/>
    <w:basedOn w:val="Normal"/>
    <w:uiPriority w:val="34"/>
    <w:qFormat/>
    <w:rsid w:val="00BA7A8A"/>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Chars="200" w:firstLine="420"/>
      <w:jc w:val="both"/>
    </w:pPr>
    <w:rPr>
      <w:rFonts w:asciiTheme="minorHAnsi" w:hAnsiTheme="minorHAnsi" w:cstheme="minorBidi"/>
      <w:kern w:val="2"/>
      <w:sz w:val="21"/>
      <w:szCs w:val="22"/>
      <w:bdr w:val="none" w:sz="0" w:space="0" w:color="auto"/>
      <w:lang w:eastAsia="zh-CN"/>
    </w:rPr>
  </w:style>
  <w:style w:type="character" w:styleId="CommentReference">
    <w:name w:val="annotation reference"/>
    <w:basedOn w:val="DefaultParagraphFont"/>
    <w:uiPriority w:val="99"/>
    <w:semiHidden/>
    <w:unhideWhenUsed/>
    <w:rsid w:val="00957136"/>
    <w:rPr>
      <w:sz w:val="21"/>
      <w:szCs w:val="21"/>
    </w:rPr>
  </w:style>
  <w:style w:type="paragraph" w:styleId="CommentText">
    <w:name w:val="annotation text"/>
    <w:basedOn w:val="Normal"/>
    <w:link w:val="CommentTextChar"/>
    <w:uiPriority w:val="99"/>
    <w:semiHidden/>
    <w:unhideWhenUsed/>
    <w:rsid w:val="00957136"/>
  </w:style>
  <w:style w:type="character" w:customStyle="1" w:styleId="CommentTextChar">
    <w:name w:val="Comment Text Char"/>
    <w:basedOn w:val="DefaultParagraphFont"/>
    <w:link w:val="CommentText"/>
    <w:uiPriority w:val="99"/>
    <w:semiHidden/>
    <w:rsid w:val="00957136"/>
    <w:rPr>
      <w:sz w:val="24"/>
      <w:szCs w:val="24"/>
      <w:lang w:eastAsia="en-US"/>
    </w:rPr>
  </w:style>
  <w:style w:type="paragraph" w:styleId="CommentSubject">
    <w:name w:val="annotation subject"/>
    <w:basedOn w:val="CommentText"/>
    <w:next w:val="CommentText"/>
    <w:link w:val="CommentSubjectChar"/>
    <w:uiPriority w:val="99"/>
    <w:semiHidden/>
    <w:unhideWhenUsed/>
    <w:rsid w:val="00957136"/>
    <w:rPr>
      <w:b/>
      <w:bCs/>
    </w:rPr>
  </w:style>
  <w:style w:type="character" w:customStyle="1" w:styleId="CommentSubjectChar">
    <w:name w:val="Comment Subject Char"/>
    <w:basedOn w:val="CommentTextChar"/>
    <w:link w:val="CommentSubject"/>
    <w:uiPriority w:val="99"/>
    <w:semiHidden/>
    <w:rsid w:val="00957136"/>
    <w:rPr>
      <w:b/>
      <w:bCs/>
      <w:sz w:val="24"/>
      <w:szCs w:val="24"/>
      <w:lang w:eastAsia="en-US"/>
    </w:rPr>
  </w:style>
  <w:style w:type="paragraph" w:styleId="BalloonText">
    <w:name w:val="Balloon Text"/>
    <w:basedOn w:val="Normal"/>
    <w:link w:val="BalloonTextChar"/>
    <w:uiPriority w:val="99"/>
    <w:semiHidden/>
    <w:unhideWhenUsed/>
    <w:rsid w:val="00957136"/>
    <w:rPr>
      <w:sz w:val="18"/>
      <w:szCs w:val="18"/>
    </w:rPr>
  </w:style>
  <w:style w:type="character" w:customStyle="1" w:styleId="BalloonTextChar">
    <w:name w:val="Balloon Text Char"/>
    <w:basedOn w:val="DefaultParagraphFont"/>
    <w:link w:val="BalloonText"/>
    <w:uiPriority w:val="99"/>
    <w:semiHidden/>
    <w:rsid w:val="00957136"/>
    <w:rPr>
      <w:sz w:val="18"/>
      <w:szCs w:val="18"/>
      <w:lang w:eastAsia="en-US"/>
    </w:rPr>
  </w:style>
  <w:style w:type="character" w:customStyle="1" w:styleId="Heading3Char">
    <w:name w:val="Heading 3 Char"/>
    <w:basedOn w:val="DefaultParagraphFont"/>
    <w:link w:val="Heading3"/>
    <w:uiPriority w:val="9"/>
    <w:rsid w:val="007B56B8"/>
    <w:rPr>
      <w:rFonts w:ascii="Times" w:hAnsi="Times"/>
      <w:b/>
      <w:bCs/>
      <w:sz w:val="27"/>
      <w:szCs w:val="27"/>
      <w:bdr w:val="none" w:sz="0" w:space="0" w:color="auto"/>
      <w:lang w:eastAsia="en-US"/>
    </w:rPr>
  </w:style>
  <w:style w:type="character" w:styleId="Emphasis">
    <w:name w:val="Emphasis"/>
    <w:basedOn w:val="DefaultParagraphFont"/>
    <w:uiPriority w:val="20"/>
    <w:qFormat/>
    <w:rsid w:val="008F6A82"/>
    <w:rPr>
      <w:i/>
      <w:iCs/>
    </w:rPr>
  </w:style>
  <w:style w:type="paragraph" w:styleId="PlainText">
    <w:name w:val="Plain Text"/>
    <w:basedOn w:val="Normal"/>
    <w:link w:val="PlainTextChar"/>
    <w:rsid w:val="00E17111"/>
    <w:pPr>
      <w:widowControl w:val="0"/>
      <w:pBdr>
        <w:top w:val="none" w:sz="0" w:space="0" w:color="auto"/>
        <w:left w:val="none" w:sz="0" w:space="0" w:color="auto"/>
        <w:bottom w:val="none" w:sz="0" w:space="0" w:color="auto"/>
        <w:right w:val="none" w:sz="0" w:space="0" w:color="auto"/>
        <w:between w:val="none" w:sz="0" w:space="0" w:color="auto"/>
        <w:bar w:val="none" w:sz="0" w:color="auto"/>
      </w:pBdr>
      <w:jc w:val="both"/>
    </w:pPr>
    <w:rPr>
      <w:rFonts w:ascii="宋体" w:eastAsia="宋体" w:hAnsi="Courier New" w:cs="Courier New"/>
      <w:kern w:val="2"/>
      <w:sz w:val="21"/>
      <w:szCs w:val="21"/>
      <w:bdr w:val="none" w:sz="0" w:space="0" w:color="auto"/>
      <w:lang w:eastAsia="zh-CN"/>
    </w:rPr>
  </w:style>
  <w:style w:type="character" w:customStyle="1" w:styleId="PlainTextChar">
    <w:name w:val="Plain Text Char"/>
    <w:basedOn w:val="DefaultParagraphFont"/>
    <w:link w:val="PlainText"/>
    <w:rsid w:val="00E17111"/>
    <w:rPr>
      <w:rFonts w:ascii="宋体" w:eastAsia="宋体" w:hAnsi="Courier New" w:cs="Courier New"/>
      <w:kern w:val="2"/>
      <w:sz w:val="21"/>
      <w:szCs w:val="21"/>
      <w:bdr w:val="none" w:sz="0" w:space="0" w:color="auto"/>
    </w:rPr>
  </w:style>
  <w:style w:type="character" w:customStyle="1" w:styleId="apple-converted-space">
    <w:name w:val="apple-converted-space"/>
    <w:basedOn w:val="DefaultParagraphFont"/>
    <w:rsid w:val="00FC1F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37861">
      <w:bodyDiv w:val="1"/>
      <w:marLeft w:val="0"/>
      <w:marRight w:val="0"/>
      <w:marTop w:val="0"/>
      <w:marBottom w:val="0"/>
      <w:divBdr>
        <w:top w:val="none" w:sz="0" w:space="0" w:color="auto"/>
        <w:left w:val="none" w:sz="0" w:space="0" w:color="auto"/>
        <w:bottom w:val="none" w:sz="0" w:space="0" w:color="auto"/>
        <w:right w:val="none" w:sz="0" w:space="0" w:color="auto"/>
      </w:divBdr>
    </w:div>
    <w:div w:id="421612036">
      <w:bodyDiv w:val="1"/>
      <w:marLeft w:val="0"/>
      <w:marRight w:val="0"/>
      <w:marTop w:val="0"/>
      <w:marBottom w:val="0"/>
      <w:divBdr>
        <w:top w:val="none" w:sz="0" w:space="0" w:color="auto"/>
        <w:left w:val="none" w:sz="0" w:space="0" w:color="auto"/>
        <w:bottom w:val="none" w:sz="0" w:space="0" w:color="auto"/>
        <w:right w:val="none" w:sz="0" w:space="0" w:color="auto"/>
      </w:divBdr>
    </w:div>
    <w:div w:id="474034173">
      <w:bodyDiv w:val="1"/>
      <w:marLeft w:val="0"/>
      <w:marRight w:val="0"/>
      <w:marTop w:val="0"/>
      <w:marBottom w:val="0"/>
      <w:divBdr>
        <w:top w:val="none" w:sz="0" w:space="0" w:color="auto"/>
        <w:left w:val="none" w:sz="0" w:space="0" w:color="auto"/>
        <w:bottom w:val="none" w:sz="0" w:space="0" w:color="auto"/>
        <w:right w:val="none" w:sz="0" w:space="0" w:color="auto"/>
      </w:divBdr>
    </w:div>
    <w:div w:id="645475467">
      <w:bodyDiv w:val="1"/>
      <w:marLeft w:val="0"/>
      <w:marRight w:val="0"/>
      <w:marTop w:val="0"/>
      <w:marBottom w:val="0"/>
      <w:divBdr>
        <w:top w:val="none" w:sz="0" w:space="0" w:color="auto"/>
        <w:left w:val="none" w:sz="0" w:space="0" w:color="auto"/>
        <w:bottom w:val="none" w:sz="0" w:space="0" w:color="auto"/>
        <w:right w:val="none" w:sz="0" w:space="0" w:color="auto"/>
      </w:divBdr>
    </w:div>
    <w:div w:id="865220425">
      <w:bodyDiv w:val="1"/>
      <w:marLeft w:val="0"/>
      <w:marRight w:val="0"/>
      <w:marTop w:val="0"/>
      <w:marBottom w:val="0"/>
      <w:divBdr>
        <w:top w:val="none" w:sz="0" w:space="0" w:color="auto"/>
        <w:left w:val="none" w:sz="0" w:space="0" w:color="auto"/>
        <w:bottom w:val="none" w:sz="0" w:space="0" w:color="auto"/>
        <w:right w:val="none" w:sz="0" w:space="0" w:color="auto"/>
      </w:divBdr>
    </w:div>
    <w:div w:id="886189318">
      <w:bodyDiv w:val="1"/>
      <w:marLeft w:val="0"/>
      <w:marRight w:val="0"/>
      <w:marTop w:val="0"/>
      <w:marBottom w:val="0"/>
      <w:divBdr>
        <w:top w:val="none" w:sz="0" w:space="0" w:color="auto"/>
        <w:left w:val="none" w:sz="0" w:space="0" w:color="auto"/>
        <w:bottom w:val="none" w:sz="0" w:space="0" w:color="auto"/>
        <w:right w:val="none" w:sz="0" w:space="0" w:color="auto"/>
      </w:divBdr>
    </w:div>
    <w:div w:id="925847317">
      <w:bodyDiv w:val="1"/>
      <w:marLeft w:val="0"/>
      <w:marRight w:val="0"/>
      <w:marTop w:val="0"/>
      <w:marBottom w:val="0"/>
      <w:divBdr>
        <w:top w:val="none" w:sz="0" w:space="0" w:color="auto"/>
        <w:left w:val="none" w:sz="0" w:space="0" w:color="auto"/>
        <w:bottom w:val="none" w:sz="0" w:space="0" w:color="auto"/>
        <w:right w:val="none" w:sz="0" w:space="0" w:color="auto"/>
      </w:divBdr>
    </w:div>
    <w:div w:id="1084062182">
      <w:bodyDiv w:val="1"/>
      <w:marLeft w:val="0"/>
      <w:marRight w:val="0"/>
      <w:marTop w:val="0"/>
      <w:marBottom w:val="0"/>
      <w:divBdr>
        <w:top w:val="none" w:sz="0" w:space="0" w:color="auto"/>
        <w:left w:val="none" w:sz="0" w:space="0" w:color="auto"/>
        <w:bottom w:val="none" w:sz="0" w:space="0" w:color="auto"/>
        <w:right w:val="none" w:sz="0" w:space="0" w:color="auto"/>
      </w:divBdr>
      <w:divsChild>
        <w:div w:id="944381273">
          <w:marLeft w:val="0"/>
          <w:marRight w:val="0"/>
          <w:marTop w:val="0"/>
          <w:marBottom w:val="0"/>
          <w:divBdr>
            <w:top w:val="none" w:sz="0" w:space="0" w:color="auto"/>
            <w:left w:val="none" w:sz="0" w:space="0" w:color="auto"/>
            <w:bottom w:val="none" w:sz="0" w:space="0" w:color="auto"/>
            <w:right w:val="none" w:sz="0" w:space="0" w:color="auto"/>
          </w:divBdr>
        </w:div>
        <w:div w:id="1752695791">
          <w:marLeft w:val="0"/>
          <w:marRight w:val="0"/>
          <w:marTop w:val="0"/>
          <w:marBottom w:val="0"/>
          <w:divBdr>
            <w:top w:val="none" w:sz="0" w:space="0" w:color="auto"/>
            <w:left w:val="none" w:sz="0" w:space="0" w:color="auto"/>
            <w:bottom w:val="none" w:sz="0" w:space="0" w:color="auto"/>
            <w:right w:val="none" w:sz="0" w:space="0" w:color="auto"/>
          </w:divBdr>
        </w:div>
        <w:div w:id="2018533261">
          <w:marLeft w:val="0"/>
          <w:marRight w:val="0"/>
          <w:marTop w:val="0"/>
          <w:marBottom w:val="0"/>
          <w:divBdr>
            <w:top w:val="none" w:sz="0" w:space="0" w:color="auto"/>
            <w:left w:val="none" w:sz="0" w:space="0" w:color="auto"/>
            <w:bottom w:val="none" w:sz="0" w:space="0" w:color="auto"/>
            <w:right w:val="none" w:sz="0" w:space="0" w:color="auto"/>
          </w:divBdr>
        </w:div>
        <w:div w:id="1508712779">
          <w:marLeft w:val="0"/>
          <w:marRight w:val="0"/>
          <w:marTop w:val="0"/>
          <w:marBottom w:val="0"/>
          <w:divBdr>
            <w:top w:val="none" w:sz="0" w:space="0" w:color="auto"/>
            <w:left w:val="none" w:sz="0" w:space="0" w:color="auto"/>
            <w:bottom w:val="none" w:sz="0" w:space="0" w:color="auto"/>
            <w:right w:val="none" w:sz="0" w:space="0" w:color="auto"/>
          </w:divBdr>
        </w:div>
        <w:div w:id="1344624819">
          <w:marLeft w:val="0"/>
          <w:marRight w:val="0"/>
          <w:marTop w:val="0"/>
          <w:marBottom w:val="0"/>
          <w:divBdr>
            <w:top w:val="none" w:sz="0" w:space="0" w:color="auto"/>
            <w:left w:val="none" w:sz="0" w:space="0" w:color="auto"/>
            <w:bottom w:val="none" w:sz="0" w:space="0" w:color="auto"/>
            <w:right w:val="none" w:sz="0" w:space="0" w:color="auto"/>
          </w:divBdr>
        </w:div>
        <w:div w:id="1816600078">
          <w:marLeft w:val="0"/>
          <w:marRight w:val="0"/>
          <w:marTop w:val="0"/>
          <w:marBottom w:val="0"/>
          <w:divBdr>
            <w:top w:val="none" w:sz="0" w:space="0" w:color="auto"/>
            <w:left w:val="none" w:sz="0" w:space="0" w:color="auto"/>
            <w:bottom w:val="none" w:sz="0" w:space="0" w:color="auto"/>
            <w:right w:val="none" w:sz="0" w:space="0" w:color="auto"/>
          </w:divBdr>
        </w:div>
        <w:div w:id="518356590">
          <w:marLeft w:val="0"/>
          <w:marRight w:val="0"/>
          <w:marTop w:val="0"/>
          <w:marBottom w:val="0"/>
          <w:divBdr>
            <w:top w:val="none" w:sz="0" w:space="0" w:color="auto"/>
            <w:left w:val="none" w:sz="0" w:space="0" w:color="auto"/>
            <w:bottom w:val="none" w:sz="0" w:space="0" w:color="auto"/>
            <w:right w:val="none" w:sz="0" w:space="0" w:color="auto"/>
          </w:divBdr>
        </w:div>
        <w:div w:id="1793743436">
          <w:marLeft w:val="0"/>
          <w:marRight w:val="0"/>
          <w:marTop w:val="0"/>
          <w:marBottom w:val="0"/>
          <w:divBdr>
            <w:top w:val="none" w:sz="0" w:space="0" w:color="auto"/>
            <w:left w:val="none" w:sz="0" w:space="0" w:color="auto"/>
            <w:bottom w:val="none" w:sz="0" w:space="0" w:color="auto"/>
            <w:right w:val="none" w:sz="0" w:space="0" w:color="auto"/>
          </w:divBdr>
        </w:div>
        <w:div w:id="1173837423">
          <w:marLeft w:val="0"/>
          <w:marRight w:val="0"/>
          <w:marTop w:val="0"/>
          <w:marBottom w:val="0"/>
          <w:divBdr>
            <w:top w:val="none" w:sz="0" w:space="0" w:color="auto"/>
            <w:left w:val="none" w:sz="0" w:space="0" w:color="auto"/>
            <w:bottom w:val="none" w:sz="0" w:space="0" w:color="auto"/>
            <w:right w:val="none" w:sz="0" w:space="0" w:color="auto"/>
          </w:divBdr>
        </w:div>
        <w:div w:id="2099055124">
          <w:marLeft w:val="0"/>
          <w:marRight w:val="0"/>
          <w:marTop w:val="0"/>
          <w:marBottom w:val="0"/>
          <w:divBdr>
            <w:top w:val="none" w:sz="0" w:space="0" w:color="auto"/>
            <w:left w:val="none" w:sz="0" w:space="0" w:color="auto"/>
            <w:bottom w:val="none" w:sz="0" w:space="0" w:color="auto"/>
            <w:right w:val="none" w:sz="0" w:space="0" w:color="auto"/>
          </w:divBdr>
        </w:div>
        <w:div w:id="1010792091">
          <w:marLeft w:val="0"/>
          <w:marRight w:val="0"/>
          <w:marTop w:val="0"/>
          <w:marBottom w:val="0"/>
          <w:divBdr>
            <w:top w:val="none" w:sz="0" w:space="0" w:color="auto"/>
            <w:left w:val="none" w:sz="0" w:space="0" w:color="auto"/>
            <w:bottom w:val="none" w:sz="0" w:space="0" w:color="auto"/>
            <w:right w:val="none" w:sz="0" w:space="0" w:color="auto"/>
          </w:divBdr>
        </w:div>
        <w:div w:id="1216233859">
          <w:marLeft w:val="0"/>
          <w:marRight w:val="0"/>
          <w:marTop w:val="0"/>
          <w:marBottom w:val="0"/>
          <w:divBdr>
            <w:top w:val="none" w:sz="0" w:space="0" w:color="auto"/>
            <w:left w:val="none" w:sz="0" w:space="0" w:color="auto"/>
            <w:bottom w:val="none" w:sz="0" w:space="0" w:color="auto"/>
            <w:right w:val="none" w:sz="0" w:space="0" w:color="auto"/>
          </w:divBdr>
        </w:div>
        <w:div w:id="1302999538">
          <w:marLeft w:val="0"/>
          <w:marRight w:val="0"/>
          <w:marTop w:val="0"/>
          <w:marBottom w:val="0"/>
          <w:divBdr>
            <w:top w:val="none" w:sz="0" w:space="0" w:color="auto"/>
            <w:left w:val="none" w:sz="0" w:space="0" w:color="auto"/>
            <w:bottom w:val="none" w:sz="0" w:space="0" w:color="auto"/>
            <w:right w:val="none" w:sz="0" w:space="0" w:color="auto"/>
          </w:divBdr>
        </w:div>
        <w:div w:id="746417062">
          <w:marLeft w:val="0"/>
          <w:marRight w:val="0"/>
          <w:marTop w:val="0"/>
          <w:marBottom w:val="0"/>
          <w:divBdr>
            <w:top w:val="none" w:sz="0" w:space="0" w:color="auto"/>
            <w:left w:val="none" w:sz="0" w:space="0" w:color="auto"/>
            <w:bottom w:val="none" w:sz="0" w:space="0" w:color="auto"/>
            <w:right w:val="none" w:sz="0" w:space="0" w:color="auto"/>
          </w:divBdr>
        </w:div>
        <w:div w:id="1561747671">
          <w:marLeft w:val="0"/>
          <w:marRight w:val="0"/>
          <w:marTop w:val="0"/>
          <w:marBottom w:val="0"/>
          <w:divBdr>
            <w:top w:val="none" w:sz="0" w:space="0" w:color="auto"/>
            <w:left w:val="none" w:sz="0" w:space="0" w:color="auto"/>
            <w:bottom w:val="none" w:sz="0" w:space="0" w:color="auto"/>
            <w:right w:val="none" w:sz="0" w:space="0" w:color="auto"/>
          </w:divBdr>
        </w:div>
        <w:div w:id="1226143066">
          <w:marLeft w:val="0"/>
          <w:marRight w:val="0"/>
          <w:marTop w:val="0"/>
          <w:marBottom w:val="0"/>
          <w:divBdr>
            <w:top w:val="none" w:sz="0" w:space="0" w:color="auto"/>
            <w:left w:val="none" w:sz="0" w:space="0" w:color="auto"/>
            <w:bottom w:val="none" w:sz="0" w:space="0" w:color="auto"/>
            <w:right w:val="none" w:sz="0" w:space="0" w:color="auto"/>
          </w:divBdr>
        </w:div>
        <w:div w:id="950161951">
          <w:marLeft w:val="0"/>
          <w:marRight w:val="0"/>
          <w:marTop w:val="0"/>
          <w:marBottom w:val="0"/>
          <w:divBdr>
            <w:top w:val="none" w:sz="0" w:space="0" w:color="auto"/>
            <w:left w:val="none" w:sz="0" w:space="0" w:color="auto"/>
            <w:bottom w:val="none" w:sz="0" w:space="0" w:color="auto"/>
            <w:right w:val="none" w:sz="0" w:space="0" w:color="auto"/>
          </w:divBdr>
        </w:div>
        <w:div w:id="397216956">
          <w:marLeft w:val="0"/>
          <w:marRight w:val="0"/>
          <w:marTop w:val="0"/>
          <w:marBottom w:val="0"/>
          <w:divBdr>
            <w:top w:val="none" w:sz="0" w:space="0" w:color="auto"/>
            <w:left w:val="none" w:sz="0" w:space="0" w:color="auto"/>
            <w:bottom w:val="none" w:sz="0" w:space="0" w:color="auto"/>
            <w:right w:val="none" w:sz="0" w:space="0" w:color="auto"/>
          </w:divBdr>
        </w:div>
        <w:div w:id="577331445">
          <w:marLeft w:val="0"/>
          <w:marRight w:val="0"/>
          <w:marTop w:val="0"/>
          <w:marBottom w:val="0"/>
          <w:divBdr>
            <w:top w:val="none" w:sz="0" w:space="0" w:color="auto"/>
            <w:left w:val="none" w:sz="0" w:space="0" w:color="auto"/>
            <w:bottom w:val="none" w:sz="0" w:space="0" w:color="auto"/>
            <w:right w:val="none" w:sz="0" w:space="0" w:color="auto"/>
          </w:divBdr>
        </w:div>
        <w:div w:id="1050765800">
          <w:marLeft w:val="0"/>
          <w:marRight w:val="0"/>
          <w:marTop w:val="0"/>
          <w:marBottom w:val="0"/>
          <w:divBdr>
            <w:top w:val="none" w:sz="0" w:space="0" w:color="auto"/>
            <w:left w:val="none" w:sz="0" w:space="0" w:color="auto"/>
            <w:bottom w:val="none" w:sz="0" w:space="0" w:color="auto"/>
            <w:right w:val="none" w:sz="0" w:space="0" w:color="auto"/>
          </w:divBdr>
        </w:div>
        <w:div w:id="196740823">
          <w:marLeft w:val="0"/>
          <w:marRight w:val="0"/>
          <w:marTop w:val="0"/>
          <w:marBottom w:val="0"/>
          <w:divBdr>
            <w:top w:val="none" w:sz="0" w:space="0" w:color="auto"/>
            <w:left w:val="none" w:sz="0" w:space="0" w:color="auto"/>
            <w:bottom w:val="none" w:sz="0" w:space="0" w:color="auto"/>
            <w:right w:val="none" w:sz="0" w:space="0" w:color="auto"/>
          </w:divBdr>
        </w:div>
        <w:div w:id="2060009742">
          <w:marLeft w:val="0"/>
          <w:marRight w:val="0"/>
          <w:marTop w:val="0"/>
          <w:marBottom w:val="0"/>
          <w:divBdr>
            <w:top w:val="none" w:sz="0" w:space="0" w:color="auto"/>
            <w:left w:val="none" w:sz="0" w:space="0" w:color="auto"/>
            <w:bottom w:val="none" w:sz="0" w:space="0" w:color="auto"/>
            <w:right w:val="none" w:sz="0" w:space="0" w:color="auto"/>
          </w:divBdr>
        </w:div>
        <w:div w:id="1491479482">
          <w:marLeft w:val="0"/>
          <w:marRight w:val="0"/>
          <w:marTop w:val="0"/>
          <w:marBottom w:val="0"/>
          <w:divBdr>
            <w:top w:val="none" w:sz="0" w:space="0" w:color="auto"/>
            <w:left w:val="none" w:sz="0" w:space="0" w:color="auto"/>
            <w:bottom w:val="none" w:sz="0" w:space="0" w:color="auto"/>
            <w:right w:val="none" w:sz="0" w:space="0" w:color="auto"/>
          </w:divBdr>
        </w:div>
        <w:div w:id="474880517">
          <w:marLeft w:val="0"/>
          <w:marRight w:val="0"/>
          <w:marTop w:val="0"/>
          <w:marBottom w:val="0"/>
          <w:divBdr>
            <w:top w:val="none" w:sz="0" w:space="0" w:color="auto"/>
            <w:left w:val="none" w:sz="0" w:space="0" w:color="auto"/>
            <w:bottom w:val="none" w:sz="0" w:space="0" w:color="auto"/>
            <w:right w:val="none" w:sz="0" w:space="0" w:color="auto"/>
          </w:divBdr>
        </w:div>
        <w:div w:id="997416123">
          <w:marLeft w:val="0"/>
          <w:marRight w:val="0"/>
          <w:marTop w:val="0"/>
          <w:marBottom w:val="0"/>
          <w:divBdr>
            <w:top w:val="none" w:sz="0" w:space="0" w:color="auto"/>
            <w:left w:val="none" w:sz="0" w:space="0" w:color="auto"/>
            <w:bottom w:val="none" w:sz="0" w:space="0" w:color="auto"/>
            <w:right w:val="none" w:sz="0" w:space="0" w:color="auto"/>
          </w:divBdr>
        </w:div>
        <w:div w:id="86342288">
          <w:marLeft w:val="0"/>
          <w:marRight w:val="0"/>
          <w:marTop w:val="0"/>
          <w:marBottom w:val="0"/>
          <w:divBdr>
            <w:top w:val="none" w:sz="0" w:space="0" w:color="auto"/>
            <w:left w:val="none" w:sz="0" w:space="0" w:color="auto"/>
            <w:bottom w:val="none" w:sz="0" w:space="0" w:color="auto"/>
            <w:right w:val="none" w:sz="0" w:space="0" w:color="auto"/>
          </w:divBdr>
        </w:div>
        <w:div w:id="214202002">
          <w:marLeft w:val="0"/>
          <w:marRight w:val="0"/>
          <w:marTop w:val="0"/>
          <w:marBottom w:val="0"/>
          <w:divBdr>
            <w:top w:val="none" w:sz="0" w:space="0" w:color="auto"/>
            <w:left w:val="none" w:sz="0" w:space="0" w:color="auto"/>
            <w:bottom w:val="none" w:sz="0" w:space="0" w:color="auto"/>
            <w:right w:val="none" w:sz="0" w:space="0" w:color="auto"/>
          </w:divBdr>
        </w:div>
        <w:div w:id="1819572125">
          <w:marLeft w:val="0"/>
          <w:marRight w:val="0"/>
          <w:marTop w:val="0"/>
          <w:marBottom w:val="0"/>
          <w:divBdr>
            <w:top w:val="none" w:sz="0" w:space="0" w:color="auto"/>
            <w:left w:val="none" w:sz="0" w:space="0" w:color="auto"/>
            <w:bottom w:val="none" w:sz="0" w:space="0" w:color="auto"/>
            <w:right w:val="none" w:sz="0" w:space="0" w:color="auto"/>
          </w:divBdr>
        </w:div>
        <w:div w:id="1899852937">
          <w:marLeft w:val="0"/>
          <w:marRight w:val="0"/>
          <w:marTop w:val="0"/>
          <w:marBottom w:val="0"/>
          <w:divBdr>
            <w:top w:val="none" w:sz="0" w:space="0" w:color="auto"/>
            <w:left w:val="none" w:sz="0" w:space="0" w:color="auto"/>
            <w:bottom w:val="none" w:sz="0" w:space="0" w:color="auto"/>
            <w:right w:val="none" w:sz="0" w:space="0" w:color="auto"/>
          </w:divBdr>
        </w:div>
        <w:div w:id="1599437318">
          <w:marLeft w:val="0"/>
          <w:marRight w:val="0"/>
          <w:marTop w:val="0"/>
          <w:marBottom w:val="0"/>
          <w:divBdr>
            <w:top w:val="none" w:sz="0" w:space="0" w:color="auto"/>
            <w:left w:val="none" w:sz="0" w:space="0" w:color="auto"/>
            <w:bottom w:val="none" w:sz="0" w:space="0" w:color="auto"/>
            <w:right w:val="none" w:sz="0" w:space="0" w:color="auto"/>
          </w:divBdr>
        </w:div>
        <w:div w:id="1939210830">
          <w:marLeft w:val="0"/>
          <w:marRight w:val="0"/>
          <w:marTop w:val="0"/>
          <w:marBottom w:val="0"/>
          <w:divBdr>
            <w:top w:val="none" w:sz="0" w:space="0" w:color="auto"/>
            <w:left w:val="none" w:sz="0" w:space="0" w:color="auto"/>
            <w:bottom w:val="none" w:sz="0" w:space="0" w:color="auto"/>
            <w:right w:val="none" w:sz="0" w:space="0" w:color="auto"/>
          </w:divBdr>
        </w:div>
        <w:div w:id="6560972">
          <w:marLeft w:val="0"/>
          <w:marRight w:val="0"/>
          <w:marTop w:val="0"/>
          <w:marBottom w:val="0"/>
          <w:divBdr>
            <w:top w:val="none" w:sz="0" w:space="0" w:color="auto"/>
            <w:left w:val="none" w:sz="0" w:space="0" w:color="auto"/>
            <w:bottom w:val="none" w:sz="0" w:space="0" w:color="auto"/>
            <w:right w:val="none" w:sz="0" w:space="0" w:color="auto"/>
          </w:divBdr>
        </w:div>
        <w:div w:id="1442458880">
          <w:marLeft w:val="0"/>
          <w:marRight w:val="0"/>
          <w:marTop w:val="0"/>
          <w:marBottom w:val="0"/>
          <w:divBdr>
            <w:top w:val="none" w:sz="0" w:space="0" w:color="auto"/>
            <w:left w:val="none" w:sz="0" w:space="0" w:color="auto"/>
            <w:bottom w:val="none" w:sz="0" w:space="0" w:color="auto"/>
            <w:right w:val="none" w:sz="0" w:space="0" w:color="auto"/>
          </w:divBdr>
        </w:div>
        <w:div w:id="1847473434">
          <w:marLeft w:val="0"/>
          <w:marRight w:val="0"/>
          <w:marTop w:val="0"/>
          <w:marBottom w:val="0"/>
          <w:divBdr>
            <w:top w:val="none" w:sz="0" w:space="0" w:color="auto"/>
            <w:left w:val="none" w:sz="0" w:space="0" w:color="auto"/>
            <w:bottom w:val="none" w:sz="0" w:space="0" w:color="auto"/>
            <w:right w:val="none" w:sz="0" w:space="0" w:color="auto"/>
          </w:divBdr>
        </w:div>
        <w:div w:id="763037455">
          <w:marLeft w:val="0"/>
          <w:marRight w:val="0"/>
          <w:marTop w:val="0"/>
          <w:marBottom w:val="0"/>
          <w:divBdr>
            <w:top w:val="none" w:sz="0" w:space="0" w:color="auto"/>
            <w:left w:val="none" w:sz="0" w:space="0" w:color="auto"/>
            <w:bottom w:val="none" w:sz="0" w:space="0" w:color="auto"/>
            <w:right w:val="none" w:sz="0" w:space="0" w:color="auto"/>
          </w:divBdr>
        </w:div>
        <w:div w:id="1367297496">
          <w:marLeft w:val="0"/>
          <w:marRight w:val="0"/>
          <w:marTop w:val="0"/>
          <w:marBottom w:val="0"/>
          <w:divBdr>
            <w:top w:val="none" w:sz="0" w:space="0" w:color="auto"/>
            <w:left w:val="none" w:sz="0" w:space="0" w:color="auto"/>
            <w:bottom w:val="none" w:sz="0" w:space="0" w:color="auto"/>
            <w:right w:val="none" w:sz="0" w:space="0" w:color="auto"/>
          </w:divBdr>
        </w:div>
        <w:div w:id="1863935971">
          <w:marLeft w:val="0"/>
          <w:marRight w:val="0"/>
          <w:marTop w:val="0"/>
          <w:marBottom w:val="0"/>
          <w:divBdr>
            <w:top w:val="none" w:sz="0" w:space="0" w:color="auto"/>
            <w:left w:val="none" w:sz="0" w:space="0" w:color="auto"/>
            <w:bottom w:val="none" w:sz="0" w:space="0" w:color="auto"/>
            <w:right w:val="none" w:sz="0" w:space="0" w:color="auto"/>
          </w:divBdr>
        </w:div>
        <w:div w:id="138693744">
          <w:marLeft w:val="0"/>
          <w:marRight w:val="0"/>
          <w:marTop w:val="0"/>
          <w:marBottom w:val="0"/>
          <w:divBdr>
            <w:top w:val="none" w:sz="0" w:space="0" w:color="auto"/>
            <w:left w:val="none" w:sz="0" w:space="0" w:color="auto"/>
            <w:bottom w:val="none" w:sz="0" w:space="0" w:color="auto"/>
            <w:right w:val="none" w:sz="0" w:space="0" w:color="auto"/>
          </w:divBdr>
        </w:div>
        <w:div w:id="269511499">
          <w:marLeft w:val="0"/>
          <w:marRight w:val="0"/>
          <w:marTop w:val="0"/>
          <w:marBottom w:val="0"/>
          <w:divBdr>
            <w:top w:val="none" w:sz="0" w:space="0" w:color="auto"/>
            <w:left w:val="none" w:sz="0" w:space="0" w:color="auto"/>
            <w:bottom w:val="none" w:sz="0" w:space="0" w:color="auto"/>
            <w:right w:val="none" w:sz="0" w:space="0" w:color="auto"/>
          </w:divBdr>
        </w:div>
        <w:div w:id="920868683">
          <w:marLeft w:val="0"/>
          <w:marRight w:val="0"/>
          <w:marTop w:val="0"/>
          <w:marBottom w:val="0"/>
          <w:divBdr>
            <w:top w:val="none" w:sz="0" w:space="0" w:color="auto"/>
            <w:left w:val="none" w:sz="0" w:space="0" w:color="auto"/>
            <w:bottom w:val="none" w:sz="0" w:space="0" w:color="auto"/>
            <w:right w:val="none" w:sz="0" w:space="0" w:color="auto"/>
          </w:divBdr>
        </w:div>
        <w:div w:id="1891114148">
          <w:marLeft w:val="0"/>
          <w:marRight w:val="0"/>
          <w:marTop w:val="0"/>
          <w:marBottom w:val="0"/>
          <w:divBdr>
            <w:top w:val="none" w:sz="0" w:space="0" w:color="auto"/>
            <w:left w:val="none" w:sz="0" w:space="0" w:color="auto"/>
            <w:bottom w:val="none" w:sz="0" w:space="0" w:color="auto"/>
            <w:right w:val="none" w:sz="0" w:space="0" w:color="auto"/>
          </w:divBdr>
        </w:div>
      </w:divsChild>
    </w:div>
    <w:div w:id="1187594745">
      <w:bodyDiv w:val="1"/>
      <w:marLeft w:val="0"/>
      <w:marRight w:val="0"/>
      <w:marTop w:val="0"/>
      <w:marBottom w:val="0"/>
      <w:divBdr>
        <w:top w:val="none" w:sz="0" w:space="0" w:color="auto"/>
        <w:left w:val="none" w:sz="0" w:space="0" w:color="auto"/>
        <w:bottom w:val="none" w:sz="0" w:space="0" w:color="auto"/>
        <w:right w:val="none" w:sz="0" w:space="0" w:color="auto"/>
      </w:divBdr>
    </w:div>
    <w:div w:id="1732924423">
      <w:bodyDiv w:val="1"/>
      <w:marLeft w:val="0"/>
      <w:marRight w:val="0"/>
      <w:marTop w:val="0"/>
      <w:marBottom w:val="0"/>
      <w:divBdr>
        <w:top w:val="none" w:sz="0" w:space="0" w:color="auto"/>
        <w:left w:val="none" w:sz="0" w:space="0" w:color="auto"/>
        <w:bottom w:val="none" w:sz="0" w:space="0" w:color="auto"/>
        <w:right w:val="none" w:sz="0" w:space="0" w:color="auto"/>
      </w:divBdr>
    </w:div>
    <w:div w:id="2031563374">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reativecommons.org/licenses/by-nc/4.0/" TargetMode="External"/><Relationship Id="rId9" Type="http://schemas.openxmlformats.org/officeDocument/2006/relationships/image" Target="media/image1.png"/><Relationship Id="rId10" Type="http://schemas.openxmlformats.org/officeDocument/2006/relationships/image" Target="media/image2.png"/></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黑体"/>
        <a:cs typeface="Helvetica"/>
      </a:majorFont>
      <a:minorFont>
        <a:latin typeface="Helvetica"/>
        <a:ea typeface="宋体"/>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5725</Words>
  <Characters>32637</Characters>
  <Application>Microsoft Macintosh Word</Application>
  <DocSecurity>0</DocSecurity>
  <Lines>271</Lines>
  <Paragraphs>76</Paragraphs>
  <ScaleCrop>false</ScaleCrop>
  <Company>微软中国</Company>
  <LinksUpToDate>false</LinksUpToDate>
  <CharactersWithSpaces>38286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 Ma</cp:lastModifiedBy>
  <cp:revision>2</cp:revision>
  <dcterms:created xsi:type="dcterms:W3CDTF">2015-05-17T14:40:00Z</dcterms:created>
  <dcterms:modified xsi:type="dcterms:W3CDTF">2015-05-17T14:40:00Z</dcterms:modified>
</cp:coreProperties>
</file>