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6ED27"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Name of journal: World Journal of Clinical Cases</w:t>
      </w:r>
    </w:p>
    <w:p w14:paraId="0404D786"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ESPS Manuscript NO: 15924</w:t>
      </w:r>
    </w:p>
    <w:p w14:paraId="48CCE7CD"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Columns: CASE REPORT</w:t>
      </w:r>
    </w:p>
    <w:p w14:paraId="77E57F2F" w14:textId="77777777" w:rsidR="005815E2" w:rsidRDefault="005815E2">
      <w:pPr>
        <w:spacing w:after="0" w:line="360" w:lineRule="auto"/>
        <w:jc w:val="both"/>
        <w:rPr>
          <w:rFonts w:ascii="Book Antiqua Bold" w:eastAsia="Book Antiqua Bold" w:hAnsi="Book Antiqua Bold" w:cs="Book Antiqua Bold"/>
          <w:b/>
          <w:bCs/>
          <w:sz w:val="24"/>
          <w:szCs w:val="24"/>
        </w:rPr>
      </w:pPr>
    </w:p>
    <w:p w14:paraId="3A4D1480"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Intestinal type gastric adenocarcinoma with unusual synchronous metastases to the colorectum and bladder</w:t>
      </w:r>
    </w:p>
    <w:p w14:paraId="3A185807" w14:textId="77777777" w:rsidR="005815E2" w:rsidRDefault="005815E2">
      <w:pPr>
        <w:spacing w:after="0" w:line="360" w:lineRule="auto"/>
        <w:jc w:val="both"/>
        <w:rPr>
          <w:rFonts w:ascii="Book Antiqua" w:eastAsia="Book Antiqua" w:hAnsi="Book Antiqua" w:cs="Book Antiqua"/>
          <w:sz w:val="24"/>
          <w:szCs w:val="24"/>
        </w:rPr>
      </w:pPr>
    </w:p>
    <w:p w14:paraId="52F5E31A" w14:textId="77777777" w:rsidR="005815E2" w:rsidRDefault="00252DFA">
      <w:pPr>
        <w:spacing w:after="0" w:line="360" w:lineRule="auto"/>
        <w:jc w:val="both"/>
        <w:rPr>
          <w:rFonts w:ascii="Book Antiqua" w:eastAsia="Book Antiqua" w:hAnsi="Book Antiqua" w:cs="Book Antiqua"/>
          <w:sz w:val="24"/>
          <w:szCs w:val="24"/>
        </w:rPr>
      </w:pPr>
      <w:r>
        <w:rPr>
          <w:rFonts w:ascii="Book Antiqua"/>
          <w:sz w:val="24"/>
          <w:szCs w:val="24"/>
        </w:rPr>
        <w:t xml:space="preserve">Seow-En I </w:t>
      </w:r>
      <w:r>
        <w:rPr>
          <w:rFonts w:ascii="Book Antiqua"/>
          <w:i/>
          <w:iCs/>
          <w:sz w:val="24"/>
          <w:szCs w:val="24"/>
        </w:rPr>
        <w:t>et al</w:t>
      </w:r>
      <w:r>
        <w:rPr>
          <w:rFonts w:ascii="Book Antiqua"/>
          <w:sz w:val="24"/>
          <w:szCs w:val="24"/>
        </w:rPr>
        <w:t xml:space="preserve">. Gastric adenocarcinoma with </w:t>
      </w:r>
      <w:r>
        <w:rPr>
          <w:rFonts w:ascii="Book Antiqua"/>
          <w:sz w:val="24"/>
          <w:szCs w:val="24"/>
        </w:rPr>
        <w:t>colorectal and vesical metastases</w:t>
      </w:r>
    </w:p>
    <w:p w14:paraId="3E163F20" w14:textId="77777777" w:rsidR="005815E2" w:rsidRDefault="005815E2">
      <w:pPr>
        <w:spacing w:after="0" w:line="360" w:lineRule="auto"/>
        <w:jc w:val="both"/>
        <w:rPr>
          <w:rFonts w:ascii="Book Antiqua" w:eastAsia="Book Antiqua" w:hAnsi="Book Antiqua" w:cs="Book Antiqua"/>
          <w:sz w:val="24"/>
          <w:szCs w:val="24"/>
        </w:rPr>
      </w:pPr>
    </w:p>
    <w:p w14:paraId="768090EE" w14:textId="77777777" w:rsidR="005815E2" w:rsidRDefault="00252DFA">
      <w:pPr>
        <w:spacing w:after="0" w:line="360" w:lineRule="auto"/>
        <w:jc w:val="both"/>
        <w:rPr>
          <w:rFonts w:ascii="Book Antiqua" w:eastAsia="Book Antiqua" w:hAnsi="Book Antiqua" w:cs="Book Antiqua"/>
          <w:sz w:val="24"/>
          <w:szCs w:val="24"/>
        </w:rPr>
      </w:pPr>
      <w:r>
        <w:rPr>
          <w:rFonts w:ascii="Book Antiqua"/>
          <w:sz w:val="24"/>
          <w:szCs w:val="24"/>
        </w:rPr>
        <w:t>Isaac Seow-En, Francis Seow-Choen</w:t>
      </w:r>
    </w:p>
    <w:p w14:paraId="3D44E04A" w14:textId="77777777" w:rsidR="005815E2" w:rsidRDefault="005815E2">
      <w:pPr>
        <w:spacing w:after="0" w:line="360" w:lineRule="auto"/>
        <w:jc w:val="both"/>
        <w:rPr>
          <w:rFonts w:ascii="Book Antiqua" w:eastAsia="Book Antiqua" w:hAnsi="Book Antiqua" w:cs="Book Antiqua"/>
          <w:sz w:val="24"/>
          <w:szCs w:val="24"/>
        </w:rPr>
      </w:pPr>
    </w:p>
    <w:p w14:paraId="165D4B08" w14:textId="77777777" w:rsidR="005815E2" w:rsidRDefault="00252DFA">
      <w:pPr>
        <w:spacing w:after="0" w:line="360" w:lineRule="auto"/>
        <w:jc w:val="both"/>
        <w:rPr>
          <w:rFonts w:ascii="Book Antiqua" w:eastAsia="Book Antiqua" w:hAnsi="Book Antiqua" w:cs="Book Antiqua"/>
          <w:sz w:val="24"/>
          <w:szCs w:val="24"/>
        </w:rPr>
      </w:pPr>
      <w:r>
        <w:rPr>
          <w:rFonts w:ascii="Book Antiqua Bold"/>
          <w:b/>
          <w:bCs/>
          <w:sz w:val="24"/>
          <w:szCs w:val="24"/>
        </w:rPr>
        <w:t xml:space="preserve">Isaac Seow-En, </w:t>
      </w:r>
      <w:r>
        <w:rPr>
          <w:rFonts w:ascii="Book Antiqua"/>
          <w:sz w:val="24"/>
          <w:szCs w:val="24"/>
        </w:rPr>
        <w:t>Department of General Surgery, Singapore General Hospital, Singapore 169608, Singapore</w:t>
      </w:r>
    </w:p>
    <w:p w14:paraId="141424B6" w14:textId="77777777" w:rsidR="005815E2" w:rsidRDefault="005815E2">
      <w:pPr>
        <w:spacing w:after="0" w:line="360" w:lineRule="auto"/>
        <w:jc w:val="both"/>
        <w:rPr>
          <w:rFonts w:ascii="Book Antiqua" w:eastAsia="Book Antiqua" w:hAnsi="Book Antiqua" w:cs="Book Antiqua"/>
          <w:sz w:val="24"/>
          <w:szCs w:val="24"/>
        </w:rPr>
      </w:pPr>
    </w:p>
    <w:p w14:paraId="63D1136F" w14:textId="77777777" w:rsidR="005815E2" w:rsidRDefault="00252DFA">
      <w:pPr>
        <w:spacing w:after="0" w:line="360" w:lineRule="auto"/>
        <w:jc w:val="both"/>
        <w:rPr>
          <w:rFonts w:ascii="Book Antiqua" w:eastAsia="Book Antiqua" w:hAnsi="Book Antiqua" w:cs="Book Antiqua"/>
          <w:sz w:val="24"/>
          <w:szCs w:val="24"/>
        </w:rPr>
      </w:pPr>
      <w:r>
        <w:rPr>
          <w:rFonts w:ascii="Book Antiqua Bold"/>
          <w:b/>
          <w:bCs/>
          <w:sz w:val="24"/>
          <w:szCs w:val="24"/>
        </w:rPr>
        <w:t xml:space="preserve"> Francis Seow-Choen,</w:t>
      </w:r>
      <w:r>
        <w:rPr>
          <w:rFonts w:ascii="Book Antiqua"/>
          <w:sz w:val="24"/>
          <w:szCs w:val="24"/>
        </w:rPr>
        <w:t xml:space="preserve"> Seow-Choen Colorectal Centre Pte Ltd, Singapore 238859, Singap</w:t>
      </w:r>
      <w:r>
        <w:rPr>
          <w:rFonts w:ascii="Book Antiqua"/>
          <w:sz w:val="24"/>
          <w:szCs w:val="24"/>
        </w:rPr>
        <w:t>ore</w:t>
      </w:r>
    </w:p>
    <w:p w14:paraId="66E387CD" w14:textId="77777777" w:rsidR="005815E2" w:rsidRDefault="005815E2">
      <w:pPr>
        <w:spacing w:after="0" w:line="360" w:lineRule="auto"/>
        <w:jc w:val="both"/>
        <w:rPr>
          <w:rFonts w:ascii="Book Antiqua" w:eastAsia="Book Antiqua" w:hAnsi="Book Antiqua" w:cs="Book Antiqua"/>
          <w:sz w:val="24"/>
          <w:szCs w:val="24"/>
        </w:rPr>
      </w:pPr>
    </w:p>
    <w:p w14:paraId="41DDB4B1" w14:textId="77777777" w:rsidR="005815E2" w:rsidRDefault="00252DFA">
      <w:pPr>
        <w:spacing w:after="0" w:line="360" w:lineRule="auto"/>
        <w:jc w:val="both"/>
        <w:rPr>
          <w:rFonts w:ascii="Book Antiqua" w:eastAsia="Book Antiqua" w:hAnsi="Book Antiqua" w:cs="Book Antiqua"/>
          <w:sz w:val="24"/>
          <w:szCs w:val="24"/>
        </w:rPr>
      </w:pPr>
      <w:bookmarkStart w:id="0" w:name="OLE_LINK17"/>
      <w:r>
        <w:rPr>
          <w:rFonts w:ascii="Book Antiqua Bold"/>
          <w:b/>
          <w:bCs/>
          <w:sz w:val="24"/>
          <w:szCs w:val="24"/>
        </w:rPr>
        <w:t>Author contributions:</w:t>
      </w:r>
      <w:bookmarkEnd w:id="0"/>
      <w:r>
        <w:rPr>
          <w:rFonts w:ascii="Book Antiqua Bold"/>
          <w:b/>
          <w:bCs/>
          <w:sz w:val="24"/>
          <w:szCs w:val="24"/>
        </w:rPr>
        <w:t xml:space="preserve"> </w:t>
      </w:r>
      <w:r>
        <w:rPr>
          <w:rFonts w:ascii="Book Antiqua"/>
          <w:sz w:val="24"/>
          <w:szCs w:val="24"/>
        </w:rPr>
        <w:t xml:space="preserve">Seow-En I performed the literature review wrote the draft manuscript; Seow-Choen F performed the surgery and critically revised the manuscript; all authors read and approved the final manuscript. </w:t>
      </w:r>
    </w:p>
    <w:p w14:paraId="7169AF62" w14:textId="77777777" w:rsidR="005815E2" w:rsidRDefault="005815E2">
      <w:pPr>
        <w:rPr>
          <w:rFonts w:ascii="Book Antiqua Bold" w:eastAsia="Book Antiqua Bold" w:hAnsi="Book Antiqua Bold" w:cs="Book Antiqua Bold"/>
          <w:b/>
          <w:bCs/>
          <w:sz w:val="24"/>
          <w:szCs w:val="24"/>
        </w:rPr>
      </w:pPr>
    </w:p>
    <w:p w14:paraId="7E7A2E92" w14:textId="77777777" w:rsidR="005815E2" w:rsidRDefault="00252DFA">
      <w:pPr>
        <w:spacing w:after="0"/>
        <w:rPr>
          <w:rFonts w:ascii="Book Antiqua" w:eastAsia="Book Antiqua" w:hAnsi="Book Antiqua" w:cs="Book Antiqua"/>
          <w:sz w:val="24"/>
          <w:szCs w:val="24"/>
        </w:rPr>
      </w:pPr>
      <w:r>
        <w:rPr>
          <w:rFonts w:ascii="Book Antiqua Bold"/>
          <w:b/>
          <w:bCs/>
          <w:sz w:val="24"/>
          <w:szCs w:val="24"/>
        </w:rPr>
        <w:t>Ethics approval</w:t>
      </w:r>
      <w:r>
        <w:rPr>
          <w:rFonts w:ascii="Book Antiqua"/>
          <w:sz w:val="24"/>
          <w:szCs w:val="24"/>
        </w:rPr>
        <w:t xml:space="preserve">: Institutional </w:t>
      </w:r>
      <w:r>
        <w:rPr>
          <w:rFonts w:ascii="Book Antiqua"/>
          <w:sz w:val="24"/>
          <w:szCs w:val="24"/>
        </w:rPr>
        <w:t>review board waiver was accorded as per institution regulation on the basis of anonymity and patient</w:t>
      </w:r>
      <w:r>
        <w:rPr>
          <w:rFonts w:hAnsi="Book Antiqua"/>
          <w:sz w:val="24"/>
          <w:szCs w:val="24"/>
        </w:rPr>
        <w:t>’</w:t>
      </w:r>
      <w:r>
        <w:rPr>
          <w:rFonts w:ascii="Book Antiqua"/>
          <w:sz w:val="24"/>
          <w:szCs w:val="24"/>
        </w:rPr>
        <w:t>s consent for publication.</w:t>
      </w:r>
    </w:p>
    <w:p w14:paraId="30598D81" w14:textId="77777777" w:rsidR="005815E2" w:rsidRDefault="005815E2">
      <w:pPr>
        <w:spacing w:after="0"/>
        <w:rPr>
          <w:rFonts w:ascii="Book Antiqua" w:eastAsia="Book Antiqua" w:hAnsi="Book Antiqua" w:cs="Book Antiqua"/>
          <w:sz w:val="24"/>
          <w:szCs w:val="24"/>
        </w:rPr>
      </w:pPr>
    </w:p>
    <w:p w14:paraId="76964814" w14:textId="77777777" w:rsidR="005815E2" w:rsidRDefault="00252DFA">
      <w:pPr>
        <w:spacing w:after="0" w:line="360" w:lineRule="auto"/>
        <w:rPr>
          <w:rFonts w:ascii="Book Antiqua Bold" w:eastAsia="Book Antiqua Bold" w:hAnsi="Book Antiqua Bold" w:cs="Book Antiqua Bold"/>
          <w:b/>
          <w:bCs/>
          <w:sz w:val="24"/>
          <w:szCs w:val="24"/>
        </w:rPr>
      </w:pPr>
      <w:r>
        <w:rPr>
          <w:rFonts w:ascii="Book Antiqua Bold"/>
          <w:b/>
          <w:bCs/>
          <w:sz w:val="24"/>
          <w:szCs w:val="24"/>
        </w:rPr>
        <w:t xml:space="preserve">Informed consent: </w:t>
      </w:r>
      <w:r>
        <w:rPr>
          <w:rFonts w:ascii="Book Antiqua"/>
          <w:sz w:val="24"/>
          <w:szCs w:val="24"/>
        </w:rPr>
        <w:t>The patient provided written consent prior to study enrolment.</w:t>
      </w:r>
    </w:p>
    <w:p w14:paraId="7E582CA2" w14:textId="77777777" w:rsidR="005815E2" w:rsidRDefault="005815E2">
      <w:pPr>
        <w:spacing w:after="0" w:line="360" w:lineRule="auto"/>
        <w:rPr>
          <w:rFonts w:ascii="Book Antiqua Bold" w:eastAsia="Book Antiqua Bold" w:hAnsi="Book Antiqua Bold" w:cs="Book Antiqua Bold"/>
          <w:b/>
          <w:bCs/>
          <w:sz w:val="24"/>
          <w:szCs w:val="24"/>
        </w:rPr>
      </w:pPr>
    </w:p>
    <w:p w14:paraId="17B54F58" w14:textId="77777777" w:rsidR="005815E2" w:rsidRDefault="00252DFA">
      <w:pPr>
        <w:spacing w:after="0" w:line="360" w:lineRule="auto"/>
        <w:rPr>
          <w:rFonts w:ascii="Book Antiqua Bold" w:eastAsia="Book Antiqua Bold" w:hAnsi="Book Antiqua Bold" w:cs="Book Antiqua Bold"/>
          <w:b/>
          <w:bCs/>
          <w:sz w:val="24"/>
          <w:szCs w:val="24"/>
        </w:rPr>
      </w:pPr>
      <w:r>
        <w:rPr>
          <w:rFonts w:ascii="Book Antiqua Bold"/>
          <w:b/>
          <w:bCs/>
          <w:sz w:val="24"/>
          <w:szCs w:val="24"/>
        </w:rPr>
        <w:t xml:space="preserve">Conflict-of-interest: </w:t>
      </w:r>
      <w:r>
        <w:rPr>
          <w:rFonts w:ascii="Book Antiqua"/>
          <w:sz w:val="24"/>
          <w:szCs w:val="24"/>
        </w:rPr>
        <w:t xml:space="preserve">The authors declare no </w:t>
      </w:r>
      <w:r>
        <w:rPr>
          <w:rFonts w:ascii="Book Antiqua"/>
          <w:sz w:val="24"/>
          <w:szCs w:val="24"/>
        </w:rPr>
        <w:t>conflict of interest.</w:t>
      </w:r>
    </w:p>
    <w:p w14:paraId="21B1ACA0" w14:textId="77777777" w:rsidR="005815E2" w:rsidRDefault="005815E2">
      <w:pPr>
        <w:spacing w:after="0" w:line="360" w:lineRule="auto"/>
        <w:jc w:val="both"/>
        <w:rPr>
          <w:rFonts w:ascii="Book Antiqua" w:eastAsia="Book Antiqua" w:hAnsi="Book Antiqua" w:cs="Book Antiqua"/>
          <w:sz w:val="24"/>
          <w:szCs w:val="24"/>
        </w:rPr>
      </w:pPr>
    </w:p>
    <w:p w14:paraId="38383ECE" w14:textId="77777777" w:rsidR="005815E2" w:rsidRDefault="00252DFA">
      <w:pPr>
        <w:spacing w:after="0" w:line="360" w:lineRule="auto"/>
        <w:jc w:val="both"/>
        <w:rPr>
          <w:rFonts w:ascii="Book Antiqua" w:eastAsia="Book Antiqua" w:hAnsi="Book Antiqua" w:cs="Book Antiqua"/>
          <w:sz w:val="24"/>
          <w:szCs w:val="24"/>
        </w:rPr>
      </w:pPr>
      <w:r>
        <w:rPr>
          <w:rFonts w:ascii="Book Antiqua Bold"/>
          <w:b/>
          <w:bCs/>
          <w:sz w:val="24"/>
          <w:szCs w:val="24"/>
        </w:rPr>
        <w:t xml:space="preserve">Open-Access: </w:t>
      </w:r>
      <w:r>
        <w:rPr>
          <w:rFonts w:ascii="Book Antiqua"/>
          <w:sz w:val="24"/>
          <w:szCs w:val="24"/>
        </w:rPr>
        <w:t xml:space="preserve">This article is an </w:t>
      </w:r>
      <w:r>
        <w:rPr>
          <w:rFonts w:ascii="Book Antiqua"/>
          <w:sz w:val="24"/>
          <w:szCs w:val="24"/>
        </w:rPr>
        <w:t xml:space="preserve">open-access </w:t>
      </w:r>
      <w:proofErr w:type="gramStart"/>
      <w:r>
        <w:rPr>
          <w:rFonts w:ascii="Book Antiqua"/>
          <w:sz w:val="24"/>
          <w:szCs w:val="24"/>
        </w:rPr>
        <w:t>article which</w:t>
      </w:r>
      <w:proofErr w:type="gramEnd"/>
      <w:r>
        <w:rPr>
          <w:rFonts w:ascii="Book Antiqua"/>
          <w:sz w:val="24"/>
          <w:szCs w:val="24"/>
        </w:rPr>
        <w:t xml:space="preserve"> was selected by an in-house editor and fully peer-reviewed by external reviewers. It is distributed in accordance with the Creative Commons Attribution Non Commercial (CC BY-N</w:t>
      </w:r>
      <w:r>
        <w:rPr>
          <w:rFonts w:ascii="Book Antiqua"/>
          <w:sz w:val="24"/>
          <w:szCs w:val="24"/>
        </w:rPr>
        <w:t xml:space="preserve">C 4.0) license, which permits others to distribute, remix, adapt, build upon this work </w:t>
      </w:r>
      <w:r>
        <w:rPr>
          <w:rFonts w:ascii="Book Antiqua"/>
          <w:sz w:val="24"/>
          <w:szCs w:val="24"/>
        </w:rPr>
        <w:lastRenderedPageBreak/>
        <w:t>non-commercially, and license their derivative works on different terms, provided the original work is properly cited and the use is non-commercial. See: http://creative</w:t>
      </w:r>
      <w:r>
        <w:rPr>
          <w:rFonts w:ascii="Book Antiqua"/>
          <w:sz w:val="24"/>
          <w:szCs w:val="24"/>
        </w:rPr>
        <w:t>commons.org/licenses/by-nc/4.0/</w:t>
      </w:r>
    </w:p>
    <w:p w14:paraId="60CE4604" w14:textId="77777777" w:rsidR="005815E2" w:rsidRDefault="005815E2">
      <w:pPr>
        <w:spacing w:after="0" w:line="360" w:lineRule="auto"/>
        <w:jc w:val="both"/>
        <w:rPr>
          <w:rFonts w:ascii="Book Antiqua" w:eastAsia="Book Antiqua" w:hAnsi="Book Antiqua" w:cs="Book Antiqua"/>
          <w:sz w:val="24"/>
          <w:szCs w:val="24"/>
        </w:rPr>
      </w:pPr>
    </w:p>
    <w:p w14:paraId="6460F7D8"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 xml:space="preserve">Correspondence to: Isaac Seow-En, MBBS, Resident, </w:t>
      </w:r>
      <w:r>
        <w:rPr>
          <w:rFonts w:ascii="Book Antiqua"/>
          <w:sz w:val="24"/>
          <w:szCs w:val="24"/>
        </w:rPr>
        <w:t>Department of General Surgery, Singapore General Hospital, Outram Road, Singapore 169608, Singapore. prawnfret@gmail.com</w:t>
      </w:r>
    </w:p>
    <w:p w14:paraId="771104FD" w14:textId="77777777" w:rsidR="005815E2" w:rsidRDefault="005815E2">
      <w:pPr>
        <w:spacing w:after="0" w:line="360" w:lineRule="auto"/>
        <w:jc w:val="both"/>
        <w:rPr>
          <w:rFonts w:ascii="Book Antiqua" w:eastAsia="Book Antiqua" w:hAnsi="Book Antiqua" w:cs="Book Antiqua"/>
          <w:sz w:val="24"/>
          <w:szCs w:val="24"/>
        </w:rPr>
      </w:pPr>
    </w:p>
    <w:p w14:paraId="62F950D9" w14:textId="77777777" w:rsidR="005815E2" w:rsidRDefault="00252DFA">
      <w:pPr>
        <w:spacing w:line="360" w:lineRule="auto"/>
        <w:rPr>
          <w:rFonts w:ascii="Book Antiqua" w:eastAsia="Book Antiqua" w:hAnsi="Book Antiqua" w:cs="Book Antiqua"/>
          <w:color w:val="0A0905"/>
          <w:sz w:val="24"/>
          <w:szCs w:val="24"/>
          <w:u w:color="0A0905"/>
        </w:rPr>
      </w:pPr>
      <w:r>
        <w:rPr>
          <w:rFonts w:ascii="Book Antiqua Bold"/>
          <w:b/>
          <w:bCs/>
          <w:sz w:val="24"/>
          <w:szCs w:val="24"/>
        </w:rPr>
        <w:t xml:space="preserve">Telephone: </w:t>
      </w:r>
      <w:r>
        <w:rPr>
          <w:rFonts w:ascii="Book Antiqua"/>
          <w:sz w:val="24"/>
          <w:szCs w:val="24"/>
        </w:rPr>
        <w:t>+65-96423931</w:t>
      </w:r>
      <w:r>
        <w:rPr>
          <w:rFonts w:ascii="Book Antiqua"/>
          <w:color w:val="0A0905"/>
          <w:sz w:val="24"/>
          <w:szCs w:val="24"/>
          <w:u w:color="0A0905"/>
        </w:rPr>
        <w:t xml:space="preserve">    </w:t>
      </w:r>
    </w:p>
    <w:p w14:paraId="119F8740"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 xml:space="preserve">Received: </w:t>
      </w:r>
      <w:r>
        <w:rPr>
          <w:rFonts w:ascii="Book Antiqua"/>
          <w:sz w:val="24"/>
          <w:szCs w:val="24"/>
        </w:rPr>
        <w:t xml:space="preserve">December 17, </w:t>
      </w:r>
      <w:r>
        <w:rPr>
          <w:rFonts w:ascii="Book Antiqua"/>
          <w:sz w:val="24"/>
          <w:szCs w:val="24"/>
        </w:rPr>
        <w:t>2014</w:t>
      </w:r>
      <w:r>
        <w:rPr>
          <w:rFonts w:ascii="Book Antiqua Bold"/>
          <w:b/>
          <w:bCs/>
          <w:sz w:val="24"/>
          <w:szCs w:val="24"/>
        </w:rPr>
        <w:t xml:space="preserve"> </w:t>
      </w:r>
    </w:p>
    <w:p w14:paraId="301463BD"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 xml:space="preserve">Peer-review started: </w:t>
      </w:r>
      <w:r>
        <w:rPr>
          <w:rFonts w:ascii="Book Antiqua"/>
          <w:sz w:val="24"/>
          <w:szCs w:val="24"/>
        </w:rPr>
        <w:t>December 18, 2014</w:t>
      </w:r>
    </w:p>
    <w:p w14:paraId="19431A10"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 xml:space="preserve">First decision: </w:t>
      </w:r>
      <w:r>
        <w:rPr>
          <w:rFonts w:ascii="Book Antiqua"/>
          <w:sz w:val="24"/>
          <w:szCs w:val="24"/>
        </w:rPr>
        <w:t>January 22, 2015</w:t>
      </w:r>
    </w:p>
    <w:p w14:paraId="3E4B8778"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 xml:space="preserve">Revised: </w:t>
      </w:r>
      <w:r>
        <w:rPr>
          <w:rFonts w:ascii="Book Antiqua"/>
          <w:sz w:val="24"/>
          <w:szCs w:val="24"/>
        </w:rPr>
        <w:t>February 14, 2015</w:t>
      </w:r>
    </w:p>
    <w:p w14:paraId="7298CE26"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 xml:space="preserve">Accepted: </w:t>
      </w:r>
      <w:r w:rsidRPr="00252DFA">
        <w:rPr>
          <w:rFonts w:ascii="Book Antiqua Bold"/>
          <w:bCs/>
          <w:sz w:val="24"/>
          <w:szCs w:val="24"/>
        </w:rPr>
        <w:t>April 10, 2015</w:t>
      </w:r>
    </w:p>
    <w:p w14:paraId="6B29738D" w14:textId="77777777" w:rsidR="005815E2" w:rsidRDefault="00252DFA">
      <w:pPr>
        <w:spacing w:line="360" w:lineRule="auto"/>
        <w:rPr>
          <w:rFonts w:ascii="Book Antiqua Bold" w:eastAsia="Book Antiqua Bold" w:hAnsi="Book Antiqua Bold" w:cs="Book Antiqua Bold"/>
          <w:b/>
          <w:bCs/>
          <w:sz w:val="24"/>
          <w:szCs w:val="24"/>
        </w:rPr>
      </w:pPr>
      <w:r>
        <w:rPr>
          <w:rFonts w:ascii="Book Antiqua Bold"/>
          <w:b/>
          <w:bCs/>
          <w:sz w:val="24"/>
          <w:szCs w:val="24"/>
        </w:rPr>
        <w:t>Article in press:</w:t>
      </w:r>
    </w:p>
    <w:p w14:paraId="3042C9DB" w14:textId="77777777" w:rsidR="005815E2" w:rsidRDefault="00252DFA">
      <w:pPr>
        <w:spacing w:line="360" w:lineRule="auto"/>
        <w:rPr>
          <w:rFonts w:ascii="Book Antiqua" w:eastAsia="Book Antiqua" w:hAnsi="Book Antiqua" w:cs="Book Antiqua"/>
          <w:sz w:val="24"/>
          <w:szCs w:val="24"/>
        </w:rPr>
      </w:pPr>
      <w:r>
        <w:rPr>
          <w:rFonts w:ascii="Book Antiqua Bold"/>
          <w:b/>
          <w:bCs/>
          <w:sz w:val="24"/>
          <w:szCs w:val="24"/>
        </w:rPr>
        <w:t>Published online:</w:t>
      </w:r>
    </w:p>
    <w:p w14:paraId="0D46A41D" w14:textId="77777777" w:rsidR="005815E2" w:rsidRDefault="005815E2">
      <w:pPr>
        <w:spacing w:after="0" w:line="360" w:lineRule="auto"/>
        <w:jc w:val="both"/>
        <w:rPr>
          <w:rFonts w:ascii="Book Antiqua Bold" w:eastAsia="Book Antiqua Bold" w:hAnsi="Book Antiqua Bold" w:cs="Book Antiqua Bold"/>
          <w:b/>
          <w:bCs/>
          <w:sz w:val="24"/>
          <w:szCs w:val="24"/>
        </w:rPr>
      </w:pPr>
    </w:p>
    <w:p w14:paraId="6A129FEF" w14:textId="77777777" w:rsidR="005815E2" w:rsidRDefault="00252DFA">
      <w:pPr>
        <w:spacing w:line="360" w:lineRule="auto"/>
        <w:jc w:val="both"/>
        <w:rPr>
          <w:rFonts w:ascii="Book Antiqua Bold" w:eastAsia="Book Antiqua Bold" w:hAnsi="Book Antiqua Bold" w:cs="Book Antiqua Bold"/>
          <w:b/>
          <w:bCs/>
          <w:sz w:val="24"/>
          <w:szCs w:val="24"/>
        </w:rPr>
      </w:pPr>
      <w:r>
        <w:rPr>
          <w:rFonts w:ascii="Book Antiqua Bold"/>
          <w:b/>
          <w:bCs/>
          <w:sz w:val="24"/>
          <w:szCs w:val="24"/>
        </w:rPr>
        <w:t>Abstract</w:t>
      </w:r>
    </w:p>
    <w:p w14:paraId="678E84E4" w14:textId="77777777" w:rsidR="005815E2" w:rsidRDefault="00252DFA">
      <w:pPr>
        <w:spacing w:line="360" w:lineRule="auto"/>
        <w:jc w:val="both"/>
        <w:rPr>
          <w:rFonts w:ascii="Book Antiqua Bold" w:eastAsia="Book Antiqua Bold" w:hAnsi="Book Antiqua Bold" w:cs="Book Antiqua Bold"/>
          <w:b/>
          <w:bCs/>
          <w:sz w:val="24"/>
          <w:szCs w:val="24"/>
        </w:rPr>
      </w:pPr>
      <w:r>
        <w:rPr>
          <w:rFonts w:ascii="Book Antiqua"/>
          <w:sz w:val="24"/>
          <w:szCs w:val="24"/>
        </w:rPr>
        <w:t>A 75-year-old male presented with difficult defecation and increasing urinary frequency over a</w:t>
      </w:r>
      <w:r>
        <w:rPr>
          <w:rFonts w:ascii="Book Antiqua"/>
          <w:sz w:val="24"/>
          <w:szCs w:val="24"/>
        </w:rPr>
        <w:t xml:space="preserve"> few months. He had a significant history of previous partial gastrectomy for gastric carcinoma 20 years prior. </w:t>
      </w:r>
      <w:r>
        <w:rPr>
          <w:rFonts w:ascii="Book Antiqua"/>
          <w:caps/>
          <w:sz w:val="24"/>
          <w:szCs w:val="24"/>
        </w:rPr>
        <w:t>c</w:t>
      </w:r>
      <w:r>
        <w:rPr>
          <w:rFonts w:ascii="Book Antiqua"/>
          <w:sz w:val="24"/>
          <w:szCs w:val="24"/>
        </w:rPr>
        <w:t>omputed tomography of the abdomen and pelvis showed extensive lymphadenopathy, a gastric mass and rectal as well as bladder wall thickening wit</w:t>
      </w:r>
      <w:r>
        <w:rPr>
          <w:rFonts w:ascii="Book Antiqua"/>
          <w:sz w:val="24"/>
          <w:szCs w:val="24"/>
        </w:rPr>
        <w:t>h bilateral ureterohydronephrosis. Normal looking serosal surfaces of the bladder and bowel were seen on laparoscopy and a defunctioning ileostomy was created. Gastroscopy revealed a malignant mass while cystoscopy and sigmoidscopy found extensive tumour g</w:t>
      </w:r>
      <w:r>
        <w:rPr>
          <w:rFonts w:ascii="Book Antiqua"/>
          <w:sz w:val="24"/>
          <w:szCs w:val="24"/>
        </w:rPr>
        <w:t xml:space="preserve">rowth lining the mucosal surfaces. Biopsies from all sites were compatible with intestinal type adenocarcinoma of gastric origin with few signet ring cells. Metabolic response to </w:t>
      </w:r>
      <w:r>
        <w:rPr>
          <w:rFonts w:ascii="Book Antiqua"/>
          <w:sz w:val="24"/>
          <w:szCs w:val="24"/>
        </w:rPr>
        <w:lastRenderedPageBreak/>
        <w:t>palliative chemotherapy was good and the patient</w:t>
      </w:r>
      <w:r>
        <w:rPr>
          <w:rFonts w:hAnsi="Book Antiqua"/>
          <w:sz w:val="24"/>
          <w:szCs w:val="24"/>
        </w:rPr>
        <w:t>’</w:t>
      </w:r>
      <w:r>
        <w:rPr>
          <w:rFonts w:ascii="Book Antiqua"/>
          <w:sz w:val="24"/>
          <w:szCs w:val="24"/>
        </w:rPr>
        <w:t xml:space="preserve">s symptoms have improved on </w:t>
      </w:r>
      <w:r>
        <w:rPr>
          <w:rFonts w:ascii="Book Antiqua"/>
          <w:sz w:val="24"/>
          <w:szCs w:val="24"/>
        </w:rPr>
        <w:t>follow-up four months post ileostomy. We discuss the immunohistochemical profile of the tumour and review the literature.</w:t>
      </w:r>
    </w:p>
    <w:p w14:paraId="618CFC56" w14:textId="77777777" w:rsidR="005815E2" w:rsidRDefault="00252DFA">
      <w:pPr>
        <w:spacing w:after="0" w:line="360" w:lineRule="auto"/>
        <w:jc w:val="both"/>
        <w:rPr>
          <w:rFonts w:ascii="Book Antiqua" w:eastAsia="Book Antiqua" w:hAnsi="Book Antiqua" w:cs="Book Antiqua"/>
          <w:sz w:val="24"/>
          <w:szCs w:val="24"/>
        </w:rPr>
      </w:pPr>
      <w:r>
        <w:rPr>
          <w:rFonts w:ascii="Book Antiqua Bold"/>
          <w:b/>
          <w:bCs/>
          <w:sz w:val="24"/>
          <w:szCs w:val="24"/>
        </w:rPr>
        <w:t xml:space="preserve">Key words: </w:t>
      </w:r>
      <w:r>
        <w:rPr>
          <w:rFonts w:ascii="Book Antiqua"/>
          <w:sz w:val="24"/>
          <w:szCs w:val="24"/>
        </w:rPr>
        <w:t>Gastric adenocarcinoma; Intestinal-type; Metastasis; Colorectum; Bladder</w:t>
      </w:r>
    </w:p>
    <w:p w14:paraId="78B96374" w14:textId="77777777" w:rsidR="005815E2" w:rsidRDefault="005815E2">
      <w:pPr>
        <w:spacing w:after="0" w:line="360" w:lineRule="auto"/>
        <w:jc w:val="both"/>
        <w:rPr>
          <w:rFonts w:ascii="Book Antiqua" w:eastAsia="Book Antiqua" w:hAnsi="Book Antiqua" w:cs="Book Antiqua"/>
          <w:sz w:val="24"/>
          <w:szCs w:val="24"/>
        </w:rPr>
      </w:pPr>
    </w:p>
    <w:p w14:paraId="7B294EC6" w14:textId="77777777" w:rsidR="005815E2" w:rsidRDefault="00252DFA">
      <w:pPr>
        <w:spacing w:line="360" w:lineRule="auto"/>
        <w:rPr>
          <w:rFonts w:ascii="Book Antiqua" w:eastAsia="Book Antiqua" w:hAnsi="Book Antiqua" w:cs="Book Antiqua"/>
          <w:sz w:val="24"/>
          <w:szCs w:val="24"/>
        </w:rPr>
      </w:pPr>
      <w:bookmarkStart w:id="1" w:name="OLE_LINK1027"/>
      <w:proofErr w:type="gramStart"/>
      <w:r>
        <w:rPr>
          <w:rFonts w:hAnsi="Book Antiqua Bold"/>
          <w:b/>
          <w:bCs/>
          <w:sz w:val="24"/>
          <w:szCs w:val="24"/>
        </w:rPr>
        <w:t>©</w:t>
      </w:r>
      <w:r>
        <w:rPr>
          <w:rFonts w:hAnsi="Book Antiqua Bold"/>
          <w:b/>
          <w:bCs/>
          <w:sz w:val="24"/>
          <w:szCs w:val="24"/>
        </w:rPr>
        <w:t xml:space="preserve"> </w:t>
      </w:r>
      <w:r>
        <w:rPr>
          <w:rFonts w:ascii="Book Antiqua Bold"/>
          <w:b/>
          <w:bCs/>
          <w:sz w:val="24"/>
          <w:szCs w:val="24"/>
        </w:rPr>
        <w:t>The Author(s) 2015.</w:t>
      </w:r>
      <w:proofErr w:type="gramEnd"/>
      <w:r>
        <w:rPr>
          <w:rFonts w:ascii="Book Antiqua"/>
          <w:sz w:val="24"/>
          <w:szCs w:val="24"/>
        </w:rPr>
        <w:t xml:space="preserve"> Published by Baishideng </w:t>
      </w:r>
      <w:r>
        <w:rPr>
          <w:rFonts w:ascii="Book Antiqua"/>
          <w:sz w:val="24"/>
          <w:szCs w:val="24"/>
        </w:rPr>
        <w:t>Publishing Group Inc.</w:t>
      </w:r>
      <w:r>
        <w:rPr>
          <w:rFonts w:ascii="Book Antiqua"/>
          <w:sz w:val="24"/>
          <w:szCs w:val="24"/>
        </w:rPr>
        <w:t xml:space="preserve"> All rights reserved.</w:t>
      </w:r>
      <w:bookmarkEnd w:id="1"/>
    </w:p>
    <w:p w14:paraId="7AC00906" w14:textId="77777777" w:rsidR="005815E2" w:rsidRDefault="005815E2">
      <w:pPr>
        <w:spacing w:after="0" w:line="360" w:lineRule="auto"/>
        <w:jc w:val="both"/>
        <w:rPr>
          <w:rFonts w:ascii="Book Antiqua" w:eastAsia="Book Antiqua" w:hAnsi="Book Antiqua" w:cs="Book Antiqua"/>
          <w:sz w:val="24"/>
          <w:szCs w:val="24"/>
        </w:rPr>
      </w:pPr>
    </w:p>
    <w:p w14:paraId="34271834"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 xml:space="preserve">Core tip: </w:t>
      </w:r>
      <w:r>
        <w:rPr>
          <w:rFonts w:ascii="Book Antiqua"/>
          <w:sz w:val="24"/>
          <w:szCs w:val="24"/>
        </w:rPr>
        <w:t>Although exceedingly rare, metastases to the colorectum and bladder can occur with primary gastric adenocarcinoma. Unusual sites of spread are more often associated with diffuse type or signet ring cell</w:t>
      </w:r>
      <w:r>
        <w:rPr>
          <w:rFonts w:ascii="Book Antiqua"/>
          <w:sz w:val="24"/>
          <w:szCs w:val="24"/>
        </w:rPr>
        <w:t xml:space="preserve"> gastric carcinoma but can occur with intestinal type as well. </w:t>
      </w:r>
      <w:proofErr w:type="gramStart"/>
      <w:r>
        <w:rPr>
          <w:rFonts w:ascii="Book Antiqua"/>
          <w:sz w:val="24"/>
          <w:szCs w:val="24"/>
        </w:rPr>
        <w:t>Site specific</w:t>
      </w:r>
      <w:proofErr w:type="gramEnd"/>
      <w:r>
        <w:rPr>
          <w:rFonts w:ascii="Book Antiqua"/>
          <w:sz w:val="24"/>
          <w:szCs w:val="24"/>
        </w:rPr>
        <w:t xml:space="preserve"> symptoms should alert the clinician to the possible locations of spread so as to allow prompt diagnosis. CK7 and CK20 profiles may help to establish the origin of the metastatic t</w:t>
      </w:r>
      <w:r>
        <w:rPr>
          <w:rFonts w:ascii="Book Antiqua"/>
          <w:sz w:val="24"/>
          <w:szCs w:val="24"/>
        </w:rPr>
        <w:t xml:space="preserve">umour if in doubt. </w:t>
      </w:r>
    </w:p>
    <w:p w14:paraId="5AD84174" w14:textId="77777777" w:rsidR="005815E2" w:rsidRDefault="005815E2">
      <w:pPr>
        <w:spacing w:after="0" w:line="360" w:lineRule="auto"/>
        <w:jc w:val="both"/>
        <w:rPr>
          <w:rFonts w:ascii="Book Antiqua Bold" w:eastAsia="Book Antiqua Bold" w:hAnsi="Book Antiqua Bold" w:cs="Book Antiqua Bold"/>
          <w:b/>
          <w:bCs/>
          <w:sz w:val="24"/>
          <w:szCs w:val="24"/>
        </w:rPr>
      </w:pPr>
    </w:p>
    <w:p w14:paraId="3553F2AE" w14:textId="77777777" w:rsidR="005815E2" w:rsidRDefault="00252DFA">
      <w:pPr>
        <w:spacing w:after="0" w:line="360" w:lineRule="auto"/>
        <w:jc w:val="both"/>
        <w:rPr>
          <w:rFonts w:ascii="Book Antiqua" w:eastAsia="Book Antiqua" w:hAnsi="Book Antiqua" w:cs="Book Antiqua"/>
          <w:sz w:val="24"/>
          <w:szCs w:val="24"/>
        </w:rPr>
      </w:pPr>
      <w:proofErr w:type="gramStart"/>
      <w:r>
        <w:rPr>
          <w:rFonts w:ascii="Book Antiqua"/>
          <w:sz w:val="24"/>
          <w:szCs w:val="24"/>
        </w:rPr>
        <w:t>Seow-En I, Seow-Choen F. Intestinal type gastric adenocarcinoma with unusual synchronous metastases to the colorectum and bladder.</w:t>
      </w:r>
      <w:proofErr w:type="gramEnd"/>
      <w:r>
        <w:rPr>
          <w:rFonts w:ascii="Book Antiqua"/>
          <w:sz w:val="24"/>
          <w:szCs w:val="24"/>
        </w:rPr>
        <w:t xml:space="preserve"> </w:t>
      </w:r>
      <w:r>
        <w:rPr>
          <w:rFonts w:ascii="Book Antiqua"/>
          <w:i/>
          <w:iCs/>
          <w:sz w:val="24"/>
          <w:szCs w:val="24"/>
        </w:rPr>
        <w:t xml:space="preserve">World J Clin Cases </w:t>
      </w:r>
      <w:r>
        <w:rPr>
          <w:rFonts w:ascii="Book Antiqua"/>
          <w:sz w:val="24"/>
          <w:szCs w:val="24"/>
        </w:rPr>
        <w:t xml:space="preserve">2015; </w:t>
      </w:r>
      <w:proofErr w:type="gramStart"/>
      <w:r>
        <w:rPr>
          <w:rFonts w:ascii="Book Antiqua"/>
          <w:sz w:val="24"/>
          <w:szCs w:val="24"/>
        </w:rPr>
        <w:t>In</w:t>
      </w:r>
      <w:proofErr w:type="gramEnd"/>
      <w:r>
        <w:rPr>
          <w:rFonts w:ascii="Book Antiqua"/>
          <w:sz w:val="24"/>
          <w:szCs w:val="24"/>
        </w:rPr>
        <w:t xml:space="preserve"> press</w:t>
      </w:r>
    </w:p>
    <w:p w14:paraId="7091DA7E" w14:textId="77777777" w:rsidR="005815E2" w:rsidRDefault="005815E2">
      <w:pPr>
        <w:spacing w:after="0" w:line="360" w:lineRule="auto"/>
        <w:jc w:val="both"/>
        <w:rPr>
          <w:rFonts w:ascii="Book Antiqua Bold" w:eastAsia="Book Antiqua Bold" w:hAnsi="Book Antiqua Bold" w:cs="Book Antiqua Bold"/>
          <w:b/>
          <w:bCs/>
          <w:sz w:val="24"/>
          <w:szCs w:val="24"/>
        </w:rPr>
      </w:pPr>
    </w:p>
    <w:p w14:paraId="26781973" w14:textId="77777777" w:rsidR="005815E2" w:rsidRDefault="00252DFA">
      <w:pPr>
        <w:spacing w:after="0" w:line="360" w:lineRule="auto"/>
        <w:jc w:val="both"/>
        <w:rPr>
          <w:rFonts w:ascii="Book Antiqua Bold" w:eastAsia="Book Antiqua Bold" w:hAnsi="Book Antiqua Bold" w:cs="Book Antiqua Bold"/>
          <w:b/>
          <w:bCs/>
          <w:caps/>
          <w:sz w:val="24"/>
          <w:szCs w:val="24"/>
        </w:rPr>
      </w:pPr>
      <w:r>
        <w:rPr>
          <w:rFonts w:ascii="Book Antiqua Bold"/>
          <w:b/>
          <w:bCs/>
          <w:caps/>
          <w:sz w:val="24"/>
          <w:szCs w:val="24"/>
        </w:rPr>
        <w:t>Introduction</w:t>
      </w:r>
    </w:p>
    <w:p w14:paraId="6875060D" w14:textId="77777777" w:rsidR="005815E2" w:rsidRDefault="00252DFA">
      <w:pPr>
        <w:spacing w:after="0" w:line="360" w:lineRule="auto"/>
        <w:jc w:val="both"/>
        <w:rPr>
          <w:rFonts w:ascii="Book Antiqua" w:eastAsia="Book Antiqua" w:hAnsi="Book Antiqua" w:cs="Book Antiqua"/>
          <w:sz w:val="24"/>
          <w:szCs w:val="24"/>
        </w:rPr>
      </w:pPr>
      <w:r>
        <w:rPr>
          <w:rFonts w:ascii="Book Antiqua"/>
          <w:sz w:val="24"/>
          <w:szCs w:val="24"/>
        </w:rPr>
        <w:t>Gastric adenocarcinoma commonly spreads to the peritoneu</w:t>
      </w:r>
      <w:r>
        <w:rPr>
          <w:rFonts w:ascii="Book Antiqua"/>
          <w:sz w:val="24"/>
          <w:szCs w:val="24"/>
        </w:rPr>
        <w:t xml:space="preserve">m, liver, lungs and intra-abdominal lymph nodes. Multiple as well as unusual sites of metastases have been described more often with diffuse type or signet ring cell gastric cancer. We describe the first case of intestinal type gastric adenocarcinoma with </w:t>
      </w:r>
      <w:r>
        <w:rPr>
          <w:rFonts w:ascii="Book Antiqua"/>
          <w:sz w:val="24"/>
          <w:szCs w:val="24"/>
        </w:rPr>
        <w:t>few signet ring cells presenting with synchronous colorectal and vesical metastases. Laparoscopic findings were also unusual as the serosal surfaces looked grossly normal but extensive intraluminal masses were found on endoscopy. Metabolic response to pall</w:t>
      </w:r>
      <w:r>
        <w:rPr>
          <w:rFonts w:ascii="Book Antiqua"/>
          <w:sz w:val="24"/>
          <w:szCs w:val="24"/>
        </w:rPr>
        <w:t>iative chemotherapy was good and the patient</w:t>
      </w:r>
      <w:r>
        <w:rPr>
          <w:rFonts w:hAnsi="Book Antiqua"/>
          <w:sz w:val="24"/>
          <w:szCs w:val="24"/>
        </w:rPr>
        <w:t>’</w:t>
      </w:r>
      <w:r>
        <w:rPr>
          <w:rFonts w:ascii="Book Antiqua"/>
          <w:sz w:val="24"/>
          <w:szCs w:val="24"/>
        </w:rPr>
        <w:t xml:space="preserve">s symptoms have improved on follow-up four months post defunctioning ileostomy. </w:t>
      </w:r>
    </w:p>
    <w:p w14:paraId="6C76002E" w14:textId="77777777" w:rsidR="005815E2" w:rsidRDefault="005815E2">
      <w:pPr>
        <w:spacing w:after="0" w:line="360" w:lineRule="auto"/>
        <w:jc w:val="both"/>
        <w:rPr>
          <w:rFonts w:ascii="Book Antiqua Bold" w:eastAsia="Book Antiqua Bold" w:hAnsi="Book Antiqua Bold" w:cs="Book Antiqua Bold"/>
          <w:b/>
          <w:bCs/>
          <w:sz w:val="24"/>
          <w:szCs w:val="24"/>
        </w:rPr>
      </w:pPr>
    </w:p>
    <w:p w14:paraId="05F1CE4A" w14:textId="77777777" w:rsidR="005815E2" w:rsidRDefault="00252DFA">
      <w:pPr>
        <w:spacing w:after="0" w:line="360" w:lineRule="auto"/>
        <w:jc w:val="both"/>
        <w:rPr>
          <w:rFonts w:ascii="Book Antiqua Bold" w:eastAsia="Book Antiqua Bold" w:hAnsi="Book Antiqua Bold" w:cs="Book Antiqua Bold"/>
          <w:b/>
          <w:bCs/>
          <w:caps/>
          <w:sz w:val="24"/>
          <w:szCs w:val="24"/>
        </w:rPr>
      </w:pPr>
      <w:r>
        <w:rPr>
          <w:rFonts w:ascii="Book Antiqua Bold"/>
          <w:b/>
          <w:bCs/>
          <w:caps/>
          <w:sz w:val="24"/>
          <w:szCs w:val="24"/>
        </w:rPr>
        <w:t>Case report</w:t>
      </w:r>
    </w:p>
    <w:p w14:paraId="28839DD0" w14:textId="77777777" w:rsidR="005815E2" w:rsidRDefault="00252DFA">
      <w:pPr>
        <w:spacing w:line="360" w:lineRule="auto"/>
        <w:jc w:val="both"/>
        <w:rPr>
          <w:rFonts w:ascii="Book Antiqua" w:eastAsia="Book Antiqua" w:hAnsi="Book Antiqua" w:cs="Book Antiqua"/>
          <w:sz w:val="24"/>
          <w:szCs w:val="24"/>
        </w:rPr>
      </w:pPr>
      <w:r>
        <w:rPr>
          <w:rFonts w:ascii="Book Antiqua"/>
          <w:sz w:val="24"/>
          <w:szCs w:val="24"/>
        </w:rPr>
        <w:t>A 75-year-old Indonesian male presented to our clinic with the complaints of difficult defaecation and increasing fre</w:t>
      </w:r>
      <w:r>
        <w:rPr>
          <w:rFonts w:ascii="Book Antiqua"/>
          <w:sz w:val="24"/>
          <w:szCs w:val="24"/>
        </w:rPr>
        <w:t>quency of micturition for a few months</w:t>
      </w:r>
      <w:r>
        <w:rPr>
          <w:rFonts w:hAnsi="Book Antiqua"/>
          <w:sz w:val="24"/>
          <w:szCs w:val="24"/>
        </w:rPr>
        <w:t>’</w:t>
      </w:r>
      <w:r>
        <w:rPr>
          <w:rFonts w:ascii="Book Antiqua"/>
          <w:sz w:val="24"/>
          <w:szCs w:val="24"/>
        </w:rPr>
        <w:t xml:space="preserve"> duration. He had a history of previous partial gastrectomy for gastric cancer in Indonesia more than 20 years prior. Full histology from the initial surgery was unavailable. Abdominal examination was unremarkable apa</w:t>
      </w:r>
      <w:r>
        <w:rPr>
          <w:rFonts w:ascii="Book Antiqua"/>
          <w:sz w:val="24"/>
          <w:szCs w:val="24"/>
        </w:rPr>
        <w:t>rt from mild abdominal distension. On rectal examination, extra-anal nodular masses were felt causing tight stricturing of the anal canal extending proximally. The anal mucosa felt intact.</w:t>
      </w:r>
    </w:p>
    <w:p w14:paraId="5C49FF7D"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 xml:space="preserve">Serum CEA and CA 19-9 were markedly elevated at 31.6 </w:t>
      </w:r>
      <w:r>
        <w:rPr>
          <w:rFonts w:hAnsi="Book Antiqua"/>
          <w:sz w:val="24"/>
          <w:szCs w:val="24"/>
        </w:rPr>
        <w:t>µ</w:t>
      </w:r>
      <w:r>
        <w:rPr>
          <w:rFonts w:ascii="Book Antiqua"/>
          <w:sz w:val="24"/>
          <w:szCs w:val="24"/>
        </w:rPr>
        <w:t>g/L (normal 0</w:t>
      </w:r>
      <w:r>
        <w:rPr>
          <w:rFonts w:ascii="Book Antiqua"/>
          <w:sz w:val="24"/>
          <w:szCs w:val="24"/>
        </w:rPr>
        <w:t xml:space="preserve">-5 </w:t>
      </w:r>
      <w:r>
        <w:rPr>
          <w:rFonts w:hAnsi="Book Antiqua"/>
          <w:sz w:val="24"/>
          <w:szCs w:val="24"/>
        </w:rPr>
        <w:t>µ</w:t>
      </w:r>
      <w:r>
        <w:rPr>
          <w:rFonts w:ascii="Book Antiqua"/>
          <w:sz w:val="24"/>
          <w:szCs w:val="24"/>
        </w:rPr>
        <w:t>g/L) and 30523 U/mL (normal 0-37 U/mL) respectively. AFP level was normal. Contrast enhanced computed tomography of the abdomen and pelvis revealed extensive retroperitoneal lymphadenopathy including para-aortic and aortocaval nodes as well as bilatera</w:t>
      </w:r>
      <w:r>
        <w:rPr>
          <w:rFonts w:ascii="Book Antiqua"/>
          <w:sz w:val="24"/>
          <w:szCs w:val="24"/>
        </w:rPr>
        <w:t xml:space="preserve">l iliac lymphadenopathy. In addition a gastric mass </w:t>
      </w:r>
      <w:r>
        <w:rPr>
          <w:rFonts w:ascii="Book Antiqua"/>
          <w:sz w:val="24"/>
          <w:szCs w:val="24"/>
        </w:rPr>
        <w:t>was suspected.</w:t>
      </w:r>
      <w:r>
        <w:rPr>
          <w:rFonts w:ascii="Book Antiqua"/>
          <w:sz w:val="24"/>
          <w:szCs w:val="24"/>
        </w:rPr>
        <w:t xml:space="preserve"> Rectal wall thickening causing luminal constriction and bladder wall thickening with bilateral ureterohydronephrosis </w:t>
      </w:r>
      <w:r>
        <w:rPr>
          <w:rFonts w:ascii="Book Antiqua"/>
          <w:sz w:val="24"/>
          <w:szCs w:val="24"/>
        </w:rPr>
        <w:t>were noted. The</w:t>
      </w:r>
      <w:r>
        <w:rPr>
          <w:rFonts w:ascii="Book Antiqua"/>
          <w:sz w:val="24"/>
          <w:szCs w:val="24"/>
        </w:rPr>
        <w:t xml:space="preserve"> liver appeared normal.</w:t>
      </w:r>
    </w:p>
    <w:p w14:paraId="1DDB50D4"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 xml:space="preserve">During diagnostic laparoscopy, the </w:t>
      </w:r>
      <w:r>
        <w:rPr>
          <w:rFonts w:ascii="Book Antiqua"/>
          <w:sz w:val="24"/>
          <w:szCs w:val="24"/>
        </w:rPr>
        <w:t>transverse colon down to the visualised rectum</w:t>
      </w:r>
      <w:r>
        <w:rPr>
          <w:rFonts w:ascii="Book Antiqua"/>
          <w:color w:val="FF0000"/>
          <w:sz w:val="24"/>
          <w:szCs w:val="24"/>
          <w:u w:color="FF0000"/>
        </w:rPr>
        <w:t xml:space="preserve"> </w:t>
      </w:r>
      <w:r>
        <w:rPr>
          <w:rFonts w:ascii="Book Antiqua"/>
          <w:sz w:val="24"/>
          <w:szCs w:val="24"/>
        </w:rPr>
        <w:t>was found to be thickened and rigid. The bladder appeared normal externally (Figure 1)</w:t>
      </w:r>
      <w:r>
        <w:rPr>
          <w:rFonts w:ascii="Book Antiqua"/>
          <w:color w:val="FF0000"/>
          <w:sz w:val="24"/>
          <w:szCs w:val="24"/>
          <w:u w:color="FF0000"/>
        </w:rPr>
        <w:t xml:space="preserve"> </w:t>
      </w:r>
      <w:r>
        <w:rPr>
          <w:rFonts w:ascii="Book Antiqua"/>
          <w:sz w:val="24"/>
          <w:szCs w:val="24"/>
        </w:rPr>
        <w:t xml:space="preserve">but was thickened with intravesical masses palpable via laparoscopic manipulation. The appendices epiploicae </w:t>
      </w:r>
      <w:r>
        <w:rPr>
          <w:rFonts w:ascii="Book Antiqua"/>
          <w:sz w:val="24"/>
          <w:szCs w:val="24"/>
        </w:rPr>
        <w:t>of the transverse colon and the</w:t>
      </w:r>
      <w:r>
        <w:rPr>
          <w:rFonts w:ascii="Book Antiqua"/>
          <w:color w:val="FF0000"/>
          <w:sz w:val="24"/>
          <w:szCs w:val="24"/>
          <w:u w:color="FF0000"/>
        </w:rPr>
        <w:t xml:space="preserve"> </w:t>
      </w:r>
      <w:r>
        <w:rPr>
          <w:rFonts w:ascii="Book Antiqua"/>
          <w:sz w:val="24"/>
          <w:szCs w:val="24"/>
        </w:rPr>
        <w:t>median umbilical ligament also appeared thickened (Figure 1) and biopsies were taken from both sites. Moderate gree</w:t>
      </w:r>
      <w:r>
        <w:rPr>
          <w:rFonts w:ascii="Book Antiqua"/>
          <w:sz w:val="24"/>
          <w:szCs w:val="24"/>
        </w:rPr>
        <w:t>nish ascites was noted. No peritoneal or serosal nodules were seen and the small intestine and stomach were grossly unremarkable on laparoscopy. The previous gastrojejunostomy anastamosis site looked normal. A defunctioning ileostomy was created to allevia</w:t>
      </w:r>
      <w:r>
        <w:rPr>
          <w:rFonts w:ascii="Book Antiqua"/>
          <w:sz w:val="24"/>
          <w:szCs w:val="24"/>
        </w:rPr>
        <w:t>te intestinal obstruction.</w:t>
      </w:r>
    </w:p>
    <w:p w14:paraId="01B89682"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As no definite intra-abdominal masses were found on laparoscopy, oesophago</w:t>
      </w:r>
      <w:r>
        <w:rPr>
          <w:rFonts w:ascii="Book Antiqua"/>
          <w:sz w:val="24"/>
          <w:szCs w:val="24"/>
        </w:rPr>
        <w:t>-gastroduodenoscopy</w:t>
      </w:r>
      <w:r>
        <w:rPr>
          <w:rFonts w:ascii="Book Antiqua"/>
          <w:color w:val="FF0000"/>
          <w:sz w:val="24"/>
          <w:szCs w:val="24"/>
          <w:u w:color="FF0000"/>
        </w:rPr>
        <w:t xml:space="preserve"> </w:t>
      </w:r>
      <w:r>
        <w:rPr>
          <w:rFonts w:ascii="Book Antiqua"/>
          <w:sz w:val="24"/>
          <w:szCs w:val="24"/>
        </w:rPr>
        <w:t>(OGD) and sigmoidoscopy were performed at the same sitting. OGD showed a mass at the lesser curve of the stomach and sigmoidoscopy reve</w:t>
      </w:r>
      <w:r>
        <w:rPr>
          <w:rFonts w:ascii="Book Antiqua"/>
          <w:sz w:val="24"/>
          <w:szCs w:val="24"/>
        </w:rPr>
        <w:t>aled anal stricturing and extensive tumour lining the rectal mucosa (Figure 1).</w:t>
      </w:r>
      <w:r>
        <w:rPr>
          <w:rFonts w:ascii="Book Antiqua"/>
          <w:color w:val="FF0000"/>
          <w:sz w:val="24"/>
          <w:szCs w:val="24"/>
          <w:u w:color="FF0000"/>
        </w:rPr>
        <w:t xml:space="preserve"> </w:t>
      </w:r>
      <w:r>
        <w:rPr>
          <w:rFonts w:ascii="Book Antiqua"/>
          <w:sz w:val="24"/>
          <w:szCs w:val="24"/>
        </w:rPr>
        <w:t>The scope was unable to pass beyond 8 cm from the anal verge due to the tight intraluminal growths. A cystoscopy was done which showed the entire bladder mucosa to be covered b</w:t>
      </w:r>
      <w:r>
        <w:rPr>
          <w:rFonts w:ascii="Book Antiqua"/>
          <w:sz w:val="24"/>
          <w:szCs w:val="24"/>
        </w:rPr>
        <w:t xml:space="preserve">y mucosal tumour growth. </w:t>
      </w:r>
    </w:p>
    <w:p w14:paraId="2172A343"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Biopsies from all sites including the gastric, rectal and bladder tumours as well as the appendices epiploicae and median umbilical ligament were compatible with adenocarcinoma of gastric origin (Figure 2).</w:t>
      </w:r>
      <w:r>
        <w:rPr>
          <w:rFonts w:ascii="Book Antiqua"/>
          <w:color w:val="FF0000"/>
          <w:sz w:val="24"/>
          <w:szCs w:val="24"/>
          <w:u w:color="FF0000"/>
        </w:rPr>
        <w:t xml:space="preserve"> </w:t>
      </w:r>
      <w:r>
        <w:rPr>
          <w:rFonts w:ascii="Book Antiqua"/>
          <w:sz w:val="24"/>
          <w:szCs w:val="24"/>
        </w:rPr>
        <w:t xml:space="preserve">This was of intestinal </w:t>
      </w:r>
      <w:r>
        <w:rPr>
          <w:rFonts w:ascii="Book Antiqua"/>
          <w:sz w:val="24"/>
          <w:szCs w:val="24"/>
        </w:rPr>
        <w:t>type based on both the Lauren as well as world health organization (WHO) classification. In view of the length of time between the patients</w:t>
      </w:r>
      <w:r>
        <w:rPr>
          <w:rFonts w:hAnsi="Book Antiqua"/>
          <w:sz w:val="24"/>
          <w:szCs w:val="24"/>
        </w:rPr>
        <w:t>’</w:t>
      </w:r>
      <w:r>
        <w:rPr>
          <w:rFonts w:ascii="Book Antiqua"/>
          <w:sz w:val="24"/>
          <w:szCs w:val="24"/>
        </w:rPr>
        <w:t>s initial gastric tumour and the current primary lesion occurring in the remnant stomach it was not felt to be a rec</w:t>
      </w:r>
      <w:r>
        <w:rPr>
          <w:rFonts w:ascii="Book Antiqua"/>
          <w:sz w:val="24"/>
          <w:szCs w:val="24"/>
        </w:rPr>
        <w:t>urrence. Immunohistochemical studies revealed the tumour cells to be positive for CK7, CK19 and CDX2 while negative for CK20 and CK5 (Figure 3). Mucicarmine staining showed intracytoplastic mucin positivity in only few tumour cells (Figure 4). Uroplakin an</w:t>
      </w:r>
      <w:r>
        <w:rPr>
          <w:rFonts w:ascii="Book Antiqua"/>
          <w:sz w:val="24"/>
          <w:szCs w:val="24"/>
        </w:rPr>
        <w:t>d HER2/neu were negative. KRAS and BRAF gene mutations were not detected. No features of a second primary tumour were found.</w:t>
      </w:r>
    </w:p>
    <w:p w14:paraId="45EE175C"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 xml:space="preserve">F-18 fluorodeoxyglucose positron emission tomography coupled with a multi-slice low-dose computed tomography scan (FDG PET/CT) was </w:t>
      </w:r>
      <w:r>
        <w:rPr>
          <w:rFonts w:ascii="Book Antiqua"/>
          <w:sz w:val="24"/>
          <w:szCs w:val="24"/>
        </w:rPr>
        <w:t>performed with FDG uptake at the site of gastric tumour and retroperitoneal lymph nodes. Additionally, hypermetabolic para-oesophageal, anterior mediastinal, para-tracheal and left supraclavicular lymph nodes were seen. There were also foci of increased FD</w:t>
      </w:r>
      <w:r>
        <w:rPr>
          <w:rFonts w:ascii="Book Antiqua"/>
          <w:sz w:val="24"/>
          <w:szCs w:val="24"/>
        </w:rPr>
        <w:t>G uptake in the T2 and T3 vertebrae consistent with bone metastasis. There was no significant FDG uptake seen in the liver.</w:t>
      </w:r>
    </w:p>
    <w:p w14:paraId="5A0302FB"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The patient underwent initial chemotherapy with 5-FU and bevacizumab. Three further cycles of chemotherapy was given using 5-FU, bev</w:t>
      </w:r>
      <w:r>
        <w:rPr>
          <w:rFonts w:ascii="Book Antiqua"/>
          <w:sz w:val="24"/>
          <w:szCs w:val="24"/>
        </w:rPr>
        <w:t xml:space="preserve">acizumab and oxaliplatin with paclitaxel added to the second cycle. </w:t>
      </w:r>
    </w:p>
    <w:p w14:paraId="409639DD"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FDG PET/CT prior to the third cycle showed good metabolic response with interval decreased FDG uptake in the stomach. Previously noted FDG avid nodes in the neck, thorax, abdomen and pelv</w:t>
      </w:r>
      <w:r>
        <w:rPr>
          <w:rFonts w:ascii="Book Antiqua"/>
          <w:sz w:val="24"/>
          <w:szCs w:val="24"/>
        </w:rPr>
        <w:t>is all showed interval resolution, metabolic resolution or decreased uptake. Interval resolution was also observed in T2 and T3 vertebrae. Serum CA 19-9 also came down to 3900 U/mL.</w:t>
      </w:r>
    </w:p>
    <w:p w14:paraId="5E36B597"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The patient showed clinical improvement with resolution of urinary symptom</w:t>
      </w:r>
      <w:r>
        <w:rPr>
          <w:rFonts w:ascii="Book Antiqua"/>
          <w:sz w:val="24"/>
          <w:szCs w:val="24"/>
        </w:rPr>
        <w:t>s and decrease in abdominal distension with good ileostomy output four months from surgery at the time of writing. He has been on regular follow-up and is planned for further chemotherapy.</w:t>
      </w:r>
    </w:p>
    <w:p w14:paraId="73E147AE" w14:textId="77777777" w:rsidR="005815E2" w:rsidRDefault="005815E2">
      <w:pPr>
        <w:spacing w:line="360" w:lineRule="auto"/>
        <w:jc w:val="both"/>
        <w:rPr>
          <w:rFonts w:ascii="Book Antiqua" w:eastAsia="Book Antiqua" w:hAnsi="Book Antiqua" w:cs="Book Antiqua"/>
          <w:sz w:val="24"/>
          <w:szCs w:val="24"/>
        </w:rPr>
      </w:pPr>
    </w:p>
    <w:p w14:paraId="2487D8A5" w14:textId="77777777" w:rsidR="005815E2" w:rsidRDefault="00252DFA">
      <w:pPr>
        <w:spacing w:after="0" w:line="360" w:lineRule="auto"/>
        <w:jc w:val="both"/>
        <w:rPr>
          <w:rFonts w:ascii="Book Antiqua Bold" w:eastAsia="Book Antiqua Bold" w:hAnsi="Book Antiqua Bold" w:cs="Book Antiqua Bold"/>
          <w:b/>
          <w:bCs/>
          <w:caps/>
          <w:sz w:val="24"/>
          <w:szCs w:val="24"/>
        </w:rPr>
      </w:pPr>
      <w:r>
        <w:rPr>
          <w:rFonts w:ascii="Book Antiqua Bold"/>
          <w:b/>
          <w:bCs/>
          <w:caps/>
          <w:sz w:val="24"/>
          <w:szCs w:val="24"/>
        </w:rPr>
        <w:t>Discussion</w:t>
      </w:r>
    </w:p>
    <w:p w14:paraId="0A8F044B" w14:textId="77777777" w:rsidR="005815E2" w:rsidRDefault="00252DFA">
      <w:pPr>
        <w:spacing w:line="360" w:lineRule="auto"/>
        <w:jc w:val="both"/>
        <w:rPr>
          <w:rFonts w:ascii="Book Antiqua" w:eastAsia="Book Antiqua" w:hAnsi="Book Antiqua" w:cs="Book Antiqua"/>
          <w:sz w:val="24"/>
          <w:szCs w:val="24"/>
        </w:rPr>
      </w:pPr>
      <w:r>
        <w:rPr>
          <w:rFonts w:ascii="Book Antiqua"/>
          <w:sz w:val="24"/>
          <w:szCs w:val="24"/>
        </w:rPr>
        <w:t>Gastric adenocarcinoma is the fourth most common cancer</w:t>
      </w:r>
      <w:r>
        <w:rPr>
          <w:rFonts w:ascii="Book Antiqua"/>
          <w:sz w:val="24"/>
          <w:szCs w:val="24"/>
        </w:rPr>
        <w:t xml:space="preserve"> worldwide, accounting for 8% of the 12.7 million new cases of cancer diagnosed in 2008</w:t>
      </w:r>
      <w:r>
        <w:rPr>
          <w:rFonts w:ascii="Book Antiqua"/>
          <w:sz w:val="24"/>
          <w:szCs w:val="24"/>
          <w:vertAlign w:val="superscript"/>
        </w:rPr>
        <w:t>[1]</w:t>
      </w:r>
      <w:r>
        <w:rPr>
          <w:rFonts w:ascii="Book Antiqua"/>
          <w:sz w:val="24"/>
          <w:szCs w:val="24"/>
        </w:rPr>
        <w:t xml:space="preserve">. More than 50% of these patients present with unresectable locally advanced or metastatic </w:t>
      </w:r>
      <w:proofErr w:type="gramStart"/>
      <w:r>
        <w:rPr>
          <w:rFonts w:ascii="Book Antiqua"/>
          <w:sz w:val="24"/>
          <w:szCs w:val="24"/>
        </w:rPr>
        <w:t>cancer</w:t>
      </w:r>
      <w:r>
        <w:rPr>
          <w:rFonts w:ascii="Book Antiqua"/>
          <w:sz w:val="24"/>
          <w:szCs w:val="24"/>
          <w:vertAlign w:val="superscript"/>
        </w:rPr>
        <w:t>[</w:t>
      </w:r>
      <w:proofErr w:type="gramEnd"/>
      <w:r>
        <w:rPr>
          <w:rFonts w:ascii="Book Antiqua"/>
          <w:sz w:val="24"/>
          <w:szCs w:val="24"/>
          <w:vertAlign w:val="superscript"/>
        </w:rPr>
        <w:t>2]</w:t>
      </w:r>
      <w:r>
        <w:rPr>
          <w:rFonts w:ascii="Book Antiqua"/>
          <w:sz w:val="24"/>
          <w:szCs w:val="24"/>
        </w:rPr>
        <w:t>, and out of those resected with curative intent, 40%-65% of cance</w:t>
      </w:r>
      <w:r>
        <w:rPr>
          <w:rFonts w:ascii="Book Antiqua"/>
          <w:sz w:val="24"/>
          <w:szCs w:val="24"/>
        </w:rPr>
        <w:t>rs will recur</w:t>
      </w:r>
      <w:r>
        <w:rPr>
          <w:rFonts w:ascii="Book Antiqua"/>
          <w:sz w:val="24"/>
          <w:szCs w:val="24"/>
          <w:vertAlign w:val="superscript"/>
        </w:rPr>
        <w:t>[3]</w:t>
      </w:r>
      <w:r>
        <w:rPr>
          <w:rFonts w:ascii="Book Antiqua"/>
          <w:sz w:val="24"/>
          <w:szCs w:val="24"/>
        </w:rPr>
        <w:t xml:space="preserve">. 79% of recurrences occur within the first 2 years of resection, 94% within 4 years and rarely </w:t>
      </w:r>
      <w:proofErr w:type="gramStart"/>
      <w:r>
        <w:rPr>
          <w:rFonts w:ascii="Book Antiqua"/>
          <w:sz w:val="24"/>
          <w:szCs w:val="24"/>
        </w:rPr>
        <w:t>after</w:t>
      </w:r>
      <w:r>
        <w:rPr>
          <w:rFonts w:ascii="Book Antiqua"/>
          <w:sz w:val="24"/>
          <w:szCs w:val="24"/>
          <w:vertAlign w:val="superscript"/>
        </w:rPr>
        <w:t>[</w:t>
      </w:r>
      <w:proofErr w:type="gramEnd"/>
      <w:r>
        <w:rPr>
          <w:rFonts w:ascii="Book Antiqua"/>
          <w:sz w:val="24"/>
          <w:szCs w:val="24"/>
          <w:vertAlign w:val="superscript"/>
        </w:rPr>
        <w:t>4]</w:t>
      </w:r>
      <w:r>
        <w:rPr>
          <w:rFonts w:ascii="Book Antiqua"/>
          <w:sz w:val="24"/>
          <w:szCs w:val="24"/>
        </w:rPr>
        <w:t>.</w:t>
      </w:r>
    </w:p>
    <w:p w14:paraId="2BA45643"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Patterns of gastric metastasis have been well studied. The most common sites of metastasis include the liver due to portal drainage, t</w:t>
      </w:r>
      <w:r>
        <w:rPr>
          <w:rFonts w:ascii="Book Antiqua"/>
          <w:sz w:val="24"/>
          <w:szCs w:val="24"/>
        </w:rPr>
        <w:t>he lungs due to lymphatic drainage, the peritoneum, and the intra-abdominal lymph nodes. Reports of spread to colonic or bladder mucosa have been rare in literature. 39 cases of gastric linitis plastica with metastases to the colon were described from 1936</w:t>
      </w:r>
      <w:r>
        <w:rPr>
          <w:rFonts w:ascii="Book Antiqua"/>
          <w:sz w:val="24"/>
          <w:szCs w:val="24"/>
        </w:rPr>
        <w:t xml:space="preserve"> to 1989; the bladder was involved in three </w:t>
      </w:r>
      <w:proofErr w:type="gramStart"/>
      <w:r>
        <w:rPr>
          <w:rFonts w:ascii="Book Antiqua"/>
          <w:sz w:val="24"/>
          <w:szCs w:val="24"/>
        </w:rPr>
        <w:t>cases</w:t>
      </w:r>
      <w:r>
        <w:rPr>
          <w:rFonts w:ascii="Book Antiqua"/>
          <w:sz w:val="24"/>
          <w:szCs w:val="24"/>
          <w:vertAlign w:val="superscript"/>
        </w:rPr>
        <w:t>[</w:t>
      </w:r>
      <w:proofErr w:type="gramEnd"/>
      <w:r>
        <w:rPr>
          <w:rFonts w:ascii="Book Antiqua"/>
          <w:sz w:val="24"/>
          <w:szCs w:val="24"/>
          <w:vertAlign w:val="superscript"/>
        </w:rPr>
        <w:t>5]</w:t>
      </w:r>
      <w:r>
        <w:rPr>
          <w:rFonts w:ascii="Book Antiqua"/>
          <w:sz w:val="24"/>
          <w:szCs w:val="24"/>
        </w:rPr>
        <w:t xml:space="preserve">. To our knowledge, only four cases of gastric cancer with colorectal </w:t>
      </w:r>
      <w:proofErr w:type="gramStart"/>
      <w:r>
        <w:rPr>
          <w:rFonts w:ascii="Book Antiqua"/>
          <w:sz w:val="24"/>
          <w:szCs w:val="24"/>
        </w:rPr>
        <w:t>metastases</w:t>
      </w:r>
      <w:r>
        <w:rPr>
          <w:rFonts w:ascii="Book Antiqua"/>
          <w:sz w:val="24"/>
          <w:szCs w:val="24"/>
          <w:vertAlign w:val="superscript"/>
        </w:rPr>
        <w:t>[</w:t>
      </w:r>
      <w:proofErr w:type="gramEnd"/>
      <w:r>
        <w:rPr>
          <w:rFonts w:ascii="Book Antiqua"/>
          <w:sz w:val="24"/>
          <w:szCs w:val="24"/>
          <w:vertAlign w:val="superscript"/>
        </w:rPr>
        <w:t>6-9]</w:t>
      </w:r>
      <w:r>
        <w:rPr>
          <w:rFonts w:ascii="Book Antiqua"/>
          <w:sz w:val="24"/>
          <w:szCs w:val="24"/>
        </w:rPr>
        <w:t xml:space="preserve"> and five cases with vesical metastases</w:t>
      </w:r>
      <w:r>
        <w:rPr>
          <w:rFonts w:ascii="Book Antiqua"/>
          <w:sz w:val="24"/>
          <w:szCs w:val="24"/>
          <w:vertAlign w:val="superscript"/>
        </w:rPr>
        <w:t>[10-13]</w:t>
      </w:r>
      <w:r>
        <w:rPr>
          <w:rFonts w:ascii="Book Antiqua"/>
          <w:sz w:val="24"/>
          <w:szCs w:val="24"/>
        </w:rPr>
        <w:t xml:space="preserve"> were described in the English language literature in the past 10 years. </w:t>
      </w:r>
      <w:r>
        <w:rPr>
          <w:rFonts w:ascii="Book Antiqua"/>
          <w:sz w:val="24"/>
          <w:szCs w:val="24"/>
        </w:rPr>
        <w:t xml:space="preserve">No other reports of concomitant colorectal and vesical metastases were found. </w:t>
      </w:r>
    </w:p>
    <w:p w14:paraId="5A8E17D6"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Six out of these nine</w:t>
      </w:r>
      <w:r>
        <w:rPr>
          <w:rFonts w:ascii="Book Antiqua"/>
          <w:color w:val="FF0000"/>
          <w:sz w:val="24"/>
          <w:szCs w:val="24"/>
          <w:u w:color="FF0000"/>
        </w:rPr>
        <w:t xml:space="preserve"> </w:t>
      </w:r>
      <w:r>
        <w:rPr>
          <w:rFonts w:ascii="Book Antiqua"/>
          <w:sz w:val="24"/>
          <w:szCs w:val="24"/>
        </w:rPr>
        <w:t>recent cases of gastric adenocarcinoma with colorectal or vesical metastases were poorly differentiated diffuse type based on the Lauren classification wit</w:t>
      </w:r>
      <w:r>
        <w:rPr>
          <w:rFonts w:ascii="Book Antiqua"/>
          <w:sz w:val="24"/>
          <w:szCs w:val="24"/>
        </w:rPr>
        <w:t xml:space="preserve">h predominant signet ring cells. </w:t>
      </w:r>
      <w:r>
        <w:rPr>
          <w:rFonts w:ascii="Book Antiqua"/>
          <w:sz w:val="24"/>
          <w:szCs w:val="24"/>
        </w:rPr>
        <w:t>Two</w:t>
      </w:r>
      <w:r>
        <w:rPr>
          <w:rFonts w:ascii="Book Antiqua"/>
          <w:sz w:val="24"/>
          <w:szCs w:val="24"/>
        </w:rPr>
        <w:t xml:space="preserve"> of the remaining cases were well differentiated intestinal </w:t>
      </w:r>
      <w:proofErr w:type="gramStart"/>
      <w:r>
        <w:rPr>
          <w:rFonts w:ascii="Book Antiqua"/>
          <w:sz w:val="24"/>
          <w:szCs w:val="24"/>
        </w:rPr>
        <w:t>type</w:t>
      </w:r>
      <w:r>
        <w:rPr>
          <w:rFonts w:ascii="Book Antiqua"/>
          <w:sz w:val="24"/>
          <w:szCs w:val="24"/>
          <w:vertAlign w:val="superscript"/>
        </w:rPr>
        <w:t>[</w:t>
      </w:r>
      <w:proofErr w:type="gramEnd"/>
      <w:r>
        <w:rPr>
          <w:rFonts w:ascii="Book Antiqua"/>
          <w:sz w:val="24"/>
          <w:szCs w:val="24"/>
          <w:vertAlign w:val="superscript"/>
        </w:rPr>
        <w:t>6,10]</w:t>
      </w:r>
      <w:r>
        <w:rPr>
          <w:rFonts w:ascii="Book Antiqua"/>
          <w:sz w:val="24"/>
          <w:szCs w:val="24"/>
        </w:rPr>
        <w:t>, while the last was an undifferentiated type with signet ring and intestinal differentiation</w:t>
      </w:r>
      <w:r>
        <w:rPr>
          <w:rFonts w:ascii="Book Antiqua"/>
          <w:sz w:val="24"/>
          <w:szCs w:val="24"/>
          <w:vertAlign w:val="superscript"/>
        </w:rPr>
        <w:t>[8]</w:t>
      </w:r>
      <w:r>
        <w:rPr>
          <w:rFonts w:ascii="Book Antiqua"/>
          <w:sz w:val="24"/>
          <w:szCs w:val="24"/>
        </w:rPr>
        <w:t xml:space="preserve">. Diffuse type adenocarcinoma have been shown to have </w:t>
      </w:r>
      <w:r>
        <w:rPr>
          <w:rFonts w:ascii="Book Antiqua"/>
          <w:sz w:val="24"/>
          <w:szCs w:val="24"/>
        </w:rPr>
        <w:t xml:space="preserve">an increased propensity for disseminated spread to multiple organs, in particular to the peritoneum, while intestinal type carcinoma more frequently spreads to the liver. Frequency of abdominal lymph node involvement was similar for both </w:t>
      </w:r>
      <w:proofErr w:type="gramStart"/>
      <w:r>
        <w:rPr>
          <w:rFonts w:ascii="Book Antiqua"/>
          <w:sz w:val="24"/>
          <w:szCs w:val="24"/>
        </w:rPr>
        <w:t>types</w:t>
      </w:r>
      <w:r>
        <w:rPr>
          <w:rFonts w:ascii="Book Antiqua"/>
          <w:sz w:val="24"/>
          <w:szCs w:val="24"/>
          <w:vertAlign w:val="superscript"/>
        </w:rPr>
        <w:t>[</w:t>
      </w:r>
      <w:proofErr w:type="gramEnd"/>
      <w:r>
        <w:rPr>
          <w:rFonts w:ascii="Book Antiqua"/>
          <w:sz w:val="24"/>
          <w:szCs w:val="24"/>
          <w:vertAlign w:val="superscript"/>
        </w:rPr>
        <w:t>14]</w:t>
      </w:r>
      <w:r>
        <w:rPr>
          <w:rFonts w:ascii="Book Antiqua"/>
          <w:sz w:val="24"/>
          <w:szCs w:val="24"/>
        </w:rPr>
        <w:t>. In a 20</w:t>
      </w:r>
      <w:r>
        <w:rPr>
          <w:rFonts w:ascii="Book Antiqua"/>
          <w:sz w:val="24"/>
          <w:szCs w:val="24"/>
        </w:rPr>
        <w:t xml:space="preserve">01 radiological study of 23 patients with intestinal metastases from gastric adenocarcinoma, 70% were linitis plastica and 74% were poorly differentiated or signet ring cell </w:t>
      </w:r>
      <w:proofErr w:type="gramStart"/>
      <w:r>
        <w:rPr>
          <w:rFonts w:ascii="Book Antiqua"/>
          <w:sz w:val="24"/>
          <w:szCs w:val="24"/>
        </w:rPr>
        <w:t>type</w:t>
      </w:r>
      <w:r>
        <w:rPr>
          <w:rFonts w:ascii="Book Antiqua"/>
          <w:sz w:val="24"/>
          <w:szCs w:val="24"/>
          <w:vertAlign w:val="superscript"/>
        </w:rPr>
        <w:t>[</w:t>
      </w:r>
      <w:proofErr w:type="gramEnd"/>
      <w:r>
        <w:rPr>
          <w:rFonts w:ascii="Book Antiqua"/>
          <w:sz w:val="24"/>
          <w:szCs w:val="24"/>
          <w:vertAlign w:val="superscript"/>
        </w:rPr>
        <w:t>15]</w:t>
      </w:r>
      <w:r>
        <w:rPr>
          <w:rFonts w:ascii="Book Antiqua"/>
          <w:sz w:val="24"/>
          <w:szCs w:val="24"/>
        </w:rPr>
        <w:t xml:space="preserve">. It is clear that an association exists between linitis plastica/diffuse </w:t>
      </w:r>
      <w:r>
        <w:rPr>
          <w:rFonts w:ascii="Book Antiqua"/>
          <w:sz w:val="24"/>
          <w:szCs w:val="24"/>
        </w:rPr>
        <w:t>type or signet ring type histology and unusual sites of metastases.</w:t>
      </w:r>
    </w:p>
    <w:p w14:paraId="1835623C"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This report is the first described with synchronous colorectal and vesical metastases from intestinal type gastric adenocarcinoma. Few signet ring cells were present in the histological sp</w:t>
      </w:r>
      <w:r>
        <w:rPr>
          <w:rFonts w:ascii="Book Antiqua"/>
          <w:sz w:val="24"/>
          <w:szCs w:val="24"/>
        </w:rPr>
        <w:t xml:space="preserve">ecimens and less than the required 50% to be labelled as signet ring carcinoma as per the WHO classification. </w:t>
      </w:r>
      <w:r>
        <w:rPr>
          <w:rFonts w:ascii="Book Antiqua"/>
          <w:sz w:val="24"/>
          <w:szCs w:val="24"/>
        </w:rPr>
        <w:t xml:space="preserve">This case was also unusual as the rectal and bladder metastases were only obvious intraluminally and initially suggestive of </w:t>
      </w:r>
      <w:r>
        <w:rPr>
          <w:rFonts w:ascii="Book Antiqua"/>
          <w:i/>
          <w:iCs/>
          <w:sz w:val="24"/>
          <w:szCs w:val="24"/>
        </w:rPr>
        <w:t>de novo</w:t>
      </w:r>
      <w:r>
        <w:rPr>
          <w:rFonts w:ascii="Book Antiqua"/>
          <w:sz w:val="24"/>
          <w:szCs w:val="24"/>
        </w:rPr>
        <w:t xml:space="preserve"> carcinoma. Wh</w:t>
      </w:r>
      <w:r>
        <w:rPr>
          <w:rFonts w:ascii="Book Antiqua"/>
          <w:sz w:val="24"/>
          <w:szCs w:val="24"/>
        </w:rPr>
        <w:t>ile the serosal biopsies were positive for cancer, no obvious masses were visible on the serosal aspect during laparoscopy.</w:t>
      </w:r>
    </w:p>
    <w:p w14:paraId="53064414"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Immunohistochemical analysis can be useful in establishing location of the primary tumour if in doubt. In this case the CK7+/CK20- p</w:t>
      </w:r>
      <w:r>
        <w:rPr>
          <w:rFonts w:ascii="Book Antiqua"/>
          <w:sz w:val="24"/>
          <w:szCs w:val="24"/>
        </w:rPr>
        <w:t xml:space="preserve">rofile of the tumour was indicative of a primary gastric carcinoma as opposed to a colorectal origin, with more than 90% of rectal primaries expressing </w:t>
      </w:r>
      <w:proofErr w:type="gramStart"/>
      <w:r>
        <w:rPr>
          <w:rFonts w:ascii="Book Antiqua"/>
          <w:sz w:val="24"/>
          <w:szCs w:val="24"/>
        </w:rPr>
        <w:t>CK20</w:t>
      </w:r>
      <w:r>
        <w:rPr>
          <w:rFonts w:ascii="Book Antiqua"/>
          <w:sz w:val="24"/>
          <w:szCs w:val="24"/>
          <w:vertAlign w:val="superscript"/>
        </w:rPr>
        <w:t>[</w:t>
      </w:r>
      <w:proofErr w:type="gramEnd"/>
      <w:r>
        <w:rPr>
          <w:rFonts w:ascii="Book Antiqua"/>
          <w:sz w:val="24"/>
          <w:szCs w:val="24"/>
          <w:vertAlign w:val="superscript"/>
        </w:rPr>
        <w:t>16]</w:t>
      </w:r>
      <w:r>
        <w:rPr>
          <w:rFonts w:ascii="Book Antiqua"/>
          <w:sz w:val="24"/>
          <w:szCs w:val="24"/>
        </w:rPr>
        <w:t xml:space="preserve">. CDX2 is a sensitive and specific marker for adenocarcinoma of the gastrointestinal tract, and </w:t>
      </w:r>
      <w:r>
        <w:rPr>
          <w:rFonts w:ascii="Book Antiqua"/>
          <w:sz w:val="24"/>
          <w:szCs w:val="24"/>
        </w:rPr>
        <w:t xml:space="preserve">is associated with both gastric intestinal metaplasia and intestinal type gastric carcinoma. CDX2 positive gastric adenocarcinoma have been demonstrated to have better outcomes and prognosis as compared to CDX2 negative </w:t>
      </w:r>
      <w:proofErr w:type="gramStart"/>
      <w:r>
        <w:rPr>
          <w:rFonts w:ascii="Book Antiqua"/>
          <w:sz w:val="24"/>
          <w:szCs w:val="24"/>
        </w:rPr>
        <w:t>tumours</w:t>
      </w:r>
      <w:r>
        <w:rPr>
          <w:rFonts w:ascii="Book Antiqua"/>
          <w:sz w:val="24"/>
          <w:szCs w:val="24"/>
          <w:vertAlign w:val="superscript"/>
        </w:rPr>
        <w:t>[</w:t>
      </w:r>
      <w:proofErr w:type="gramEnd"/>
      <w:r>
        <w:rPr>
          <w:rFonts w:ascii="Book Antiqua"/>
          <w:sz w:val="24"/>
          <w:szCs w:val="24"/>
          <w:vertAlign w:val="superscript"/>
        </w:rPr>
        <w:t>17]</w:t>
      </w:r>
      <w:r>
        <w:rPr>
          <w:rFonts w:ascii="Book Antiqua"/>
          <w:sz w:val="24"/>
          <w:szCs w:val="24"/>
        </w:rPr>
        <w:t>. A CK7+/CK20-/CDX2+ prof</w:t>
      </w:r>
      <w:r>
        <w:rPr>
          <w:rFonts w:ascii="Book Antiqua"/>
          <w:sz w:val="24"/>
          <w:szCs w:val="24"/>
        </w:rPr>
        <w:t xml:space="preserve">ile was compatible with adenocarcinoma of pancreaticobiliary origin as well; this was ruled out by PET/CT. </w:t>
      </w:r>
    </w:p>
    <w:p w14:paraId="326E9A85" w14:textId="77777777" w:rsidR="005815E2" w:rsidRDefault="00252DFA">
      <w:pPr>
        <w:spacing w:line="360" w:lineRule="auto"/>
        <w:ind w:firstLine="480"/>
        <w:jc w:val="both"/>
        <w:rPr>
          <w:rFonts w:ascii="Book Antiqua" w:eastAsia="Book Antiqua" w:hAnsi="Book Antiqua" w:cs="Book Antiqua"/>
          <w:sz w:val="24"/>
          <w:szCs w:val="24"/>
        </w:rPr>
      </w:pPr>
      <w:r>
        <w:rPr>
          <w:rFonts w:ascii="Book Antiqua"/>
          <w:sz w:val="24"/>
          <w:szCs w:val="24"/>
        </w:rPr>
        <w:t>In conclusion, albeit very rare, colorectal and vesical metastases can occur from a primary gastric adenocarcinoma. Although previously</w:t>
      </w:r>
      <w:r>
        <w:rPr>
          <w:rFonts w:ascii="Book Antiqua"/>
          <w:color w:val="FF0000"/>
          <w:sz w:val="24"/>
          <w:szCs w:val="24"/>
          <w:u w:color="FF0000"/>
        </w:rPr>
        <w:t xml:space="preserve"> </w:t>
      </w:r>
      <w:r>
        <w:rPr>
          <w:rFonts w:ascii="Book Antiqua"/>
          <w:sz w:val="24"/>
          <w:szCs w:val="24"/>
        </w:rPr>
        <w:t>more signifi</w:t>
      </w:r>
      <w:r>
        <w:rPr>
          <w:rFonts w:ascii="Book Antiqua"/>
          <w:sz w:val="24"/>
          <w:szCs w:val="24"/>
        </w:rPr>
        <w:t>cantly associated with linitis plastica, diffuse type or signet ring cell carcinoma, multiple sites of metastases to unusual locations can also occur with intestinal differentiation. Further studies can be done to shed light on the mechanism of such spread</w:t>
      </w:r>
      <w:r>
        <w:rPr>
          <w:rFonts w:ascii="Book Antiqua"/>
          <w:sz w:val="24"/>
          <w:szCs w:val="24"/>
        </w:rPr>
        <w:t xml:space="preserve"> and may likely be derived only from analyses of isolated case reports. </w:t>
      </w:r>
      <w:proofErr w:type="gramStart"/>
      <w:r>
        <w:rPr>
          <w:rFonts w:ascii="Book Antiqua"/>
          <w:sz w:val="24"/>
          <w:szCs w:val="24"/>
        </w:rPr>
        <w:t>Site specific</w:t>
      </w:r>
      <w:proofErr w:type="gramEnd"/>
      <w:r>
        <w:rPr>
          <w:rFonts w:ascii="Book Antiqua"/>
          <w:sz w:val="24"/>
          <w:szCs w:val="24"/>
        </w:rPr>
        <w:t xml:space="preserve"> symptoms should alert the clinician to the possible locations of spread so as to allow prompt diagnosis and appropriate treatment. </w:t>
      </w:r>
    </w:p>
    <w:p w14:paraId="582A9F54" w14:textId="77777777" w:rsidR="005815E2" w:rsidRDefault="005815E2">
      <w:pPr>
        <w:spacing w:after="0" w:line="360" w:lineRule="auto"/>
        <w:jc w:val="both"/>
        <w:rPr>
          <w:rFonts w:ascii="Book Antiqua Bold" w:eastAsia="Book Antiqua Bold" w:hAnsi="Book Antiqua Bold" w:cs="Book Antiqua Bold"/>
          <w:b/>
          <w:bCs/>
          <w:caps/>
          <w:sz w:val="24"/>
          <w:szCs w:val="24"/>
        </w:rPr>
      </w:pPr>
    </w:p>
    <w:p w14:paraId="762F5080" w14:textId="77777777" w:rsidR="005815E2" w:rsidRDefault="00252DFA">
      <w:pPr>
        <w:spacing w:after="0" w:line="360" w:lineRule="auto"/>
        <w:jc w:val="both"/>
        <w:rPr>
          <w:rFonts w:ascii="Book Antiqua Bold" w:eastAsia="Book Antiqua Bold" w:hAnsi="Book Antiqua Bold" w:cs="Book Antiqua Bold"/>
          <w:b/>
          <w:bCs/>
          <w:caps/>
          <w:sz w:val="24"/>
          <w:szCs w:val="24"/>
        </w:rPr>
      </w:pPr>
      <w:r>
        <w:rPr>
          <w:rFonts w:ascii="Book Antiqua Bold"/>
          <w:b/>
          <w:bCs/>
          <w:caps/>
          <w:sz w:val="24"/>
          <w:szCs w:val="24"/>
        </w:rPr>
        <w:t>Comments</w:t>
      </w:r>
    </w:p>
    <w:p w14:paraId="1030296D" w14:textId="77777777" w:rsidR="005815E2" w:rsidRDefault="00252DFA">
      <w:pPr>
        <w:spacing w:after="0" w:line="360" w:lineRule="auto"/>
        <w:jc w:val="both"/>
        <w:rPr>
          <w:rFonts w:ascii="Book Antiqua Bold" w:eastAsia="Book Antiqua Bold" w:hAnsi="Book Antiqua Bold" w:cs="Book Antiqua Bold"/>
          <w:b/>
          <w:bCs/>
          <w:i/>
          <w:iCs/>
          <w:sz w:val="24"/>
          <w:szCs w:val="24"/>
        </w:rPr>
      </w:pPr>
      <w:r>
        <w:rPr>
          <w:rFonts w:ascii="Book Antiqua Bold"/>
          <w:b/>
          <w:bCs/>
          <w:i/>
          <w:iCs/>
          <w:sz w:val="24"/>
          <w:szCs w:val="24"/>
        </w:rPr>
        <w:t>Case characteristics</w:t>
      </w:r>
    </w:p>
    <w:p w14:paraId="22B1F5DE"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A 75-ye</w:t>
      </w:r>
      <w:r>
        <w:rPr>
          <w:rFonts w:ascii="Book Antiqua"/>
          <w:sz w:val="24"/>
          <w:szCs w:val="24"/>
        </w:rPr>
        <w:t>ar-old male presented with difficult defecation and increasing urinary frequency over a few months.</w:t>
      </w:r>
    </w:p>
    <w:p w14:paraId="20321320" w14:textId="77777777" w:rsidR="005815E2" w:rsidRDefault="005815E2">
      <w:pPr>
        <w:pStyle w:val="ListParagraph"/>
        <w:spacing w:after="0" w:line="360" w:lineRule="auto"/>
        <w:ind w:left="0"/>
        <w:jc w:val="both"/>
        <w:rPr>
          <w:rFonts w:ascii="Book Antiqua" w:eastAsia="Book Antiqua" w:hAnsi="Book Antiqua" w:cs="Book Antiqua"/>
          <w:i/>
          <w:iCs/>
          <w:sz w:val="24"/>
          <w:szCs w:val="24"/>
        </w:rPr>
      </w:pPr>
    </w:p>
    <w:p w14:paraId="3C14856C"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Clinical diagnosis</w:t>
      </w:r>
    </w:p>
    <w:p w14:paraId="7A4F4F0E"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 xml:space="preserve">Rectal examination revealed nodular masses causing tight stricturing of the anal canal while endoscopy showed a gastric mass and </w:t>
      </w:r>
      <w:r>
        <w:rPr>
          <w:rFonts w:ascii="Book Antiqua"/>
          <w:sz w:val="24"/>
          <w:szCs w:val="24"/>
        </w:rPr>
        <w:t>intravesical tumour growth.</w:t>
      </w:r>
    </w:p>
    <w:p w14:paraId="4F98CF96"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34607EF1"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Differential diagnosis</w:t>
      </w:r>
    </w:p>
    <w:p w14:paraId="74F2A808" w14:textId="77777777" w:rsidR="005815E2" w:rsidRDefault="00252DFA">
      <w:pPr>
        <w:pStyle w:val="ListParagraph"/>
        <w:spacing w:after="0" w:line="360" w:lineRule="auto"/>
        <w:ind w:left="0"/>
        <w:jc w:val="both"/>
        <w:rPr>
          <w:rFonts w:ascii="Book Antiqua Bold" w:eastAsia="Book Antiqua Bold" w:hAnsi="Book Antiqua Bold" w:cs="Book Antiqua Bold"/>
          <w:b/>
          <w:bCs/>
          <w:sz w:val="24"/>
          <w:szCs w:val="24"/>
        </w:rPr>
      </w:pPr>
      <w:proofErr w:type="gramStart"/>
      <w:r>
        <w:rPr>
          <w:rFonts w:ascii="Book Antiqua"/>
          <w:sz w:val="24"/>
          <w:szCs w:val="24"/>
        </w:rPr>
        <w:t xml:space="preserve">Metastatic gastric adenocarcinoma </w:t>
      </w:r>
      <w:r>
        <w:rPr>
          <w:rFonts w:ascii="Book Antiqua"/>
          <w:i/>
          <w:iCs/>
          <w:sz w:val="24"/>
          <w:szCs w:val="24"/>
        </w:rPr>
        <w:t>vs</w:t>
      </w:r>
      <w:r>
        <w:rPr>
          <w:rFonts w:ascii="Book Antiqua"/>
          <w:sz w:val="24"/>
          <w:szCs w:val="24"/>
        </w:rPr>
        <w:t xml:space="preserve"> </w:t>
      </w:r>
      <w:r>
        <w:rPr>
          <w:rFonts w:ascii="Book Antiqua"/>
          <w:i/>
          <w:iCs/>
          <w:sz w:val="24"/>
          <w:szCs w:val="24"/>
        </w:rPr>
        <w:t>de novo</w:t>
      </w:r>
      <w:r>
        <w:rPr>
          <w:rFonts w:ascii="Book Antiqua"/>
          <w:sz w:val="24"/>
          <w:szCs w:val="24"/>
        </w:rPr>
        <w:t xml:space="preserve"> rectal or bladder carcinoma.</w:t>
      </w:r>
      <w:proofErr w:type="gramEnd"/>
    </w:p>
    <w:p w14:paraId="1C253BDC"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5B7631A0"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Laboratory diagnosis</w:t>
      </w:r>
    </w:p>
    <w:p w14:paraId="605AA4A2" w14:textId="77777777" w:rsidR="005815E2" w:rsidRDefault="00252DFA">
      <w:pPr>
        <w:pStyle w:val="ListParagraph"/>
        <w:spacing w:after="0" w:line="360" w:lineRule="auto"/>
        <w:ind w:left="0"/>
        <w:jc w:val="both"/>
        <w:rPr>
          <w:rFonts w:ascii="Book Antiqua Bold" w:eastAsia="Book Antiqua Bold" w:hAnsi="Book Antiqua Bold" w:cs="Book Antiqua Bold"/>
          <w:b/>
          <w:bCs/>
          <w:sz w:val="24"/>
          <w:szCs w:val="24"/>
        </w:rPr>
      </w:pPr>
      <w:r>
        <w:rPr>
          <w:rFonts w:ascii="Book Antiqua"/>
          <w:sz w:val="24"/>
          <w:szCs w:val="24"/>
        </w:rPr>
        <w:t xml:space="preserve">Serum CEA and CA 19-9 were markedly elevated at 31.6 </w:t>
      </w:r>
      <w:r>
        <w:rPr>
          <w:rFonts w:hAnsi="Book Antiqua"/>
          <w:sz w:val="24"/>
          <w:szCs w:val="24"/>
        </w:rPr>
        <w:t>µ</w:t>
      </w:r>
      <w:r>
        <w:rPr>
          <w:rFonts w:ascii="Book Antiqua"/>
          <w:sz w:val="24"/>
          <w:szCs w:val="24"/>
        </w:rPr>
        <w:t xml:space="preserve">g/L (normal 0-5 </w:t>
      </w:r>
      <w:r>
        <w:rPr>
          <w:rFonts w:hAnsi="Book Antiqua"/>
          <w:sz w:val="24"/>
          <w:szCs w:val="24"/>
        </w:rPr>
        <w:t>µ</w:t>
      </w:r>
      <w:r>
        <w:rPr>
          <w:rFonts w:ascii="Book Antiqua"/>
          <w:sz w:val="24"/>
          <w:szCs w:val="24"/>
        </w:rPr>
        <w:t xml:space="preserve">g/L) and 30523 U/mL (normal 0-37 </w:t>
      </w:r>
      <w:r>
        <w:rPr>
          <w:rFonts w:ascii="Book Antiqua"/>
          <w:sz w:val="24"/>
          <w:szCs w:val="24"/>
        </w:rPr>
        <w:t>U/mL) respectively.</w:t>
      </w:r>
    </w:p>
    <w:p w14:paraId="106ACF12"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6C968E73"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Imaging diagnosis</w:t>
      </w:r>
    </w:p>
    <w:p w14:paraId="66E3B25C"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Computed tomography showed a gastric mass, rectal and bladder thickening as well as extensive lymphadenopathy.</w:t>
      </w:r>
    </w:p>
    <w:p w14:paraId="483E5281" w14:textId="77777777" w:rsidR="005815E2" w:rsidRDefault="005815E2">
      <w:pPr>
        <w:pStyle w:val="ListParagraph"/>
        <w:spacing w:after="0" w:line="360" w:lineRule="auto"/>
        <w:ind w:left="0"/>
        <w:jc w:val="both"/>
        <w:rPr>
          <w:rFonts w:ascii="Book Antiqua" w:eastAsia="Book Antiqua" w:hAnsi="Book Antiqua" w:cs="Book Antiqua"/>
          <w:sz w:val="24"/>
          <w:szCs w:val="24"/>
        </w:rPr>
      </w:pPr>
    </w:p>
    <w:p w14:paraId="19F00BF6"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Pathological diagnosis</w:t>
      </w:r>
    </w:p>
    <w:p w14:paraId="2907A1D4"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Histological analyses of all biopsy specimens were compatible with metastatic gast</w:t>
      </w:r>
      <w:r>
        <w:rPr>
          <w:rFonts w:ascii="Book Antiqua"/>
          <w:sz w:val="24"/>
          <w:szCs w:val="24"/>
        </w:rPr>
        <w:t>ric adenocarcinoma of intestinal type differentiation based on Lauren classification.</w:t>
      </w:r>
    </w:p>
    <w:p w14:paraId="24D8041B" w14:textId="77777777" w:rsidR="005815E2" w:rsidRDefault="005815E2">
      <w:pPr>
        <w:pStyle w:val="ListParagraph"/>
        <w:spacing w:after="0" w:line="360" w:lineRule="auto"/>
        <w:ind w:left="0"/>
        <w:jc w:val="both"/>
        <w:rPr>
          <w:rFonts w:ascii="Book Antiqua" w:eastAsia="Book Antiqua" w:hAnsi="Book Antiqua" w:cs="Book Antiqua"/>
          <w:sz w:val="24"/>
          <w:szCs w:val="24"/>
        </w:rPr>
      </w:pPr>
    </w:p>
    <w:p w14:paraId="0E223B3B"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Treatment</w:t>
      </w:r>
    </w:p>
    <w:p w14:paraId="5246FB7B"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A defunctioning ileostomy was performed to relieve impending obstruction and the patient underwent palliative chemotherapy with good response.</w:t>
      </w:r>
    </w:p>
    <w:p w14:paraId="082A8E9B" w14:textId="77777777" w:rsidR="005815E2" w:rsidRDefault="005815E2">
      <w:pPr>
        <w:pStyle w:val="ListParagraph"/>
        <w:spacing w:after="0" w:line="360" w:lineRule="auto"/>
        <w:ind w:left="0"/>
        <w:jc w:val="both"/>
        <w:rPr>
          <w:rFonts w:ascii="Book Antiqua" w:eastAsia="Book Antiqua" w:hAnsi="Book Antiqua" w:cs="Book Antiqua"/>
          <w:sz w:val="24"/>
          <w:szCs w:val="24"/>
        </w:rPr>
      </w:pPr>
    </w:p>
    <w:p w14:paraId="63AD7984"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Related reports</w:t>
      </w:r>
    </w:p>
    <w:p w14:paraId="111BB96A"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 xml:space="preserve">Incidences in literature of colorectal or bladder metastases from a primary gastric adenocarcinoma are rare. Most reported cases are associated with diffuse type adenocarcinoma or linitis plastica rather than intestinal type. </w:t>
      </w:r>
    </w:p>
    <w:p w14:paraId="6FA4BFAB"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1E59EAC0"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Term explanation</w:t>
      </w:r>
    </w:p>
    <w:p w14:paraId="7A8F8351" w14:textId="77777777" w:rsidR="005815E2" w:rsidRDefault="00252DFA">
      <w:pPr>
        <w:pStyle w:val="ListParagraph"/>
        <w:spacing w:after="0" w:line="360" w:lineRule="auto"/>
        <w:ind w:left="0"/>
        <w:jc w:val="both"/>
        <w:rPr>
          <w:rFonts w:ascii="Book Antiqua" w:eastAsia="Book Antiqua" w:hAnsi="Book Antiqua" w:cs="Book Antiqua"/>
          <w:sz w:val="24"/>
          <w:szCs w:val="24"/>
        </w:rPr>
      </w:pPr>
      <w:r>
        <w:rPr>
          <w:rFonts w:ascii="Book Antiqua"/>
          <w:sz w:val="24"/>
          <w:szCs w:val="24"/>
        </w:rPr>
        <w:t>Cytokerati</w:t>
      </w:r>
      <w:r>
        <w:rPr>
          <w:rFonts w:ascii="Book Antiqua"/>
          <w:sz w:val="24"/>
          <w:szCs w:val="24"/>
        </w:rPr>
        <w:t xml:space="preserve">ns are intermediate filament proteins found in normal epithelium, which have preserved expression in neoplastic cells. This allows the detection of specific cytokeratins to be useful tools in determining the origin of metastatic carcinoma. </w:t>
      </w:r>
    </w:p>
    <w:p w14:paraId="6EADA3C6"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1670CBC2"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Experiences an</w:t>
      </w:r>
      <w:r>
        <w:rPr>
          <w:rFonts w:ascii="Book Antiqua Bold"/>
          <w:b/>
          <w:bCs/>
          <w:i/>
          <w:iCs/>
          <w:sz w:val="24"/>
          <w:szCs w:val="24"/>
        </w:rPr>
        <w:t>d lessons</w:t>
      </w:r>
    </w:p>
    <w:p w14:paraId="00458974" w14:textId="77777777" w:rsidR="005815E2" w:rsidRDefault="00252DFA">
      <w:pPr>
        <w:pStyle w:val="ListParagraph"/>
        <w:spacing w:after="0" w:line="360" w:lineRule="auto"/>
        <w:ind w:left="0"/>
        <w:jc w:val="both"/>
        <w:rPr>
          <w:rFonts w:ascii="Book Antiqua Bold" w:eastAsia="Book Antiqua Bold" w:hAnsi="Book Antiqua Bold" w:cs="Book Antiqua Bold"/>
          <w:b/>
          <w:bCs/>
          <w:sz w:val="24"/>
          <w:szCs w:val="24"/>
        </w:rPr>
      </w:pPr>
      <w:r>
        <w:rPr>
          <w:rFonts w:ascii="Book Antiqua"/>
          <w:sz w:val="24"/>
          <w:szCs w:val="24"/>
        </w:rPr>
        <w:t xml:space="preserve">Multiple sites of metastases to unusual locations can occur with intestinal type gastric adenocarcinoma and </w:t>
      </w:r>
      <w:proofErr w:type="gramStart"/>
      <w:r>
        <w:rPr>
          <w:rFonts w:ascii="Book Antiqua"/>
          <w:sz w:val="24"/>
          <w:szCs w:val="24"/>
        </w:rPr>
        <w:t>site specific</w:t>
      </w:r>
      <w:proofErr w:type="gramEnd"/>
      <w:r>
        <w:rPr>
          <w:rFonts w:ascii="Book Antiqua"/>
          <w:sz w:val="24"/>
          <w:szCs w:val="24"/>
        </w:rPr>
        <w:t xml:space="preserve"> symptoms should alert the clinician to the possible locations of spread.</w:t>
      </w:r>
    </w:p>
    <w:p w14:paraId="06B6CE8F" w14:textId="77777777" w:rsidR="005815E2" w:rsidRDefault="005815E2">
      <w:pPr>
        <w:pStyle w:val="ListParagraph"/>
        <w:spacing w:after="0" w:line="360" w:lineRule="auto"/>
        <w:ind w:left="0"/>
        <w:jc w:val="both"/>
        <w:rPr>
          <w:rFonts w:ascii="Book Antiqua Bold" w:eastAsia="Book Antiqua Bold" w:hAnsi="Book Antiqua Bold" w:cs="Book Antiqua Bold"/>
          <w:b/>
          <w:bCs/>
          <w:i/>
          <w:iCs/>
          <w:sz w:val="24"/>
          <w:szCs w:val="24"/>
        </w:rPr>
      </w:pPr>
    </w:p>
    <w:p w14:paraId="2E1EE5E5" w14:textId="77777777" w:rsidR="005815E2" w:rsidRDefault="00252DFA">
      <w:pPr>
        <w:pStyle w:val="ListParagraph"/>
        <w:spacing w:after="0" w:line="360" w:lineRule="auto"/>
        <w:ind w:left="0"/>
        <w:jc w:val="both"/>
        <w:rPr>
          <w:rFonts w:ascii="Book Antiqua Bold" w:eastAsia="Book Antiqua Bold" w:hAnsi="Book Antiqua Bold" w:cs="Book Antiqua Bold"/>
          <w:b/>
          <w:bCs/>
          <w:i/>
          <w:iCs/>
          <w:sz w:val="24"/>
          <w:szCs w:val="24"/>
        </w:rPr>
      </w:pPr>
      <w:r>
        <w:rPr>
          <w:rFonts w:ascii="Book Antiqua Bold"/>
          <w:b/>
          <w:bCs/>
          <w:i/>
          <w:iCs/>
          <w:sz w:val="24"/>
          <w:szCs w:val="24"/>
        </w:rPr>
        <w:t>Peer-review</w:t>
      </w:r>
    </w:p>
    <w:p w14:paraId="72664EE8" w14:textId="77777777" w:rsidR="005815E2" w:rsidRDefault="00252DFA">
      <w:pPr>
        <w:spacing w:line="360" w:lineRule="auto"/>
        <w:jc w:val="both"/>
        <w:rPr>
          <w:rFonts w:ascii="Book Antiqua" w:eastAsia="Book Antiqua" w:hAnsi="Book Antiqua" w:cs="Book Antiqua"/>
          <w:sz w:val="24"/>
          <w:szCs w:val="24"/>
        </w:rPr>
      </w:pPr>
      <w:r>
        <w:rPr>
          <w:rFonts w:ascii="Book Antiqua"/>
          <w:sz w:val="24"/>
          <w:szCs w:val="24"/>
        </w:rPr>
        <w:t xml:space="preserve">It is a very unsual case of gastric </w:t>
      </w:r>
      <w:r>
        <w:rPr>
          <w:rFonts w:ascii="Book Antiqua"/>
          <w:sz w:val="24"/>
          <w:szCs w:val="24"/>
        </w:rPr>
        <w:t xml:space="preserve">Ca. with long time distal relapse in colon, bladder and huge abdominal lymph nodes. </w:t>
      </w:r>
      <w:proofErr w:type="gramStart"/>
      <w:r>
        <w:rPr>
          <w:rFonts w:ascii="Book Antiqua"/>
          <w:sz w:val="24"/>
          <w:szCs w:val="24"/>
        </w:rPr>
        <w:t>Sp</w:t>
      </w:r>
      <w:bookmarkStart w:id="2" w:name="_GoBack"/>
      <w:bookmarkEnd w:id="2"/>
      <w:r>
        <w:rPr>
          <w:rFonts w:ascii="Book Antiqua"/>
          <w:sz w:val="24"/>
          <w:szCs w:val="24"/>
        </w:rPr>
        <w:t>ecially</w:t>
      </w:r>
      <w:proofErr w:type="gramEnd"/>
      <w:r>
        <w:rPr>
          <w:rFonts w:ascii="Book Antiqua"/>
          <w:sz w:val="24"/>
          <w:szCs w:val="24"/>
        </w:rPr>
        <w:t xml:space="preserve"> remarkable is that primary tumor ocurred 20 year ago.</w:t>
      </w:r>
    </w:p>
    <w:p w14:paraId="59EE0B3C" w14:textId="77777777" w:rsidR="005815E2" w:rsidRDefault="005815E2">
      <w:pPr>
        <w:spacing w:line="360" w:lineRule="auto"/>
        <w:jc w:val="both"/>
        <w:rPr>
          <w:rFonts w:ascii="Book Antiqua" w:eastAsia="Book Antiqua" w:hAnsi="Book Antiqua" w:cs="Book Antiqua"/>
          <w:sz w:val="24"/>
          <w:szCs w:val="24"/>
        </w:rPr>
      </w:pPr>
    </w:p>
    <w:p w14:paraId="1C31E314" w14:textId="77777777" w:rsidR="005815E2" w:rsidRDefault="00252DFA">
      <w:pPr>
        <w:spacing w:after="0" w:line="360" w:lineRule="auto"/>
        <w:jc w:val="both"/>
        <w:rPr>
          <w:rFonts w:ascii="Book Antiqua Bold" w:eastAsia="Book Antiqua Bold" w:hAnsi="Book Antiqua Bold" w:cs="Book Antiqua Bold"/>
          <w:b/>
          <w:bCs/>
          <w:caps/>
          <w:sz w:val="24"/>
          <w:szCs w:val="24"/>
        </w:rPr>
      </w:pPr>
      <w:r>
        <w:rPr>
          <w:rFonts w:ascii="Book Antiqua Bold"/>
          <w:b/>
          <w:bCs/>
          <w:caps/>
          <w:sz w:val="24"/>
          <w:szCs w:val="24"/>
        </w:rPr>
        <w:t>References</w:t>
      </w:r>
    </w:p>
    <w:p w14:paraId="40E1276B" w14:textId="77777777" w:rsidR="005815E2" w:rsidRDefault="00252DFA">
      <w:pPr>
        <w:jc w:val="both"/>
        <w:rPr>
          <w:rFonts w:ascii="Book Antiqua" w:eastAsia="Book Antiqua" w:hAnsi="Book Antiqua" w:cs="Book Antiqua"/>
          <w:sz w:val="24"/>
          <w:szCs w:val="24"/>
        </w:rPr>
      </w:pPr>
      <w:r>
        <w:rPr>
          <w:rFonts w:ascii="Book Antiqua"/>
          <w:sz w:val="24"/>
          <w:szCs w:val="24"/>
        </w:rPr>
        <w:t xml:space="preserve">1 </w:t>
      </w:r>
      <w:r>
        <w:rPr>
          <w:rFonts w:ascii="Book Antiqua Bold"/>
          <w:b/>
          <w:bCs/>
          <w:sz w:val="24"/>
          <w:szCs w:val="24"/>
        </w:rPr>
        <w:t>Ferlay J</w:t>
      </w:r>
      <w:r>
        <w:rPr>
          <w:rFonts w:ascii="Book Antiqua"/>
          <w:sz w:val="24"/>
          <w:szCs w:val="24"/>
        </w:rPr>
        <w:t xml:space="preserve">, Soerjomataram I, Ervik M, Dikshit R, Eser S, Mathers C, Rebelo M, Parkin DM, Forman </w:t>
      </w:r>
      <w:r>
        <w:rPr>
          <w:rFonts w:ascii="Book Antiqua"/>
          <w:sz w:val="24"/>
          <w:szCs w:val="24"/>
        </w:rPr>
        <w:t>D, Bray F. GLOBOCAN 2012 v1.0, Cancer Incidence and Mortality Worldwide: IARC CancerBase No. 11 [Internet]. Lyon, France: International Agency for Research on Cancer; 2013. Available from: URL: http: //globocan.iarc.fr</w:t>
      </w:r>
    </w:p>
    <w:p w14:paraId="18B213B5" w14:textId="77777777" w:rsidR="005815E2" w:rsidRDefault="00252DFA">
      <w:pPr>
        <w:jc w:val="both"/>
        <w:rPr>
          <w:rFonts w:ascii="Book Antiqua" w:eastAsia="Book Antiqua" w:hAnsi="Book Antiqua" w:cs="Book Antiqua"/>
          <w:sz w:val="24"/>
          <w:szCs w:val="24"/>
        </w:rPr>
      </w:pPr>
      <w:r>
        <w:rPr>
          <w:rFonts w:ascii="Book Antiqua"/>
          <w:sz w:val="24"/>
          <w:szCs w:val="24"/>
        </w:rPr>
        <w:t>2</w:t>
      </w:r>
      <w:r>
        <w:rPr>
          <w:rFonts w:hAnsi="Book Antiqua"/>
          <w:sz w:val="24"/>
          <w:szCs w:val="24"/>
        </w:rPr>
        <w:t> </w:t>
      </w:r>
      <w:r>
        <w:rPr>
          <w:rFonts w:ascii="Book Antiqua Bold"/>
          <w:b/>
          <w:bCs/>
          <w:sz w:val="24"/>
          <w:szCs w:val="24"/>
        </w:rPr>
        <w:t>Thompson GB</w:t>
      </w:r>
      <w:r>
        <w:rPr>
          <w:rFonts w:ascii="Book Antiqua"/>
          <w:sz w:val="24"/>
          <w:szCs w:val="24"/>
        </w:rPr>
        <w:t>, van Heerden JA, Sarr M</w:t>
      </w:r>
      <w:r>
        <w:rPr>
          <w:rFonts w:ascii="Book Antiqua"/>
          <w:sz w:val="24"/>
          <w:szCs w:val="24"/>
        </w:rPr>
        <w:t>G. Adenocarcinoma of the stomach: are we making progress?</w:t>
      </w:r>
      <w:r>
        <w:rPr>
          <w:rFonts w:hAnsi="Book Antiqua"/>
          <w:sz w:val="24"/>
          <w:szCs w:val="24"/>
        </w:rPr>
        <w:t> </w:t>
      </w:r>
      <w:r>
        <w:rPr>
          <w:rFonts w:ascii="Book Antiqua"/>
          <w:i/>
          <w:iCs/>
          <w:sz w:val="24"/>
          <w:szCs w:val="24"/>
        </w:rPr>
        <w:t>Lancet</w:t>
      </w:r>
      <w:r>
        <w:rPr>
          <w:rFonts w:hAnsi="Book Antiqua"/>
          <w:sz w:val="24"/>
          <w:szCs w:val="24"/>
        </w:rPr>
        <w:t> </w:t>
      </w:r>
      <w:r>
        <w:rPr>
          <w:rFonts w:ascii="Book Antiqua"/>
          <w:sz w:val="24"/>
          <w:szCs w:val="24"/>
        </w:rPr>
        <w:t>1993;</w:t>
      </w:r>
      <w:r>
        <w:rPr>
          <w:rFonts w:hAnsi="Book Antiqua"/>
          <w:sz w:val="24"/>
          <w:szCs w:val="24"/>
        </w:rPr>
        <w:t> </w:t>
      </w:r>
      <w:r>
        <w:rPr>
          <w:rFonts w:ascii="Book Antiqua Bold"/>
          <w:b/>
          <w:bCs/>
          <w:sz w:val="24"/>
          <w:szCs w:val="24"/>
        </w:rPr>
        <w:t>342</w:t>
      </w:r>
      <w:r>
        <w:rPr>
          <w:rFonts w:ascii="Book Antiqua"/>
          <w:sz w:val="24"/>
          <w:szCs w:val="24"/>
        </w:rPr>
        <w:t>: 713-718 [PMID: 8103825 DOI: 10.1016/0140-6736(</w:t>
      </w:r>
      <w:proofErr w:type="gramStart"/>
      <w:r>
        <w:rPr>
          <w:rFonts w:ascii="Book Antiqua"/>
          <w:sz w:val="24"/>
          <w:szCs w:val="24"/>
        </w:rPr>
        <w:t>93)91711</w:t>
      </w:r>
      <w:proofErr w:type="gramEnd"/>
      <w:r>
        <w:rPr>
          <w:rFonts w:ascii="Book Antiqua"/>
          <w:sz w:val="24"/>
          <w:szCs w:val="24"/>
        </w:rPr>
        <w:t>-T]</w:t>
      </w:r>
    </w:p>
    <w:p w14:paraId="02AAC672" w14:textId="77777777" w:rsidR="005815E2" w:rsidRDefault="00252DFA">
      <w:pPr>
        <w:jc w:val="both"/>
        <w:rPr>
          <w:rFonts w:ascii="Book Antiqua" w:eastAsia="Book Antiqua" w:hAnsi="Book Antiqua" w:cs="Book Antiqua"/>
          <w:sz w:val="24"/>
          <w:szCs w:val="24"/>
        </w:rPr>
      </w:pPr>
      <w:r>
        <w:rPr>
          <w:rFonts w:ascii="Book Antiqua"/>
          <w:sz w:val="24"/>
          <w:szCs w:val="24"/>
        </w:rPr>
        <w:t>3</w:t>
      </w:r>
      <w:r>
        <w:rPr>
          <w:rFonts w:hAnsi="Book Antiqua"/>
          <w:sz w:val="24"/>
          <w:szCs w:val="24"/>
        </w:rPr>
        <w:t> </w:t>
      </w:r>
      <w:r>
        <w:rPr>
          <w:rFonts w:ascii="Book Antiqua Bold"/>
          <w:b/>
          <w:bCs/>
          <w:sz w:val="24"/>
          <w:szCs w:val="24"/>
        </w:rPr>
        <w:t>Macdonald JS</w:t>
      </w:r>
      <w:r>
        <w:rPr>
          <w:rFonts w:ascii="Book Antiqua"/>
          <w:sz w:val="24"/>
          <w:szCs w:val="24"/>
        </w:rPr>
        <w:t>, Smalley SR, Benedetti J, Hundahl SA, Estes NC, Stemmermann GN, Haller DG, Ajani JA, Gunderson LL, Jessup J</w:t>
      </w:r>
      <w:r>
        <w:rPr>
          <w:rFonts w:ascii="Book Antiqua"/>
          <w:sz w:val="24"/>
          <w:szCs w:val="24"/>
        </w:rPr>
        <w:t>M, Martenson JA. Chemoradiotherapy after surgery compared with surgery alone for adenocarcinoma of the stomach or gastroesophageal junction.</w:t>
      </w:r>
      <w:r>
        <w:rPr>
          <w:rFonts w:hAnsi="Book Antiqua"/>
          <w:sz w:val="24"/>
          <w:szCs w:val="24"/>
        </w:rPr>
        <w:t> </w:t>
      </w:r>
      <w:r>
        <w:rPr>
          <w:rFonts w:ascii="Book Antiqua"/>
          <w:i/>
          <w:iCs/>
          <w:sz w:val="24"/>
          <w:szCs w:val="24"/>
        </w:rPr>
        <w:t>N Engl J Med</w:t>
      </w:r>
      <w:r>
        <w:rPr>
          <w:rFonts w:hAnsi="Book Antiqua"/>
          <w:sz w:val="24"/>
          <w:szCs w:val="24"/>
        </w:rPr>
        <w:t> </w:t>
      </w:r>
      <w:r>
        <w:rPr>
          <w:rFonts w:ascii="Book Antiqua"/>
          <w:sz w:val="24"/>
          <w:szCs w:val="24"/>
        </w:rPr>
        <w:t>2001;</w:t>
      </w:r>
      <w:r>
        <w:rPr>
          <w:rFonts w:hAnsi="Book Antiqua"/>
          <w:sz w:val="24"/>
          <w:szCs w:val="24"/>
        </w:rPr>
        <w:t> </w:t>
      </w:r>
      <w:r>
        <w:rPr>
          <w:rFonts w:ascii="Book Antiqua Bold"/>
          <w:b/>
          <w:bCs/>
          <w:sz w:val="24"/>
          <w:szCs w:val="24"/>
        </w:rPr>
        <w:t>345</w:t>
      </w:r>
      <w:r>
        <w:rPr>
          <w:rFonts w:ascii="Book Antiqua"/>
          <w:sz w:val="24"/>
          <w:szCs w:val="24"/>
        </w:rPr>
        <w:t>: 725-730 [PMID: 11547741 DOI: 10.1056/NEJMoa010187]</w:t>
      </w:r>
    </w:p>
    <w:p w14:paraId="6C8BC606" w14:textId="77777777" w:rsidR="005815E2" w:rsidRDefault="00252DFA">
      <w:pPr>
        <w:jc w:val="both"/>
        <w:rPr>
          <w:rFonts w:ascii="Book Antiqua" w:eastAsia="Book Antiqua" w:hAnsi="Book Antiqua" w:cs="Book Antiqua"/>
          <w:sz w:val="24"/>
          <w:szCs w:val="24"/>
        </w:rPr>
      </w:pPr>
      <w:r>
        <w:rPr>
          <w:rFonts w:ascii="Book Antiqua"/>
          <w:sz w:val="24"/>
          <w:szCs w:val="24"/>
        </w:rPr>
        <w:t>4</w:t>
      </w:r>
      <w:r>
        <w:rPr>
          <w:rFonts w:hAnsi="Book Antiqua"/>
          <w:sz w:val="24"/>
          <w:szCs w:val="24"/>
        </w:rPr>
        <w:t> </w:t>
      </w:r>
      <w:r>
        <w:rPr>
          <w:rFonts w:ascii="Book Antiqua Bold"/>
          <w:b/>
          <w:bCs/>
          <w:sz w:val="24"/>
          <w:szCs w:val="24"/>
        </w:rPr>
        <w:t>D'Angelica M</w:t>
      </w:r>
      <w:r>
        <w:rPr>
          <w:rFonts w:ascii="Book Antiqua"/>
          <w:sz w:val="24"/>
          <w:szCs w:val="24"/>
        </w:rPr>
        <w:t>, Gonen M, Brennan MF, Tur</w:t>
      </w:r>
      <w:r>
        <w:rPr>
          <w:rFonts w:ascii="Book Antiqua"/>
          <w:sz w:val="24"/>
          <w:szCs w:val="24"/>
        </w:rPr>
        <w:t>nbull AD, Bains M, Karpeh MS. Patterns of initial recurrence in completely resected gastric adenocarcinoma.</w:t>
      </w:r>
      <w:r>
        <w:rPr>
          <w:rFonts w:hAnsi="Book Antiqua"/>
          <w:sz w:val="24"/>
          <w:szCs w:val="24"/>
        </w:rPr>
        <w:t> </w:t>
      </w:r>
      <w:r>
        <w:rPr>
          <w:rFonts w:ascii="Book Antiqua"/>
          <w:i/>
          <w:iCs/>
          <w:sz w:val="24"/>
          <w:szCs w:val="24"/>
        </w:rPr>
        <w:t>Ann Surg</w:t>
      </w:r>
      <w:r>
        <w:rPr>
          <w:rFonts w:hAnsi="Book Antiqua"/>
          <w:sz w:val="24"/>
          <w:szCs w:val="24"/>
        </w:rPr>
        <w:t> </w:t>
      </w:r>
      <w:r>
        <w:rPr>
          <w:rFonts w:ascii="Book Antiqua"/>
          <w:sz w:val="24"/>
          <w:szCs w:val="24"/>
        </w:rPr>
        <w:t>2004;</w:t>
      </w:r>
      <w:r>
        <w:rPr>
          <w:rFonts w:hAnsi="Book Antiqua"/>
          <w:sz w:val="24"/>
          <w:szCs w:val="24"/>
        </w:rPr>
        <w:t> </w:t>
      </w:r>
      <w:r>
        <w:rPr>
          <w:rFonts w:ascii="Book Antiqua Bold"/>
          <w:b/>
          <w:bCs/>
          <w:sz w:val="24"/>
          <w:szCs w:val="24"/>
        </w:rPr>
        <w:t>240</w:t>
      </w:r>
      <w:r>
        <w:rPr>
          <w:rFonts w:ascii="Book Antiqua"/>
          <w:sz w:val="24"/>
          <w:szCs w:val="24"/>
        </w:rPr>
        <w:t>: 808-816 [PMID: 15492562 DOI: 10.1097/01.sla.0000143245.28656.15]</w:t>
      </w:r>
    </w:p>
    <w:p w14:paraId="4938C061" w14:textId="77777777" w:rsidR="005815E2" w:rsidRDefault="00252DFA">
      <w:pPr>
        <w:jc w:val="both"/>
        <w:rPr>
          <w:rFonts w:ascii="Book Antiqua" w:eastAsia="Book Antiqua" w:hAnsi="Book Antiqua" w:cs="Book Antiqua"/>
          <w:sz w:val="24"/>
          <w:szCs w:val="24"/>
        </w:rPr>
      </w:pPr>
      <w:r>
        <w:rPr>
          <w:rFonts w:ascii="Book Antiqua"/>
          <w:sz w:val="24"/>
          <w:szCs w:val="24"/>
        </w:rPr>
        <w:t>5</w:t>
      </w:r>
      <w:r>
        <w:rPr>
          <w:rFonts w:hAnsi="Book Antiqua"/>
          <w:sz w:val="24"/>
          <w:szCs w:val="24"/>
        </w:rPr>
        <w:t> </w:t>
      </w:r>
      <w:r>
        <w:rPr>
          <w:rFonts w:ascii="Book Antiqua Bold"/>
          <w:b/>
          <w:bCs/>
          <w:sz w:val="24"/>
          <w:szCs w:val="24"/>
        </w:rPr>
        <w:t>Katon RM</w:t>
      </w:r>
      <w:r>
        <w:rPr>
          <w:rFonts w:ascii="Book Antiqua"/>
          <w:sz w:val="24"/>
          <w:szCs w:val="24"/>
        </w:rPr>
        <w:t xml:space="preserve">, Brendler SJ, Ireland K. Gastric linitis plastica </w:t>
      </w:r>
      <w:r>
        <w:rPr>
          <w:rFonts w:ascii="Book Antiqua"/>
          <w:sz w:val="24"/>
          <w:szCs w:val="24"/>
        </w:rPr>
        <w:t>with metastases to the colon: a mimic of Crohn's disease.</w:t>
      </w:r>
      <w:r>
        <w:rPr>
          <w:rFonts w:hAnsi="Book Antiqua"/>
          <w:sz w:val="24"/>
          <w:szCs w:val="24"/>
        </w:rPr>
        <w:t> </w:t>
      </w:r>
      <w:r>
        <w:rPr>
          <w:rFonts w:ascii="Book Antiqua"/>
          <w:i/>
          <w:iCs/>
          <w:sz w:val="24"/>
          <w:szCs w:val="24"/>
        </w:rPr>
        <w:t>J Clin Gastroenterol</w:t>
      </w:r>
      <w:r>
        <w:rPr>
          <w:rFonts w:hAnsi="Book Antiqua"/>
          <w:sz w:val="24"/>
          <w:szCs w:val="24"/>
        </w:rPr>
        <w:t> </w:t>
      </w:r>
      <w:r>
        <w:rPr>
          <w:rFonts w:ascii="Book Antiqua"/>
          <w:sz w:val="24"/>
          <w:szCs w:val="24"/>
        </w:rPr>
        <w:t>1989;</w:t>
      </w:r>
      <w:r>
        <w:rPr>
          <w:rFonts w:hAnsi="Book Antiqua"/>
          <w:sz w:val="24"/>
          <w:szCs w:val="24"/>
        </w:rPr>
        <w:t> </w:t>
      </w:r>
      <w:r>
        <w:rPr>
          <w:rFonts w:ascii="Book Antiqua Bold"/>
          <w:b/>
          <w:bCs/>
          <w:sz w:val="24"/>
          <w:szCs w:val="24"/>
        </w:rPr>
        <w:t>11</w:t>
      </w:r>
      <w:r>
        <w:rPr>
          <w:rFonts w:ascii="Book Antiqua"/>
          <w:sz w:val="24"/>
          <w:szCs w:val="24"/>
        </w:rPr>
        <w:t>: 555-560 [PMID: 2551955 DOI: 10.1097/00004836-198910000-00013]</w:t>
      </w:r>
    </w:p>
    <w:p w14:paraId="21391EE2" w14:textId="77777777" w:rsidR="005815E2" w:rsidRDefault="00252DFA">
      <w:pPr>
        <w:jc w:val="both"/>
        <w:rPr>
          <w:rFonts w:ascii="Book Antiqua" w:eastAsia="Book Antiqua" w:hAnsi="Book Antiqua" w:cs="Book Antiqua"/>
          <w:sz w:val="24"/>
          <w:szCs w:val="24"/>
        </w:rPr>
      </w:pPr>
      <w:r>
        <w:rPr>
          <w:rFonts w:ascii="Book Antiqua"/>
          <w:sz w:val="24"/>
          <w:szCs w:val="24"/>
        </w:rPr>
        <w:t>6</w:t>
      </w:r>
      <w:r>
        <w:rPr>
          <w:rFonts w:hAnsi="Book Antiqua"/>
          <w:sz w:val="24"/>
          <w:szCs w:val="24"/>
        </w:rPr>
        <w:t> </w:t>
      </w:r>
      <w:r>
        <w:rPr>
          <w:rFonts w:ascii="Book Antiqua Bold"/>
          <w:b/>
          <w:bCs/>
          <w:sz w:val="24"/>
          <w:szCs w:val="24"/>
        </w:rPr>
        <w:t>Tural D</w:t>
      </w:r>
      <w:r>
        <w:rPr>
          <w:rFonts w:ascii="Book Antiqua"/>
          <w:sz w:val="24"/>
          <w:szCs w:val="24"/>
        </w:rPr>
        <w:t>, Sel</w:t>
      </w:r>
      <w:r>
        <w:rPr>
          <w:rFonts w:hAnsi="Book Antiqua"/>
          <w:sz w:val="24"/>
          <w:szCs w:val="24"/>
        </w:rPr>
        <w:t>ç</w:t>
      </w:r>
      <w:r>
        <w:rPr>
          <w:rFonts w:ascii="Book Antiqua"/>
          <w:sz w:val="24"/>
          <w:szCs w:val="24"/>
        </w:rPr>
        <w:t>ukbiricik F, Er</w:t>
      </w:r>
      <w:r>
        <w:rPr>
          <w:rFonts w:hAnsi="Book Antiqua"/>
          <w:sz w:val="24"/>
          <w:szCs w:val="24"/>
        </w:rPr>
        <w:t>ç</w:t>
      </w:r>
      <w:r>
        <w:rPr>
          <w:rFonts w:ascii="Book Antiqua"/>
          <w:sz w:val="24"/>
          <w:szCs w:val="24"/>
        </w:rPr>
        <w:t>al</w:t>
      </w:r>
      <w:r>
        <w:rPr>
          <w:rFonts w:hAnsi="Book Antiqua"/>
          <w:sz w:val="24"/>
          <w:szCs w:val="24"/>
        </w:rPr>
        <w:t>ış</w:t>
      </w:r>
      <w:r>
        <w:rPr>
          <w:rFonts w:ascii="Book Antiqua"/>
          <w:sz w:val="24"/>
          <w:szCs w:val="24"/>
        </w:rPr>
        <w:t>kan A, Inan</w:t>
      </w:r>
      <w:r>
        <w:rPr>
          <w:rFonts w:hAnsi="Book Antiqua"/>
          <w:sz w:val="24"/>
          <w:szCs w:val="24"/>
        </w:rPr>
        <w:t>ç</w:t>
      </w:r>
      <w:r>
        <w:rPr>
          <w:rFonts w:ascii="Book Antiqua"/>
          <w:sz w:val="24"/>
          <w:szCs w:val="24"/>
        </w:rPr>
        <w:t xml:space="preserve"> B, G</w:t>
      </w:r>
      <w:r>
        <w:rPr>
          <w:rFonts w:hAnsi="Book Antiqua"/>
          <w:sz w:val="24"/>
          <w:szCs w:val="24"/>
        </w:rPr>
        <w:t>ü</w:t>
      </w:r>
      <w:r>
        <w:rPr>
          <w:rFonts w:ascii="Book Antiqua"/>
          <w:sz w:val="24"/>
          <w:szCs w:val="24"/>
        </w:rPr>
        <w:t>nver F, B</w:t>
      </w:r>
      <w:r>
        <w:rPr>
          <w:rFonts w:hAnsi="Book Antiqua"/>
          <w:sz w:val="24"/>
          <w:szCs w:val="24"/>
        </w:rPr>
        <w:t>ü</w:t>
      </w:r>
      <w:r>
        <w:rPr>
          <w:rFonts w:ascii="Book Antiqua"/>
          <w:sz w:val="24"/>
          <w:szCs w:val="24"/>
        </w:rPr>
        <w:t>y</w:t>
      </w:r>
      <w:r>
        <w:rPr>
          <w:rFonts w:hAnsi="Book Antiqua"/>
          <w:sz w:val="24"/>
          <w:szCs w:val="24"/>
        </w:rPr>
        <w:t>ü</w:t>
      </w:r>
      <w:r>
        <w:rPr>
          <w:rFonts w:ascii="Book Antiqua"/>
          <w:sz w:val="24"/>
          <w:szCs w:val="24"/>
        </w:rPr>
        <w:t>k</w:t>
      </w:r>
      <w:r>
        <w:rPr>
          <w:rFonts w:hAnsi="Book Antiqua"/>
          <w:sz w:val="24"/>
          <w:szCs w:val="24"/>
        </w:rPr>
        <w:t>ü</w:t>
      </w:r>
      <w:r>
        <w:rPr>
          <w:rFonts w:ascii="Book Antiqua"/>
          <w:sz w:val="24"/>
          <w:szCs w:val="24"/>
        </w:rPr>
        <w:t xml:space="preserve">nal E. Metachronous rectum metastases </w:t>
      </w:r>
      <w:r>
        <w:rPr>
          <w:rFonts w:ascii="Book Antiqua"/>
          <w:sz w:val="24"/>
          <w:szCs w:val="24"/>
        </w:rPr>
        <w:t>from gastric adenocarcinoma: a case report.</w:t>
      </w:r>
      <w:r>
        <w:rPr>
          <w:rFonts w:hAnsi="Book Antiqua"/>
          <w:sz w:val="24"/>
          <w:szCs w:val="24"/>
        </w:rPr>
        <w:t> </w:t>
      </w:r>
      <w:r>
        <w:rPr>
          <w:rFonts w:ascii="Book Antiqua"/>
          <w:i/>
          <w:iCs/>
          <w:sz w:val="24"/>
          <w:szCs w:val="24"/>
        </w:rPr>
        <w:t>Case Rep Med</w:t>
      </w:r>
      <w:r>
        <w:rPr>
          <w:rFonts w:hAnsi="Book Antiqua"/>
          <w:sz w:val="24"/>
          <w:szCs w:val="24"/>
        </w:rPr>
        <w:t> </w:t>
      </w:r>
      <w:r>
        <w:rPr>
          <w:rFonts w:ascii="Book Antiqua"/>
          <w:sz w:val="24"/>
          <w:szCs w:val="24"/>
        </w:rPr>
        <w:t>2012;</w:t>
      </w:r>
      <w:r>
        <w:rPr>
          <w:rFonts w:hAnsi="Book Antiqua"/>
          <w:sz w:val="24"/>
          <w:szCs w:val="24"/>
        </w:rPr>
        <w:t> </w:t>
      </w:r>
      <w:r>
        <w:rPr>
          <w:rFonts w:ascii="Book Antiqua Bold"/>
          <w:b/>
          <w:bCs/>
          <w:sz w:val="24"/>
          <w:szCs w:val="24"/>
        </w:rPr>
        <w:t>2012</w:t>
      </w:r>
      <w:r>
        <w:rPr>
          <w:rFonts w:ascii="Book Antiqua"/>
          <w:sz w:val="24"/>
          <w:szCs w:val="24"/>
        </w:rPr>
        <w:t>: 726841 [PMID: 23251182 DOI: 10.1155/2012/726841]</w:t>
      </w:r>
    </w:p>
    <w:p w14:paraId="27628F2E" w14:textId="77777777" w:rsidR="005815E2" w:rsidRDefault="00252DFA">
      <w:pPr>
        <w:jc w:val="both"/>
        <w:rPr>
          <w:rFonts w:ascii="Book Antiqua" w:eastAsia="Book Antiqua" w:hAnsi="Book Antiqua" w:cs="Book Antiqua"/>
          <w:sz w:val="24"/>
          <w:szCs w:val="24"/>
        </w:rPr>
      </w:pPr>
      <w:r>
        <w:rPr>
          <w:rFonts w:ascii="Book Antiqua"/>
          <w:sz w:val="24"/>
          <w:szCs w:val="24"/>
        </w:rPr>
        <w:t>7</w:t>
      </w:r>
      <w:r>
        <w:rPr>
          <w:rFonts w:hAnsi="Book Antiqua"/>
          <w:sz w:val="24"/>
          <w:szCs w:val="24"/>
        </w:rPr>
        <w:t> </w:t>
      </w:r>
      <w:r>
        <w:rPr>
          <w:rFonts w:ascii="Book Antiqua Bold"/>
          <w:b/>
          <w:bCs/>
          <w:sz w:val="24"/>
          <w:szCs w:val="24"/>
        </w:rPr>
        <w:t>Lim SW</w:t>
      </w:r>
      <w:r>
        <w:rPr>
          <w:rFonts w:ascii="Book Antiqua"/>
          <w:sz w:val="24"/>
          <w:szCs w:val="24"/>
        </w:rPr>
        <w:t>, Huh JW, Kim YJ, Kim HR. Laparoscopic low anterior resection for hematogenous rectal metastasis from gastric adenocarcinoma: a ca</w:t>
      </w:r>
      <w:r>
        <w:rPr>
          <w:rFonts w:ascii="Book Antiqua"/>
          <w:sz w:val="24"/>
          <w:szCs w:val="24"/>
        </w:rPr>
        <w:t>se report.</w:t>
      </w:r>
      <w:r>
        <w:rPr>
          <w:rFonts w:hAnsi="Book Antiqua"/>
          <w:sz w:val="24"/>
          <w:szCs w:val="24"/>
        </w:rPr>
        <w:t> </w:t>
      </w:r>
      <w:r>
        <w:rPr>
          <w:rFonts w:ascii="Book Antiqua"/>
          <w:i/>
          <w:iCs/>
          <w:sz w:val="24"/>
          <w:szCs w:val="24"/>
        </w:rPr>
        <w:t>World J Surg Oncol</w:t>
      </w:r>
      <w:r>
        <w:rPr>
          <w:rFonts w:hAnsi="Book Antiqua"/>
          <w:sz w:val="24"/>
          <w:szCs w:val="24"/>
        </w:rPr>
        <w:t> </w:t>
      </w:r>
      <w:r>
        <w:rPr>
          <w:rFonts w:ascii="Book Antiqua"/>
          <w:sz w:val="24"/>
          <w:szCs w:val="24"/>
        </w:rPr>
        <w:t>2011;</w:t>
      </w:r>
      <w:r>
        <w:rPr>
          <w:rFonts w:hAnsi="Book Antiqua"/>
          <w:sz w:val="24"/>
          <w:szCs w:val="24"/>
        </w:rPr>
        <w:t> </w:t>
      </w:r>
      <w:r>
        <w:rPr>
          <w:rFonts w:ascii="Book Antiqua Bold"/>
          <w:b/>
          <w:bCs/>
          <w:sz w:val="24"/>
          <w:szCs w:val="24"/>
        </w:rPr>
        <w:t>9</w:t>
      </w:r>
      <w:r>
        <w:rPr>
          <w:rFonts w:ascii="Book Antiqua"/>
          <w:sz w:val="24"/>
          <w:szCs w:val="24"/>
        </w:rPr>
        <w:t>: 148 [PMID: 22074191 DOI: 10.1186/1477-7819-9-148]</w:t>
      </w:r>
    </w:p>
    <w:p w14:paraId="0B1BB1B4" w14:textId="77777777" w:rsidR="005815E2" w:rsidRDefault="00252DFA">
      <w:pPr>
        <w:jc w:val="both"/>
        <w:rPr>
          <w:rFonts w:ascii="Book Antiqua" w:eastAsia="Book Antiqua" w:hAnsi="Book Antiqua" w:cs="Book Antiqua"/>
          <w:sz w:val="24"/>
          <w:szCs w:val="24"/>
        </w:rPr>
      </w:pPr>
      <w:r>
        <w:rPr>
          <w:rFonts w:ascii="Book Antiqua"/>
          <w:sz w:val="24"/>
          <w:szCs w:val="24"/>
        </w:rPr>
        <w:t xml:space="preserve">8 </w:t>
      </w:r>
      <w:r>
        <w:rPr>
          <w:rFonts w:ascii="Book Antiqua Bold"/>
          <w:b/>
          <w:bCs/>
          <w:sz w:val="24"/>
          <w:szCs w:val="24"/>
        </w:rPr>
        <w:t>Pace U</w:t>
      </w:r>
      <w:r>
        <w:rPr>
          <w:rFonts w:ascii="Book Antiqua"/>
          <w:sz w:val="24"/>
          <w:szCs w:val="24"/>
        </w:rPr>
        <w:t>, Contino G, Chiappa A, Bertani E, Bianchi PP, Fazio N, Renne G, Di Meglio G, Andreoni B. Metachronous Colon Metastases from Gastric Adenocarcinoma: A Case Rep</w:t>
      </w:r>
      <w:r>
        <w:rPr>
          <w:rFonts w:ascii="Book Antiqua"/>
          <w:sz w:val="24"/>
          <w:szCs w:val="24"/>
        </w:rPr>
        <w:t>ort.</w:t>
      </w:r>
      <w:r>
        <w:rPr>
          <w:rFonts w:hAnsi="Book Antiqua"/>
          <w:sz w:val="24"/>
          <w:szCs w:val="24"/>
        </w:rPr>
        <w:t> </w:t>
      </w:r>
      <w:r>
        <w:rPr>
          <w:rFonts w:ascii="Book Antiqua"/>
          <w:i/>
          <w:iCs/>
          <w:sz w:val="24"/>
          <w:szCs w:val="24"/>
        </w:rPr>
        <w:t>Case Rep Oncol</w:t>
      </w:r>
      <w:r>
        <w:rPr>
          <w:rFonts w:hAnsi="Book Antiqua"/>
          <w:sz w:val="24"/>
          <w:szCs w:val="24"/>
        </w:rPr>
        <w:t> </w:t>
      </w:r>
      <w:r>
        <w:rPr>
          <w:rFonts w:ascii="Book Antiqua"/>
          <w:sz w:val="24"/>
          <w:szCs w:val="24"/>
        </w:rPr>
        <w:t>2009;</w:t>
      </w:r>
      <w:r>
        <w:rPr>
          <w:rFonts w:hAnsi="Book Antiqua"/>
          <w:sz w:val="24"/>
          <w:szCs w:val="24"/>
        </w:rPr>
        <w:t> </w:t>
      </w:r>
      <w:r>
        <w:rPr>
          <w:rFonts w:ascii="Book Antiqua Bold"/>
          <w:b/>
          <w:bCs/>
          <w:sz w:val="24"/>
          <w:szCs w:val="24"/>
        </w:rPr>
        <w:t>2</w:t>
      </w:r>
      <w:r>
        <w:rPr>
          <w:rFonts w:ascii="Book Antiqua"/>
          <w:sz w:val="24"/>
          <w:szCs w:val="24"/>
        </w:rPr>
        <w:t>: 92-96 [PMID: 20740169 DOI: 10.1159/000215945]</w:t>
      </w:r>
    </w:p>
    <w:p w14:paraId="407CFFA3" w14:textId="77777777" w:rsidR="005815E2" w:rsidRDefault="00252DFA">
      <w:pPr>
        <w:jc w:val="both"/>
        <w:rPr>
          <w:rFonts w:ascii="Book Antiqua" w:eastAsia="Book Antiqua" w:hAnsi="Book Antiqua" w:cs="Book Antiqua"/>
          <w:sz w:val="24"/>
          <w:szCs w:val="24"/>
        </w:rPr>
      </w:pPr>
      <w:r>
        <w:rPr>
          <w:rFonts w:ascii="Book Antiqua"/>
          <w:sz w:val="24"/>
          <w:szCs w:val="24"/>
        </w:rPr>
        <w:t>9</w:t>
      </w:r>
      <w:r>
        <w:rPr>
          <w:rFonts w:hAnsi="Book Antiqua"/>
          <w:sz w:val="24"/>
          <w:szCs w:val="24"/>
        </w:rPr>
        <w:t> </w:t>
      </w:r>
      <w:r>
        <w:rPr>
          <w:rFonts w:ascii="Book Antiqua Bold"/>
          <w:b/>
          <w:bCs/>
          <w:sz w:val="24"/>
          <w:szCs w:val="24"/>
        </w:rPr>
        <w:t>Lee HC</w:t>
      </w:r>
      <w:r>
        <w:rPr>
          <w:rFonts w:ascii="Book Antiqua"/>
          <w:sz w:val="24"/>
          <w:szCs w:val="24"/>
        </w:rPr>
        <w:t>, Yang MT, Lin KY, Tu HY, Zhang TA, Chen PH. Metastases from gastric carcinoma to colon in the form of multiple flat elevated lesions: a case report.</w:t>
      </w:r>
      <w:r>
        <w:rPr>
          <w:rFonts w:hAnsi="Book Antiqua"/>
          <w:sz w:val="24"/>
          <w:szCs w:val="24"/>
        </w:rPr>
        <w:t> </w:t>
      </w:r>
      <w:r>
        <w:rPr>
          <w:rFonts w:ascii="Book Antiqua"/>
          <w:i/>
          <w:iCs/>
          <w:sz w:val="24"/>
          <w:szCs w:val="24"/>
        </w:rPr>
        <w:t>Kaohsiung J Med Sci</w:t>
      </w:r>
      <w:r>
        <w:rPr>
          <w:rFonts w:hAnsi="Book Antiqua"/>
          <w:sz w:val="24"/>
          <w:szCs w:val="24"/>
        </w:rPr>
        <w:t> </w:t>
      </w:r>
      <w:r>
        <w:rPr>
          <w:rFonts w:ascii="Book Antiqua"/>
          <w:sz w:val="24"/>
          <w:szCs w:val="24"/>
        </w:rPr>
        <w:t>2004;</w:t>
      </w:r>
      <w:r>
        <w:rPr>
          <w:rFonts w:hAnsi="Book Antiqua"/>
          <w:sz w:val="24"/>
          <w:szCs w:val="24"/>
        </w:rPr>
        <w:t> </w:t>
      </w:r>
      <w:r>
        <w:rPr>
          <w:rFonts w:ascii="Book Antiqua Bold"/>
          <w:b/>
          <w:bCs/>
          <w:sz w:val="24"/>
          <w:szCs w:val="24"/>
        </w:rPr>
        <w:t>20</w:t>
      </w:r>
      <w:r>
        <w:rPr>
          <w:rFonts w:ascii="Book Antiqua"/>
          <w:sz w:val="24"/>
          <w:szCs w:val="24"/>
        </w:rPr>
        <w:t>: 552-557 [PMID: 15620119 DOI: 10.1016/S1607-</w:t>
      </w:r>
      <w:proofErr w:type="gramStart"/>
      <w:r>
        <w:rPr>
          <w:rFonts w:ascii="Book Antiqua"/>
          <w:sz w:val="24"/>
          <w:szCs w:val="24"/>
        </w:rPr>
        <w:t>551X(</w:t>
      </w:r>
      <w:proofErr w:type="gramEnd"/>
      <w:r>
        <w:rPr>
          <w:rFonts w:ascii="Book Antiqua"/>
          <w:sz w:val="24"/>
          <w:szCs w:val="24"/>
        </w:rPr>
        <w:t>09)70257-8]</w:t>
      </w:r>
    </w:p>
    <w:p w14:paraId="1667E15D" w14:textId="77777777" w:rsidR="005815E2" w:rsidRDefault="00252DFA">
      <w:pPr>
        <w:jc w:val="both"/>
        <w:rPr>
          <w:rFonts w:ascii="Book Antiqua" w:eastAsia="Book Antiqua" w:hAnsi="Book Antiqua" w:cs="Book Antiqua"/>
          <w:sz w:val="24"/>
          <w:szCs w:val="24"/>
        </w:rPr>
      </w:pPr>
      <w:r>
        <w:rPr>
          <w:rFonts w:ascii="Book Antiqua"/>
          <w:sz w:val="24"/>
          <w:szCs w:val="24"/>
        </w:rPr>
        <w:t>10</w:t>
      </w:r>
      <w:r>
        <w:rPr>
          <w:rFonts w:hAnsi="Book Antiqua"/>
          <w:sz w:val="24"/>
          <w:szCs w:val="24"/>
        </w:rPr>
        <w:t> </w:t>
      </w:r>
      <w:r>
        <w:rPr>
          <w:rFonts w:ascii="Book Antiqua Bold"/>
          <w:b/>
          <w:bCs/>
          <w:sz w:val="24"/>
          <w:szCs w:val="24"/>
        </w:rPr>
        <w:t>Andr</w:t>
      </w:r>
      <w:r>
        <w:rPr>
          <w:rFonts w:hAnsi="Book Antiqua Bold"/>
          <w:b/>
          <w:bCs/>
          <w:sz w:val="24"/>
          <w:szCs w:val="24"/>
        </w:rPr>
        <w:t>á</w:t>
      </w:r>
      <w:r>
        <w:rPr>
          <w:rFonts w:ascii="Book Antiqua Bold"/>
          <w:b/>
          <w:bCs/>
          <w:sz w:val="24"/>
          <w:szCs w:val="24"/>
        </w:rPr>
        <w:t>s C</w:t>
      </w:r>
      <w:r>
        <w:rPr>
          <w:rFonts w:ascii="Book Antiqua"/>
          <w:sz w:val="24"/>
          <w:szCs w:val="24"/>
        </w:rPr>
        <w:t>, T</w:t>
      </w:r>
      <w:r>
        <w:rPr>
          <w:rFonts w:hAnsi="Book Antiqua"/>
          <w:sz w:val="24"/>
          <w:szCs w:val="24"/>
        </w:rPr>
        <w:t>ó</w:t>
      </w:r>
      <w:r>
        <w:rPr>
          <w:rFonts w:ascii="Book Antiqua"/>
          <w:sz w:val="24"/>
          <w:szCs w:val="24"/>
        </w:rPr>
        <w:t>th L, P</w:t>
      </w:r>
      <w:r>
        <w:rPr>
          <w:rFonts w:hAnsi="Book Antiqua"/>
          <w:sz w:val="24"/>
          <w:szCs w:val="24"/>
        </w:rPr>
        <w:t>ó</w:t>
      </w:r>
      <w:r>
        <w:rPr>
          <w:rFonts w:ascii="Book Antiqua"/>
          <w:sz w:val="24"/>
          <w:szCs w:val="24"/>
        </w:rPr>
        <w:t>s</w:t>
      </w:r>
      <w:r>
        <w:rPr>
          <w:rFonts w:hAnsi="Book Antiqua"/>
          <w:sz w:val="24"/>
          <w:szCs w:val="24"/>
        </w:rPr>
        <w:t>á</w:t>
      </w:r>
      <w:r>
        <w:rPr>
          <w:rFonts w:ascii="Book Antiqua"/>
          <w:sz w:val="24"/>
          <w:szCs w:val="24"/>
        </w:rPr>
        <w:t>n J, Csiki E, Tanyi M, Csiki Z, Garami Z, Enyedi A, Flask</w:t>
      </w:r>
      <w:r>
        <w:rPr>
          <w:rFonts w:hAnsi="Book Antiqua"/>
          <w:sz w:val="24"/>
          <w:szCs w:val="24"/>
        </w:rPr>
        <w:t>ó</w:t>
      </w:r>
      <w:r>
        <w:rPr>
          <w:rFonts w:ascii="Book Antiqua"/>
          <w:sz w:val="24"/>
          <w:szCs w:val="24"/>
        </w:rPr>
        <w:t xml:space="preserve"> T, Horv</w:t>
      </w:r>
      <w:r>
        <w:rPr>
          <w:rFonts w:hAnsi="Book Antiqua"/>
          <w:sz w:val="24"/>
          <w:szCs w:val="24"/>
        </w:rPr>
        <w:t>á</w:t>
      </w:r>
      <w:r>
        <w:rPr>
          <w:rFonts w:ascii="Book Antiqua"/>
          <w:sz w:val="24"/>
          <w:szCs w:val="24"/>
        </w:rPr>
        <w:t>th Z. Occurrence of bladder metastasis 10 years after surgical removal of a primary gastric ca</w:t>
      </w:r>
      <w:r>
        <w:rPr>
          <w:rFonts w:ascii="Book Antiqua"/>
          <w:sz w:val="24"/>
          <w:szCs w:val="24"/>
        </w:rPr>
        <w:t>ncer: a case report and review of the literature.</w:t>
      </w:r>
      <w:r>
        <w:rPr>
          <w:rFonts w:hAnsi="Book Antiqua"/>
          <w:sz w:val="24"/>
          <w:szCs w:val="24"/>
        </w:rPr>
        <w:t> </w:t>
      </w:r>
      <w:r>
        <w:rPr>
          <w:rFonts w:ascii="Book Antiqua"/>
          <w:i/>
          <w:iCs/>
          <w:sz w:val="24"/>
          <w:szCs w:val="24"/>
        </w:rPr>
        <w:t>J Med Case Rep</w:t>
      </w:r>
      <w:r>
        <w:rPr>
          <w:rFonts w:hAnsi="Book Antiqua"/>
          <w:sz w:val="24"/>
          <w:szCs w:val="24"/>
        </w:rPr>
        <w:t> </w:t>
      </w:r>
      <w:r>
        <w:rPr>
          <w:rFonts w:ascii="Book Antiqua"/>
          <w:sz w:val="24"/>
          <w:szCs w:val="24"/>
        </w:rPr>
        <w:t>2013;</w:t>
      </w:r>
      <w:r>
        <w:rPr>
          <w:rFonts w:hAnsi="Book Antiqua"/>
          <w:sz w:val="24"/>
          <w:szCs w:val="24"/>
        </w:rPr>
        <w:t> </w:t>
      </w:r>
      <w:r>
        <w:rPr>
          <w:rFonts w:ascii="Book Antiqua Bold"/>
          <w:b/>
          <w:bCs/>
          <w:sz w:val="24"/>
          <w:szCs w:val="24"/>
        </w:rPr>
        <w:t>7</w:t>
      </w:r>
      <w:r>
        <w:rPr>
          <w:rFonts w:ascii="Book Antiqua"/>
          <w:sz w:val="24"/>
          <w:szCs w:val="24"/>
        </w:rPr>
        <w:t>: 204 [PMID: 23945465 DOI: 10.1186/1752-1947-7-204]</w:t>
      </w:r>
    </w:p>
    <w:p w14:paraId="2A3D7BC3" w14:textId="77777777" w:rsidR="005815E2" w:rsidRDefault="00252DFA">
      <w:pPr>
        <w:jc w:val="both"/>
        <w:rPr>
          <w:rFonts w:ascii="Book Antiqua" w:eastAsia="Book Antiqua" w:hAnsi="Book Antiqua" w:cs="Book Antiqua"/>
          <w:sz w:val="24"/>
          <w:szCs w:val="24"/>
        </w:rPr>
      </w:pPr>
      <w:r>
        <w:rPr>
          <w:rFonts w:ascii="Book Antiqua"/>
          <w:sz w:val="24"/>
          <w:szCs w:val="24"/>
        </w:rPr>
        <w:t>11</w:t>
      </w:r>
      <w:r>
        <w:rPr>
          <w:rFonts w:hAnsi="Book Antiqua"/>
          <w:sz w:val="24"/>
          <w:szCs w:val="24"/>
        </w:rPr>
        <w:t> </w:t>
      </w:r>
      <w:r>
        <w:rPr>
          <w:rFonts w:ascii="Book Antiqua Bold"/>
          <w:b/>
          <w:bCs/>
          <w:sz w:val="24"/>
          <w:szCs w:val="24"/>
        </w:rPr>
        <w:t>Sharma PK</w:t>
      </w:r>
      <w:r>
        <w:rPr>
          <w:rFonts w:ascii="Book Antiqua"/>
          <w:sz w:val="24"/>
          <w:szCs w:val="24"/>
        </w:rPr>
        <w:t>, Vijay MK, Das RK, Chatterjee U. Secondary signet-ring cell adenocarcinoma of urinary bladder from a gastric primary.</w:t>
      </w:r>
      <w:r>
        <w:rPr>
          <w:rFonts w:hAnsi="Book Antiqua"/>
          <w:sz w:val="24"/>
          <w:szCs w:val="24"/>
        </w:rPr>
        <w:t> </w:t>
      </w:r>
      <w:r>
        <w:rPr>
          <w:rFonts w:ascii="Book Antiqua"/>
          <w:i/>
          <w:iCs/>
          <w:sz w:val="24"/>
          <w:szCs w:val="24"/>
        </w:rPr>
        <w:t>U</w:t>
      </w:r>
      <w:r>
        <w:rPr>
          <w:rFonts w:ascii="Book Antiqua"/>
          <w:i/>
          <w:iCs/>
          <w:sz w:val="24"/>
          <w:szCs w:val="24"/>
        </w:rPr>
        <w:t>rol Ann</w:t>
      </w:r>
      <w:r>
        <w:rPr>
          <w:rFonts w:hAnsi="Book Antiqua"/>
          <w:sz w:val="24"/>
          <w:szCs w:val="24"/>
        </w:rPr>
        <w:t> </w:t>
      </w:r>
      <w:r>
        <w:rPr>
          <w:rFonts w:ascii="Book Antiqua"/>
          <w:sz w:val="24"/>
          <w:szCs w:val="24"/>
        </w:rPr>
        <w:t>2011;</w:t>
      </w:r>
      <w:r>
        <w:rPr>
          <w:rFonts w:hAnsi="Book Antiqua"/>
          <w:sz w:val="24"/>
          <w:szCs w:val="24"/>
        </w:rPr>
        <w:t> </w:t>
      </w:r>
      <w:r>
        <w:rPr>
          <w:rFonts w:ascii="Book Antiqua Bold"/>
          <w:b/>
          <w:bCs/>
          <w:sz w:val="24"/>
          <w:szCs w:val="24"/>
        </w:rPr>
        <w:t>3</w:t>
      </w:r>
      <w:r>
        <w:rPr>
          <w:rFonts w:ascii="Book Antiqua"/>
          <w:sz w:val="24"/>
          <w:szCs w:val="24"/>
        </w:rPr>
        <w:t>: 97-99 [PMID: 21747602 DOI: 10.4103/0974-7796.82177]</w:t>
      </w:r>
    </w:p>
    <w:p w14:paraId="13C1AC8D" w14:textId="77777777" w:rsidR="005815E2" w:rsidRDefault="00252DFA">
      <w:pPr>
        <w:jc w:val="both"/>
        <w:rPr>
          <w:rFonts w:ascii="Book Antiqua" w:eastAsia="Book Antiqua" w:hAnsi="Book Antiqua" w:cs="Book Antiqua"/>
          <w:sz w:val="24"/>
          <w:szCs w:val="24"/>
        </w:rPr>
      </w:pPr>
      <w:r>
        <w:rPr>
          <w:rFonts w:ascii="Book Antiqua"/>
          <w:sz w:val="24"/>
          <w:szCs w:val="24"/>
        </w:rPr>
        <w:t>12</w:t>
      </w:r>
      <w:r>
        <w:rPr>
          <w:rFonts w:hAnsi="Book Antiqua"/>
          <w:sz w:val="24"/>
          <w:szCs w:val="24"/>
        </w:rPr>
        <w:t> </w:t>
      </w:r>
      <w:r>
        <w:rPr>
          <w:rFonts w:ascii="Book Antiqua Bold"/>
          <w:b/>
          <w:bCs/>
          <w:sz w:val="24"/>
          <w:szCs w:val="24"/>
        </w:rPr>
        <w:t>Neves TR</w:t>
      </w:r>
      <w:r>
        <w:rPr>
          <w:rFonts w:ascii="Book Antiqua"/>
          <w:sz w:val="24"/>
          <w:szCs w:val="24"/>
        </w:rPr>
        <w:t xml:space="preserve">, Covita A, Soares M, Monteiro P, Nogueira R, Lima MS, Monteiro H. Bladder metastasis of gastric adenocarcinoma. </w:t>
      </w:r>
      <w:proofErr w:type="gramStart"/>
      <w:r>
        <w:rPr>
          <w:rFonts w:ascii="Book Antiqua"/>
          <w:sz w:val="24"/>
          <w:szCs w:val="24"/>
        </w:rPr>
        <w:t>Report of 2 cases and bibliographic review.</w:t>
      </w:r>
      <w:proofErr w:type="gramEnd"/>
      <w:r>
        <w:rPr>
          <w:rFonts w:hAnsi="Book Antiqua"/>
          <w:sz w:val="24"/>
          <w:szCs w:val="24"/>
        </w:rPr>
        <w:t> </w:t>
      </w:r>
      <w:r>
        <w:rPr>
          <w:rFonts w:ascii="Book Antiqua"/>
          <w:i/>
          <w:iCs/>
          <w:sz w:val="24"/>
          <w:szCs w:val="24"/>
        </w:rPr>
        <w:t>Arch Esp Urol</w:t>
      </w:r>
      <w:r>
        <w:rPr>
          <w:rFonts w:hAnsi="Book Antiqua"/>
          <w:sz w:val="24"/>
          <w:szCs w:val="24"/>
        </w:rPr>
        <w:t> </w:t>
      </w:r>
      <w:r>
        <w:rPr>
          <w:rFonts w:ascii="Book Antiqua"/>
          <w:sz w:val="24"/>
          <w:szCs w:val="24"/>
        </w:rPr>
        <w:t>2011;</w:t>
      </w:r>
      <w:r>
        <w:rPr>
          <w:rFonts w:hAnsi="Book Antiqua"/>
          <w:sz w:val="24"/>
          <w:szCs w:val="24"/>
        </w:rPr>
        <w:t> </w:t>
      </w:r>
      <w:r>
        <w:rPr>
          <w:rFonts w:ascii="Book Antiqua Bold"/>
          <w:b/>
          <w:bCs/>
          <w:sz w:val="24"/>
          <w:szCs w:val="24"/>
        </w:rPr>
        <w:t>64</w:t>
      </w:r>
      <w:r>
        <w:rPr>
          <w:rFonts w:ascii="Book Antiqua"/>
          <w:sz w:val="24"/>
          <w:szCs w:val="24"/>
        </w:rPr>
        <w:t>: 544-550 [PMID: 21791721]</w:t>
      </w:r>
    </w:p>
    <w:p w14:paraId="0805665B" w14:textId="77777777" w:rsidR="005815E2" w:rsidRDefault="00252DFA">
      <w:pPr>
        <w:jc w:val="both"/>
        <w:rPr>
          <w:rFonts w:ascii="Book Antiqua" w:eastAsia="Book Antiqua" w:hAnsi="Book Antiqua" w:cs="Book Antiqua"/>
          <w:sz w:val="24"/>
          <w:szCs w:val="24"/>
        </w:rPr>
      </w:pPr>
      <w:proofErr w:type="gramStart"/>
      <w:r>
        <w:rPr>
          <w:rFonts w:ascii="Book Antiqua"/>
          <w:sz w:val="24"/>
          <w:szCs w:val="24"/>
        </w:rPr>
        <w:t>13</w:t>
      </w:r>
      <w:r>
        <w:rPr>
          <w:rFonts w:hAnsi="Book Antiqua"/>
          <w:sz w:val="24"/>
          <w:szCs w:val="24"/>
        </w:rPr>
        <w:t> </w:t>
      </w:r>
      <w:r>
        <w:rPr>
          <w:rFonts w:ascii="Book Antiqua Bold"/>
          <w:b/>
          <w:bCs/>
          <w:sz w:val="24"/>
          <w:szCs w:val="24"/>
        </w:rPr>
        <w:t>Antunes AA</w:t>
      </w:r>
      <w:r>
        <w:rPr>
          <w:rFonts w:ascii="Book Antiqua"/>
          <w:sz w:val="24"/>
          <w:szCs w:val="24"/>
        </w:rPr>
        <w:t>, Siqueira TM, Falc</w:t>
      </w:r>
      <w:r>
        <w:rPr>
          <w:rFonts w:hAnsi="Book Antiqua"/>
          <w:sz w:val="24"/>
          <w:szCs w:val="24"/>
        </w:rPr>
        <w:t>ã</w:t>
      </w:r>
      <w:r>
        <w:rPr>
          <w:rFonts w:ascii="Book Antiqua"/>
          <w:sz w:val="24"/>
          <w:szCs w:val="24"/>
        </w:rPr>
        <w:t>o E. Vesical metastasis of gastric adenocarcinoma.</w:t>
      </w:r>
      <w:proofErr w:type="gramEnd"/>
      <w:r>
        <w:rPr>
          <w:rFonts w:hAnsi="Book Antiqua"/>
          <w:sz w:val="24"/>
          <w:szCs w:val="24"/>
        </w:rPr>
        <w:t> </w:t>
      </w:r>
      <w:r>
        <w:rPr>
          <w:rFonts w:ascii="Book Antiqua"/>
          <w:i/>
          <w:iCs/>
          <w:sz w:val="24"/>
          <w:szCs w:val="24"/>
        </w:rPr>
        <w:t>Int Braz J Urol</w:t>
      </w:r>
      <w:r>
        <w:rPr>
          <w:rFonts w:hAnsi="Book Antiqua"/>
          <w:sz w:val="24"/>
          <w:szCs w:val="24"/>
        </w:rPr>
        <w:t> </w:t>
      </w:r>
      <w:r>
        <w:rPr>
          <w:rFonts w:ascii="Book Antiqua"/>
          <w:sz w:val="24"/>
          <w:szCs w:val="24"/>
        </w:rPr>
        <w:t>2004;</w:t>
      </w:r>
      <w:r>
        <w:rPr>
          <w:rFonts w:hAnsi="Book Antiqua"/>
          <w:sz w:val="24"/>
          <w:szCs w:val="24"/>
        </w:rPr>
        <w:t> </w:t>
      </w:r>
      <w:r>
        <w:rPr>
          <w:rFonts w:ascii="Book Antiqua Bold"/>
          <w:b/>
          <w:bCs/>
          <w:sz w:val="24"/>
          <w:szCs w:val="24"/>
        </w:rPr>
        <w:t>30</w:t>
      </w:r>
      <w:r>
        <w:rPr>
          <w:rFonts w:ascii="Book Antiqua"/>
          <w:sz w:val="24"/>
          <w:szCs w:val="24"/>
        </w:rPr>
        <w:t>: 403-405 [PMID: 15610575 DOI: 10.1590/S1677-55382004000500009]</w:t>
      </w:r>
    </w:p>
    <w:p w14:paraId="52346F53" w14:textId="77777777" w:rsidR="005815E2" w:rsidRDefault="00252DFA">
      <w:pPr>
        <w:jc w:val="both"/>
        <w:rPr>
          <w:rFonts w:ascii="Book Antiqua" w:eastAsia="Book Antiqua" w:hAnsi="Book Antiqua" w:cs="Book Antiqua"/>
          <w:sz w:val="24"/>
          <w:szCs w:val="24"/>
        </w:rPr>
      </w:pPr>
      <w:proofErr w:type="gramStart"/>
      <w:r>
        <w:rPr>
          <w:rFonts w:ascii="Book Antiqua"/>
          <w:sz w:val="24"/>
          <w:szCs w:val="24"/>
        </w:rPr>
        <w:t>14</w:t>
      </w:r>
      <w:r>
        <w:rPr>
          <w:rFonts w:hAnsi="Book Antiqua"/>
          <w:sz w:val="24"/>
          <w:szCs w:val="24"/>
        </w:rPr>
        <w:t> </w:t>
      </w:r>
      <w:r>
        <w:rPr>
          <w:rFonts w:ascii="Book Antiqua Bold"/>
          <w:b/>
          <w:bCs/>
          <w:sz w:val="24"/>
          <w:szCs w:val="24"/>
        </w:rPr>
        <w:t>Duarte I</w:t>
      </w:r>
      <w:r>
        <w:rPr>
          <w:rFonts w:ascii="Book Antiqua"/>
          <w:sz w:val="24"/>
          <w:szCs w:val="24"/>
        </w:rPr>
        <w:t>, Llanos O. Patterns of metastases in intes</w:t>
      </w:r>
      <w:r>
        <w:rPr>
          <w:rFonts w:ascii="Book Antiqua"/>
          <w:sz w:val="24"/>
          <w:szCs w:val="24"/>
        </w:rPr>
        <w:t>tinal and diffuse types of carcinoma of the stomach.</w:t>
      </w:r>
      <w:proofErr w:type="gramEnd"/>
      <w:r>
        <w:rPr>
          <w:rFonts w:hAnsi="Book Antiqua"/>
          <w:sz w:val="24"/>
          <w:szCs w:val="24"/>
        </w:rPr>
        <w:t> </w:t>
      </w:r>
      <w:r>
        <w:rPr>
          <w:rFonts w:ascii="Book Antiqua"/>
          <w:i/>
          <w:iCs/>
          <w:sz w:val="24"/>
          <w:szCs w:val="24"/>
        </w:rPr>
        <w:t>Hum Pathol</w:t>
      </w:r>
      <w:r>
        <w:rPr>
          <w:rFonts w:hAnsi="Book Antiqua"/>
          <w:sz w:val="24"/>
          <w:szCs w:val="24"/>
        </w:rPr>
        <w:t> </w:t>
      </w:r>
      <w:r>
        <w:rPr>
          <w:rFonts w:ascii="Book Antiqua"/>
          <w:sz w:val="24"/>
          <w:szCs w:val="24"/>
        </w:rPr>
        <w:t>1981;</w:t>
      </w:r>
      <w:r>
        <w:rPr>
          <w:rFonts w:hAnsi="Book Antiqua"/>
          <w:sz w:val="24"/>
          <w:szCs w:val="24"/>
        </w:rPr>
        <w:t> </w:t>
      </w:r>
      <w:r>
        <w:rPr>
          <w:rFonts w:ascii="Book Antiqua Bold"/>
          <w:b/>
          <w:bCs/>
          <w:sz w:val="24"/>
          <w:szCs w:val="24"/>
        </w:rPr>
        <w:t>12</w:t>
      </w:r>
      <w:r>
        <w:rPr>
          <w:rFonts w:ascii="Book Antiqua"/>
          <w:sz w:val="24"/>
          <w:szCs w:val="24"/>
        </w:rPr>
        <w:t>: 237-242 [PMID: 7228019 DOI: 10.1016/S0046-</w:t>
      </w:r>
      <w:proofErr w:type="gramStart"/>
      <w:r>
        <w:rPr>
          <w:rFonts w:ascii="Book Antiqua"/>
          <w:sz w:val="24"/>
          <w:szCs w:val="24"/>
        </w:rPr>
        <w:t>8177(</w:t>
      </w:r>
      <w:proofErr w:type="gramEnd"/>
      <w:r>
        <w:rPr>
          <w:rFonts w:ascii="Book Antiqua"/>
          <w:sz w:val="24"/>
          <w:szCs w:val="24"/>
        </w:rPr>
        <w:t>81)80124-4]</w:t>
      </w:r>
    </w:p>
    <w:p w14:paraId="409F9AD2" w14:textId="77777777" w:rsidR="005815E2" w:rsidRDefault="00252DFA">
      <w:pPr>
        <w:jc w:val="both"/>
        <w:rPr>
          <w:rFonts w:ascii="Book Antiqua" w:eastAsia="Book Antiqua" w:hAnsi="Book Antiqua" w:cs="Book Antiqua"/>
          <w:sz w:val="24"/>
          <w:szCs w:val="24"/>
        </w:rPr>
      </w:pPr>
      <w:r>
        <w:rPr>
          <w:rFonts w:ascii="Book Antiqua"/>
          <w:sz w:val="24"/>
          <w:szCs w:val="24"/>
        </w:rPr>
        <w:t>15</w:t>
      </w:r>
      <w:r>
        <w:rPr>
          <w:rFonts w:hAnsi="Book Antiqua"/>
          <w:sz w:val="24"/>
          <w:szCs w:val="24"/>
        </w:rPr>
        <w:t> </w:t>
      </w:r>
      <w:r>
        <w:rPr>
          <w:rFonts w:ascii="Book Antiqua Bold"/>
          <w:b/>
          <w:bCs/>
          <w:sz w:val="24"/>
          <w:szCs w:val="24"/>
        </w:rPr>
        <w:t>Jang HJ</w:t>
      </w:r>
      <w:r>
        <w:rPr>
          <w:rFonts w:ascii="Book Antiqua"/>
          <w:sz w:val="24"/>
          <w:szCs w:val="24"/>
        </w:rPr>
        <w:t>, Lim HK, Kim HS, Cho EY, Lee SJ, Kim KA, Choi D. Intestinal metastases from gastric adenocarcinoma: helical CT f</w:t>
      </w:r>
      <w:r>
        <w:rPr>
          <w:rFonts w:ascii="Book Antiqua"/>
          <w:sz w:val="24"/>
          <w:szCs w:val="24"/>
        </w:rPr>
        <w:t>indings.</w:t>
      </w:r>
      <w:r>
        <w:rPr>
          <w:rFonts w:hAnsi="Book Antiqua"/>
          <w:sz w:val="24"/>
          <w:szCs w:val="24"/>
        </w:rPr>
        <w:t> </w:t>
      </w:r>
      <w:r>
        <w:rPr>
          <w:rFonts w:ascii="Book Antiqua"/>
          <w:i/>
          <w:iCs/>
          <w:sz w:val="24"/>
          <w:szCs w:val="24"/>
        </w:rPr>
        <w:t>J Comput Assist Tomogr</w:t>
      </w:r>
      <w:r>
        <w:rPr>
          <w:rFonts w:hAnsi="Book Antiqua"/>
          <w:sz w:val="24"/>
          <w:szCs w:val="24"/>
        </w:rPr>
        <w:t> </w:t>
      </w:r>
      <w:r>
        <w:rPr>
          <w:rFonts w:ascii="Book Antiqua"/>
          <w:sz w:val="24"/>
          <w:szCs w:val="24"/>
        </w:rPr>
        <w:t>2001;</w:t>
      </w:r>
      <w:r>
        <w:rPr>
          <w:rFonts w:hAnsi="Book Antiqua"/>
          <w:sz w:val="24"/>
          <w:szCs w:val="24"/>
        </w:rPr>
        <w:t> </w:t>
      </w:r>
      <w:r>
        <w:rPr>
          <w:rFonts w:ascii="Book Antiqua Bold"/>
          <w:b/>
          <w:bCs/>
          <w:sz w:val="24"/>
          <w:szCs w:val="24"/>
        </w:rPr>
        <w:t>25</w:t>
      </w:r>
      <w:r>
        <w:rPr>
          <w:rFonts w:ascii="Book Antiqua"/>
          <w:sz w:val="24"/>
          <w:szCs w:val="24"/>
        </w:rPr>
        <w:t>: 61-67 [PMID: 11176295 DOI: 10.1097/00004728-200101000-00011]</w:t>
      </w:r>
    </w:p>
    <w:p w14:paraId="460331B2" w14:textId="77777777" w:rsidR="005815E2" w:rsidRDefault="00252DFA">
      <w:pPr>
        <w:jc w:val="both"/>
        <w:rPr>
          <w:rFonts w:ascii="Book Antiqua" w:eastAsia="Book Antiqua" w:hAnsi="Book Antiqua" w:cs="Book Antiqua"/>
          <w:sz w:val="24"/>
          <w:szCs w:val="24"/>
        </w:rPr>
      </w:pPr>
      <w:proofErr w:type="gramStart"/>
      <w:r>
        <w:rPr>
          <w:rFonts w:ascii="Book Antiqua"/>
          <w:sz w:val="24"/>
          <w:szCs w:val="24"/>
        </w:rPr>
        <w:t>16</w:t>
      </w:r>
      <w:r>
        <w:rPr>
          <w:rFonts w:hAnsi="Book Antiqua"/>
          <w:sz w:val="24"/>
          <w:szCs w:val="24"/>
        </w:rPr>
        <w:t> </w:t>
      </w:r>
      <w:r>
        <w:rPr>
          <w:rFonts w:ascii="Book Antiqua Bold"/>
          <w:b/>
          <w:bCs/>
          <w:sz w:val="24"/>
          <w:szCs w:val="24"/>
        </w:rPr>
        <w:t>Lee MJ</w:t>
      </w:r>
      <w:r>
        <w:rPr>
          <w:rFonts w:ascii="Book Antiqua"/>
          <w:sz w:val="24"/>
          <w:szCs w:val="24"/>
        </w:rPr>
        <w:t>, Lee HS, Kim WH, Choi Y, Yang M. Expression of mucins and cytokeratins in primary carcinomas of the digestive system.</w:t>
      </w:r>
      <w:proofErr w:type="gramEnd"/>
      <w:r>
        <w:rPr>
          <w:rFonts w:hAnsi="Book Antiqua"/>
          <w:sz w:val="24"/>
          <w:szCs w:val="24"/>
        </w:rPr>
        <w:t> </w:t>
      </w:r>
      <w:r>
        <w:rPr>
          <w:rFonts w:ascii="Book Antiqua"/>
          <w:i/>
          <w:iCs/>
          <w:sz w:val="24"/>
          <w:szCs w:val="24"/>
        </w:rPr>
        <w:t>Mod Pathol</w:t>
      </w:r>
      <w:r>
        <w:rPr>
          <w:rFonts w:hAnsi="Book Antiqua"/>
          <w:sz w:val="24"/>
          <w:szCs w:val="24"/>
        </w:rPr>
        <w:t> </w:t>
      </w:r>
      <w:r>
        <w:rPr>
          <w:rFonts w:ascii="Book Antiqua"/>
          <w:sz w:val="24"/>
          <w:szCs w:val="24"/>
        </w:rPr>
        <w:t>2003;</w:t>
      </w:r>
      <w:r>
        <w:rPr>
          <w:rFonts w:hAnsi="Book Antiqua"/>
          <w:sz w:val="24"/>
          <w:szCs w:val="24"/>
        </w:rPr>
        <w:t> </w:t>
      </w:r>
      <w:r>
        <w:rPr>
          <w:rFonts w:ascii="Book Antiqua Bold"/>
          <w:b/>
          <w:bCs/>
          <w:sz w:val="24"/>
          <w:szCs w:val="24"/>
        </w:rPr>
        <w:t>16</w:t>
      </w:r>
      <w:r>
        <w:rPr>
          <w:rFonts w:ascii="Book Antiqua"/>
          <w:sz w:val="24"/>
          <w:szCs w:val="24"/>
        </w:rPr>
        <w:t>: 403-</w:t>
      </w:r>
      <w:r>
        <w:rPr>
          <w:rFonts w:ascii="Book Antiqua"/>
          <w:sz w:val="24"/>
          <w:szCs w:val="24"/>
        </w:rPr>
        <w:t>410 [PMID: 12748245 DOI: 10.1097/01.MP.0000067683.84284.66]</w:t>
      </w:r>
    </w:p>
    <w:p w14:paraId="0396577A" w14:textId="77777777" w:rsidR="005815E2" w:rsidRDefault="00252DFA">
      <w:pPr>
        <w:jc w:val="both"/>
        <w:rPr>
          <w:rFonts w:ascii="Book Antiqua" w:eastAsia="Book Antiqua" w:hAnsi="Book Antiqua" w:cs="Book Antiqua"/>
          <w:sz w:val="24"/>
          <w:szCs w:val="24"/>
        </w:rPr>
      </w:pPr>
      <w:r>
        <w:rPr>
          <w:rFonts w:ascii="Book Antiqua"/>
          <w:sz w:val="24"/>
          <w:szCs w:val="24"/>
        </w:rPr>
        <w:t>17</w:t>
      </w:r>
      <w:r>
        <w:rPr>
          <w:rFonts w:hAnsi="Book Antiqua"/>
          <w:sz w:val="24"/>
          <w:szCs w:val="24"/>
        </w:rPr>
        <w:t> </w:t>
      </w:r>
      <w:r>
        <w:rPr>
          <w:rFonts w:ascii="Book Antiqua Bold"/>
          <w:b/>
          <w:bCs/>
          <w:sz w:val="24"/>
          <w:szCs w:val="24"/>
        </w:rPr>
        <w:t>Saad RS</w:t>
      </w:r>
      <w:r>
        <w:rPr>
          <w:rFonts w:ascii="Book Antiqua"/>
          <w:sz w:val="24"/>
          <w:szCs w:val="24"/>
        </w:rPr>
        <w:t xml:space="preserve">, Ghorab Z, Khalifa MA, </w:t>
      </w:r>
      <w:proofErr w:type="gramStart"/>
      <w:r>
        <w:rPr>
          <w:rFonts w:ascii="Book Antiqua"/>
          <w:sz w:val="24"/>
          <w:szCs w:val="24"/>
        </w:rPr>
        <w:t>Xu</w:t>
      </w:r>
      <w:proofErr w:type="gramEnd"/>
      <w:r>
        <w:rPr>
          <w:rFonts w:ascii="Book Antiqua"/>
          <w:sz w:val="24"/>
          <w:szCs w:val="24"/>
        </w:rPr>
        <w:t xml:space="preserve"> M. CDX2 as a marker for intestinal differentiation: Its utility and limitations.</w:t>
      </w:r>
      <w:r>
        <w:rPr>
          <w:rFonts w:hAnsi="Book Antiqua"/>
          <w:sz w:val="24"/>
          <w:szCs w:val="24"/>
        </w:rPr>
        <w:t> </w:t>
      </w:r>
      <w:r>
        <w:rPr>
          <w:rFonts w:ascii="Book Antiqua"/>
          <w:i/>
          <w:iCs/>
          <w:sz w:val="24"/>
          <w:szCs w:val="24"/>
        </w:rPr>
        <w:t>World J Gastrointest Surg</w:t>
      </w:r>
      <w:r>
        <w:rPr>
          <w:rFonts w:hAnsi="Book Antiqua"/>
          <w:sz w:val="24"/>
          <w:szCs w:val="24"/>
        </w:rPr>
        <w:t> </w:t>
      </w:r>
      <w:r>
        <w:rPr>
          <w:rFonts w:ascii="Book Antiqua"/>
          <w:sz w:val="24"/>
          <w:szCs w:val="24"/>
        </w:rPr>
        <w:t>2011;</w:t>
      </w:r>
      <w:r>
        <w:rPr>
          <w:rFonts w:hAnsi="Book Antiqua"/>
          <w:sz w:val="24"/>
          <w:szCs w:val="24"/>
        </w:rPr>
        <w:t> </w:t>
      </w:r>
      <w:r>
        <w:rPr>
          <w:rFonts w:ascii="Book Antiqua Bold"/>
          <w:b/>
          <w:bCs/>
          <w:sz w:val="24"/>
          <w:szCs w:val="24"/>
        </w:rPr>
        <w:t>3</w:t>
      </w:r>
      <w:r>
        <w:rPr>
          <w:rFonts w:ascii="Book Antiqua"/>
          <w:sz w:val="24"/>
          <w:szCs w:val="24"/>
        </w:rPr>
        <w:t xml:space="preserve">: 159-166 [PMID: 22180832 DOI: </w:t>
      </w:r>
      <w:r>
        <w:rPr>
          <w:rFonts w:ascii="Book Antiqua"/>
          <w:sz w:val="24"/>
          <w:szCs w:val="24"/>
        </w:rPr>
        <w:t>10.4240/wjgs.v3.i11.159]</w:t>
      </w:r>
    </w:p>
    <w:p w14:paraId="39A6A6AE" w14:textId="77777777" w:rsidR="005815E2" w:rsidRDefault="005815E2">
      <w:pPr>
        <w:jc w:val="both"/>
        <w:rPr>
          <w:rFonts w:ascii="Book Antiqua" w:eastAsia="Book Antiqua" w:hAnsi="Book Antiqua" w:cs="Book Antiqua"/>
          <w:sz w:val="24"/>
          <w:szCs w:val="24"/>
        </w:rPr>
      </w:pPr>
    </w:p>
    <w:p w14:paraId="4955465D" w14:textId="77777777" w:rsidR="005815E2" w:rsidRDefault="00252DFA">
      <w:pPr>
        <w:spacing w:line="360" w:lineRule="auto"/>
        <w:jc w:val="right"/>
        <w:rPr>
          <w:rFonts w:ascii="Book Antiqua Bold" w:eastAsia="Book Antiqua Bold" w:hAnsi="Book Antiqua Bold" w:cs="Book Antiqua Bold"/>
          <w:b/>
          <w:bCs/>
          <w:sz w:val="24"/>
          <w:szCs w:val="24"/>
        </w:rPr>
      </w:pPr>
      <w:r>
        <w:rPr>
          <w:rFonts w:ascii="Book Antiqua Bold"/>
          <w:b/>
          <w:bCs/>
          <w:sz w:val="24"/>
          <w:szCs w:val="24"/>
        </w:rPr>
        <w:t xml:space="preserve">P-Reviewer: </w:t>
      </w:r>
      <w:r>
        <w:rPr>
          <w:rFonts w:ascii="Book Antiqua"/>
          <w:sz w:val="24"/>
          <w:szCs w:val="24"/>
        </w:rPr>
        <w:t xml:space="preserve">Fernandez-Pello S, Kai K </w:t>
      </w:r>
      <w:r>
        <w:rPr>
          <w:rFonts w:ascii="Book Antiqua Bold"/>
          <w:b/>
          <w:bCs/>
          <w:sz w:val="24"/>
          <w:szCs w:val="24"/>
        </w:rPr>
        <w:t>S-Editor:</w:t>
      </w:r>
      <w:r>
        <w:rPr>
          <w:rFonts w:ascii="Book Antiqua"/>
          <w:sz w:val="24"/>
          <w:szCs w:val="24"/>
        </w:rPr>
        <w:t xml:space="preserve"> Ma YJ </w:t>
      </w:r>
      <w:r>
        <w:rPr>
          <w:rFonts w:ascii="Book Antiqua Bold"/>
          <w:b/>
          <w:bCs/>
          <w:sz w:val="24"/>
          <w:szCs w:val="24"/>
        </w:rPr>
        <w:t>L-Editor</w:t>
      </w:r>
      <w:proofErr w:type="gramStart"/>
      <w:r>
        <w:rPr>
          <w:rFonts w:ascii="Book Antiqua Bold"/>
          <w:b/>
          <w:bCs/>
          <w:sz w:val="24"/>
          <w:szCs w:val="24"/>
        </w:rPr>
        <w:t>:</w:t>
      </w:r>
      <w:r>
        <w:rPr>
          <w:rFonts w:ascii="Book Antiqua"/>
          <w:sz w:val="24"/>
          <w:szCs w:val="24"/>
        </w:rPr>
        <w:t xml:space="preserve">   </w:t>
      </w:r>
      <w:r>
        <w:rPr>
          <w:rFonts w:ascii="Book Antiqua Bold"/>
          <w:b/>
          <w:bCs/>
          <w:sz w:val="24"/>
          <w:szCs w:val="24"/>
        </w:rPr>
        <w:t>E</w:t>
      </w:r>
      <w:proofErr w:type="gramEnd"/>
      <w:r>
        <w:rPr>
          <w:rFonts w:ascii="Book Antiqua Bold"/>
          <w:b/>
          <w:bCs/>
          <w:sz w:val="24"/>
          <w:szCs w:val="24"/>
        </w:rPr>
        <w:t>-Editor:</w:t>
      </w:r>
    </w:p>
    <w:p w14:paraId="67793FDD" w14:textId="77777777" w:rsidR="005815E2" w:rsidRDefault="005815E2">
      <w:pPr>
        <w:spacing w:after="0" w:line="360" w:lineRule="auto"/>
        <w:jc w:val="both"/>
        <w:rPr>
          <w:rFonts w:ascii="Book Antiqua Bold" w:eastAsia="Book Antiqua Bold" w:hAnsi="Book Antiqua Bold" w:cs="Book Antiqua Bold"/>
          <w:b/>
          <w:bCs/>
          <w:caps/>
          <w:sz w:val="24"/>
          <w:szCs w:val="24"/>
        </w:rPr>
      </w:pPr>
    </w:p>
    <w:p w14:paraId="3193F892"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eastAsia="Book Antiqua Bold" w:hAnsi="Book Antiqua Bold" w:cs="Book Antiqua Bold"/>
          <w:b/>
          <w:bCs/>
          <w:noProof/>
          <w:sz w:val="24"/>
          <w:szCs w:val="24"/>
        </w:rPr>
        <w:drawing>
          <wp:inline distT="0" distB="0" distL="0" distR="0" wp14:anchorId="463914FD" wp14:editId="16E71983">
            <wp:extent cx="5731510" cy="4430139"/>
            <wp:effectExtent l="0" t="0" r="0" b="0"/>
            <wp:docPr id="1073741825" name="officeArt object" descr="C:\Users\Administrator\Desktop\2014-3-14\2015-3-12\15924\15924\15924-Figures\Figure 1.jpg"/>
            <wp:cNvGraphicFramePr/>
            <a:graphic xmlns:a="http://schemas.openxmlformats.org/drawingml/2006/main">
              <a:graphicData uri="http://schemas.openxmlformats.org/drawingml/2006/picture">
                <pic:pic xmlns:pic="http://schemas.openxmlformats.org/drawingml/2006/picture">
                  <pic:nvPicPr>
                    <pic:cNvPr id="1073741825" name="image1.jpg" descr="C:\Users\Administrator\Desktop\2014-3-14\2015-3-12\15924\15924\15924-Figures\Figure 1.jpg"/>
                    <pic:cNvPicPr/>
                  </pic:nvPicPr>
                  <pic:blipFill>
                    <a:blip r:embed="rId7">
                      <a:extLst/>
                    </a:blip>
                    <a:stretch>
                      <a:fillRect/>
                    </a:stretch>
                  </pic:blipFill>
                  <pic:spPr>
                    <a:xfrm>
                      <a:off x="0" y="0"/>
                      <a:ext cx="5731510" cy="4430139"/>
                    </a:xfrm>
                    <a:prstGeom prst="rect">
                      <a:avLst/>
                    </a:prstGeom>
                    <a:ln w="12700" cap="flat">
                      <a:noFill/>
                      <a:miter lim="400000"/>
                    </a:ln>
                    <a:effectLst/>
                  </pic:spPr>
                </pic:pic>
              </a:graphicData>
            </a:graphic>
          </wp:inline>
        </w:drawing>
      </w:r>
    </w:p>
    <w:p w14:paraId="14B3D97A" w14:textId="77777777" w:rsidR="005815E2" w:rsidRDefault="00252DFA">
      <w:pPr>
        <w:spacing w:after="0" w:line="360" w:lineRule="auto"/>
        <w:jc w:val="both"/>
        <w:rPr>
          <w:rFonts w:ascii="Book Antiqua" w:eastAsia="Book Antiqua" w:hAnsi="Book Antiqua" w:cs="Book Antiqua"/>
          <w:sz w:val="24"/>
          <w:szCs w:val="24"/>
        </w:rPr>
      </w:pPr>
      <w:r>
        <w:rPr>
          <w:rFonts w:ascii="Book Antiqua Bold"/>
          <w:b/>
          <w:bCs/>
          <w:sz w:val="24"/>
          <w:szCs w:val="24"/>
        </w:rPr>
        <w:t xml:space="preserve">Figure 1 </w:t>
      </w:r>
      <w:r>
        <w:rPr>
          <w:rFonts w:ascii="Book Antiqua Bold"/>
          <w:b/>
          <w:bCs/>
          <w:caps/>
          <w:sz w:val="24"/>
          <w:szCs w:val="24"/>
        </w:rPr>
        <w:t>l</w:t>
      </w:r>
      <w:r>
        <w:rPr>
          <w:rFonts w:ascii="Book Antiqua Bold"/>
          <w:b/>
          <w:bCs/>
          <w:sz w:val="24"/>
          <w:szCs w:val="24"/>
        </w:rPr>
        <w:t xml:space="preserve">aparoscopy examination. </w:t>
      </w:r>
      <w:r>
        <w:rPr>
          <w:rFonts w:ascii="Book Antiqua"/>
          <w:sz w:val="24"/>
          <w:szCs w:val="24"/>
        </w:rPr>
        <w:t xml:space="preserve">Top left: </w:t>
      </w:r>
      <w:r>
        <w:rPr>
          <w:rFonts w:ascii="Book Antiqua"/>
          <w:caps/>
          <w:sz w:val="24"/>
          <w:szCs w:val="24"/>
        </w:rPr>
        <w:t>l</w:t>
      </w:r>
      <w:r>
        <w:rPr>
          <w:rFonts w:ascii="Book Antiqua"/>
          <w:sz w:val="24"/>
          <w:szCs w:val="24"/>
        </w:rPr>
        <w:t xml:space="preserve">aparoscopic view of the pelvic organs; Bladder (white arrow) and rectum (black arrow) look grossly normal. </w:t>
      </w:r>
      <w:r>
        <w:rPr>
          <w:rFonts w:ascii="Book Antiqua"/>
          <w:sz w:val="24"/>
          <w:szCs w:val="24"/>
        </w:rPr>
        <w:t xml:space="preserve">Moderate amount of greenish ascites seen; Top right: </w:t>
      </w:r>
      <w:r>
        <w:rPr>
          <w:rFonts w:ascii="Book Antiqua"/>
          <w:caps/>
          <w:sz w:val="24"/>
          <w:szCs w:val="24"/>
        </w:rPr>
        <w:t>t</w:t>
      </w:r>
      <w:r>
        <w:rPr>
          <w:rFonts w:ascii="Book Antiqua"/>
          <w:sz w:val="24"/>
          <w:szCs w:val="24"/>
        </w:rPr>
        <w:t xml:space="preserve">ransverse colon serosa normal looking except for thickened appendices epiploicae (white arrow). Bottom left: </w:t>
      </w:r>
      <w:r>
        <w:rPr>
          <w:rFonts w:ascii="Book Antiqua"/>
          <w:caps/>
          <w:sz w:val="24"/>
          <w:szCs w:val="24"/>
        </w:rPr>
        <w:t>g</w:t>
      </w:r>
      <w:r>
        <w:rPr>
          <w:rFonts w:ascii="Book Antiqua"/>
          <w:sz w:val="24"/>
          <w:szCs w:val="24"/>
        </w:rPr>
        <w:t>astric tumour seen at lesser curve on EGD</w:t>
      </w:r>
      <w:proofErr w:type="gramStart"/>
      <w:r>
        <w:rPr>
          <w:rFonts w:ascii="Book Antiqua"/>
          <w:sz w:val="24"/>
          <w:szCs w:val="24"/>
        </w:rPr>
        <w:t>;</w:t>
      </w:r>
      <w:proofErr w:type="gramEnd"/>
      <w:r>
        <w:rPr>
          <w:rFonts w:ascii="Book Antiqua"/>
          <w:sz w:val="24"/>
          <w:szCs w:val="24"/>
        </w:rPr>
        <w:t xml:space="preserve"> Bottom right: </w:t>
      </w:r>
      <w:r>
        <w:rPr>
          <w:rFonts w:ascii="Book Antiqua"/>
          <w:caps/>
          <w:sz w:val="24"/>
          <w:szCs w:val="24"/>
        </w:rPr>
        <w:t>e</w:t>
      </w:r>
      <w:r>
        <w:rPr>
          <w:rFonts w:ascii="Book Antiqua"/>
          <w:sz w:val="24"/>
          <w:szCs w:val="24"/>
        </w:rPr>
        <w:t xml:space="preserve">xtensive circumferential rectal mucosal tumour with luminal narrowing. </w:t>
      </w:r>
    </w:p>
    <w:p w14:paraId="52AAC807" w14:textId="77777777" w:rsidR="005815E2" w:rsidRDefault="005815E2">
      <w:pPr>
        <w:spacing w:after="0" w:line="360" w:lineRule="auto"/>
        <w:jc w:val="both"/>
        <w:rPr>
          <w:rFonts w:ascii="Book Antiqua" w:eastAsia="Book Antiqua" w:hAnsi="Book Antiqua" w:cs="Book Antiqua"/>
          <w:sz w:val="24"/>
          <w:szCs w:val="24"/>
        </w:rPr>
      </w:pPr>
    </w:p>
    <w:p w14:paraId="7CC8A2E9" w14:textId="77777777" w:rsidR="005815E2" w:rsidRDefault="00252DFA">
      <w:pPr>
        <w:spacing w:after="0"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ACA63C6" wp14:editId="01626AB7">
            <wp:extent cx="2898775" cy="1535431"/>
            <wp:effectExtent l="0" t="0" r="0" b="0"/>
            <wp:docPr id="1073741826" name="officeArt object" descr="C:\Users\Administrator\Desktop\2014-3-14\2015-3-12\15924\15924\15924-Figures\Figure 2.jpg"/>
            <wp:cNvGraphicFramePr/>
            <a:graphic xmlns:a="http://schemas.openxmlformats.org/drawingml/2006/main">
              <a:graphicData uri="http://schemas.openxmlformats.org/drawingml/2006/picture">
                <pic:pic xmlns:pic="http://schemas.openxmlformats.org/drawingml/2006/picture">
                  <pic:nvPicPr>
                    <pic:cNvPr id="1073741826" name="image2.jpg" descr="C:\Users\Administrator\Desktop\2014-3-14\2015-3-12\15924\15924\15924-Figures\Figure 2.jpg"/>
                    <pic:cNvPicPr/>
                  </pic:nvPicPr>
                  <pic:blipFill>
                    <a:blip r:embed="rId8">
                      <a:extLst/>
                    </a:blip>
                    <a:stretch>
                      <a:fillRect/>
                    </a:stretch>
                  </pic:blipFill>
                  <pic:spPr>
                    <a:xfrm>
                      <a:off x="0" y="0"/>
                      <a:ext cx="2898775" cy="1535431"/>
                    </a:xfrm>
                    <a:prstGeom prst="rect">
                      <a:avLst/>
                    </a:prstGeom>
                    <a:ln w="12700" cap="flat">
                      <a:noFill/>
                      <a:miter lim="400000"/>
                    </a:ln>
                    <a:effectLst/>
                  </pic:spPr>
                </pic:pic>
              </a:graphicData>
            </a:graphic>
          </wp:inline>
        </w:drawing>
      </w:r>
    </w:p>
    <w:p w14:paraId="381EB3D7"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Figure 2 Gastric biopsy showing intestinal type gastric adenocarcinoma.</w:t>
      </w:r>
    </w:p>
    <w:p w14:paraId="0CE607DD" w14:textId="77777777" w:rsidR="005815E2" w:rsidRDefault="005815E2">
      <w:pPr>
        <w:spacing w:after="0" w:line="360" w:lineRule="auto"/>
        <w:jc w:val="both"/>
        <w:rPr>
          <w:rFonts w:ascii="Book Antiqua" w:eastAsia="Book Antiqua" w:hAnsi="Book Antiqua" w:cs="Book Antiqua"/>
          <w:sz w:val="24"/>
          <w:szCs w:val="24"/>
        </w:rPr>
      </w:pPr>
    </w:p>
    <w:p w14:paraId="6FC86B12" w14:textId="77777777" w:rsidR="005815E2" w:rsidRDefault="00252DFA">
      <w:pPr>
        <w:spacing w:after="0"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7A4A268" wp14:editId="41F744E7">
            <wp:extent cx="5012055" cy="1527175"/>
            <wp:effectExtent l="0" t="0" r="0" b="0"/>
            <wp:docPr id="1073741827" name="officeArt object" descr="C:\Users\Administrator\Desktop\2014-3-14\2015-3-12\15924\15924\15924-Figures\Figure 3.jpg"/>
            <wp:cNvGraphicFramePr/>
            <a:graphic xmlns:a="http://schemas.openxmlformats.org/drawingml/2006/main">
              <a:graphicData uri="http://schemas.openxmlformats.org/drawingml/2006/picture">
                <pic:pic xmlns:pic="http://schemas.openxmlformats.org/drawingml/2006/picture">
                  <pic:nvPicPr>
                    <pic:cNvPr id="1073741827" name="image3.jpg" descr="C:\Users\Administrator\Desktop\2014-3-14\2015-3-12\15924\15924\15924-Figures\Figure 3.jpg"/>
                    <pic:cNvPicPr/>
                  </pic:nvPicPr>
                  <pic:blipFill>
                    <a:blip r:embed="rId9">
                      <a:extLst/>
                    </a:blip>
                    <a:stretch>
                      <a:fillRect/>
                    </a:stretch>
                  </pic:blipFill>
                  <pic:spPr>
                    <a:xfrm>
                      <a:off x="0" y="0"/>
                      <a:ext cx="5012055" cy="1527175"/>
                    </a:xfrm>
                    <a:prstGeom prst="rect">
                      <a:avLst/>
                    </a:prstGeom>
                    <a:ln w="12700" cap="flat">
                      <a:noFill/>
                      <a:miter lim="400000"/>
                    </a:ln>
                    <a:effectLst/>
                  </pic:spPr>
                </pic:pic>
              </a:graphicData>
            </a:graphic>
          </wp:inline>
        </w:drawing>
      </w:r>
    </w:p>
    <w:p w14:paraId="76C07DCF" w14:textId="77777777" w:rsidR="005815E2" w:rsidRDefault="00252DFA">
      <w:pPr>
        <w:spacing w:after="0" w:line="360" w:lineRule="auto"/>
        <w:jc w:val="both"/>
        <w:rPr>
          <w:rFonts w:ascii="Book Antiqua" w:eastAsia="Book Antiqua" w:hAnsi="Book Antiqua" w:cs="Book Antiqua"/>
          <w:sz w:val="24"/>
          <w:szCs w:val="24"/>
        </w:rPr>
      </w:pPr>
      <w:r>
        <w:rPr>
          <w:rFonts w:ascii="Book Antiqua"/>
          <w:sz w:val="24"/>
          <w:szCs w:val="24"/>
        </w:rPr>
        <w:t>A                                                                B</w:t>
      </w:r>
    </w:p>
    <w:p w14:paraId="51A75A2C" w14:textId="77777777" w:rsidR="005815E2" w:rsidRDefault="00252DFA">
      <w:pPr>
        <w:spacing w:after="0" w:line="360" w:lineRule="auto"/>
        <w:jc w:val="both"/>
        <w:rPr>
          <w:rFonts w:ascii="Book Antiqua Bold" w:eastAsia="Book Antiqua Bold" w:hAnsi="Book Antiqua Bold" w:cs="Book Antiqua Bold"/>
          <w:b/>
          <w:bCs/>
          <w:sz w:val="24"/>
          <w:szCs w:val="24"/>
        </w:rPr>
      </w:pPr>
      <w:r>
        <w:rPr>
          <w:rFonts w:ascii="Book Antiqua Bold"/>
          <w:b/>
          <w:bCs/>
          <w:sz w:val="24"/>
          <w:szCs w:val="24"/>
        </w:rPr>
        <w:t xml:space="preserve">Figure 3 CK7 with strong cytoplasmic </w:t>
      </w:r>
      <w:r>
        <w:rPr>
          <w:rFonts w:ascii="Book Antiqua Bold"/>
          <w:b/>
          <w:bCs/>
          <w:sz w:val="24"/>
          <w:szCs w:val="24"/>
        </w:rPr>
        <w:t>positivity (A) and CDX2 with diffuse and strong nuclear positivity (</w:t>
      </w:r>
      <w:r>
        <w:rPr>
          <w:rFonts w:ascii="Book Antiqua Bold"/>
          <w:b/>
          <w:bCs/>
          <w:caps/>
          <w:sz w:val="24"/>
          <w:szCs w:val="24"/>
        </w:rPr>
        <w:t>b</w:t>
      </w:r>
      <w:r>
        <w:rPr>
          <w:rFonts w:ascii="Book Antiqua Bold"/>
          <w:b/>
          <w:bCs/>
          <w:sz w:val="24"/>
          <w:szCs w:val="24"/>
        </w:rPr>
        <w:t>).</w:t>
      </w:r>
    </w:p>
    <w:p w14:paraId="1C3B1A16" w14:textId="77777777" w:rsidR="005815E2" w:rsidRDefault="005815E2">
      <w:pPr>
        <w:spacing w:after="0" w:line="360" w:lineRule="auto"/>
        <w:jc w:val="both"/>
        <w:rPr>
          <w:rFonts w:ascii="Book Antiqua" w:eastAsia="Book Antiqua" w:hAnsi="Book Antiqua" w:cs="Book Antiqua"/>
          <w:sz w:val="24"/>
          <w:szCs w:val="24"/>
        </w:rPr>
      </w:pPr>
    </w:p>
    <w:p w14:paraId="22647824" w14:textId="77777777" w:rsidR="005815E2" w:rsidRDefault="00252DFA">
      <w:pPr>
        <w:spacing w:after="0"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461B1E0C" wp14:editId="195C7AD1">
            <wp:extent cx="5012055" cy="1535431"/>
            <wp:effectExtent l="0" t="0" r="0" b="0"/>
            <wp:docPr id="1073741828" name="officeArt object" descr="C:\Users\Administrator\Desktop\2014-3-14\2015-3-12\15924\15924\15924-Figures\Figure 4.jpg"/>
            <wp:cNvGraphicFramePr/>
            <a:graphic xmlns:a="http://schemas.openxmlformats.org/drawingml/2006/main">
              <a:graphicData uri="http://schemas.openxmlformats.org/drawingml/2006/picture">
                <pic:pic xmlns:pic="http://schemas.openxmlformats.org/drawingml/2006/picture">
                  <pic:nvPicPr>
                    <pic:cNvPr id="1073741828" name="image4.jpg" descr="C:\Users\Administrator\Desktop\2014-3-14\2015-3-12\15924\15924\15924-Figures\Figure 4.jpg"/>
                    <pic:cNvPicPr/>
                  </pic:nvPicPr>
                  <pic:blipFill>
                    <a:blip r:embed="rId10">
                      <a:extLst/>
                    </a:blip>
                    <a:stretch>
                      <a:fillRect/>
                    </a:stretch>
                  </pic:blipFill>
                  <pic:spPr>
                    <a:xfrm>
                      <a:off x="0" y="0"/>
                      <a:ext cx="5012055" cy="1535431"/>
                    </a:xfrm>
                    <a:prstGeom prst="rect">
                      <a:avLst/>
                    </a:prstGeom>
                    <a:ln w="12700" cap="flat">
                      <a:noFill/>
                      <a:miter lim="400000"/>
                    </a:ln>
                    <a:effectLst/>
                  </pic:spPr>
                </pic:pic>
              </a:graphicData>
            </a:graphic>
          </wp:inline>
        </w:drawing>
      </w:r>
    </w:p>
    <w:p w14:paraId="0361AEC2" w14:textId="77777777" w:rsidR="005815E2" w:rsidRDefault="00252DFA">
      <w:pPr>
        <w:spacing w:after="0" w:line="360" w:lineRule="auto"/>
        <w:jc w:val="both"/>
        <w:rPr>
          <w:rFonts w:ascii="Book Antiqua" w:eastAsia="Book Antiqua" w:hAnsi="Book Antiqua" w:cs="Book Antiqua"/>
          <w:sz w:val="24"/>
          <w:szCs w:val="24"/>
        </w:rPr>
      </w:pPr>
      <w:r>
        <w:rPr>
          <w:rFonts w:ascii="Book Antiqua"/>
          <w:sz w:val="24"/>
          <w:szCs w:val="24"/>
        </w:rPr>
        <w:t>A                                                               B</w:t>
      </w:r>
    </w:p>
    <w:p w14:paraId="557A0C5C" w14:textId="77777777" w:rsidR="005815E2" w:rsidRDefault="00252DFA">
      <w:pPr>
        <w:spacing w:after="0" w:line="360" w:lineRule="auto"/>
        <w:jc w:val="both"/>
      </w:pPr>
      <w:r>
        <w:rPr>
          <w:rFonts w:ascii="Book Antiqua Bold"/>
          <w:b/>
          <w:bCs/>
          <w:sz w:val="24"/>
          <w:szCs w:val="24"/>
        </w:rPr>
        <w:t xml:space="preserve">Figure 4 CK20 negative (A) and few signet ring cells seen with mucicarmine staining (B). </w:t>
      </w:r>
    </w:p>
    <w:sectPr w:rsidR="005815E2">
      <w:headerReference w:type="default" r:id="rId11"/>
      <w:footerReference w:type="default" r:id="rId1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C91EC" w14:textId="77777777" w:rsidR="00000000" w:rsidRDefault="00252DFA">
      <w:pPr>
        <w:spacing w:after="0" w:line="240" w:lineRule="auto"/>
      </w:pPr>
      <w:r>
        <w:separator/>
      </w:r>
    </w:p>
  </w:endnote>
  <w:endnote w:type="continuationSeparator" w:id="0">
    <w:p w14:paraId="3C1C743F" w14:textId="77777777" w:rsidR="00000000" w:rsidRDefault="0025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Bold">
    <w:altName w:val="Book Antiqua"/>
    <w:charset w:val="00"/>
    <w:family w:val="roman"/>
    <w:pitch w:val="default"/>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75B4C" w14:textId="77777777" w:rsidR="005815E2" w:rsidRDefault="005815E2">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07035" w14:textId="77777777" w:rsidR="00000000" w:rsidRDefault="00252DFA">
      <w:pPr>
        <w:spacing w:after="0" w:line="240" w:lineRule="auto"/>
      </w:pPr>
      <w:r>
        <w:separator/>
      </w:r>
    </w:p>
  </w:footnote>
  <w:footnote w:type="continuationSeparator" w:id="0">
    <w:p w14:paraId="1764218F" w14:textId="77777777" w:rsidR="00000000" w:rsidRDefault="00252DF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BCD95" w14:textId="77777777" w:rsidR="005815E2" w:rsidRDefault="005815E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815E2"/>
    <w:rsid w:val="00252DFA"/>
    <w:rsid w:val="00581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7D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Arial Unicode MS"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hAnsi="Arial Unicode MS" w:cs="Arial Unicode MS"/>
      <w:color w:val="000000"/>
      <w:sz w:val="22"/>
      <w:szCs w:val="22"/>
      <w:u w:color="000000"/>
    </w:rPr>
  </w:style>
  <w:style w:type="paragraph" w:styleId="BalloonText">
    <w:name w:val="Balloon Text"/>
    <w:basedOn w:val="Normal"/>
    <w:link w:val="BalloonTextChar"/>
    <w:uiPriority w:val="99"/>
    <w:semiHidden/>
    <w:unhideWhenUsed/>
    <w:rsid w:val="00252D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DFA"/>
    <w:rPr>
      <w:rFonts w:ascii="Lucida Grande" w:hAnsi="Lucida Grande" w:cs="Lucida Grande"/>
      <w:color w:val="000000"/>
      <w:sz w:val="18"/>
      <w:szCs w:val="18"/>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Arial Unicode MS"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hAnsi="Arial Unicode MS" w:cs="Arial Unicode MS"/>
      <w:color w:val="000000"/>
      <w:sz w:val="22"/>
      <w:szCs w:val="22"/>
      <w:u w:color="000000"/>
    </w:rPr>
  </w:style>
  <w:style w:type="paragraph" w:styleId="BalloonText">
    <w:name w:val="Balloon Text"/>
    <w:basedOn w:val="Normal"/>
    <w:link w:val="BalloonTextChar"/>
    <w:uiPriority w:val="99"/>
    <w:semiHidden/>
    <w:unhideWhenUsed/>
    <w:rsid w:val="00252D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DFA"/>
    <w:rPr>
      <w:rFonts w:ascii="Lucida Grande" w:hAnsi="Lucida Grande" w:cs="Lucida Grande"/>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2987</Words>
  <Characters>17027</Characters>
  <Application>Microsoft Macintosh Word</Application>
  <DocSecurity>0</DocSecurity>
  <Lines>141</Lines>
  <Paragraphs>39</Paragraphs>
  <ScaleCrop>false</ScaleCrop>
  <Company/>
  <LinksUpToDate>false</LinksUpToDate>
  <CharactersWithSpaces>19975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2015-04-13T20:59:00Z</dcterms:created>
  <dcterms:modified xsi:type="dcterms:W3CDTF">2015-04-13T21:00:00Z</dcterms:modified>
</cp:coreProperties>
</file>