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7" w:rsidRPr="000005E4" w:rsidRDefault="009D6287" w:rsidP="0000111A">
      <w:pPr>
        <w:adjustRightInd w:val="0"/>
        <w:snapToGrid w:val="0"/>
        <w:spacing w:after="0" w:line="360" w:lineRule="auto"/>
        <w:rPr>
          <w:rFonts w:ascii="Book Antiqua" w:hAnsi="Book Antiqua" w:cs="Tahoma"/>
          <w:b/>
          <w:color w:val="000000" w:themeColor="text1"/>
          <w:sz w:val="21"/>
          <w:szCs w:val="21"/>
        </w:rPr>
      </w:pPr>
      <w:r w:rsidRPr="000005E4">
        <w:rPr>
          <w:rFonts w:ascii="Book Antiqua" w:hAnsi="Book Antiqua" w:cs="Tahoma"/>
          <w:b/>
          <w:color w:val="000000" w:themeColor="text1"/>
          <w:sz w:val="21"/>
          <w:szCs w:val="21"/>
        </w:rPr>
        <w:t>Name of journal: World Journal of Gastroenterology</w:t>
      </w:r>
    </w:p>
    <w:p w:rsidR="009D6287" w:rsidRPr="000005E4" w:rsidRDefault="009D6287" w:rsidP="0000111A">
      <w:pPr>
        <w:adjustRightInd w:val="0"/>
        <w:snapToGrid w:val="0"/>
        <w:spacing w:after="0" w:line="360" w:lineRule="auto"/>
        <w:rPr>
          <w:rFonts w:ascii="Book Antiqua" w:hAnsi="Book Antiqua" w:cs="Tahoma"/>
          <w:b/>
          <w:color w:val="000000" w:themeColor="text1"/>
          <w:sz w:val="21"/>
          <w:szCs w:val="21"/>
          <w:lang w:eastAsia="zh-CN"/>
        </w:rPr>
      </w:pPr>
      <w:r w:rsidRPr="000005E4">
        <w:rPr>
          <w:rFonts w:ascii="Book Antiqua" w:hAnsi="Book Antiqua" w:cs="Tahoma"/>
          <w:b/>
          <w:color w:val="000000" w:themeColor="text1"/>
          <w:sz w:val="21"/>
          <w:szCs w:val="21"/>
        </w:rPr>
        <w:t>ESPS Manuscript NO:</w:t>
      </w:r>
      <w:r w:rsidRPr="000005E4">
        <w:rPr>
          <w:rFonts w:ascii="Book Antiqua" w:hAnsi="Book Antiqua" w:cs="Tahoma" w:hint="eastAsia"/>
          <w:b/>
          <w:color w:val="000000" w:themeColor="text1"/>
          <w:sz w:val="21"/>
          <w:szCs w:val="21"/>
        </w:rPr>
        <w:t xml:space="preserve"> </w:t>
      </w:r>
      <w:r w:rsidRPr="000005E4">
        <w:rPr>
          <w:rFonts w:ascii="Book Antiqua" w:hAnsi="Book Antiqua" w:cs="Tahoma" w:hint="eastAsia"/>
          <w:b/>
          <w:color w:val="000000" w:themeColor="text1"/>
          <w:sz w:val="21"/>
          <w:szCs w:val="21"/>
          <w:lang w:eastAsia="zh-CN"/>
        </w:rPr>
        <w:t>16174</w:t>
      </w:r>
    </w:p>
    <w:p w:rsidR="009D6287" w:rsidRPr="000005E4" w:rsidRDefault="009D6287" w:rsidP="0000111A">
      <w:pPr>
        <w:adjustRightInd w:val="0"/>
        <w:snapToGrid w:val="0"/>
        <w:spacing w:after="0" w:line="360" w:lineRule="auto"/>
        <w:rPr>
          <w:rFonts w:ascii="Book Antiqua" w:eastAsia="YouYuan" w:hAnsi="Book Antiqua"/>
          <w:b/>
          <w:color w:val="000000" w:themeColor="text1"/>
          <w:sz w:val="21"/>
          <w:szCs w:val="21"/>
          <w:lang w:eastAsia="zh-CN"/>
        </w:rPr>
      </w:pPr>
      <w:bookmarkStart w:id="0" w:name="OLE_LINK3"/>
      <w:bookmarkStart w:id="1" w:name="OLE_LINK4"/>
      <w:r w:rsidRPr="000005E4">
        <w:rPr>
          <w:rFonts w:ascii="Book Antiqua" w:hAnsi="Book Antiqua"/>
          <w:b/>
          <w:color w:val="000000" w:themeColor="text1"/>
          <w:sz w:val="21"/>
          <w:szCs w:val="21"/>
        </w:rPr>
        <w:t>Columns:</w:t>
      </w:r>
      <w:bookmarkEnd w:id="0"/>
      <w:bookmarkEnd w:id="1"/>
      <w:r w:rsidRPr="000005E4">
        <w:rPr>
          <w:rFonts w:ascii="Book Antiqua" w:eastAsia="YouYuan" w:hAnsi="Book Antiqua" w:hint="eastAsia"/>
          <w:b/>
          <w:color w:val="000000" w:themeColor="text1"/>
          <w:sz w:val="21"/>
          <w:szCs w:val="21"/>
        </w:rPr>
        <w:t xml:space="preserve"> EDITORIAL</w:t>
      </w:r>
    </w:p>
    <w:p w:rsidR="009D6287" w:rsidRPr="000005E4" w:rsidRDefault="009D6287" w:rsidP="0000111A">
      <w:pPr>
        <w:adjustRightInd w:val="0"/>
        <w:snapToGrid w:val="0"/>
        <w:spacing w:after="0" w:line="360" w:lineRule="auto"/>
        <w:rPr>
          <w:rFonts w:ascii="Book Antiqua" w:eastAsia="YouYuan" w:hAnsi="Book Antiqua"/>
          <w:b/>
          <w:color w:val="0000FF"/>
          <w:sz w:val="21"/>
          <w:szCs w:val="21"/>
          <w:lang w:eastAsia="zh-CN"/>
        </w:rPr>
      </w:pPr>
    </w:p>
    <w:p w:rsidR="007629BD" w:rsidRPr="000005E4" w:rsidRDefault="00A2474C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Sphincter of</w:t>
      </w:r>
      <w:r w:rsidR="001043BB" w:rsidRPr="000005E4">
        <w:rPr>
          <w:rFonts w:ascii="Book Antiqua" w:hAnsi="Book Antiqua" w:cs="Tahoma"/>
          <w:b/>
          <w:sz w:val="24"/>
          <w:szCs w:val="24"/>
        </w:rPr>
        <w:t xml:space="preserve"> </w:t>
      </w:r>
      <w:proofErr w:type="spellStart"/>
      <w:r w:rsidR="001043BB" w:rsidRPr="000005E4">
        <w:rPr>
          <w:rFonts w:ascii="Book Antiqua" w:hAnsi="Book Antiqua" w:cs="Tahoma"/>
          <w:b/>
          <w:sz w:val="24"/>
          <w:szCs w:val="24"/>
        </w:rPr>
        <w:t>oddi</w:t>
      </w:r>
      <w:proofErr w:type="spellEnd"/>
      <w:r w:rsidR="001043BB" w:rsidRPr="000005E4">
        <w:rPr>
          <w:rFonts w:ascii="Book Antiqua" w:hAnsi="Book Antiqua" w:cs="Tahoma"/>
          <w:b/>
          <w:sz w:val="24"/>
          <w:szCs w:val="24"/>
        </w:rPr>
        <w:t xml:space="preserve"> dysfu</w:t>
      </w:r>
      <w:r w:rsidR="005B0A6D" w:rsidRPr="000005E4">
        <w:rPr>
          <w:rFonts w:ascii="Book Antiqua" w:hAnsi="Book Antiqua" w:cs="Tahoma"/>
          <w:b/>
          <w:sz w:val="24"/>
          <w:szCs w:val="24"/>
        </w:rPr>
        <w:t>nction</w:t>
      </w:r>
      <w:r w:rsidR="00442258" w:rsidRPr="000005E4">
        <w:rPr>
          <w:rFonts w:ascii="Book Antiqua" w:hAnsi="Book Antiqua" w:cs="Tahoma"/>
          <w:b/>
          <w:sz w:val="24"/>
          <w:szCs w:val="24"/>
        </w:rPr>
        <w:t xml:space="preserve"> Type III</w:t>
      </w:r>
      <w:r w:rsidR="005B0A6D" w:rsidRPr="000005E4">
        <w:rPr>
          <w:rFonts w:ascii="Book Antiqua" w:hAnsi="Book Antiqua" w:cs="Tahoma"/>
          <w:b/>
          <w:sz w:val="24"/>
          <w:szCs w:val="24"/>
        </w:rPr>
        <w:t>: New</w:t>
      </w:r>
      <w:r w:rsidR="001043BB" w:rsidRPr="000005E4">
        <w:rPr>
          <w:rFonts w:ascii="Book Antiqua" w:hAnsi="Book Antiqua" w:cs="Tahoma"/>
          <w:b/>
          <w:sz w:val="24"/>
          <w:szCs w:val="24"/>
        </w:rPr>
        <w:t xml:space="preserve"> studies suggest new approaches are ne</w:t>
      </w:r>
      <w:r w:rsidR="005B0A6D" w:rsidRPr="000005E4">
        <w:rPr>
          <w:rFonts w:ascii="Book Antiqua" w:hAnsi="Book Antiqua" w:cs="Tahoma"/>
          <w:b/>
          <w:sz w:val="24"/>
          <w:szCs w:val="24"/>
        </w:rPr>
        <w:t>eded</w:t>
      </w:r>
    </w:p>
    <w:p w:rsidR="009D6287" w:rsidRPr="000005E4" w:rsidRDefault="009D628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1043BB" w:rsidRPr="000005E4" w:rsidRDefault="009D628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Wilcox 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>CM</w:t>
      </w:r>
      <w:r w:rsidR="00F96593" w:rsidRPr="000005E4">
        <w:rPr>
          <w:rFonts w:ascii="Book Antiqua" w:hAnsi="Book Antiqua" w:cs="Tahoma" w:hint="eastAsia"/>
          <w:sz w:val="24"/>
          <w:szCs w:val="24"/>
          <w:lang w:eastAsia="zh-CN"/>
        </w:rPr>
        <w:t>.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1043BB" w:rsidRPr="000005E4">
        <w:rPr>
          <w:rFonts w:ascii="Book Antiqua" w:hAnsi="Book Antiqua" w:cs="Tahoma"/>
          <w:sz w:val="24"/>
          <w:szCs w:val="24"/>
        </w:rPr>
        <w:t>Sphincter o</w:t>
      </w:r>
      <w:r w:rsidR="00A078D7" w:rsidRPr="000005E4">
        <w:rPr>
          <w:rFonts w:ascii="Book Antiqua" w:hAnsi="Book Antiqua" w:cs="Tahoma"/>
          <w:sz w:val="24"/>
          <w:szCs w:val="24"/>
        </w:rPr>
        <w:t xml:space="preserve">f </w:t>
      </w:r>
      <w:proofErr w:type="spellStart"/>
      <w:r w:rsidR="00A078D7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A078D7" w:rsidRPr="000005E4">
        <w:rPr>
          <w:rFonts w:ascii="Book Antiqua" w:hAnsi="Book Antiqua" w:cs="Tahoma"/>
          <w:sz w:val="24"/>
          <w:szCs w:val="24"/>
        </w:rPr>
        <w:t xml:space="preserve"> d</w:t>
      </w:r>
      <w:r w:rsidR="001043BB" w:rsidRPr="000005E4">
        <w:rPr>
          <w:rFonts w:ascii="Book Antiqua" w:hAnsi="Book Antiqua" w:cs="Tahoma"/>
          <w:sz w:val="24"/>
          <w:szCs w:val="24"/>
        </w:rPr>
        <w:t>ysfunction</w:t>
      </w:r>
    </w:p>
    <w:p w:rsidR="006C5C57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6C5C57" w:rsidRPr="000005E4" w:rsidRDefault="00A83A09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0005E4">
        <w:rPr>
          <w:rFonts w:ascii="Book Antiqua" w:hAnsi="Book Antiqua" w:cs="Tahoma"/>
          <w:sz w:val="24"/>
          <w:szCs w:val="24"/>
        </w:rPr>
        <w:t>C Mel Wilcox</w:t>
      </w:r>
    </w:p>
    <w:p w:rsidR="006C5C57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6C5C57" w:rsidRPr="000005E4" w:rsidRDefault="00A83A09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0005E4">
        <w:rPr>
          <w:rFonts w:ascii="Book Antiqua" w:hAnsi="Book Antiqua" w:cs="Tahoma"/>
          <w:b/>
          <w:sz w:val="24"/>
          <w:szCs w:val="24"/>
        </w:rPr>
        <w:t>C Mel Wilcox</w:t>
      </w:r>
      <w:r w:rsidRPr="000005E4"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,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Division of Gastroenterology and </w:t>
      </w:r>
      <w:proofErr w:type="spellStart"/>
      <w:r w:rsidR="006C5C57" w:rsidRPr="000005E4">
        <w:rPr>
          <w:rFonts w:ascii="Book Antiqua" w:hAnsi="Book Antiqua" w:cs="Tahoma"/>
          <w:sz w:val="24"/>
          <w:szCs w:val="24"/>
        </w:rPr>
        <w:t>Hepatology</w:t>
      </w:r>
      <w:proofErr w:type="spellEnd"/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, </w:t>
      </w:r>
      <w:r w:rsidR="006C5C57" w:rsidRPr="000005E4">
        <w:rPr>
          <w:rFonts w:ascii="Book Antiqua" w:hAnsi="Book Antiqua" w:cs="Tahoma"/>
          <w:sz w:val="24"/>
          <w:szCs w:val="24"/>
        </w:rPr>
        <w:t>University of Alabama at Birmingham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, </w:t>
      </w:r>
      <w:r w:rsidRPr="000005E4">
        <w:rPr>
          <w:rFonts w:ascii="Book Antiqua" w:hAnsi="Book Antiqua" w:cs="Tahoma"/>
          <w:sz w:val="24"/>
          <w:szCs w:val="24"/>
        </w:rPr>
        <w:t>Birmingham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, </w:t>
      </w:r>
      <w:r w:rsidR="001D36E7">
        <w:rPr>
          <w:rFonts w:ascii="Book Antiqua" w:hAnsi="Book Antiqua" w:cs="Tahoma" w:hint="eastAsia"/>
          <w:sz w:val="24"/>
          <w:szCs w:val="24"/>
          <w:lang w:eastAsia="zh-CN"/>
        </w:rPr>
        <w:t xml:space="preserve">AL </w:t>
      </w:r>
      <w:r w:rsidR="001D36E7" w:rsidRPr="000005E4">
        <w:rPr>
          <w:rFonts w:ascii="Book Antiqua" w:hAnsi="Book Antiqua" w:cs="Tahoma"/>
          <w:sz w:val="24"/>
          <w:szCs w:val="24"/>
        </w:rPr>
        <w:t>35294-0113</w:t>
      </w:r>
      <w:r w:rsidR="001D36E7">
        <w:rPr>
          <w:rFonts w:ascii="Book Antiqua" w:hAnsi="Book Antiqua" w:cs="Tahoma" w:hint="eastAsia"/>
          <w:sz w:val="24"/>
          <w:szCs w:val="24"/>
          <w:lang w:eastAsia="zh-CN"/>
        </w:rPr>
        <w:t>, United States</w:t>
      </w:r>
    </w:p>
    <w:p w:rsidR="007472A6" w:rsidRPr="000005E4" w:rsidRDefault="007472A6" w:rsidP="009612D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</w:p>
    <w:p w:rsidR="006E2DE3" w:rsidRPr="000005E4" w:rsidRDefault="007472A6" w:rsidP="009612D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0005E4">
        <w:rPr>
          <w:rFonts w:ascii="Book Antiqua" w:hAnsi="Book Antiqua"/>
          <w:b/>
          <w:sz w:val="24"/>
        </w:rPr>
        <w:t>Conflict-of-interest</w:t>
      </w:r>
      <w:r w:rsidRPr="000005E4">
        <w:rPr>
          <w:rFonts w:ascii="Book Antiqua" w:hAnsi="Book Antiqua" w:hint="eastAsia"/>
          <w:b/>
          <w:sz w:val="24"/>
        </w:rPr>
        <w:t>:</w:t>
      </w:r>
      <w:r w:rsidRPr="000005E4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I </w:t>
      </w:r>
      <w:r w:rsidR="00CC76F2" w:rsidRPr="000005E4">
        <w:rPr>
          <w:rFonts w:ascii="Book Antiqua" w:hAnsi="Book Antiqua" w:cs="Tahoma"/>
          <w:sz w:val="24"/>
          <w:szCs w:val="24"/>
        </w:rPr>
        <w:t xml:space="preserve">was involved in the design and conduct of the </w:t>
      </w:r>
      <w:r w:rsidR="009612D8" w:rsidRPr="009612D8">
        <w:rPr>
          <w:rFonts w:ascii="Book Antiqua" w:hAnsi="Book Antiqua" w:cs="Tahoma"/>
          <w:sz w:val="24"/>
          <w:szCs w:val="24"/>
        </w:rPr>
        <w:t xml:space="preserve">evaluating predictors in sphincter of </w:t>
      </w:r>
      <w:proofErr w:type="spellStart"/>
      <w:r w:rsidR="009612D8" w:rsidRPr="009612D8">
        <w:rPr>
          <w:rFonts w:ascii="Book Antiqua" w:hAnsi="Book Antiqua" w:cs="Tahoma"/>
          <w:sz w:val="24"/>
          <w:szCs w:val="24"/>
        </w:rPr>
        <w:t>Oddi</w:t>
      </w:r>
      <w:proofErr w:type="spellEnd"/>
      <w:r w:rsidR="009612D8" w:rsidRPr="009612D8">
        <w:rPr>
          <w:rFonts w:ascii="Book Antiqua" w:hAnsi="Book Antiqua" w:cs="Tahoma"/>
          <w:sz w:val="24"/>
          <w:szCs w:val="24"/>
        </w:rPr>
        <w:t xml:space="preserve"> dysfunction </w:t>
      </w:r>
      <w:r w:rsidR="00CC76F2" w:rsidRPr="000005E4">
        <w:rPr>
          <w:rFonts w:ascii="Book Antiqua" w:hAnsi="Book Antiqua" w:cs="Tahoma"/>
          <w:sz w:val="24"/>
          <w:szCs w:val="24"/>
        </w:rPr>
        <w:t xml:space="preserve">study. I 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have no conflicting interests related to any commercial, personal, political, intellectual, or religious interests. </w:t>
      </w:r>
    </w:p>
    <w:p w:rsidR="00072FD8" w:rsidRDefault="00072FD8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5B3FC8" w:rsidRPr="005B3FC8" w:rsidRDefault="005B3FC8" w:rsidP="005B3FC8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5B3FC8">
        <w:rPr>
          <w:rFonts w:ascii="Book Antiqua" w:eastAsia="SimSun" w:hAnsi="Book Antiqua" w:cs="Times New Roman"/>
          <w:b/>
          <w:color w:val="000000"/>
          <w:kern w:val="2"/>
          <w:sz w:val="24"/>
          <w:szCs w:val="20"/>
          <w:lang w:eastAsia="zh-CN"/>
        </w:rPr>
        <w:t xml:space="preserve">Open-Access: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This article is an open-access</w:t>
      </w:r>
      <w:r w:rsidRPr="005B3FC8">
        <w:rPr>
          <w:rFonts w:ascii="Book Antiqua" w:eastAsia="SimSun" w:hAnsi="Book Antiqua" w:cs="Times New Roman" w:hint="eastAsia"/>
          <w:color w:val="000000"/>
          <w:kern w:val="2"/>
          <w:sz w:val="24"/>
          <w:szCs w:val="20"/>
          <w:lang w:eastAsia="zh-CN"/>
        </w:rPr>
        <w:t xml:space="preserve">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article</w:t>
      </w:r>
      <w:r w:rsidRPr="005B3FC8">
        <w:rPr>
          <w:rFonts w:ascii="Book Antiqua" w:eastAsia="SimSun" w:hAnsi="Book Antiqua" w:cs="Times New Roman" w:hint="eastAsia"/>
          <w:color w:val="000000"/>
          <w:kern w:val="2"/>
          <w:sz w:val="24"/>
          <w:szCs w:val="20"/>
          <w:lang w:eastAsia="zh-CN"/>
        </w:rPr>
        <w:t xml:space="preserve">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which was selected by an in-house editor and fully peer-reviewed by external reviewers. It is distributed</w:t>
      </w:r>
      <w:r w:rsidRPr="005B3FC8">
        <w:rPr>
          <w:rFonts w:ascii="Book Antiqua" w:eastAsia="SimSun" w:hAnsi="Book Antiqua" w:cs="Times New Roman" w:hint="eastAsia"/>
          <w:color w:val="000000"/>
          <w:kern w:val="2"/>
          <w:sz w:val="24"/>
          <w:szCs w:val="20"/>
          <w:lang w:eastAsia="zh-CN"/>
        </w:rPr>
        <w:t xml:space="preserve">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in</w:t>
      </w:r>
      <w:r w:rsidRPr="005B3FC8">
        <w:rPr>
          <w:rFonts w:ascii="Book Antiqua" w:eastAsia="SimSun" w:hAnsi="Book Antiqua" w:cs="Times New Roman" w:hint="eastAsia"/>
          <w:color w:val="000000"/>
          <w:kern w:val="2"/>
          <w:sz w:val="24"/>
          <w:szCs w:val="20"/>
          <w:lang w:eastAsia="zh-CN"/>
        </w:rPr>
        <w:t xml:space="preserve">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accordance</w:t>
      </w:r>
      <w:r w:rsidRPr="005B3FC8">
        <w:rPr>
          <w:rFonts w:ascii="Book Antiqua" w:eastAsia="SimSun" w:hAnsi="Book Antiqua" w:cs="Times New Roman" w:hint="eastAsia"/>
          <w:color w:val="000000"/>
          <w:kern w:val="2"/>
          <w:sz w:val="24"/>
          <w:szCs w:val="20"/>
          <w:lang w:eastAsia="zh-CN"/>
        </w:rPr>
        <w:t xml:space="preserve"> </w:t>
      </w:r>
      <w:r w:rsidRPr="005B3FC8">
        <w:rPr>
          <w:rFonts w:ascii="Book Antiqua" w:eastAsia="SimSun" w:hAnsi="Book Antiqua" w:cs="Times New Roman"/>
          <w:color w:val="000000"/>
          <w:kern w:val="2"/>
          <w:sz w:val="24"/>
          <w:szCs w:val="20"/>
          <w:lang w:eastAsia="zh-CN"/>
        </w:rPr>
        <w:t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:rsidR="005B3FC8" w:rsidRPr="005B3FC8" w:rsidRDefault="005B3FC8" w:rsidP="005B3FC8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AdvTimes" w:hAnsi="Book Antiqua" w:cs="AdvTimes"/>
          <w:color w:val="000000"/>
          <w:kern w:val="2"/>
          <w:sz w:val="24"/>
          <w:szCs w:val="20"/>
          <w:lang w:eastAsia="zh-CN"/>
        </w:rPr>
      </w:pPr>
    </w:p>
    <w:p w:rsidR="005B3FC8" w:rsidRPr="005B3FC8" w:rsidRDefault="005B3FC8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A016AC" w:rsidRDefault="007472A6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0005E4">
        <w:rPr>
          <w:rFonts w:ascii="Book Antiqua" w:hAnsi="Book Antiqua"/>
          <w:b/>
          <w:sz w:val="24"/>
        </w:rPr>
        <w:lastRenderedPageBreak/>
        <w:t>Correspondence to:</w:t>
      </w:r>
      <w:r w:rsidRPr="000005E4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Pr="000005E4">
        <w:rPr>
          <w:rFonts w:ascii="Book Antiqua" w:hAnsi="Book Antiqua" w:cs="Tahoma"/>
          <w:b/>
          <w:sz w:val="24"/>
          <w:szCs w:val="24"/>
        </w:rPr>
        <w:t>C Mel Wilcox, MD, MSPH</w:t>
      </w:r>
      <w:r w:rsidRPr="000005E4"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, </w:t>
      </w:r>
      <w:r w:rsidRPr="000005E4">
        <w:rPr>
          <w:rFonts w:ascii="Book Antiqua" w:hAnsi="Book Antiqua" w:cs="Tahoma"/>
          <w:sz w:val="24"/>
          <w:szCs w:val="24"/>
        </w:rPr>
        <w:t>Basil I</w:t>
      </w:r>
      <w:r w:rsidR="00A016AC" w:rsidRPr="000005E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A016AC" w:rsidRPr="000005E4">
        <w:rPr>
          <w:rFonts w:ascii="Book Antiqua" w:hAnsi="Book Antiqua" w:cs="Tahoma"/>
          <w:sz w:val="24"/>
          <w:szCs w:val="24"/>
        </w:rPr>
        <w:t>Hirschowitz</w:t>
      </w:r>
      <w:proofErr w:type="spellEnd"/>
      <w:r w:rsidR="00A016AC" w:rsidRPr="000005E4">
        <w:rPr>
          <w:rFonts w:ascii="Book Antiqua" w:hAnsi="Book Antiqua" w:cs="Tahoma"/>
          <w:sz w:val="24"/>
          <w:szCs w:val="24"/>
        </w:rPr>
        <w:t xml:space="preserve"> Endoscopic Center of Excellence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, </w:t>
      </w:r>
      <w:r w:rsidR="00A016AC" w:rsidRPr="000005E4">
        <w:rPr>
          <w:rFonts w:ascii="Book Antiqua" w:hAnsi="Book Antiqua" w:cs="Tahoma"/>
          <w:sz w:val="24"/>
          <w:szCs w:val="24"/>
        </w:rPr>
        <w:t xml:space="preserve">Division of Gastroenterology and </w:t>
      </w:r>
      <w:proofErr w:type="spellStart"/>
      <w:r w:rsidR="00A016AC" w:rsidRPr="000005E4">
        <w:rPr>
          <w:rFonts w:ascii="Book Antiqua" w:hAnsi="Book Antiqua" w:cs="Tahoma"/>
          <w:sz w:val="24"/>
          <w:szCs w:val="24"/>
        </w:rPr>
        <w:t>Hepatology</w:t>
      </w:r>
      <w:proofErr w:type="spellEnd"/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, </w:t>
      </w:r>
      <w:r w:rsidR="00A016AC" w:rsidRPr="000005E4">
        <w:rPr>
          <w:rFonts w:ascii="Book Antiqua" w:hAnsi="Book Antiqua" w:cs="Tahoma"/>
          <w:sz w:val="24"/>
          <w:szCs w:val="24"/>
        </w:rPr>
        <w:t>1720 2</w:t>
      </w:r>
      <w:r w:rsidR="00A016AC" w:rsidRPr="000005E4">
        <w:rPr>
          <w:rFonts w:ascii="Book Antiqua" w:hAnsi="Book Antiqua" w:cs="Tahoma"/>
          <w:sz w:val="24"/>
          <w:szCs w:val="24"/>
          <w:vertAlign w:val="superscript"/>
        </w:rPr>
        <w:t>nd</w:t>
      </w:r>
      <w:r w:rsidR="00A016AC" w:rsidRPr="000005E4">
        <w:rPr>
          <w:rFonts w:ascii="Book Antiqua" w:hAnsi="Book Antiqua" w:cs="Tahoma"/>
          <w:sz w:val="24"/>
          <w:szCs w:val="24"/>
        </w:rPr>
        <w:t xml:space="preserve"> Ave., South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A016AC" w:rsidRPr="000005E4">
        <w:rPr>
          <w:rFonts w:ascii="Book Antiqua" w:hAnsi="Book Antiqua" w:cs="Tahoma"/>
          <w:sz w:val="24"/>
          <w:szCs w:val="24"/>
        </w:rPr>
        <w:t>BDB 380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, </w:t>
      </w:r>
      <w:r w:rsidR="00A016AC" w:rsidRPr="000005E4">
        <w:rPr>
          <w:rFonts w:ascii="Book Antiqua" w:hAnsi="Book Antiqua" w:cs="Tahoma"/>
          <w:sz w:val="24"/>
          <w:szCs w:val="24"/>
        </w:rPr>
        <w:t>Birmingham</w:t>
      </w:r>
      <w:r w:rsidR="00B46CEE">
        <w:rPr>
          <w:rFonts w:ascii="Book Antiqua" w:hAnsi="Book Antiqua" w:cs="Tahoma" w:hint="eastAsia"/>
          <w:sz w:val="24"/>
          <w:szCs w:val="24"/>
          <w:lang w:eastAsia="zh-CN"/>
        </w:rPr>
        <w:t>,</w:t>
      </w:r>
      <w:r w:rsidR="00A83A09"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B46CEE">
        <w:rPr>
          <w:rFonts w:ascii="Book Antiqua" w:hAnsi="Book Antiqua" w:cs="Tahoma" w:hint="eastAsia"/>
          <w:sz w:val="24"/>
          <w:szCs w:val="24"/>
          <w:lang w:eastAsia="zh-CN"/>
        </w:rPr>
        <w:t xml:space="preserve">AL </w:t>
      </w:r>
      <w:r w:rsidR="00B46CEE" w:rsidRPr="000005E4">
        <w:rPr>
          <w:rFonts w:ascii="Book Antiqua" w:hAnsi="Book Antiqua" w:cs="Tahoma"/>
          <w:sz w:val="24"/>
          <w:szCs w:val="24"/>
        </w:rPr>
        <w:t>35294-0113</w:t>
      </w:r>
      <w:r w:rsidR="00B46CEE">
        <w:rPr>
          <w:rFonts w:ascii="Book Antiqua" w:hAnsi="Book Antiqua" w:cs="Tahoma" w:hint="eastAsia"/>
          <w:sz w:val="24"/>
          <w:szCs w:val="24"/>
          <w:lang w:eastAsia="zh-CN"/>
        </w:rPr>
        <w:t>, United States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. </w:t>
      </w:r>
      <w:r w:rsidR="002E45D1" w:rsidRPr="009612D8">
        <w:rPr>
          <w:rFonts w:ascii="Book Antiqua" w:hAnsi="Book Antiqua" w:cs="Tahoma"/>
          <w:sz w:val="24"/>
          <w:szCs w:val="24"/>
          <w:lang w:eastAsia="zh-CN"/>
        </w:rPr>
        <w:t>melw@uab.edu</w:t>
      </w:r>
    </w:p>
    <w:p w:rsidR="002E45D1" w:rsidRPr="00B46CEE" w:rsidRDefault="002E45D1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00111A" w:rsidRPr="000005E4" w:rsidRDefault="0000111A" w:rsidP="0000111A">
      <w:pPr>
        <w:adjustRightInd w:val="0"/>
        <w:snapToGrid w:val="0"/>
        <w:spacing w:after="0" w:line="360" w:lineRule="auto"/>
      </w:pPr>
      <w:r w:rsidRPr="000005E4">
        <w:rPr>
          <w:rFonts w:ascii="Book Antiqua" w:hAnsi="Book Antiqua"/>
          <w:b/>
          <w:sz w:val="24"/>
        </w:rPr>
        <w:t>Telephone:</w:t>
      </w:r>
      <w:r w:rsidR="00976693" w:rsidRPr="000005E4">
        <w:rPr>
          <w:rFonts w:ascii="Book Antiqua" w:hAnsi="Book Antiqua"/>
          <w:b/>
          <w:sz w:val="24"/>
        </w:rPr>
        <w:t xml:space="preserve"> </w:t>
      </w:r>
      <w:r w:rsidR="002E45D1" w:rsidRPr="002E45D1">
        <w:rPr>
          <w:rFonts w:ascii="Book Antiqua" w:hAnsi="Book Antiqua" w:hint="eastAsia"/>
          <w:sz w:val="24"/>
          <w:lang w:eastAsia="zh-CN"/>
        </w:rPr>
        <w:t>+</w:t>
      </w:r>
      <w:r w:rsidR="00976693" w:rsidRPr="002E45D1">
        <w:rPr>
          <w:rFonts w:ascii="Book Antiqua" w:hAnsi="Book Antiqua"/>
          <w:sz w:val="24"/>
        </w:rPr>
        <w:t>1</w:t>
      </w:r>
      <w:r w:rsidR="002E45D1">
        <w:rPr>
          <w:rFonts w:ascii="Book Antiqua" w:hAnsi="Book Antiqua" w:cs="Tahoma" w:hint="eastAsia"/>
          <w:sz w:val="24"/>
          <w:szCs w:val="24"/>
          <w:lang w:eastAsia="zh-CN"/>
        </w:rPr>
        <w:t>-</w:t>
      </w:r>
      <w:r w:rsidRPr="000005E4">
        <w:rPr>
          <w:rFonts w:ascii="Book Antiqua" w:hAnsi="Book Antiqua" w:cs="Tahoma"/>
          <w:sz w:val="24"/>
          <w:szCs w:val="24"/>
        </w:rPr>
        <w:t>205</w:t>
      </w:r>
      <w:r w:rsidR="002E45D1">
        <w:rPr>
          <w:rFonts w:ascii="Book Antiqua" w:hAnsi="Book Antiqua" w:cs="Tahoma" w:hint="eastAsia"/>
          <w:sz w:val="24"/>
          <w:szCs w:val="24"/>
          <w:lang w:eastAsia="zh-CN"/>
        </w:rPr>
        <w:t>-</w:t>
      </w:r>
      <w:r w:rsidR="002E45D1">
        <w:rPr>
          <w:rFonts w:ascii="Book Antiqua" w:hAnsi="Book Antiqua" w:cs="Tahoma"/>
          <w:sz w:val="24"/>
          <w:szCs w:val="24"/>
        </w:rPr>
        <w:t>975</w:t>
      </w:r>
      <w:r w:rsidRPr="000005E4">
        <w:rPr>
          <w:rFonts w:ascii="Book Antiqua" w:hAnsi="Book Antiqua" w:cs="Tahoma"/>
          <w:sz w:val="24"/>
          <w:szCs w:val="24"/>
        </w:rPr>
        <w:t>4958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lang w:eastAsia="zh-CN"/>
        </w:rPr>
      </w:pPr>
      <w:r w:rsidRPr="000005E4">
        <w:rPr>
          <w:rFonts w:ascii="Book Antiqua" w:hAnsi="Book Antiqua"/>
          <w:b/>
          <w:sz w:val="24"/>
        </w:rPr>
        <w:t>Fax:</w:t>
      </w:r>
      <w:r w:rsidRPr="000005E4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2E45D1" w:rsidRPr="002E45D1">
        <w:rPr>
          <w:rFonts w:ascii="Book Antiqua" w:hAnsi="Book Antiqua" w:hint="eastAsia"/>
          <w:sz w:val="24"/>
          <w:lang w:eastAsia="zh-CN"/>
        </w:rPr>
        <w:t>+</w:t>
      </w:r>
      <w:r w:rsidR="00976693" w:rsidRPr="002E45D1">
        <w:rPr>
          <w:rFonts w:ascii="Book Antiqua" w:hAnsi="Book Antiqua"/>
          <w:sz w:val="24"/>
          <w:lang w:eastAsia="zh-CN"/>
        </w:rPr>
        <w:t>1</w:t>
      </w:r>
      <w:r w:rsidR="002E45D1">
        <w:rPr>
          <w:rFonts w:ascii="Book Antiqua" w:hAnsi="Book Antiqua" w:cs="Tahoma" w:hint="eastAsia"/>
          <w:sz w:val="24"/>
          <w:szCs w:val="24"/>
          <w:lang w:eastAsia="zh-CN"/>
        </w:rPr>
        <w:t>-</w:t>
      </w:r>
      <w:r w:rsidRPr="000005E4">
        <w:rPr>
          <w:rFonts w:ascii="Book Antiqua" w:hAnsi="Book Antiqua" w:cs="Tahoma"/>
          <w:sz w:val="24"/>
          <w:szCs w:val="24"/>
        </w:rPr>
        <w:t>205</w:t>
      </w:r>
      <w:r w:rsidR="002E45D1">
        <w:rPr>
          <w:rFonts w:ascii="Book Antiqua" w:hAnsi="Book Antiqua" w:cs="Tahoma" w:hint="eastAsia"/>
          <w:sz w:val="24"/>
          <w:szCs w:val="24"/>
          <w:lang w:eastAsia="zh-CN"/>
        </w:rPr>
        <w:t>-</w:t>
      </w:r>
      <w:r w:rsidR="002E45D1">
        <w:rPr>
          <w:rFonts w:ascii="Book Antiqua" w:hAnsi="Book Antiqua" w:cs="Tahoma"/>
          <w:sz w:val="24"/>
          <w:szCs w:val="24"/>
        </w:rPr>
        <w:t>934</w:t>
      </w:r>
      <w:r w:rsidRPr="000005E4">
        <w:rPr>
          <w:rFonts w:ascii="Book Antiqua" w:hAnsi="Book Antiqua" w:cs="Tahoma"/>
          <w:sz w:val="24"/>
          <w:szCs w:val="24"/>
        </w:rPr>
        <w:t>8493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0005E4">
        <w:rPr>
          <w:rFonts w:ascii="Book Antiqua" w:hAnsi="Book Antiqua"/>
          <w:b/>
          <w:sz w:val="24"/>
        </w:rPr>
        <w:t xml:space="preserve">Received: </w:t>
      </w:r>
      <w:r w:rsidR="00E2605D" w:rsidRPr="00A11C75">
        <w:rPr>
          <w:rFonts w:ascii="Book Antiqua" w:hAnsi="Book Antiqua"/>
          <w:sz w:val="24"/>
        </w:rPr>
        <w:t>December</w:t>
      </w:r>
      <w:r w:rsidR="00E2605D">
        <w:rPr>
          <w:rFonts w:ascii="Book Antiqua" w:hAnsi="Book Antiqua" w:hint="eastAsia"/>
          <w:sz w:val="24"/>
          <w:lang w:eastAsia="zh-CN"/>
        </w:rPr>
        <w:t xml:space="preserve"> 31, 2014</w:t>
      </w:r>
      <w:r w:rsidR="009612D8">
        <w:rPr>
          <w:rFonts w:ascii="Book Antiqua" w:hAnsi="Book Antiqua"/>
          <w:b/>
          <w:sz w:val="24"/>
        </w:rPr>
        <w:t xml:space="preserve"> 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lang w:eastAsia="zh-CN"/>
        </w:rPr>
      </w:pPr>
      <w:r w:rsidRPr="000005E4">
        <w:rPr>
          <w:rFonts w:ascii="Book Antiqua" w:hAnsi="Book Antiqua"/>
          <w:b/>
          <w:sz w:val="24"/>
        </w:rPr>
        <w:t>Peer-review started:</w:t>
      </w:r>
      <w:r w:rsidR="00E2605D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F84579" w:rsidRPr="00A11C75">
        <w:rPr>
          <w:rFonts w:ascii="Book Antiqua" w:hAnsi="Book Antiqua"/>
          <w:sz w:val="24"/>
        </w:rPr>
        <w:t>January</w:t>
      </w:r>
      <w:r w:rsidR="00F84579">
        <w:rPr>
          <w:rFonts w:ascii="Book Antiqua" w:hAnsi="Book Antiqua" w:hint="eastAsia"/>
          <w:sz w:val="24"/>
          <w:lang w:eastAsia="zh-CN"/>
        </w:rPr>
        <w:t xml:space="preserve"> 1, 2015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lang w:eastAsia="zh-CN"/>
        </w:rPr>
      </w:pPr>
      <w:r w:rsidRPr="000005E4">
        <w:rPr>
          <w:rFonts w:ascii="Book Antiqua" w:hAnsi="Book Antiqua"/>
          <w:b/>
          <w:sz w:val="24"/>
        </w:rPr>
        <w:t>First decision:</w:t>
      </w:r>
      <w:r w:rsidR="004255DF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4255DF" w:rsidRPr="00A11C75">
        <w:rPr>
          <w:rFonts w:ascii="Book Antiqua" w:hAnsi="Book Antiqua"/>
          <w:sz w:val="24"/>
        </w:rPr>
        <w:t>February</w:t>
      </w:r>
      <w:r w:rsidR="004255DF">
        <w:rPr>
          <w:rFonts w:ascii="Book Antiqua" w:hAnsi="Book Antiqua" w:hint="eastAsia"/>
          <w:sz w:val="24"/>
          <w:lang w:eastAsia="zh-CN"/>
        </w:rPr>
        <w:t xml:space="preserve"> 10, 2015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0005E4">
        <w:rPr>
          <w:rFonts w:ascii="Book Antiqua" w:hAnsi="Book Antiqua"/>
          <w:b/>
          <w:sz w:val="24"/>
        </w:rPr>
        <w:t xml:space="preserve">Revised: </w:t>
      </w:r>
      <w:r w:rsidR="00B63574" w:rsidRPr="00A11C75">
        <w:rPr>
          <w:rFonts w:ascii="Book Antiqua" w:hAnsi="Book Antiqua"/>
          <w:sz w:val="24"/>
        </w:rPr>
        <w:t>March</w:t>
      </w:r>
      <w:r w:rsidR="00B63574">
        <w:rPr>
          <w:rFonts w:ascii="Book Antiqua" w:hAnsi="Book Antiqua" w:hint="eastAsia"/>
          <w:sz w:val="24"/>
          <w:lang w:eastAsia="zh-CN"/>
        </w:rPr>
        <w:t xml:space="preserve"> 12, 2015</w:t>
      </w:r>
      <w:r w:rsidRPr="000005E4">
        <w:rPr>
          <w:rFonts w:ascii="Book Antiqua" w:hAnsi="Book Antiqua"/>
          <w:b/>
          <w:sz w:val="24"/>
        </w:rPr>
        <w:t xml:space="preserve"> </w:t>
      </w:r>
    </w:p>
    <w:p w:rsidR="00762912" w:rsidRPr="000213AF" w:rsidRDefault="0000111A" w:rsidP="00762912">
      <w:pPr>
        <w:rPr>
          <w:rFonts w:ascii="Book Antiqua" w:hAnsi="Book Antiqua"/>
          <w:color w:val="000000"/>
          <w:sz w:val="24"/>
        </w:rPr>
      </w:pPr>
      <w:r w:rsidRPr="000005E4">
        <w:rPr>
          <w:rFonts w:ascii="Book Antiqua" w:hAnsi="Book Antiqua"/>
          <w:b/>
          <w:sz w:val="24"/>
        </w:rPr>
        <w:t>Accepted:</w:t>
      </w:r>
      <w:r w:rsidR="009612D8">
        <w:rPr>
          <w:rFonts w:ascii="Book Antiqua" w:hAnsi="Book Antiqua"/>
          <w:b/>
          <w:sz w:val="24"/>
        </w:rPr>
        <w:t xml:space="preserve"> </w:t>
      </w:r>
      <w:bookmarkStart w:id="6" w:name="OLE_LINK99"/>
      <w:bookmarkStart w:id="7" w:name="OLE_LINK104"/>
      <w:r w:rsidR="00762912">
        <w:rPr>
          <w:rFonts w:ascii="Book Antiqua" w:hAnsi="Book Antiqua"/>
          <w:color w:val="000000"/>
          <w:sz w:val="24"/>
        </w:rPr>
        <w:t>April 16</w:t>
      </w:r>
      <w:r w:rsidR="00762912" w:rsidRPr="000213AF">
        <w:rPr>
          <w:rFonts w:ascii="Book Antiqua" w:hAnsi="Book Antiqua"/>
          <w:color w:val="000000"/>
          <w:sz w:val="24"/>
        </w:rPr>
        <w:t>, 2015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bookmarkStart w:id="8" w:name="_GoBack"/>
      <w:bookmarkEnd w:id="6"/>
      <w:bookmarkEnd w:id="7"/>
      <w:bookmarkEnd w:id="8"/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b/>
          <w:sz w:val="24"/>
        </w:rPr>
      </w:pPr>
      <w:r w:rsidRPr="000005E4">
        <w:rPr>
          <w:rFonts w:ascii="Book Antiqua" w:hAnsi="Book Antiqua"/>
          <w:b/>
          <w:sz w:val="24"/>
        </w:rPr>
        <w:t>Article in press: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rPr>
          <w:rFonts w:ascii="Book Antiqua" w:hAnsi="Book Antiqua"/>
          <w:sz w:val="24"/>
        </w:rPr>
      </w:pPr>
      <w:r w:rsidRPr="000005E4">
        <w:rPr>
          <w:rFonts w:ascii="Book Antiqua" w:hAnsi="Book Antiqua"/>
          <w:b/>
          <w:sz w:val="24"/>
        </w:rPr>
        <w:t>Published online:</w:t>
      </w:r>
    </w:p>
    <w:p w:rsidR="009D6287" w:rsidRPr="000005E4" w:rsidRDefault="009D628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032DE8" w:rsidRPr="000005E4" w:rsidRDefault="00032DE8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0005E4">
        <w:rPr>
          <w:rFonts w:ascii="Book Antiqua" w:hAnsi="Book Antiqua" w:cs="Tahoma"/>
          <w:b/>
          <w:sz w:val="24"/>
          <w:szCs w:val="24"/>
        </w:rPr>
        <w:t>Abstract</w:t>
      </w:r>
      <w:r w:rsidR="009612D8">
        <w:rPr>
          <w:rFonts w:ascii="Book Antiqua" w:hAnsi="Book Antiqua" w:cs="Tahoma"/>
          <w:b/>
          <w:sz w:val="24"/>
          <w:szCs w:val="24"/>
        </w:rPr>
        <w:t xml:space="preserve"> </w:t>
      </w:r>
    </w:p>
    <w:p w:rsidR="00032DE8" w:rsidRPr="000005E4" w:rsidRDefault="00E350FB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Sphincter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dysfunction </w:t>
      </w:r>
      <w:r w:rsidR="009612D8">
        <w:rPr>
          <w:rFonts w:ascii="Book Antiqua" w:hAnsi="Book Antiqua" w:cs="Tahoma" w:hint="eastAsia"/>
          <w:sz w:val="24"/>
          <w:szCs w:val="24"/>
          <w:lang w:eastAsia="zh-CN"/>
        </w:rPr>
        <w:t xml:space="preserve">(SOD) </w:t>
      </w:r>
      <w:r w:rsidRPr="000005E4">
        <w:rPr>
          <w:rFonts w:ascii="Book Antiqua" w:hAnsi="Book Antiqua" w:cs="Tahoma"/>
          <w:sz w:val="24"/>
          <w:szCs w:val="24"/>
        </w:rPr>
        <w:t>has been classified into three types based upon the presence or absence of objective findings including liver test abno</w:t>
      </w:r>
      <w:r w:rsidR="00712D12" w:rsidRPr="000005E4">
        <w:rPr>
          <w:rFonts w:ascii="Book Antiqua" w:hAnsi="Book Antiqua" w:cs="Tahoma"/>
          <w:sz w:val="24"/>
          <w:szCs w:val="24"/>
        </w:rPr>
        <w:t>rmalities and bile duct dilatation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Type III is the most controversial and is classified as biliary type pain in the absence of any</w:t>
      </w:r>
      <w:r w:rsidR="00344FAD" w:rsidRPr="000005E4">
        <w:rPr>
          <w:rFonts w:ascii="Book Antiqua" w:hAnsi="Book Antiqua" w:cs="Tahoma"/>
          <w:sz w:val="24"/>
          <w:szCs w:val="24"/>
        </w:rPr>
        <w:t xml:space="preserve"> these </w:t>
      </w:r>
      <w:r w:rsidRPr="000005E4">
        <w:rPr>
          <w:rFonts w:ascii="Book Antiqua" w:hAnsi="Book Antiqua" w:cs="Tahoma"/>
          <w:sz w:val="24"/>
          <w:szCs w:val="24"/>
        </w:rPr>
        <w:t>objective findings.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Many prior studies have shown that the </w:t>
      </w:r>
      <w:r w:rsidR="00045A56" w:rsidRPr="000005E4">
        <w:rPr>
          <w:rFonts w:ascii="Book Antiqua" w:hAnsi="Book Antiqua" w:cs="Tahoma"/>
          <w:sz w:val="24"/>
          <w:szCs w:val="24"/>
        </w:rPr>
        <w:t xml:space="preserve">clinical </w:t>
      </w:r>
      <w:r w:rsidRPr="000005E4">
        <w:rPr>
          <w:rFonts w:ascii="Book Antiqua" w:hAnsi="Book Antiqua" w:cs="Tahoma"/>
          <w:sz w:val="24"/>
          <w:szCs w:val="24"/>
        </w:rPr>
        <w:t xml:space="preserve">response to endoscopic therapy is higher based </w:t>
      </w:r>
      <w:r w:rsidR="00344FAD" w:rsidRPr="000005E4">
        <w:rPr>
          <w:rFonts w:ascii="Book Antiqua" w:hAnsi="Book Antiqua" w:cs="Tahoma"/>
          <w:sz w:val="24"/>
          <w:szCs w:val="24"/>
        </w:rPr>
        <w:t>up</w:t>
      </w:r>
      <w:r w:rsidRPr="000005E4">
        <w:rPr>
          <w:rFonts w:ascii="Book Antiqua" w:hAnsi="Book Antiqua" w:cs="Tahoma"/>
          <w:sz w:val="24"/>
          <w:szCs w:val="24"/>
        </w:rPr>
        <w:t xml:space="preserve">on the presence of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these </w:t>
      </w:r>
      <w:r w:rsidRPr="000005E4">
        <w:rPr>
          <w:rFonts w:ascii="Book Antiqua" w:hAnsi="Book Antiqua" w:cs="Tahoma"/>
          <w:sz w:val="24"/>
          <w:szCs w:val="24"/>
        </w:rPr>
        <w:t xml:space="preserve">objective criteria. 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However, there has been variable correlation of the </w:t>
      </w:r>
      <w:proofErr w:type="spellStart"/>
      <w:r w:rsidR="00712D12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712D12" w:rsidRPr="000005E4">
        <w:rPr>
          <w:rFonts w:ascii="Book Antiqua" w:hAnsi="Book Antiqua" w:cs="Tahoma"/>
          <w:sz w:val="24"/>
          <w:szCs w:val="24"/>
        </w:rPr>
        <w:t xml:space="preserve"> findings to outcome after endoscopic therapy.</w:t>
      </w:r>
      <w:r w:rsidRPr="000005E4">
        <w:rPr>
          <w:rFonts w:ascii="Book Antiqua" w:hAnsi="Book Antiqua" w:cs="Tahoma"/>
          <w:sz w:val="24"/>
          <w:szCs w:val="24"/>
        </w:rPr>
        <w:t xml:space="preserve"> Nevertheless,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and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has been recommended for Type III patients given the </w:t>
      </w:r>
      <w:r w:rsidR="00344FAD" w:rsidRPr="000005E4">
        <w:rPr>
          <w:rFonts w:ascii="Book Antiqua" w:hAnsi="Book Antiqua" w:cs="Tahoma"/>
          <w:sz w:val="24"/>
          <w:szCs w:val="24"/>
        </w:rPr>
        <w:t xml:space="preserve">overall </w:t>
      </w:r>
      <w:r w:rsidRPr="000005E4">
        <w:rPr>
          <w:rFonts w:ascii="Book Antiqua" w:hAnsi="Book Antiqua" w:cs="Tahoma"/>
          <w:sz w:val="24"/>
          <w:szCs w:val="24"/>
        </w:rPr>
        <w:t xml:space="preserve">response rate of </w:t>
      </w:r>
      <w:r w:rsidR="00045A56" w:rsidRPr="000005E4">
        <w:rPr>
          <w:rFonts w:ascii="Book Antiqua" w:hAnsi="Book Antiqua" w:cs="Tahoma"/>
          <w:sz w:val="24"/>
          <w:szCs w:val="24"/>
        </w:rPr>
        <w:t>33%</w:t>
      </w:r>
      <w:r w:rsidR="00897FAA" w:rsidRPr="000005E4">
        <w:rPr>
          <w:rFonts w:ascii="Book Antiqua" w:hAnsi="Book Antiqua" w:cs="Tahoma"/>
          <w:sz w:val="24"/>
          <w:szCs w:val="24"/>
        </w:rPr>
        <w:t>,</w:t>
      </w:r>
      <w:r w:rsidR="0065472E" w:rsidRPr="000005E4">
        <w:rPr>
          <w:rFonts w:ascii="Book Antiqua" w:hAnsi="Book Antiqua" w:cs="Tahoma"/>
          <w:sz w:val="24"/>
          <w:szCs w:val="24"/>
        </w:rPr>
        <w:t xml:space="preserve"> although </w:t>
      </w:r>
      <w:r w:rsidR="00045A56" w:rsidRPr="000005E4">
        <w:rPr>
          <w:rFonts w:ascii="Book Antiqua" w:hAnsi="Book Antiqua" w:cs="Tahoma"/>
          <w:sz w:val="24"/>
          <w:szCs w:val="24"/>
        </w:rPr>
        <w:t>the reported response rates are highly variable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However, all of the prior data was non-blinded and non-randomized</w:t>
      </w:r>
      <w:r w:rsidR="00344FAD" w:rsidRPr="000005E4">
        <w:rPr>
          <w:rFonts w:ascii="Book Antiqua" w:hAnsi="Book Antiqua" w:cs="Tahoma"/>
          <w:sz w:val="24"/>
          <w:szCs w:val="24"/>
        </w:rPr>
        <w:t xml:space="preserve"> with variable follow-up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The </w:t>
      </w:r>
      <w:r w:rsidR="009612D8" w:rsidRPr="000005E4">
        <w:rPr>
          <w:rFonts w:ascii="Book Antiqua" w:hAnsi="Book Antiqua" w:cs="Tahoma"/>
          <w:sz w:val="24"/>
          <w:szCs w:val="24"/>
        </w:rPr>
        <w:t xml:space="preserve">evaluating predictors in </w:t>
      </w:r>
      <w:r w:rsidR="009612D8">
        <w:rPr>
          <w:rFonts w:ascii="Book Antiqua" w:hAnsi="Book Antiqua" w:cs="Tahoma" w:hint="eastAsia"/>
          <w:sz w:val="24"/>
          <w:szCs w:val="24"/>
          <w:lang w:eastAsia="zh-CN"/>
        </w:rPr>
        <w:t>SOD</w:t>
      </w:r>
      <w:r w:rsidR="009612D8"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study – a prospective randomized blinded</w:t>
      </w:r>
      <w:r w:rsidR="00F5532B" w:rsidRPr="000005E4">
        <w:rPr>
          <w:rFonts w:ascii="Book Antiqua" w:hAnsi="Book Antiqua" w:cs="Tahoma"/>
          <w:sz w:val="24"/>
          <w:szCs w:val="24"/>
        </w:rPr>
        <w:t xml:space="preserve"> sham controlled</w:t>
      </w:r>
      <w:r w:rsidRPr="000005E4">
        <w:rPr>
          <w:rFonts w:ascii="Book Antiqua" w:hAnsi="Book Antiqua" w:cs="Tahoma"/>
          <w:sz w:val="24"/>
          <w:szCs w:val="24"/>
        </w:rPr>
        <w:t xml:space="preserve"> one year outcome study showed no correlation between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findings and outcome after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Furthermore, </w:t>
      </w:r>
      <w:r w:rsidRPr="000005E4">
        <w:rPr>
          <w:rFonts w:ascii="Book Antiqua" w:hAnsi="Book Antiqua" w:cs="Tahoma"/>
          <w:sz w:val="24"/>
          <w:szCs w:val="24"/>
        </w:rPr>
        <w:t xml:space="preserve">patients receiving sham </w:t>
      </w:r>
      <w:r w:rsidRPr="000005E4">
        <w:rPr>
          <w:rFonts w:ascii="Book Antiqua" w:hAnsi="Book Antiqua" w:cs="Tahoma"/>
          <w:sz w:val="24"/>
          <w:szCs w:val="24"/>
        </w:rPr>
        <w:lastRenderedPageBreak/>
        <w:t xml:space="preserve">therapy had a statistically significantly better outcome than those undergoing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biliary or dual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This study calls into question the whole concept of </w:t>
      </w:r>
      <w:r w:rsidR="009612D8">
        <w:rPr>
          <w:rFonts w:ascii="Book Antiqua" w:hAnsi="Book Antiqua" w:cs="Tahoma" w:hint="eastAsia"/>
          <w:sz w:val="24"/>
          <w:szCs w:val="24"/>
          <w:lang w:eastAsia="zh-CN"/>
        </w:rPr>
        <w:t>SOD</w:t>
      </w:r>
      <w:r w:rsidRPr="000005E4">
        <w:rPr>
          <w:rFonts w:ascii="Book Antiqua" w:hAnsi="Book Antiqua" w:cs="Tahoma"/>
          <w:sz w:val="24"/>
          <w:szCs w:val="24"/>
        </w:rPr>
        <w:t xml:space="preserve"> Type III and, based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upon </w:t>
      </w:r>
      <w:r w:rsidRPr="000005E4">
        <w:rPr>
          <w:rFonts w:ascii="Book Antiqua" w:hAnsi="Book Antiqua" w:cs="Tahoma"/>
          <w:sz w:val="24"/>
          <w:szCs w:val="24"/>
        </w:rPr>
        <w:t xml:space="preserve">prior physiologic studies,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one can suggest </w:t>
      </w:r>
      <w:r w:rsidRPr="000005E4">
        <w:rPr>
          <w:rFonts w:ascii="Book Antiqua" w:hAnsi="Book Antiqua" w:cs="Tahoma"/>
          <w:sz w:val="24"/>
          <w:szCs w:val="24"/>
        </w:rPr>
        <w:t xml:space="preserve">that SOD Type III likely represents a right upper quadrant functional abdominal pain syndrome and should be treated as such. </w:t>
      </w:r>
    </w:p>
    <w:p w:rsidR="007472A6" w:rsidRPr="000005E4" w:rsidRDefault="007472A6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</w:p>
    <w:p w:rsidR="007472A6" w:rsidRPr="000005E4" w:rsidRDefault="007472A6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Key words: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00111A" w:rsidRPr="000005E4">
        <w:rPr>
          <w:rFonts w:ascii="Book Antiqua" w:hAnsi="Book Antiqua" w:cs="Tahoma"/>
          <w:sz w:val="24"/>
          <w:szCs w:val="24"/>
        </w:rPr>
        <w:t xml:space="preserve">Abdominal </w:t>
      </w:r>
      <w:r w:rsidRPr="000005E4">
        <w:rPr>
          <w:rFonts w:ascii="Book Antiqua" w:hAnsi="Book Antiqua" w:cs="Tahoma"/>
          <w:sz w:val="24"/>
          <w:szCs w:val="24"/>
        </w:rPr>
        <w:t>pain</w:t>
      </w:r>
      <w:r w:rsidR="0000111A" w:rsidRPr="000005E4">
        <w:rPr>
          <w:rFonts w:ascii="Book Antiqua" w:hAnsi="Book Antiqua" w:cs="Tahoma" w:hint="eastAsia"/>
          <w:sz w:val="24"/>
          <w:szCs w:val="24"/>
          <w:lang w:eastAsia="zh-CN"/>
        </w:rPr>
        <w:t>;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00111A" w:rsidRPr="000005E4">
        <w:rPr>
          <w:rFonts w:ascii="Book Antiqua" w:hAnsi="Book Antiqua" w:cs="Tahoma"/>
          <w:sz w:val="24"/>
          <w:szCs w:val="24"/>
        </w:rPr>
        <w:t xml:space="preserve">Sphincter </w:t>
      </w:r>
      <w:r w:rsidRPr="000005E4">
        <w:rPr>
          <w:rFonts w:ascii="Book Antiqua" w:hAnsi="Book Antiqua" w:cs="Tahoma"/>
          <w:sz w:val="24"/>
          <w:szCs w:val="24"/>
        </w:rPr>
        <w:t xml:space="preserve">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dysfunction</w:t>
      </w:r>
      <w:r w:rsidR="0000111A" w:rsidRPr="000005E4">
        <w:rPr>
          <w:rFonts w:ascii="Book Antiqua" w:hAnsi="Book Antiqua" w:cs="Tahoma" w:hint="eastAsia"/>
          <w:sz w:val="24"/>
          <w:szCs w:val="24"/>
          <w:lang w:eastAsia="zh-CN"/>
        </w:rPr>
        <w:t>;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00111A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00111A" w:rsidRPr="000005E4">
        <w:rPr>
          <w:rFonts w:ascii="Book Antiqua" w:hAnsi="Book Antiqua" w:cs="Tahoma" w:hint="eastAsia"/>
          <w:sz w:val="24"/>
          <w:szCs w:val="24"/>
          <w:lang w:eastAsia="zh-CN"/>
        </w:rPr>
        <w:t>;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00111A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</w:p>
    <w:p w:rsidR="00032DE8" w:rsidRDefault="00032DE8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29797B" w:rsidRPr="0029797B" w:rsidRDefault="0029797B" w:rsidP="0029797B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SimSun" w:hAnsi="Book Antiqua" w:cs="Arial Unicode MS"/>
          <w:kern w:val="2"/>
          <w:sz w:val="24"/>
          <w:szCs w:val="20"/>
          <w:lang w:eastAsia="zh-CN"/>
        </w:rPr>
      </w:pPr>
      <w:bookmarkStart w:id="9" w:name="OLE_LINK98"/>
      <w:bookmarkStart w:id="10" w:name="OLE_LINK156"/>
      <w:bookmarkStart w:id="11" w:name="OLE_LINK196"/>
      <w:bookmarkStart w:id="12" w:name="OLE_LINK217"/>
      <w:bookmarkStart w:id="13" w:name="OLE_LINK242"/>
      <w:bookmarkStart w:id="14" w:name="OLE_LINK247"/>
      <w:bookmarkStart w:id="15" w:name="OLE_LINK311"/>
      <w:bookmarkStart w:id="16" w:name="OLE_LINK312"/>
      <w:bookmarkStart w:id="17" w:name="OLE_LINK325"/>
      <w:bookmarkStart w:id="18" w:name="OLE_LINK330"/>
      <w:bookmarkStart w:id="19" w:name="OLE_LINK513"/>
      <w:bookmarkStart w:id="20" w:name="OLE_LINK514"/>
      <w:bookmarkStart w:id="21" w:name="OLE_LINK464"/>
      <w:bookmarkStart w:id="22" w:name="OLE_LINK465"/>
      <w:bookmarkStart w:id="23" w:name="OLE_LINK466"/>
      <w:bookmarkStart w:id="24" w:name="OLE_LINK470"/>
      <w:bookmarkStart w:id="25" w:name="OLE_LINK471"/>
      <w:bookmarkStart w:id="26" w:name="OLE_LINK472"/>
      <w:bookmarkStart w:id="27" w:name="OLE_LINK474"/>
      <w:bookmarkStart w:id="28" w:name="OLE_LINK512"/>
      <w:bookmarkStart w:id="29" w:name="OLE_LINK800"/>
      <w:bookmarkStart w:id="30" w:name="OLE_LINK982"/>
      <w:bookmarkStart w:id="31" w:name="OLE_LINK1027"/>
      <w:bookmarkStart w:id="32" w:name="OLE_LINK504"/>
      <w:bookmarkStart w:id="33" w:name="OLE_LINK546"/>
      <w:bookmarkStart w:id="34" w:name="OLE_LINK547"/>
      <w:bookmarkStart w:id="35" w:name="OLE_LINK575"/>
      <w:bookmarkStart w:id="36" w:name="OLE_LINK640"/>
      <w:bookmarkStart w:id="37" w:name="OLE_LINK672"/>
      <w:bookmarkStart w:id="38" w:name="OLE_LINK714"/>
      <w:bookmarkStart w:id="39" w:name="OLE_LINK651"/>
      <w:bookmarkStart w:id="40" w:name="OLE_LINK652"/>
      <w:bookmarkStart w:id="41" w:name="OLE_LINK744"/>
      <w:bookmarkStart w:id="42" w:name="OLE_LINK758"/>
      <w:bookmarkStart w:id="43" w:name="OLE_LINK787"/>
      <w:bookmarkStart w:id="44" w:name="OLE_LINK807"/>
      <w:bookmarkStart w:id="45" w:name="OLE_LINK820"/>
      <w:bookmarkStart w:id="46" w:name="OLE_LINK862"/>
      <w:bookmarkStart w:id="47" w:name="OLE_LINK879"/>
      <w:bookmarkStart w:id="48" w:name="OLE_LINK906"/>
      <w:bookmarkStart w:id="49" w:name="OLE_LINK928"/>
      <w:bookmarkStart w:id="50" w:name="OLE_LINK960"/>
      <w:bookmarkStart w:id="51" w:name="OLE_LINK861"/>
      <w:bookmarkStart w:id="52" w:name="OLE_LINK983"/>
      <w:bookmarkStart w:id="53" w:name="OLE_LINK1334"/>
      <w:bookmarkStart w:id="54" w:name="OLE_LINK1029"/>
      <w:bookmarkStart w:id="55" w:name="OLE_LINK1060"/>
      <w:bookmarkStart w:id="56" w:name="OLE_LINK1061"/>
      <w:bookmarkStart w:id="57" w:name="OLE_LINK1348"/>
      <w:bookmarkStart w:id="58" w:name="OLE_LINK1086"/>
      <w:bookmarkStart w:id="59" w:name="OLE_LINK1100"/>
      <w:bookmarkStart w:id="60" w:name="OLE_LINK1125"/>
      <w:bookmarkStart w:id="61" w:name="OLE_LINK1163"/>
      <w:bookmarkStart w:id="62" w:name="OLE_LINK1193"/>
      <w:bookmarkStart w:id="63" w:name="OLE_LINK1219"/>
      <w:bookmarkStart w:id="64" w:name="OLE_LINK1247"/>
      <w:bookmarkStart w:id="65" w:name="OLE_LINK1284"/>
      <w:bookmarkStart w:id="66" w:name="OLE_LINK1313"/>
      <w:bookmarkStart w:id="67" w:name="OLE_LINK1361"/>
      <w:bookmarkStart w:id="68" w:name="OLE_LINK1384"/>
      <w:bookmarkStart w:id="69" w:name="OLE_LINK1403"/>
      <w:bookmarkStart w:id="70" w:name="OLE_LINK1437"/>
      <w:bookmarkStart w:id="71" w:name="OLE_LINK1454"/>
      <w:bookmarkStart w:id="72" w:name="OLE_LINK1480"/>
      <w:bookmarkStart w:id="73" w:name="OLE_LINK1504"/>
      <w:bookmarkStart w:id="74" w:name="OLE_LINK1516"/>
      <w:bookmarkStart w:id="75" w:name="OLE_LINK135"/>
      <w:bookmarkStart w:id="76" w:name="OLE_LINK216"/>
      <w:bookmarkStart w:id="77" w:name="OLE_LINK259"/>
      <w:bookmarkStart w:id="78" w:name="OLE_LINK1186"/>
      <w:bookmarkStart w:id="79" w:name="OLE_LINK1265"/>
      <w:bookmarkStart w:id="80" w:name="OLE_LINK1373"/>
      <w:bookmarkStart w:id="81" w:name="OLE_LINK1478"/>
      <w:bookmarkStart w:id="82" w:name="OLE_LINK1644"/>
      <w:bookmarkStart w:id="83" w:name="OLE_LINK1884"/>
      <w:bookmarkStart w:id="84" w:name="OLE_LINK1885"/>
      <w:bookmarkStart w:id="85" w:name="OLE_LINK1538"/>
      <w:bookmarkStart w:id="86" w:name="OLE_LINK1539"/>
      <w:bookmarkStart w:id="87" w:name="OLE_LINK1543"/>
      <w:bookmarkStart w:id="88" w:name="OLE_LINK1549"/>
      <w:bookmarkStart w:id="89" w:name="OLE_LINK1778"/>
      <w:bookmarkStart w:id="90" w:name="OLE_LINK1756"/>
      <w:bookmarkStart w:id="91" w:name="OLE_LINK1776"/>
      <w:bookmarkStart w:id="92" w:name="OLE_LINK1777"/>
      <w:bookmarkStart w:id="93" w:name="OLE_LINK1868"/>
      <w:bookmarkStart w:id="94" w:name="OLE_LINK1744"/>
      <w:bookmarkStart w:id="95" w:name="OLE_LINK1817"/>
      <w:bookmarkStart w:id="96" w:name="OLE_LINK1835"/>
      <w:bookmarkStart w:id="97" w:name="OLE_LINK1866"/>
      <w:bookmarkStart w:id="98" w:name="OLE_LINK1882"/>
      <w:bookmarkStart w:id="99" w:name="OLE_LINK1901"/>
      <w:bookmarkStart w:id="100" w:name="OLE_LINK1902"/>
      <w:bookmarkStart w:id="101" w:name="OLE_LINK2013"/>
      <w:bookmarkStart w:id="102" w:name="OLE_LINK1894"/>
      <w:bookmarkStart w:id="103" w:name="OLE_LINK1929"/>
      <w:bookmarkStart w:id="104" w:name="OLE_LINK1941"/>
      <w:bookmarkStart w:id="105" w:name="OLE_LINK1995"/>
      <w:bookmarkStart w:id="106" w:name="OLE_LINK1938"/>
      <w:bookmarkStart w:id="107" w:name="OLE_LINK2081"/>
      <w:bookmarkStart w:id="108" w:name="OLE_LINK2082"/>
      <w:bookmarkStart w:id="109" w:name="OLE_LINK2292"/>
      <w:bookmarkStart w:id="110" w:name="OLE_LINK1931"/>
      <w:bookmarkStart w:id="111" w:name="OLE_LINK1964"/>
      <w:bookmarkStart w:id="112" w:name="OLE_LINK2020"/>
      <w:bookmarkStart w:id="113" w:name="OLE_LINK2071"/>
      <w:bookmarkStart w:id="114" w:name="OLE_LINK2134"/>
      <w:bookmarkStart w:id="115" w:name="OLE_LINK2265"/>
      <w:bookmarkStart w:id="116" w:name="OLE_LINK2562"/>
      <w:bookmarkStart w:id="117" w:name="OLE_LINK1923"/>
      <w:bookmarkStart w:id="118" w:name="OLE_LINK2192"/>
      <w:bookmarkStart w:id="119" w:name="OLE_LINK2110"/>
      <w:bookmarkStart w:id="120" w:name="OLE_LINK2445"/>
      <w:bookmarkStart w:id="121" w:name="OLE_LINK2446"/>
      <w:bookmarkStart w:id="122" w:name="OLE_LINK2169"/>
      <w:bookmarkStart w:id="123" w:name="OLE_LINK2190"/>
      <w:bookmarkStart w:id="124" w:name="OLE_LINK2331"/>
      <w:bookmarkStart w:id="125" w:name="OLE_LINK2345"/>
      <w:bookmarkStart w:id="126" w:name="OLE_LINK2467"/>
      <w:bookmarkStart w:id="127" w:name="OLE_LINK2484"/>
      <w:bookmarkStart w:id="128" w:name="OLE_LINK2157"/>
      <w:bookmarkStart w:id="129" w:name="OLE_LINK2221"/>
      <w:bookmarkStart w:id="130" w:name="OLE_LINK2252"/>
      <w:bookmarkStart w:id="131" w:name="OLE_LINK2348"/>
      <w:bookmarkStart w:id="132" w:name="OLE_LINK2451"/>
      <w:bookmarkStart w:id="133" w:name="OLE_LINK2627"/>
      <w:bookmarkStart w:id="134" w:name="OLE_LINK2482"/>
      <w:bookmarkStart w:id="135" w:name="OLE_LINK2663"/>
      <w:bookmarkStart w:id="136" w:name="OLE_LINK2761"/>
      <w:bookmarkStart w:id="137" w:name="OLE_LINK2856"/>
      <w:bookmarkStart w:id="138" w:name="OLE_LINK2993"/>
      <w:bookmarkStart w:id="139" w:name="OLE_LINK2643"/>
      <w:bookmarkStart w:id="140" w:name="OLE_LINK2583"/>
      <w:bookmarkStart w:id="141" w:name="OLE_LINK2762"/>
      <w:bookmarkStart w:id="142" w:name="OLE_LINK2962"/>
      <w:bookmarkStart w:id="143" w:name="OLE_LINK2582"/>
      <w:r w:rsidRPr="0029797B">
        <w:rPr>
          <w:rFonts w:ascii="Book Antiqua" w:eastAsia="SimSun" w:hAnsi="Book Antiqua" w:cs="Times New Roman"/>
          <w:b/>
          <w:color w:val="000000"/>
          <w:kern w:val="2"/>
          <w:sz w:val="24"/>
          <w:szCs w:val="20"/>
          <w:lang w:val="en-GB" w:eastAsia="zh-CN"/>
        </w:rPr>
        <w:t xml:space="preserve">© </w:t>
      </w:r>
      <w:r w:rsidRPr="0029797B">
        <w:rPr>
          <w:rFonts w:ascii="Book Antiqua" w:eastAsia="AdvTimes" w:hAnsi="Book Antiqua" w:cs="AdvTimes"/>
          <w:b/>
          <w:color w:val="000000"/>
          <w:kern w:val="2"/>
          <w:sz w:val="24"/>
          <w:szCs w:val="20"/>
          <w:lang w:eastAsia="zh-CN"/>
        </w:rPr>
        <w:t>The Author(s) 2015.</w:t>
      </w:r>
      <w:r w:rsidRPr="0029797B">
        <w:rPr>
          <w:rFonts w:ascii="Book Antiqua" w:eastAsia="AdvTimes" w:hAnsi="Book Antiqua" w:cs="AdvTimes"/>
          <w:color w:val="000000"/>
          <w:kern w:val="2"/>
          <w:sz w:val="24"/>
          <w:szCs w:val="20"/>
          <w:lang w:eastAsia="zh-CN"/>
        </w:rPr>
        <w:t xml:space="preserve"> Published by </w:t>
      </w:r>
      <w:proofErr w:type="spellStart"/>
      <w:r w:rsidRPr="0029797B">
        <w:rPr>
          <w:rFonts w:ascii="Book Antiqua" w:eastAsia="SimSun" w:hAnsi="Book Antiqua" w:cs="Arial Unicode MS"/>
          <w:color w:val="000000"/>
          <w:kern w:val="2"/>
          <w:sz w:val="24"/>
          <w:szCs w:val="20"/>
          <w:lang w:val="en-GB" w:eastAsia="zh-CN"/>
        </w:rPr>
        <w:t>Baishideng</w:t>
      </w:r>
      <w:proofErr w:type="spellEnd"/>
      <w:r w:rsidRPr="0029797B">
        <w:rPr>
          <w:rFonts w:ascii="Book Antiqua" w:eastAsia="SimSun" w:hAnsi="Book Antiqua" w:cs="Arial Unicode MS"/>
          <w:color w:val="000000"/>
          <w:kern w:val="2"/>
          <w:sz w:val="24"/>
          <w:szCs w:val="20"/>
          <w:lang w:val="en-GB" w:eastAsia="zh-CN"/>
        </w:rPr>
        <w:t xml:space="preserve"> Publishing Group Inc.</w:t>
      </w:r>
      <w:r w:rsidRPr="0029797B">
        <w:rPr>
          <w:rFonts w:ascii="Book Antiqua" w:eastAsia="SimSun" w:hAnsi="Book Antiqua" w:cs="Arial Unicode MS"/>
          <w:kern w:val="2"/>
          <w:sz w:val="24"/>
          <w:szCs w:val="20"/>
          <w:lang w:eastAsia="zh-CN"/>
        </w:rPr>
        <w:t xml:space="preserve"> All rights reserved.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29797B" w:rsidRPr="000005E4" w:rsidRDefault="0029797B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CB233B" w:rsidRPr="000005E4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0005E4">
        <w:rPr>
          <w:rFonts w:ascii="Book Antiqua" w:hAnsi="Book Antiqua" w:cs="Tahoma"/>
          <w:b/>
          <w:sz w:val="24"/>
          <w:szCs w:val="24"/>
        </w:rPr>
        <w:t>Core t</w:t>
      </w:r>
      <w:r w:rsidR="00B13BA6" w:rsidRPr="000005E4">
        <w:rPr>
          <w:rFonts w:ascii="Book Antiqua" w:hAnsi="Book Antiqua" w:cs="Tahoma"/>
          <w:b/>
          <w:sz w:val="24"/>
          <w:szCs w:val="24"/>
        </w:rPr>
        <w:t>ip</w:t>
      </w:r>
      <w:r w:rsidRPr="000005E4"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: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Prior observations 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suggest that biliary </w:t>
      </w:r>
      <w:proofErr w:type="spellStart"/>
      <w:r w:rsidR="00CB233B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CB233B" w:rsidRPr="000005E4">
        <w:rPr>
          <w:rFonts w:ascii="Book Antiqua" w:hAnsi="Book Antiqua" w:cs="Tahoma"/>
          <w:sz w:val="24"/>
          <w:szCs w:val="24"/>
        </w:rPr>
        <w:t xml:space="preserve"> may be of benefit in patients with sphincter of </w:t>
      </w:r>
      <w:proofErr w:type="spellStart"/>
      <w:r w:rsidR="00CB233B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CB233B" w:rsidRPr="000005E4">
        <w:rPr>
          <w:rFonts w:ascii="Book Antiqua" w:hAnsi="Book Antiqua" w:cs="Tahoma"/>
          <w:sz w:val="24"/>
          <w:szCs w:val="24"/>
        </w:rPr>
        <w:t xml:space="preserve"> dysfunction </w:t>
      </w:r>
      <w:r w:rsidR="009612D8">
        <w:rPr>
          <w:rFonts w:ascii="Book Antiqua" w:hAnsi="Book Antiqua" w:cs="Tahoma" w:hint="eastAsia"/>
          <w:sz w:val="24"/>
          <w:szCs w:val="24"/>
          <w:lang w:eastAsia="zh-CN"/>
        </w:rPr>
        <w:t xml:space="preserve">(SOD) </w:t>
      </w:r>
      <w:r w:rsidR="00CB233B" w:rsidRPr="000005E4">
        <w:rPr>
          <w:rFonts w:ascii="Book Antiqua" w:hAnsi="Book Antiqua" w:cs="Tahoma"/>
          <w:sz w:val="24"/>
          <w:szCs w:val="24"/>
        </w:rPr>
        <w:t>Type III who have biliary type pain but no objective findings of bile duct obstruction.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The prospective randomized </w:t>
      </w:r>
      <w:r w:rsidR="002440D6" w:rsidRPr="000005E4">
        <w:rPr>
          <w:rFonts w:ascii="Book Antiqua" w:hAnsi="Book Antiqua" w:cs="Tahoma"/>
          <w:sz w:val="24"/>
          <w:szCs w:val="24"/>
        </w:rPr>
        <w:t xml:space="preserve">blinded </w:t>
      </w:r>
      <w:r w:rsidR="00CB233B" w:rsidRPr="000005E4">
        <w:rPr>
          <w:rFonts w:ascii="Book Antiqua" w:hAnsi="Book Antiqua" w:cs="Tahoma"/>
          <w:sz w:val="24"/>
          <w:szCs w:val="24"/>
        </w:rPr>
        <w:t>sham controlled</w:t>
      </w:r>
      <w:r w:rsidR="00C612C8" w:rsidRPr="000005E4">
        <w:rPr>
          <w:rFonts w:ascii="Book Antiqua" w:hAnsi="Book Antiqua" w:cs="Tahoma"/>
          <w:sz w:val="24"/>
          <w:szCs w:val="24"/>
        </w:rPr>
        <w:t xml:space="preserve"> trial termed</w:t>
      </w:r>
      <w:r w:rsidR="00BB3DBC" w:rsidRPr="000005E4">
        <w:rPr>
          <w:rFonts w:ascii="Book Antiqua" w:hAnsi="Book Antiqua" w:cs="Tahoma"/>
          <w:sz w:val="24"/>
          <w:szCs w:val="24"/>
        </w:rPr>
        <w:t xml:space="preserve"> evaluating predictors in </w:t>
      </w:r>
      <w:r w:rsidR="009612D8">
        <w:rPr>
          <w:rFonts w:ascii="Book Antiqua" w:hAnsi="Book Antiqua" w:cs="Tahoma" w:hint="eastAsia"/>
          <w:sz w:val="24"/>
          <w:szCs w:val="24"/>
          <w:lang w:eastAsia="zh-CN"/>
        </w:rPr>
        <w:t>SOD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 </w:t>
      </w:r>
      <w:r w:rsidR="00C23C8A" w:rsidRPr="000005E4">
        <w:rPr>
          <w:rFonts w:ascii="Book Antiqua" w:hAnsi="Book Antiqua" w:cs="Tahoma"/>
          <w:sz w:val="24"/>
          <w:szCs w:val="24"/>
        </w:rPr>
        <w:t>demonstrated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 no correlation between </w:t>
      </w:r>
      <w:proofErr w:type="spellStart"/>
      <w:r w:rsidR="00CB233B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CB233B" w:rsidRPr="000005E4">
        <w:rPr>
          <w:rFonts w:ascii="Book Antiqua" w:hAnsi="Book Antiqua" w:cs="Tahoma"/>
          <w:sz w:val="24"/>
          <w:szCs w:val="24"/>
        </w:rPr>
        <w:t xml:space="preserve"> and outcome and furthermore show</w:t>
      </w:r>
      <w:r w:rsidR="00C23C8A" w:rsidRPr="000005E4">
        <w:rPr>
          <w:rFonts w:ascii="Book Antiqua" w:hAnsi="Book Antiqua" w:cs="Tahoma"/>
          <w:sz w:val="24"/>
          <w:szCs w:val="24"/>
        </w:rPr>
        <w:t>ed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 that patients receiving sham therapy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had a 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better outcome than those receiving either biliary or dual </w:t>
      </w:r>
      <w:proofErr w:type="spellStart"/>
      <w:r w:rsidR="00CB233B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CB233B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Until other studies are available, patients with biliary type pain in the absence of objective findings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should not routinely undergo </w:t>
      </w:r>
      <w:r w:rsidR="009612D8" w:rsidRPr="000005E4">
        <w:rPr>
          <w:rFonts w:ascii="Book Antiqua" w:hAnsi="Book Antiqua" w:cs="Tahoma"/>
          <w:sz w:val="24"/>
          <w:szCs w:val="24"/>
        </w:rPr>
        <w:t xml:space="preserve">endoscopic retrograde </w:t>
      </w:r>
      <w:proofErr w:type="spellStart"/>
      <w:r w:rsidR="009612D8" w:rsidRPr="000005E4">
        <w:rPr>
          <w:rFonts w:ascii="Book Antiqua" w:hAnsi="Book Antiqua" w:cs="Tahoma"/>
          <w:sz w:val="24"/>
          <w:szCs w:val="24"/>
        </w:rPr>
        <w:t>cholangiopancreatography</w:t>
      </w:r>
      <w:proofErr w:type="spellEnd"/>
      <w:r w:rsidR="009612D8" w:rsidRPr="000005E4">
        <w:rPr>
          <w:rFonts w:ascii="Book Antiqua" w:hAnsi="Book Antiqua" w:cs="Tahoma"/>
          <w:sz w:val="24"/>
          <w:szCs w:val="24"/>
        </w:rPr>
        <w:t xml:space="preserve">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and </w:t>
      </w:r>
      <w:r w:rsidR="00CB233B" w:rsidRPr="000005E4">
        <w:rPr>
          <w:rFonts w:ascii="Book Antiqua" w:hAnsi="Book Antiqua" w:cs="Tahoma"/>
          <w:sz w:val="24"/>
          <w:szCs w:val="24"/>
        </w:rPr>
        <w:t xml:space="preserve">do not benefit from </w:t>
      </w:r>
      <w:proofErr w:type="spellStart"/>
      <w:r w:rsidR="00CB233B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CB233B" w:rsidRPr="000005E4">
        <w:rPr>
          <w:rFonts w:ascii="Book Antiqua" w:hAnsi="Book Antiqua" w:cs="Tahoma"/>
          <w:sz w:val="24"/>
          <w:szCs w:val="24"/>
        </w:rPr>
        <w:t xml:space="preserve">. </w:t>
      </w:r>
    </w:p>
    <w:p w:rsidR="00233CB6" w:rsidRDefault="00233CB6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156F44" w:rsidRPr="00156F44" w:rsidRDefault="00156F44" w:rsidP="00156F44">
      <w:pPr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0"/>
          <w:lang w:eastAsia="zh-CN"/>
        </w:rPr>
      </w:pPr>
      <w:r w:rsidRPr="000005E4">
        <w:rPr>
          <w:rFonts w:ascii="Book Antiqua" w:hAnsi="Book Antiqua" w:cs="Tahoma"/>
          <w:sz w:val="24"/>
          <w:szCs w:val="24"/>
        </w:rPr>
        <w:t xml:space="preserve">Wilcox 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>CM.</w:t>
      </w:r>
      <w:r>
        <w:rPr>
          <w:rFonts w:hint="eastAsia"/>
          <w:lang w:eastAsia="zh-CN"/>
        </w:rPr>
        <w:t xml:space="preserve"> </w:t>
      </w:r>
      <w:r w:rsidRPr="00156F44">
        <w:rPr>
          <w:rFonts w:ascii="Book Antiqua" w:hAnsi="Book Antiqua" w:cs="Tahoma"/>
          <w:sz w:val="24"/>
          <w:szCs w:val="24"/>
        </w:rPr>
        <w:t xml:space="preserve">Sphincter of </w:t>
      </w:r>
      <w:proofErr w:type="spellStart"/>
      <w:r w:rsidRPr="00156F44">
        <w:rPr>
          <w:rFonts w:ascii="Book Antiqua" w:hAnsi="Book Antiqua" w:cs="Tahoma"/>
          <w:sz w:val="24"/>
          <w:szCs w:val="24"/>
        </w:rPr>
        <w:t>oddi</w:t>
      </w:r>
      <w:proofErr w:type="spellEnd"/>
      <w:r w:rsidRPr="00156F44">
        <w:rPr>
          <w:rFonts w:ascii="Book Antiqua" w:hAnsi="Book Antiqua" w:cs="Tahoma"/>
          <w:sz w:val="24"/>
          <w:szCs w:val="24"/>
        </w:rPr>
        <w:t xml:space="preserve"> dysfunction Type III: New studies suggest new approaches are needed</w:t>
      </w:r>
      <w:r>
        <w:rPr>
          <w:rFonts w:ascii="Book Antiqua" w:hAnsi="Book Antiqua" w:cs="Tahoma" w:hint="eastAsia"/>
          <w:sz w:val="24"/>
          <w:szCs w:val="24"/>
          <w:lang w:eastAsia="zh-CN"/>
        </w:rPr>
        <w:t xml:space="preserve">. </w:t>
      </w:r>
      <w:r w:rsidRPr="00156F44">
        <w:rPr>
          <w:rFonts w:ascii="Book Antiqua" w:eastAsia="SimSun" w:hAnsi="Book Antiqua" w:cs="Times New Roman"/>
          <w:i/>
          <w:kern w:val="2"/>
          <w:sz w:val="24"/>
          <w:szCs w:val="20"/>
          <w:lang w:eastAsia="zh-CN"/>
        </w:rPr>
        <w:t xml:space="preserve">World J </w:t>
      </w:r>
      <w:proofErr w:type="spellStart"/>
      <w:r w:rsidRPr="00156F44">
        <w:rPr>
          <w:rFonts w:ascii="Book Antiqua" w:eastAsia="SimSun" w:hAnsi="Book Antiqua" w:cs="Times New Roman"/>
          <w:i/>
          <w:kern w:val="2"/>
          <w:sz w:val="24"/>
          <w:szCs w:val="20"/>
          <w:lang w:eastAsia="zh-CN"/>
        </w:rPr>
        <w:t>Gastroenterol</w:t>
      </w:r>
      <w:proofErr w:type="spellEnd"/>
      <w:r w:rsidRPr="00156F44">
        <w:rPr>
          <w:rFonts w:ascii="Book Antiqua" w:eastAsia="SimSun" w:hAnsi="Book Antiqua" w:cs="Times New Roman"/>
          <w:kern w:val="2"/>
          <w:sz w:val="24"/>
          <w:szCs w:val="20"/>
          <w:lang w:eastAsia="zh-CN"/>
        </w:rPr>
        <w:t xml:space="preserve"> 201</w:t>
      </w:r>
      <w:r w:rsidRPr="00156F44">
        <w:rPr>
          <w:rFonts w:ascii="Book Antiqua" w:eastAsia="SimSun" w:hAnsi="Book Antiqua" w:cs="Times New Roman" w:hint="eastAsia"/>
          <w:kern w:val="2"/>
          <w:sz w:val="24"/>
          <w:szCs w:val="20"/>
          <w:lang w:eastAsia="zh-CN"/>
        </w:rPr>
        <w:t>5</w:t>
      </w:r>
      <w:r w:rsidRPr="00156F44">
        <w:rPr>
          <w:rFonts w:ascii="Book Antiqua" w:eastAsia="SimSun" w:hAnsi="Book Antiqua" w:cs="Times New Roman"/>
          <w:kern w:val="2"/>
          <w:sz w:val="24"/>
          <w:szCs w:val="20"/>
          <w:lang w:eastAsia="zh-CN"/>
        </w:rPr>
        <w:t xml:space="preserve">; </w:t>
      </w:r>
      <w:proofErr w:type="gramStart"/>
      <w:r w:rsidRPr="00156F44">
        <w:rPr>
          <w:rFonts w:ascii="Book Antiqua" w:eastAsia="SimSun" w:hAnsi="Book Antiqua" w:cs="Times New Roman"/>
          <w:kern w:val="2"/>
          <w:sz w:val="24"/>
          <w:szCs w:val="20"/>
          <w:lang w:eastAsia="zh-CN"/>
        </w:rPr>
        <w:t>In</w:t>
      </w:r>
      <w:proofErr w:type="gramEnd"/>
      <w:r w:rsidRPr="00156F44">
        <w:rPr>
          <w:rFonts w:ascii="Book Antiqua" w:eastAsia="SimSun" w:hAnsi="Book Antiqua" w:cs="Times New Roman"/>
          <w:kern w:val="2"/>
          <w:sz w:val="24"/>
          <w:szCs w:val="20"/>
          <w:lang w:eastAsia="zh-CN"/>
        </w:rPr>
        <w:t xml:space="preserve"> press</w:t>
      </w:r>
    </w:p>
    <w:p w:rsidR="002C72D2" w:rsidRPr="00156F44" w:rsidRDefault="002C72D2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00111A" w:rsidRPr="000005E4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0005E4">
        <w:rPr>
          <w:rFonts w:ascii="Book Antiqua" w:hAnsi="Book Antiqua" w:cs="Tahoma" w:hint="eastAsia"/>
          <w:b/>
          <w:caps/>
          <w:sz w:val="24"/>
          <w:szCs w:val="24"/>
          <w:lang w:eastAsia="zh-CN"/>
        </w:rPr>
        <w:t>Introduction</w:t>
      </w:r>
      <w:r w:rsidRPr="000005E4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</w:p>
    <w:p w:rsidR="006E2DE3" w:rsidRPr="000005E4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It has been almost 130 years since the </w:t>
      </w:r>
      <w:r w:rsidR="00032DE8" w:rsidRPr="000005E4">
        <w:rPr>
          <w:rFonts w:ascii="Book Antiqua" w:hAnsi="Book Antiqua" w:cs="Tahoma"/>
          <w:sz w:val="24"/>
          <w:szCs w:val="24"/>
        </w:rPr>
        <w:t>muscular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 </w:t>
      </w:r>
      <w:r w:rsidR="00032DE8" w:rsidRPr="000005E4">
        <w:rPr>
          <w:rFonts w:ascii="Book Antiqua" w:hAnsi="Book Antiqua" w:cs="Tahoma"/>
          <w:sz w:val="24"/>
          <w:szCs w:val="24"/>
        </w:rPr>
        <w:t xml:space="preserve">structure </w:t>
      </w:r>
      <w:r w:rsidR="00842174" w:rsidRPr="000005E4">
        <w:rPr>
          <w:rFonts w:ascii="Book Antiqua" w:hAnsi="Book Antiqua" w:cs="Tahoma"/>
          <w:sz w:val="24"/>
          <w:szCs w:val="24"/>
        </w:rPr>
        <w:t>at the terminal end of the biliary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and pancreatic </w:t>
      </w:r>
      <w:r w:rsidR="00842174" w:rsidRPr="000005E4">
        <w:rPr>
          <w:rFonts w:ascii="Book Antiqua" w:hAnsi="Book Antiqua" w:cs="Tahoma"/>
          <w:sz w:val="24"/>
          <w:szCs w:val="24"/>
        </w:rPr>
        <w:t xml:space="preserve">ducts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was </w:t>
      </w:r>
      <w:r w:rsidR="00032DE8" w:rsidRPr="000005E4">
        <w:rPr>
          <w:rFonts w:ascii="Book Antiqua" w:hAnsi="Book Antiqua" w:cs="Tahoma"/>
          <w:sz w:val="24"/>
          <w:szCs w:val="24"/>
        </w:rPr>
        <w:t xml:space="preserve">first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described by a young anatomist and physiologist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lastRenderedPageBreak/>
        <w:t>Rugero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proofErr w:type="gram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032DE8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Pr="000005E4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6C5C57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41B6E" w:rsidRPr="000005E4">
        <w:rPr>
          <w:rFonts w:ascii="Book Antiqua" w:hAnsi="Book Antiqua" w:cs="Tahoma"/>
          <w:sz w:val="24"/>
          <w:szCs w:val="24"/>
        </w:rPr>
        <w:t>His s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ubsequent studies 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demonstrated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that </w:t>
      </w:r>
      <w:r w:rsidR="00032DE8" w:rsidRPr="000005E4">
        <w:rPr>
          <w:rFonts w:ascii="Book Antiqua" w:hAnsi="Book Antiqua" w:cs="Tahoma"/>
          <w:sz w:val="24"/>
          <w:szCs w:val="24"/>
        </w:rPr>
        <w:t xml:space="preserve">this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sphincter </w:t>
      </w:r>
      <w:r w:rsidR="00032DE8" w:rsidRPr="000005E4">
        <w:rPr>
          <w:rFonts w:ascii="Book Antiqua" w:hAnsi="Book Antiqua" w:cs="Tahoma"/>
          <w:sz w:val="24"/>
          <w:szCs w:val="24"/>
        </w:rPr>
        <w:t>muscle was under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physiologic regulation.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 While bile duct pressures had been previously reported, i</w:t>
      </w:r>
      <w:r w:rsidR="00032DE8" w:rsidRPr="000005E4">
        <w:rPr>
          <w:rFonts w:ascii="Book Antiqua" w:hAnsi="Book Antiqua" w:cs="Tahoma"/>
          <w:sz w:val="24"/>
          <w:szCs w:val="24"/>
        </w:rPr>
        <w:t>t was not until 198</w:t>
      </w:r>
      <w:r w:rsidR="00CC43D7" w:rsidRPr="000005E4">
        <w:rPr>
          <w:rFonts w:ascii="Book Antiqua" w:hAnsi="Book Antiqua" w:cs="Tahoma"/>
          <w:sz w:val="24"/>
          <w:szCs w:val="24"/>
        </w:rPr>
        <w:t>0</w:t>
      </w:r>
      <w:r w:rsidR="00032DE8" w:rsidRPr="000005E4">
        <w:rPr>
          <w:rFonts w:ascii="Book Antiqua" w:hAnsi="Book Antiqua" w:cs="Tahoma"/>
          <w:sz w:val="24"/>
          <w:szCs w:val="24"/>
        </w:rPr>
        <w:t xml:space="preserve"> that </w:t>
      </w:r>
      <w:proofErr w:type="spellStart"/>
      <w:r w:rsidR="00032DE8" w:rsidRPr="000005E4">
        <w:rPr>
          <w:rFonts w:ascii="Book Antiqua" w:hAnsi="Book Antiqua" w:cs="Tahoma"/>
          <w:sz w:val="24"/>
          <w:szCs w:val="24"/>
        </w:rPr>
        <w:t>Geene</w:t>
      </w:r>
      <w:r w:rsidR="009612D8">
        <w:rPr>
          <w:rFonts w:ascii="Book Antiqua" w:hAnsi="Book Antiqua" w:cs="Tahoma"/>
          <w:sz w:val="24"/>
          <w:szCs w:val="24"/>
        </w:rPr>
        <w:t>n</w:t>
      </w:r>
      <w:proofErr w:type="spellEnd"/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3302BE" w:rsidRPr="003302BE">
        <w:rPr>
          <w:rFonts w:ascii="Book Antiqua" w:hAnsi="Book Antiqua" w:cs="Tahoma"/>
          <w:i/>
          <w:sz w:val="24"/>
          <w:szCs w:val="24"/>
          <w:lang w:eastAsia="zh-CN"/>
        </w:rPr>
        <w:t>et al</w:t>
      </w:r>
      <w:r w:rsidR="00B854BA" w:rsidRPr="000005E4">
        <w:rPr>
          <w:rFonts w:ascii="Book Antiqua" w:hAnsi="Book Antiqua" w:cs="Tahoma"/>
          <w:sz w:val="24"/>
          <w:szCs w:val="24"/>
          <w:vertAlign w:val="superscript"/>
        </w:rPr>
        <w:t xml:space="preserve">[2] </w:t>
      </w:r>
      <w:r w:rsidR="001B23C3" w:rsidRPr="000005E4">
        <w:rPr>
          <w:rFonts w:ascii="Book Antiqua" w:hAnsi="Book Antiqua" w:cs="Tahoma"/>
          <w:sz w:val="24"/>
          <w:szCs w:val="24"/>
        </w:rPr>
        <w:t>described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the use of a </w:t>
      </w:r>
      <w:r w:rsidR="001B23C3" w:rsidRPr="000005E4">
        <w:rPr>
          <w:rFonts w:ascii="Book Antiqua" w:hAnsi="Book Antiqua" w:cs="Tahoma"/>
          <w:sz w:val="24"/>
          <w:szCs w:val="24"/>
        </w:rPr>
        <w:t xml:space="preserve">small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catheter </w:t>
      </w:r>
      <w:r w:rsidR="00241B6E" w:rsidRPr="000005E4">
        <w:rPr>
          <w:rFonts w:ascii="Book Antiqua" w:hAnsi="Book Antiqua" w:cs="Tahoma"/>
          <w:sz w:val="24"/>
          <w:szCs w:val="24"/>
        </w:rPr>
        <w:t>placed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 </w:t>
      </w:r>
      <w:r w:rsidR="00842174" w:rsidRPr="000005E4">
        <w:rPr>
          <w:rFonts w:ascii="Book Antiqua" w:hAnsi="Book Antiqua" w:cs="Tahoma"/>
          <w:sz w:val="24"/>
          <w:szCs w:val="24"/>
        </w:rPr>
        <w:t>th</w:t>
      </w:r>
      <w:r w:rsidR="0042488B" w:rsidRPr="000005E4">
        <w:rPr>
          <w:rFonts w:ascii="Book Antiqua" w:hAnsi="Book Antiqua" w:cs="Tahoma"/>
          <w:sz w:val="24"/>
          <w:szCs w:val="24"/>
        </w:rPr>
        <w:t>r</w:t>
      </w:r>
      <w:r w:rsidR="00842174" w:rsidRPr="000005E4">
        <w:rPr>
          <w:rFonts w:ascii="Book Antiqua" w:hAnsi="Book Antiqua" w:cs="Tahoma"/>
          <w:sz w:val="24"/>
          <w:szCs w:val="24"/>
        </w:rPr>
        <w:t xml:space="preserve">ough the 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biliary </w:t>
      </w:r>
      <w:r w:rsidR="00842174" w:rsidRPr="000005E4">
        <w:rPr>
          <w:rFonts w:ascii="Book Antiqua" w:hAnsi="Book Antiqua" w:cs="Tahoma"/>
          <w:sz w:val="24"/>
          <w:szCs w:val="24"/>
        </w:rPr>
        <w:t xml:space="preserve">sphincter 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into the </w:t>
      </w:r>
      <w:r w:rsidR="00842174" w:rsidRPr="000005E4">
        <w:rPr>
          <w:rFonts w:ascii="Book Antiqua" w:hAnsi="Book Antiqua" w:cs="Tahoma"/>
          <w:sz w:val="24"/>
          <w:szCs w:val="24"/>
        </w:rPr>
        <w:t>bile duct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 at the time of endoscopic retrograde </w:t>
      </w:r>
      <w:proofErr w:type="spellStart"/>
      <w:r w:rsidR="003E05CF" w:rsidRPr="000005E4">
        <w:rPr>
          <w:rFonts w:ascii="Book Antiqua" w:hAnsi="Book Antiqua" w:cs="Tahoma"/>
          <w:sz w:val="24"/>
          <w:szCs w:val="24"/>
        </w:rPr>
        <w:t>cholangiopancreatography</w:t>
      </w:r>
      <w:proofErr w:type="spellEnd"/>
      <w:r w:rsidR="003E05CF" w:rsidRPr="000005E4">
        <w:rPr>
          <w:rFonts w:ascii="Book Antiqua" w:hAnsi="Book Antiqua" w:cs="Tahoma"/>
          <w:sz w:val="24"/>
          <w:szCs w:val="24"/>
        </w:rPr>
        <w:t xml:space="preserve"> (ERCP)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whereby sphincter </w:t>
      </w:r>
      <w:r w:rsidR="00C43300" w:rsidRPr="000005E4">
        <w:rPr>
          <w:rFonts w:ascii="Book Antiqua" w:hAnsi="Book Antiqua" w:cs="Tahoma"/>
          <w:sz w:val="24"/>
          <w:szCs w:val="24"/>
        </w:rPr>
        <w:t>activity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could be identified</w:t>
      </w:r>
      <w:r w:rsidR="00241B6E" w:rsidRPr="000005E4">
        <w:rPr>
          <w:rFonts w:ascii="Book Antiqua" w:hAnsi="Book Antiqua" w:cs="Tahoma"/>
          <w:sz w:val="24"/>
          <w:szCs w:val="24"/>
        </w:rPr>
        <w:t xml:space="preserve">, measured and </w:t>
      </w:r>
      <w:r w:rsidR="00842174" w:rsidRPr="000005E4">
        <w:rPr>
          <w:rFonts w:ascii="Book Antiqua" w:hAnsi="Book Antiqua" w:cs="Tahoma"/>
          <w:sz w:val="24"/>
          <w:szCs w:val="24"/>
        </w:rPr>
        <w:t>where its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 </w:t>
      </w:r>
      <w:r w:rsidR="00C43300" w:rsidRPr="000005E4">
        <w:rPr>
          <w:rFonts w:ascii="Book Antiqua" w:hAnsi="Book Antiqua" w:cs="Tahoma"/>
          <w:sz w:val="24"/>
          <w:szCs w:val="24"/>
        </w:rPr>
        <w:t>physiologic regulation</w:t>
      </w:r>
      <w:r w:rsidR="00842174" w:rsidRPr="000005E4">
        <w:rPr>
          <w:rFonts w:ascii="Book Antiqua" w:hAnsi="Book Antiqua" w:cs="Tahoma"/>
          <w:sz w:val="24"/>
          <w:szCs w:val="24"/>
        </w:rPr>
        <w:t xml:space="preserve"> was confirmed</w:t>
      </w:r>
      <w:r w:rsidR="00241B6E" w:rsidRPr="000005E4">
        <w:rPr>
          <w:rFonts w:ascii="Book Antiqua" w:hAnsi="Book Antiqua" w:cs="Tahoma"/>
          <w:sz w:val="24"/>
          <w:szCs w:val="24"/>
        </w:rPr>
        <w:t xml:space="preserve">. </w:t>
      </w:r>
      <w:r w:rsidR="006C5C57" w:rsidRPr="000005E4">
        <w:rPr>
          <w:rFonts w:ascii="Book Antiqua" w:hAnsi="Book Antiqua" w:cs="Tahoma"/>
          <w:sz w:val="24"/>
          <w:szCs w:val="24"/>
        </w:rPr>
        <w:t>At that time</w:t>
      </w:r>
      <w:r w:rsidR="00241B6E" w:rsidRPr="000005E4">
        <w:rPr>
          <w:rFonts w:ascii="Book Antiqua" w:hAnsi="Book Antiqua" w:cs="Tahoma"/>
          <w:sz w:val="24"/>
          <w:szCs w:val="24"/>
        </w:rPr>
        <w:t xml:space="preserve">, </w:t>
      </w:r>
      <w:proofErr w:type="gramStart"/>
      <w:r w:rsidR="006C5C57" w:rsidRPr="000005E4">
        <w:rPr>
          <w:rFonts w:ascii="Book Antiqua" w:hAnsi="Book Antiqua" w:cs="Tahoma"/>
          <w:sz w:val="24"/>
          <w:szCs w:val="24"/>
        </w:rPr>
        <w:t>they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2]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and others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[3]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had postulated that perhaps disorders of the sphincter could result in clinical syndromes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 such as post-</w:t>
      </w:r>
      <w:r w:rsidR="00241B6E" w:rsidRPr="000005E4">
        <w:rPr>
          <w:rFonts w:ascii="Book Antiqua" w:hAnsi="Book Antiqua" w:cs="Tahoma"/>
          <w:sz w:val="24"/>
          <w:szCs w:val="24"/>
        </w:rPr>
        <w:t>cholecystectomy abdominal pain</w:t>
      </w:r>
      <w:r w:rsidR="006C5C57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6E2DE3" w:rsidRPr="000005E4" w:rsidRDefault="006E2DE3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B854BA" w:rsidRPr="000005E4" w:rsidRDefault="00B854B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DEFINITION</w:t>
      </w:r>
    </w:p>
    <w:p w:rsidR="006C5C57" w:rsidRPr="000005E4" w:rsidRDefault="00C43300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Sphincter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dysfunction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(SOD) 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has been </w:t>
      </w:r>
      <w:r w:rsidRPr="000005E4">
        <w:rPr>
          <w:rFonts w:ascii="Book Antiqua" w:hAnsi="Book Antiqua" w:cs="Tahoma"/>
          <w:sz w:val="24"/>
          <w:szCs w:val="24"/>
        </w:rPr>
        <w:t xml:space="preserve">defined as an abnormality of either the biliary and/or pancreatic sphincter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causing </w:t>
      </w:r>
      <w:r w:rsidRPr="000005E4">
        <w:rPr>
          <w:rFonts w:ascii="Book Antiqua" w:hAnsi="Book Antiqua" w:cs="Tahoma"/>
          <w:sz w:val="24"/>
          <w:szCs w:val="24"/>
        </w:rPr>
        <w:t xml:space="preserve">intermittent or fixed obstruction 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to flow of bile or pancreatic juice, respectively, </w:t>
      </w:r>
      <w:r w:rsidR="001B23C3" w:rsidRPr="000005E4">
        <w:rPr>
          <w:rFonts w:ascii="Book Antiqua" w:hAnsi="Book Antiqua" w:cs="Tahoma"/>
          <w:sz w:val="24"/>
          <w:szCs w:val="24"/>
        </w:rPr>
        <w:t>associated with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 episodic biliary-type pain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, 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recurrent </w:t>
      </w:r>
      <w:r w:rsidR="00AB03B6" w:rsidRPr="000005E4">
        <w:rPr>
          <w:rFonts w:ascii="Book Antiqua" w:hAnsi="Book Antiqua" w:cs="Tahoma"/>
          <w:sz w:val="24"/>
          <w:szCs w:val="24"/>
        </w:rPr>
        <w:t>pancreatitis, abnormal liver chemistry tests, or ductal dilatation</w:t>
      </w:r>
      <w:r w:rsidRPr="000005E4">
        <w:rPr>
          <w:rFonts w:ascii="Book Antiqua" w:hAnsi="Book Antiqua" w:cs="Tahoma"/>
          <w:sz w:val="24"/>
          <w:szCs w:val="24"/>
        </w:rPr>
        <w:t xml:space="preserve">. </w:t>
      </w:r>
      <w:r w:rsidR="0022202A" w:rsidRPr="000005E4">
        <w:rPr>
          <w:rFonts w:ascii="Book Antiqua" w:hAnsi="Book Antiqua" w:cs="Tahoma"/>
          <w:sz w:val="24"/>
          <w:szCs w:val="24"/>
        </w:rPr>
        <w:t xml:space="preserve">The ROME III criteria defined </w:t>
      </w:r>
      <w:r w:rsidR="00C612C8" w:rsidRPr="000005E4">
        <w:rPr>
          <w:rFonts w:ascii="Book Antiqua" w:hAnsi="Book Antiqua" w:cs="Tahoma"/>
          <w:sz w:val="24"/>
          <w:szCs w:val="24"/>
        </w:rPr>
        <w:t xml:space="preserve">biliary </w:t>
      </w:r>
      <w:r w:rsidR="0022202A" w:rsidRPr="000005E4">
        <w:rPr>
          <w:rFonts w:ascii="Book Antiqua" w:hAnsi="Book Antiqua" w:cs="Tahoma"/>
          <w:sz w:val="24"/>
          <w:szCs w:val="24"/>
        </w:rPr>
        <w:t xml:space="preserve">SOD as epigastric or right upper quadrant pain which included all of the following: episodes of pain lasting at least 30 min, symptoms occurring at different intervals but not on a daily basis; the pain was constant in nature and was of severity enough to alter or interrupt the patient’s daily activities or lead to an emergency department visit; the pain was not relieved by postural changes, bowel movements, or </w:t>
      </w:r>
      <w:proofErr w:type="spellStart"/>
      <w:r w:rsidR="0022202A" w:rsidRPr="000005E4">
        <w:rPr>
          <w:rFonts w:ascii="Book Antiqua" w:hAnsi="Book Antiqua" w:cs="Tahoma"/>
          <w:sz w:val="24"/>
          <w:szCs w:val="24"/>
        </w:rPr>
        <w:t>antiacid</w:t>
      </w:r>
      <w:proofErr w:type="spellEnd"/>
      <w:r w:rsidR="0022202A" w:rsidRPr="000005E4">
        <w:rPr>
          <w:rFonts w:ascii="Book Antiqua" w:hAnsi="Book Antiqua" w:cs="Tahoma"/>
          <w:sz w:val="24"/>
          <w:szCs w:val="24"/>
        </w:rPr>
        <w:t xml:space="preserve"> therapy; and finally that the exclusion of other structural </w:t>
      </w:r>
      <w:proofErr w:type="spellStart"/>
      <w:r w:rsidR="0022202A" w:rsidRPr="000005E4">
        <w:rPr>
          <w:rFonts w:ascii="Book Antiqua" w:hAnsi="Book Antiqua" w:cs="Tahoma"/>
          <w:sz w:val="24"/>
          <w:szCs w:val="24"/>
        </w:rPr>
        <w:t>pancreatic</w:t>
      </w:r>
      <w:r w:rsidR="003302BE">
        <w:rPr>
          <w:rFonts w:ascii="Book Antiqua" w:hAnsi="Book Antiqua" w:cs="Tahoma"/>
          <w:sz w:val="24"/>
          <w:szCs w:val="24"/>
        </w:rPr>
        <w:t>obiliary</w:t>
      </w:r>
      <w:proofErr w:type="spellEnd"/>
      <w:r w:rsidR="003302BE">
        <w:rPr>
          <w:rFonts w:ascii="Book Antiqua" w:hAnsi="Book Antiqua" w:cs="Tahoma"/>
          <w:sz w:val="24"/>
          <w:szCs w:val="24"/>
        </w:rPr>
        <w:t xml:space="preserve"> diseases were excluded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[4]</w:t>
      </w:r>
      <w:r w:rsidR="003E4A19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3E4A19" w:rsidRPr="000005E4">
        <w:rPr>
          <w:rFonts w:ascii="Book Antiqua" w:hAnsi="Book Antiqua" w:cs="Tahoma"/>
          <w:sz w:val="24"/>
          <w:szCs w:val="24"/>
        </w:rPr>
        <w:t>In contrast to the prior criteria, noninvasive methods were used to measure common bile duct diameter and contrast drainage times were not required.</w:t>
      </w:r>
      <w:r w:rsidR="003302BE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AB03B6" w:rsidRPr="000005E4">
        <w:rPr>
          <w:rFonts w:ascii="Book Antiqua" w:hAnsi="Book Antiqua" w:cs="Tahoma"/>
          <w:sz w:val="24"/>
          <w:szCs w:val="24"/>
        </w:rPr>
        <w:t>Manometrically</w:t>
      </w:r>
      <w:proofErr w:type="spellEnd"/>
      <w:r w:rsidR="00935039" w:rsidRPr="000005E4">
        <w:rPr>
          <w:rFonts w:ascii="Book Antiqua" w:hAnsi="Book Antiqua" w:cs="Tahoma"/>
          <w:sz w:val="24"/>
          <w:szCs w:val="24"/>
        </w:rPr>
        <w:t>,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 </w:t>
      </w:r>
      <w:r w:rsidR="001B23C3" w:rsidRPr="000005E4">
        <w:rPr>
          <w:rFonts w:ascii="Book Antiqua" w:hAnsi="Book Antiqua" w:cs="Tahoma"/>
          <w:sz w:val="24"/>
          <w:szCs w:val="24"/>
        </w:rPr>
        <w:t>SOD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 is defined as a basal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biliary or pancreatic sphincter </w:t>
      </w:r>
      <w:r w:rsidR="00AB03B6" w:rsidRPr="000005E4">
        <w:rPr>
          <w:rFonts w:ascii="Book Antiqua" w:hAnsi="Book Antiqua" w:cs="Tahoma"/>
          <w:sz w:val="24"/>
          <w:szCs w:val="24"/>
        </w:rPr>
        <w:t>pressure of &gt;</w:t>
      </w:r>
      <w:r w:rsidR="003302BE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AB03B6" w:rsidRPr="000005E4">
        <w:rPr>
          <w:rFonts w:ascii="Book Antiqua" w:hAnsi="Book Antiqua" w:cs="Tahoma"/>
          <w:sz w:val="24"/>
          <w:szCs w:val="24"/>
        </w:rPr>
        <w:t>40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 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mmHg which is greater than </w:t>
      </w:r>
      <w:r w:rsidR="00CC43D7" w:rsidRPr="000005E4">
        <w:rPr>
          <w:rFonts w:ascii="Book Antiqua" w:hAnsi="Book Antiqua" w:cs="Tahoma"/>
          <w:sz w:val="24"/>
          <w:szCs w:val="24"/>
        </w:rPr>
        <w:t>3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 standard deviations above </w:t>
      </w:r>
      <w:proofErr w:type="gramStart"/>
      <w:r w:rsidR="00AB03B6" w:rsidRPr="000005E4">
        <w:rPr>
          <w:rFonts w:ascii="Book Antiqua" w:hAnsi="Book Antiqua" w:cs="Tahoma"/>
          <w:sz w:val="24"/>
          <w:szCs w:val="24"/>
        </w:rPr>
        <w:t>normal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BD336E" w:rsidRPr="000005E4">
        <w:rPr>
          <w:rFonts w:ascii="Book Antiqua" w:hAnsi="Book Antiqua" w:cs="Tahoma"/>
          <w:sz w:val="24"/>
          <w:szCs w:val="24"/>
          <w:vertAlign w:val="superscript"/>
        </w:rPr>
        <w:t>5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AB03B6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06ED4" w:rsidRPr="000005E4">
        <w:rPr>
          <w:rFonts w:ascii="Book Antiqua" w:hAnsi="Book Antiqua" w:cs="Tahoma"/>
          <w:sz w:val="24"/>
          <w:szCs w:val="24"/>
        </w:rPr>
        <w:t>S</w:t>
      </w:r>
      <w:r w:rsidR="006E2DE3" w:rsidRPr="000005E4">
        <w:rPr>
          <w:rFonts w:ascii="Book Antiqua" w:hAnsi="Book Antiqua" w:cs="Tahoma"/>
          <w:sz w:val="24"/>
          <w:szCs w:val="24"/>
        </w:rPr>
        <w:t>ince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 the seminal observations of </w:t>
      </w:r>
      <w:proofErr w:type="spellStart"/>
      <w:r w:rsidR="00AB03B6" w:rsidRPr="000005E4">
        <w:rPr>
          <w:rFonts w:ascii="Book Antiqua" w:hAnsi="Book Antiqua" w:cs="Tahoma"/>
          <w:sz w:val="24"/>
          <w:szCs w:val="24"/>
        </w:rPr>
        <w:t>Ge</w:t>
      </w:r>
      <w:r w:rsidR="006E2DE3" w:rsidRPr="000005E4">
        <w:rPr>
          <w:rFonts w:ascii="Book Antiqua" w:hAnsi="Book Antiqua" w:cs="Tahoma"/>
          <w:sz w:val="24"/>
          <w:szCs w:val="24"/>
        </w:rPr>
        <w:t>enen</w:t>
      </w:r>
      <w:proofErr w:type="spellEnd"/>
      <w:r w:rsidR="006E2DE3" w:rsidRPr="000005E4">
        <w:rPr>
          <w:rFonts w:ascii="Book Antiqua" w:hAnsi="Book Antiqua" w:cs="Tahoma"/>
          <w:sz w:val="24"/>
          <w:szCs w:val="24"/>
        </w:rPr>
        <w:t xml:space="preserve"> </w:t>
      </w:r>
      <w:r w:rsidR="003302BE" w:rsidRPr="003302BE">
        <w:rPr>
          <w:rFonts w:ascii="Book Antiqua" w:hAnsi="Book Antiqua" w:cs="Tahoma"/>
          <w:i/>
          <w:sz w:val="24"/>
          <w:szCs w:val="24"/>
        </w:rPr>
        <w:t xml:space="preserve">et </w:t>
      </w:r>
      <w:proofErr w:type="gramStart"/>
      <w:r w:rsidR="003302BE" w:rsidRPr="003302BE">
        <w:rPr>
          <w:rFonts w:ascii="Book Antiqua" w:hAnsi="Book Antiqua" w:cs="Tahoma"/>
          <w:i/>
          <w:sz w:val="24"/>
          <w:szCs w:val="24"/>
        </w:rPr>
        <w:t>al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D03EBE" w:rsidRPr="000005E4">
        <w:rPr>
          <w:rFonts w:ascii="Book Antiqua" w:hAnsi="Book Antiqua" w:cs="Tahoma"/>
          <w:sz w:val="24"/>
          <w:szCs w:val="24"/>
          <w:vertAlign w:val="superscript"/>
        </w:rPr>
        <w:t>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, 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many 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studies </w:t>
      </w:r>
      <w:r w:rsidR="00AB03B6" w:rsidRPr="000005E4">
        <w:rPr>
          <w:rFonts w:ascii="Book Antiqua" w:hAnsi="Book Antiqua" w:cs="Tahoma"/>
          <w:sz w:val="24"/>
          <w:szCs w:val="24"/>
        </w:rPr>
        <w:t xml:space="preserve">worldwide </w:t>
      </w:r>
      <w:r w:rsidR="00206ED4" w:rsidRPr="000005E4">
        <w:rPr>
          <w:rFonts w:ascii="Book Antiqua" w:hAnsi="Book Antiqua" w:cs="Tahoma"/>
          <w:sz w:val="24"/>
          <w:szCs w:val="24"/>
        </w:rPr>
        <w:t>have reported</w:t>
      </w:r>
      <w:r w:rsidR="001B23C3" w:rsidRPr="000005E4">
        <w:rPr>
          <w:rFonts w:ascii="Book Antiqua" w:hAnsi="Book Antiqua" w:cs="Tahoma"/>
          <w:sz w:val="24"/>
          <w:szCs w:val="24"/>
        </w:rPr>
        <w:t xml:space="preserve"> on the use of both biliary and pancreatic </w:t>
      </w:r>
      <w:proofErr w:type="spellStart"/>
      <w:r w:rsidR="001B23C3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1B23C3" w:rsidRPr="000005E4">
        <w:rPr>
          <w:rFonts w:ascii="Book Antiqua" w:hAnsi="Book Antiqua" w:cs="Tahoma"/>
          <w:sz w:val="24"/>
          <w:szCs w:val="24"/>
        </w:rPr>
        <w:t xml:space="preserve"> in symptomatic patients.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1B23C3" w:rsidRPr="000005E4">
        <w:rPr>
          <w:rFonts w:ascii="Book Antiqua" w:hAnsi="Book Antiqua" w:cs="Tahoma"/>
          <w:sz w:val="24"/>
          <w:szCs w:val="24"/>
        </w:rPr>
        <w:t xml:space="preserve">In addition, </w:t>
      </w:r>
      <w:r w:rsidR="00206ED4" w:rsidRPr="000005E4">
        <w:rPr>
          <w:rFonts w:ascii="Book Antiqua" w:hAnsi="Book Antiqua" w:cs="Tahoma"/>
          <w:sz w:val="24"/>
          <w:szCs w:val="24"/>
        </w:rPr>
        <w:t>a positive outcome of endoscopic therapy (</w:t>
      </w:r>
      <w:proofErr w:type="spellStart"/>
      <w:r w:rsidR="00206ED4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206ED4" w:rsidRPr="000005E4">
        <w:rPr>
          <w:rFonts w:ascii="Book Antiqua" w:hAnsi="Book Antiqua" w:cs="Tahoma"/>
          <w:sz w:val="24"/>
          <w:szCs w:val="24"/>
        </w:rPr>
        <w:t xml:space="preserve">)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has been reported 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for </w:t>
      </w:r>
      <w:r w:rsidR="00935039" w:rsidRPr="000005E4">
        <w:rPr>
          <w:rFonts w:ascii="Book Antiqua" w:hAnsi="Book Antiqua" w:cs="Tahoma"/>
          <w:sz w:val="24"/>
          <w:szCs w:val="24"/>
        </w:rPr>
        <w:t xml:space="preserve">the treatment of abdominal pain or idiopathic pancreatitis 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of 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patients identified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with </w:t>
      </w:r>
      <w:proofErr w:type="gramStart"/>
      <w:r w:rsidR="00D052C8" w:rsidRPr="000005E4">
        <w:rPr>
          <w:rFonts w:ascii="Book Antiqua" w:hAnsi="Book Antiqua" w:cs="Tahoma"/>
          <w:sz w:val="24"/>
          <w:szCs w:val="24"/>
        </w:rPr>
        <w:t>SOD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BD336E" w:rsidRPr="000005E4">
        <w:rPr>
          <w:rFonts w:ascii="Book Antiqua" w:hAnsi="Book Antiqua" w:cs="Tahoma"/>
          <w:sz w:val="24"/>
          <w:szCs w:val="24"/>
          <w:vertAlign w:val="superscript"/>
        </w:rPr>
        <w:t>6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-11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. </w:t>
      </w:r>
      <w:r w:rsidR="006C5C57" w:rsidRPr="000005E4">
        <w:rPr>
          <w:rFonts w:ascii="Book Antiqua" w:hAnsi="Book Antiqua" w:cs="Tahoma"/>
          <w:sz w:val="24"/>
          <w:szCs w:val="24"/>
        </w:rPr>
        <w:t>Indeed</w:t>
      </w:r>
      <w:r w:rsidR="00206ED4" w:rsidRPr="000005E4">
        <w:rPr>
          <w:rFonts w:ascii="Book Antiqua" w:hAnsi="Book Antiqua" w:cs="Tahoma"/>
          <w:sz w:val="24"/>
          <w:szCs w:val="24"/>
        </w:rPr>
        <w:t>,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</w:t>
      </w:r>
      <w:r w:rsidR="00D052C8" w:rsidRPr="000005E4">
        <w:rPr>
          <w:rFonts w:ascii="Book Antiqua" w:hAnsi="Book Antiqua" w:cs="Tahoma"/>
          <w:sz w:val="24"/>
          <w:szCs w:val="24"/>
        </w:rPr>
        <w:t>SOD became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a common place </w:t>
      </w:r>
      <w:r w:rsidR="006C5C57" w:rsidRPr="000005E4">
        <w:rPr>
          <w:rFonts w:ascii="Book Antiqua" w:hAnsi="Book Antiqua" w:cs="Tahoma"/>
          <w:sz w:val="24"/>
          <w:szCs w:val="24"/>
        </w:rPr>
        <w:lastRenderedPageBreak/>
        <w:t xml:space="preserve">diagnosis </w:t>
      </w:r>
      <w:r w:rsidR="00206ED4" w:rsidRPr="000005E4">
        <w:rPr>
          <w:rFonts w:ascii="Book Antiqua" w:hAnsi="Book Antiqua" w:cs="Tahoma"/>
          <w:sz w:val="24"/>
          <w:szCs w:val="24"/>
        </w:rPr>
        <w:t>for referral of patients to selected centers</w:t>
      </w:r>
      <w:r w:rsidR="003E05CF" w:rsidRPr="000005E4">
        <w:rPr>
          <w:rFonts w:ascii="Book Antiqua" w:hAnsi="Book Antiqua" w:cs="Tahoma"/>
          <w:sz w:val="24"/>
          <w:szCs w:val="24"/>
        </w:rPr>
        <w:t xml:space="preserve"> with biliary-</w:t>
      </w:r>
      <w:r w:rsidR="007307EF" w:rsidRPr="000005E4">
        <w:rPr>
          <w:rFonts w:ascii="Book Antiqua" w:hAnsi="Book Antiqua" w:cs="Tahoma"/>
          <w:sz w:val="24"/>
          <w:szCs w:val="24"/>
        </w:rPr>
        <w:t>type pain</w:t>
      </w:r>
      <w:r w:rsidR="00CC43D7" w:rsidRPr="000005E4">
        <w:rPr>
          <w:rFonts w:ascii="Book Antiqua" w:hAnsi="Book Antiqua" w:cs="Tahoma"/>
          <w:sz w:val="24"/>
          <w:szCs w:val="24"/>
        </w:rPr>
        <w:t xml:space="preserve"> or idiopathic pancreatitis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 for sphincter </w:t>
      </w:r>
      <w:proofErr w:type="spellStart"/>
      <w:r w:rsidR="00206ED4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206ED4" w:rsidRPr="000005E4">
        <w:rPr>
          <w:rFonts w:ascii="Book Antiqua" w:hAnsi="Book Antiqua" w:cs="Tahoma"/>
          <w:sz w:val="24"/>
          <w:szCs w:val="24"/>
        </w:rPr>
        <w:t xml:space="preserve"> </w:t>
      </w:r>
      <w:r w:rsidR="006C5C57" w:rsidRPr="000005E4">
        <w:rPr>
          <w:rFonts w:ascii="Book Antiqua" w:hAnsi="Book Antiqua" w:cs="Tahoma"/>
          <w:sz w:val="24"/>
          <w:szCs w:val="24"/>
        </w:rPr>
        <w:t>in the hopes of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 making the diagnosis and providing</w:t>
      </w:r>
      <w:r w:rsidR="007307EF" w:rsidRPr="000005E4">
        <w:rPr>
          <w:rFonts w:ascii="Book Antiqua" w:hAnsi="Book Antiqua" w:cs="Tahoma"/>
          <w:sz w:val="24"/>
          <w:szCs w:val="24"/>
        </w:rPr>
        <w:t xml:space="preserve"> effective</w:t>
      </w:r>
      <w:r w:rsidR="00206ED4" w:rsidRPr="000005E4">
        <w:rPr>
          <w:rFonts w:ascii="Book Antiqua" w:hAnsi="Book Antiqua" w:cs="Tahoma"/>
          <w:sz w:val="24"/>
          <w:szCs w:val="24"/>
        </w:rPr>
        <w:t xml:space="preserve"> therapy.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The results of the EPISOD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 (E</w:t>
      </w:r>
      <w:r w:rsidRPr="000005E4">
        <w:rPr>
          <w:rFonts w:ascii="Book Antiqua" w:hAnsi="Book Antiqua" w:cs="Tahoma"/>
          <w:sz w:val="24"/>
          <w:szCs w:val="24"/>
        </w:rPr>
        <w:t xml:space="preserve">valuating </w:t>
      </w:r>
      <w:r w:rsidR="006E2DE3" w:rsidRPr="000005E4">
        <w:rPr>
          <w:rFonts w:ascii="Book Antiqua" w:hAnsi="Book Antiqua" w:cs="Tahoma"/>
          <w:sz w:val="24"/>
          <w:szCs w:val="24"/>
        </w:rPr>
        <w:t>P</w:t>
      </w:r>
      <w:r w:rsidRPr="000005E4">
        <w:rPr>
          <w:rFonts w:ascii="Book Antiqua" w:hAnsi="Book Antiqua" w:cs="Tahoma"/>
          <w:sz w:val="24"/>
          <w:szCs w:val="24"/>
        </w:rPr>
        <w:t xml:space="preserve">redictors and </w:t>
      </w:r>
      <w:r w:rsidR="006E2DE3" w:rsidRPr="000005E4">
        <w:rPr>
          <w:rFonts w:ascii="Book Antiqua" w:hAnsi="Book Antiqua" w:cs="Tahoma"/>
          <w:sz w:val="24"/>
          <w:szCs w:val="24"/>
        </w:rPr>
        <w:t xml:space="preserve">Interventions in Sphincter of </w:t>
      </w:r>
      <w:proofErr w:type="spellStart"/>
      <w:r w:rsidR="006E2DE3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6E2DE3" w:rsidRPr="000005E4">
        <w:rPr>
          <w:rFonts w:ascii="Book Antiqua" w:hAnsi="Book Antiqua" w:cs="Tahoma"/>
          <w:sz w:val="24"/>
          <w:szCs w:val="24"/>
        </w:rPr>
        <w:t xml:space="preserve"> D</w:t>
      </w:r>
      <w:r w:rsidRPr="000005E4">
        <w:rPr>
          <w:rFonts w:ascii="Book Antiqua" w:hAnsi="Book Antiqua" w:cs="Tahoma"/>
          <w:sz w:val="24"/>
          <w:szCs w:val="24"/>
        </w:rPr>
        <w:t>ysfunction)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="006C5C57" w:rsidRPr="000005E4">
        <w:rPr>
          <w:rFonts w:ascii="Book Antiqua" w:hAnsi="Book Antiqua" w:cs="Tahoma"/>
          <w:sz w:val="24"/>
          <w:szCs w:val="24"/>
        </w:rPr>
        <w:t>study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12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241B6E" w:rsidRPr="000005E4">
        <w:rPr>
          <w:rFonts w:ascii="Book Antiqua" w:hAnsi="Book Antiqua" w:cs="Tahoma"/>
          <w:sz w:val="24"/>
          <w:szCs w:val="24"/>
        </w:rPr>
        <w:t xml:space="preserve">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have now </w:t>
      </w:r>
      <w:r w:rsidR="00CC43D7" w:rsidRPr="000005E4">
        <w:rPr>
          <w:rFonts w:ascii="Book Antiqua" w:hAnsi="Book Antiqua" w:cs="Tahoma"/>
          <w:sz w:val="24"/>
          <w:szCs w:val="24"/>
        </w:rPr>
        <w:t>challenged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 the diagnosis of the most complex of these sphincter </w:t>
      </w:r>
      <w:r w:rsidR="00D052C8" w:rsidRPr="000005E4">
        <w:rPr>
          <w:rFonts w:ascii="Book Antiqua" w:hAnsi="Book Antiqua" w:cs="Tahoma"/>
          <w:sz w:val="24"/>
          <w:szCs w:val="24"/>
        </w:rPr>
        <w:t>“</w:t>
      </w:r>
      <w:r w:rsidR="006C5C57" w:rsidRPr="000005E4">
        <w:rPr>
          <w:rFonts w:ascii="Book Antiqua" w:hAnsi="Book Antiqua" w:cs="Tahoma"/>
          <w:sz w:val="24"/>
          <w:szCs w:val="24"/>
        </w:rPr>
        <w:t>disorders</w:t>
      </w:r>
      <w:r w:rsidR="00D052C8" w:rsidRPr="000005E4">
        <w:rPr>
          <w:rFonts w:ascii="Book Antiqua" w:hAnsi="Book Antiqua" w:cs="Tahoma"/>
          <w:sz w:val="24"/>
          <w:szCs w:val="24"/>
        </w:rPr>
        <w:t>”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, sphincter of </w:t>
      </w:r>
      <w:proofErr w:type="spellStart"/>
      <w:r w:rsidR="006C5C57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6C5C57" w:rsidRPr="000005E4">
        <w:rPr>
          <w:rFonts w:ascii="Book Antiqua" w:hAnsi="Book Antiqua" w:cs="Tahoma"/>
          <w:sz w:val="24"/>
          <w:szCs w:val="24"/>
        </w:rPr>
        <w:t xml:space="preserve"> dysfunction Type III.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6C5C57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8A4F13" w:rsidRPr="000005E4" w:rsidRDefault="008A4F13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SOD TYPES</w:t>
      </w:r>
    </w:p>
    <w:p w:rsidR="006C5C57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In </w:t>
      </w:r>
      <w:r w:rsidR="00FA724D" w:rsidRPr="000005E4">
        <w:rPr>
          <w:rFonts w:ascii="Book Antiqua" w:hAnsi="Book Antiqua" w:cs="Tahoma"/>
          <w:sz w:val="24"/>
          <w:szCs w:val="24"/>
        </w:rPr>
        <w:t>198</w:t>
      </w:r>
      <w:r w:rsidR="009F6895" w:rsidRPr="000005E4">
        <w:rPr>
          <w:rFonts w:ascii="Book Antiqua" w:hAnsi="Book Antiqua" w:cs="Tahoma"/>
          <w:sz w:val="24"/>
          <w:szCs w:val="24"/>
        </w:rPr>
        <w:t>7</w:t>
      </w:r>
      <w:r w:rsidRPr="000005E4">
        <w:rPr>
          <w:rFonts w:ascii="Book Antiqua" w:hAnsi="Book Antiqua" w:cs="Tahoma"/>
          <w:sz w:val="24"/>
          <w:szCs w:val="24"/>
        </w:rPr>
        <w:t xml:space="preserve">, these clinical syndromes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all of which </w:t>
      </w:r>
      <w:r w:rsidR="003F741E" w:rsidRPr="000005E4">
        <w:rPr>
          <w:rFonts w:ascii="Book Antiqua" w:hAnsi="Book Antiqua" w:cs="Tahoma"/>
          <w:sz w:val="24"/>
          <w:szCs w:val="24"/>
        </w:rPr>
        <w:t>have in common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 biliary-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type pain </w:t>
      </w:r>
      <w:r w:rsidRPr="000005E4">
        <w:rPr>
          <w:rFonts w:ascii="Book Antiqua" w:hAnsi="Book Antiqua" w:cs="Tahoma"/>
          <w:sz w:val="24"/>
          <w:szCs w:val="24"/>
        </w:rPr>
        <w:t>were classified into one of three types</w:t>
      </w:r>
      <w:r w:rsidR="007E0404" w:rsidRPr="000005E4">
        <w:rPr>
          <w:rFonts w:ascii="Book Antiqua" w:hAnsi="Book Antiqua" w:cs="Tahoma"/>
          <w:sz w:val="24"/>
          <w:szCs w:val="24"/>
        </w:rPr>
        <w:t>,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often </w:t>
      </w:r>
      <w:r w:rsidRPr="000005E4">
        <w:rPr>
          <w:rFonts w:ascii="Book Antiqua" w:hAnsi="Book Antiqua" w:cs="Tahoma"/>
          <w:sz w:val="24"/>
          <w:szCs w:val="24"/>
        </w:rPr>
        <w:t xml:space="preserve">termed the Milwaukee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classification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13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AF706D" w:rsidRPr="000005E4">
        <w:rPr>
          <w:rFonts w:ascii="Book Antiqua" w:hAnsi="Book Antiqua" w:cs="Tahoma"/>
          <w:sz w:val="24"/>
          <w:szCs w:val="24"/>
        </w:rPr>
        <w:t>Such a classification scheme takes into account the presence of objective findings</w:t>
      </w:r>
      <w:r w:rsidR="003F741E" w:rsidRPr="000005E4">
        <w:rPr>
          <w:rFonts w:ascii="Book Antiqua" w:hAnsi="Book Antiqua" w:cs="Tahoma"/>
          <w:sz w:val="24"/>
          <w:szCs w:val="24"/>
        </w:rPr>
        <w:t xml:space="preserve"> (abnormal liver 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chemistry </w:t>
      </w:r>
      <w:r w:rsidR="003F741E" w:rsidRPr="000005E4">
        <w:rPr>
          <w:rFonts w:ascii="Book Antiqua" w:hAnsi="Book Antiqua" w:cs="Tahoma"/>
          <w:sz w:val="24"/>
          <w:szCs w:val="24"/>
        </w:rPr>
        <w:t>tests, ductal dilation)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 and based upon subsequent studies, </w:t>
      </w:r>
      <w:r w:rsidR="003F741E" w:rsidRPr="000005E4">
        <w:rPr>
          <w:rFonts w:ascii="Book Antiqua" w:hAnsi="Book Antiqua" w:cs="Tahoma"/>
          <w:sz w:val="24"/>
          <w:szCs w:val="24"/>
        </w:rPr>
        <w:t>such a classification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 system</w:t>
      </w:r>
      <w:r w:rsidR="003F741E" w:rsidRPr="000005E4">
        <w:rPr>
          <w:rFonts w:ascii="Book Antiqua" w:hAnsi="Book Antiqua" w:cs="Tahoma"/>
          <w:sz w:val="24"/>
          <w:szCs w:val="24"/>
        </w:rPr>
        <w:t xml:space="preserve"> 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could help determine the likelihood of a </w:t>
      </w:r>
      <w:r w:rsidR="003F741E" w:rsidRPr="000005E4">
        <w:rPr>
          <w:rFonts w:ascii="Book Antiqua" w:hAnsi="Book Antiqua" w:cs="Tahoma"/>
          <w:sz w:val="24"/>
          <w:szCs w:val="24"/>
        </w:rPr>
        <w:t xml:space="preserve">positive </w:t>
      </w:r>
      <w:proofErr w:type="spellStart"/>
      <w:r w:rsidR="007E0404"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="007E0404" w:rsidRPr="000005E4">
        <w:rPr>
          <w:rFonts w:ascii="Book Antiqua" w:hAnsi="Book Antiqua" w:cs="Tahoma"/>
          <w:sz w:val="24"/>
          <w:szCs w:val="24"/>
        </w:rPr>
        <w:t xml:space="preserve"> </w:t>
      </w:r>
      <w:r w:rsidR="003F741E" w:rsidRPr="000005E4">
        <w:rPr>
          <w:rFonts w:ascii="Book Antiqua" w:hAnsi="Book Antiqua" w:cs="Tahoma"/>
          <w:sz w:val="24"/>
          <w:szCs w:val="24"/>
        </w:rPr>
        <w:t>study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 </w:t>
      </w:r>
      <w:r w:rsidR="009F6895" w:rsidRPr="000005E4">
        <w:rPr>
          <w:rFonts w:ascii="Book Antiqua" w:hAnsi="Book Antiqua" w:cs="Tahoma"/>
          <w:sz w:val="24"/>
          <w:szCs w:val="24"/>
        </w:rPr>
        <w:t>thereby guiding t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herapy. 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As shown in Table 1,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biliary </w:t>
      </w:r>
      <w:r w:rsidRPr="000005E4">
        <w:rPr>
          <w:rFonts w:ascii="Book Antiqua" w:hAnsi="Book Antiqua" w:cs="Tahoma"/>
          <w:sz w:val="24"/>
          <w:szCs w:val="24"/>
        </w:rPr>
        <w:t xml:space="preserve">Type I SOD </w:t>
      </w:r>
      <w:r w:rsidR="003F741E" w:rsidRPr="000005E4">
        <w:rPr>
          <w:rFonts w:ascii="Book Antiqua" w:hAnsi="Book Antiqua" w:cs="Tahoma"/>
          <w:sz w:val="24"/>
          <w:szCs w:val="24"/>
        </w:rPr>
        <w:t>i</w:t>
      </w:r>
      <w:r w:rsidRPr="000005E4">
        <w:rPr>
          <w:rFonts w:ascii="Book Antiqua" w:hAnsi="Book Antiqua" w:cs="Tahoma"/>
          <w:sz w:val="24"/>
          <w:szCs w:val="24"/>
        </w:rPr>
        <w:t xml:space="preserve">s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defined as a </w:t>
      </w:r>
      <w:r w:rsidRPr="000005E4">
        <w:rPr>
          <w:rFonts w:ascii="Book Antiqua" w:hAnsi="Book Antiqua" w:cs="Tahoma"/>
          <w:sz w:val="24"/>
          <w:szCs w:val="24"/>
        </w:rPr>
        <w:t>dilated bile duct and abnormal liver tests.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It </w:t>
      </w:r>
      <w:r w:rsidR="00CC43D7" w:rsidRPr="000005E4">
        <w:rPr>
          <w:rFonts w:ascii="Book Antiqua" w:hAnsi="Book Antiqua" w:cs="Tahoma"/>
          <w:sz w:val="24"/>
          <w:szCs w:val="24"/>
        </w:rPr>
        <w:t>was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 considered</w:t>
      </w:r>
      <w:r w:rsidRPr="000005E4">
        <w:rPr>
          <w:rFonts w:ascii="Book Antiqua" w:hAnsi="Book Antiqua" w:cs="Tahoma"/>
          <w:sz w:val="24"/>
          <w:szCs w:val="24"/>
        </w:rPr>
        <w:t xml:space="preserve"> that these patients either ha</w:t>
      </w:r>
      <w:r w:rsidR="003F741E" w:rsidRPr="000005E4">
        <w:rPr>
          <w:rFonts w:ascii="Book Antiqua" w:hAnsi="Book Antiqua" w:cs="Tahoma"/>
          <w:sz w:val="24"/>
          <w:szCs w:val="24"/>
        </w:rPr>
        <w:t>ve</w:t>
      </w:r>
      <w:r w:rsidRPr="000005E4">
        <w:rPr>
          <w:rFonts w:ascii="Book Antiqua" w:hAnsi="Book Antiqua" w:cs="Tahoma"/>
          <w:sz w:val="24"/>
          <w:szCs w:val="24"/>
        </w:rPr>
        <w:t xml:space="preserve"> small stones, sludge, or true stenosis of the biliary sphincter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 leading to obstruction</w:t>
      </w:r>
      <w:r w:rsidR="00CC43D7" w:rsidRPr="000005E4">
        <w:rPr>
          <w:rFonts w:ascii="Book Antiqua" w:hAnsi="Book Antiqua" w:cs="Tahoma"/>
          <w:sz w:val="24"/>
          <w:szCs w:val="24"/>
        </w:rPr>
        <w:t xml:space="preserve">; some data suggests crystals are </w:t>
      </w:r>
      <w:proofErr w:type="gramStart"/>
      <w:r w:rsidR="00CC43D7" w:rsidRPr="000005E4">
        <w:rPr>
          <w:rFonts w:ascii="Book Antiqua" w:hAnsi="Book Antiqua" w:cs="Tahoma"/>
          <w:sz w:val="24"/>
          <w:szCs w:val="24"/>
        </w:rPr>
        <w:t>rare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14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CC43D7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9B2599" w:rsidRPr="000005E4">
        <w:rPr>
          <w:rFonts w:ascii="Book Antiqua" w:hAnsi="Book Antiqua" w:cs="Tahoma"/>
          <w:sz w:val="24"/>
          <w:szCs w:val="24"/>
        </w:rPr>
        <w:t xml:space="preserve">Nevertheless, even with these objective findings, biliary </w:t>
      </w:r>
      <w:proofErr w:type="spellStart"/>
      <w:r w:rsidR="009B2599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9B2599" w:rsidRPr="000005E4">
        <w:rPr>
          <w:rFonts w:ascii="Book Antiqua" w:hAnsi="Book Antiqua" w:cs="Tahoma"/>
          <w:sz w:val="24"/>
          <w:szCs w:val="24"/>
        </w:rPr>
        <w:t xml:space="preserve"> can be normal in up to 35% of 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these </w:t>
      </w:r>
      <w:r w:rsidR="003F741E" w:rsidRPr="000005E4">
        <w:rPr>
          <w:rFonts w:ascii="Book Antiqua" w:hAnsi="Book Antiqua" w:cs="Tahoma"/>
          <w:sz w:val="24"/>
          <w:szCs w:val="24"/>
        </w:rPr>
        <w:t xml:space="preserve">Type I </w:t>
      </w:r>
      <w:proofErr w:type="gramStart"/>
      <w:r w:rsidR="009B2599" w:rsidRPr="000005E4">
        <w:rPr>
          <w:rFonts w:ascii="Book Antiqua" w:hAnsi="Book Antiqua" w:cs="Tahoma"/>
          <w:sz w:val="24"/>
          <w:szCs w:val="24"/>
        </w:rPr>
        <w:t>patients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C43D7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5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9B2599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AF706D" w:rsidRPr="000005E4">
        <w:rPr>
          <w:rFonts w:ascii="Book Antiqua" w:hAnsi="Book Antiqua" w:cs="Tahoma"/>
          <w:sz w:val="24"/>
          <w:szCs w:val="24"/>
        </w:rPr>
        <w:t>Type II patients have</w:t>
      </w:r>
      <w:r w:rsidRPr="000005E4">
        <w:rPr>
          <w:rFonts w:ascii="Book Antiqua" w:hAnsi="Book Antiqua" w:cs="Tahoma"/>
          <w:sz w:val="24"/>
          <w:szCs w:val="24"/>
        </w:rPr>
        <w:t xml:space="preserve"> abnormal liver tests or biliary dilatation but not both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 potentially suggesting a sphincter disorder. </w:t>
      </w:r>
      <w:r w:rsidR="003F741E" w:rsidRPr="000005E4">
        <w:rPr>
          <w:rFonts w:ascii="Book Antiqua" w:hAnsi="Book Antiqua" w:cs="Tahoma"/>
          <w:sz w:val="24"/>
          <w:szCs w:val="24"/>
        </w:rPr>
        <w:t>In t</w:t>
      </w:r>
      <w:r w:rsidR="000B46CD" w:rsidRPr="000005E4">
        <w:rPr>
          <w:rFonts w:ascii="Book Antiqua" w:hAnsi="Book Antiqua" w:cs="Tahoma"/>
          <w:sz w:val="24"/>
          <w:szCs w:val="24"/>
        </w:rPr>
        <w:t xml:space="preserve">hese patients </w:t>
      </w:r>
      <w:proofErr w:type="spellStart"/>
      <w:r w:rsidR="00FA724D"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="00FA724D" w:rsidRPr="000005E4">
        <w:rPr>
          <w:rFonts w:ascii="Book Antiqua" w:hAnsi="Book Antiqua" w:cs="Tahoma"/>
          <w:sz w:val="24"/>
          <w:szCs w:val="24"/>
        </w:rPr>
        <w:t xml:space="preserve"> findings of sphincter hypertension</w:t>
      </w:r>
      <w:r w:rsidR="003F741E" w:rsidRPr="000005E4">
        <w:rPr>
          <w:rFonts w:ascii="Book Antiqua" w:hAnsi="Book Antiqua" w:cs="Tahoma"/>
          <w:sz w:val="24"/>
          <w:szCs w:val="24"/>
        </w:rPr>
        <w:t xml:space="preserve"> can be found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 in</w:t>
      </w:r>
      <w:r w:rsidR="000B46CD" w:rsidRPr="000005E4">
        <w:rPr>
          <w:rFonts w:ascii="Book Antiqua" w:hAnsi="Book Antiqua" w:cs="Tahoma"/>
          <w:sz w:val="24"/>
          <w:szCs w:val="24"/>
        </w:rPr>
        <w:t xml:space="preserve"> </w:t>
      </w:r>
      <w:r w:rsidR="0042488B" w:rsidRPr="000005E4">
        <w:rPr>
          <w:rFonts w:ascii="Book Antiqua" w:hAnsi="Book Antiqua" w:cs="Tahoma"/>
          <w:sz w:val="24"/>
          <w:szCs w:val="24"/>
        </w:rPr>
        <w:t xml:space="preserve">up </w:t>
      </w:r>
      <w:r w:rsidR="000B46CD" w:rsidRPr="000005E4">
        <w:rPr>
          <w:rFonts w:ascii="Book Antiqua" w:hAnsi="Book Antiqua" w:cs="Tahoma"/>
          <w:sz w:val="24"/>
          <w:szCs w:val="24"/>
        </w:rPr>
        <w:t xml:space="preserve">to </w:t>
      </w:r>
      <w:r w:rsidR="00CC43D7" w:rsidRPr="000005E4">
        <w:rPr>
          <w:rFonts w:ascii="Book Antiqua" w:hAnsi="Book Antiqua" w:cs="Tahoma"/>
          <w:sz w:val="24"/>
          <w:szCs w:val="24"/>
        </w:rPr>
        <w:t>55</w:t>
      </w:r>
      <w:r w:rsidR="003302BE">
        <w:rPr>
          <w:rFonts w:ascii="Book Antiqua" w:hAnsi="Book Antiqua" w:cs="Tahoma" w:hint="eastAsia"/>
          <w:sz w:val="24"/>
          <w:szCs w:val="24"/>
          <w:lang w:eastAsia="zh-CN"/>
        </w:rPr>
        <w:t>%</w:t>
      </w:r>
      <w:r w:rsidR="003302BE">
        <w:rPr>
          <w:rFonts w:ascii="Book Antiqua" w:hAnsi="Book Antiqua" w:cs="Tahoma"/>
          <w:sz w:val="24"/>
          <w:szCs w:val="24"/>
        </w:rPr>
        <w:t>-</w:t>
      </w:r>
      <w:r w:rsidR="00CC43D7" w:rsidRPr="000005E4">
        <w:rPr>
          <w:rFonts w:ascii="Book Antiqua" w:hAnsi="Book Antiqua" w:cs="Tahoma"/>
          <w:sz w:val="24"/>
          <w:szCs w:val="24"/>
        </w:rPr>
        <w:t>65</w:t>
      </w:r>
      <w:proofErr w:type="gramStart"/>
      <w:r w:rsidR="003F741E" w:rsidRPr="000005E4">
        <w:rPr>
          <w:rFonts w:ascii="Book Antiqua" w:hAnsi="Book Antiqua" w:cs="Tahoma"/>
          <w:sz w:val="24"/>
          <w:szCs w:val="24"/>
        </w:rPr>
        <w:t>%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C43D7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6</w:t>
      </w:r>
      <w:r w:rsidR="00CC43D7" w:rsidRPr="000005E4">
        <w:rPr>
          <w:rFonts w:ascii="Book Antiqua" w:hAnsi="Book Antiqua" w:cs="Tahoma"/>
          <w:sz w:val="24"/>
          <w:szCs w:val="24"/>
          <w:vertAlign w:val="superscript"/>
        </w:rPr>
        <w:t>-1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8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3F741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94636A" w:rsidRPr="000005E4">
        <w:rPr>
          <w:rFonts w:ascii="Book Antiqua" w:hAnsi="Book Antiqua" w:cs="Tahoma"/>
          <w:sz w:val="24"/>
          <w:szCs w:val="24"/>
        </w:rPr>
        <w:t xml:space="preserve">Silverman </w:t>
      </w:r>
      <w:r w:rsidR="003302BE" w:rsidRPr="003302BE">
        <w:rPr>
          <w:rFonts w:ascii="Book Antiqua" w:hAnsi="Book Antiqua" w:cs="Tahoma"/>
          <w:i/>
          <w:sz w:val="24"/>
          <w:szCs w:val="24"/>
        </w:rPr>
        <w:t xml:space="preserve">et </w:t>
      </w:r>
      <w:proofErr w:type="gramStart"/>
      <w:r w:rsidR="003302BE" w:rsidRPr="003302BE">
        <w:rPr>
          <w:rFonts w:ascii="Book Antiqua" w:hAnsi="Book Antiqua" w:cs="Tahoma"/>
          <w:i/>
          <w:sz w:val="24"/>
          <w:szCs w:val="24"/>
        </w:rPr>
        <w:t>al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94636A" w:rsidRPr="000005E4">
        <w:rPr>
          <w:rFonts w:ascii="Book Antiqua" w:hAnsi="Book Antiqua" w:cs="Tahoma"/>
          <w:sz w:val="24"/>
          <w:szCs w:val="24"/>
          <w:vertAlign w:val="superscript"/>
        </w:rPr>
        <w:t>19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94636A" w:rsidRPr="000005E4">
        <w:rPr>
          <w:rFonts w:ascii="Book Antiqua" w:hAnsi="Book Antiqua" w:cs="Tahoma"/>
          <w:sz w:val="24"/>
          <w:szCs w:val="24"/>
        </w:rPr>
        <w:t xml:space="preserve"> </w:t>
      </w:r>
      <w:r w:rsidR="00712D12" w:rsidRPr="000005E4">
        <w:rPr>
          <w:rFonts w:ascii="Book Antiqua" w:hAnsi="Book Antiqua" w:cs="Tahoma"/>
          <w:sz w:val="24"/>
          <w:szCs w:val="24"/>
        </w:rPr>
        <w:t>suggested a hybrid classification</w:t>
      </w:r>
      <w:r w:rsidR="0094636A" w:rsidRPr="000005E4">
        <w:rPr>
          <w:rFonts w:ascii="Book Antiqua" w:hAnsi="Book Antiqua" w:cs="Tahoma"/>
          <w:sz w:val="24"/>
          <w:szCs w:val="24"/>
        </w:rPr>
        <w:t xml:space="preserve"> for type II patients where these patients had pain and marginal (&lt;</w:t>
      </w:r>
      <w:r w:rsidR="003302BE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94636A" w:rsidRPr="000005E4">
        <w:rPr>
          <w:rFonts w:ascii="Book Antiqua" w:hAnsi="Book Antiqua" w:cs="Tahoma"/>
          <w:sz w:val="24"/>
          <w:szCs w:val="24"/>
        </w:rPr>
        <w:t>1.5 x ULN)</w:t>
      </w:r>
      <w:r w:rsidR="00BD336E" w:rsidRPr="000005E4">
        <w:rPr>
          <w:rFonts w:ascii="Book Antiqua" w:hAnsi="Book Antiqua" w:cs="Tahoma"/>
          <w:sz w:val="24"/>
          <w:szCs w:val="24"/>
        </w:rPr>
        <w:t xml:space="preserve"> elevation of liver enzymes</w:t>
      </w:r>
      <w:r w:rsidR="0094636A" w:rsidRPr="000005E4">
        <w:rPr>
          <w:rFonts w:ascii="Book Antiqua" w:hAnsi="Book Antiqua" w:cs="Tahoma"/>
          <w:sz w:val="24"/>
          <w:szCs w:val="24"/>
        </w:rPr>
        <w:t xml:space="preserve"> with normal duct diameter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r w:rsidR="0094636A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94636A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94636A" w:rsidRPr="000005E4">
        <w:rPr>
          <w:rFonts w:ascii="Book Antiqua" w:hAnsi="Book Antiqua" w:cs="Tahoma"/>
          <w:sz w:val="24"/>
          <w:szCs w:val="24"/>
        </w:rPr>
        <w:t xml:space="preserve">They found no difference in prevalence of elevated sphincter pressures between the hybrid group and standard classification. </w:t>
      </w:r>
      <w:r w:rsidRPr="000005E4">
        <w:rPr>
          <w:rFonts w:ascii="Book Antiqua" w:hAnsi="Book Antiqua" w:cs="Tahoma"/>
          <w:sz w:val="24"/>
          <w:szCs w:val="24"/>
        </w:rPr>
        <w:t xml:space="preserve">Type III patients 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have no objective findings of biliary obstruction and </w:t>
      </w:r>
      <w:proofErr w:type="spellStart"/>
      <w:r w:rsidR="007E0404"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="007E0404" w:rsidRPr="000005E4">
        <w:rPr>
          <w:rFonts w:ascii="Book Antiqua" w:hAnsi="Book Antiqua" w:cs="Tahoma"/>
          <w:sz w:val="24"/>
          <w:szCs w:val="24"/>
        </w:rPr>
        <w:t xml:space="preserve"> findings of 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sphincter hypertension 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are </w:t>
      </w:r>
      <w:r w:rsidR="000B46CD" w:rsidRPr="000005E4">
        <w:rPr>
          <w:rFonts w:ascii="Book Antiqua" w:hAnsi="Book Antiqua" w:cs="Tahoma"/>
          <w:sz w:val="24"/>
          <w:szCs w:val="24"/>
        </w:rPr>
        <w:t>less frequent</w:t>
      </w:r>
      <w:r w:rsidR="007E0404" w:rsidRPr="000005E4">
        <w:rPr>
          <w:rFonts w:ascii="Book Antiqua" w:hAnsi="Book Antiqua" w:cs="Tahoma"/>
          <w:sz w:val="24"/>
          <w:szCs w:val="24"/>
        </w:rPr>
        <w:t>,</w:t>
      </w:r>
      <w:r w:rsidR="000B46CD" w:rsidRPr="000005E4">
        <w:rPr>
          <w:rFonts w:ascii="Book Antiqua" w:hAnsi="Book Antiqua" w:cs="Tahoma"/>
          <w:sz w:val="24"/>
          <w:szCs w:val="24"/>
        </w:rPr>
        <w:t xml:space="preserve"> but 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were 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reported </w:t>
      </w:r>
      <w:r w:rsidR="003F741E" w:rsidRPr="000005E4">
        <w:rPr>
          <w:rFonts w:ascii="Book Antiqua" w:hAnsi="Book Antiqua" w:cs="Tahoma"/>
          <w:sz w:val="24"/>
          <w:szCs w:val="24"/>
        </w:rPr>
        <w:t>to be</w:t>
      </w:r>
      <w:r w:rsidR="000B46CD" w:rsidRPr="000005E4">
        <w:rPr>
          <w:rFonts w:ascii="Book Antiqua" w:hAnsi="Book Antiqua" w:cs="Tahoma"/>
          <w:sz w:val="24"/>
          <w:szCs w:val="24"/>
        </w:rPr>
        <w:t xml:space="preserve"> 59% in one </w:t>
      </w:r>
      <w:proofErr w:type="gramStart"/>
      <w:r w:rsidR="000B46CD" w:rsidRPr="000005E4">
        <w:rPr>
          <w:rFonts w:ascii="Book Antiqua" w:hAnsi="Book Antiqua" w:cs="Tahoma"/>
          <w:sz w:val="24"/>
          <w:szCs w:val="24"/>
        </w:rPr>
        <w:t>study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D03EBE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0B46CD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A similar classification scheme 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has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also </w:t>
      </w:r>
      <w:r w:rsidR="007E0404" w:rsidRPr="000005E4">
        <w:rPr>
          <w:rFonts w:ascii="Book Antiqua" w:hAnsi="Book Antiqua" w:cs="Tahoma"/>
          <w:sz w:val="24"/>
          <w:szCs w:val="24"/>
        </w:rPr>
        <w:t>been propose</w:t>
      </w:r>
      <w:r w:rsidR="00482BDA" w:rsidRPr="000005E4">
        <w:rPr>
          <w:rFonts w:ascii="Book Antiqua" w:hAnsi="Book Antiqua" w:cs="Tahoma"/>
          <w:sz w:val="24"/>
          <w:szCs w:val="24"/>
        </w:rPr>
        <w:t>d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for </w:t>
      </w:r>
      <w:r w:rsidR="003F741E" w:rsidRPr="000005E4">
        <w:rPr>
          <w:rFonts w:ascii="Book Antiqua" w:hAnsi="Book Antiqua" w:cs="Tahoma"/>
          <w:sz w:val="24"/>
          <w:szCs w:val="24"/>
        </w:rPr>
        <w:t>those with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 pancreatic </w:t>
      </w:r>
      <w:proofErr w:type="gramStart"/>
      <w:r w:rsidR="00D052C8" w:rsidRPr="000005E4">
        <w:rPr>
          <w:rFonts w:ascii="Book Antiqua" w:hAnsi="Book Antiqua" w:cs="Tahoma"/>
          <w:sz w:val="24"/>
          <w:szCs w:val="24"/>
        </w:rPr>
        <w:t>abnormalities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D03EBE" w:rsidRPr="000005E4">
        <w:rPr>
          <w:rFonts w:ascii="Book Antiqua" w:hAnsi="Book Antiqua" w:cs="Tahoma"/>
          <w:sz w:val="24"/>
          <w:szCs w:val="24"/>
          <w:vertAlign w:val="superscript"/>
        </w:rPr>
        <w:t>1</w:t>
      </w:r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8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052C8" w:rsidRPr="000005E4">
        <w:rPr>
          <w:rFonts w:ascii="Book Antiqua" w:hAnsi="Book Antiqua" w:cs="Tahoma"/>
          <w:sz w:val="24"/>
          <w:szCs w:val="24"/>
        </w:rPr>
        <w:t>.</w:t>
      </w:r>
    </w:p>
    <w:p w:rsidR="00B96749" w:rsidRPr="000005E4" w:rsidRDefault="00B96749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8A4F13" w:rsidRPr="000005E4" w:rsidRDefault="008A4F13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lastRenderedPageBreak/>
        <w:t>ROLE OF MANOMETRY</w:t>
      </w:r>
    </w:p>
    <w:p w:rsidR="001B7B6D" w:rsidRPr="000005E4" w:rsidRDefault="001B7B6D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While considered the gold standard,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is an imprecise technique</w:t>
      </w:r>
      <w:r w:rsidR="00C612C8" w:rsidRPr="000005E4">
        <w:rPr>
          <w:rFonts w:ascii="Book Antiqua" w:hAnsi="Book Antiqua" w:cs="Tahoma"/>
          <w:sz w:val="24"/>
          <w:szCs w:val="24"/>
        </w:rPr>
        <w:t xml:space="preserve"> and it is important that the number of normal patients evaluated has been </w:t>
      </w:r>
      <w:proofErr w:type="gramStart"/>
      <w:r w:rsidR="00C612C8" w:rsidRPr="000005E4">
        <w:rPr>
          <w:rFonts w:ascii="Book Antiqua" w:hAnsi="Book Antiqua" w:cs="Tahoma"/>
          <w:sz w:val="24"/>
          <w:szCs w:val="24"/>
        </w:rPr>
        <w:t>small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BD336E" w:rsidRPr="000005E4">
        <w:rPr>
          <w:rFonts w:ascii="Book Antiqua" w:hAnsi="Book Antiqua" w:cs="Tahoma"/>
          <w:sz w:val="24"/>
          <w:szCs w:val="24"/>
          <w:vertAlign w:val="superscript"/>
        </w:rPr>
        <w:t>5,20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7E0404" w:rsidRPr="000005E4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7E0404"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="007E0404" w:rsidRPr="000005E4">
        <w:rPr>
          <w:rFonts w:ascii="Book Antiqua" w:hAnsi="Book Antiqua" w:cs="Tahoma"/>
          <w:sz w:val="24"/>
          <w:szCs w:val="24"/>
        </w:rPr>
        <w:t xml:space="preserve"> </w:t>
      </w:r>
      <w:r w:rsidR="00064025" w:rsidRPr="000005E4">
        <w:rPr>
          <w:rFonts w:ascii="Book Antiqua" w:hAnsi="Book Antiqua" w:cs="Tahoma"/>
          <w:sz w:val="24"/>
          <w:szCs w:val="24"/>
        </w:rPr>
        <w:t>findings can be influenced by a number of</w:t>
      </w:r>
      <w:r w:rsidR="005103E3" w:rsidRPr="000005E4">
        <w:rPr>
          <w:rFonts w:ascii="Book Antiqua" w:hAnsi="Book Antiqua" w:cs="Tahoma"/>
          <w:sz w:val="24"/>
          <w:szCs w:val="24"/>
        </w:rPr>
        <w:t xml:space="preserve"> both </w:t>
      </w:r>
      <w:r w:rsidR="00064025" w:rsidRPr="000005E4">
        <w:rPr>
          <w:rFonts w:ascii="Book Antiqua" w:hAnsi="Book Antiqua" w:cs="Tahoma"/>
          <w:sz w:val="24"/>
          <w:szCs w:val="24"/>
        </w:rPr>
        <w:t xml:space="preserve">patient and technical </w:t>
      </w:r>
      <w:proofErr w:type="gramStart"/>
      <w:r w:rsidR="00064025" w:rsidRPr="000005E4">
        <w:rPr>
          <w:rFonts w:ascii="Book Antiqua" w:hAnsi="Book Antiqua" w:cs="Tahoma"/>
          <w:sz w:val="24"/>
          <w:szCs w:val="24"/>
        </w:rPr>
        <w:t>factors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6,21,22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064025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064025" w:rsidRPr="000005E4">
        <w:rPr>
          <w:rFonts w:ascii="Book Antiqua" w:hAnsi="Book Antiqua" w:cs="Tahoma"/>
          <w:sz w:val="24"/>
          <w:szCs w:val="24"/>
        </w:rPr>
        <w:t xml:space="preserve">Use of a </w:t>
      </w:r>
      <w:proofErr w:type="spellStart"/>
      <w:r w:rsidR="00064025" w:rsidRPr="000005E4">
        <w:rPr>
          <w:rFonts w:ascii="Book Antiqua" w:hAnsi="Book Antiqua" w:cs="Tahoma"/>
          <w:sz w:val="24"/>
          <w:szCs w:val="24"/>
        </w:rPr>
        <w:t>guidewire</w:t>
      </w:r>
      <w:proofErr w:type="spellEnd"/>
      <w:r w:rsidR="00064025" w:rsidRPr="000005E4">
        <w:rPr>
          <w:rFonts w:ascii="Book Antiqua" w:hAnsi="Book Antiqua" w:cs="Tahoma"/>
          <w:sz w:val="24"/>
          <w:szCs w:val="24"/>
        </w:rPr>
        <w:t xml:space="preserve"> through </w:t>
      </w:r>
      <w:r w:rsidR="0061495E" w:rsidRPr="000005E4">
        <w:rPr>
          <w:rFonts w:ascii="Book Antiqua" w:hAnsi="Book Antiqua" w:cs="Tahoma"/>
          <w:sz w:val="24"/>
          <w:szCs w:val="24"/>
        </w:rPr>
        <w:t>the catheter may alter pressure recordings.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Likewise, if the catheter is up against the </w:t>
      </w:r>
      <w:r w:rsidR="005103E3" w:rsidRPr="000005E4">
        <w:rPr>
          <w:rFonts w:ascii="Book Antiqua" w:hAnsi="Book Antiqua" w:cs="Tahoma"/>
          <w:sz w:val="24"/>
          <w:szCs w:val="24"/>
        </w:rPr>
        <w:t xml:space="preserve">bile duct </w:t>
      </w:r>
      <w:r w:rsidR="0061495E" w:rsidRPr="000005E4">
        <w:rPr>
          <w:rFonts w:ascii="Book Antiqua" w:hAnsi="Book Antiqua" w:cs="Tahoma"/>
          <w:sz w:val="24"/>
          <w:szCs w:val="24"/>
        </w:rPr>
        <w:t>wall, readings may be artificially elevated.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The readings can also be influenced by where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the baseline </w:t>
      </w:r>
      <w:r w:rsidR="003875CD" w:rsidRPr="000005E4">
        <w:rPr>
          <w:rFonts w:ascii="Book Antiqua" w:hAnsi="Book Antiqua" w:cs="Tahoma"/>
          <w:sz w:val="24"/>
          <w:szCs w:val="24"/>
        </w:rPr>
        <w:t>sphincter zone is interpreted to be located.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D052C8" w:rsidRPr="000005E4">
        <w:rPr>
          <w:rFonts w:ascii="Book Antiqua" w:hAnsi="Book Antiqua" w:cs="Tahoma"/>
          <w:sz w:val="24"/>
          <w:szCs w:val="24"/>
        </w:rPr>
        <w:t xml:space="preserve">Other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factors include </w:t>
      </w:r>
      <w:r w:rsidR="002C02AB" w:rsidRPr="000005E4">
        <w:rPr>
          <w:rFonts w:ascii="Book Antiqua" w:hAnsi="Book Antiqua" w:cs="Tahoma"/>
          <w:sz w:val="24"/>
          <w:szCs w:val="24"/>
        </w:rPr>
        <w:t xml:space="preserve">medications taken as well as those administered at the time of ERCP. </w:t>
      </w:r>
      <w:r w:rsidR="00B96749" w:rsidRPr="000005E4">
        <w:rPr>
          <w:rFonts w:ascii="Book Antiqua" w:hAnsi="Book Antiqua" w:cs="Tahoma"/>
          <w:sz w:val="24"/>
          <w:szCs w:val="24"/>
        </w:rPr>
        <w:t xml:space="preserve">One cannot use anti-motility agents such as </w:t>
      </w:r>
      <w:proofErr w:type="spellStart"/>
      <w:r w:rsidR="00B96749" w:rsidRPr="000005E4">
        <w:rPr>
          <w:rFonts w:ascii="Book Antiqua" w:hAnsi="Book Antiqua" w:cs="Tahoma"/>
          <w:sz w:val="24"/>
          <w:szCs w:val="24"/>
        </w:rPr>
        <w:t>hycosamine</w:t>
      </w:r>
      <w:proofErr w:type="spellEnd"/>
      <w:r w:rsidR="00B96749" w:rsidRPr="000005E4">
        <w:rPr>
          <w:rFonts w:ascii="Book Antiqua" w:hAnsi="Book Antiqua" w:cs="Tahoma"/>
          <w:sz w:val="24"/>
          <w:szCs w:val="24"/>
        </w:rPr>
        <w:t xml:space="preserve"> as the pressure may be reduced.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C02AB" w:rsidRPr="000005E4">
        <w:rPr>
          <w:rFonts w:ascii="Book Antiqua" w:hAnsi="Book Antiqua" w:cs="Tahoma"/>
          <w:sz w:val="24"/>
          <w:szCs w:val="24"/>
        </w:rPr>
        <w:t>Ch</w:t>
      </w:r>
      <w:r w:rsidR="00E529EE" w:rsidRPr="000005E4">
        <w:rPr>
          <w:rFonts w:ascii="Book Antiqua" w:hAnsi="Book Antiqua" w:cs="Tahoma"/>
          <w:sz w:val="24"/>
          <w:szCs w:val="24"/>
        </w:rPr>
        <w:t>ronic opioid use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can increase basal sphincter pressure</w:t>
      </w:r>
      <w:r w:rsidR="002C02AB" w:rsidRPr="000005E4">
        <w:rPr>
          <w:rFonts w:ascii="Book Antiqua" w:hAnsi="Book Antiqua" w:cs="Tahoma"/>
          <w:sz w:val="24"/>
          <w:szCs w:val="24"/>
        </w:rPr>
        <w:t xml:space="preserve">; midazolam has been found to alter </w:t>
      </w:r>
      <w:r w:rsidR="0061495E" w:rsidRPr="000005E4">
        <w:rPr>
          <w:rFonts w:ascii="Book Antiqua" w:hAnsi="Book Antiqua" w:cs="Tahoma"/>
          <w:sz w:val="24"/>
          <w:szCs w:val="24"/>
        </w:rPr>
        <w:t>sphincter pressure</w:t>
      </w:r>
      <w:r w:rsidR="002C02AB" w:rsidRPr="000005E4">
        <w:rPr>
          <w:rFonts w:ascii="Book Antiqua" w:hAnsi="Book Antiqua" w:cs="Tahoma"/>
          <w:sz w:val="24"/>
          <w:szCs w:val="24"/>
        </w:rPr>
        <w:t xml:space="preserve"> whereas </w:t>
      </w:r>
      <w:r w:rsidR="00482BDA" w:rsidRPr="000005E4">
        <w:rPr>
          <w:rFonts w:ascii="Book Antiqua" w:hAnsi="Book Antiqua" w:cs="Tahoma"/>
          <w:sz w:val="24"/>
          <w:szCs w:val="24"/>
        </w:rPr>
        <w:t>diazepam</w:t>
      </w:r>
      <w:r w:rsidR="002C02AB" w:rsidRPr="000005E4">
        <w:rPr>
          <w:rFonts w:ascii="Book Antiqua" w:hAnsi="Book Antiqua" w:cs="Tahoma"/>
          <w:sz w:val="24"/>
          <w:szCs w:val="24"/>
        </w:rPr>
        <w:t xml:space="preserve"> does not</w:t>
      </w:r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AF706D" w:rsidRPr="000005E4">
        <w:rPr>
          <w:rFonts w:ascii="Book Antiqua" w:hAnsi="Book Antiqua" w:cs="Tahoma"/>
          <w:sz w:val="24"/>
          <w:szCs w:val="24"/>
        </w:rPr>
        <w:t>Lastly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, reproducibility may be an important </w:t>
      </w:r>
      <w:r w:rsidR="00E529EE" w:rsidRPr="000005E4">
        <w:rPr>
          <w:rFonts w:ascii="Book Antiqua" w:hAnsi="Book Antiqua" w:cs="Tahoma"/>
          <w:sz w:val="24"/>
          <w:szCs w:val="24"/>
        </w:rPr>
        <w:t>issue</w:t>
      </w:r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>For example, in one study</w:t>
      </w:r>
      <w:r w:rsidR="00CC43D7" w:rsidRPr="000005E4">
        <w:rPr>
          <w:rFonts w:ascii="Book Antiqua" w:hAnsi="Book Antiqua" w:cs="Tahoma"/>
          <w:sz w:val="24"/>
          <w:szCs w:val="24"/>
        </w:rPr>
        <w:t xml:space="preserve"> of over 5000 </w:t>
      </w:r>
      <w:proofErr w:type="gramStart"/>
      <w:r w:rsidR="00CC43D7" w:rsidRPr="000005E4">
        <w:rPr>
          <w:rFonts w:ascii="Book Antiqua" w:hAnsi="Book Antiqua" w:cs="Tahoma"/>
          <w:sz w:val="24"/>
          <w:szCs w:val="24"/>
        </w:rPr>
        <w:t>patients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23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>a small group of patients</w:t>
      </w:r>
      <w:r w:rsidR="00CC43D7" w:rsidRPr="000005E4">
        <w:rPr>
          <w:rFonts w:ascii="Book Antiqua" w:hAnsi="Book Antiqua" w:cs="Tahoma"/>
          <w:sz w:val="24"/>
          <w:szCs w:val="24"/>
        </w:rPr>
        <w:t xml:space="preserve"> (</w:t>
      </w:r>
      <w:r w:rsidR="00CC43D7" w:rsidRPr="003302BE">
        <w:rPr>
          <w:rFonts w:ascii="Book Antiqua" w:hAnsi="Book Antiqua" w:cs="Tahoma"/>
          <w:i/>
          <w:sz w:val="24"/>
          <w:szCs w:val="24"/>
        </w:rPr>
        <w:t>n</w:t>
      </w:r>
      <w:r w:rsidR="003302BE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CC43D7" w:rsidRPr="000005E4">
        <w:rPr>
          <w:rFonts w:ascii="Book Antiqua" w:hAnsi="Book Antiqua" w:cs="Tahoma"/>
          <w:sz w:val="24"/>
          <w:szCs w:val="24"/>
        </w:rPr>
        <w:t>=</w:t>
      </w:r>
      <w:r w:rsidR="003302BE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="00CC43D7" w:rsidRPr="000005E4">
        <w:rPr>
          <w:rFonts w:ascii="Book Antiqua" w:hAnsi="Book Antiqua" w:cs="Tahoma"/>
          <w:sz w:val="24"/>
          <w:szCs w:val="24"/>
        </w:rPr>
        <w:t>30)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in whom </w:t>
      </w:r>
      <w:proofErr w:type="spellStart"/>
      <w:r w:rsidR="0061495E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61495E" w:rsidRPr="000005E4">
        <w:rPr>
          <w:rFonts w:ascii="Book Antiqua" w:hAnsi="Book Antiqua" w:cs="Tahoma"/>
          <w:sz w:val="24"/>
          <w:szCs w:val="24"/>
        </w:rPr>
        <w:t xml:space="preserve"> was initially normal underwent repeat </w:t>
      </w:r>
      <w:proofErr w:type="spellStart"/>
      <w:r w:rsidR="00E529EE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>In these patients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,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60% now had an abnormal tracing. </w:t>
      </w:r>
      <w:r w:rsidR="00AF706D" w:rsidRPr="000005E4">
        <w:rPr>
          <w:rFonts w:ascii="Book Antiqua" w:hAnsi="Book Antiqua" w:cs="Tahoma"/>
          <w:sz w:val="24"/>
          <w:szCs w:val="24"/>
        </w:rPr>
        <w:t>From the original cohort,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CC43D7" w:rsidRPr="000005E4">
        <w:rPr>
          <w:rFonts w:ascii="Book Antiqua" w:hAnsi="Book Antiqua" w:cs="Tahoma"/>
          <w:sz w:val="24"/>
          <w:szCs w:val="24"/>
        </w:rPr>
        <w:t>80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% were </w:t>
      </w:r>
      <w:r w:rsidR="00E529EE" w:rsidRPr="000005E4">
        <w:rPr>
          <w:rFonts w:ascii="Book Antiqua" w:hAnsi="Book Antiqua" w:cs="Tahoma"/>
          <w:sz w:val="24"/>
          <w:szCs w:val="24"/>
        </w:rPr>
        <w:t>found to be positive on the initial study</w:t>
      </w:r>
      <w:r w:rsidR="00AF706D" w:rsidRPr="000005E4">
        <w:rPr>
          <w:rFonts w:ascii="Book Antiqua" w:hAnsi="Book Antiqua" w:cs="Tahoma"/>
          <w:sz w:val="24"/>
          <w:szCs w:val="24"/>
        </w:rPr>
        <w:t xml:space="preserve">. </w:t>
      </w:r>
      <w:r w:rsidR="00B9752B" w:rsidRPr="000005E4">
        <w:rPr>
          <w:rFonts w:ascii="Book Antiqua" w:hAnsi="Book Antiqua" w:cs="Tahoma"/>
          <w:sz w:val="24"/>
          <w:szCs w:val="24"/>
        </w:rPr>
        <w:t>If one then adds the number of patients in whom the study was positive initially, and</w:t>
      </w:r>
      <w:r w:rsidR="0017020B" w:rsidRPr="000005E4">
        <w:rPr>
          <w:rFonts w:ascii="Book Antiqua" w:hAnsi="Book Antiqua" w:cs="Tahoma"/>
          <w:sz w:val="24"/>
          <w:szCs w:val="24"/>
        </w:rPr>
        <w:t xml:space="preserve"> then assumes 60% of all patients with an initially negative study would be positive</w:t>
      </w:r>
      <w:r w:rsidR="00B9752B" w:rsidRPr="000005E4">
        <w:rPr>
          <w:rFonts w:ascii="Book Antiqua" w:hAnsi="Book Antiqua" w:cs="Tahoma"/>
          <w:sz w:val="24"/>
          <w:szCs w:val="24"/>
        </w:rPr>
        <w:t xml:space="preserve">, then this would suggest that up to 93% of patients from this cohort could have an initially positive </w:t>
      </w:r>
      <w:proofErr w:type="spellStart"/>
      <w:r w:rsidR="00B9752B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B9752B" w:rsidRPr="000005E4">
        <w:rPr>
          <w:rFonts w:ascii="Book Antiqua" w:hAnsi="Book Antiqua" w:cs="Tahoma"/>
          <w:sz w:val="24"/>
          <w:szCs w:val="24"/>
        </w:rPr>
        <w:t xml:space="preserve"> study.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Such a high percentage </w:t>
      </w:r>
      <w:r w:rsidR="00E529EE" w:rsidRPr="000005E4">
        <w:rPr>
          <w:rFonts w:ascii="Book Antiqua" w:hAnsi="Book Antiqua" w:cs="Tahoma"/>
          <w:sz w:val="24"/>
          <w:szCs w:val="24"/>
        </w:rPr>
        <w:t>is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incredibly hard to believe. </w:t>
      </w:r>
    </w:p>
    <w:p w:rsidR="001B7B6D" w:rsidRPr="000005E4" w:rsidRDefault="001B7B6D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8A4F13" w:rsidRPr="000005E4" w:rsidRDefault="0081778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OUTCOME AFTER SPHINCTEROTOMY</w:t>
      </w:r>
    </w:p>
    <w:p w:rsidR="00CC43D7" w:rsidRPr="000005E4" w:rsidRDefault="00FA724D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The correlation between SOD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classification </w:t>
      </w:r>
      <w:r w:rsidRPr="000005E4">
        <w:rPr>
          <w:rFonts w:ascii="Book Antiqua" w:hAnsi="Book Antiqua" w:cs="Tahoma"/>
          <w:sz w:val="24"/>
          <w:szCs w:val="24"/>
        </w:rPr>
        <w:t xml:space="preserve">and clinical outcome after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has been widely studied.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C96BE9" w:rsidRPr="000005E4">
        <w:rPr>
          <w:rFonts w:ascii="Book Antiqua" w:hAnsi="Book Antiqua" w:cs="Tahoma"/>
          <w:sz w:val="24"/>
          <w:szCs w:val="24"/>
        </w:rPr>
        <w:t xml:space="preserve">Overall, a wealth of literature has suggested </w:t>
      </w:r>
      <w:r w:rsidR="00CC43D7" w:rsidRPr="000005E4">
        <w:rPr>
          <w:rFonts w:ascii="Book Antiqua" w:hAnsi="Book Antiqua" w:cs="Tahoma"/>
          <w:sz w:val="24"/>
          <w:szCs w:val="24"/>
        </w:rPr>
        <w:t xml:space="preserve">the </w:t>
      </w:r>
      <w:r w:rsidR="00C96BE9" w:rsidRPr="000005E4">
        <w:rPr>
          <w:rFonts w:ascii="Book Antiqua" w:hAnsi="Book Antiqua" w:cs="Tahoma"/>
          <w:sz w:val="24"/>
          <w:szCs w:val="24"/>
        </w:rPr>
        <w:t xml:space="preserve">efficacy of biliary </w:t>
      </w:r>
      <w:proofErr w:type="spellStart"/>
      <w:r w:rsidR="00C96BE9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C96BE9" w:rsidRPr="000005E4">
        <w:rPr>
          <w:rFonts w:ascii="Book Antiqua" w:hAnsi="Book Antiqua" w:cs="Tahoma"/>
          <w:sz w:val="24"/>
          <w:szCs w:val="24"/>
        </w:rPr>
        <w:t xml:space="preserve"> </w:t>
      </w:r>
      <w:r w:rsidR="00CC43D7" w:rsidRPr="000005E4">
        <w:rPr>
          <w:rFonts w:ascii="Book Antiqua" w:hAnsi="Book Antiqua" w:cs="Tahoma"/>
          <w:sz w:val="24"/>
          <w:szCs w:val="24"/>
        </w:rPr>
        <w:t>for</w:t>
      </w:r>
      <w:r w:rsidR="00C96BE9" w:rsidRPr="000005E4">
        <w:rPr>
          <w:rFonts w:ascii="Book Antiqua" w:hAnsi="Book Antiqua" w:cs="Tahoma"/>
          <w:sz w:val="24"/>
          <w:szCs w:val="24"/>
        </w:rPr>
        <w:t xml:space="preserve"> sphincter of </w:t>
      </w:r>
      <w:proofErr w:type="spellStart"/>
      <w:r w:rsidR="00C96BE9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C96BE9" w:rsidRPr="000005E4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="00C96BE9" w:rsidRPr="000005E4">
        <w:rPr>
          <w:rFonts w:ascii="Book Antiqua" w:hAnsi="Book Antiqua" w:cs="Tahoma"/>
          <w:sz w:val="24"/>
          <w:szCs w:val="24"/>
        </w:rPr>
        <w:t>dysfunction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612C8" w:rsidRPr="000005E4">
        <w:rPr>
          <w:rFonts w:ascii="Book Antiqua" w:hAnsi="Book Antiqua" w:cs="Tahoma"/>
          <w:sz w:val="24"/>
          <w:szCs w:val="24"/>
          <w:vertAlign w:val="superscript"/>
        </w:rPr>
        <w:t>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C96BE9" w:rsidRPr="000005E4">
        <w:rPr>
          <w:rFonts w:ascii="Book Antiqua" w:hAnsi="Book Antiqua" w:cs="Tahoma"/>
          <w:sz w:val="24"/>
          <w:szCs w:val="24"/>
        </w:rPr>
        <w:t xml:space="preserve">. </w:t>
      </w:r>
      <w:r w:rsidRPr="000005E4">
        <w:rPr>
          <w:rFonts w:ascii="Book Antiqua" w:hAnsi="Book Antiqua" w:cs="Tahoma"/>
          <w:sz w:val="24"/>
          <w:szCs w:val="24"/>
        </w:rPr>
        <w:t xml:space="preserve">For patients with types II and III SOD,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there is a variable </w:t>
      </w:r>
      <w:r w:rsidR="006C5C57" w:rsidRPr="000005E4">
        <w:rPr>
          <w:rFonts w:ascii="Book Antiqua" w:hAnsi="Book Antiqua" w:cs="Tahoma"/>
          <w:sz w:val="24"/>
          <w:szCs w:val="24"/>
        </w:rPr>
        <w:t xml:space="preserve">correlation between </w:t>
      </w:r>
      <w:proofErr w:type="spellStart"/>
      <w:r w:rsidR="006C5C57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6C5C57" w:rsidRPr="000005E4">
        <w:rPr>
          <w:rFonts w:ascii="Book Antiqua" w:hAnsi="Book Antiqua" w:cs="Tahoma"/>
          <w:sz w:val="24"/>
          <w:szCs w:val="24"/>
        </w:rPr>
        <w:t xml:space="preserve"> findings and clinical outcomes after </w:t>
      </w:r>
      <w:proofErr w:type="spellStart"/>
      <w:proofErr w:type="gramStart"/>
      <w:r w:rsidR="006C5C57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4E3F66" w:rsidRPr="000005E4">
        <w:rPr>
          <w:rFonts w:ascii="Book Antiqua" w:hAnsi="Book Antiqua" w:cs="Tahoma"/>
          <w:sz w:val="24"/>
          <w:szCs w:val="24"/>
          <w:vertAlign w:val="superscript"/>
        </w:rPr>
        <w:t>22,24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6C5C57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Patients with SOD Type II have shown improvement following biliary </w:t>
      </w:r>
      <w:proofErr w:type="spellStart"/>
      <w:r w:rsidR="0061495E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61495E" w:rsidRPr="000005E4">
        <w:rPr>
          <w:rFonts w:ascii="Book Antiqua" w:hAnsi="Book Antiqua" w:cs="Tahoma"/>
          <w:sz w:val="24"/>
          <w:szCs w:val="24"/>
        </w:rPr>
        <w:t xml:space="preserve"> in approximately 69% of patients, ranging from 60%-94</w:t>
      </w:r>
      <w:proofErr w:type="gramStart"/>
      <w:r w:rsidR="0061495E" w:rsidRPr="000005E4">
        <w:rPr>
          <w:rFonts w:ascii="Book Antiqua" w:hAnsi="Book Antiqua" w:cs="Tahoma"/>
          <w:sz w:val="24"/>
          <w:szCs w:val="24"/>
        </w:rPr>
        <w:t>%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4E3F66" w:rsidRPr="000005E4">
        <w:rPr>
          <w:rFonts w:ascii="Book Antiqua" w:hAnsi="Book Antiqua" w:cs="Tahoma"/>
          <w:sz w:val="24"/>
          <w:szCs w:val="24"/>
          <w:vertAlign w:val="superscript"/>
        </w:rPr>
        <w:t>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In contrast, </w:t>
      </w:r>
      <w:r w:rsidR="00D03EBE" w:rsidRPr="000005E4">
        <w:rPr>
          <w:rFonts w:ascii="Book Antiqua" w:hAnsi="Book Antiqua" w:cs="Tahoma"/>
          <w:sz w:val="24"/>
          <w:szCs w:val="24"/>
        </w:rPr>
        <w:t>for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patients with biliary Type III SOD, the clinical </w:t>
      </w:r>
      <w:r w:rsidR="0061495E" w:rsidRPr="000005E4">
        <w:rPr>
          <w:rFonts w:ascii="Book Antiqua" w:hAnsi="Book Antiqua" w:cs="Tahoma"/>
          <w:sz w:val="24"/>
          <w:szCs w:val="24"/>
        </w:rPr>
        <w:lastRenderedPageBreak/>
        <w:t xml:space="preserve">response </w:t>
      </w:r>
      <w:r w:rsidR="00C96BE9" w:rsidRPr="000005E4">
        <w:rPr>
          <w:rFonts w:ascii="Book Antiqua" w:hAnsi="Book Antiqua" w:cs="Tahoma"/>
          <w:sz w:val="24"/>
          <w:szCs w:val="24"/>
        </w:rPr>
        <w:t>is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less ranging from 8%-62</w:t>
      </w:r>
      <w:proofErr w:type="gramStart"/>
      <w:r w:rsidR="0061495E" w:rsidRPr="000005E4">
        <w:rPr>
          <w:rFonts w:ascii="Book Antiqua" w:hAnsi="Book Antiqua" w:cs="Tahoma"/>
          <w:sz w:val="24"/>
          <w:szCs w:val="24"/>
        </w:rPr>
        <w:t>%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4E3F66" w:rsidRPr="000005E4">
        <w:rPr>
          <w:rFonts w:ascii="Book Antiqua" w:hAnsi="Book Antiqua" w:cs="Tahoma"/>
          <w:sz w:val="24"/>
          <w:szCs w:val="24"/>
          <w:vertAlign w:val="superscript"/>
        </w:rPr>
        <w:t>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The Indiana group has suggested that </w:t>
      </w:r>
      <w:proofErr w:type="spellStart"/>
      <w:r w:rsidR="00482BDA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482BDA" w:rsidRPr="000005E4">
        <w:rPr>
          <w:rFonts w:ascii="Book Antiqua" w:hAnsi="Book Antiqua" w:cs="Tahoma"/>
          <w:sz w:val="24"/>
          <w:szCs w:val="24"/>
        </w:rPr>
        <w:t xml:space="preserve"> of both the biliary and pancreatic sphincters (dual </w:t>
      </w:r>
      <w:proofErr w:type="spellStart"/>
      <w:r w:rsidR="00482BDA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482BDA" w:rsidRPr="000005E4">
        <w:rPr>
          <w:rFonts w:ascii="Book Antiqua" w:hAnsi="Book Antiqua" w:cs="Tahoma"/>
          <w:sz w:val="24"/>
          <w:szCs w:val="24"/>
        </w:rPr>
        <w:t xml:space="preserve">) may further increase </w:t>
      </w:r>
      <w:proofErr w:type="gramStart"/>
      <w:r w:rsidR="00482BDA" w:rsidRPr="000005E4">
        <w:rPr>
          <w:rFonts w:ascii="Book Antiqua" w:hAnsi="Book Antiqua" w:cs="Tahoma"/>
          <w:sz w:val="24"/>
          <w:szCs w:val="24"/>
        </w:rPr>
        <w:t>response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4E3F66" w:rsidRPr="000005E4">
        <w:rPr>
          <w:rFonts w:ascii="Book Antiqua" w:hAnsi="Book Antiqua" w:cs="Tahoma"/>
          <w:sz w:val="24"/>
          <w:szCs w:val="24"/>
          <w:vertAlign w:val="superscript"/>
        </w:rPr>
        <w:t>25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. </w:t>
      </w:r>
    </w:p>
    <w:p w:rsidR="006C5C57" w:rsidRPr="000005E4" w:rsidRDefault="006C5C57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>It should be cautioned, however, that the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se 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positive studies </w:t>
      </w:r>
      <w:r w:rsidRPr="000005E4">
        <w:rPr>
          <w:rFonts w:ascii="Book Antiqua" w:hAnsi="Book Antiqua" w:cs="Tahoma"/>
          <w:sz w:val="24"/>
          <w:szCs w:val="24"/>
        </w:rPr>
        <w:t>were from selected centers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, </w:t>
      </w:r>
      <w:r w:rsidRPr="000005E4">
        <w:rPr>
          <w:rFonts w:ascii="Book Antiqua" w:hAnsi="Book Antiqua" w:cs="Tahoma"/>
          <w:sz w:val="24"/>
          <w:szCs w:val="24"/>
        </w:rPr>
        <w:t>retrospective and non-blinded.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FA724D" w:rsidRPr="000005E4">
        <w:rPr>
          <w:rFonts w:ascii="Book Antiqua" w:hAnsi="Book Antiqua" w:cs="Tahoma"/>
          <w:sz w:val="24"/>
          <w:szCs w:val="24"/>
        </w:rPr>
        <w:t>We know from the pain literature that when p</w:t>
      </w:r>
      <w:r w:rsidRPr="000005E4">
        <w:rPr>
          <w:rFonts w:ascii="Book Antiqua" w:hAnsi="Book Antiqua" w:cs="Tahoma"/>
          <w:sz w:val="24"/>
          <w:szCs w:val="24"/>
        </w:rPr>
        <w:t xml:space="preserve">ain is </w:t>
      </w:r>
      <w:r w:rsidR="00C96BE9" w:rsidRPr="000005E4">
        <w:rPr>
          <w:rFonts w:ascii="Book Antiqua" w:hAnsi="Book Antiqua" w:cs="Tahoma"/>
          <w:sz w:val="24"/>
          <w:szCs w:val="24"/>
        </w:rPr>
        <w:t>the primary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 outcome measure</w:t>
      </w:r>
      <w:r w:rsidRPr="000005E4">
        <w:rPr>
          <w:rFonts w:ascii="Book Antiqua" w:hAnsi="Book Antiqua" w:cs="Tahoma"/>
          <w:sz w:val="24"/>
          <w:szCs w:val="24"/>
        </w:rPr>
        <w:t xml:space="preserve">, non-blinding is a significant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shortcoming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26,27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We also </w:t>
      </w:r>
      <w:r w:rsidR="00C96BE9" w:rsidRPr="000005E4">
        <w:rPr>
          <w:rFonts w:ascii="Book Antiqua" w:hAnsi="Book Antiqua" w:cs="Tahoma"/>
          <w:sz w:val="24"/>
          <w:szCs w:val="24"/>
        </w:rPr>
        <w:t>appreciate</w:t>
      </w:r>
      <w:r w:rsidRPr="000005E4">
        <w:rPr>
          <w:rFonts w:ascii="Book Antiqua" w:hAnsi="Book Antiqua" w:cs="Tahoma"/>
          <w:sz w:val="24"/>
          <w:szCs w:val="24"/>
        </w:rPr>
        <w:t xml:space="preserve"> that the placebo effect is strong in patients with pain and are well documented after interventions</w:t>
      </w:r>
      <w:r w:rsidR="00FA724D" w:rsidRPr="000005E4">
        <w:rPr>
          <w:rFonts w:ascii="Book Antiqua" w:hAnsi="Book Antiqua" w:cs="Tahoma"/>
          <w:sz w:val="24"/>
          <w:szCs w:val="24"/>
        </w:rPr>
        <w:t xml:space="preserve"> including endoscopic </w:t>
      </w:r>
      <w:proofErr w:type="gramStart"/>
      <w:r w:rsidR="00FA724D" w:rsidRPr="000005E4">
        <w:rPr>
          <w:rFonts w:ascii="Book Antiqua" w:hAnsi="Book Antiqua" w:cs="Tahoma"/>
          <w:sz w:val="24"/>
          <w:szCs w:val="24"/>
        </w:rPr>
        <w:t>therapies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CC43D7" w:rsidRPr="000005E4">
        <w:rPr>
          <w:rFonts w:ascii="Book Antiqua" w:hAnsi="Book Antiqua" w:cs="Tahoma"/>
          <w:sz w:val="24"/>
          <w:szCs w:val="24"/>
          <w:vertAlign w:val="superscript"/>
        </w:rPr>
        <w:t>2</w:t>
      </w:r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8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5A6782" w:rsidRPr="000005E4">
        <w:rPr>
          <w:rFonts w:ascii="Book Antiqua" w:hAnsi="Book Antiqua" w:cs="Tahoma"/>
          <w:sz w:val="24"/>
          <w:szCs w:val="24"/>
        </w:rPr>
        <w:t>For example, t</w:t>
      </w:r>
      <w:r w:rsidR="0061495E" w:rsidRPr="000005E4">
        <w:rPr>
          <w:rFonts w:ascii="Book Antiqua" w:hAnsi="Book Antiqua" w:cs="Tahoma"/>
          <w:sz w:val="24"/>
          <w:szCs w:val="24"/>
        </w:rPr>
        <w:t>here have been numerous interventional trials in many disciplines where uncontrolled studies suggested efficacy</w:t>
      </w:r>
      <w:r w:rsidR="005A6782" w:rsidRPr="000005E4">
        <w:rPr>
          <w:rFonts w:ascii="Book Antiqua" w:hAnsi="Book Antiqua" w:cs="Tahoma"/>
          <w:sz w:val="24"/>
          <w:szCs w:val="24"/>
        </w:rPr>
        <w:t>,</w:t>
      </w:r>
      <w:r w:rsidR="0061495E" w:rsidRPr="000005E4">
        <w:rPr>
          <w:rFonts w:ascii="Book Antiqua" w:hAnsi="Book Antiqua" w:cs="Tahoma"/>
          <w:sz w:val="24"/>
          <w:szCs w:val="24"/>
        </w:rPr>
        <w:t xml:space="preserve"> but when randomized blinded sham procedure trials were performed, no differences were </w:t>
      </w:r>
      <w:proofErr w:type="gramStart"/>
      <w:r w:rsidR="0061495E" w:rsidRPr="000005E4">
        <w:rPr>
          <w:rFonts w:ascii="Book Antiqua" w:hAnsi="Book Antiqua" w:cs="Tahoma"/>
          <w:sz w:val="24"/>
          <w:szCs w:val="24"/>
        </w:rPr>
        <w:t>found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D021AF" w:rsidRPr="000005E4">
        <w:rPr>
          <w:rFonts w:ascii="Book Antiqua" w:hAnsi="Book Antiqua" w:cs="Tahoma"/>
          <w:sz w:val="24"/>
          <w:szCs w:val="24"/>
          <w:vertAlign w:val="superscript"/>
        </w:rPr>
        <w:t>2</w:t>
      </w:r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9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61495E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6C5C57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BD5E82" w:rsidRPr="000005E4" w:rsidRDefault="006C5C5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Prior to EPISOD, there </w:t>
      </w:r>
      <w:r w:rsidR="005A6782" w:rsidRPr="000005E4">
        <w:rPr>
          <w:rFonts w:ascii="Book Antiqua" w:hAnsi="Book Antiqua" w:cs="Tahoma"/>
          <w:sz w:val="24"/>
          <w:szCs w:val="24"/>
        </w:rPr>
        <w:t>were</w:t>
      </w:r>
      <w:r w:rsidRPr="000005E4">
        <w:rPr>
          <w:rFonts w:ascii="Book Antiqua" w:hAnsi="Book Antiqua" w:cs="Tahoma"/>
          <w:sz w:val="24"/>
          <w:szCs w:val="24"/>
        </w:rPr>
        <w:t xml:space="preserve"> two prospective </w:t>
      </w:r>
      <w:r w:rsidR="005A6782" w:rsidRPr="000005E4">
        <w:rPr>
          <w:rFonts w:ascii="Book Antiqua" w:hAnsi="Book Antiqua" w:cs="Tahoma"/>
          <w:sz w:val="24"/>
          <w:szCs w:val="24"/>
        </w:rPr>
        <w:t xml:space="preserve">randomized </w:t>
      </w:r>
      <w:r w:rsidRPr="000005E4">
        <w:rPr>
          <w:rFonts w:ascii="Book Antiqua" w:hAnsi="Book Antiqua" w:cs="Tahoma"/>
          <w:sz w:val="24"/>
          <w:szCs w:val="24"/>
        </w:rPr>
        <w:t xml:space="preserve">studies which evaluated the role of </w:t>
      </w:r>
      <w:r w:rsidR="00B77077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and </w:t>
      </w:r>
      <w:r w:rsidR="0037686E" w:rsidRPr="000005E4">
        <w:rPr>
          <w:rFonts w:ascii="Book Antiqua" w:hAnsi="Book Antiqua" w:cs="Tahoma"/>
          <w:sz w:val="24"/>
          <w:szCs w:val="24"/>
        </w:rPr>
        <w:t xml:space="preserve">outcome </w:t>
      </w:r>
      <w:r w:rsidR="00B77077" w:rsidRPr="000005E4">
        <w:rPr>
          <w:rFonts w:ascii="Book Antiqua" w:hAnsi="Book Antiqua" w:cs="Tahoma"/>
          <w:sz w:val="24"/>
          <w:szCs w:val="24"/>
        </w:rPr>
        <w:t xml:space="preserve">after </w:t>
      </w:r>
      <w:proofErr w:type="spellStart"/>
      <w:r w:rsidR="00B77077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77077" w:rsidRPr="000005E4">
        <w:rPr>
          <w:rFonts w:ascii="Book Antiqua" w:hAnsi="Book Antiqua" w:cs="Tahoma"/>
          <w:sz w:val="24"/>
          <w:szCs w:val="24"/>
        </w:rPr>
        <w:t xml:space="preserve">, </w:t>
      </w:r>
      <w:r w:rsidR="0037686E" w:rsidRPr="000005E4">
        <w:rPr>
          <w:rFonts w:ascii="Book Antiqua" w:hAnsi="Book Antiqua" w:cs="Tahoma"/>
          <w:sz w:val="24"/>
          <w:szCs w:val="24"/>
        </w:rPr>
        <w:t xml:space="preserve">but </w:t>
      </w:r>
      <w:r w:rsidR="00B77077" w:rsidRPr="000005E4">
        <w:rPr>
          <w:rFonts w:ascii="Book Antiqua" w:hAnsi="Book Antiqua" w:cs="Tahoma"/>
          <w:sz w:val="24"/>
          <w:szCs w:val="24"/>
        </w:rPr>
        <w:t xml:space="preserve">these </w:t>
      </w:r>
      <w:r w:rsidR="0037686E" w:rsidRPr="000005E4">
        <w:rPr>
          <w:rFonts w:ascii="Book Antiqua" w:hAnsi="Book Antiqua" w:cs="Tahoma"/>
          <w:sz w:val="24"/>
          <w:szCs w:val="24"/>
        </w:rPr>
        <w:t xml:space="preserve">were limited to </w:t>
      </w:r>
      <w:r w:rsidR="00B77077" w:rsidRPr="000005E4">
        <w:rPr>
          <w:rFonts w:ascii="Book Antiqua" w:hAnsi="Book Antiqua" w:cs="Tahoma"/>
          <w:sz w:val="24"/>
          <w:szCs w:val="24"/>
        </w:rPr>
        <w:t xml:space="preserve">patients </w:t>
      </w:r>
      <w:r w:rsidR="0037686E" w:rsidRPr="000005E4">
        <w:rPr>
          <w:rFonts w:ascii="Book Antiqua" w:hAnsi="Book Antiqua" w:cs="Tahoma"/>
          <w:sz w:val="24"/>
          <w:szCs w:val="24"/>
        </w:rPr>
        <w:t xml:space="preserve">with </w:t>
      </w:r>
      <w:r w:rsidR="00B77077" w:rsidRPr="000005E4">
        <w:rPr>
          <w:rFonts w:ascii="Book Antiqua" w:hAnsi="Book Antiqua" w:cs="Tahoma"/>
          <w:sz w:val="24"/>
          <w:szCs w:val="24"/>
        </w:rPr>
        <w:t xml:space="preserve">SOD </w:t>
      </w:r>
      <w:r w:rsidR="0037686E" w:rsidRPr="000005E4">
        <w:rPr>
          <w:rFonts w:ascii="Book Antiqua" w:hAnsi="Book Antiqua" w:cs="Tahoma"/>
          <w:sz w:val="24"/>
          <w:szCs w:val="24"/>
        </w:rPr>
        <w:t>Type II.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>(</w:t>
      </w:r>
      <w:proofErr w:type="gramStart"/>
      <w:r w:rsidR="008562EA" w:rsidRPr="000005E4">
        <w:rPr>
          <w:rFonts w:ascii="Book Antiqua" w:hAnsi="Book Antiqua" w:cs="Tahoma"/>
          <w:sz w:val="24"/>
          <w:szCs w:val="24"/>
        </w:rPr>
        <w:t>see</w:t>
      </w:r>
      <w:proofErr w:type="gramEnd"/>
      <w:r w:rsidR="008562EA" w:rsidRPr="000005E4">
        <w:rPr>
          <w:rFonts w:ascii="Book Antiqua" w:hAnsi="Book Antiqua" w:cs="Tahoma"/>
          <w:sz w:val="24"/>
          <w:szCs w:val="24"/>
        </w:rPr>
        <w:t xml:space="preserve"> Table 2)</w:t>
      </w:r>
    </w:p>
    <w:p w:rsidR="00BD5E82" w:rsidRPr="000005E4" w:rsidRDefault="00BD5E82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817787" w:rsidRPr="000005E4" w:rsidRDefault="0081778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PROSPECTIVE STUDIES IN TYPE II SOD</w:t>
      </w:r>
    </w:p>
    <w:p w:rsidR="006C5C57" w:rsidRPr="000005E4" w:rsidRDefault="0037686E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0005E4">
        <w:rPr>
          <w:rFonts w:ascii="Book Antiqua" w:hAnsi="Book Antiqua" w:cs="Tahoma"/>
          <w:sz w:val="24"/>
          <w:szCs w:val="24"/>
        </w:rPr>
        <w:t>Geen</w:t>
      </w:r>
      <w:r w:rsidR="00BD5E82" w:rsidRPr="000005E4">
        <w:rPr>
          <w:rFonts w:ascii="Book Antiqua" w:hAnsi="Book Antiqua" w:cs="Tahoma"/>
          <w:sz w:val="24"/>
          <w:szCs w:val="24"/>
        </w:rPr>
        <w:t>e</w:t>
      </w:r>
      <w:r w:rsidRPr="000005E4">
        <w:rPr>
          <w:rFonts w:ascii="Book Antiqua" w:hAnsi="Book Antiqua" w:cs="Tahoma"/>
          <w:sz w:val="24"/>
          <w:szCs w:val="24"/>
        </w:rPr>
        <w:t>n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3302BE" w:rsidRPr="003302BE">
        <w:rPr>
          <w:rFonts w:ascii="Book Antiqua" w:hAnsi="Book Antiqua" w:cs="Tahoma"/>
          <w:i/>
          <w:sz w:val="24"/>
          <w:szCs w:val="24"/>
        </w:rPr>
        <w:t xml:space="preserve">et </w:t>
      </w:r>
      <w:proofErr w:type="gramStart"/>
      <w:r w:rsidR="003302BE" w:rsidRPr="003302BE">
        <w:rPr>
          <w:rFonts w:ascii="Book Antiqua" w:hAnsi="Book Antiqua" w:cs="Tahoma"/>
          <w:i/>
          <w:sz w:val="24"/>
          <w:szCs w:val="24"/>
        </w:rPr>
        <w:t>al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30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</w:t>
      </w:r>
      <w:r w:rsidR="00BD5E82" w:rsidRPr="000005E4">
        <w:rPr>
          <w:rFonts w:ascii="Book Antiqua" w:hAnsi="Book Antiqua" w:cs="Tahoma"/>
          <w:sz w:val="24"/>
          <w:szCs w:val="24"/>
        </w:rPr>
        <w:t xml:space="preserve">randomized 47 patients with post-cholecystectomy abdominal pain and meeting criteria for sphincter of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Type II to either biliary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or sham biliary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D5E82" w:rsidRPr="000005E4">
        <w:rPr>
          <w:rFonts w:ascii="Book Antiqua" w:hAnsi="Book Antiqua" w:cs="Tahoma"/>
          <w:sz w:val="24"/>
          <w:szCs w:val="24"/>
        </w:rPr>
        <w:t xml:space="preserve">Prior to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, biliary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was performed in all patients although the results of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were not used to decide on therapy.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resulted in improvement in pain scores at the one year follow-up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in </w:t>
      </w:r>
      <w:r w:rsidR="00BD5E82" w:rsidRPr="000005E4">
        <w:rPr>
          <w:rFonts w:ascii="Book Antiqua" w:hAnsi="Book Antiqua" w:cs="Tahoma"/>
          <w:sz w:val="24"/>
          <w:szCs w:val="24"/>
        </w:rPr>
        <w:t xml:space="preserve">10 of 11 patients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in whom </w:t>
      </w:r>
      <w:r w:rsidR="00BD5E82" w:rsidRPr="000005E4">
        <w:rPr>
          <w:rFonts w:ascii="Book Antiqua" w:hAnsi="Book Antiqua" w:cs="Tahoma"/>
          <w:sz w:val="24"/>
          <w:szCs w:val="24"/>
        </w:rPr>
        <w:t>elevated biliary sphincter pressures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were found</w:t>
      </w:r>
      <w:r w:rsidR="00BD5E82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D5E82" w:rsidRPr="000005E4">
        <w:rPr>
          <w:rFonts w:ascii="Book Antiqua" w:hAnsi="Book Antiqua" w:cs="Tahoma"/>
          <w:sz w:val="24"/>
          <w:szCs w:val="24"/>
        </w:rPr>
        <w:t>Conversely, only 3 of 12 patients with elevated basal sphincter pressure undergoing a sham procedure had improvement.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D5E82" w:rsidRPr="000005E4">
        <w:rPr>
          <w:rFonts w:ascii="Book Antiqua" w:hAnsi="Book Antiqua" w:cs="Tahoma"/>
          <w:sz w:val="24"/>
          <w:szCs w:val="24"/>
        </w:rPr>
        <w:t>In patients with normal sphincter pressure</w:t>
      </w:r>
      <w:r w:rsidR="00B96749" w:rsidRPr="000005E4">
        <w:rPr>
          <w:rFonts w:ascii="Book Antiqua" w:hAnsi="Book Antiqua" w:cs="Tahoma"/>
          <w:sz w:val="24"/>
          <w:szCs w:val="24"/>
        </w:rPr>
        <w:t>,</w:t>
      </w:r>
      <w:r w:rsidR="00BD5E82" w:rsidRPr="000005E4">
        <w:rPr>
          <w:rFonts w:ascii="Book Antiqua" w:hAnsi="Book Antiqua" w:cs="Tahoma"/>
          <w:sz w:val="24"/>
          <w:szCs w:val="24"/>
        </w:rPr>
        <w:t xml:space="preserve"> no difference in outcome was </w:t>
      </w:r>
      <w:r w:rsidR="00B96749" w:rsidRPr="000005E4">
        <w:rPr>
          <w:rFonts w:ascii="Book Antiqua" w:hAnsi="Book Antiqua" w:cs="Tahoma"/>
          <w:sz w:val="24"/>
          <w:szCs w:val="24"/>
        </w:rPr>
        <w:t>observed</w:t>
      </w:r>
      <w:r w:rsidR="00BD5E82" w:rsidRPr="000005E4">
        <w:rPr>
          <w:rFonts w:ascii="Book Antiqua" w:hAnsi="Book Antiqua" w:cs="Tahoma"/>
          <w:sz w:val="24"/>
          <w:szCs w:val="24"/>
        </w:rPr>
        <w:t xml:space="preserve"> whether </w:t>
      </w:r>
      <w:proofErr w:type="spellStart"/>
      <w:r w:rsidR="00BD5E82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BD5E82" w:rsidRPr="000005E4">
        <w:rPr>
          <w:rFonts w:ascii="Book Antiqua" w:hAnsi="Book Antiqua" w:cs="Tahoma"/>
          <w:sz w:val="24"/>
          <w:szCs w:val="24"/>
        </w:rPr>
        <w:t xml:space="preserve"> was performed.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9A55C7" w:rsidRPr="000005E4">
        <w:rPr>
          <w:rFonts w:ascii="Book Antiqua" w:hAnsi="Book Antiqua" w:cs="Tahoma"/>
          <w:sz w:val="24"/>
          <w:szCs w:val="24"/>
        </w:rPr>
        <w:t>Thus</w:t>
      </w:r>
      <w:r w:rsidR="001B7B6D" w:rsidRPr="000005E4">
        <w:rPr>
          <w:rFonts w:ascii="Book Antiqua" w:hAnsi="Book Antiqua" w:cs="Tahoma"/>
          <w:sz w:val="24"/>
          <w:szCs w:val="24"/>
        </w:rPr>
        <w:t>,</w:t>
      </w:r>
      <w:r w:rsidR="009A55C7" w:rsidRPr="000005E4">
        <w:rPr>
          <w:rFonts w:ascii="Book Antiqua" w:hAnsi="Book Antiqua" w:cs="Tahoma"/>
          <w:sz w:val="24"/>
          <w:szCs w:val="24"/>
        </w:rPr>
        <w:t xml:space="preserve"> overall 17 of 18 patients with SOD documented </w:t>
      </w:r>
      <w:proofErr w:type="spellStart"/>
      <w:r w:rsidR="009A55C7" w:rsidRPr="000005E4">
        <w:rPr>
          <w:rFonts w:ascii="Book Antiqua" w:hAnsi="Book Antiqua" w:cs="Tahoma"/>
          <w:sz w:val="24"/>
          <w:szCs w:val="24"/>
        </w:rPr>
        <w:t>manometrically</w:t>
      </w:r>
      <w:proofErr w:type="spellEnd"/>
      <w:r w:rsidR="009A55C7" w:rsidRPr="000005E4">
        <w:rPr>
          <w:rFonts w:ascii="Book Antiqua" w:hAnsi="Book Antiqua" w:cs="Tahoma"/>
          <w:sz w:val="24"/>
          <w:szCs w:val="24"/>
        </w:rPr>
        <w:t xml:space="preserve"> benefitted clinically from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="009A55C7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9A55C7" w:rsidRPr="000005E4">
        <w:rPr>
          <w:rFonts w:ascii="Book Antiqua" w:hAnsi="Book Antiqua" w:cs="Tahoma"/>
          <w:sz w:val="24"/>
          <w:szCs w:val="24"/>
        </w:rPr>
        <w:t>.</w:t>
      </w:r>
    </w:p>
    <w:p w:rsidR="00072FD8" w:rsidRPr="000005E4" w:rsidRDefault="00072FD8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proofErr w:type="spellStart"/>
      <w:r w:rsidRPr="000005E4">
        <w:rPr>
          <w:rFonts w:ascii="Book Antiqua" w:hAnsi="Book Antiqua" w:cs="Tahoma"/>
          <w:sz w:val="24"/>
          <w:szCs w:val="24"/>
        </w:rPr>
        <w:lastRenderedPageBreak/>
        <w:t>Toouli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="003302BE" w:rsidRPr="003302BE">
        <w:rPr>
          <w:rFonts w:ascii="Book Antiqua" w:hAnsi="Book Antiqua" w:cs="Tahoma"/>
          <w:i/>
          <w:sz w:val="24"/>
          <w:szCs w:val="24"/>
          <w:lang w:eastAsia="zh-CN"/>
        </w:rPr>
        <w:t xml:space="preserve">et </w:t>
      </w:r>
      <w:proofErr w:type="gramStart"/>
      <w:r w:rsidR="003302BE" w:rsidRPr="003302BE">
        <w:rPr>
          <w:rFonts w:ascii="Book Antiqua" w:hAnsi="Book Antiqua" w:cs="Tahoma"/>
          <w:i/>
          <w:sz w:val="24"/>
          <w:szCs w:val="24"/>
          <w:lang w:eastAsia="zh-CN"/>
        </w:rPr>
        <w:t>al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31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performed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in 81 patients with SOD Type II.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The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findings were categorized as either sphincter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stenosis (elevated basal sphincter pressure &gt; 40 mm/Hg), dyskinesia or normal.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Following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, in contrast to the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Geen</w:t>
      </w:r>
      <w:r w:rsidR="009A55C7" w:rsidRPr="000005E4">
        <w:rPr>
          <w:rFonts w:ascii="Book Antiqua" w:hAnsi="Book Antiqua" w:cs="Tahoma"/>
          <w:sz w:val="24"/>
          <w:szCs w:val="24"/>
        </w:rPr>
        <w:t>e</w:t>
      </w:r>
      <w:r w:rsidRPr="000005E4">
        <w:rPr>
          <w:rFonts w:ascii="Book Antiqua" w:hAnsi="Book Antiqua" w:cs="Tahoma"/>
          <w:sz w:val="24"/>
          <w:szCs w:val="24"/>
        </w:rPr>
        <w:t>n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study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30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 xml:space="preserve">, patients were randomized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based upon the </w:t>
      </w:r>
      <w:proofErr w:type="spellStart"/>
      <w:r w:rsidR="001B7B6D" w:rsidRPr="000005E4">
        <w:rPr>
          <w:rFonts w:ascii="Book Antiqua" w:hAnsi="Book Antiqua" w:cs="Tahoma"/>
          <w:sz w:val="24"/>
          <w:szCs w:val="24"/>
        </w:rPr>
        <w:t>manometric</w:t>
      </w:r>
      <w:proofErr w:type="spellEnd"/>
      <w:r w:rsidR="001B7B6D" w:rsidRPr="000005E4">
        <w:rPr>
          <w:rFonts w:ascii="Book Antiqua" w:hAnsi="Book Antiqua" w:cs="Tahoma"/>
          <w:sz w:val="24"/>
          <w:szCs w:val="24"/>
        </w:rPr>
        <w:t xml:space="preserve"> findings </w:t>
      </w:r>
      <w:r w:rsidRPr="000005E4">
        <w:rPr>
          <w:rFonts w:ascii="Book Antiqua" w:hAnsi="Book Antiqua" w:cs="Tahoma"/>
          <w:sz w:val="24"/>
          <w:szCs w:val="24"/>
        </w:rPr>
        <w:t xml:space="preserve">to either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or sham.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Patients were followed up to 24 mo by an independent observer and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was repeated to assess the effect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Of the cohort, 32% had evidence of sphincter hypertension.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Of these, 85% improved after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as compared to 38% after sham which was statistically significant.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In contrast, patients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in whom dyskinesia was diagnosed, </w:t>
      </w:r>
      <w:r w:rsidRPr="000005E4">
        <w:rPr>
          <w:rFonts w:ascii="Book Antiqua" w:hAnsi="Book Antiqua" w:cs="Tahoma"/>
          <w:sz w:val="24"/>
          <w:szCs w:val="24"/>
        </w:rPr>
        <w:t xml:space="preserve">approximately 50% in the sham group as compared to 36% in the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group had symptomatic improvement.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For those with normal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, 42% in the sham group compared to 61% in the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group had improvement but both of these were statistically not significant.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Several observations can be made from this study.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Firstly, overall, the number of patients with SOD in Type II patients was relatively low.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Secondly, it appeared that patients in whom SOD was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confirmed </w:t>
      </w:r>
      <w:r w:rsidRPr="000005E4">
        <w:rPr>
          <w:rFonts w:ascii="Book Antiqua" w:hAnsi="Book Antiqua" w:cs="Tahoma"/>
          <w:sz w:val="24"/>
          <w:szCs w:val="24"/>
        </w:rPr>
        <w:t xml:space="preserve">had a better symptomatic improvement compared to sham, but this was not seen in those with normal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or with dyskinesia.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Of note, there was a high response rate in those with a normal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approaching 50%.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10078F" w:rsidRPr="000005E4" w:rsidRDefault="0010078F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Given the high rates of documented abnormal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D03EBE" w:rsidRPr="000005E4">
        <w:rPr>
          <w:rFonts w:ascii="Book Antiqua" w:hAnsi="Book Antiqua" w:cs="Tahoma"/>
          <w:sz w:val="24"/>
          <w:szCs w:val="24"/>
        </w:rPr>
        <w:t>, favorable</w:t>
      </w:r>
      <w:r w:rsidRPr="000005E4">
        <w:rPr>
          <w:rFonts w:ascii="Book Antiqua" w:hAnsi="Book Antiqua" w:cs="Tahoma"/>
          <w:sz w:val="24"/>
          <w:szCs w:val="24"/>
        </w:rPr>
        <w:t xml:space="preserve"> clinical outcomes and the fact that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is not widely available, several groups have studied empiric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and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outcome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13761F" w:rsidRPr="000005E4">
        <w:rPr>
          <w:rFonts w:ascii="Book Antiqua" w:hAnsi="Book Antiqua" w:cs="Tahoma"/>
          <w:sz w:val="24"/>
          <w:szCs w:val="24"/>
          <w:vertAlign w:val="superscript"/>
        </w:rPr>
        <w:t>11,32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EE00A2" w:rsidRPr="000005E4">
        <w:rPr>
          <w:rFonts w:ascii="Book Antiqua" w:hAnsi="Book Antiqua" w:cs="Tahoma"/>
          <w:sz w:val="24"/>
          <w:szCs w:val="24"/>
        </w:rPr>
        <w:t>Such a practice was also adopted in a number of community settings.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Results similar to 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the </w:t>
      </w:r>
      <w:r w:rsidRPr="000005E4">
        <w:rPr>
          <w:rFonts w:ascii="Book Antiqua" w:hAnsi="Book Antiqua" w:cs="Tahoma"/>
          <w:sz w:val="24"/>
          <w:szCs w:val="24"/>
        </w:rPr>
        <w:t>larger studies have been reported.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These studies suggest that perhaps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may not be needed given the high response rate and as shown in some studies the lack of correlation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 between </w:t>
      </w:r>
      <w:proofErr w:type="spellStart"/>
      <w:r w:rsidR="00482BDA" w:rsidRPr="000005E4">
        <w:rPr>
          <w:rFonts w:ascii="Book Antiqua" w:hAnsi="Book Antiqua" w:cs="Tahoma"/>
          <w:sz w:val="24"/>
          <w:szCs w:val="24"/>
        </w:rPr>
        <w:t>manometeric</w:t>
      </w:r>
      <w:proofErr w:type="spellEnd"/>
      <w:r w:rsidR="00482BDA" w:rsidRPr="000005E4">
        <w:rPr>
          <w:rFonts w:ascii="Book Antiqua" w:hAnsi="Book Antiqua" w:cs="Tahoma"/>
          <w:sz w:val="24"/>
          <w:szCs w:val="24"/>
        </w:rPr>
        <w:t xml:space="preserve"> findings and outcome</w:t>
      </w:r>
      <w:r w:rsidR="00D03EBE" w:rsidRPr="000005E4">
        <w:rPr>
          <w:rFonts w:ascii="Book Antiqua" w:hAnsi="Book Antiqua" w:cs="Tahoma"/>
          <w:sz w:val="24"/>
          <w:szCs w:val="24"/>
        </w:rPr>
        <w:t xml:space="preserve"> after endoscopic therapy</w:t>
      </w:r>
      <w:r w:rsidRPr="000005E4">
        <w:rPr>
          <w:rFonts w:ascii="Book Antiqua" w:hAnsi="Book Antiqua" w:cs="Tahoma"/>
          <w:sz w:val="24"/>
          <w:szCs w:val="24"/>
        </w:rPr>
        <w:t xml:space="preserve">. </w:t>
      </w:r>
    </w:p>
    <w:p w:rsidR="0010078F" w:rsidRPr="000005E4" w:rsidRDefault="0010078F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E27BDF" w:rsidRPr="000005E4" w:rsidRDefault="00E27BDF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EPISOD</w:t>
      </w:r>
    </w:p>
    <w:p w:rsidR="0037686E" w:rsidRPr="000005E4" w:rsidRDefault="0037686E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With that as a background, the EPISOD trial was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conducted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12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From initial planning to execution took approximately a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decade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33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Patients enrolled </w:t>
      </w:r>
      <w:r w:rsidRPr="000005E4">
        <w:rPr>
          <w:rFonts w:ascii="Book Antiqua" w:hAnsi="Book Antiqua" w:cs="Tahoma"/>
          <w:sz w:val="24"/>
          <w:szCs w:val="24"/>
        </w:rPr>
        <w:t>were ages 18-65</w:t>
      </w:r>
      <w:r w:rsidR="008A49BC" w:rsidRPr="000005E4">
        <w:rPr>
          <w:rFonts w:ascii="Book Antiqua" w:hAnsi="Book Antiqua" w:cs="Tahoma"/>
          <w:sz w:val="24"/>
          <w:szCs w:val="24"/>
        </w:rPr>
        <w:t xml:space="preserve"> years</w:t>
      </w:r>
      <w:r w:rsidRPr="000005E4">
        <w:rPr>
          <w:rFonts w:ascii="Book Antiqua" w:hAnsi="Book Antiqua" w:cs="Tahoma"/>
          <w:sz w:val="24"/>
          <w:szCs w:val="24"/>
        </w:rPr>
        <w:t xml:space="preserve"> who </w:t>
      </w:r>
      <w:r w:rsidRPr="000005E4">
        <w:rPr>
          <w:rFonts w:ascii="Book Antiqua" w:hAnsi="Book Antiqua" w:cs="Tahoma"/>
          <w:sz w:val="24"/>
          <w:szCs w:val="24"/>
        </w:rPr>
        <w:lastRenderedPageBreak/>
        <w:t>had significant post-cholecystectomy biliary type pain without evidence of prior pancreatitis or prior intervention of the biliary and/or pancreatic sphincter.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Patients with a bile duct larger than 9 mm or </w:t>
      </w:r>
      <w:r w:rsidR="008A49BC" w:rsidRPr="000005E4">
        <w:rPr>
          <w:rFonts w:ascii="Book Antiqua" w:hAnsi="Book Antiqua" w:cs="Tahoma"/>
          <w:sz w:val="24"/>
          <w:szCs w:val="24"/>
        </w:rPr>
        <w:t xml:space="preserve">were </w:t>
      </w:r>
      <w:r w:rsidRPr="000005E4">
        <w:rPr>
          <w:rFonts w:ascii="Book Antiqua" w:hAnsi="Book Antiqua" w:cs="Tahoma"/>
          <w:sz w:val="24"/>
          <w:szCs w:val="24"/>
        </w:rPr>
        <w:t>on daily narcotics were excluded as were those with significant psychological comorbidity.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A number of questionnaires were also administered evaluating the burden of pain as well as psychological parameters.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Overall</w:t>
      </w:r>
      <w:r w:rsidR="008A49BC" w:rsidRPr="000005E4">
        <w:rPr>
          <w:rFonts w:ascii="Book Antiqua" w:hAnsi="Book Antiqua" w:cs="Tahoma"/>
          <w:sz w:val="24"/>
          <w:szCs w:val="24"/>
        </w:rPr>
        <w:t>,</w:t>
      </w:r>
      <w:r w:rsidRPr="000005E4">
        <w:rPr>
          <w:rFonts w:ascii="Book Antiqua" w:hAnsi="Book Antiqua" w:cs="Tahoma"/>
          <w:sz w:val="24"/>
          <w:szCs w:val="24"/>
        </w:rPr>
        <w:t xml:space="preserve"> 214 patients underwent ERCP with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of both </w:t>
      </w:r>
      <w:r w:rsidR="00331B30" w:rsidRPr="000005E4">
        <w:rPr>
          <w:rFonts w:ascii="Book Antiqua" w:hAnsi="Book Antiqua" w:cs="Tahoma"/>
          <w:sz w:val="24"/>
          <w:szCs w:val="24"/>
        </w:rPr>
        <w:t>the biliary and pancreatic sphincter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331B30" w:rsidRPr="000005E4">
        <w:rPr>
          <w:rFonts w:ascii="Book Antiqua" w:hAnsi="Book Antiqua" w:cs="Tahoma"/>
          <w:sz w:val="24"/>
          <w:szCs w:val="24"/>
        </w:rPr>
        <w:t>P</w:t>
      </w:r>
      <w:r w:rsidRPr="000005E4">
        <w:rPr>
          <w:rFonts w:ascii="Book Antiqua" w:hAnsi="Book Antiqua" w:cs="Tahoma"/>
          <w:sz w:val="24"/>
          <w:szCs w:val="24"/>
        </w:rPr>
        <w:t xml:space="preserve">atients were </w:t>
      </w:r>
      <w:r w:rsidR="00331B30" w:rsidRPr="000005E4">
        <w:rPr>
          <w:rFonts w:ascii="Book Antiqua" w:hAnsi="Book Antiqua" w:cs="Tahoma"/>
          <w:sz w:val="24"/>
          <w:szCs w:val="24"/>
        </w:rPr>
        <w:t xml:space="preserve">then </w:t>
      </w:r>
      <w:r w:rsidRPr="000005E4">
        <w:rPr>
          <w:rFonts w:ascii="Book Antiqua" w:hAnsi="Book Antiqua" w:cs="Tahoma"/>
          <w:sz w:val="24"/>
          <w:szCs w:val="24"/>
        </w:rPr>
        <w:t xml:space="preserve">randomized in a 2 to 1 fashion irrespective of the results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to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or to sham.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Those in whom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was planned and who also had elevated pancreatic sphincter pressures were also randomized again to either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alone or dual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All patients received temporary pancreatic stents including the sham patients.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The primary outcome measure was defined as a reduction in their pain score at 9 and 12 mo </w:t>
      </w:r>
      <w:r w:rsidR="00241549" w:rsidRPr="000005E4">
        <w:rPr>
          <w:rFonts w:ascii="Book Antiqua" w:hAnsi="Book Antiqua" w:cs="Tahoma"/>
          <w:sz w:val="24"/>
          <w:szCs w:val="24"/>
        </w:rPr>
        <w:t>using</w:t>
      </w:r>
      <w:r w:rsidR="00E27BDF" w:rsidRPr="000005E4">
        <w:rPr>
          <w:rFonts w:ascii="Book Antiqua" w:hAnsi="Book Antiqua" w:cs="Tahoma"/>
          <w:sz w:val="24"/>
          <w:szCs w:val="24"/>
        </w:rPr>
        <w:t xml:space="preserve"> the recurrent abdominal pain intensity and disability (</w:t>
      </w:r>
      <w:r w:rsidR="001B7B6D" w:rsidRPr="000005E4">
        <w:rPr>
          <w:rFonts w:ascii="Book Antiqua" w:hAnsi="Book Antiqua" w:cs="Tahoma"/>
          <w:sz w:val="24"/>
          <w:szCs w:val="24"/>
        </w:rPr>
        <w:t>RAPID</w:t>
      </w:r>
      <w:r w:rsidR="00E27BDF" w:rsidRPr="000005E4">
        <w:rPr>
          <w:rFonts w:ascii="Book Antiqua" w:hAnsi="Book Antiqua" w:cs="Tahoma"/>
          <w:sz w:val="24"/>
          <w:szCs w:val="24"/>
        </w:rPr>
        <w:t>)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scale</w:t>
      </w:r>
      <w:r w:rsidR="00241549" w:rsidRPr="000005E4">
        <w:rPr>
          <w:rFonts w:ascii="Book Antiqua" w:hAnsi="Book Antiqua" w:cs="Tahoma"/>
          <w:sz w:val="24"/>
          <w:szCs w:val="24"/>
        </w:rPr>
        <w:t>,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without any sphincter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reintervention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and also without any additional use of narcotics.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>The RAPID scale assesses recurrent abdominal pain intensity and its effect on disability.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>It is a 90 d summary evaluation of the number of days where various daily activities were reduced because of episodes of abdominal pain.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>The instrument itself is quite similar to one used for headache related disability from migraines.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 xml:space="preserve">The RAPID score was validated </w:t>
      </w:r>
      <w:r w:rsidR="00E27BDF" w:rsidRPr="000005E4">
        <w:rPr>
          <w:rFonts w:ascii="Book Antiqua" w:hAnsi="Book Antiqua" w:cs="Tahoma"/>
          <w:sz w:val="24"/>
          <w:szCs w:val="24"/>
        </w:rPr>
        <w:t>by study in two distinct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562EA" w:rsidRPr="000005E4">
        <w:rPr>
          <w:rFonts w:ascii="Book Antiqua" w:hAnsi="Book Antiqua" w:cs="Tahoma"/>
          <w:sz w:val="24"/>
          <w:szCs w:val="24"/>
        </w:rPr>
        <w:t xml:space="preserve">groups </w:t>
      </w:r>
      <w:r w:rsidR="00E27BDF" w:rsidRPr="000005E4">
        <w:rPr>
          <w:rFonts w:ascii="Book Antiqua" w:hAnsi="Book Antiqua" w:cs="Tahoma"/>
          <w:sz w:val="24"/>
          <w:szCs w:val="24"/>
        </w:rPr>
        <w:t xml:space="preserve">of patients </w:t>
      </w:r>
      <w:r w:rsidR="008562EA" w:rsidRPr="000005E4">
        <w:rPr>
          <w:rFonts w:ascii="Book Antiqua" w:hAnsi="Book Antiqua" w:cs="Tahoma"/>
          <w:sz w:val="24"/>
          <w:szCs w:val="24"/>
        </w:rPr>
        <w:t xml:space="preserve">totaling over 100 </w:t>
      </w:r>
      <w:proofErr w:type="gramStart"/>
      <w:r w:rsidR="008562EA" w:rsidRPr="000005E4">
        <w:rPr>
          <w:rFonts w:ascii="Book Antiqua" w:hAnsi="Book Antiqua" w:cs="Tahoma"/>
          <w:sz w:val="24"/>
          <w:szCs w:val="24"/>
        </w:rPr>
        <w:t>patients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34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8562EA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37686E" w:rsidRPr="000005E4" w:rsidRDefault="00241549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The results were </w:t>
      </w:r>
      <w:r w:rsidR="00331B30" w:rsidRPr="000005E4">
        <w:rPr>
          <w:rFonts w:ascii="Book Antiqua" w:hAnsi="Book Antiqua" w:cs="Tahoma"/>
          <w:sz w:val="24"/>
          <w:szCs w:val="24"/>
        </w:rPr>
        <w:t>remarkable</w:t>
      </w:r>
      <w:r w:rsidRPr="000005E4">
        <w:rPr>
          <w:rFonts w:ascii="Book Antiqua" w:hAnsi="Book Antiqua" w:cs="Tahoma"/>
          <w:sz w:val="24"/>
          <w:szCs w:val="24"/>
        </w:rPr>
        <w:t>. T</w:t>
      </w:r>
      <w:r w:rsidR="00482BDA" w:rsidRPr="000005E4">
        <w:rPr>
          <w:rFonts w:ascii="Book Antiqua" w:hAnsi="Book Antiqua" w:cs="Tahoma"/>
          <w:sz w:val="24"/>
          <w:szCs w:val="24"/>
        </w:rPr>
        <w:t>he success rate for the sham-t</w:t>
      </w:r>
      <w:r w:rsidR="00873038" w:rsidRPr="000005E4">
        <w:rPr>
          <w:rFonts w:ascii="Book Antiqua" w:hAnsi="Book Antiqua" w:cs="Tahoma"/>
          <w:sz w:val="24"/>
          <w:szCs w:val="24"/>
        </w:rPr>
        <w:t>reated patients was</w:t>
      </w:r>
      <w:r w:rsidRPr="000005E4">
        <w:rPr>
          <w:rFonts w:ascii="Book Antiqua" w:hAnsi="Book Antiqua" w:cs="Tahoma"/>
          <w:sz w:val="24"/>
          <w:szCs w:val="24"/>
        </w:rPr>
        <w:t xml:space="preserve"> in fact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 higher than those receiving endoscopic therapy.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Thirty-seven percent of the sham treated patients 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were </w:t>
      </w:r>
      <w:r w:rsidR="00873038" w:rsidRPr="000005E4">
        <w:rPr>
          <w:rFonts w:ascii="Book Antiqua" w:hAnsi="Book Antiqua" w:cs="Tahoma"/>
          <w:sz w:val="24"/>
          <w:szCs w:val="24"/>
        </w:rPr>
        <w:t>reported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 as a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 success as compared to only 23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%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in those receiving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873038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Overall, 30% of those who received dual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873038" w:rsidRPr="000005E4">
        <w:rPr>
          <w:rFonts w:ascii="Book Antiqua" w:hAnsi="Book Antiqua" w:cs="Tahoma"/>
          <w:sz w:val="24"/>
          <w:szCs w:val="24"/>
        </w:rPr>
        <w:t xml:space="preserve"> responded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clinically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as compared to 19% for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those undergoing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biliary </w:t>
      </w:r>
      <w:proofErr w:type="spellStart"/>
      <w:r w:rsidR="001B7B6D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1B7B6D" w:rsidRPr="000005E4">
        <w:rPr>
          <w:rFonts w:ascii="Book Antiqua" w:hAnsi="Book Antiqua" w:cs="Tahoma"/>
          <w:sz w:val="24"/>
          <w:szCs w:val="24"/>
        </w:rPr>
        <w:t xml:space="preserve"> </w:t>
      </w:r>
      <w:r w:rsidR="00873038" w:rsidRPr="000005E4">
        <w:rPr>
          <w:rFonts w:ascii="Book Antiqua" w:hAnsi="Book Antiqua" w:cs="Tahoma"/>
          <w:sz w:val="24"/>
          <w:szCs w:val="24"/>
        </w:rPr>
        <w:t>alone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 which was not statistically significant</w:t>
      </w:r>
      <w:r w:rsidR="00873038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Overall,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reinterventions</w:t>
      </w:r>
      <w:proofErr w:type="spellEnd"/>
      <w:r w:rsidR="00873038" w:rsidRPr="000005E4">
        <w:rPr>
          <w:rFonts w:ascii="Book Antiqua" w:hAnsi="Book Antiqua" w:cs="Tahoma"/>
          <w:sz w:val="24"/>
          <w:szCs w:val="24"/>
        </w:rPr>
        <w:t xml:space="preserve"> occurred in 26% of treated and 34% of the control patients.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As in many other studies, there was no correlation with the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results of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sphincter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873038" w:rsidRPr="000005E4">
        <w:rPr>
          <w:rFonts w:ascii="Book Antiqua" w:hAnsi="Book Antiqua" w:cs="Tahoma"/>
          <w:sz w:val="24"/>
          <w:szCs w:val="24"/>
        </w:rPr>
        <w:t xml:space="preserve">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and </w:t>
      </w:r>
      <w:r w:rsidR="00873038" w:rsidRPr="000005E4">
        <w:rPr>
          <w:rFonts w:ascii="Book Antiqua" w:hAnsi="Book Antiqua" w:cs="Tahoma"/>
          <w:sz w:val="24"/>
          <w:szCs w:val="24"/>
        </w:rPr>
        <w:t>outcome.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Likewise, 31% receiving dual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improved compared to 27% for biliary and 17%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 for sham</w:t>
      </w:r>
      <w:r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lastRenderedPageBreak/>
        <w:t xml:space="preserve">had no improvement; these findings were not statistically significant. </w:t>
      </w:r>
      <w:r w:rsidR="00873038" w:rsidRPr="000005E4">
        <w:rPr>
          <w:rFonts w:ascii="Book Antiqua" w:hAnsi="Book Antiqua" w:cs="Tahoma"/>
          <w:sz w:val="24"/>
          <w:szCs w:val="24"/>
        </w:rPr>
        <w:t xml:space="preserve">A group of patients who declined the randomization were also observed following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873038" w:rsidRPr="000005E4">
        <w:rPr>
          <w:rFonts w:ascii="Book Antiqua" w:hAnsi="Book Antiqua" w:cs="Tahoma"/>
          <w:sz w:val="24"/>
          <w:szCs w:val="24"/>
        </w:rPr>
        <w:t xml:space="preserve"> directed by the findings at </w:t>
      </w:r>
      <w:proofErr w:type="spellStart"/>
      <w:r w:rsidR="00873038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and the </w:t>
      </w:r>
      <w:r w:rsidR="00331B30" w:rsidRPr="000005E4">
        <w:rPr>
          <w:rFonts w:ascii="Book Antiqua" w:hAnsi="Book Antiqua" w:cs="Tahoma"/>
          <w:sz w:val="24"/>
          <w:szCs w:val="24"/>
        </w:rPr>
        <w:t xml:space="preserve">final </w:t>
      </w:r>
      <w:r w:rsidRPr="000005E4">
        <w:rPr>
          <w:rFonts w:ascii="Book Antiqua" w:hAnsi="Book Antiqua" w:cs="Tahoma"/>
          <w:sz w:val="24"/>
          <w:szCs w:val="24"/>
        </w:rPr>
        <w:t>results were similar</w:t>
      </w:r>
      <w:r w:rsidR="00873038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1B7B6D" w:rsidRPr="000005E4">
        <w:rPr>
          <w:rFonts w:ascii="Book Antiqua" w:hAnsi="Book Antiqua" w:cs="Tahoma"/>
          <w:sz w:val="24"/>
          <w:szCs w:val="24"/>
        </w:rPr>
        <w:t>The data was analyzed in a number of ways using less stringent criteria for outcome and the results were unchanged</w:t>
      </w:r>
      <w:r w:rsidR="00873038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10078F" w:rsidRPr="000005E4" w:rsidRDefault="00331B30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Even if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is imperfect but some patients res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pond to therapy, why not still perform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or 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empiric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on Type III patients?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10078F" w:rsidRPr="000005E4">
        <w:rPr>
          <w:rFonts w:ascii="Book Antiqua" w:hAnsi="Book Antiqua" w:cs="Tahoma"/>
          <w:sz w:val="24"/>
          <w:szCs w:val="24"/>
        </w:rPr>
        <w:t xml:space="preserve">The primary reason to avoid ERCP and </w:t>
      </w:r>
      <w:proofErr w:type="spellStart"/>
      <w:r w:rsidR="0010078F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10078F" w:rsidRPr="000005E4">
        <w:rPr>
          <w:rFonts w:ascii="Book Antiqua" w:hAnsi="Book Antiqua" w:cs="Tahoma"/>
          <w:sz w:val="24"/>
          <w:szCs w:val="24"/>
        </w:rPr>
        <w:t xml:space="preserve"> is the risk of pancreatitis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 as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 </w:t>
      </w:r>
      <w:r w:rsidR="00712DD2" w:rsidRPr="000005E4">
        <w:rPr>
          <w:rFonts w:ascii="Book Antiqua" w:hAnsi="Book Antiqua" w:cs="Tahoma"/>
          <w:sz w:val="24"/>
          <w:szCs w:val="24"/>
        </w:rPr>
        <w:t>t</w:t>
      </w:r>
      <w:r w:rsidR="00482BDA" w:rsidRPr="000005E4">
        <w:rPr>
          <w:rFonts w:ascii="Book Antiqua" w:hAnsi="Book Antiqua" w:cs="Tahoma"/>
          <w:sz w:val="24"/>
          <w:szCs w:val="24"/>
        </w:rPr>
        <w:t xml:space="preserve">hese patients have the highest risk for </w:t>
      </w:r>
      <w:proofErr w:type="gramStart"/>
      <w:r w:rsidR="00482BDA" w:rsidRPr="000005E4">
        <w:rPr>
          <w:rFonts w:ascii="Book Antiqua" w:hAnsi="Book Antiqua" w:cs="Tahoma"/>
          <w:sz w:val="24"/>
          <w:szCs w:val="24"/>
        </w:rPr>
        <w:t>pancreatitis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35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482BDA" w:rsidRPr="000005E4">
        <w:rPr>
          <w:rFonts w:ascii="Book Antiqua" w:hAnsi="Book Antiqua" w:cs="Tahoma"/>
          <w:sz w:val="24"/>
          <w:szCs w:val="24"/>
        </w:rPr>
        <w:t>. In addition, even when performed in expert hands such as by the investigators in EPISOD, the rate of pancreatitis despite use of pancreatic stents was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712DD2" w:rsidRPr="000005E4">
        <w:rPr>
          <w:rFonts w:ascii="Book Antiqua" w:hAnsi="Book Antiqua" w:cs="Tahoma"/>
          <w:sz w:val="24"/>
          <w:szCs w:val="24"/>
        </w:rPr>
        <w:t>12</w:t>
      </w:r>
      <w:r w:rsidR="00482BDA" w:rsidRPr="000005E4">
        <w:rPr>
          <w:rFonts w:ascii="Book Antiqua" w:hAnsi="Book Antiqua" w:cs="Tahoma"/>
          <w:sz w:val="24"/>
          <w:szCs w:val="24"/>
        </w:rPr>
        <w:t>% and in this group</w:t>
      </w:r>
      <w:r w:rsidR="00B96749" w:rsidRPr="000005E4">
        <w:rPr>
          <w:rFonts w:ascii="Book Antiqua" w:hAnsi="Book Antiqua" w:cs="Tahoma"/>
          <w:sz w:val="24"/>
          <w:szCs w:val="24"/>
        </w:rPr>
        <w:t xml:space="preserve">, 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2 </w:t>
      </w:r>
      <w:r w:rsidR="00482BDA" w:rsidRPr="000005E4">
        <w:rPr>
          <w:rFonts w:ascii="Book Antiqua" w:hAnsi="Book Antiqua" w:cs="Tahoma"/>
          <w:sz w:val="24"/>
          <w:szCs w:val="24"/>
        </w:rPr>
        <w:t>patients had a perforation and surgery was required in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 one</w:t>
      </w:r>
      <w:r w:rsidR="00B96749" w:rsidRPr="000005E4">
        <w:rPr>
          <w:rFonts w:ascii="Book Antiqua" w:hAnsi="Book Antiqua" w:cs="Tahoma"/>
          <w:sz w:val="24"/>
          <w:szCs w:val="24"/>
        </w:rPr>
        <w:t>;</w:t>
      </w:r>
      <w:r w:rsidR="00712DD2" w:rsidRPr="000005E4">
        <w:rPr>
          <w:rFonts w:ascii="Book Antiqua" w:hAnsi="Book Antiqua" w:cs="Tahoma"/>
          <w:sz w:val="24"/>
          <w:szCs w:val="24"/>
        </w:rPr>
        <w:t xml:space="preserve"> t</w:t>
      </w:r>
      <w:r w:rsidR="00482BDA" w:rsidRPr="000005E4">
        <w:rPr>
          <w:rFonts w:ascii="Book Antiqua" w:hAnsi="Book Antiqua" w:cs="Tahoma"/>
          <w:sz w:val="24"/>
          <w:szCs w:val="24"/>
        </w:rPr>
        <w:t>here were no deaths.</w:t>
      </w:r>
    </w:p>
    <w:p w:rsidR="0010078F" w:rsidRPr="000005E4" w:rsidRDefault="0010078F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3500A4" w:rsidRPr="000005E4" w:rsidRDefault="00873038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>While not perfect,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 the EPISOD trial </w:t>
      </w:r>
      <w:r w:rsidRPr="000005E4">
        <w:rPr>
          <w:rFonts w:ascii="Book Antiqua" w:hAnsi="Book Antiqua" w:cs="Tahoma"/>
          <w:sz w:val="24"/>
          <w:szCs w:val="24"/>
        </w:rPr>
        <w:t xml:space="preserve">is the best </w:t>
      </w:r>
      <w:r w:rsidR="001B7B6D" w:rsidRPr="000005E4">
        <w:rPr>
          <w:rFonts w:ascii="Book Antiqua" w:hAnsi="Book Antiqua" w:cs="Tahoma"/>
          <w:sz w:val="24"/>
          <w:szCs w:val="24"/>
        </w:rPr>
        <w:t xml:space="preserve">study </w:t>
      </w:r>
      <w:r w:rsidRPr="000005E4">
        <w:rPr>
          <w:rFonts w:ascii="Book Antiqua" w:hAnsi="Book Antiqua" w:cs="Tahoma"/>
          <w:sz w:val="24"/>
          <w:szCs w:val="24"/>
        </w:rPr>
        <w:t>we have regarding efficacy</w:t>
      </w:r>
      <w:r w:rsidR="008E6728" w:rsidRPr="000005E4">
        <w:rPr>
          <w:rFonts w:ascii="Book Antiqua" w:hAnsi="Book Antiqua" w:cs="Tahoma"/>
          <w:sz w:val="24"/>
          <w:szCs w:val="24"/>
        </w:rPr>
        <w:t xml:space="preserve">- or </w:t>
      </w:r>
      <w:r w:rsidRPr="000005E4">
        <w:rPr>
          <w:rFonts w:ascii="Book Antiqua" w:hAnsi="Book Antiqua" w:cs="Tahoma"/>
          <w:sz w:val="24"/>
          <w:szCs w:val="24"/>
        </w:rPr>
        <w:t>lack thereof</w:t>
      </w:r>
      <w:r w:rsidR="008E6728" w:rsidRPr="000005E4">
        <w:rPr>
          <w:rFonts w:ascii="Book Antiqua" w:hAnsi="Book Antiqua" w:cs="Tahoma"/>
          <w:sz w:val="24"/>
          <w:szCs w:val="24"/>
        </w:rPr>
        <w:t xml:space="preserve">-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for interventions in type III SOD. </w:t>
      </w:r>
      <w:r w:rsidRPr="000005E4">
        <w:rPr>
          <w:rFonts w:ascii="Book Antiqua" w:hAnsi="Book Antiqua" w:cs="Tahoma"/>
          <w:sz w:val="24"/>
          <w:szCs w:val="24"/>
        </w:rPr>
        <w:t xml:space="preserve">The </w:t>
      </w:r>
      <w:r w:rsidR="008E6728" w:rsidRPr="000005E4">
        <w:rPr>
          <w:rFonts w:ascii="Book Antiqua" w:hAnsi="Book Antiqua" w:cs="Tahoma"/>
          <w:sz w:val="24"/>
          <w:szCs w:val="24"/>
        </w:rPr>
        <w:t>study</w:t>
      </w:r>
      <w:r w:rsidR="005C22F7" w:rsidRPr="000005E4">
        <w:rPr>
          <w:rFonts w:ascii="Book Antiqua" w:hAnsi="Book Antiqua" w:cs="Tahoma"/>
          <w:sz w:val="24"/>
          <w:szCs w:val="24"/>
        </w:rPr>
        <w:t xml:space="preserve"> has been criticized for the use of a new scoring system termed the RAPID system which had not been used previously but does measure the burden of intermittent pain.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5C22F7" w:rsidRPr="000005E4">
        <w:rPr>
          <w:rFonts w:ascii="Book Antiqua" w:hAnsi="Book Antiqua" w:cs="Tahoma"/>
          <w:sz w:val="24"/>
          <w:szCs w:val="24"/>
        </w:rPr>
        <w:t>Approximately 1/3 of the patients had irritable bowel syndrome which could be a confounder.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5C22F7" w:rsidRPr="000005E4">
        <w:rPr>
          <w:rFonts w:ascii="Book Antiqua" w:hAnsi="Book Antiqua" w:cs="Tahoma"/>
          <w:sz w:val="24"/>
          <w:szCs w:val="24"/>
        </w:rPr>
        <w:t xml:space="preserve">However,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we recognize that </w:t>
      </w:r>
      <w:r w:rsidR="005C22F7" w:rsidRPr="000005E4">
        <w:rPr>
          <w:rFonts w:ascii="Book Antiqua" w:hAnsi="Book Antiqua" w:cs="Tahoma"/>
          <w:sz w:val="24"/>
          <w:szCs w:val="24"/>
        </w:rPr>
        <w:t xml:space="preserve">many </w:t>
      </w:r>
      <w:r w:rsidR="00DA6AB4" w:rsidRPr="000005E4">
        <w:rPr>
          <w:rFonts w:ascii="Book Antiqua" w:hAnsi="Book Antiqua" w:cs="Tahoma"/>
          <w:sz w:val="24"/>
          <w:szCs w:val="24"/>
        </w:rPr>
        <w:t>p</w:t>
      </w:r>
      <w:r w:rsidR="005C22F7" w:rsidRPr="000005E4">
        <w:rPr>
          <w:rFonts w:ascii="Book Antiqua" w:hAnsi="Book Antiqua" w:cs="Tahoma"/>
          <w:sz w:val="24"/>
          <w:szCs w:val="24"/>
        </w:rPr>
        <w:t>atients with SOD have other GI complaints.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Regardless, </w:t>
      </w:r>
      <w:r w:rsidR="003500A4" w:rsidRPr="000005E4">
        <w:rPr>
          <w:rFonts w:ascii="Book Antiqua" w:hAnsi="Book Antiqua" w:cs="Tahoma"/>
          <w:sz w:val="24"/>
          <w:szCs w:val="24"/>
        </w:rPr>
        <w:t>given the quality of the study with the caveats as noted, the results really call into question whether SOD Type III is even a disease.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2379BA" w:rsidRPr="000005E4" w:rsidRDefault="0010078F" w:rsidP="003302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If not the sphincter, then what is the cause of pain? </w:t>
      </w:r>
      <w:r w:rsidR="00B1122F" w:rsidRPr="000005E4">
        <w:rPr>
          <w:rFonts w:ascii="Book Antiqua" w:hAnsi="Book Antiqua" w:cs="Tahoma"/>
          <w:sz w:val="24"/>
          <w:szCs w:val="24"/>
        </w:rPr>
        <w:t>Even in patients who report a response</w:t>
      </w:r>
      <w:r w:rsidR="00F043A0" w:rsidRPr="000005E4">
        <w:rPr>
          <w:rFonts w:ascii="Book Antiqua" w:hAnsi="Book Antiqua" w:cs="Tahoma"/>
          <w:sz w:val="24"/>
          <w:szCs w:val="24"/>
        </w:rPr>
        <w:t xml:space="preserve">, pain is often still present suggesting that </w:t>
      </w:r>
      <w:r w:rsidR="00B1122F" w:rsidRPr="000005E4">
        <w:rPr>
          <w:rFonts w:ascii="Book Antiqua" w:hAnsi="Book Antiqua" w:cs="Tahoma"/>
          <w:sz w:val="24"/>
          <w:szCs w:val="24"/>
        </w:rPr>
        <w:t xml:space="preserve">other causes must be </w:t>
      </w:r>
      <w:proofErr w:type="gramStart"/>
      <w:r w:rsidR="00B1122F" w:rsidRPr="000005E4">
        <w:rPr>
          <w:rFonts w:ascii="Book Antiqua" w:hAnsi="Book Antiqua" w:cs="Tahoma"/>
          <w:sz w:val="24"/>
          <w:szCs w:val="24"/>
        </w:rPr>
        <w:t>considered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36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B1122F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3500A4" w:rsidRPr="000005E4">
        <w:rPr>
          <w:rFonts w:ascii="Book Antiqua" w:hAnsi="Book Antiqua" w:cs="Tahoma"/>
          <w:sz w:val="24"/>
          <w:szCs w:val="24"/>
        </w:rPr>
        <w:t>S</w:t>
      </w:r>
      <w:r w:rsidR="002379BA" w:rsidRPr="000005E4">
        <w:rPr>
          <w:rFonts w:ascii="Book Antiqua" w:hAnsi="Book Antiqua" w:cs="Tahoma"/>
          <w:sz w:val="24"/>
          <w:szCs w:val="24"/>
        </w:rPr>
        <w:t>ignificant psychological comorbidity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 has been identified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 in these patients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 and could be a </w:t>
      </w:r>
      <w:r w:rsidR="00B1122F" w:rsidRPr="000005E4">
        <w:rPr>
          <w:rFonts w:ascii="Book Antiqua" w:hAnsi="Book Antiqua" w:cs="Tahoma"/>
          <w:sz w:val="24"/>
          <w:szCs w:val="24"/>
        </w:rPr>
        <w:t xml:space="preserve">major </w:t>
      </w:r>
      <w:r w:rsidR="003500A4" w:rsidRPr="000005E4">
        <w:rPr>
          <w:rFonts w:ascii="Book Antiqua" w:hAnsi="Book Antiqua" w:cs="Tahoma"/>
          <w:sz w:val="24"/>
          <w:szCs w:val="24"/>
        </w:rPr>
        <w:t>contributor to or cause of pain</w:t>
      </w:r>
      <w:r w:rsidR="002379BA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Indeed, a number of studies have suggested psychosomatic disorders, central sensitization, and even potentially visceral </w:t>
      </w:r>
      <w:proofErr w:type="spellStart"/>
      <w:proofErr w:type="gramStart"/>
      <w:r w:rsidR="00DA6AB4" w:rsidRPr="000005E4">
        <w:rPr>
          <w:rFonts w:ascii="Book Antiqua" w:hAnsi="Book Antiqua" w:cs="Tahoma"/>
          <w:sz w:val="24"/>
          <w:szCs w:val="24"/>
        </w:rPr>
        <w:t>hyperalgesia</w:t>
      </w:r>
      <w:proofErr w:type="spellEnd"/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F043A0" w:rsidRPr="000005E4">
        <w:rPr>
          <w:rFonts w:ascii="Book Antiqua" w:hAnsi="Book Antiqua" w:cs="Tahoma"/>
          <w:sz w:val="24"/>
          <w:szCs w:val="24"/>
          <w:vertAlign w:val="superscript"/>
        </w:rPr>
        <w:t>3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7</w:t>
      </w:r>
      <w:r w:rsidR="00B1122F" w:rsidRPr="000005E4">
        <w:rPr>
          <w:rFonts w:ascii="Book Antiqua" w:hAnsi="Book Antiqua" w:cs="Tahoma"/>
          <w:sz w:val="24"/>
          <w:szCs w:val="24"/>
          <w:vertAlign w:val="superscript"/>
        </w:rPr>
        <w:t>-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A6AB4" w:rsidRPr="000005E4">
        <w:rPr>
          <w:rFonts w:ascii="Book Antiqua" w:hAnsi="Book Antiqua" w:cs="Tahoma"/>
          <w:sz w:val="24"/>
          <w:szCs w:val="24"/>
        </w:rPr>
        <w:t>. As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 is common in many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patients with functional gastrointestinal disorders, 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prior sexual abuse, or other abuse, has been </w:t>
      </w:r>
      <w:proofErr w:type="gramStart"/>
      <w:r w:rsidR="002379BA" w:rsidRPr="000005E4">
        <w:rPr>
          <w:rFonts w:ascii="Book Antiqua" w:hAnsi="Book Antiqua" w:cs="Tahoma"/>
          <w:sz w:val="24"/>
          <w:szCs w:val="24"/>
        </w:rPr>
        <w:t>found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41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2379BA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Such psychological </w:t>
      </w:r>
      <w:r w:rsidR="002379BA" w:rsidRPr="000005E4">
        <w:rPr>
          <w:rFonts w:ascii="Book Antiqua" w:hAnsi="Book Antiqua" w:cs="Tahoma"/>
          <w:sz w:val="24"/>
          <w:szCs w:val="24"/>
        </w:rPr>
        <w:lastRenderedPageBreak/>
        <w:t>comorb</w:t>
      </w:r>
      <w:r w:rsidR="00DA6AB4" w:rsidRPr="000005E4">
        <w:rPr>
          <w:rFonts w:ascii="Book Antiqua" w:hAnsi="Book Antiqua" w:cs="Tahoma"/>
          <w:sz w:val="24"/>
          <w:szCs w:val="24"/>
        </w:rPr>
        <w:t>idity is important to appreciate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 given the potential</w:t>
      </w:r>
      <w:r w:rsidR="00B1122F" w:rsidRPr="000005E4">
        <w:rPr>
          <w:rFonts w:ascii="Book Antiqua" w:hAnsi="Book Antiqua" w:cs="Tahoma"/>
          <w:sz w:val="24"/>
          <w:szCs w:val="24"/>
        </w:rPr>
        <w:t xml:space="preserve"> role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 for medical therapy</w:t>
      </w:r>
      <w:r w:rsidR="00B1122F" w:rsidRPr="000005E4">
        <w:rPr>
          <w:rFonts w:ascii="Book Antiqua" w:hAnsi="Book Antiqua" w:cs="Tahoma"/>
          <w:sz w:val="24"/>
          <w:szCs w:val="24"/>
        </w:rPr>
        <w:t xml:space="preserve"> as has been shown for other functional GI </w:t>
      </w:r>
      <w:proofErr w:type="gramStart"/>
      <w:r w:rsidR="00B1122F" w:rsidRPr="000005E4">
        <w:rPr>
          <w:rFonts w:ascii="Book Antiqua" w:hAnsi="Book Antiqua" w:cs="Tahoma"/>
          <w:sz w:val="24"/>
          <w:szCs w:val="24"/>
        </w:rPr>
        <w:t>disorders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42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2379BA" w:rsidRPr="000005E4">
        <w:rPr>
          <w:rFonts w:ascii="Book Antiqua" w:hAnsi="Book Antiqua" w:cs="Tahoma"/>
          <w:sz w:val="24"/>
          <w:szCs w:val="24"/>
        </w:rPr>
        <w:t xml:space="preserve">. </w:t>
      </w:r>
    </w:p>
    <w:p w:rsidR="00240B25" w:rsidRPr="000005E4" w:rsidRDefault="00240B25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240B25" w:rsidRPr="000005E4" w:rsidRDefault="00240B25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OTHER MECHANISMS OF PAIN</w:t>
      </w:r>
    </w:p>
    <w:p w:rsidR="005C22F7" w:rsidRPr="000005E4" w:rsidRDefault="005C22F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An important physiologic study performed a decade ago suggests potential mechanisms for right upper quadrant or “biliary type” pain in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SOD type </w:t>
      </w:r>
      <w:proofErr w:type="gramStart"/>
      <w:r w:rsidR="009F6895" w:rsidRPr="000005E4">
        <w:rPr>
          <w:rFonts w:ascii="Book Antiqua" w:hAnsi="Book Antiqua" w:cs="Tahoma"/>
          <w:sz w:val="24"/>
          <w:szCs w:val="24"/>
        </w:rPr>
        <w:t>III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. </w:t>
      </w:r>
      <w:r w:rsidR="00331B30" w:rsidRPr="000005E4">
        <w:rPr>
          <w:rFonts w:ascii="Book Antiqua" w:hAnsi="Book Antiqua" w:cs="Tahoma"/>
          <w:sz w:val="24"/>
          <w:szCs w:val="24"/>
        </w:rPr>
        <w:t>These investigators</w:t>
      </w:r>
      <w:r w:rsidR="00BB1F89" w:rsidRPr="000005E4">
        <w:rPr>
          <w:rFonts w:ascii="Book Antiqua" w:hAnsi="Book Antiqua" w:cs="Tahoma"/>
          <w:sz w:val="24"/>
          <w:szCs w:val="24"/>
        </w:rPr>
        <w:t xml:space="preserve"> studied 11 patients with post-cholecystectomy abdominal pain as well as ten controls with balloon distention studies of both the duodenum and rectum to evaluate this visceral pain perception.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B1F89" w:rsidRPr="000005E4">
        <w:rPr>
          <w:rFonts w:ascii="Book Antiqua" w:hAnsi="Book Antiqua" w:cs="Tahoma"/>
          <w:sz w:val="24"/>
          <w:szCs w:val="24"/>
        </w:rPr>
        <w:t>Psychological testing was also performed.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B1F89" w:rsidRPr="000005E4">
        <w:rPr>
          <w:rFonts w:ascii="Book Antiqua" w:hAnsi="Book Antiqua" w:cs="Tahoma"/>
          <w:sz w:val="24"/>
          <w:szCs w:val="24"/>
        </w:rPr>
        <w:t xml:space="preserve">They found that in patients referred with SOD Type III, duodenal but not rectal </w:t>
      </w:r>
      <w:proofErr w:type="spellStart"/>
      <w:r w:rsidR="00BB1F89" w:rsidRPr="000005E4">
        <w:rPr>
          <w:rFonts w:ascii="Book Antiqua" w:hAnsi="Book Antiqua" w:cs="Tahoma"/>
          <w:sz w:val="24"/>
          <w:szCs w:val="24"/>
        </w:rPr>
        <w:t>hyperalgesia</w:t>
      </w:r>
      <w:proofErr w:type="spellEnd"/>
      <w:r w:rsidR="00BB1F89" w:rsidRPr="000005E4">
        <w:rPr>
          <w:rFonts w:ascii="Book Antiqua" w:hAnsi="Book Antiqua" w:cs="Tahoma"/>
          <w:sz w:val="24"/>
          <w:szCs w:val="24"/>
        </w:rPr>
        <w:t xml:space="preserve"> was </w:t>
      </w:r>
      <w:r w:rsidR="00D40944" w:rsidRPr="000005E4">
        <w:rPr>
          <w:rFonts w:ascii="Book Antiqua" w:hAnsi="Book Antiqua" w:cs="Tahoma"/>
          <w:sz w:val="24"/>
          <w:szCs w:val="24"/>
        </w:rPr>
        <w:t>shown</w:t>
      </w:r>
      <w:r w:rsidR="00BB1F89" w:rsidRPr="000005E4">
        <w:rPr>
          <w:rFonts w:ascii="Book Antiqua" w:hAnsi="Book Antiqua" w:cs="Tahoma"/>
          <w:sz w:val="24"/>
          <w:szCs w:val="24"/>
        </w:rPr>
        <w:t xml:space="preserve"> as compared to controls.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B1F89" w:rsidRPr="000005E4">
        <w:rPr>
          <w:rFonts w:ascii="Book Antiqua" w:hAnsi="Book Antiqua" w:cs="Tahoma"/>
          <w:sz w:val="24"/>
          <w:szCs w:val="24"/>
        </w:rPr>
        <w:t>Furthermore, duodenal distention reproduced symptoms in all but one of the patients.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B1F89" w:rsidRPr="000005E4">
        <w:rPr>
          <w:rFonts w:ascii="Book Antiqua" w:hAnsi="Book Antiqua" w:cs="Tahoma"/>
          <w:sz w:val="24"/>
          <w:szCs w:val="24"/>
        </w:rPr>
        <w:t>Psychological testing showed high levels of somatization, depression, obsessive compulsive behavior, as well as anxiety.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BB1F89" w:rsidRPr="000005E4">
        <w:rPr>
          <w:rFonts w:ascii="Book Antiqua" w:hAnsi="Book Antiqua" w:cs="Tahoma"/>
          <w:sz w:val="24"/>
          <w:szCs w:val="24"/>
        </w:rPr>
        <w:t>These provocative findings thus suggest that patients with SOD Type III may have a functional abdominal pain syndrome related to visceral hypersensitivity.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</w:p>
    <w:p w:rsidR="005C22F7" w:rsidRPr="000005E4" w:rsidRDefault="005C22F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240B25" w:rsidRPr="000005E4" w:rsidRDefault="00240B25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ROLE OF MEDICAL THERAPY</w:t>
      </w:r>
    </w:p>
    <w:p w:rsidR="002379BA" w:rsidRPr="000005E4" w:rsidRDefault="002379B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  <w:r w:rsidRPr="000005E4">
        <w:rPr>
          <w:rFonts w:ascii="Book Antiqua" w:hAnsi="Book Antiqua" w:cs="Tahoma"/>
          <w:sz w:val="24"/>
          <w:szCs w:val="24"/>
        </w:rPr>
        <w:t xml:space="preserve">A variety of medical therapies 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have been tried some of which </w:t>
      </w:r>
      <w:r w:rsidRPr="000005E4">
        <w:rPr>
          <w:rFonts w:ascii="Book Antiqua" w:hAnsi="Book Antiqua" w:cs="Tahoma"/>
          <w:sz w:val="24"/>
          <w:szCs w:val="24"/>
        </w:rPr>
        <w:t xml:space="preserve">have shown efficacy in 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uncontrolled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studies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32,43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Smooth muscle relaxers such as nitrates and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nifedipine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have been used with moderate success.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Antidepressant medications </w:t>
      </w:r>
      <w:r w:rsidR="00331B30" w:rsidRPr="000005E4">
        <w:rPr>
          <w:rFonts w:ascii="Book Antiqua" w:hAnsi="Book Antiqua" w:cs="Tahoma"/>
          <w:sz w:val="24"/>
          <w:szCs w:val="24"/>
        </w:rPr>
        <w:t>like</w:t>
      </w:r>
      <w:r w:rsidRPr="000005E4">
        <w:rPr>
          <w:rFonts w:ascii="Book Antiqua" w:hAnsi="Book Antiqua" w:cs="Tahoma"/>
          <w:sz w:val="24"/>
          <w:szCs w:val="24"/>
        </w:rPr>
        <w:t xml:space="preserve"> amitriptyline have been used most commonly and should be titrated to effect.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When using such medical therapies, response rates similar to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have been reported from retrospective uncontrolled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studies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32,43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A novel therapy includes injection of botulinum toxin into the </w:t>
      </w:r>
      <w:proofErr w:type="gramStart"/>
      <w:r w:rsidRPr="000005E4">
        <w:rPr>
          <w:rFonts w:ascii="Book Antiqua" w:hAnsi="Book Antiqua" w:cs="Tahoma"/>
          <w:sz w:val="24"/>
          <w:szCs w:val="24"/>
        </w:rPr>
        <w:t>sphincter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44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This could perhaps result in sphincter relaxation and in one study such a clinical response predicted a response to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Nevertheless, given the results of the EPISOD study</w:t>
      </w:r>
      <w:r w:rsidR="003500A4" w:rsidRPr="000005E4">
        <w:rPr>
          <w:rFonts w:ascii="Book Antiqua" w:hAnsi="Book Antiqua" w:cs="Tahoma"/>
          <w:sz w:val="24"/>
          <w:szCs w:val="24"/>
        </w:rPr>
        <w:t xml:space="preserve">, the findings of </w:t>
      </w:r>
      <w:r w:rsidRPr="000005E4">
        <w:rPr>
          <w:rFonts w:ascii="Book Antiqua" w:hAnsi="Book Antiqua" w:cs="Tahoma"/>
          <w:sz w:val="24"/>
          <w:szCs w:val="24"/>
        </w:rPr>
        <w:t>any uncontrolled non-blinded study should be questioned.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C0E2D" w:rsidRPr="000005E4">
        <w:rPr>
          <w:rFonts w:ascii="Book Antiqua" w:hAnsi="Book Antiqua" w:cs="Tahoma"/>
          <w:sz w:val="24"/>
          <w:szCs w:val="24"/>
        </w:rPr>
        <w:t xml:space="preserve">Thus, given the results of EPISOD, medications should be 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given </w:t>
      </w:r>
      <w:r w:rsidR="002C0E2D" w:rsidRPr="000005E4">
        <w:rPr>
          <w:rFonts w:ascii="Book Antiqua" w:hAnsi="Book Antiqua" w:cs="Tahoma"/>
          <w:sz w:val="24"/>
          <w:szCs w:val="24"/>
        </w:rPr>
        <w:t>and we typically would use antispasmodics</w:t>
      </w:r>
      <w:r w:rsidR="00240B25" w:rsidRPr="000005E4">
        <w:rPr>
          <w:rFonts w:ascii="Book Antiqua" w:hAnsi="Book Antiqua" w:cs="Tahoma"/>
          <w:sz w:val="24"/>
          <w:szCs w:val="24"/>
        </w:rPr>
        <w:t xml:space="preserve"> – (</w:t>
      </w:r>
      <w:proofErr w:type="spellStart"/>
      <w:r w:rsidR="00240B25" w:rsidRPr="000005E4">
        <w:rPr>
          <w:rFonts w:ascii="Book Antiqua" w:hAnsi="Book Antiqua" w:cs="Tahoma"/>
          <w:sz w:val="24"/>
          <w:szCs w:val="24"/>
        </w:rPr>
        <w:t>hyoscyamine</w:t>
      </w:r>
      <w:proofErr w:type="spellEnd"/>
      <w:r w:rsidR="00240B25" w:rsidRPr="000005E4">
        <w:rPr>
          <w:rFonts w:ascii="Book Antiqua" w:hAnsi="Book Antiqua" w:cs="Tahoma"/>
          <w:sz w:val="24"/>
          <w:szCs w:val="24"/>
        </w:rPr>
        <w:t>)</w:t>
      </w:r>
      <w:r w:rsidR="002C0E2D" w:rsidRPr="000005E4">
        <w:rPr>
          <w:rFonts w:ascii="Book Antiqua" w:hAnsi="Book Antiqua" w:cs="Tahoma"/>
          <w:sz w:val="24"/>
          <w:szCs w:val="24"/>
        </w:rPr>
        <w:t xml:space="preserve"> 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for </w:t>
      </w:r>
      <w:r w:rsidR="002C0E2D" w:rsidRPr="000005E4">
        <w:rPr>
          <w:rFonts w:ascii="Book Antiqua" w:hAnsi="Book Antiqua" w:cs="Tahoma"/>
          <w:sz w:val="24"/>
          <w:szCs w:val="24"/>
        </w:rPr>
        <w:t xml:space="preserve">those in whom the 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abdominal </w:t>
      </w:r>
      <w:r w:rsidR="002C0E2D" w:rsidRPr="000005E4">
        <w:rPr>
          <w:rFonts w:ascii="Book Antiqua" w:hAnsi="Book Antiqua" w:cs="Tahoma"/>
          <w:sz w:val="24"/>
          <w:szCs w:val="24"/>
        </w:rPr>
        <w:t xml:space="preserve">pain has a </w:t>
      </w:r>
      <w:proofErr w:type="spellStart"/>
      <w:r w:rsidR="002C0E2D" w:rsidRPr="000005E4">
        <w:rPr>
          <w:rFonts w:ascii="Book Antiqua" w:hAnsi="Book Antiqua" w:cs="Tahoma"/>
          <w:sz w:val="24"/>
          <w:szCs w:val="24"/>
        </w:rPr>
        <w:t>crampy</w:t>
      </w:r>
      <w:proofErr w:type="spellEnd"/>
      <w:r w:rsidR="002C0E2D" w:rsidRPr="000005E4">
        <w:rPr>
          <w:rFonts w:ascii="Book Antiqua" w:hAnsi="Book Antiqua" w:cs="Tahoma"/>
          <w:sz w:val="24"/>
          <w:szCs w:val="24"/>
        </w:rPr>
        <w:t xml:space="preserve"> component.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C0E2D" w:rsidRPr="000005E4">
        <w:rPr>
          <w:rFonts w:ascii="Book Antiqua" w:hAnsi="Book Antiqua" w:cs="Tahoma"/>
          <w:sz w:val="24"/>
          <w:szCs w:val="24"/>
        </w:rPr>
        <w:t xml:space="preserve">In addition, we use low dose </w:t>
      </w:r>
      <w:r w:rsidR="002C0E2D" w:rsidRPr="000005E4">
        <w:rPr>
          <w:rFonts w:ascii="Book Antiqua" w:hAnsi="Book Antiqua" w:cs="Tahoma"/>
          <w:sz w:val="24"/>
          <w:szCs w:val="24"/>
        </w:rPr>
        <w:lastRenderedPageBreak/>
        <w:t>antidepressants such as amitriptyline</w:t>
      </w:r>
      <w:r w:rsidR="00712D12" w:rsidRPr="000005E4">
        <w:rPr>
          <w:rFonts w:ascii="Book Antiqua" w:hAnsi="Book Antiqua" w:cs="Tahoma"/>
          <w:sz w:val="24"/>
          <w:szCs w:val="24"/>
        </w:rPr>
        <w:t xml:space="preserve"> especially for those with chronic almost constant pain</w:t>
      </w:r>
      <w:r w:rsidR="002C0E2D"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2C0E2D" w:rsidRPr="000005E4">
        <w:rPr>
          <w:rFonts w:ascii="Book Antiqua" w:hAnsi="Book Antiqua" w:cs="Tahoma"/>
          <w:sz w:val="24"/>
          <w:szCs w:val="24"/>
        </w:rPr>
        <w:t>Although not discussed, the use of psychological counseling may be appropriate as well given the frequent psychiatric issues in patients with functional abdominal pain.</w:t>
      </w:r>
    </w:p>
    <w:p w:rsidR="002379BA" w:rsidRPr="000005E4" w:rsidRDefault="002379B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240B25" w:rsidRPr="000005E4" w:rsidRDefault="00240B25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0005E4">
        <w:rPr>
          <w:rFonts w:ascii="Book Antiqua" w:hAnsi="Book Antiqua" w:cs="Tahoma"/>
          <w:b/>
          <w:sz w:val="24"/>
          <w:szCs w:val="24"/>
        </w:rPr>
        <w:t>CONCLUSION</w:t>
      </w:r>
    </w:p>
    <w:p w:rsidR="005C22F7" w:rsidRPr="000005E4" w:rsidRDefault="005C22F7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  <w:r w:rsidRPr="000005E4">
        <w:rPr>
          <w:rFonts w:ascii="Book Antiqua" w:hAnsi="Book Antiqua" w:cs="Tahoma"/>
          <w:sz w:val="24"/>
          <w:szCs w:val="24"/>
        </w:rPr>
        <w:t xml:space="preserve">Based upon </w:t>
      </w:r>
      <w:r w:rsidR="00D03EBE" w:rsidRPr="000005E4">
        <w:rPr>
          <w:rFonts w:ascii="Book Antiqua" w:hAnsi="Book Antiqua" w:cs="Tahoma"/>
          <w:sz w:val="24"/>
          <w:szCs w:val="24"/>
        </w:rPr>
        <w:t>EPISOD</w:t>
      </w:r>
      <w:r w:rsidRPr="000005E4">
        <w:rPr>
          <w:rFonts w:ascii="Book Antiqua" w:hAnsi="Book Antiqua" w:cs="Tahoma"/>
          <w:sz w:val="24"/>
          <w:szCs w:val="24"/>
        </w:rPr>
        <w:t xml:space="preserve">, at this juncture, sphincter of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Oddi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Type III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likely does not </w:t>
      </w:r>
      <w:r w:rsidRPr="000005E4">
        <w:rPr>
          <w:rFonts w:ascii="Book Antiqua" w:hAnsi="Book Antiqua" w:cs="Tahoma"/>
          <w:sz w:val="24"/>
          <w:szCs w:val="24"/>
        </w:rPr>
        <w:t>exist</w:t>
      </w:r>
      <w:r w:rsidR="00331B30" w:rsidRPr="000005E4">
        <w:rPr>
          <w:rFonts w:ascii="Book Antiqua" w:hAnsi="Book Antiqua" w:cs="Tahoma"/>
          <w:sz w:val="24"/>
          <w:szCs w:val="24"/>
        </w:rPr>
        <w:t xml:space="preserve"> </w:t>
      </w:r>
      <w:r w:rsidR="00D03EBE" w:rsidRPr="000005E4">
        <w:rPr>
          <w:rFonts w:ascii="Book Antiqua" w:hAnsi="Book Antiqua" w:cs="Tahoma"/>
          <w:sz w:val="24"/>
          <w:szCs w:val="24"/>
        </w:rPr>
        <w:t xml:space="preserve">as a true </w:t>
      </w:r>
      <w:proofErr w:type="spellStart"/>
      <w:r w:rsidR="00D03EBE" w:rsidRPr="000005E4">
        <w:rPr>
          <w:rFonts w:ascii="Book Antiqua" w:hAnsi="Book Antiqua" w:cs="Tahoma"/>
          <w:sz w:val="24"/>
          <w:szCs w:val="24"/>
        </w:rPr>
        <w:t>pancreaticobiliary</w:t>
      </w:r>
      <w:proofErr w:type="spellEnd"/>
      <w:r w:rsidR="00D03EBE" w:rsidRPr="000005E4">
        <w:rPr>
          <w:rFonts w:ascii="Book Antiqua" w:hAnsi="Book Antiqua" w:cs="Tahoma"/>
          <w:sz w:val="24"/>
          <w:szCs w:val="24"/>
        </w:rPr>
        <w:t xml:space="preserve"> disease </w:t>
      </w:r>
      <w:r w:rsidR="00331B30" w:rsidRPr="000005E4">
        <w:rPr>
          <w:rFonts w:ascii="Book Antiqua" w:hAnsi="Book Antiqua" w:cs="Tahoma"/>
          <w:sz w:val="24"/>
          <w:szCs w:val="24"/>
        </w:rPr>
        <w:t xml:space="preserve">and these patients should be categorized as having functional abdominal </w:t>
      </w:r>
      <w:proofErr w:type="gramStart"/>
      <w:r w:rsidR="00331B30" w:rsidRPr="000005E4">
        <w:rPr>
          <w:rFonts w:ascii="Book Antiqua" w:hAnsi="Book Antiqua" w:cs="Tahoma"/>
          <w:sz w:val="24"/>
          <w:szCs w:val="24"/>
        </w:rPr>
        <w:t>pain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45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F043A0" w:rsidRPr="000005E4">
        <w:rPr>
          <w:rFonts w:ascii="Book Antiqua" w:hAnsi="Book Antiqua" w:cs="Tahoma"/>
          <w:sz w:val="24"/>
          <w:szCs w:val="24"/>
        </w:rPr>
        <w:t xml:space="preserve"> rather than a true </w:t>
      </w:r>
      <w:proofErr w:type="spellStart"/>
      <w:r w:rsidR="00F043A0" w:rsidRPr="000005E4">
        <w:rPr>
          <w:rFonts w:ascii="Book Antiqua" w:hAnsi="Book Antiqua" w:cs="Tahoma"/>
          <w:sz w:val="24"/>
          <w:szCs w:val="24"/>
        </w:rPr>
        <w:t>pancreaticobiliary</w:t>
      </w:r>
      <w:proofErr w:type="spellEnd"/>
      <w:r w:rsidR="00F043A0" w:rsidRPr="000005E4">
        <w:rPr>
          <w:rFonts w:ascii="Book Antiqua" w:hAnsi="Book Antiqua" w:cs="Tahoma"/>
          <w:sz w:val="24"/>
          <w:szCs w:val="24"/>
        </w:rPr>
        <w:t xml:space="preserve"> disorder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331B30" w:rsidRPr="000005E4">
        <w:rPr>
          <w:rFonts w:ascii="Book Antiqua" w:hAnsi="Book Antiqua" w:cs="Tahoma"/>
          <w:sz w:val="24"/>
          <w:szCs w:val="24"/>
        </w:rPr>
        <w:t>.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 </w:t>
      </w:r>
      <w:r w:rsidR="00331B30" w:rsidRPr="000005E4">
        <w:rPr>
          <w:rFonts w:ascii="Book Antiqua" w:hAnsi="Book Antiqua" w:cs="Tahoma"/>
          <w:sz w:val="24"/>
          <w:szCs w:val="24"/>
        </w:rPr>
        <w:t>Also,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 </w:t>
      </w:r>
      <w:r w:rsidR="00B57ACC" w:rsidRPr="000005E4">
        <w:rPr>
          <w:rFonts w:ascii="Book Antiqua" w:hAnsi="Book Antiqua" w:cs="Tahoma"/>
          <w:sz w:val="24"/>
          <w:szCs w:val="24"/>
        </w:rPr>
        <w:t xml:space="preserve">given </w:t>
      </w:r>
      <w:r w:rsidR="009F6895" w:rsidRPr="000005E4">
        <w:rPr>
          <w:rFonts w:ascii="Book Antiqua" w:hAnsi="Book Antiqua" w:cs="Tahoma"/>
          <w:sz w:val="24"/>
          <w:szCs w:val="24"/>
        </w:rPr>
        <w:t>the findings of EPISOD</w:t>
      </w:r>
      <w:r w:rsidR="00B57ACC" w:rsidRPr="000005E4">
        <w:rPr>
          <w:rFonts w:ascii="Book Antiqua" w:hAnsi="Book Antiqua" w:cs="Tahoma"/>
          <w:sz w:val="24"/>
          <w:szCs w:val="24"/>
        </w:rPr>
        <w:t xml:space="preserve">,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the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current </w:t>
      </w:r>
      <w:r w:rsidR="009F6895" w:rsidRPr="000005E4">
        <w:rPr>
          <w:rFonts w:ascii="Book Antiqua" w:hAnsi="Book Antiqua" w:cs="Tahoma"/>
          <w:sz w:val="24"/>
          <w:szCs w:val="24"/>
        </w:rPr>
        <w:t xml:space="preserve">classification system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for SOD </w:t>
      </w:r>
      <w:r w:rsidR="009F6895" w:rsidRPr="000005E4">
        <w:rPr>
          <w:rFonts w:ascii="Book Antiqua" w:hAnsi="Book Antiqua" w:cs="Tahoma"/>
          <w:sz w:val="24"/>
          <w:szCs w:val="24"/>
        </w:rPr>
        <w:t>requires a re</w:t>
      </w:r>
      <w:r w:rsidR="001F2ED5" w:rsidRPr="000005E4">
        <w:rPr>
          <w:rFonts w:ascii="Book Antiqua" w:hAnsi="Book Antiqua" w:cs="Tahoma"/>
          <w:sz w:val="24"/>
          <w:szCs w:val="24"/>
        </w:rPr>
        <w:t>evaluation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When faced with such patients, medication trials and reassurance would be important in the Type III patient.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 ERCP should be avoided given the low </w:t>
      </w:r>
      <w:proofErr w:type="gramStart"/>
      <w:r w:rsidR="00DA6AB4" w:rsidRPr="000005E4">
        <w:rPr>
          <w:rFonts w:ascii="Book Antiqua" w:hAnsi="Book Antiqua" w:cs="Tahoma"/>
          <w:sz w:val="24"/>
          <w:szCs w:val="24"/>
        </w:rPr>
        <w:t>yield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46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03EBE" w:rsidRPr="000005E4">
        <w:rPr>
          <w:rFonts w:ascii="Book Antiqua" w:hAnsi="Book Antiqua" w:cs="Tahoma"/>
          <w:sz w:val="24"/>
          <w:szCs w:val="24"/>
        </w:rPr>
        <w:t xml:space="preserve"> </w:t>
      </w:r>
      <w:r w:rsidR="00DA6AB4" w:rsidRPr="000005E4">
        <w:rPr>
          <w:rFonts w:ascii="Book Antiqua" w:hAnsi="Book Antiqua" w:cs="Tahoma"/>
          <w:sz w:val="24"/>
          <w:szCs w:val="24"/>
        </w:rPr>
        <w:t>and high potential for pancreatitis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35,47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. In such patients, EUS also has a </w:t>
      </w:r>
      <w:r w:rsidR="009B167C" w:rsidRPr="000005E4">
        <w:rPr>
          <w:rFonts w:ascii="Book Antiqua" w:hAnsi="Book Antiqua" w:cs="Tahoma"/>
          <w:sz w:val="24"/>
          <w:szCs w:val="24"/>
        </w:rPr>
        <w:t xml:space="preserve">relatively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low </w:t>
      </w:r>
      <w:proofErr w:type="gramStart"/>
      <w:r w:rsidR="00DA6AB4" w:rsidRPr="000005E4">
        <w:rPr>
          <w:rFonts w:ascii="Book Antiqua" w:hAnsi="Book Antiqua" w:cs="Tahoma"/>
          <w:sz w:val="24"/>
          <w:szCs w:val="24"/>
        </w:rPr>
        <w:t>yield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F043A0" w:rsidRPr="000005E4">
        <w:rPr>
          <w:rFonts w:ascii="Book Antiqua" w:hAnsi="Book Antiqua" w:cs="Tahoma"/>
          <w:sz w:val="24"/>
          <w:szCs w:val="24"/>
          <w:vertAlign w:val="superscript"/>
        </w:rPr>
        <w:t>4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8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A6AB4" w:rsidRPr="000005E4">
        <w:rPr>
          <w:rFonts w:ascii="Book Antiqua" w:hAnsi="Book Antiqua" w:cs="Tahoma"/>
          <w:sz w:val="24"/>
          <w:szCs w:val="24"/>
        </w:rPr>
        <w:t>.</w:t>
      </w:r>
      <w:r w:rsidR="003302BE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For those in whom abnormal liver tests </w:t>
      </w:r>
      <w:r w:rsidR="00331B30" w:rsidRPr="000005E4">
        <w:rPr>
          <w:rFonts w:ascii="Book Antiqua" w:hAnsi="Book Antiqua" w:cs="Tahoma"/>
          <w:sz w:val="24"/>
          <w:szCs w:val="24"/>
        </w:rPr>
        <w:t>reproducibly occur</w:t>
      </w:r>
      <w:r w:rsidRPr="000005E4">
        <w:rPr>
          <w:rFonts w:ascii="Book Antiqua" w:hAnsi="Book Antiqua" w:cs="Tahoma"/>
          <w:sz w:val="24"/>
          <w:szCs w:val="24"/>
        </w:rPr>
        <w:t xml:space="preserve"> during pain or in whom bile duct dilation is present</w:t>
      </w:r>
      <w:r w:rsidR="008E6728" w:rsidRPr="000005E4">
        <w:rPr>
          <w:rFonts w:ascii="Book Antiqua" w:hAnsi="Book Antiqua" w:cs="Tahoma"/>
          <w:sz w:val="24"/>
          <w:szCs w:val="24"/>
        </w:rPr>
        <w:t xml:space="preserve"> </w:t>
      </w:r>
      <w:r w:rsidR="00331B30" w:rsidRPr="000005E4">
        <w:rPr>
          <w:rFonts w:ascii="Book Antiqua" w:hAnsi="Book Antiqua" w:cs="Tahoma"/>
          <w:sz w:val="24"/>
          <w:szCs w:val="24"/>
        </w:rPr>
        <w:t>(T</w:t>
      </w:r>
      <w:r w:rsidR="008E6728" w:rsidRPr="000005E4">
        <w:rPr>
          <w:rFonts w:ascii="Book Antiqua" w:hAnsi="Book Antiqua" w:cs="Tahoma"/>
          <w:sz w:val="24"/>
          <w:szCs w:val="24"/>
        </w:rPr>
        <w:t>ype II SOD</w:t>
      </w:r>
      <w:r w:rsidR="00331B30" w:rsidRPr="000005E4">
        <w:rPr>
          <w:rFonts w:ascii="Book Antiqua" w:hAnsi="Book Antiqua" w:cs="Tahoma"/>
          <w:sz w:val="24"/>
          <w:szCs w:val="24"/>
        </w:rPr>
        <w:t>)</w:t>
      </w:r>
      <w:r w:rsidRPr="000005E4">
        <w:rPr>
          <w:rFonts w:ascii="Book Antiqua" w:hAnsi="Book Antiqua" w:cs="Tahoma"/>
          <w:sz w:val="24"/>
          <w:szCs w:val="24"/>
        </w:rPr>
        <w:t xml:space="preserve">, empiric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Pr="000005E4">
        <w:rPr>
          <w:rFonts w:ascii="Book Antiqua" w:hAnsi="Book Antiqua" w:cs="Tahoma"/>
          <w:sz w:val="24"/>
          <w:szCs w:val="24"/>
        </w:rPr>
        <w:t xml:space="preserve"> may be appropriate taking into account the risk of pancreatitis</w:t>
      </w:r>
      <w:r w:rsidR="00D03EBE" w:rsidRPr="000005E4">
        <w:rPr>
          <w:rFonts w:ascii="Book Antiqua" w:hAnsi="Book Antiqua" w:cs="Tahoma"/>
          <w:sz w:val="24"/>
          <w:szCs w:val="24"/>
        </w:rPr>
        <w:t>,</w:t>
      </w:r>
      <w:r w:rsidRPr="000005E4">
        <w:rPr>
          <w:rFonts w:ascii="Book Antiqua" w:hAnsi="Book Antiqua" w:cs="Tahoma"/>
          <w:sz w:val="24"/>
          <w:szCs w:val="24"/>
        </w:rPr>
        <w:t xml:space="preserve"> and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>measures to prevent post-ERCP pancreatitis</w:t>
      </w:r>
      <w:r w:rsidR="008E6728" w:rsidRPr="000005E4">
        <w:rPr>
          <w:rFonts w:ascii="Book Antiqua" w:hAnsi="Book Antiqua" w:cs="Tahoma"/>
          <w:sz w:val="24"/>
          <w:szCs w:val="24"/>
        </w:rPr>
        <w:t xml:space="preserve"> must be followed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35,49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Such an </w:t>
      </w:r>
      <w:r w:rsidR="009B167C" w:rsidRPr="000005E4">
        <w:rPr>
          <w:rFonts w:ascii="Book Antiqua" w:hAnsi="Book Antiqua" w:cs="Tahoma"/>
          <w:sz w:val="24"/>
          <w:szCs w:val="24"/>
        </w:rPr>
        <w:t xml:space="preserve">empirical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approach </w:t>
      </w:r>
      <w:r w:rsidR="009B167C" w:rsidRPr="000005E4">
        <w:rPr>
          <w:rFonts w:ascii="Book Antiqua" w:hAnsi="Book Antiqua" w:cs="Tahoma"/>
          <w:sz w:val="24"/>
          <w:szCs w:val="24"/>
        </w:rPr>
        <w:t xml:space="preserve">to the Type II patient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may be cost </w:t>
      </w:r>
      <w:proofErr w:type="gramStart"/>
      <w:r w:rsidR="00DA6AB4" w:rsidRPr="000005E4">
        <w:rPr>
          <w:rFonts w:ascii="Book Antiqua" w:hAnsi="Book Antiqua" w:cs="Tahoma"/>
          <w:sz w:val="24"/>
          <w:szCs w:val="24"/>
        </w:rPr>
        <w:t>effective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[</w:t>
      </w:r>
      <w:proofErr w:type="gramEnd"/>
      <w:r w:rsidR="00246FC1" w:rsidRPr="000005E4">
        <w:rPr>
          <w:rFonts w:ascii="Book Antiqua" w:hAnsi="Book Antiqua" w:cs="Tahoma"/>
          <w:sz w:val="24"/>
          <w:szCs w:val="24"/>
          <w:vertAlign w:val="superscript"/>
        </w:rPr>
        <w:t>50</w:t>
      </w:r>
      <w:r w:rsidR="003302BE">
        <w:rPr>
          <w:rFonts w:ascii="Book Antiqua" w:hAnsi="Book Antiqua" w:cs="Tahoma" w:hint="eastAsia"/>
          <w:sz w:val="24"/>
          <w:szCs w:val="24"/>
          <w:vertAlign w:val="superscript"/>
          <w:lang w:eastAsia="zh-CN"/>
        </w:rPr>
        <w:t>]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. </w:t>
      </w:r>
      <w:r w:rsidRPr="000005E4">
        <w:rPr>
          <w:rFonts w:ascii="Book Antiqua" w:hAnsi="Book Antiqua" w:cs="Tahoma"/>
          <w:sz w:val="24"/>
          <w:szCs w:val="24"/>
        </w:rPr>
        <w:t xml:space="preserve">Patients with abnormal liver tests and a dilated bile duct </w:t>
      </w:r>
      <w:r w:rsidR="00331B30" w:rsidRPr="000005E4">
        <w:rPr>
          <w:rFonts w:ascii="Book Antiqua" w:hAnsi="Book Antiqua" w:cs="Tahoma"/>
          <w:sz w:val="24"/>
          <w:szCs w:val="24"/>
        </w:rPr>
        <w:t>(</w:t>
      </w:r>
      <w:r w:rsidRPr="000005E4">
        <w:rPr>
          <w:rFonts w:ascii="Book Antiqua" w:hAnsi="Book Antiqua" w:cs="Tahoma"/>
          <w:sz w:val="24"/>
          <w:szCs w:val="24"/>
        </w:rPr>
        <w:t>Type I</w:t>
      </w:r>
      <w:r w:rsidR="00331B30" w:rsidRPr="000005E4">
        <w:rPr>
          <w:rFonts w:ascii="Book Antiqua" w:hAnsi="Book Antiqua" w:cs="Tahoma"/>
          <w:sz w:val="24"/>
          <w:szCs w:val="24"/>
        </w:rPr>
        <w:t>)</w:t>
      </w:r>
      <w:r w:rsidR="00D03EBE" w:rsidRPr="000005E4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should undergo biliary </w:t>
      </w:r>
      <w:proofErr w:type="spellStart"/>
      <w:r w:rsidRPr="000005E4">
        <w:rPr>
          <w:rFonts w:ascii="Book Antiqua" w:hAnsi="Book Antiqua" w:cs="Tahoma"/>
          <w:sz w:val="24"/>
          <w:szCs w:val="24"/>
        </w:rPr>
        <w:t>sphincterotomy</w:t>
      </w:r>
      <w:proofErr w:type="spellEnd"/>
      <w:r w:rsidR="009B167C" w:rsidRPr="000005E4">
        <w:rPr>
          <w:rFonts w:ascii="Book Antiqua" w:hAnsi="Book Antiqua" w:cs="Tahoma"/>
          <w:sz w:val="24"/>
          <w:szCs w:val="24"/>
        </w:rPr>
        <w:t xml:space="preserve"> and </w:t>
      </w:r>
      <w:proofErr w:type="spellStart"/>
      <w:r w:rsidR="009B167C" w:rsidRPr="000005E4">
        <w:rPr>
          <w:rFonts w:ascii="Book Antiqua" w:hAnsi="Book Antiqua" w:cs="Tahoma"/>
          <w:sz w:val="24"/>
          <w:szCs w:val="24"/>
        </w:rPr>
        <w:t>manometry</w:t>
      </w:r>
      <w:proofErr w:type="spellEnd"/>
      <w:r w:rsidR="009B167C" w:rsidRPr="000005E4">
        <w:rPr>
          <w:rFonts w:ascii="Book Antiqua" w:hAnsi="Book Antiqua" w:cs="Tahoma"/>
          <w:sz w:val="24"/>
          <w:szCs w:val="24"/>
        </w:rPr>
        <w:t xml:space="preserve"> is not needed</w:t>
      </w:r>
      <w:r w:rsidRPr="000005E4">
        <w:rPr>
          <w:rFonts w:ascii="Book Antiqua" w:hAnsi="Book Antiqua" w:cs="Tahoma"/>
          <w:sz w:val="24"/>
          <w:szCs w:val="24"/>
        </w:rPr>
        <w:t>.</w:t>
      </w:r>
      <w:r w:rsidR="009612D8">
        <w:rPr>
          <w:rFonts w:ascii="Book Antiqua" w:hAnsi="Book Antiqua" w:cs="Tahoma"/>
          <w:sz w:val="24"/>
          <w:szCs w:val="24"/>
        </w:rPr>
        <w:t xml:space="preserve"> </w:t>
      </w:r>
      <w:r w:rsidRPr="000005E4">
        <w:rPr>
          <w:rFonts w:ascii="Book Antiqua" w:hAnsi="Book Antiqua" w:cs="Tahoma"/>
          <w:sz w:val="24"/>
          <w:szCs w:val="24"/>
        </w:rPr>
        <w:t xml:space="preserve">Further work is necessary to better define other mechanisms for pain, the ideal methods to identify psychological issues which may require specific treatment, and </w:t>
      </w:r>
      <w:r w:rsidR="00DA6AB4" w:rsidRPr="000005E4">
        <w:rPr>
          <w:rFonts w:ascii="Book Antiqua" w:hAnsi="Book Antiqua" w:cs="Tahoma"/>
          <w:sz w:val="24"/>
          <w:szCs w:val="24"/>
        </w:rPr>
        <w:t xml:space="preserve">to identify </w:t>
      </w:r>
      <w:r w:rsidRPr="000005E4">
        <w:rPr>
          <w:rFonts w:ascii="Book Antiqua" w:hAnsi="Book Antiqua" w:cs="Tahoma"/>
          <w:sz w:val="24"/>
          <w:szCs w:val="24"/>
        </w:rPr>
        <w:t xml:space="preserve">novel therapies for abdominal pain syndromes. </w:t>
      </w:r>
    </w:p>
    <w:p w:rsidR="0000111A" w:rsidRPr="000005E4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eastAsia="zh-CN"/>
        </w:rPr>
      </w:pPr>
    </w:p>
    <w:p w:rsidR="00842174" w:rsidRPr="003302BE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caps/>
          <w:sz w:val="21"/>
          <w:szCs w:val="24"/>
          <w:lang w:eastAsia="zh-CN"/>
        </w:rPr>
      </w:pPr>
      <w:r w:rsidRPr="003302BE">
        <w:rPr>
          <w:rFonts w:ascii="Book Antiqua" w:hAnsi="Book Antiqua" w:cs="Times New Roman" w:hint="eastAsia"/>
          <w:b/>
          <w:caps/>
          <w:sz w:val="21"/>
          <w:szCs w:val="24"/>
          <w:lang w:eastAsia="zh-CN"/>
        </w:rPr>
        <w:t>References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Loukas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M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Spentzouris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Tubbs RS,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Kapos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T, Curry B.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Ruggero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Ferdinando Antonio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Guiseppe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Vincenzo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World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Surg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2007;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2260-2265 [PMID: 17902018]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Geenen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JE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Hogan WJ,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Dodds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WJ, Stewart ET,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Arndorfer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RC. Intraluminal pressure recording from the human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Gastroenterology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1980;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78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317-324 [PMID: 7350055]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Raddawi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HM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Geenen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JE, Hogan WJ,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Dodds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Venu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RP, Johnson GK. Pressure measurements from biliary and pancreatic segments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 Comparison between patients with functional abdominal pain, biliary, or pancreatic disease.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Dig Dis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Sci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71-74 [PMID: 1985009]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lastRenderedPageBreak/>
        <w:t>4 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Behar J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Corazziari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Guelrud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M, Hogan W, Sherman 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Toouli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J. Functional gallbladder and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disorders.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Gastroenterology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2006;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130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1498-1509 [PMID: 16678563]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5 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Pfau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PR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Banerjee S, Barth BA,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Desilets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Kaul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V,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Kethu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SR,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Pedrosa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MC,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Pleskow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DK,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Tokar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Varadarajulu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S, Wang A, Song LM, Rodriguez SA.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74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1175-1180 [PMID: 22032848 DOI: 10.1016/j.gie.2011.07.055]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6 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Sgouros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SN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Pereira SP. Systematic review: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dysfunction--non-invasive diagnostic methods and long-term outcome after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Aliment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Pharmacol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Ther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2006;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24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237-246 [PMID: 16842450]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7 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Wehrmann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Long-term results (≥ 10 years) of endoscopic therapy for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in patients with acute recurrent pancreatitis.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Endoscopy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43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202-207 [PMID: 21108172 DOI: 10.1055/s-0030-1255922]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8 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Hogan WJ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Sherman 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Pasricha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Carr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-Locke D.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1997;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45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342-348 [PMID: 9087852]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9 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Wehrmann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Wiemer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K,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Lembcke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B,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Caspary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WF, Jung M. Do patients with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benefit from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? A 5-year prospective trial.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Eur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Hepatol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1996;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251-256 [PMID: 8724026]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10 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Bozkurt 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Orth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KH,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Butsch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B, Lux G. Long-term clinical outcome of post-cholecystectomy patients with biliary-type pain: results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non-invasive techniques and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Eur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Hepatol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1996;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245-249 [PMID: 8724025]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11 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Heetun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ZS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Zeb F, Cullen G, </w:t>
      </w:r>
      <w:proofErr w:type="gram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Courtney</w:t>
      </w:r>
      <w:proofErr w:type="gram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Aftab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AR. Biliary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dysfunction: response rates after ERCP and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a 5-year ERCP series and proposal for new practical guidelines.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Eur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Hepatol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23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327-333 [PMID: 21383625 DOI: 10.1097/MEG.0b013e3283433aa1]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12 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Cotton PB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Durkalski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V,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Romagnuolo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Pauls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Q,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Tarnasky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Aliperti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Freeman 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Kozarek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Jamidar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Wilcox M, Serrano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Brawman-Mintzer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O,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Elta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Mauldin P, Thornhill A, Hawes R, Wood-Williams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Orrell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K,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Drossman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Robuck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P. Effect of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for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on pain-related disability following cholecystectomy: the EPISOD randomized clinical trial.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JAMA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311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2101-2109 [PMID: 24867013 DOI: 10.1001/jama.2014.5220]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13 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Hogan WJ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Geenen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Dodds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WJ.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Dysmotility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disturbances of the biliary tract: classification, diagnosis, and treatment.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Semin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Liver Dis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1987;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7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302-310 [PMID: 3324349]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14 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Rashdan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A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E, McHenry L, Lehman G, Sherman S. Frequency of biliary crystals in patients with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2003;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875-878 [PMID: 14652556]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lastRenderedPageBreak/>
        <w:t>15 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Rolny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P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Geenen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JE, Hogan WJ. Post-cholecystectomy patients with "objective signs" of partial bile outflow obstruction: clinical characteristics,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findings, and results of therapy.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1993;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778-781 [PMID: 8293900]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16 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Sherman S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Troiano FP, Hawes RH, O'Connor KW, Lehman GA. Frequency of abnormal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compared with the clinical suspicion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Am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86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586-590 [PMID: 2028949]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17 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Eversman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Rusche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M, Sherman S, Lehman GA. Frequency of abnormal pancreatic and biliary sphincter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compared with clinical suspicion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1999;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637-641 [PMID: 10536318]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18 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Petersen BT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dysfunction, part 2: Evidence-based review of the presentations, with "objective" pancreatic findings (types I and II) and of presumptive type III.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670-687 [PMID: 15114311]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19 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Silverman WB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Slivka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Rabinovitz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M, Wilson J. Hybrid classification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based on simplified Milwaukee criteria: effect of marginal serum liver and pancreas test elevations.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Dig Dis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Sci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2001;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278-281 [PMID: 11281175]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20 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Guelrud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M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Mendoza 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Rossiter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Villegas MI.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healthy volunteers.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Dig Dis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Sci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35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38-46 [PMID: 2295292]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21 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Haber GB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still a valid gold standard?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Endoscopy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42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413-415 [PMID: 20425666 DOI: 10.1055/s-0029-1244129]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22 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Petersen BT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An evidence-based review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dysfunction: part I, presentations with "objective" biliary findings (types I and II).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525-534 [PMID: 15044889]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23 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Khashab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MA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Watkins JL, McHenry 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Lazzell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-Pannell L, Schmidt S, Sherman S, Lehman GA,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EL. Frequency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in patients with previously normal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studies.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Endoscopy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42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369-374 [PMID: 19967632 DOI: 10.1055/s-0029-1215374]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24 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Cicala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M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Habib FI,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Vavassori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Pallotta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N,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Schillaci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O,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Costamagna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Guarino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Scopinaro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Fiocca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Torsoli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Corazziari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E. Outcome of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post cholecystectomy patients with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as predicted by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and quantitative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choledochoscintigraphy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Gut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2002;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665-668 [PMID: 11950813]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25 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Park SH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Watkins JL,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EL, Sherman 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Lazzell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Bucksot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L, Lehman GA. Long-term outcome of endoscopic dual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pancreatobiliary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patients with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-documented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and normal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pancreatogram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2003;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57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483-491 [PMID: 12665757]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lastRenderedPageBreak/>
        <w:t>26 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Moore RA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Derry S,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Wiffen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PJ. Challenges in design and interpretation of chronic pain trials.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Br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Anaesth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2013;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111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38-45 [PMID: 23794643 DOI: 10.1093/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bja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/aet126]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27 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Schulz KF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Grimes DA. Blinding in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randomised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trials: hiding who got what.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Lancet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2002;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359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696-700 [PMID: 11879884]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28 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Wilcox CM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</w:t>
      </w:r>
      <w:proofErr w:type="gram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Exploring</w:t>
      </w:r>
      <w:proofErr w:type="gram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the use of the sham design for interventional trials: implications for endoscopic research.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2008;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67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123-127 [PMID: 18155434]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29 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Redberg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RF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 Sham controls in medical device trials.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N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Engl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J Med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371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892-893 [PMID: 25184861 DOI: 10.1056/NEJMp1406388]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30 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Geenen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JE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Hogan WJ,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Dodds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Toouli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Venu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RP. The efficacy of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after cholecystectomy in patients with sphincter-of-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N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Engl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J Med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1989;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320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82-87 [PMID: 2643038]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31 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Toouli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J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Roberts-Thomson IC,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Kellow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Dowsett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Saccone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GT, Evans P, Jeans P, Cox M, Anderson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Worthley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C, Chan Y, Shanks N, </w:t>
      </w:r>
      <w:proofErr w:type="gram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Craig</w:t>
      </w:r>
      <w:proofErr w:type="gram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A.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based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randomised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trial of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for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Gut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98-102 [PMID: 10601063]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32 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Kalaitzakis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E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Ambrose T, Phillips-Hughes J, Collier J, Chapman RW. Management of patients with biliary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disorder without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BMC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124 [PMID: 20969779 DOI: 10.1186/1471-230X-10-124]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33 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Cotton PB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Durkalski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V,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Orrell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KB,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Brawman-Mintzer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O,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Drossman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DA, Wilcox CM, Mauldin PD,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Elta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GH,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Tarnasky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Jagganath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SB,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Kozarek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RA, Freeman ML,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Romagnuolo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Robuck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PR. Challenges in planning and initiating a randomized clinical study of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72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986-991 [PMID: 21034899 DOI: 10.1016/j.gie.2010.08.022]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34 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Durkalski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V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Stewart W, MacDougall P, Mauldin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Romagnuolo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Brawman-Minzter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O, Cotton P. Measuring episodic abdominal pain and disability in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World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2010;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4416-4421 [PMID: 20845508 DOI: 10.3748/wjg.v16.i35.4416]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35 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Wong LL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, Tsai HH. Prevention of post-ERCP pancreatitis.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World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Pathophysiol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1-10 [PMID: 24891970 DOI: 10.4291/wjgp.v5.i1.1]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36 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Linder JD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Klapow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JC, Linder SD, Wilcox CM. Incomplete response to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patients with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dysfunction: evidence for a chronic pain disorder.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Am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2003;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98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1738-1743 [PMID: 12907327]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37 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Kurucsai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G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Joó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Fejes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Székely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Székely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Tihanyi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Z,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Altorjay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Funch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-Jensen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Várkonyi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Madácsy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L. Somatosensory hypersensitivity in the referred pain area in patients with chronic biliary pain and a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dysfunction: new aspects of an almost forgotten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pathogenetic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lastRenderedPageBreak/>
        <w:t>mechanism.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Am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2008;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103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2717-2725 [PMID: 18684173 DOI: 10.1111/j.1572-0241.2008.02068.x]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38 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Abraham HD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Anderson C, Lee D. Somatization disorder in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Psychosom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Med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1997;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553-557 [PMID: 9316189]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39 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Brawman-Mintzer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O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Durkalski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V, Wu Q,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Romagnuolo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Tarnasky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Aliperti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Freeman 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Kozarek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Jamidar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Wilcox 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Elta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G,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Orrell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K, Wood A, Mauldin P, Serrano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Drossman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Robuck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P, Cotton P. Psychosocial characteristics and pain burden of patients with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in the EPISOD multicenter trial.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Am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109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436-442 [PMID: 24445573 DOI: 10.1038/ajg.2013.467]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40 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Desautels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SG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Slivka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A, Hutson WR, Chun 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Mitrani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C,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DiLorenzo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C, Wald A.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Postcholecystectomy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pain syndrome: pathophysiology of abdominal pain in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type III.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Gastroenterology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1999;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116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900-905 [PMID: 10092312]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41 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Winstead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NS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Wilcox CM. Health-related quality of life, somatization, and abuse in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Clin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2007;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41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773-776 [PMID: 17700426]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42 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Ford AC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Quigley EM, Lacy BE,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Lembo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AJ, Saito YA, Schiller LR,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Soffer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EE, Spiegel BM,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Moayyedi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P. Effect of antidepressants and psychological therapies, including hypnotherapy, in irritable bowel syndrome: systematic review and meta-analysis.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Am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109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1350-165; quiz 1366 [PMID: 24935275 DOI: 10.1038/ajg.2014.148]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43 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Vitton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V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Ezzedine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S, Gonzalez JM,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Gasmi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M, </w:t>
      </w:r>
      <w:proofErr w:type="spellStart"/>
      <w:proofErr w:type="gram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Grimaud</w:t>
      </w:r>
      <w:proofErr w:type="spellEnd"/>
      <w:proofErr w:type="gram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JC,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Barthet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M. Medical treatment for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dysfunction: can it replace endoscopic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?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World 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2012;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18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1610-1615 [PMID: 22529689 DOI: 10.3748/wjg.v18.i14]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44 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Wehrmann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T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Seifert H,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Seipp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Lembcke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B,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Caspary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WF. Endoscopic injection of botulinum toxin for biliary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Endoscopy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1998;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702-707 [PMID: 9865560]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45 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Clouse RE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Mayer EA, Aziz Q,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Drossman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DA,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Dumitrascu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Mönnikes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H,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Naliboff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BD. Functional abdominal pain syndrome.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Gastroenterology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2006;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130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1492-1497 [PMID: 16678562]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46 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Imler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TD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Sherman S, McHenry L,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Fogel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EL, Watkins JL, Lehman GA. Low yield of significant findings on endoscopic retrograde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cholangiopancreatography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patients with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pancreatobiliary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pain and no objective findings.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Dig Dis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Sci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2012;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57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3252-3257 [PMID: 22661251 DOI: 10.1007/s10620-012-2250-0]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47 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Cotton PB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Garrow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DA, Gallagher J,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Romagnuolo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J. Risk factors for complications after ERCP: a multivariate analysis of 11,497 procedures over 12 years. 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2009;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70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80-88 [PMID: 19286178 DOI: 10.1016/j.gie.2008.10.039]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48 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Siddiqui AA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Tholey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Kedika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R, Loren DE, Kowalski TE,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Eloubeidi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MA. Low but significant yield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endosonography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in patients with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Type III with normal imaging studies.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J </w:t>
      </w:r>
      <w:proofErr w:type="spellStart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Gastrointestin</w:t>
      </w:r>
      <w:proofErr w:type="spellEnd"/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 xml:space="preserve"> Liver Dis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2012;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21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271-275 [PMID: 23012668]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lastRenderedPageBreak/>
        <w:t xml:space="preserve">49 </w:t>
      </w:r>
      <w:proofErr w:type="spellStart"/>
      <w:r w:rsidRPr="00517EE1">
        <w:rPr>
          <w:rFonts w:ascii="Book Antiqua" w:eastAsia="SimSun" w:hAnsi="Book Antiqua" w:cs="SimSun"/>
          <w:b/>
          <w:color w:val="000000"/>
          <w:sz w:val="21"/>
          <w:szCs w:val="21"/>
        </w:rPr>
        <w:t>Elmunzer</w:t>
      </w:r>
      <w:proofErr w:type="spellEnd"/>
      <w:r w:rsidRPr="00517EE1">
        <w:rPr>
          <w:rFonts w:ascii="Book Antiqua" w:eastAsia="SimSun" w:hAnsi="Book Antiqua" w:cs="SimSun"/>
          <w:b/>
          <w:color w:val="000000"/>
          <w:sz w:val="21"/>
          <w:szCs w:val="21"/>
        </w:rPr>
        <w:t xml:space="preserve"> BJ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. Pharmacologic prevention of pancreatitis after endoscopic retrograde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cholangiopancreatography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: Present and future. </w:t>
      </w:r>
      <w:r w:rsidRPr="00517EE1">
        <w:rPr>
          <w:rFonts w:ascii="Book Antiqua" w:eastAsia="SimSun" w:hAnsi="Book Antiqua" w:cs="SimSun"/>
          <w:i/>
          <w:color w:val="000000"/>
          <w:sz w:val="21"/>
          <w:szCs w:val="21"/>
        </w:rPr>
        <w:t xml:space="preserve">Tech </w:t>
      </w:r>
      <w:proofErr w:type="spellStart"/>
      <w:r w:rsidRPr="00517EE1">
        <w:rPr>
          <w:rFonts w:ascii="Book Antiqua" w:eastAsia="SimSun" w:hAnsi="Book Antiqua" w:cs="SimSun"/>
          <w:i/>
          <w:color w:val="000000"/>
          <w:sz w:val="21"/>
          <w:szCs w:val="21"/>
        </w:rPr>
        <w:t>Gastrointest</w:t>
      </w:r>
      <w:proofErr w:type="spellEnd"/>
      <w:r w:rsidRPr="00517EE1">
        <w:rPr>
          <w:rFonts w:ascii="Book Antiqua" w:eastAsia="SimSun" w:hAnsi="Book Antiqua" w:cs="SimSun"/>
          <w:i/>
          <w:color w:val="000000"/>
          <w:sz w:val="21"/>
          <w:szCs w:val="21"/>
        </w:rPr>
        <w:t xml:space="preserve"> </w:t>
      </w:r>
      <w:proofErr w:type="spellStart"/>
      <w:r w:rsidRPr="00517EE1">
        <w:rPr>
          <w:rFonts w:ascii="Book Antiqua" w:eastAsia="SimSun" w:hAnsi="Book Antiqua" w:cs="SimSun"/>
          <w:i/>
          <w:color w:val="000000"/>
          <w:sz w:val="21"/>
          <w:szCs w:val="21"/>
        </w:rPr>
        <w:t>Endosc</w:t>
      </w:r>
      <w:proofErr w:type="spellEnd"/>
      <w:r w:rsidRPr="00517EE1">
        <w:rPr>
          <w:rFonts w:ascii="Book Antiqua" w:eastAsia="SimSun" w:hAnsi="Book Antiqua" w:cs="SimSun"/>
          <w:i/>
          <w:color w:val="000000"/>
          <w:sz w:val="21"/>
          <w:szCs w:val="21"/>
        </w:rPr>
        <w:t xml:space="preserve"> 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2014; </w:t>
      </w:r>
      <w:r w:rsidRPr="00517EE1">
        <w:rPr>
          <w:rFonts w:ascii="Book Antiqua" w:eastAsia="SimSun" w:hAnsi="Book Antiqua" w:cs="SimSun"/>
          <w:b/>
          <w:color w:val="000000"/>
          <w:sz w:val="21"/>
          <w:szCs w:val="21"/>
        </w:rPr>
        <w:t>16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169-174 [DOI: 10.1016/j.tgie.2014.05.003]</w:t>
      </w:r>
    </w:p>
    <w:p w:rsidR="0061186C" w:rsidRPr="00517EE1" w:rsidRDefault="0061186C" w:rsidP="0061186C">
      <w:pPr>
        <w:jc w:val="both"/>
        <w:rPr>
          <w:rFonts w:ascii="Book Antiqua" w:eastAsia="SimSun" w:hAnsi="Book Antiqua" w:cs="SimSun"/>
          <w:color w:val="000000"/>
          <w:sz w:val="21"/>
          <w:szCs w:val="21"/>
        </w:rPr>
      </w:pP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50 </w:t>
      </w:r>
      <w:proofErr w:type="spellStart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Arguedas</w:t>
      </w:r>
      <w:proofErr w:type="spellEnd"/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 xml:space="preserve"> MR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, Linder JD, Wilcox CM. Suspected sphincter of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Oddi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dysfunction type II: empirical biliary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sphincterotomy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 xml:space="preserve"> or </w:t>
      </w:r>
      <w:proofErr w:type="spellStart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manometry</w:t>
      </w:r>
      <w:proofErr w:type="spellEnd"/>
      <w:r w:rsidRPr="00517EE1">
        <w:rPr>
          <w:rFonts w:ascii="Book Antiqua" w:eastAsia="SimSun" w:hAnsi="Book Antiqua" w:cs="SimSun"/>
          <w:color w:val="000000"/>
          <w:sz w:val="21"/>
          <w:szCs w:val="21"/>
        </w:rPr>
        <w:t>-guided therapy? </w:t>
      </w:r>
      <w:r w:rsidRPr="00517EE1">
        <w:rPr>
          <w:rFonts w:ascii="Book Antiqua" w:eastAsia="SimSun" w:hAnsi="Book Antiqua" w:cs="SimSun"/>
          <w:i/>
          <w:iCs/>
          <w:color w:val="000000"/>
          <w:sz w:val="21"/>
          <w:szCs w:val="21"/>
        </w:rPr>
        <w:t>Endoscopy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 2004; </w:t>
      </w:r>
      <w:r w:rsidRPr="00517EE1">
        <w:rPr>
          <w:rFonts w:ascii="Book Antiqua" w:eastAsia="SimSun" w:hAnsi="Book Antiqua" w:cs="SimSun"/>
          <w:b/>
          <w:bCs/>
          <w:color w:val="000000"/>
          <w:sz w:val="21"/>
          <w:szCs w:val="21"/>
        </w:rPr>
        <w:t>36</w:t>
      </w:r>
      <w:r w:rsidRPr="00517EE1">
        <w:rPr>
          <w:rFonts w:ascii="Book Antiqua" w:eastAsia="SimSun" w:hAnsi="Book Antiqua" w:cs="SimSun"/>
          <w:color w:val="000000"/>
          <w:sz w:val="21"/>
          <w:szCs w:val="21"/>
        </w:rPr>
        <w:t>: 174-178 [PMID: 14765316]</w:t>
      </w:r>
    </w:p>
    <w:p w:rsidR="0061186C" w:rsidRPr="00517EE1" w:rsidRDefault="0061186C" w:rsidP="0061186C">
      <w:pPr>
        <w:jc w:val="both"/>
        <w:rPr>
          <w:rFonts w:ascii="Book Antiqua" w:hAnsi="Book Antiqua"/>
          <w:sz w:val="21"/>
          <w:szCs w:val="21"/>
        </w:rPr>
      </w:pPr>
    </w:p>
    <w:p w:rsidR="0061186C" w:rsidRPr="008C1774" w:rsidRDefault="0061186C" w:rsidP="0061186C">
      <w:pPr>
        <w:wordWrap w:val="0"/>
        <w:spacing w:line="360" w:lineRule="auto"/>
        <w:jc w:val="right"/>
        <w:rPr>
          <w:rFonts w:ascii="Book Antiqua" w:hAnsi="Book Antiqua"/>
          <w:b/>
          <w:bCs/>
          <w:sz w:val="21"/>
        </w:rPr>
      </w:pPr>
      <w:r w:rsidRPr="008C1774">
        <w:rPr>
          <w:rFonts w:ascii="Book Antiqua" w:hAnsi="Book Antiqua"/>
          <w:b/>
          <w:bCs/>
          <w:sz w:val="21"/>
        </w:rPr>
        <w:t xml:space="preserve">P-Reviewer: </w:t>
      </w:r>
      <w:r w:rsidR="008C1774" w:rsidRPr="008C1774">
        <w:rPr>
          <w:rFonts w:ascii="Book Antiqua" w:hAnsi="Book Antiqua"/>
          <w:bCs/>
          <w:sz w:val="21"/>
        </w:rPr>
        <w:t>Fujisawa T</w:t>
      </w:r>
      <w:r w:rsidR="008C1774" w:rsidRPr="008C1774">
        <w:rPr>
          <w:rFonts w:ascii="Book Antiqua" w:hAnsi="Book Antiqua" w:hint="eastAsia"/>
          <w:bCs/>
          <w:sz w:val="21"/>
          <w:lang w:eastAsia="zh-CN"/>
        </w:rPr>
        <w:t xml:space="preserve">, </w:t>
      </w:r>
      <w:proofErr w:type="spellStart"/>
      <w:r w:rsidR="008C1774" w:rsidRPr="008C1774">
        <w:rPr>
          <w:rFonts w:ascii="Book Antiqua" w:hAnsi="Book Antiqua"/>
          <w:bCs/>
          <w:sz w:val="21"/>
          <w:lang w:eastAsia="zh-CN"/>
        </w:rPr>
        <w:t>Otowa</w:t>
      </w:r>
      <w:proofErr w:type="spellEnd"/>
      <w:r w:rsidR="008C1774" w:rsidRPr="008C1774">
        <w:rPr>
          <w:rFonts w:ascii="Book Antiqua" w:hAnsi="Book Antiqua"/>
          <w:bCs/>
          <w:sz w:val="21"/>
          <w:lang w:eastAsia="zh-CN"/>
        </w:rPr>
        <w:t xml:space="preserve"> Y</w:t>
      </w:r>
      <w:r w:rsidR="008C1774" w:rsidRPr="008C1774">
        <w:rPr>
          <w:rFonts w:ascii="Book Antiqua" w:hAnsi="Book Antiqua" w:hint="eastAsia"/>
          <w:bCs/>
          <w:sz w:val="21"/>
          <w:lang w:eastAsia="zh-CN"/>
        </w:rPr>
        <w:t xml:space="preserve">, </w:t>
      </w:r>
      <w:proofErr w:type="spellStart"/>
      <w:r w:rsidR="008C1774" w:rsidRPr="008C1774">
        <w:rPr>
          <w:rFonts w:ascii="Book Antiqua" w:hAnsi="Book Antiqua"/>
          <w:bCs/>
          <w:sz w:val="21"/>
        </w:rPr>
        <w:t>Rustagi</w:t>
      </w:r>
      <w:proofErr w:type="spellEnd"/>
      <w:r w:rsidR="008C1774" w:rsidRPr="008C1774">
        <w:rPr>
          <w:rFonts w:ascii="Book Antiqua" w:hAnsi="Book Antiqua"/>
          <w:bCs/>
          <w:sz w:val="21"/>
        </w:rPr>
        <w:t xml:space="preserve"> T</w:t>
      </w:r>
      <w:r w:rsidRPr="008C1774">
        <w:rPr>
          <w:rFonts w:ascii="Book Antiqua" w:hAnsi="Book Antiqua" w:hint="eastAsia"/>
          <w:b/>
          <w:bCs/>
          <w:sz w:val="21"/>
        </w:rPr>
        <w:t xml:space="preserve"> </w:t>
      </w:r>
      <w:r w:rsidRPr="008C1774">
        <w:rPr>
          <w:rFonts w:ascii="Book Antiqua" w:hAnsi="Book Antiqua"/>
          <w:b/>
          <w:bCs/>
          <w:sz w:val="21"/>
        </w:rPr>
        <w:t>S-Editor:</w:t>
      </w:r>
      <w:r w:rsidRPr="008C1774">
        <w:rPr>
          <w:rFonts w:ascii="Book Antiqua" w:hAnsi="Book Antiqua"/>
          <w:sz w:val="21"/>
        </w:rPr>
        <w:t xml:space="preserve"> </w:t>
      </w:r>
      <w:r w:rsidRPr="008C1774">
        <w:rPr>
          <w:rFonts w:ascii="Book Antiqua" w:hAnsi="Book Antiqua" w:hint="eastAsia"/>
          <w:sz w:val="21"/>
          <w:lang w:eastAsia="zh-CN"/>
        </w:rPr>
        <w:t>Ma YJ</w:t>
      </w:r>
      <w:r w:rsidRPr="008C1774">
        <w:rPr>
          <w:rFonts w:ascii="Book Antiqua" w:hAnsi="Book Antiqua" w:hint="eastAsia"/>
          <w:sz w:val="21"/>
        </w:rPr>
        <w:t xml:space="preserve"> </w:t>
      </w:r>
      <w:r w:rsidRPr="008C1774">
        <w:rPr>
          <w:rFonts w:ascii="Book Antiqua" w:hAnsi="Book Antiqua"/>
          <w:b/>
          <w:bCs/>
          <w:sz w:val="21"/>
        </w:rPr>
        <w:t>L-Editor:</w:t>
      </w:r>
      <w:r w:rsidRPr="008C1774">
        <w:rPr>
          <w:rFonts w:ascii="Book Antiqua" w:hAnsi="Book Antiqua"/>
          <w:sz w:val="21"/>
        </w:rPr>
        <w:t xml:space="preserve"> </w:t>
      </w:r>
      <w:r w:rsidRPr="008C1774">
        <w:rPr>
          <w:rFonts w:ascii="Book Antiqua" w:hAnsi="Book Antiqua" w:hint="eastAsia"/>
          <w:sz w:val="21"/>
        </w:rPr>
        <w:t xml:space="preserve"> </w:t>
      </w:r>
      <w:r w:rsidRPr="008C1774">
        <w:rPr>
          <w:rFonts w:ascii="Book Antiqua" w:hAnsi="Book Antiqua"/>
          <w:sz w:val="21"/>
        </w:rPr>
        <w:t xml:space="preserve"> </w:t>
      </w:r>
      <w:r w:rsidRPr="008C1774">
        <w:rPr>
          <w:rFonts w:ascii="Book Antiqua" w:hAnsi="Book Antiqua"/>
          <w:b/>
          <w:bCs/>
          <w:sz w:val="21"/>
        </w:rPr>
        <w:t>E-Editor:</w:t>
      </w:r>
    </w:p>
    <w:p w:rsidR="0000111A" w:rsidRPr="0061186C" w:rsidRDefault="0000111A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B1219" w:rsidRPr="000005E4" w:rsidRDefault="00DB1219" w:rsidP="00ED01DB">
      <w:pPr>
        <w:adjustRightInd w:val="0"/>
        <w:snapToGrid w:val="0"/>
        <w:spacing w:after="0" w:line="360" w:lineRule="auto"/>
        <w:ind w:hanging="720"/>
        <w:rPr>
          <w:rFonts w:ascii="Book Antiqua" w:hAnsi="Book Antiqua" w:cs="Arial"/>
          <w:sz w:val="24"/>
          <w:szCs w:val="24"/>
        </w:rPr>
      </w:pPr>
      <w:r w:rsidRPr="000005E4">
        <w:rPr>
          <w:rFonts w:ascii="Book Antiqua" w:hAnsi="Book Antiqua" w:cs="Arial"/>
          <w:sz w:val="24"/>
          <w:szCs w:val="24"/>
        </w:rPr>
        <w:br w:type="page"/>
      </w:r>
    </w:p>
    <w:p w:rsidR="0091100E" w:rsidRPr="008C1774" w:rsidRDefault="008C1774" w:rsidP="0000111A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8C1774">
        <w:rPr>
          <w:rFonts w:ascii="Book Antiqua" w:hAnsi="Book Antiqua" w:cs="Arial"/>
          <w:b/>
          <w:sz w:val="24"/>
          <w:szCs w:val="24"/>
        </w:rPr>
        <w:lastRenderedPageBreak/>
        <w:t xml:space="preserve">Table 1 Classification of sphincter of </w:t>
      </w:r>
      <w:proofErr w:type="spellStart"/>
      <w:r w:rsidRPr="008C1774">
        <w:rPr>
          <w:rFonts w:ascii="Book Antiqua" w:hAnsi="Book Antiqua" w:cs="Arial"/>
          <w:b/>
          <w:sz w:val="24"/>
          <w:szCs w:val="24"/>
        </w:rPr>
        <w:t>Oddi</w:t>
      </w:r>
      <w:proofErr w:type="spellEnd"/>
      <w:r w:rsidRPr="008C1774">
        <w:rPr>
          <w:rFonts w:ascii="Book Antiqua" w:hAnsi="Book Antiqua" w:cs="Arial"/>
          <w:b/>
          <w:sz w:val="24"/>
          <w:szCs w:val="24"/>
        </w:rPr>
        <w:t xml:space="preserve"> dysfunction</w:t>
      </w:r>
    </w:p>
    <w:tbl>
      <w:tblPr>
        <w:tblStyle w:val="TableGrid"/>
        <w:tblW w:w="0" w:type="auto"/>
        <w:tblInd w:w="-7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590"/>
        <w:gridCol w:w="4590"/>
      </w:tblGrid>
      <w:tr w:rsidR="008C1774" w:rsidRPr="008C1774" w:rsidTr="008C1774">
        <w:trPr>
          <w:trHeight w:val="31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C1774" w:rsidRPr="008C177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1774" w:rsidRPr="008C177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8C1774">
              <w:rPr>
                <w:rFonts w:ascii="Book Antiqua" w:hAnsi="Book Antiqua" w:cs="Arial"/>
                <w:b/>
                <w:sz w:val="24"/>
                <w:szCs w:val="24"/>
              </w:rPr>
              <w:t>Abnormal liver or pancreatic chemistries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1774" w:rsidRPr="008C1774" w:rsidRDefault="008C1774" w:rsidP="005A6A0F">
            <w:pPr>
              <w:adjustRightInd w:val="0"/>
              <w:snapToGrid w:val="0"/>
              <w:spacing w:line="360" w:lineRule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8C1774">
              <w:rPr>
                <w:rFonts w:ascii="Book Antiqua" w:hAnsi="Book Antiqua" w:cs="Arial"/>
                <w:b/>
                <w:sz w:val="24"/>
                <w:szCs w:val="24"/>
              </w:rPr>
              <w:t>Biliary or pancreatic duct dilation on imaging</w:t>
            </w:r>
          </w:p>
        </w:tc>
      </w:tr>
      <w:tr w:rsidR="008C1774" w:rsidRPr="000005E4" w:rsidTr="008C1774">
        <w:tc>
          <w:tcPr>
            <w:tcW w:w="1080" w:type="dxa"/>
            <w:tcBorders>
              <w:top w:val="single" w:sz="4" w:space="0" w:color="auto"/>
            </w:tcBorders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Type I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Both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Both</w:t>
            </w:r>
          </w:p>
        </w:tc>
      </w:tr>
      <w:tr w:rsidR="008C1774" w:rsidRPr="000005E4" w:rsidTr="008C1774">
        <w:tc>
          <w:tcPr>
            <w:tcW w:w="108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Type II</w:t>
            </w:r>
          </w:p>
        </w:tc>
        <w:tc>
          <w:tcPr>
            <w:tcW w:w="459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Either</w:t>
            </w:r>
          </w:p>
        </w:tc>
        <w:tc>
          <w:tcPr>
            <w:tcW w:w="459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Either</w:t>
            </w:r>
          </w:p>
        </w:tc>
      </w:tr>
      <w:tr w:rsidR="008C1774" w:rsidRPr="000005E4" w:rsidTr="008C1774">
        <w:tc>
          <w:tcPr>
            <w:tcW w:w="108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Type III</w:t>
            </w:r>
          </w:p>
        </w:tc>
        <w:tc>
          <w:tcPr>
            <w:tcW w:w="459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Neither</w:t>
            </w:r>
          </w:p>
        </w:tc>
        <w:tc>
          <w:tcPr>
            <w:tcW w:w="4590" w:type="dxa"/>
          </w:tcPr>
          <w:p w:rsidR="008C1774" w:rsidRPr="000005E4" w:rsidRDefault="008C1774" w:rsidP="005A6A0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005E4">
              <w:rPr>
                <w:rFonts w:ascii="Book Antiqua" w:hAnsi="Book Antiqua" w:cs="Arial"/>
                <w:sz w:val="24"/>
                <w:szCs w:val="24"/>
              </w:rPr>
              <w:t>Neither</w:t>
            </w:r>
          </w:p>
        </w:tc>
      </w:tr>
    </w:tbl>
    <w:p w:rsidR="008C1774" w:rsidRPr="000005E4" w:rsidRDefault="008C1774" w:rsidP="0000111A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97568D" w:rsidRPr="008C1774" w:rsidRDefault="008C1774" w:rsidP="008C1774">
      <w:pPr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8C1774">
        <w:rPr>
          <w:rFonts w:ascii="Book Antiqua" w:hAnsi="Book Antiqua" w:cs="Times New Roman"/>
          <w:b/>
          <w:sz w:val="24"/>
          <w:szCs w:val="24"/>
        </w:rPr>
        <w:t xml:space="preserve">Table 2 RCT’s of Type II </w:t>
      </w:r>
      <w:r w:rsidRPr="008C1774">
        <w:rPr>
          <w:rFonts w:ascii="Book Antiqua" w:hAnsi="Book Antiqua" w:cs="Tahoma"/>
          <w:b/>
          <w:sz w:val="24"/>
          <w:szCs w:val="24"/>
        </w:rPr>
        <w:t xml:space="preserve">sphincter of </w:t>
      </w:r>
      <w:proofErr w:type="spellStart"/>
      <w:r w:rsidRPr="008C1774">
        <w:rPr>
          <w:rFonts w:ascii="Book Antiqua" w:hAnsi="Book Antiqua" w:cs="Tahoma"/>
          <w:b/>
          <w:sz w:val="24"/>
          <w:szCs w:val="24"/>
        </w:rPr>
        <w:t>Oddi</w:t>
      </w:r>
      <w:proofErr w:type="spellEnd"/>
      <w:r w:rsidRPr="008C1774">
        <w:rPr>
          <w:rFonts w:ascii="Book Antiqua" w:hAnsi="Book Antiqua" w:cs="Tahoma"/>
          <w:b/>
          <w:sz w:val="24"/>
          <w:szCs w:val="24"/>
        </w:rPr>
        <w:t xml:space="preserve"> dysfunction</w:t>
      </w:r>
      <w:r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 </w:t>
      </w:r>
      <w:r w:rsidRPr="008C1774">
        <w:rPr>
          <w:rFonts w:ascii="Book Antiqua" w:hAnsi="Book Antiqua" w:cs="Tahoma"/>
          <w:b/>
          <w:i/>
          <w:sz w:val="24"/>
          <w:szCs w:val="24"/>
          <w:lang w:eastAsia="zh-CN"/>
        </w:rPr>
        <w:t>n</w:t>
      </w:r>
      <w:r>
        <w:rPr>
          <w:rFonts w:ascii="Book Antiqua" w:hAnsi="Book Antiqua" w:cs="Tahoma" w:hint="eastAsia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2250"/>
        <w:gridCol w:w="2700"/>
      </w:tblGrid>
      <w:tr w:rsidR="00CC76F2" w:rsidRPr="008C1774" w:rsidTr="008C1774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:rsidR="00CC76F2" w:rsidRPr="008C1774" w:rsidRDefault="00CC76F2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C76F2" w:rsidRPr="008C177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8C1774">
              <w:rPr>
                <w:rFonts w:ascii="Book Antiqua" w:hAnsi="Book Antiqua" w:cs="Times New Roman"/>
                <w:b/>
                <w:sz w:val="24"/>
                <w:szCs w:val="24"/>
              </w:rPr>
              <w:t>Geenen</w:t>
            </w:r>
            <w:proofErr w:type="spellEnd"/>
            <w:r w:rsidRPr="008C177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(’89)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C76F2" w:rsidRPr="008C177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8C1774">
              <w:rPr>
                <w:rFonts w:ascii="Book Antiqua" w:hAnsi="Book Antiqua" w:cs="Times New Roman"/>
                <w:b/>
                <w:sz w:val="24"/>
                <w:szCs w:val="24"/>
              </w:rPr>
              <w:t>Toouli</w:t>
            </w:r>
            <w:proofErr w:type="spellEnd"/>
            <w:r w:rsidRPr="008C177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(2000)</w:t>
            </w:r>
          </w:p>
        </w:tc>
      </w:tr>
      <w:tr w:rsidR="00CC76F2" w:rsidRPr="000005E4" w:rsidTr="008C1774">
        <w:tc>
          <w:tcPr>
            <w:tcW w:w="3258" w:type="dxa"/>
            <w:tcBorders>
              <w:top w:val="single" w:sz="4" w:space="0" w:color="auto"/>
            </w:tcBorders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Rome type 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-</w:t>
            </w:r>
          </w:p>
        </w:tc>
      </w:tr>
      <w:tr w:rsidR="00CC76F2" w:rsidRPr="000005E4" w:rsidTr="008C1774">
        <w:tc>
          <w:tcPr>
            <w:tcW w:w="3258" w:type="dxa"/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Concealed assignment</w:t>
            </w:r>
          </w:p>
        </w:tc>
        <w:tc>
          <w:tcPr>
            <w:tcW w:w="2250" w:type="dxa"/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CC76F2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+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 xml:space="preserve">Blinded </w:t>
            </w:r>
            <w:r w:rsidRPr="008C1774">
              <w:rPr>
                <w:rFonts w:ascii="Book Antiqua" w:hAnsi="Book Antiqua" w:cs="Times New Roman"/>
                <w:caps/>
                <w:sz w:val="24"/>
                <w:szCs w:val="24"/>
              </w:rPr>
              <w:t>f/u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8C17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Type I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8C17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Type II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47 (100)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81 (100)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8C17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Type III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0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Sham EBS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Mano Directed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No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Yes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Response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9612D8" w:rsidP="008C17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E57615" w:rsidRPr="000005E4">
              <w:rPr>
                <w:rFonts w:ascii="Book Antiqua" w:hAnsi="Book Antiqua" w:cs="Times New Roman"/>
                <w:sz w:val="24"/>
                <w:szCs w:val="24"/>
              </w:rPr>
              <w:t xml:space="preserve">+ </w:t>
            </w:r>
            <w:proofErr w:type="spellStart"/>
            <w:r w:rsidR="00E57615" w:rsidRPr="000005E4">
              <w:rPr>
                <w:rFonts w:ascii="Book Antiqua" w:hAnsi="Book Antiqua" w:cs="Times New Roman"/>
                <w:sz w:val="24"/>
                <w:szCs w:val="24"/>
              </w:rPr>
              <w:t>mano</w:t>
            </w:r>
            <w:proofErr w:type="spellEnd"/>
            <w:r w:rsidR="00E57615" w:rsidRPr="000005E4">
              <w:rPr>
                <w:rFonts w:ascii="Book Antiqua" w:hAnsi="Book Antiqua" w:cs="Times New Roman"/>
                <w:sz w:val="24"/>
                <w:szCs w:val="24"/>
              </w:rPr>
              <w:t xml:space="preserve"> (EBS </w:t>
            </w:r>
            <w:r w:rsidR="00E57615" w:rsidRPr="008C177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vs </w:t>
            </w:r>
            <w:r w:rsidR="00E57615" w:rsidRPr="000005E4">
              <w:rPr>
                <w:rFonts w:ascii="Book Antiqua" w:hAnsi="Book Antiqua" w:cs="Times New Roman"/>
                <w:sz w:val="24"/>
                <w:szCs w:val="24"/>
              </w:rPr>
              <w:t xml:space="preserve">S), </w:t>
            </w:r>
          </w:p>
        </w:tc>
        <w:tc>
          <w:tcPr>
            <w:tcW w:w="2250" w:type="dxa"/>
          </w:tcPr>
          <w:p w:rsidR="00E57615" w:rsidRPr="000005E4" w:rsidRDefault="00E57615" w:rsidP="008C17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91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="008C1774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, 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>25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85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>,</w:t>
            </w:r>
            <w:r w:rsidR="008C1774">
              <w:rPr>
                <w:rFonts w:ascii="Book Antiqua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>38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</w:p>
        </w:tc>
      </w:tr>
      <w:tr w:rsidR="00E57615" w:rsidRPr="000005E4" w:rsidTr="008C1774">
        <w:tc>
          <w:tcPr>
            <w:tcW w:w="3258" w:type="dxa"/>
          </w:tcPr>
          <w:p w:rsidR="00E57615" w:rsidRPr="000005E4" w:rsidRDefault="00E57615" w:rsidP="008C1774">
            <w:pPr>
              <w:pStyle w:val="ListParagraph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 xml:space="preserve">Mano (EBS </w:t>
            </w:r>
            <w:r w:rsidRPr="008C1774">
              <w:rPr>
                <w:rFonts w:ascii="Book Antiqua" w:hAnsi="Book Antiqua" w:cs="Times New Roman"/>
                <w:i/>
                <w:sz w:val="24"/>
                <w:szCs w:val="24"/>
              </w:rPr>
              <w:t>vs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 xml:space="preserve"> S)</w:t>
            </w:r>
          </w:p>
        </w:tc>
        <w:tc>
          <w:tcPr>
            <w:tcW w:w="225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33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>, 42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</w:tcPr>
          <w:p w:rsidR="00E57615" w:rsidRPr="000005E4" w:rsidRDefault="00E57615" w:rsidP="000011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005E4">
              <w:rPr>
                <w:rFonts w:ascii="Book Antiqua" w:hAnsi="Book Antiqua" w:cs="Times New Roman"/>
                <w:sz w:val="24"/>
                <w:szCs w:val="24"/>
              </w:rPr>
              <w:t>62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Pr="000005E4">
              <w:rPr>
                <w:rFonts w:ascii="Book Antiqua" w:hAnsi="Book Antiqua" w:cs="Times New Roman"/>
                <w:sz w:val="24"/>
                <w:szCs w:val="24"/>
              </w:rPr>
              <w:t>, 42</w:t>
            </w:r>
            <w:r w:rsidR="008C1774" w:rsidRPr="000005E4">
              <w:rPr>
                <w:rFonts w:ascii="Book Antiqua" w:hAnsi="Book Antiqua" w:cs="Times New Roman"/>
                <w:sz w:val="24"/>
                <w:szCs w:val="24"/>
              </w:rPr>
              <w:t>%</w:t>
            </w:r>
          </w:p>
        </w:tc>
      </w:tr>
    </w:tbl>
    <w:p w:rsidR="00842174" w:rsidRPr="001043BB" w:rsidRDefault="002136E0" w:rsidP="00B5354E">
      <w:pPr>
        <w:adjustRightInd w:val="0"/>
        <w:snapToGrid w:val="0"/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0005E4">
        <w:rPr>
          <w:rFonts w:ascii="Book Antiqua" w:hAnsi="Book Antiqua" w:cs="Times New Roman"/>
          <w:sz w:val="24"/>
          <w:szCs w:val="24"/>
        </w:rPr>
        <w:t>F/U</w:t>
      </w:r>
      <w:r w:rsidR="008C1774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Pr="000005E4">
        <w:rPr>
          <w:rFonts w:ascii="Book Antiqua" w:hAnsi="Book Antiqua" w:cs="Times New Roman"/>
          <w:sz w:val="24"/>
          <w:szCs w:val="24"/>
        </w:rPr>
        <w:t xml:space="preserve"> Follow-up; </w:t>
      </w:r>
      <w:r w:rsidR="001E7475" w:rsidRPr="000005E4">
        <w:rPr>
          <w:rFonts w:ascii="Book Antiqua" w:hAnsi="Book Antiqua" w:cs="Times New Roman"/>
          <w:sz w:val="24"/>
          <w:szCs w:val="24"/>
        </w:rPr>
        <w:t>EBS</w:t>
      </w:r>
      <w:r w:rsidR="008C1774">
        <w:rPr>
          <w:rFonts w:ascii="Book Antiqua" w:hAnsi="Book Antiqua" w:cs="Times New Roman" w:hint="eastAsia"/>
          <w:sz w:val="24"/>
          <w:szCs w:val="24"/>
          <w:lang w:eastAsia="zh-CN"/>
        </w:rPr>
        <w:t xml:space="preserve">: </w:t>
      </w:r>
      <w:r w:rsidR="008C1774" w:rsidRPr="000005E4">
        <w:rPr>
          <w:rFonts w:ascii="Book Antiqua" w:hAnsi="Book Antiqua" w:cs="Times New Roman"/>
          <w:sz w:val="24"/>
          <w:szCs w:val="24"/>
        </w:rPr>
        <w:t xml:space="preserve">Endoscopic </w:t>
      </w:r>
      <w:r w:rsidR="001E7475" w:rsidRPr="000005E4">
        <w:rPr>
          <w:rFonts w:ascii="Book Antiqua" w:hAnsi="Book Antiqua" w:cs="Times New Roman"/>
          <w:sz w:val="24"/>
          <w:szCs w:val="24"/>
        </w:rPr>
        <w:t xml:space="preserve">biliary </w:t>
      </w:r>
      <w:proofErr w:type="spellStart"/>
      <w:r w:rsidR="001E7475" w:rsidRPr="000005E4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1E7475" w:rsidRPr="000005E4">
        <w:rPr>
          <w:rFonts w:ascii="Book Antiqua" w:hAnsi="Book Antiqua" w:cs="Times New Roman"/>
          <w:sz w:val="24"/>
          <w:szCs w:val="24"/>
        </w:rPr>
        <w:t xml:space="preserve">; </w:t>
      </w:r>
      <w:proofErr w:type="spellStart"/>
      <w:r w:rsidR="001E7475" w:rsidRPr="000005E4">
        <w:rPr>
          <w:rFonts w:ascii="Book Antiqua" w:hAnsi="Book Antiqua" w:cs="Times New Roman"/>
          <w:sz w:val="24"/>
          <w:szCs w:val="24"/>
        </w:rPr>
        <w:t>mano</w:t>
      </w:r>
      <w:proofErr w:type="spellEnd"/>
      <w:r w:rsidR="008C1774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1E7475" w:rsidRPr="000005E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C1774" w:rsidRPr="000005E4">
        <w:rPr>
          <w:rFonts w:ascii="Book Antiqua" w:hAnsi="Book Antiqua" w:cs="Times New Roman"/>
          <w:sz w:val="24"/>
          <w:szCs w:val="24"/>
        </w:rPr>
        <w:t>Manometry</w:t>
      </w:r>
      <w:proofErr w:type="spellEnd"/>
      <w:r w:rsidR="001E7475" w:rsidRPr="000005E4">
        <w:rPr>
          <w:rFonts w:ascii="Book Antiqua" w:hAnsi="Book Antiqua" w:cs="Times New Roman"/>
          <w:sz w:val="24"/>
          <w:szCs w:val="24"/>
        </w:rPr>
        <w:t>; S</w:t>
      </w:r>
      <w:r w:rsidR="008C1774">
        <w:rPr>
          <w:rFonts w:ascii="Book Antiqua" w:hAnsi="Book Antiqua" w:cs="Times New Roman" w:hint="eastAsia"/>
          <w:sz w:val="24"/>
          <w:szCs w:val="24"/>
          <w:lang w:eastAsia="zh-CN"/>
        </w:rPr>
        <w:t>:</w:t>
      </w:r>
      <w:r w:rsidR="001E7475" w:rsidRPr="000005E4">
        <w:rPr>
          <w:rFonts w:ascii="Book Antiqua" w:hAnsi="Book Antiqua" w:cs="Times New Roman"/>
          <w:sz w:val="24"/>
          <w:szCs w:val="24"/>
        </w:rPr>
        <w:t xml:space="preserve"> </w:t>
      </w:r>
      <w:r w:rsidR="008C1774" w:rsidRPr="000005E4">
        <w:rPr>
          <w:rFonts w:ascii="Book Antiqua" w:hAnsi="Book Antiqua" w:cs="Times New Roman"/>
          <w:sz w:val="24"/>
          <w:szCs w:val="24"/>
        </w:rPr>
        <w:t>Sham</w:t>
      </w:r>
      <w:r w:rsidR="001E7475" w:rsidRPr="000005E4">
        <w:rPr>
          <w:rFonts w:ascii="Book Antiqua" w:hAnsi="Book Antiqua" w:cs="Times New Roman"/>
          <w:sz w:val="24"/>
          <w:szCs w:val="24"/>
        </w:rPr>
        <w:t>.</w:t>
      </w:r>
      <w:r w:rsidR="009612D8">
        <w:rPr>
          <w:rFonts w:ascii="Book Antiqua" w:hAnsi="Book Antiqua" w:cs="Times New Roman"/>
          <w:sz w:val="24"/>
          <w:szCs w:val="24"/>
        </w:rPr>
        <w:t xml:space="preserve"> </w:t>
      </w:r>
    </w:p>
    <w:p w:rsidR="00B37910" w:rsidRPr="001043BB" w:rsidRDefault="00B37910" w:rsidP="0000111A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6234CD" w:rsidRPr="001043BB" w:rsidRDefault="00942DA3" w:rsidP="0000111A">
      <w:pPr>
        <w:adjustRightInd w:val="0"/>
        <w:snapToGrid w:val="0"/>
        <w:spacing w:after="0" w:line="360" w:lineRule="auto"/>
        <w:ind w:hanging="720"/>
        <w:jc w:val="both"/>
        <w:rPr>
          <w:rFonts w:ascii="Book Antiqua" w:hAnsi="Book Antiqua" w:cs="Arial"/>
          <w:sz w:val="24"/>
          <w:szCs w:val="24"/>
        </w:rPr>
      </w:pPr>
      <w:r w:rsidRPr="001043BB">
        <w:rPr>
          <w:rFonts w:ascii="Book Antiqua" w:hAnsi="Book Antiqua" w:cs="Arial"/>
          <w:sz w:val="24"/>
          <w:szCs w:val="24"/>
        </w:rPr>
        <w:tab/>
        <w:t xml:space="preserve"> </w:t>
      </w:r>
    </w:p>
    <w:sectPr w:rsidR="006234CD" w:rsidRPr="001043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EF" w:rsidRDefault="00321CEF" w:rsidP="007E2E74">
      <w:pPr>
        <w:spacing w:after="0" w:line="240" w:lineRule="auto"/>
      </w:pPr>
      <w:r>
        <w:separator/>
      </w:r>
    </w:p>
  </w:endnote>
  <w:endnote w:type="continuationSeparator" w:id="0">
    <w:p w:rsidR="00321CEF" w:rsidRDefault="00321CEF" w:rsidP="007E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dvTimes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10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3F59" w:rsidRDefault="003C3F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C6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C3F59" w:rsidRDefault="003C3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EF" w:rsidRDefault="00321CEF" w:rsidP="007E2E74">
      <w:pPr>
        <w:spacing w:after="0" w:line="240" w:lineRule="auto"/>
      </w:pPr>
      <w:r>
        <w:separator/>
      </w:r>
    </w:p>
  </w:footnote>
  <w:footnote w:type="continuationSeparator" w:id="0">
    <w:p w:rsidR="00321CEF" w:rsidRDefault="00321CEF" w:rsidP="007E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4800"/>
    <w:multiLevelType w:val="hybridMultilevel"/>
    <w:tmpl w:val="D674A36E"/>
    <w:lvl w:ilvl="0" w:tplc="6140679A">
      <w:start w:val="81"/>
      <w:numFmt w:val="bullet"/>
      <w:lvlText w:val="-"/>
      <w:lvlJc w:val="left"/>
      <w:pPr>
        <w:ind w:left="48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B"/>
    <w:rsid w:val="000005E4"/>
    <w:rsid w:val="0000111A"/>
    <w:rsid w:val="000167C0"/>
    <w:rsid w:val="00016B07"/>
    <w:rsid w:val="0001731C"/>
    <w:rsid w:val="00027EDC"/>
    <w:rsid w:val="00032DE8"/>
    <w:rsid w:val="00045A56"/>
    <w:rsid w:val="00053CE6"/>
    <w:rsid w:val="000545E3"/>
    <w:rsid w:val="00060401"/>
    <w:rsid w:val="00064025"/>
    <w:rsid w:val="00072FD8"/>
    <w:rsid w:val="000826C7"/>
    <w:rsid w:val="000905AE"/>
    <w:rsid w:val="000B46CD"/>
    <w:rsid w:val="000C1A2A"/>
    <w:rsid w:val="000C42CD"/>
    <w:rsid w:val="000F08A5"/>
    <w:rsid w:val="0010078F"/>
    <w:rsid w:val="001043BB"/>
    <w:rsid w:val="00113295"/>
    <w:rsid w:val="00127654"/>
    <w:rsid w:val="00132A9D"/>
    <w:rsid w:val="00135197"/>
    <w:rsid w:val="0013761F"/>
    <w:rsid w:val="001568FD"/>
    <w:rsid w:val="00156F44"/>
    <w:rsid w:val="00163DBD"/>
    <w:rsid w:val="0017020B"/>
    <w:rsid w:val="001A0FF2"/>
    <w:rsid w:val="001B0995"/>
    <w:rsid w:val="001B23C3"/>
    <w:rsid w:val="001B7B6D"/>
    <w:rsid w:val="001B7FFE"/>
    <w:rsid w:val="001C344E"/>
    <w:rsid w:val="001D36E7"/>
    <w:rsid w:val="001E13D3"/>
    <w:rsid w:val="001E7475"/>
    <w:rsid w:val="001E7664"/>
    <w:rsid w:val="001F2ED5"/>
    <w:rsid w:val="002013F3"/>
    <w:rsid w:val="00206ED4"/>
    <w:rsid w:val="002136E0"/>
    <w:rsid w:val="00221B53"/>
    <w:rsid w:val="0022202A"/>
    <w:rsid w:val="00224A43"/>
    <w:rsid w:val="00230C3C"/>
    <w:rsid w:val="0023116F"/>
    <w:rsid w:val="00233CB6"/>
    <w:rsid w:val="002379BA"/>
    <w:rsid w:val="00240B25"/>
    <w:rsid w:val="00241549"/>
    <w:rsid w:val="00241B6E"/>
    <w:rsid w:val="002440D6"/>
    <w:rsid w:val="00246FC1"/>
    <w:rsid w:val="002557F9"/>
    <w:rsid w:val="00267478"/>
    <w:rsid w:val="0027312F"/>
    <w:rsid w:val="002806A3"/>
    <w:rsid w:val="0029797B"/>
    <w:rsid w:val="002C02AB"/>
    <w:rsid w:val="002C0E2D"/>
    <w:rsid w:val="002C72D2"/>
    <w:rsid w:val="002E074E"/>
    <w:rsid w:val="002E45D1"/>
    <w:rsid w:val="002F38B0"/>
    <w:rsid w:val="00321CEF"/>
    <w:rsid w:val="003224E7"/>
    <w:rsid w:val="003302BE"/>
    <w:rsid w:val="00331B30"/>
    <w:rsid w:val="00344FAD"/>
    <w:rsid w:val="003500A4"/>
    <w:rsid w:val="003533A6"/>
    <w:rsid w:val="0036589D"/>
    <w:rsid w:val="00370B9F"/>
    <w:rsid w:val="0037686E"/>
    <w:rsid w:val="00380111"/>
    <w:rsid w:val="003808B5"/>
    <w:rsid w:val="00385E14"/>
    <w:rsid w:val="003875CD"/>
    <w:rsid w:val="003A60C1"/>
    <w:rsid w:val="003C3BB0"/>
    <w:rsid w:val="003C3F59"/>
    <w:rsid w:val="003E05CF"/>
    <w:rsid w:val="003E4A19"/>
    <w:rsid w:val="003F0911"/>
    <w:rsid w:val="003F741E"/>
    <w:rsid w:val="00405E95"/>
    <w:rsid w:val="0042488B"/>
    <w:rsid w:val="004255DF"/>
    <w:rsid w:val="00427DFB"/>
    <w:rsid w:val="00442258"/>
    <w:rsid w:val="0046104F"/>
    <w:rsid w:val="00467B82"/>
    <w:rsid w:val="00475B46"/>
    <w:rsid w:val="00477E1D"/>
    <w:rsid w:val="00482BDA"/>
    <w:rsid w:val="00491C4B"/>
    <w:rsid w:val="004C64C1"/>
    <w:rsid w:val="004D4A38"/>
    <w:rsid w:val="004D71E4"/>
    <w:rsid w:val="004E3F66"/>
    <w:rsid w:val="004E512C"/>
    <w:rsid w:val="004F5737"/>
    <w:rsid w:val="00500797"/>
    <w:rsid w:val="005057AC"/>
    <w:rsid w:val="00507319"/>
    <w:rsid w:val="005103E3"/>
    <w:rsid w:val="00520CCF"/>
    <w:rsid w:val="00531760"/>
    <w:rsid w:val="00534B47"/>
    <w:rsid w:val="005A6782"/>
    <w:rsid w:val="005B0A6D"/>
    <w:rsid w:val="005B3FC8"/>
    <w:rsid w:val="005C22F7"/>
    <w:rsid w:val="005D0BA4"/>
    <w:rsid w:val="005F2EE3"/>
    <w:rsid w:val="005F4468"/>
    <w:rsid w:val="0061186C"/>
    <w:rsid w:val="0061495E"/>
    <w:rsid w:val="00620E0C"/>
    <w:rsid w:val="006234CD"/>
    <w:rsid w:val="0062772D"/>
    <w:rsid w:val="0063765D"/>
    <w:rsid w:val="00637A8C"/>
    <w:rsid w:val="0065472E"/>
    <w:rsid w:val="006671A1"/>
    <w:rsid w:val="006759B3"/>
    <w:rsid w:val="00684FAF"/>
    <w:rsid w:val="006853EF"/>
    <w:rsid w:val="006A48DC"/>
    <w:rsid w:val="006C5C57"/>
    <w:rsid w:val="006D4590"/>
    <w:rsid w:val="006E205E"/>
    <w:rsid w:val="006E2DE3"/>
    <w:rsid w:val="006F0C0C"/>
    <w:rsid w:val="006F0DF9"/>
    <w:rsid w:val="006F7F73"/>
    <w:rsid w:val="00700702"/>
    <w:rsid w:val="00704ABD"/>
    <w:rsid w:val="00712D12"/>
    <w:rsid w:val="00712DD2"/>
    <w:rsid w:val="007307EF"/>
    <w:rsid w:val="007472A6"/>
    <w:rsid w:val="00762912"/>
    <w:rsid w:val="007629BD"/>
    <w:rsid w:val="00786FF4"/>
    <w:rsid w:val="00791B90"/>
    <w:rsid w:val="00792CAC"/>
    <w:rsid w:val="007A11FA"/>
    <w:rsid w:val="007A76EF"/>
    <w:rsid w:val="007B3B09"/>
    <w:rsid w:val="007C1589"/>
    <w:rsid w:val="007C2928"/>
    <w:rsid w:val="007C76FE"/>
    <w:rsid w:val="007C7F83"/>
    <w:rsid w:val="007D3CE5"/>
    <w:rsid w:val="007D4CBB"/>
    <w:rsid w:val="007E0404"/>
    <w:rsid w:val="007E2E74"/>
    <w:rsid w:val="00817787"/>
    <w:rsid w:val="008270BA"/>
    <w:rsid w:val="00833E04"/>
    <w:rsid w:val="00842174"/>
    <w:rsid w:val="008448BB"/>
    <w:rsid w:val="008562EA"/>
    <w:rsid w:val="00873038"/>
    <w:rsid w:val="008732F5"/>
    <w:rsid w:val="00895B9A"/>
    <w:rsid w:val="00897FAA"/>
    <w:rsid w:val="008A33BD"/>
    <w:rsid w:val="008A49BC"/>
    <w:rsid w:val="008A4F13"/>
    <w:rsid w:val="008C1774"/>
    <w:rsid w:val="008D2F24"/>
    <w:rsid w:val="008D7349"/>
    <w:rsid w:val="008E0442"/>
    <w:rsid w:val="008E4559"/>
    <w:rsid w:val="008E507D"/>
    <w:rsid w:val="008E52A4"/>
    <w:rsid w:val="008E6728"/>
    <w:rsid w:val="008F1321"/>
    <w:rsid w:val="008F52D7"/>
    <w:rsid w:val="0091100E"/>
    <w:rsid w:val="00935039"/>
    <w:rsid w:val="00942DA3"/>
    <w:rsid w:val="0094636A"/>
    <w:rsid w:val="009606DB"/>
    <w:rsid w:val="009612D8"/>
    <w:rsid w:val="009650CB"/>
    <w:rsid w:val="0097568D"/>
    <w:rsid w:val="00976693"/>
    <w:rsid w:val="00983445"/>
    <w:rsid w:val="009A519B"/>
    <w:rsid w:val="009A55C7"/>
    <w:rsid w:val="009B167C"/>
    <w:rsid w:val="009B2599"/>
    <w:rsid w:val="009C0A10"/>
    <w:rsid w:val="009C1188"/>
    <w:rsid w:val="009D6287"/>
    <w:rsid w:val="009F6895"/>
    <w:rsid w:val="00A00741"/>
    <w:rsid w:val="00A016AC"/>
    <w:rsid w:val="00A078D7"/>
    <w:rsid w:val="00A1795D"/>
    <w:rsid w:val="00A2474C"/>
    <w:rsid w:val="00A42111"/>
    <w:rsid w:val="00A515BF"/>
    <w:rsid w:val="00A77155"/>
    <w:rsid w:val="00A83A09"/>
    <w:rsid w:val="00A84157"/>
    <w:rsid w:val="00AB03B6"/>
    <w:rsid w:val="00AB2690"/>
    <w:rsid w:val="00AB295F"/>
    <w:rsid w:val="00AD524F"/>
    <w:rsid w:val="00AF138D"/>
    <w:rsid w:val="00AF706D"/>
    <w:rsid w:val="00B1122F"/>
    <w:rsid w:val="00B13BA6"/>
    <w:rsid w:val="00B24CA8"/>
    <w:rsid w:val="00B37910"/>
    <w:rsid w:val="00B41522"/>
    <w:rsid w:val="00B46C6E"/>
    <w:rsid w:val="00B46CEE"/>
    <w:rsid w:val="00B5354E"/>
    <w:rsid w:val="00B57ACC"/>
    <w:rsid w:val="00B63574"/>
    <w:rsid w:val="00B64970"/>
    <w:rsid w:val="00B7220C"/>
    <w:rsid w:val="00B77077"/>
    <w:rsid w:val="00B854BA"/>
    <w:rsid w:val="00B96749"/>
    <w:rsid w:val="00B9752B"/>
    <w:rsid w:val="00BB13E0"/>
    <w:rsid w:val="00BB1F89"/>
    <w:rsid w:val="00BB3DBC"/>
    <w:rsid w:val="00BC1794"/>
    <w:rsid w:val="00BD336E"/>
    <w:rsid w:val="00BD55AE"/>
    <w:rsid w:val="00BD5E82"/>
    <w:rsid w:val="00BE67DE"/>
    <w:rsid w:val="00BE6B69"/>
    <w:rsid w:val="00BF704E"/>
    <w:rsid w:val="00C23C8A"/>
    <w:rsid w:val="00C3133A"/>
    <w:rsid w:val="00C32625"/>
    <w:rsid w:val="00C40B81"/>
    <w:rsid w:val="00C43300"/>
    <w:rsid w:val="00C53746"/>
    <w:rsid w:val="00C612C8"/>
    <w:rsid w:val="00C73295"/>
    <w:rsid w:val="00C92A6D"/>
    <w:rsid w:val="00C96BE9"/>
    <w:rsid w:val="00CA3B26"/>
    <w:rsid w:val="00CB220F"/>
    <w:rsid w:val="00CB233B"/>
    <w:rsid w:val="00CC43D7"/>
    <w:rsid w:val="00CC76F2"/>
    <w:rsid w:val="00D021AF"/>
    <w:rsid w:val="00D03EBE"/>
    <w:rsid w:val="00D052C8"/>
    <w:rsid w:val="00D1479D"/>
    <w:rsid w:val="00D3074B"/>
    <w:rsid w:val="00D3462A"/>
    <w:rsid w:val="00D34728"/>
    <w:rsid w:val="00D40944"/>
    <w:rsid w:val="00D43412"/>
    <w:rsid w:val="00D80EF9"/>
    <w:rsid w:val="00DA45DC"/>
    <w:rsid w:val="00DA6AB4"/>
    <w:rsid w:val="00DB1219"/>
    <w:rsid w:val="00E07CA0"/>
    <w:rsid w:val="00E21ADA"/>
    <w:rsid w:val="00E2605D"/>
    <w:rsid w:val="00E27BDF"/>
    <w:rsid w:val="00E350FB"/>
    <w:rsid w:val="00E529EE"/>
    <w:rsid w:val="00E57615"/>
    <w:rsid w:val="00E6583C"/>
    <w:rsid w:val="00E73878"/>
    <w:rsid w:val="00E9177C"/>
    <w:rsid w:val="00E92AA0"/>
    <w:rsid w:val="00EC1B63"/>
    <w:rsid w:val="00EC2D37"/>
    <w:rsid w:val="00ED01DB"/>
    <w:rsid w:val="00ED7F20"/>
    <w:rsid w:val="00EE00A2"/>
    <w:rsid w:val="00EF2482"/>
    <w:rsid w:val="00F043A0"/>
    <w:rsid w:val="00F14184"/>
    <w:rsid w:val="00F304B2"/>
    <w:rsid w:val="00F4400B"/>
    <w:rsid w:val="00F5532B"/>
    <w:rsid w:val="00F83DDE"/>
    <w:rsid w:val="00F84579"/>
    <w:rsid w:val="00F96593"/>
    <w:rsid w:val="00FA724D"/>
    <w:rsid w:val="00FB4C1B"/>
    <w:rsid w:val="00FC42AA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0EAEE-4ABA-4119-AC5A-9EE857C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F248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8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74"/>
  </w:style>
  <w:style w:type="paragraph" w:styleId="Footer">
    <w:name w:val="footer"/>
    <w:basedOn w:val="Normal"/>
    <w:link w:val="FooterChar"/>
    <w:uiPriority w:val="99"/>
    <w:unhideWhenUsed/>
    <w:rsid w:val="007E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74"/>
  </w:style>
  <w:style w:type="paragraph" w:styleId="BalloonText">
    <w:name w:val="Balloon Text"/>
    <w:basedOn w:val="Normal"/>
    <w:link w:val="BalloonTextChar"/>
    <w:uiPriority w:val="99"/>
    <w:semiHidden/>
    <w:unhideWhenUsed/>
    <w:rsid w:val="0010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8F"/>
    <w:rPr>
      <w:rFonts w:ascii="Tahoma" w:hAnsi="Tahoma" w:cs="Tahoma"/>
      <w:sz w:val="16"/>
      <w:szCs w:val="16"/>
    </w:rPr>
  </w:style>
  <w:style w:type="character" w:customStyle="1" w:styleId="highlight2">
    <w:name w:val="highlight2"/>
    <w:basedOn w:val="DefaultParagraphFont"/>
    <w:rsid w:val="00AB2690"/>
  </w:style>
  <w:style w:type="character" w:styleId="Hyperlink">
    <w:name w:val="Hyperlink"/>
    <w:uiPriority w:val="99"/>
    <w:unhideWhenUsed/>
    <w:rsid w:val="00A016AC"/>
    <w:rPr>
      <w:color w:val="0000FF"/>
      <w:u w:val="single"/>
    </w:rPr>
  </w:style>
  <w:style w:type="character" w:styleId="CommentReference">
    <w:name w:val="annotation reference"/>
    <w:uiPriority w:val="99"/>
    <w:rsid w:val="007472A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7472A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2A6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1A"/>
    <w:pPr>
      <w:widowControl/>
      <w:spacing w:after="200" w:line="276" w:lineRule="auto"/>
    </w:pPr>
    <w:rPr>
      <w:rFonts w:asciiTheme="minorHAnsi" w:eastAsiaTheme="minorEastAsia" w:hAnsiTheme="minorHAnsi" w:cstheme="minorBidi"/>
      <w:b/>
      <w:bCs/>
      <w:kern w:val="0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1A"/>
    <w:rPr>
      <w:rFonts w:ascii="Times New Roman" w:eastAsia="SimSun" w:hAnsi="Times New Roman" w:cs="Times New Roman"/>
      <w:b/>
      <w:bCs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5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9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0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83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5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18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3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3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35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6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3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28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187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12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66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16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2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6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2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9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5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9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50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96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33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61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93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0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1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5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71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1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2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5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4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3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1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40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0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2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7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48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7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2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1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4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80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97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94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55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65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14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16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6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5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3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0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0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3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7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41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4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8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9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69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2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8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1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8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62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370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78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1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735E-1463-4CE2-94FD-96079AA4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</dc:creator>
  <cp:lastModifiedBy>LS Ma</cp:lastModifiedBy>
  <cp:revision>2</cp:revision>
  <cp:lastPrinted>2014-12-08T17:39:00Z</cp:lastPrinted>
  <dcterms:created xsi:type="dcterms:W3CDTF">2015-04-16T04:38:00Z</dcterms:created>
  <dcterms:modified xsi:type="dcterms:W3CDTF">2015-04-16T04:38:00Z</dcterms:modified>
</cp:coreProperties>
</file>