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23942" w14:textId="77777777" w:rsidR="005339A7" w:rsidRPr="00695E23" w:rsidRDefault="005339A7" w:rsidP="00695E23">
      <w:pPr>
        <w:spacing w:line="360" w:lineRule="auto"/>
        <w:rPr>
          <w:rFonts w:ascii="Book Antiqua" w:hAnsi="Book Antiqua"/>
          <w:sz w:val="24"/>
          <w:szCs w:val="24"/>
        </w:rPr>
      </w:pPr>
      <w:r w:rsidRPr="00695E23">
        <w:rPr>
          <w:rFonts w:ascii="Book Antiqua" w:hAnsi="Book Antiqua"/>
          <w:sz w:val="24"/>
          <w:szCs w:val="24"/>
        </w:rPr>
        <w:t>Name of journal: World Journal of Hypertension</w:t>
      </w:r>
    </w:p>
    <w:p w14:paraId="568B76A3" w14:textId="77777777" w:rsidR="005339A7" w:rsidRPr="00695E23" w:rsidRDefault="005339A7" w:rsidP="00695E23">
      <w:pPr>
        <w:spacing w:line="360" w:lineRule="auto"/>
        <w:rPr>
          <w:rFonts w:ascii="Book Antiqua" w:eastAsia="宋体" w:hAnsi="Book Antiqua"/>
          <w:sz w:val="24"/>
          <w:szCs w:val="24"/>
          <w:lang w:eastAsia="zh-CN"/>
        </w:rPr>
      </w:pPr>
      <w:r w:rsidRPr="00695E23">
        <w:rPr>
          <w:rFonts w:ascii="Book Antiqua" w:hAnsi="Book Antiqua"/>
          <w:sz w:val="24"/>
          <w:szCs w:val="24"/>
        </w:rPr>
        <w:t xml:space="preserve">ESPS Manuscript NO: </w:t>
      </w:r>
      <w:r w:rsidRPr="00695E23">
        <w:rPr>
          <w:rFonts w:ascii="Book Antiqua" w:eastAsia="宋体" w:hAnsi="Book Antiqua"/>
          <w:sz w:val="24"/>
          <w:szCs w:val="24"/>
          <w:lang w:eastAsia="zh-CN"/>
        </w:rPr>
        <w:t>16251</w:t>
      </w:r>
    </w:p>
    <w:p w14:paraId="3F532701" w14:textId="77777777" w:rsidR="005339A7" w:rsidRPr="00695E23" w:rsidRDefault="005339A7" w:rsidP="00695E23">
      <w:pPr>
        <w:spacing w:line="360" w:lineRule="auto"/>
        <w:rPr>
          <w:rFonts w:ascii="Book Antiqua" w:eastAsia="宋体" w:hAnsi="Book Antiqua"/>
          <w:sz w:val="24"/>
          <w:szCs w:val="24"/>
          <w:lang w:eastAsia="zh-CN"/>
        </w:rPr>
      </w:pPr>
      <w:r w:rsidRPr="00695E23">
        <w:rPr>
          <w:rFonts w:ascii="Book Antiqua" w:hAnsi="Book Antiqua"/>
          <w:sz w:val="24"/>
          <w:szCs w:val="24"/>
        </w:rPr>
        <w:t>Columns:</w:t>
      </w:r>
      <w:r w:rsidRPr="00695E23">
        <w:rPr>
          <w:rFonts w:ascii="Book Antiqua" w:eastAsia="宋体" w:hAnsi="Book Antiqua"/>
          <w:sz w:val="24"/>
          <w:szCs w:val="24"/>
          <w:lang w:eastAsia="zh-CN"/>
        </w:rPr>
        <w:t xml:space="preserve"> REVIEW</w:t>
      </w:r>
    </w:p>
    <w:p w14:paraId="3ADBBF81" w14:textId="77777777" w:rsidR="0077498E" w:rsidRPr="00695E23" w:rsidRDefault="0077498E" w:rsidP="00695E23">
      <w:pPr>
        <w:spacing w:line="360" w:lineRule="auto"/>
        <w:rPr>
          <w:rFonts w:ascii="Book Antiqua" w:eastAsia="宋体" w:hAnsi="Book Antiqua"/>
          <w:sz w:val="24"/>
          <w:szCs w:val="24"/>
          <w:lang w:eastAsia="zh-CN"/>
        </w:rPr>
      </w:pPr>
    </w:p>
    <w:p w14:paraId="0F10BC07" w14:textId="6EFEAA64" w:rsidR="00596DFB" w:rsidRPr="00695E23" w:rsidRDefault="00596DFB" w:rsidP="00695E23">
      <w:pPr>
        <w:spacing w:line="360" w:lineRule="auto"/>
        <w:rPr>
          <w:rFonts w:ascii="Book Antiqua" w:eastAsia="宋体" w:hAnsi="Book Antiqua" w:cs="Times New Roman"/>
          <w:b/>
          <w:sz w:val="24"/>
          <w:szCs w:val="24"/>
          <w:lang w:eastAsia="zh-CN"/>
        </w:rPr>
      </w:pPr>
      <w:r w:rsidRPr="00695E23">
        <w:rPr>
          <w:rFonts w:ascii="Book Antiqua" w:eastAsia="MS Mincho" w:hAnsi="Book Antiqua" w:cs="Times New Roman"/>
          <w:b/>
          <w:sz w:val="24"/>
          <w:szCs w:val="24"/>
        </w:rPr>
        <w:t xml:space="preserve">Hypertensive </w:t>
      </w:r>
      <w:r w:rsidR="0077498E" w:rsidRPr="00695E23">
        <w:rPr>
          <w:rFonts w:ascii="Book Antiqua" w:eastAsia="MS Mincho" w:hAnsi="Book Antiqua" w:cs="Times New Roman"/>
          <w:b/>
          <w:sz w:val="24"/>
          <w:szCs w:val="24"/>
        </w:rPr>
        <w:t>c</w:t>
      </w:r>
      <w:r w:rsidRPr="00695E23">
        <w:rPr>
          <w:rFonts w:ascii="Book Antiqua" w:eastAsia="MS Mincho" w:hAnsi="Book Antiqua" w:cs="Times New Roman"/>
          <w:b/>
          <w:sz w:val="24"/>
          <w:szCs w:val="24"/>
        </w:rPr>
        <w:t xml:space="preserve">ardiomyopathy: A </w:t>
      </w:r>
      <w:r w:rsidR="0077498E" w:rsidRPr="00695E23">
        <w:rPr>
          <w:rFonts w:ascii="Book Antiqua" w:eastAsia="MS Mincho" w:hAnsi="Book Antiqua" w:cs="Times New Roman"/>
          <w:b/>
          <w:sz w:val="24"/>
          <w:szCs w:val="24"/>
        </w:rPr>
        <w:t>clinical approach and literature re</w:t>
      </w:r>
      <w:r w:rsidRPr="00695E23">
        <w:rPr>
          <w:rFonts w:ascii="Book Antiqua" w:eastAsia="MS Mincho" w:hAnsi="Book Antiqua" w:cs="Times New Roman"/>
          <w:b/>
          <w:sz w:val="24"/>
          <w:szCs w:val="24"/>
        </w:rPr>
        <w:t>view</w:t>
      </w:r>
    </w:p>
    <w:p w14:paraId="100A0A39" w14:textId="77777777" w:rsidR="005339A7" w:rsidRPr="00695E23" w:rsidRDefault="005339A7" w:rsidP="00695E23">
      <w:pPr>
        <w:spacing w:line="360" w:lineRule="auto"/>
        <w:rPr>
          <w:rFonts w:ascii="Book Antiqua" w:eastAsia="宋体" w:hAnsi="Book Antiqua" w:cs="Times New Roman"/>
          <w:sz w:val="24"/>
          <w:szCs w:val="24"/>
          <w:lang w:eastAsia="zh-CN"/>
        </w:rPr>
      </w:pPr>
    </w:p>
    <w:p w14:paraId="6C36F097" w14:textId="71A97764" w:rsidR="005339A7" w:rsidRPr="00695E23" w:rsidRDefault="005B5068" w:rsidP="00695E23">
      <w:pPr>
        <w:spacing w:line="360" w:lineRule="auto"/>
        <w:rPr>
          <w:rFonts w:ascii="Book Antiqua" w:eastAsia="Arial Unicode MS" w:hAnsi="Book Antiqua" w:cs="Arial Unicode MS"/>
          <w:sz w:val="24"/>
          <w:szCs w:val="24"/>
          <w:lang w:val="en"/>
        </w:rPr>
      </w:pPr>
      <w:r w:rsidRPr="00695E23">
        <w:rPr>
          <w:rFonts w:ascii="Book Antiqua" w:eastAsia="MS Mincho" w:hAnsi="Book Antiqua" w:cs="Times New Roman"/>
          <w:sz w:val="24"/>
          <w:szCs w:val="24"/>
        </w:rPr>
        <w:t>Kuroda</w:t>
      </w:r>
      <w:r w:rsidRPr="00695E23">
        <w:rPr>
          <w:rFonts w:ascii="Book Antiqua" w:hAnsi="Book Antiqua"/>
          <w:sz w:val="24"/>
          <w:szCs w:val="24"/>
        </w:rPr>
        <w:t xml:space="preserve"> </w:t>
      </w:r>
      <w:r w:rsidRPr="00695E23">
        <w:rPr>
          <w:rFonts w:ascii="Book Antiqua" w:eastAsia="宋体" w:hAnsi="Book Antiqua"/>
          <w:sz w:val="24"/>
          <w:szCs w:val="24"/>
          <w:lang w:eastAsia="zh-CN"/>
        </w:rPr>
        <w:t xml:space="preserve">K </w:t>
      </w:r>
      <w:r w:rsidRPr="00695E23">
        <w:rPr>
          <w:rFonts w:ascii="Book Antiqua" w:eastAsia="宋体" w:hAnsi="Book Antiqua"/>
          <w:i/>
          <w:sz w:val="24"/>
          <w:szCs w:val="24"/>
          <w:lang w:eastAsia="zh-CN"/>
        </w:rPr>
        <w:t xml:space="preserve">et al. </w:t>
      </w:r>
      <w:r w:rsidR="00533179" w:rsidRPr="00695E23">
        <w:rPr>
          <w:rFonts w:ascii="Book Antiqua" w:hAnsi="Book Antiqua"/>
          <w:sz w:val="24"/>
          <w:szCs w:val="24"/>
        </w:rPr>
        <w:t xml:space="preserve">Hypertensive </w:t>
      </w:r>
      <w:r w:rsidRPr="00695E23">
        <w:rPr>
          <w:rFonts w:ascii="Book Antiqua" w:hAnsi="Book Antiqua"/>
          <w:sz w:val="24"/>
          <w:szCs w:val="24"/>
        </w:rPr>
        <w:t>cardiomyopathy r</w:t>
      </w:r>
      <w:r w:rsidR="00533179" w:rsidRPr="00695E23">
        <w:rPr>
          <w:rFonts w:ascii="Book Antiqua" w:hAnsi="Book Antiqua"/>
          <w:sz w:val="24"/>
          <w:szCs w:val="24"/>
        </w:rPr>
        <w:t>eview from the literature</w:t>
      </w:r>
    </w:p>
    <w:p w14:paraId="12B8C06D" w14:textId="77777777" w:rsidR="005339A7" w:rsidRPr="00695E23" w:rsidRDefault="005339A7" w:rsidP="00695E23">
      <w:pPr>
        <w:spacing w:line="360" w:lineRule="auto"/>
        <w:rPr>
          <w:rFonts w:ascii="Book Antiqua" w:eastAsia="宋体" w:hAnsi="Book Antiqua" w:cs="Times New Roman"/>
          <w:sz w:val="24"/>
          <w:szCs w:val="24"/>
          <w:lang w:val="en" w:eastAsia="zh-CN"/>
        </w:rPr>
      </w:pPr>
    </w:p>
    <w:p w14:paraId="54BADAE8" w14:textId="77777777" w:rsidR="00596DFB" w:rsidRPr="00695E23" w:rsidRDefault="005339A7" w:rsidP="00695E23">
      <w:pPr>
        <w:spacing w:line="360" w:lineRule="auto"/>
        <w:rPr>
          <w:rFonts w:ascii="Book Antiqua" w:eastAsia="宋体" w:hAnsi="Book Antiqua" w:cs="Times New Roman"/>
          <w:sz w:val="24"/>
          <w:szCs w:val="24"/>
          <w:lang w:eastAsia="zh-CN"/>
        </w:rPr>
      </w:pPr>
      <w:r w:rsidRPr="00695E23">
        <w:rPr>
          <w:rFonts w:ascii="Book Antiqua" w:eastAsia="MS Mincho" w:hAnsi="Book Antiqua" w:cs="Times New Roman"/>
          <w:sz w:val="24"/>
          <w:szCs w:val="24"/>
        </w:rPr>
        <w:t>Kishio Kuroda, Tomoko S Kato, Atsushi Amano</w:t>
      </w:r>
    </w:p>
    <w:p w14:paraId="1F6CD0CC" w14:textId="77777777" w:rsidR="005339A7" w:rsidRPr="00695E23" w:rsidRDefault="005339A7" w:rsidP="00695E23">
      <w:pPr>
        <w:spacing w:line="360" w:lineRule="auto"/>
        <w:rPr>
          <w:rFonts w:ascii="Book Antiqua" w:eastAsia="宋体" w:hAnsi="Book Antiqua" w:cs="Times New Roman"/>
          <w:sz w:val="24"/>
          <w:szCs w:val="24"/>
          <w:lang w:eastAsia="zh-CN"/>
        </w:rPr>
      </w:pPr>
    </w:p>
    <w:p w14:paraId="1A85913B" w14:textId="6983CD42" w:rsidR="00596DFB" w:rsidRPr="00695E23" w:rsidRDefault="00596DFB" w:rsidP="00695E23">
      <w:pPr>
        <w:spacing w:line="360" w:lineRule="auto"/>
        <w:rPr>
          <w:rFonts w:ascii="Book Antiqua" w:eastAsia="MS Mincho" w:hAnsi="Book Antiqua" w:cs="Times New Roman"/>
          <w:b/>
          <w:sz w:val="24"/>
          <w:szCs w:val="24"/>
        </w:rPr>
      </w:pPr>
      <w:r w:rsidRPr="00695E23">
        <w:rPr>
          <w:rFonts w:ascii="Book Antiqua" w:eastAsia="MS Mincho" w:hAnsi="Book Antiqua" w:cs="Times New Roman"/>
          <w:b/>
          <w:sz w:val="24"/>
          <w:szCs w:val="24"/>
        </w:rPr>
        <w:t xml:space="preserve">Kishio Kuroda, </w:t>
      </w:r>
      <w:r w:rsidR="005B5068" w:rsidRPr="00695E23">
        <w:rPr>
          <w:rFonts w:ascii="Book Antiqua" w:eastAsia="MS Mincho" w:hAnsi="Book Antiqua" w:cs="Times New Roman"/>
          <w:b/>
          <w:sz w:val="24"/>
          <w:szCs w:val="24"/>
        </w:rPr>
        <w:t>Tomoko S</w:t>
      </w:r>
      <w:r w:rsidRPr="00695E23">
        <w:rPr>
          <w:rFonts w:ascii="Book Antiqua" w:eastAsia="MS Mincho" w:hAnsi="Book Antiqua" w:cs="Times New Roman"/>
          <w:b/>
          <w:sz w:val="24"/>
          <w:szCs w:val="24"/>
        </w:rPr>
        <w:t xml:space="preserve"> Kato, Atsushi Amano, </w:t>
      </w:r>
      <w:r w:rsidRPr="00695E23">
        <w:rPr>
          <w:rFonts w:ascii="Book Antiqua" w:eastAsia="MS Mincho" w:hAnsi="Book Antiqua" w:cs="Times New Roman"/>
          <w:sz w:val="24"/>
          <w:szCs w:val="24"/>
        </w:rPr>
        <w:t>Department of Cardiovascular Surgery, Juntendo University,</w:t>
      </w:r>
      <w:r w:rsidR="005B5068" w:rsidRPr="00695E23">
        <w:rPr>
          <w:rFonts w:ascii="Book Antiqua" w:eastAsia="MS Mincho" w:hAnsi="Book Antiqua" w:cs="Times New Roman"/>
          <w:sz w:val="24"/>
          <w:szCs w:val="24"/>
        </w:rPr>
        <w:t xml:space="preserve"> Bunkyo-ku</w:t>
      </w:r>
      <w:r w:rsidR="005B5068" w:rsidRPr="00695E23">
        <w:rPr>
          <w:rFonts w:ascii="Book Antiqua" w:eastAsia="宋体" w:hAnsi="Book Antiqua" w:cs="Times New Roman"/>
          <w:sz w:val="24"/>
          <w:szCs w:val="24"/>
          <w:lang w:eastAsia="zh-CN"/>
        </w:rPr>
        <w:t>,</w:t>
      </w:r>
      <w:r w:rsidRPr="00695E23">
        <w:rPr>
          <w:rFonts w:ascii="Book Antiqua" w:eastAsia="MS Mincho" w:hAnsi="Book Antiqua" w:cs="Times New Roman"/>
          <w:sz w:val="24"/>
          <w:szCs w:val="24"/>
        </w:rPr>
        <w:t xml:space="preserve"> Tokyo</w:t>
      </w:r>
      <w:r w:rsidR="005B5068" w:rsidRPr="00695E23">
        <w:rPr>
          <w:rFonts w:ascii="Book Antiqua" w:eastAsia="宋体" w:hAnsi="Book Antiqua" w:cs="Times New Roman"/>
          <w:sz w:val="24"/>
          <w:szCs w:val="24"/>
          <w:lang w:eastAsia="zh-CN"/>
        </w:rPr>
        <w:t xml:space="preserve"> </w:t>
      </w:r>
      <w:r w:rsidR="005B5068" w:rsidRPr="00695E23">
        <w:rPr>
          <w:rFonts w:ascii="Book Antiqua" w:eastAsia="MS Mincho" w:hAnsi="Book Antiqua" w:cs="Times New Roman"/>
          <w:sz w:val="24"/>
          <w:szCs w:val="24"/>
        </w:rPr>
        <w:t>113-8431</w:t>
      </w:r>
      <w:r w:rsidRPr="00695E23">
        <w:rPr>
          <w:rFonts w:ascii="Book Antiqua" w:eastAsia="MS Mincho" w:hAnsi="Book Antiqua" w:cs="Times New Roman"/>
          <w:sz w:val="24"/>
          <w:szCs w:val="24"/>
        </w:rPr>
        <w:t>, Japan</w:t>
      </w:r>
    </w:p>
    <w:p w14:paraId="11215609" w14:textId="77777777" w:rsidR="00596DFB" w:rsidRPr="00695E23" w:rsidRDefault="00596DFB" w:rsidP="00695E23">
      <w:pPr>
        <w:spacing w:line="360" w:lineRule="auto"/>
        <w:rPr>
          <w:rFonts w:ascii="Book Antiqua" w:eastAsia="MS Mincho" w:hAnsi="Book Antiqua" w:cs="Times New Roman"/>
          <w:sz w:val="24"/>
          <w:szCs w:val="24"/>
        </w:rPr>
      </w:pPr>
    </w:p>
    <w:p w14:paraId="260835AF" w14:textId="182535C5" w:rsidR="00596DFB" w:rsidRPr="00695E23" w:rsidRDefault="005B5068" w:rsidP="00695E23">
      <w:pPr>
        <w:spacing w:line="360" w:lineRule="auto"/>
        <w:rPr>
          <w:rFonts w:ascii="Book Antiqua" w:eastAsia="宋体" w:hAnsi="Book Antiqua" w:cs="Times New Roman"/>
          <w:sz w:val="24"/>
          <w:szCs w:val="24"/>
          <w:lang w:eastAsia="zh-CN"/>
        </w:rPr>
      </w:pPr>
      <w:r w:rsidRPr="00695E23">
        <w:rPr>
          <w:rFonts w:ascii="Book Antiqua" w:hAnsi="Book Antiqua"/>
          <w:b/>
          <w:sz w:val="24"/>
          <w:szCs w:val="24"/>
        </w:rPr>
        <w:t>Author contributions:</w:t>
      </w:r>
      <w:r w:rsidRPr="00695E23">
        <w:rPr>
          <w:rFonts w:ascii="Book Antiqua" w:eastAsia="宋体" w:hAnsi="Book Antiqua"/>
          <w:b/>
          <w:sz w:val="24"/>
          <w:szCs w:val="24"/>
          <w:lang w:eastAsia="zh-CN"/>
        </w:rPr>
        <w:t xml:space="preserve"> </w:t>
      </w:r>
      <w:r w:rsidRPr="00695E23">
        <w:rPr>
          <w:rFonts w:ascii="Book Antiqua" w:eastAsia="MS Mincho" w:hAnsi="Book Antiqua" w:cs="Times New Roman"/>
          <w:sz w:val="24"/>
          <w:szCs w:val="24"/>
        </w:rPr>
        <w:t>Kuroda</w:t>
      </w:r>
      <w:r w:rsidRPr="00695E23">
        <w:rPr>
          <w:rFonts w:ascii="Book Antiqua" w:eastAsia="宋体" w:hAnsi="Book Antiqua" w:cs="Times New Roman"/>
          <w:sz w:val="24"/>
          <w:szCs w:val="24"/>
          <w:lang w:eastAsia="zh-CN"/>
        </w:rPr>
        <w:t xml:space="preserve"> K and </w:t>
      </w:r>
      <w:r w:rsidRPr="00695E23">
        <w:rPr>
          <w:rFonts w:ascii="Book Antiqua" w:eastAsia="MS Mincho" w:hAnsi="Book Antiqua" w:cs="Times New Roman"/>
          <w:sz w:val="24"/>
          <w:szCs w:val="24"/>
        </w:rPr>
        <w:t>Kato</w:t>
      </w:r>
      <w:r w:rsidRPr="00695E23">
        <w:rPr>
          <w:rFonts w:ascii="Book Antiqua" w:eastAsia="宋体" w:hAnsi="Book Antiqua" w:cs="Times New Roman"/>
          <w:sz w:val="24"/>
          <w:szCs w:val="24"/>
          <w:lang w:eastAsia="zh-CN"/>
        </w:rPr>
        <w:t xml:space="preserve"> TS</w:t>
      </w:r>
      <w:r w:rsidRPr="00695E23">
        <w:rPr>
          <w:rFonts w:ascii="Book Antiqua" w:eastAsia="MS Mincho" w:hAnsi="Book Antiqua" w:cs="Times New Roman"/>
          <w:sz w:val="24"/>
          <w:szCs w:val="24"/>
        </w:rPr>
        <w:t xml:space="preserve"> contributed same amount to this work</w:t>
      </w:r>
      <w:r w:rsidRPr="00695E23">
        <w:rPr>
          <w:rFonts w:ascii="Book Antiqua" w:eastAsia="宋体" w:hAnsi="Book Antiqua" w:cs="Times New Roman"/>
          <w:sz w:val="24"/>
          <w:szCs w:val="24"/>
          <w:lang w:eastAsia="zh-CN"/>
        </w:rPr>
        <w:t>; all authors contributed to this work.</w:t>
      </w:r>
    </w:p>
    <w:p w14:paraId="5ABCCD84" w14:textId="77777777" w:rsidR="005B5068" w:rsidRPr="00695E23" w:rsidRDefault="005B5068" w:rsidP="00695E23">
      <w:pPr>
        <w:spacing w:line="360" w:lineRule="auto"/>
        <w:rPr>
          <w:rFonts w:ascii="Book Antiqua" w:eastAsia="宋体" w:hAnsi="Book Antiqua" w:cs="Times New Roman"/>
          <w:sz w:val="24"/>
          <w:szCs w:val="24"/>
          <w:lang w:eastAsia="zh-CN"/>
        </w:rPr>
      </w:pPr>
    </w:p>
    <w:p w14:paraId="7D646363" w14:textId="77777777" w:rsidR="005B5068" w:rsidRPr="00695E23" w:rsidRDefault="005B5068" w:rsidP="00695E23">
      <w:pPr>
        <w:autoSpaceDE w:val="0"/>
        <w:autoSpaceDN w:val="0"/>
        <w:adjustRightInd w:val="0"/>
        <w:spacing w:line="360" w:lineRule="auto"/>
        <w:rPr>
          <w:rFonts w:ascii="Book Antiqua" w:hAnsi="Book Antiqua" w:cs="TimesNewRomanPS-BoldItalicMT"/>
          <w:bCs/>
          <w:iCs/>
          <w:kern w:val="0"/>
          <w:sz w:val="24"/>
          <w:szCs w:val="24"/>
        </w:rPr>
      </w:pPr>
      <w:r w:rsidRPr="00695E23">
        <w:rPr>
          <w:rFonts w:ascii="Book Antiqua" w:hAnsi="Book Antiqua" w:cs="TimesNewRomanPS-BoldItalicMT"/>
          <w:b/>
          <w:bCs/>
          <w:iCs/>
          <w:sz w:val="24"/>
          <w:szCs w:val="24"/>
        </w:rPr>
        <w:t xml:space="preserve">Conflict-of-interest: </w:t>
      </w:r>
      <w:r w:rsidRPr="00695E23">
        <w:rPr>
          <w:rFonts w:ascii="Book Antiqua" w:hAnsi="Book Antiqua" w:cs="TimesNewRomanPS-BoldItalicMT"/>
          <w:bCs/>
          <w:iCs/>
          <w:kern w:val="0"/>
          <w:sz w:val="24"/>
          <w:szCs w:val="24"/>
        </w:rPr>
        <w:t>None of the authors has a financial relationship with a commercial entity that has an interest in the contents of the presented manuscript.</w:t>
      </w:r>
    </w:p>
    <w:p w14:paraId="338F4D59" w14:textId="77777777" w:rsidR="005B5068" w:rsidRPr="00695E23" w:rsidRDefault="005B5068" w:rsidP="00695E23">
      <w:pPr>
        <w:spacing w:line="360" w:lineRule="auto"/>
        <w:rPr>
          <w:rFonts w:ascii="Book Antiqua" w:eastAsia="宋体" w:hAnsi="Book Antiqua" w:cs="Garamond"/>
          <w:sz w:val="24"/>
          <w:szCs w:val="24"/>
          <w:lang w:eastAsia="zh-CN"/>
        </w:rPr>
      </w:pPr>
    </w:p>
    <w:p w14:paraId="1B972C9F" w14:textId="77777777" w:rsidR="005B5068" w:rsidRPr="00695E23" w:rsidRDefault="005B5068" w:rsidP="00695E23">
      <w:pPr>
        <w:spacing w:line="360" w:lineRule="auto"/>
        <w:rPr>
          <w:rFonts w:ascii="Book Antiqua" w:hAnsi="Book Antiqua"/>
          <w:sz w:val="24"/>
          <w:szCs w:val="24"/>
        </w:rPr>
      </w:pPr>
      <w:bookmarkStart w:id="0" w:name="OLE_LINK507"/>
      <w:bookmarkStart w:id="1" w:name="OLE_LINK506"/>
      <w:bookmarkStart w:id="2" w:name="OLE_LINK496"/>
      <w:bookmarkStart w:id="3" w:name="OLE_LINK479"/>
      <w:r w:rsidRPr="00695E23">
        <w:rPr>
          <w:rFonts w:ascii="Book Antiqua" w:hAnsi="Book Antiqua"/>
          <w:b/>
          <w:sz w:val="24"/>
          <w:szCs w:val="24"/>
        </w:rPr>
        <w:t xml:space="preserve">Open-Access: </w:t>
      </w:r>
      <w:r w:rsidRPr="00695E2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w:t>
      </w:r>
      <w:r w:rsidRPr="00695E23">
        <w:rPr>
          <w:rFonts w:ascii="Book Antiqua" w:hAnsi="Book Antiqua"/>
          <w:sz w:val="24"/>
          <w:szCs w:val="24"/>
        </w:rPr>
        <w:lastRenderedPageBreak/>
        <w:t xml:space="preserve">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95E23">
          <w:rPr>
            <w:rStyle w:val="Hyperlink"/>
            <w:rFonts w:ascii="Book Antiqua" w:hAnsi="Book Antiqua"/>
            <w:color w:val="auto"/>
            <w:sz w:val="24"/>
            <w:szCs w:val="24"/>
          </w:rPr>
          <w:t>http://creativecommons.org/licenses/by-nc/4.0/</w:t>
        </w:r>
      </w:hyperlink>
      <w:bookmarkEnd w:id="0"/>
      <w:bookmarkEnd w:id="1"/>
      <w:bookmarkEnd w:id="2"/>
      <w:bookmarkEnd w:id="3"/>
    </w:p>
    <w:p w14:paraId="79FB5099" w14:textId="77777777" w:rsidR="005B5068" w:rsidRPr="00695E23" w:rsidRDefault="005B5068" w:rsidP="00695E23">
      <w:pPr>
        <w:spacing w:line="360" w:lineRule="auto"/>
        <w:rPr>
          <w:rFonts w:ascii="Book Antiqua" w:eastAsia="宋体" w:hAnsi="Book Antiqua" w:cs="Times New Roman"/>
          <w:sz w:val="24"/>
          <w:szCs w:val="24"/>
          <w:lang w:eastAsia="zh-CN"/>
        </w:rPr>
      </w:pPr>
    </w:p>
    <w:p w14:paraId="7C50EE73" w14:textId="73984058" w:rsidR="00596DFB" w:rsidRPr="00695E23" w:rsidRDefault="005B5068" w:rsidP="00695E23">
      <w:pPr>
        <w:spacing w:line="360" w:lineRule="auto"/>
        <w:rPr>
          <w:rFonts w:ascii="Book Antiqua" w:eastAsia="宋体" w:hAnsi="Book Antiqua" w:cs="Times New Roman"/>
          <w:sz w:val="24"/>
          <w:szCs w:val="24"/>
          <w:lang w:eastAsia="zh-CN"/>
        </w:rPr>
      </w:pPr>
      <w:r w:rsidRPr="00695E23">
        <w:rPr>
          <w:rFonts w:ascii="Book Antiqua" w:hAnsi="Book Antiqua"/>
          <w:b/>
          <w:sz w:val="24"/>
          <w:szCs w:val="24"/>
        </w:rPr>
        <w:t xml:space="preserve">Correspondence to: </w:t>
      </w:r>
      <w:r w:rsidRPr="00695E23">
        <w:rPr>
          <w:rFonts w:ascii="Book Antiqua" w:eastAsia="MS Mincho" w:hAnsi="Book Antiqua" w:cs="Times New Roman"/>
          <w:b/>
          <w:sz w:val="24"/>
          <w:szCs w:val="24"/>
        </w:rPr>
        <w:t>Tomoko S</w:t>
      </w:r>
      <w:r w:rsidR="00596DFB" w:rsidRPr="00695E23">
        <w:rPr>
          <w:rFonts w:ascii="Book Antiqua" w:eastAsia="MS Mincho" w:hAnsi="Book Antiqua" w:cs="Times New Roman"/>
          <w:b/>
          <w:sz w:val="24"/>
          <w:szCs w:val="24"/>
        </w:rPr>
        <w:t xml:space="preserve"> Kato, MD, PhD, FAHA</w:t>
      </w:r>
      <w:r w:rsidRPr="00695E23">
        <w:rPr>
          <w:rFonts w:ascii="Book Antiqua" w:eastAsia="宋体" w:hAnsi="Book Antiqua" w:cs="Times New Roman"/>
          <w:b/>
          <w:sz w:val="24"/>
          <w:szCs w:val="24"/>
          <w:lang w:eastAsia="zh-CN"/>
        </w:rPr>
        <w:t>,</w:t>
      </w:r>
      <w:r w:rsidRPr="00695E23">
        <w:rPr>
          <w:rFonts w:ascii="Book Antiqua" w:eastAsia="宋体" w:hAnsi="Book Antiqua" w:cs="Times New Roman"/>
          <w:sz w:val="24"/>
          <w:szCs w:val="24"/>
          <w:lang w:eastAsia="zh-CN"/>
        </w:rPr>
        <w:t xml:space="preserve"> </w:t>
      </w:r>
      <w:r w:rsidRPr="00695E23">
        <w:rPr>
          <w:rFonts w:ascii="Book Antiqua" w:eastAsia="MS Mincho" w:hAnsi="Book Antiqua" w:cs="Times New Roman"/>
          <w:sz w:val="24"/>
          <w:szCs w:val="24"/>
        </w:rPr>
        <w:t>Department of Cardiovascular Surgery, Juntendo University</w:t>
      </w:r>
      <w:r w:rsidRPr="00695E23">
        <w:rPr>
          <w:rFonts w:ascii="Book Antiqua" w:eastAsia="宋体" w:hAnsi="Book Antiqua" w:cs="Times New Roman"/>
          <w:sz w:val="24"/>
          <w:szCs w:val="24"/>
          <w:lang w:eastAsia="zh-CN"/>
        </w:rPr>
        <w:t>,</w:t>
      </w:r>
      <w:r w:rsidRPr="00695E23">
        <w:rPr>
          <w:rFonts w:ascii="Book Antiqua" w:eastAsia="MS Mincho" w:hAnsi="Book Antiqua" w:cs="Times New Roman"/>
          <w:sz w:val="24"/>
          <w:szCs w:val="24"/>
        </w:rPr>
        <w:t xml:space="preserve"> </w:t>
      </w:r>
      <w:r w:rsidR="00596DFB" w:rsidRPr="00695E23">
        <w:rPr>
          <w:rFonts w:ascii="Book Antiqua" w:eastAsia="MS Mincho" w:hAnsi="Book Antiqua" w:cs="Times New Roman"/>
          <w:sz w:val="24"/>
          <w:szCs w:val="24"/>
        </w:rPr>
        <w:t>Heart Center, Building 9, 1F-Room124A</w:t>
      </w:r>
      <w:r w:rsidRPr="00695E23">
        <w:rPr>
          <w:rFonts w:ascii="Book Antiqua" w:eastAsia="宋体" w:hAnsi="Book Antiqua" w:cs="Times New Roman"/>
          <w:sz w:val="24"/>
          <w:szCs w:val="24"/>
          <w:lang w:eastAsia="zh-CN"/>
        </w:rPr>
        <w:t xml:space="preserve">, </w:t>
      </w:r>
      <w:r w:rsidR="00596DFB" w:rsidRPr="00695E23">
        <w:rPr>
          <w:rFonts w:ascii="Book Antiqua" w:eastAsia="MS Mincho" w:hAnsi="Book Antiqua" w:cs="Times New Roman"/>
          <w:sz w:val="24"/>
          <w:szCs w:val="24"/>
        </w:rPr>
        <w:t>2-1-1 Hongo, Bunkyo-ku</w:t>
      </w:r>
      <w:r w:rsidRPr="00695E23">
        <w:rPr>
          <w:rFonts w:ascii="Book Antiqua" w:eastAsia="宋体" w:hAnsi="Book Antiqua" w:cs="Times New Roman"/>
          <w:sz w:val="24"/>
          <w:szCs w:val="24"/>
          <w:lang w:eastAsia="zh-CN"/>
        </w:rPr>
        <w:t xml:space="preserve">, </w:t>
      </w:r>
      <w:r w:rsidR="00596DFB" w:rsidRPr="00695E23">
        <w:rPr>
          <w:rFonts w:ascii="Book Antiqua" w:eastAsia="MS Mincho" w:hAnsi="Book Antiqua" w:cs="Times New Roman"/>
          <w:sz w:val="24"/>
          <w:szCs w:val="24"/>
        </w:rPr>
        <w:t>Tokyo</w:t>
      </w:r>
      <w:r w:rsidRPr="00695E23">
        <w:rPr>
          <w:rFonts w:ascii="Book Antiqua" w:eastAsia="宋体" w:hAnsi="Book Antiqua" w:cs="Times New Roman"/>
          <w:sz w:val="24"/>
          <w:szCs w:val="24"/>
          <w:lang w:eastAsia="zh-CN"/>
        </w:rPr>
        <w:t xml:space="preserve"> </w:t>
      </w:r>
      <w:r w:rsidRPr="00695E23">
        <w:rPr>
          <w:rFonts w:ascii="Book Antiqua" w:eastAsia="MS Mincho" w:hAnsi="Book Antiqua" w:cs="Times New Roman"/>
          <w:sz w:val="24"/>
          <w:szCs w:val="24"/>
        </w:rPr>
        <w:t>113-8431</w:t>
      </w:r>
      <w:r w:rsidR="00596DFB" w:rsidRPr="00695E23">
        <w:rPr>
          <w:rFonts w:ascii="Book Antiqua" w:eastAsia="MS Mincho" w:hAnsi="Book Antiqua" w:cs="Times New Roman"/>
          <w:sz w:val="24"/>
          <w:szCs w:val="24"/>
        </w:rPr>
        <w:t>, Japan</w:t>
      </w:r>
      <w:r w:rsidRPr="00695E23">
        <w:rPr>
          <w:rFonts w:ascii="Book Antiqua" w:eastAsia="宋体" w:hAnsi="Book Antiqua" w:cs="Times New Roman"/>
          <w:sz w:val="24"/>
          <w:szCs w:val="24"/>
          <w:lang w:eastAsia="zh-CN"/>
        </w:rPr>
        <w:t>.</w:t>
      </w:r>
      <w:r w:rsidRPr="00695E23">
        <w:rPr>
          <w:rFonts w:ascii="Book Antiqua" w:eastAsia="MS Mincho" w:hAnsi="Book Antiqua" w:cs="Times New Roman"/>
          <w:sz w:val="24"/>
          <w:szCs w:val="24"/>
        </w:rPr>
        <w:t xml:space="preserve"> rinnko@sannet.ne.jp</w:t>
      </w:r>
      <w:r w:rsidR="00596DFB" w:rsidRPr="00695E23">
        <w:rPr>
          <w:rFonts w:ascii="Book Antiqua" w:eastAsia="MS Mincho" w:hAnsi="Book Antiqua" w:cs="Times New Roman"/>
          <w:sz w:val="24"/>
          <w:szCs w:val="24"/>
        </w:rPr>
        <w:t xml:space="preserve"> </w:t>
      </w:r>
    </w:p>
    <w:p w14:paraId="66C31F02" w14:textId="77777777" w:rsidR="005B5068" w:rsidRPr="00695E23" w:rsidRDefault="005B5068" w:rsidP="00695E23">
      <w:pPr>
        <w:spacing w:line="360" w:lineRule="auto"/>
        <w:rPr>
          <w:rFonts w:ascii="Book Antiqua" w:eastAsia="宋体" w:hAnsi="Book Antiqua"/>
          <w:sz w:val="24"/>
          <w:szCs w:val="24"/>
          <w:lang w:eastAsia="zh-CN"/>
        </w:rPr>
      </w:pPr>
    </w:p>
    <w:p w14:paraId="767AE9F2" w14:textId="22B7C41E" w:rsidR="005B5068" w:rsidRPr="00695E23" w:rsidRDefault="005B5068" w:rsidP="00695E23">
      <w:pPr>
        <w:spacing w:line="360" w:lineRule="auto"/>
        <w:rPr>
          <w:rFonts w:ascii="Book Antiqua" w:hAnsi="Book Antiqua"/>
          <w:sz w:val="24"/>
          <w:szCs w:val="24"/>
        </w:rPr>
      </w:pPr>
      <w:r w:rsidRPr="00695E23">
        <w:rPr>
          <w:rFonts w:ascii="Book Antiqua" w:hAnsi="Book Antiqua"/>
          <w:b/>
          <w:sz w:val="24"/>
          <w:szCs w:val="24"/>
        </w:rPr>
        <w:t>Tel</w:t>
      </w:r>
      <w:r w:rsidRPr="00695E23">
        <w:rPr>
          <w:rFonts w:ascii="Book Antiqua" w:eastAsia="宋体" w:hAnsi="Book Antiqua"/>
          <w:b/>
          <w:sz w:val="24"/>
          <w:szCs w:val="24"/>
          <w:lang w:eastAsia="zh-CN"/>
        </w:rPr>
        <w:t>ephone</w:t>
      </w:r>
      <w:r w:rsidRPr="00695E23">
        <w:rPr>
          <w:rFonts w:ascii="Book Antiqua" w:hAnsi="Book Antiqua"/>
          <w:b/>
          <w:sz w:val="24"/>
          <w:szCs w:val="24"/>
        </w:rPr>
        <w:t xml:space="preserve">: </w:t>
      </w:r>
      <w:r w:rsidRPr="00695E23">
        <w:rPr>
          <w:rFonts w:ascii="Book Antiqua" w:hAnsi="Book Antiqua"/>
          <w:sz w:val="24"/>
          <w:szCs w:val="24"/>
        </w:rPr>
        <w:t xml:space="preserve">+81-3-38133111 </w:t>
      </w:r>
    </w:p>
    <w:p w14:paraId="646DE3A5" w14:textId="2AB460AA" w:rsidR="005B5068" w:rsidRPr="00695E23" w:rsidRDefault="005B5068" w:rsidP="00695E23">
      <w:pPr>
        <w:spacing w:line="360" w:lineRule="auto"/>
        <w:rPr>
          <w:rFonts w:ascii="Book Antiqua" w:hAnsi="Book Antiqua"/>
          <w:sz w:val="24"/>
          <w:szCs w:val="24"/>
        </w:rPr>
      </w:pPr>
      <w:r w:rsidRPr="00695E23">
        <w:rPr>
          <w:rFonts w:ascii="Book Antiqua" w:hAnsi="Book Antiqua"/>
          <w:b/>
          <w:sz w:val="24"/>
          <w:szCs w:val="24"/>
        </w:rPr>
        <w:t xml:space="preserve">Fax: </w:t>
      </w:r>
      <w:r w:rsidRPr="00695E23">
        <w:rPr>
          <w:rFonts w:ascii="Book Antiqua" w:hAnsi="Book Antiqua"/>
          <w:sz w:val="24"/>
          <w:szCs w:val="24"/>
        </w:rPr>
        <w:t xml:space="preserve">+81-3-38155228 </w:t>
      </w:r>
    </w:p>
    <w:p w14:paraId="5F0E3D7B" w14:textId="77777777" w:rsidR="00596DFB" w:rsidRPr="00695E23" w:rsidRDefault="00596DFB" w:rsidP="00695E23">
      <w:pPr>
        <w:spacing w:line="360" w:lineRule="auto"/>
        <w:rPr>
          <w:rFonts w:ascii="Book Antiqua" w:eastAsia="MS Mincho" w:hAnsi="Book Antiqua" w:cs="Times New Roman"/>
          <w:sz w:val="24"/>
          <w:szCs w:val="24"/>
        </w:rPr>
      </w:pPr>
    </w:p>
    <w:p w14:paraId="4487F3D2" w14:textId="115B4AED" w:rsidR="00695E23" w:rsidRPr="00695E23" w:rsidRDefault="00695E23" w:rsidP="00695E23">
      <w:pPr>
        <w:spacing w:line="360" w:lineRule="auto"/>
        <w:rPr>
          <w:rFonts w:ascii="Book Antiqua" w:hAnsi="Book Antiqua"/>
          <w:b/>
          <w:sz w:val="24"/>
          <w:szCs w:val="24"/>
        </w:rPr>
      </w:pPr>
      <w:r w:rsidRPr="00695E23">
        <w:rPr>
          <w:rFonts w:ascii="Book Antiqua" w:hAnsi="Book Antiqua"/>
          <w:b/>
          <w:sz w:val="24"/>
          <w:szCs w:val="24"/>
        </w:rPr>
        <w:t>Received:</w:t>
      </w:r>
      <w:r w:rsidRPr="00695E23">
        <w:rPr>
          <w:rFonts w:ascii="Book Antiqua" w:eastAsia="宋体" w:hAnsi="Book Antiqua"/>
          <w:sz w:val="24"/>
          <w:szCs w:val="24"/>
          <w:lang w:eastAsia="zh-CN"/>
        </w:rPr>
        <w:t xml:space="preserve"> January 6, 2015</w:t>
      </w:r>
      <w:r w:rsidRPr="00695E23">
        <w:rPr>
          <w:rFonts w:ascii="Book Antiqua" w:hAnsi="Book Antiqua"/>
          <w:sz w:val="24"/>
          <w:szCs w:val="24"/>
        </w:rPr>
        <w:t xml:space="preserve">  </w:t>
      </w:r>
      <w:r w:rsidRPr="00695E23">
        <w:rPr>
          <w:rFonts w:ascii="Book Antiqua" w:hAnsi="Book Antiqua"/>
          <w:b/>
          <w:sz w:val="24"/>
          <w:szCs w:val="24"/>
        </w:rPr>
        <w:t xml:space="preserve"> </w:t>
      </w:r>
    </w:p>
    <w:p w14:paraId="2EA19861" w14:textId="0E3214D7" w:rsidR="00695E23" w:rsidRPr="00695E23" w:rsidRDefault="00695E23" w:rsidP="00695E23">
      <w:pPr>
        <w:spacing w:line="360" w:lineRule="auto"/>
        <w:rPr>
          <w:rFonts w:ascii="Book Antiqua" w:hAnsi="Book Antiqua"/>
          <w:b/>
          <w:sz w:val="24"/>
          <w:szCs w:val="24"/>
        </w:rPr>
      </w:pPr>
      <w:r w:rsidRPr="00695E23">
        <w:rPr>
          <w:rFonts w:ascii="Book Antiqua" w:hAnsi="Book Antiqua"/>
          <w:b/>
          <w:sz w:val="24"/>
          <w:szCs w:val="24"/>
        </w:rPr>
        <w:t>Peer-review started:</w:t>
      </w:r>
      <w:r w:rsidRPr="00695E23">
        <w:rPr>
          <w:rFonts w:ascii="Book Antiqua" w:eastAsia="宋体" w:hAnsi="Book Antiqua"/>
          <w:sz w:val="24"/>
          <w:szCs w:val="24"/>
          <w:lang w:eastAsia="zh-CN"/>
        </w:rPr>
        <w:t xml:space="preserve"> January 7, 2015</w:t>
      </w:r>
      <w:r w:rsidRPr="00695E23">
        <w:rPr>
          <w:rFonts w:ascii="Book Antiqua" w:hAnsi="Book Antiqua"/>
          <w:sz w:val="24"/>
          <w:szCs w:val="24"/>
        </w:rPr>
        <w:t xml:space="preserve">  </w:t>
      </w:r>
    </w:p>
    <w:p w14:paraId="085F99F5" w14:textId="325645B0" w:rsidR="00695E23" w:rsidRPr="00695E23" w:rsidRDefault="00695E23" w:rsidP="00695E23">
      <w:pPr>
        <w:spacing w:line="360" w:lineRule="auto"/>
        <w:rPr>
          <w:rFonts w:ascii="Book Antiqua" w:eastAsia="宋体" w:hAnsi="Book Antiqua"/>
          <w:b/>
          <w:sz w:val="24"/>
          <w:szCs w:val="24"/>
          <w:lang w:eastAsia="zh-CN"/>
        </w:rPr>
      </w:pPr>
      <w:r w:rsidRPr="00695E23">
        <w:rPr>
          <w:rFonts w:ascii="Book Antiqua" w:hAnsi="Book Antiqua"/>
          <w:b/>
          <w:sz w:val="24"/>
          <w:szCs w:val="24"/>
        </w:rPr>
        <w:t>First decision:</w:t>
      </w:r>
      <w:r w:rsidRPr="00695E23">
        <w:rPr>
          <w:rFonts w:ascii="Book Antiqua" w:eastAsia="宋体" w:hAnsi="Book Antiqua"/>
          <w:b/>
          <w:sz w:val="24"/>
          <w:szCs w:val="24"/>
          <w:lang w:eastAsia="zh-CN"/>
        </w:rPr>
        <w:t xml:space="preserve"> </w:t>
      </w:r>
      <w:r w:rsidRPr="00695E23">
        <w:rPr>
          <w:rFonts w:ascii="Book Antiqua" w:eastAsia="宋体" w:hAnsi="Book Antiqua"/>
          <w:sz w:val="24"/>
          <w:szCs w:val="24"/>
          <w:lang w:eastAsia="zh-CN"/>
        </w:rPr>
        <w:t>March 6, 2015</w:t>
      </w:r>
    </w:p>
    <w:p w14:paraId="56A201E0" w14:textId="3D8DA426" w:rsidR="00695E23" w:rsidRPr="00695E23" w:rsidRDefault="00695E23" w:rsidP="00695E23">
      <w:pPr>
        <w:spacing w:line="360" w:lineRule="auto"/>
        <w:rPr>
          <w:rFonts w:ascii="Book Antiqua" w:hAnsi="Book Antiqua"/>
          <w:b/>
          <w:sz w:val="24"/>
          <w:szCs w:val="24"/>
        </w:rPr>
      </w:pPr>
      <w:r w:rsidRPr="00695E23">
        <w:rPr>
          <w:rFonts w:ascii="Book Antiqua" w:hAnsi="Book Antiqua"/>
          <w:b/>
          <w:sz w:val="24"/>
          <w:szCs w:val="24"/>
        </w:rPr>
        <w:t>Revised:</w:t>
      </w:r>
      <w:r w:rsidRPr="00695E23">
        <w:rPr>
          <w:rFonts w:ascii="Book Antiqua" w:eastAsia="宋体" w:hAnsi="Book Antiqua"/>
          <w:sz w:val="24"/>
          <w:szCs w:val="24"/>
          <w:lang w:eastAsia="zh-CN"/>
        </w:rPr>
        <w:t xml:space="preserve"> March 23, 2015</w:t>
      </w:r>
      <w:r w:rsidRPr="00695E23">
        <w:rPr>
          <w:rFonts w:ascii="Book Antiqua" w:hAnsi="Book Antiqua"/>
          <w:b/>
          <w:sz w:val="24"/>
          <w:szCs w:val="24"/>
        </w:rPr>
        <w:t xml:space="preserve">  </w:t>
      </w:r>
    </w:p>
    <w:p w14:paraId="202EDF38" w14:textId="5DC84744" w:rsidR="00695E23" w:rsidRPr="00695E23" w:rsidRDefault="00695E23" w:rsidP="00695E23">
      <w:pPr>
        <w:spacing w:line="360" w:lineRule="auto"/>
        <w:rPr>
          <w:rFonts w:ascii="Book Antiqua" w:hAnsi="Book Antiqua"/>
          <w:b/>
          <w:sz w:val="24"/>
          <w:szCs w:val="24"/>
        </w:rPr>
      </w:pPr>
      <w:r w:rsidRPr="00695E23">
        <w:rPr>
          <w:rFonts w:ascii="Book Antiqua" w:hAnsi="Book Antiqua"/>
          <w:b/>
          <w:sz w:val="24"/>
          <w:szCs w:val="24"/>
        </w:rPr>
        <w:t>Accepted:</w:t>
      </w:r>
      <w:r w:rsidR="006E5D0E">
        <w:rPr>
          <w:rFonts w:ascii="Book Antiqua" w:hAnsi="Book Antiqua"/>
          <w:b/>
          <w:sz w:val="24"/>
          <w:szCs w:val="24"/>
        </w:rPr>
        <w:t xml:space="preserve"> </w:t>
      </w:r>
      <w:bookmarkStart w:id="4" w:name="_GoBack"/>
      <w:r w:rsidR="006E5D0E" w:rsidRPr="006E5D0E">
        <w:rPr>
          <w:rFonts w:ascii="Book Antiqua" w:hAnsi="Book Antiqua"/>
          <w:sz w:val="24"/>
          <w:szCs w:val="24"/>
        </w:rPr>
        <w:t>April 28, 2015</w:t>
      </w:r>
      <w:r w:rsidRPr="00695E23">
        <w:rPr>
          <w:rFonts w:ascii="Book Antiqua" w:hAnsi="Book Antiqua"/>
          <w:b/>
          <w:sz w:val="24"/>
          <w:szCs w:val="24"/>
        </w:rPr>
        <w:t xml:space="preserve">  </w:t>
      </w:r>
      <w:bookmarkEnd w:id="4"/>
    </w:p>
    <w:p w14:paraId="41362FF3" w14:textId="77777777" w:rsidR="00695E23" w:rsidRPr="00695E23" w:rsidRDefault="00695E23" w:rsidP="00695E23">
      <w:pPr>
        <w:spacing w:line="360" w:lineRule="auto"/>
        <w:rPr>
          <w:rFonts w:ascii="Book Antiqua" w:hAnsi="Book Antiqua"/>
          <w:b/>
          <w:sz w:val="24"/>
          <w:szCs w:val="24"/>
        </w:rPr>
      </w:pPr>
      <w:r w:rsidRPr="00695E23">
        <w:rPr>
          <w:rFonts w:ascii="Book Antiqua" w:hAnsi="Book Antiqua"/>
          <w:b/>
          <w:sz w:val="24"/>
          <w:szCs w:val="24"/>
        </w:rPr>
        <w:t>Article in press:</w:t>
      </w:r>
    </w:p>
    <w:p w14:paraId="56DA577D" w14:textId="77777777" w:rsidR="00695E23" w:rsidRPr="00695E23" w:rsidRDefault="00695E23" w:rsidP="00695E23">
      <w:pPr>
        <w:spacing w:line="360" w:lineRule="auto"/>
        <w:rPr>
          <w:rFonts w:ascii="Book Antiqua" w:hAnsi="Book Antiqua"/>
          <w:b/>
          <w:sz w:val="24"/>
          <w:szCs w:val="24"/>
        </w:rPr>
      </w:pPr>
      <w:r w:rsidRPr="00695E23">
        <w:rPr>
          <w:rFonts w:ascii="Book Antiqua" w:hAnsi="Book Antiqua"/>
          <w:b/>
          <w:sz w:val="24"/>
          <w:szCs w:val="24"/>
        </w:rPr>
        <w:t xml:space="preserve">Published online: </w:t>
      </w:r>
    </w:p>
    <w:p w14:paraId="7149EB94" w14:textId="77777777" w:rsidR="00695E23" w:rsidRPr="00695E23" w:rsidRDefault="00695E23" w:rsidP="00695E23">
      <w:pPr>
        <w:spacing w:line="360" w:lineRule="auto"/>
        <w:rPr>
          <w:rFonts w:ascii="Book Antiqua" w:eastAsia="宋体" w:hAnsi="Book Antiqua" w:cs="Times New Roman"/>
          <w:sz w:val="24"/>
          <w:szCs w:val="24"/>
          <w:lang w:eastAsia="zh-CN"/>
        </w:rPr>
      </w:pPr>
    </w:p>
    <w:p w14:paraId="450874F6" w14:textId="7DDF0EDB" w:rsidR="001D0DBD" w:rsidRPr="00695E23" w:rsidRDefault="001D0DBD" w:rsidP="00695E23">
      <w:pPr>
        <w:spacing w:line="360" w:lineRule="auto"/>
        <w:rPr>
          <w:rFonts w:ascii="Book Antiqua" w:hAnsi="Book Antiqua"/>
          <w:b/>
          <w:sz w:val="24"/>
          <w:szCs w:val="24"/>
        </w:rPr>
      </w:pPr>
      <w:r w:rsidRPr="00695E23">
        <w:rPr>
          <w:rFonts w:ascii="Book Antiqua" w:hAnsi="Book Antiqua"/>
          <w:b/>
          <w:sz w:val="24"/>
          <w:szCs w:val="24"/>
        </w:rPr>
        <w:t>Abstract</w:t>
      </w:r>
    </w:p>
    <w:p w14:paraId="0FB1E345" w14:textId="669D6421" w:rsidR="007C2320" w:rsidRPr="00695E23" w:rsidRDefault="007C2320" w:rsidP="00695E23">
      <w:pPr>
        <w:spacing w:line="360" w:lineRule="auto"/>
        <w:rPr>
          <w:rFonts w:ascii="Book Antiqua" w:hAnsi="Book Antiqua"/>
          <w:sz w:val="24"/>
          <w:szCs w:val="24"/>
        </w:rPr>
      </w:pPr>
      <w:r w:rsidRPr="00695E23">
        <w:rPr>
          <w:rFonts w:ascii="Book Antiqua" w:hAnsi="Book Antiqua"/>
          <w:sz w:val="24"/>
          <w:szCs w:val="24"/>
        </w:rPr>
        <w:t xml:space="preserve">Hypertensive cardiomyopathy (HTN-CM) is a structural cardiac disorder generally accompanied by concentric left ventricular hypertrophy (LVH) </w:t>
      </w:r>
      <w:r w:rsidRPr="00695E23">
        <w:rPr>
          <w:rFonts w:ascii="Book Antiqua" w:hAnsi="Book Antiqua"/>
          <w:sz w:val="24"/>
          <w:szCs w:val="24"/>
        </w:rPr>
        <w:lastRenderedPageBreak/>
        <w:t xml:space="preserve">associated with diastolic or systolic dysfunction in patients with persistent systemic hypertension. It occurs in the absence of other cardiac diseases capable of causing myocardial hypertrophy or cardiac dysfunction. Persistent systemic hypertension leads to structural and functional myocardial abnormalities resulting in myocardial ischemia, fibrosis, and hypertrophy. HTN-CM is predominantly a disease of impaired relaxation rather than impaired contractility, so patients are usually asymptomatic during resting conditions. However, their stiff left ventricles become incapable of handling increased blood volume and cannot produce appropriate cardiac output with the slight change of circulating volume that may occur during exercise. Importantly, the accompanying LVH is itself a risk factor for mortality and morbidity. Therefore, early detection of LVH development in patients with hypertension (referred to as HTN-CM) is critical for optimal treatment. In addition to pathological findings, echocardiography and cardiac magnetic resonance imaging are ideal tools for the diagnosis of HTN-CM. Timely diagnosis of this condition and utilization of appropriate treatment are required to improve morbidity and mortality in hypertensive patients. This review article presents an overview of the multidimensional impact of myocardial disorder in patients with hypertension. Relevant literature is highlighted and the effects of hypertension on cardiac hypertrophy and heart failure development are discussed, including possible therapeutic options. </w:t>
      </w:r>
    </w:p>
    <w:p w14:paraId="3F6C9AE3" w14:textId="77777777" w:rsidR="00F332A4" w:rsidRPr="00695E23" w:rsidRDefault="00F332A4" w:rsidP="00695E23">
      <w:pPr>
        <w:spacing w:line="360" w:lineRule="auto"/>
        <w:rPr>
          <w:rFonts w:ascii="Book Antiqua" w:hAnsi="Book Antiqua"/>
          <w:sz w:val="24"/>
          <w:szCs w:val="24"/>
        </w:rPr>
      </w:pPr>
    </w:p>
    <w:p w14:paraId="447EC0F2" w14:textId="719119F3" w:rsidR="00206C45" w:rsidRPr="00695E23" w:rsidRDefault="00F332A4" w:rsidP="00695E23">
      <w:pPr>
        <w:spacing w:line="360" w:lineRule="auto"/>
        <w:rPr>
          <w:rFonts w:ascii="Book Antiqua" w:hAnsi="Book Antiqua"/>
          <w:sz w:val="24"/>
          <w:szCs w:val="24"/>
        </w:rPr>
      </w:pPr>
      <w:r w:rsidRPr="00695E23">
        <w:rPr>
          <w:rFonts w:ascii="Book Antiqua" w:hAnsi="Book Antiqua"/>
          <w:b/>
          <w:sz w:val="24"/>
          <w:szCs w:val="24"/>
        </w:rPr>
        <w:t>Key</w:t>
      </w:r>
      <w:r w:rsidR="00695E23" w:rsidRPr="00695E23">
        <w:rPr>
          <w:rFonts w:ascii="Book Antiqua" w:eastAsia="宋体" w:hAnsi="Book Antiqua"/>
          <w:b/>
          <w:sz w:val="24"/>
          <w:szCs w:val="24"/>
          <w:lang w:eastAsia="zh-CN"/>
        </w:rPr>
        <w:t xml:space="preserve"> </w:t>
      </w:r>
      <w:r w:rsidRPr="00695E23">
        <w:rPr>
          <w:rFonts w:ascii="Book Antiqua" w:hAnsi="Book Antiqua"/>
          <w:b/>
          <w:sz w:val="24"/>
          <w:szCs w:val="24"/>
        </w:rPr>
        <w:t>words:</w:t>
      </w:r>
      <w:r w:rsidRPr="00695E23">
        <w:rPr>
          <w:rFonts w:ascii="Book Antiqua" w:hAnsi="Book Antiqua"/>
          <w:sz w:val="24"/>
          <w:szCs w:val="24"/>
        </w:rPr>
        <w:t xml:space="preserve"> Hypertension</w:t>
      </w:r>
      <w:r w:rsidR="00695E23" w:rsidRPr="00695E23">
        <w:rPr>
          <w:rFonts w:ascii="Book Antiqua" w:eastAsia="宋体" w:hAnsi="Book Antiqua"/>
          <w:sz w:val="24"/>
          <w:szCs w:val="24"/>
          <w:lang w:eastAsia="zh-CN"/>
        </w:rPr>
        <w:t>;</w:t>
      </w:r>
      <w:r w:rsidRPr="00695E23">
        <w:rPr>
          <w:rFonts w:ascii="Book Antiqua" w:hAnsi="Book Antiqua"/>
          <w:sz w:val="24"/>
          <w:szCs w:val="24"/>
        </w:rPr>
        <w:t xml:space="preserve"> Cardiomyopathy</w:t>
      </w:r>
      <w:r w:rsidR="00695E23" w:rsidRPr="00695E23">
        <w:rPr>
          <w:rFonts w:ascii="Book Antiqua" w:eastAsia="宋体" w:hAnsi="Book Antiqua"/>
          <w:sz w:val="24"/>
          <w:szCs w:val="24"/>
          <w:lang w:eastAsia="zh-CN"/>
        </w:rPr>
        <w:t>;</w:t>
      </w:r>
      <w:r w:rsidRPr="00695E23">
        <w:rPr>
          <w:rFonts w:ascii="Book Antiqua" w:hAnsi="Book Antiqua"/>
          <w:sz w:val="24"/>
          <w:szCs w:val="24"/>
        </w:rPr>
        <w:t xml:space="preserve"> Hypertrophy</w:t>
      </w:r>
      <w:r w:rsidR="00695E23" w:rsidRPr="00695E23">
        <w:rPr>
          <w:rFonts w:ascii="Book Antiqua" w:eastAsia="宋体" w:hAnsi="Book Antiqua"/>
          <w:sz w:val="24"/>
          <w:szCs w:val="24"/>
          <w:lang w:eastAsia="zh-CN"/>
        </w:rPr>
        <w:t>;</w:t>
      </w:r>
      <w:r w:rsidRPr="00695E23">
        <w:rPr>
          <w:rFonts w:ascii="Book Antiqua" w:hAnsi="Book Antiqua"/>
          <w:sz w:val="24"/>
          <w:szCs w:val="24"/>
        </w:rPr>
        <w:t xml:space="preserve"> Diagnosis</w:t>
      </w:r>
      <w:r w:rsidR="00695E23" w:rsidRPr="00695E23">
        <w:rPr>
          <w:rFonts w:ascii="Book Antiqua" w:eastAsia="宋体" w:hAnsi="Book Antiqua"/>
          <w:sz w:val="24"/>
          <w:szCs w:val="24"/>
          <w:lang w:eastAsia="zh-CN"/>
        </w:rPr>
        <w:t>;</w:t>
      </w:r>
      <w:r w:rsidRPr="00695E23">
        <w:rPr>
          <w:rFonts w:ascii="Book Antiqua" w:hAnsi="Book Antiqua"/>
          <w:sz w:val="24"/>
          <w:szCs w:val="24"/>
        </w:rPr>
        <w:t xml:space="preserve"> Risk assessment</w:t>
      </w:r>
    </w:p>
    <w:p w14:paraId="4DBCCC85" w14:textId="77777777" w:rsidR="005339A7" w:rsidRPr="00695E23" w:rsidRDefault="005339A7" w:rsidP="00695E23">
      <w:pPr>
        <w:widowControl/>
        <w:spacing w:line="360" w:lineRule="auto"/>
        <w:rPr>
          <w:rFonts w:ascii="Book Antiqua" w:eastAsia="宋体" w:hAnsi="Book Antiqua"/>
          <w:sz w:val="24"/>
          <w:szCs w:val="24"/>
          <w:lang w:eastAsia="zh-CN"/>
        </w:rPr>
      </w:pPr>
    </w:p>
    <w:p w14:paraId="06C0CD83" w14:textId="77777777" w:rsidR="00695E23" w:rsidRPr="00695E23" w:rsidRDefault="00695E23" w:rsidP="00695E23">
      <w:pPr>
        <w:spacing w:line="360" w:lineRule="auto"/>
        <w:rPr>
          <w:rFonts w:ascii="Book Antiqua" w:hAnsi="Book Antiqua" w:cs="Arial"/>
          <w:sz w:val="24"/>
          <w:szCs w:val="24"/>
        </w:rPr>
      </w:pPr>
      <w:r w:rsidRPr="00695E23">
        <w:rPr>
          <w:rFonts w:ascii="Book Antiqua" w:hAnsi="Book Antiqua"/>
          <w:b/>
          <w:sz w:val="24"/>
          <w:szCs w:val="24"/>
        </w:rPr>
        <w:t xml:space="preserve">© </w:t>
      </w:r>
      <w:r w:rsidRPr="00695E23">
        <w:rPr>
          <w:rFonts w:ascii="Book Antiqua" w:hAnsi="Book Antiqua" w:cs="Arial"/>
          <w:b/>
          <w:sz w:val="24"/>
          <w:szCs w:val="24"/>
        </w:rPr>
        <w:t>The Author(s) 2015.</w:t>
      </w:r>
      <w:r w:rsidRPr="00695E23">
        <w:rPr>
          <w:rFonts w:ascii="Book Antiqua" w:hAnsi="Book Antiqua" w:cs="Arial"/>
          <w:sz w:val="24"/>
          <w:szCs w:val="24"/>
        </w:rPr>
        <w:t xml:space="preserve"> Published by Baishideng Publishing Group Inc. All rights reserved.</w:t>
      </w:r>
    </w:p>
    <w:p w14:paraId="5EFEE487" w14:textId="77777777" w:rsidR="005339A7" w:rsidRPr="00695E23" w:rsidRDefault="005339A7" w:rsidP="00695E23">
      <w:pPr>
        <w:widowControl/>
        <w:spacing w:line="360" w:lineRule="auto"/>
        <w:rPr>
          <w:rFonts w:ascii="Book Antiqua" w:eastAsia="宋体" w:hAnsi="Book Antiqua"/>
          <w:sz w:val="24"/>
          <w:szCs w:val="24"/>
          <w:lang w:eastAsia="zh-CN"/>
        </w:rPr>
      </w:pPr>
    </w:p>
    <w:p w14:paraId="359E3E61" w14:textId="34CD3D3D" w:rsidR="00695E23" w:rsidRPr="00695E23" w:rsidRDefault="005339A7" w:rsidP="00695E23">
      <w:pPr>
        <w:spacing w:line="360" w:lineRule="auto"/>
        <w:rPr>
          <w:rFonts w:ascii="Book Antiqua" w:eastAsia="宋体" w:hAnsi="Book Antiqua"/>
          <w:sz w:val="24"/>
          <w:szCs w:val="24"/>
          <w:lang w:eastAsia="zh-CN"/>
        </w:rPr>
      </w:pPr>
      <w:r w:rsidRPr="00695E23">
        <w:rPr>
          <w:rFonts w:ascii="Book Antiqua" w:hAnsi="Book Antiqua"/>
          <w:b/>
          <w:sz w:val="24"/>
          <w:szCs w:val="24"/>
        </w:rPr>
        <w:t>Core tip:</w:t>
      </w:r>
      <w:r w:rsidRPr="00695E23">
        <w:rPr>
          <w:rFonts w:ascii="Book Antiqua" w:hAnsi="Book Antiqua"/>
          <w:sz w:val="24"/>
          <w:szCs w:val="24"/>
        </w:rPr>
        <w:t xml:space="preserve"> </w:t>
      </w:r>
      <w:r w:rsidR="007B4C50" w:rsidRPr="00695E23">
        <w:rPr>
          <w:rFonts w:ascii="Book Antiqua" w:hAnsi="Book Antiqua"/>
          <w:sz w:val="24"/>
          <w:szCs w:val="24"/>
        </w:rPr>
        <w:t>Hypertensive cardiomyopathy is a structural cardiac disorder generally accompanied by left ventricular hypertrophy associated with diastolic and/or systolic dysfunction in patients with persistent systemic hypertension, in the absence of other cardiac diseases. Because regression of myocardial hypertrophy is associated with a reduction in cardiovascular risk along with the improvement of cardiac function, timely diagnosis of the disease-specific pathophysiology and appropriate treatment strategy including maintaining optimal blood pressure control is very important in the care of patients with hypertension. In the present review manuscript, we have described the outline of hypertensive cardiomyopathy, pathophysiological feature of the disease, diagnosis and the treatment.</w:t>
      </w:r>
    </w:p>
    <w:p w14:paraId="18F5F6E9" w14:textId="77777777" w:rsidR="00695E23" w:rsidRPr="00695E23" w:rsidRDefault="00695E23" w:rsidP="00695E23">
      <w:pPr>
        <w:spacing w:line="360" w:lineRule="auto"/>
        <w:rPr>
          <w:rFonts w:ascii="Book Antiqua" w:eastAsia="宋体" w:hAnsi="Book Antiqua" w:cs="Times New Roman"/>
          <w:sz w:val="24"/>
          <w:szCs w:val="24"/>
          <w:lang w:val="en" w:eastAsia="zh-CN"/>
        </w:rPr>
      </w:pPr>
    </w:p>
    <w:p w14:paraId="2F0DFC59" w14:textId="546A7496" w:rsidR="00695E23" w:rsidRPr="00695E23" w:rsidRDefault="00695E23" w:rsidP="00695E23">
      <w:pPr>
        <w:spacing w:line="360" w:lineRule="auto"/>
        <w:rPr>
          <w:rFonts w:ascii="Book Antiqua" w:eastAsia="宋体" w:hAnsi="Book Antiqua" w:cs="Times New Roman"/>
          <w:sz w:val="24"/>
          <w:szCs w:val="24"/>
          <w:lang w:eastAsia="zh-CN"/>
        </w:rPr>
      </w:pPr>
      <w:r w:rsidRPr="00695E23">
        <w:rPr>
          <w:rFonts w:ascii="Book Antiqua" w:eastAsia="MS Mincho" w:hAnsi="Book Antiqua" w:cs="Times New Roman"/>
          <w:sz w:val="24"/>
          <w:szCs w:val="24"/>
        </w:rPr>
        <w:t>Kuroda</w:t>
      </w:r>
      <w:r w:rsidRPr="00695E23">
        <w:rPr>
          <w:rFonts w:ascii="Book Antiqua" w:eastAsia="宋体" w:hAnsi="Book Antiqua" w:cs="Times New Roman"/>
          <w:sz w:val="24"/>
          <w:szCs w:val="24"/>
          <w:lang w:eastAsia="zh-CN"/>
        </w:rPr>
        <w:t xml:space="preserve"> K</w:t>
      </w:r>
      <w:r w:rsidRPr="00695E23">
        <w:rPr>
          <w:rFonts w:ascii="Book Antiqua" w:eastAsia="MS Mincho" w:hAnsi="Book Antiqua" w:cs="Times New Roman"/>
          <w:sz w:val="24"/>
          <w:szCs w:val="24"/>
        </w:rPr>
        <w:t>, Kato</w:t>
      </w:r>
      <w:r w:rsidRPr="00695E23">
        <w:rPr>
          <w:rFonts w:ascii="Book Antiqua" w:eastAsia="宋体" w:hAnsi="Book Antiqua" w:cs="Times New Roman"/>
          <w:sz w:val="24"/>
          <w:szCs w:val="24"/>
          <w:lang w:eastAsia="zh-CN"/>
        </w:rPr>
        <w:t xml:space="preserve"> TS</w:t>
      </w:r>
      <w:r w:rsidRPr="00695E23">
        <w:rPr>
          <w:rFonts w:ascii="Book Antiqua" w:eastAsia="MS Mincho" w:hAnsi="Book Antiqua" w:cs="Times New Roman"/>
          <w:sz w:val="24"/>
          <w:szCs w:val="24"/>
        </w:rPr>
        <w:t>, Amano</w:t>
      </w:r>
      <w:r w:rsidRPr="00695E23">
        <w:rPr>
          <w:rFonts w:ascii="Book Antiqua" w:eastAsia="宋体" w:hAnsi="Book Antiqua" w:cs="Times New Roman"/>
          <w:sz w:val="24"/>
          <w:szCs w:val="24"/>
          <w:lang w:eastAsia="zh-CN"/>
        </w:rPr>
        <w:t xml:space="preserve"> A.</w:t>
      </w:r>
      <w:r w:rsidRPr="00695E23">
        <w:rPr>
          <w:rFonts w:ascii="Book Antiqua" w:eastAsia="MS Mincho" w:hAnsi="Book Antiqua" w:cs="Times New Roman"/>
          <w:sz w:val="24"/>
          <w:szCs w:val="24"/>
        </w:rPr>
        <w:t xml:space="preserve"> Hypertensive cardiomyopathy: A clinical approach and literature review</w:t>
      </w:r>
      <w:r w:rsidRPr="00695E23">
        <w:rPr>
          <w:rFonts w:ascii="Book Antiqua" w:eastAsia="宋体" w:hAnsi="Book Antiqua" w:cs="Times New Roman"/>
          <w:sz w:val="24"/>
          <w:szCs w:val="24"/>
          <w:lang w:eastAsia="zh-CN"/>
        </w:rPr>
        <w:t xml:space="preserve">. </w:t>
      </w:r>
      <w:r w:rsidRPr="00695E23">
        <w:rPr>
          <w:rFonts w:ascii="Book Antiqua" w:hAnsi="Book Antiqua"/>
          <w:i/>
          <w:iCs/>
          <w:sz w:val="24"/>
          <w:szCs w:val="24"/>
        </w:rPr>
        <w:t>World J Hypertens</w:t>
      </w:r>
      <w:r w:rsidRPr="00695E23">
        <w:rPr>
          <w:rFonts w:ascii="Book Antiqua" w:eastAsia="宋体" w:hAnsi="Book Antiqua"/>
          <w:i/>
          <w:iCs/>
          <w:sz w:val="24"/>
          <w:szCs w:val="24"/>
          <w:lang w:eastAsia="zh-CN"/>
        </w:rPr>
        <w:t xml:space="preserve"> </w:t>
      </w:r>
      <w:r w:rsidRPr="00695E23">
        <w:rPr>
          <w:rFonts w:ascii="Book Antiqua" w:eastAsia="宋体" w:hAnsi="Book Antiqua"/>
          <w:iCs/>
          <w:sz w:val="24"/>
          <w:szCs w:val="24"/>
          <w:lang w:eastAsia="zh-CN"/>
        </w:rPr>
        <w:t>2015; In press</w:t>
      </w:r>
    </w:p>
    <w:p w14:paraId="7A005694" w14:textId="77777777" w:rsidR="00695E23" w:rsidRPr="00695E23" w:rsidRDefault="00695E23" w:rsidP="00695E23">
      <w:pPr>
        <w:spacing w:line="360" w:lineRule="auto"/>
        <w:rPr>
          <w:rFonts w:ascii="Book Antiqua" w:eastAsia="宋体" w:hAnsi="Book Antiqua"/>
          <w:sz w:val="24"/>
          <w:szCs w:val="24"/>
          <w:lang w:eastAsia="zh-CN"/>
        </w:rPr>
      </w:pPr>
    </w:p>
    <w:p w14:paraId="797D8D4A" w14:textId="206C68E2" w:rsidR="00F714FD" w:rsidRPr="00695E23" w:rsidRDefault="00505CB0" w:rsidP="00695E23">
      <w:pPr>
        <w:spacing w:line="360" w:lineRule="auto"/>
        <w:rPr>
          <w:rFonts w:ascii="Book Antiqua" w:hAnsi="Book Antiqua"/>
          <w:sz w:val="24"/>
          <w:szCs w:val="24"/>
        </w:rPr>
      </w:pPr>
      <w:r w:rsidRPr="00695E23">
        <w:rPr>
          <w:rFonts w:ascii="Book Antiqua" w:hAnsi="Book Antiqua"/>
          <w:b/>
          <w:sz w:val="24"/>
          <w:szCs w:val="24"/>
        </w:rPr>
        <w:t>INTRODUCTION</w:t>
      </w:r>
      <w:r w:rsidRPr="00695E23" w:rsidDel="00505CB0">
        <w:rPr>
          <w:rFonts w:ascii="Book Antiqua" w:hAnsi="Book Antiqua"/>
          <w:b/>
          <w:sz w:val="24"/>
          <w:szCs w:val="24"/>
        </w:rPr>
        <w:t xml:space="preserve"> </w:t>
      </w:r>
    </w:p>
    <w:p w14:paraId="18448973" w14:textId="77777777" w:rsidR="00F714FD" w:rsidRPr="00695E23" w:rsidRDefault="00F714FD" w:rsidP="00695E23">
      <w:pPr>
        <w:spacing w:line="360" w:lineRule="auto"/>
        <w:rPr>
          <w:rFonts w:ascii="Book Antiqua" w:hAnsi="Book Antiqua"/>
          <w:sz w:val="24"/>
          <w:szCs w:val="24"/>
        </w:rPr>
      </w:pPr>
      <w:r w:rsidRPr="00695E23">
        <w:rPr>
          <w:rFonts w:ascii="Book Antiqua" w:hAnsi="Book Antiqua"/>
          <w:sz w:val="24"/>
          <w:szCs w:val="24"/>
        </w:rPr>
        <w:t xml:space="preserve">Hypertensive cardiomyopathy (HTN-CM) is a structural cardiac disorder generally accompanied by concentric left ventricular hypertrophy (LVH) associated with diastolic or systolic dysfunction in patients with persistent systemic hypertension. HTN-CM is difficult to distinguish from other cardiac </w:t>
      </w:r>
      <w:r w:rsidRPr="00695E23">
        <w:rPr>
          <w:rFonts w:ascii="Book Antiqua" w:hAnsi="Book Antiqua"/>
          <w:sz w:val="24"/>
          <w:szCs w:val="24"/>
        </w:rPr>
        <w:lastRenderedPageBreak/>
        <w:t xml:space="preserve">diseases that cause myocardial hypertrophy, such as hypertrophic cardiomyopathy, Fabry disease, or cardiac amyloidosis. However, when other causes are ruled out, leaving hypertension the only possible cause for LVH development, this is considered to be HTN-CM. </w:t>
      </w:r>
    </w:p>
    <w:p w14:paraId="1859C62A" w14:textId="5292BF14" w:rsidR="00F714FD" w:rsidRPr="00695E23" w:rsidRDefault="00F714FD" w:rsidP="00695E23">
      <w:pPr>
        <w:spacing w:line="360" w:lineRule="auto"/>
        <w:ind w:firstLineChars="100" w:firstLine="240"/>
        <w:rPr>
          <w:rFonts w:ascii="Book Antiqua" w:hAnsi="Book Antiqua"/>
          <w:sz w:val="24"/>
          <w:szCs w:val="24"/>
        </w:rPr>
      </w:pPr>
      <w:r w:rsidRPr="00695E23">
        <w:rPr>
          <w:rFonts w:ascii="Book Antiqua" w:hAnsi="Book Antiqua"/>
          <w:sz w:val="24"/>
          <w:szCs w:val="24"/>
        </w:rPr>
        <w:t>Hypertension (HTN) is a major global health issue, accounting for approximately 50% cases of both stroke and ischemic heart disease, and approximately 13% of the total deaths worldwide</w:t>
      </w:r>
      <w:r w:rsidRPr="00695E23">
        <w:rPr>
          <w:rFonts w:ascii="Book Antiqua" w:hAnsi="Book Antiqua"/>
          <w:sz w:val="24"/>
          <w:szCs w:val="24"/>
          <w:vertAlign w:val="superscript"/>
        </w:rPr>
        <w:t>[1]</w:t>
      </w:r>
      <w:r w:rsidRPr="00695E23">
        <w:rPr>
          <w:rFonts w:ascii="Book Antiqua" w:hAnsi="Book Antiqua"/>
          <w:sz w:val="24"/>
          <w:szCs w:val="24"/>
        </w:rPr>
        <w:t>. Persistent hypertension can cause structural and functional myocardial abnormalities. LVH and remodeling, frequently seen in patients with hypertension</w:t>
      </w:r>
      <w:r w:rsidRPr="00695E23">
        <w:rPr>
          <w:rFonts w:ascii="Book Antiqua" w:hAnsi="Book Antiqua"/>
          <w:sz w:val="24"/>
          <w:szCs w:val="24"/>
          <w:vertAlign w:val="superscript"/>
        </w:rPr>
        <w:t>[2]</w:t>
      </w:r>
      <w:r w:rsidRPr="00695E23">
        <w:rPr>
          <w:rFonts w:ascii="Book Antiqua" w:hAnsi="Book Antiqua"/>
          <w:sz w:val="24"/>
          <w:szCs w:val="24"/>
        </w:rPr>
        <w:t>, is initially an adaptive response of a normal heart to an increased afterload. Hypertension leads to interstitial myocardial fibrosis</w:t>
      </w:r>
      <w:r w:rsidRPr="00695E23">
        <w:rPr>
          <w:rFonts w:ascii="Book Antiqua" w:hAnsi="Book Antiqua"/>
          <w:sz w:val="24"/>
          <w:szCs w:val="24"/>
          <w:vertAlign w:val="superscript"/>
        </w:rPr>
        <w:t>[3]</w:t>
      </w:r>
      <w:r w:rsidRPr="00695E23">
        <w:rPr>
          <w:rFonts w:ascii="Book Antiqua" w:hAnsi="Book Antiqua"/>
          <w:sz w:val="24"/>
          <w:szCs w:val="24"/>
        </w:rPr>
        <w:t>, which has been linked to LVH development and diastolic dysfunction</w:t>
      </w:r>
      <w:r w:rsidRPr="00695E23">
        <w:rPr>
          <w:rFonts w:ascii="Book Antiqua" w:hAnsi="Book Antiqua"/>
          <w:sz w:val="24"/>
          <w:szCs w:val="24"/>
          <w:vertAlign w:val="superscript"/>
        </w:rPr>
        <w:t>[4]</w:t>
      </w:r>
      <w:r w:rsidRPr="00695E23">
        <w:rPr>
          <w:rFonts w:ascii="Book Antiqua" w:hAnsi="Book Antiqua"/>
          <w:sz w:val="24"/>
          <w:szCs w:val="24"/>
        </w:rPr>
        <w:t xml:space="preserve">. </w:t>
      </w:r>
    </w:p>
    <w:p w14:paraId="4713F460" w14:textId="62B9494A" w:rsidR="00F714FD" w:rsidRPr="00695E23" w:rsidRDefault="00F714FD" w:rsidP="00695E23">
      <w:pPr>
        <w:spacing w:line="360" w:lineRule="auto"/>
        <w:ind w:firstLineChars="100" w:firstLine="240"/>
        <w:rPr>
          <w:rFonts w:ascii="Book Antiqua" w:hAnsi="Book Antiqua"/>
          <w:sz w:val="24"/>
          <w:szCs w:val="24"/>
        </w:rPr>
      </w:pPr>
      <w:r w:rsidRPr="00695E23">
        <w:rPr>
          <w:rFonts w:ascii="Book Antiqua" w:hAnsi="Book Antiqua"/>
          <w:sz w:val="24"/>
          <w:szCs w:val="24"/>
        </w:rPr>
        <w:t>The renin-angiotensin-aldosterone system (RAAS) is also an important determinant of the hypertrophic response</w:t>
      </w:r>
      <w:r w:rsidRPr="00695E23">
        <w:rPr>
          <w:rFonts w:ascii="Book Antiqua" w:hAnsi="Book Antiqua"/>
          <w:sz w:val="24"/>
          <w:szCs w:val="24"/>
          <w:vertAlign w:val="superscript"/>
        </w:rPr>
        <w:t>[5-7]</w:t>
      </w:r>
      <w:r w:rsidRPr="00695E23">
        <w:rPr>
          <w:rFonts w:ascii="Book Antiqua" w:hAnsi="Book Antiqua"/>
          <w:sz w:val="24"/>
          <w:szCs w:val="24"/>
        </w:rPr>
        <w:t>. A relationship between angiotensin II and development of myocardial fibrosis has been described as well</w:t>
      </w:r>
      <w:r w:rsidRPr="00695E23">
        <w:rPr>
          <w:rFonts w:ascii="Book Antiqua" w:hAnsi="Book Antiqua"/>
          <w:sz w:val="24"/>
          <w:szCs w:val="24"/>
          <w:vertAlign w:val="superscript"/>
        </w:rPr>
        <w:t>[8]</w:t>
      </w:r>
      <w:r w:rsidRPr="00695E23">
        <w:rPr>
          <w:rFonts w:ascii="Book Antiqua" w:hAnsi="Book Antiqua"/>
          <w:sz w:val="24"/>
          <w:szCs w:val="24"/>
        </w:rPr>
        <w:t>. Importantly, the Framingham Heart Study revealed that LVH is a risk factor for cardiovascular morbidity and mortality, independent of other cardiovascular risk factors, including elevated blood pressure itself</w:t>
      </w:r>
      <w:r w:rsidRPr="00695E23">
        <w:rPr>
          <w:rFonts w:ascii="Book Antiqua" w:hAnsi="Book Antiqua"/>
          <w:sz w:val="24"/>
          <w:szCs w:val="24"/>
          <w:vertAlign w:val="superscript"/>
        </w:rPr>
        <w:t>[4,9,10]</w:t>
      </w:r>
      <w:r w:rsidRPr="00695E23">
        <w:rPr>
          <w:rFonts w:ascii="Book Antiqua" w:hAnsi="Book Antiqua"/>
          <w:sz w:val="24"/>
          <w:szCs w:val="24"/>
        </w:rPr>
        <w:t>. In addition, patients with persistent hypertension and LVH are susceptible to sudden death</w:t>
      </w:r>
      <w:r w:rsidRPr="00695E23">
        <w:rPr>
          <w:rFonts w:ascii="Book Antiqua" w:hAnsi="Book Antiqua"/>
          <w:sz w:val="24"/>
          <w:szCs w:val="24"/>
          <w:vertAlign w:val="superscript"/>
        </w:rPr>
        <w:t>[11]</w:t>
      </w:r>
      <w:r w:rsidRPr="00695E23">
        <w:rPr>
          <w:rFonts w:ascii="Book Antiqua" w:hAnsi="Book Antiqua"/>
          <w:sz w:val="24"/>
          <w:szCs w:val="24"/>
        </w:rPr>
        <w:t>. These observations emphasize the importance of early diagnosis and effective treatment of hypertension to prevent cardiac complications</w:t>
      </w:r>
      <w:r w:rsidRPr="00695E23">
        <w:rPr>
          <w:rFonts w:ascii="Book Antiqua" w:hAnsi="Book Antiqua"/>
          <w:sz w:val="24"/>
          <w:szCs w:val="24"/>
          <w:vertAlign w:val="superscript"/>
        </w:rPr>
        <w:t>[12]</w:t>
      </w:r>
      <w:r w:rsidRPr="00695E23">
        <w:rPr>
          <w:rFonts w:ascii="Book Antiqua" w:hAnsi="Book Antiqua"/>
          <w:sz w:val="24"/>
          <w:szCs w:val="24"/>
        </w:rPr>
        <w:t xml:space="preserve">. </w:t>
      </w:r>
    </w:p>
    <w:p w14:paraId="6392ECC7" w14:textId="793D92B7" w:rsidR="00F714FD" w:rsidRPr="00695E23" w:rsidRDefault="00F714FD" w:rsidP="00695E23">
      <w:pPr>
        <w:spacing w:line="360" w:lineRule="auto"/>
        <w:ind w:firstLineChars="100" w:firstLine="240"/>
        <w:rPr>
          <w:rFonts w:ascii="Book Antiqua" w:hAnsi="Book Antiqua"/>
          <w:sz w:val="24"/>
          <w:szCs w:val="24"/>
        </w:rPr>
      </w:pPr>
      <w:r w:rsidRPr="00695E23">
        <w:rPr>
          <w:rFonts w:ascii="Book Antiqua" w:hAnsi="Book Antiqua"/>
          <w:sz w:val="24"/>
          <w:szCs w:val="24"/>
        </w:rPr>
        <w:t xml:space="preserve">In this review article, we summarize the pathophysiology, mechanism, diagnostic evaluation, and management options of HTN-CM. We have focused </w:t>
      </w:r>
      <w:r w:rsidRPr="00695E23">
        <w:rPr>
          <w:rFonts w:ascii="Book Antiqua" w:hAnsi="Book Antiqua"/>
          <w:sz w:val="24"/>
          <w:szCs w:val="24"/>
        </w:rPr>
        <w:lastRenderedPageBreak/>
        <w:t>on human studies in order to emphasize the importance of early identification and optimization of treatment in patients with hypertension.</w:t>
      </w:r>
    </w:p>
    <w:p w14:paraId="4DD14C0B" w14:textId="77777777" w:rsidR="001D0DBD" w:rsidRPr="00695E23" w:rsidRDefault="001D0DBD" w:rsidP="00695E23">
      <w:pPr>
        <w:spacing w:line="360" w:lineRule="auto"/>
        <w:rPr>
          <w:rFonts w:ascii="Book Antiqua" w:hAnsi="Book Antiqua"/>
          <w:sz w:val="24"/>
          <w:szCs w:val="24"/>
        </w:rPr>
      </w:pPr>
    </w:p>
    <w:p w14:paraId="468288D1" w14:textId="77777777" w:rsidR="00505CB0" w:rsidRPr="00695E23" w:rsidRDefault="00505CB0" w:rsidP="00695E23">
      <w:pPr>
        <w:spacing w:line="360" w:lineRule="auto"/>
        <w:rPr>
          <w:rFonts w:ascii="Book Antiqua" w:hAnsi="Book Antiqua"/>
          <w:b/>
          <w:sz w:val="24"/>
          <w:szCs w:val="24"/>
        </w:rPr>
      </w:pPr>
      <w:r w:rsidRPr="00695E23">
        <w:rPr>
          <w:rFonts w:ascii="Book Antiqua" w:hAnsi="Book Antiqua"/>
          <w:b/>
          <w:sz w:val="24"/>
          <w:szCs w:val="24"/>
        </w:rPr>
        <w:t>EPIDEMIOLOGY</w:t>
      </w:r>
    </w:p>
    <w:p w14:paraId="1F8B044D" w14:textId="2E91B28E" w:rsidR="00985D83" w:rsidRPr="00695E23" w:rsidRDefault="00985D83" w:rsidP="00695E23">
      <w:pPr>
        <w:spacing w:line="360" w:lineRule="auto"/>
        <w:rPr>
          <w:rFonts w:ascii="Book Antiqua" w:hAnsi="Book Antiqua"/>
          <w:sz w:val="24"/>
          <w:szCs w:val="24"/>
        </w:rPr>
      </w:pPr>
      <w:r w:rsidRPr="00695E23">
        <w:rPr>
          <w:rFonts w:ascii="Book Antiqua" w:hAnsi="Book Antiqua"/>
          <w:sz w:val="24"/>
          <w:szCs w:val="24"/>
        </w:rPr>
        <w:t>The prevalence of LVH varies with the severity of hypertension, ranging from 20% in mild to almost 100% in severe or complicated hypertension</w:t>
      </w:r>
      <w:r w:rsidRPr="00695E23">
        <w:rPr>
          <w:rFonts w:ascii="Book Antiqua" w:hAnsi="Book Antiqua"/>
          <w:sz w:val="24"/>
          <w:szCs w:val="24"/>
          <w:vertAlign w:val="superscript"/>
        </w:rPr>
        <w:t>[13]</w:t>
      </w:r>
      <w:r w:rsidRPr="00695E23">
        <w:rPr>
          <w:rFonts w:ascii="Book Antiqua" w:hAnsi="Book Antiqua"/>
          <w:sz w:val="24"/>
          <w:szCs w:val="24"/>
        </w:rPr>
        <w:t xml:space="preserve">. Cuspidi </w:t>
      </w:r>
      <w:r w:rsidRPr="00B15118">
        <w:rPr>
          <w:rFonts w:ascii="Book Antiqua" w:hAnsi="Book Antiqua"/>
          <w:i/>
          <w:sz w:val="24"/>
          <w:szCs w:val="24"/>
        </w:rPr>
        <w:t>et al</w:t>
      </w:r>
      <w:r w:rsidR="00B15118" w:rsidRPr="00695E23">
        <w:rPr>
          <w:rFonts w:ascii="Book Antiqua" w:hAnsi="Book Antiqua"/>
          <w:sz w:val="24"/>
          <w:szCs w:val="24"/>
          <w:vertAlign w:val="superscript"/>
        </w:rPr>
        <w:t>[14]</w:t>
      </w:r>
      <w:r w:rsidRPr="00695E23">
        <w:rPr>
          <w:rFonts w:ascii="Book Antiqua" w:hAnsi="Book Antiqua"/>
          <w:sz w:val="24"/>
          <w:szCs w:val="24"/>
        </w:rPr>
        <w:t>, who performed a review of t</w:t>
      </w:r>
      <w:r w:rsidR="00695E23">
        <w:rPr>
          <w:rFonts w:ascii="Book Antiqua" w:hAnsi="Book Antiqua"/>
          <w:sz w:val="24"/>
          <w:szCs w:val="24"/>
        </w:rPr>
        <w:t>he echocardiographic data of 37</w:t>
      </w:r>
      <w:r w:rsidRPr="00695E23">
        <w:rPr>
          <w:rFonts w:ascii="Book Antiqua" w:hAnsi="Book Antiqua"/>
          <w:sz w:val="24"/>
          <w:szCs w:val="24"/>
        </w:rPr>
        <w:t>700 individuals, reported that the prevalence rate of LVH was 19%</w:t>
      </w:r>
      <w:r w:rsidR="00695E23">
        <w:rPr>
          <w:rFonts w:ascii="Book Antiqua" w:eastAsia="宋体" w:hAnsi="Book Antiqua" w:hint="eastAsia"/>
          <w:sz w:val="24"/>
          <w:szCs w:val="24"/>
          <w:lang w:eastAsia="zh-CN"/>
        </w:rPr>
        <w:t>-</w:t>
      </w:r>
      <w:r w:rsidRPr="00695E23">
        <w:rPr>
          <w:rFonts w:ascii="Book Antiqua" w:hAnsi="Book Antiqua"/>
          <w:sz w:val="24"/>
          <w:szCs w:val="24"/>
        </w:rPr>
        <w:t>48% in untreated hypertensive cohorts and 58%</w:t>
      </w:r>
      <w:r w:rsidR="00695E23">
        <w:rPr>
          <w:rFonts w:ascii="Book Antiqua" w:eastAsia="宋体" w:hAnsi="Book Antiqua" w:hint="eastAsia"/>
          <w:sz w:val="24"/>
          <w:szCs w:val="24"/>
          <w:lang w:eastAsia="zh-CN"/>
        </w:rPr>
        <w:t>-</w:t>
      </w:r>
      <w:r w:rsidRPr="00695E23">
        <w:rPr>
          <w:rFonts w:ascii="Book Antiqua" w:hAnsi="Book Antiqua"/>
          <w:sz w:val="24"/>
          <w:szCs w:val="24"/>
        </w:rPr>
        <w:t xml:space="preserve">77% in high-risk hypertensive patients. </w:t>
      </w:r>
    </w:p>
    <w:p w14:paraId="3330B3B3" w14:textId="6A0F70EA" w:rsidR="00985D83" w:rsidRPr="00695E23" w:rsidRDefault="00985D83" w:rsidP="00695E23">
      <w:pPr>
        <w:spacing w:line="360" w:lineRule="auto"/>
        <w:ind w:firstLineChars="100" w:firstLine="240"/>
        <w:rPr>
          <w:rFonts w:ascii="Book Antiqua" w:hAnsi="Book Antiqua"/>
          <w:sz w:val="24"/>
          <w:szCs w:val="24"/>
        </w:rPr>
      </w:pPr>
      <w:r w:rsidRPr="00695E23">
        <w:rPr>
          <w:rFonts w:ascii="Book Antiqua" w:hAnsi="Book Antiqua"/>
          <w:sz w:val="24"/>
          <w:szCs w:val="24"/>
        </w:rPr>
        <w:t>The development of LVH is a relatively early response to hypertension, particularly in children and adolescents</w:t>
      </w:r>
      <w:r w:rsidRPr="00695E23">
        <w:rPr>
          <w:rFonts w:ascii="Book Antiqua" w:hAnsi="Book Antiqua"/>
          <w:sz w:val="24"/>
          <w:szCs w:val="24"/>
          <w:vertAlign w:val="superscript"/>
        </w:rPr>
        <w:t>[15]</w:t>
      </w:r>
      <w:r w:rsidRPr="00695E23">
        <w:rPr>
          <w:rFonts w:ascii="Book Antiqua" w:hAnsi="Book Antiqua"/>
          <w:sz w:val="24"/>
          <w:szCs w:val="24"/>
        </w:rPr>
        <w:t>. Transient hypertension induced by mental stress as well as extensive elevation of blood pressure during exercise can also induce LVH</w:t>
      </w:r>
      <w:r w:rsidR="00695E23">
        <w:rPr>
          <w:rFonts w:ascii="Book Antiqua" w:hAnsi="Book Antiqua"/>
          <w:sz w:val="24"/>
          <w:szCs w:val="24"/>
          <w:vertAlign w:val="superscript"/>
        </w:rPr>
        <w:t>[16,</w:t>
      </w:r>
      <w:r w:rsidRPr="00695E23">
        <w:rPr>
          <w:rFonts w:ascii="Book Antiqua" w:hAnsi="Book Antiqua"/>
          <w:sz w:val="24"/>
          <w:szCs w:val="24"/>
          <w:vertAlign w:val="superscript"/>
        </w:rPr>
        <w:t>17]</w:t>
      </w:r>
      <w:r w:rsidRPr="00695E23">
        <w:rPr>
          <w:rFonts w:ascii="Book Antiqua" w:hAnsi="Book Antiqua"/>
          <w:sz w:val="24"/>
          <w:szCs w:val="24"/>
        </w:rPr>
        <w:t>. The Framingham Heart Study showed that the left ventricular (LV) mass can be increased prior to the development of overt hypertension</w:t>
      </w:r>
      <w:r w:rsidRPr="00695E23">
        <w:rPr>
          <w:rFonts w:ascii="Book Antiqua" w:hAnsi="Book Antiqua"/>
          <w:sz w:val="24"/>
          <w:szCs w:val="24"/>
          <w:vertAlign w:val="superscript"/>
        </w:rPr>
        <w:t>[18]</w:t>
      </w:r>
      <w:r w:rsidRPr="00695E23">
        <w:rPr>
          <w:rFonts w:ascii="Book Antiqua" w:hAnsi="Book Antiqua"/>
          <w:sz w:val="24"/>
          <w:szCs w:val="24"/>
        </w:rPr>
        <w:t>. LVH in patients with hypertension predominantly results not only from a chronic increase in LV afterload but also a genetic component such as the DD genotype of the angiotensin-converting-enzyme (ACE) gene and B2 bradykinin receptor polymorphism</w:t>
      </w:r>
      <w:r w:rsidRPr="00695E23">
        <w:rPr>
          <w:rFonts w:ascii="Book Antiqua" w:hAnsi="Book Antiqua"/>
          <w:sz w:val="24"/>
          <w:szCs w:val="24"/>
          <w:vertAlign w:val="superscript"/>
        </w:rPr>
        <w:t>[19-22]</w:t>
      </w:r>
      <w:r w:rsidRPr="00695E23">
        <w:rPr>
          <w:rFonts w:ascii="Book Antiqua" w:hAnsi="Book Antiqua"/>
          <w:sz w:val="24"/>
          <w:szCs w:val="24"/>
        </w:rPr>
        <w:t>.</w:t>
      </w:r>
    </w:p>
    <w:p w14:paraId="6E6A9691" w14:textId="63FD9081" w:rsidR="00985D83" w:rsidRPr="00695E23" w:rsidRDefault="00695E23" w:rsidP="00695E23">
      <w:pPr>
        <w:spacing w:line="360" w:lineRule="auto"/>
        <w:ind w:firstLineChars="100" w:firstLine="240"/>
        <w:rPr>
          <w:rFonts w:ascii="Book Antiqua" w:hAnsi="Book Antiqua"/>
          <w:sz w:val="24"/>
          <w:szCs w:val="24"/>
        </w:rPr>
      </w:pPr>
      <w:r>
        <w:rPr>
          <w:rFonts w:ascii="Book Antiqua" w:hAnsi="Book Antiqua"/>
          <w:sz w:val="24"/>
          <w:szCs w:val="24"/>
        </w:rPr>
        <w:t xml:space="preserve">Devereux </w:t>
      </w:r>
      <w:r w:rsidRPr="00695E23">
        <w:rPr>
          <w:rFonts w:ascii="Book Antiqua" w:hAnsi="Book Antiqua"/>
          <w:i/>
          <w:sz w:val="24"/>
          <w:szCs w:val="24"/>
        </w:rPr>
        <w:t>et al</w:t>
      </w:r>
      <w:r w:rsidRPr="00695E23">
        <w:rPr>
          <w:rFonts w:ascii="Book Antiqua" w:hAnsi="Book Antiqua"/>
          <w:sz w:val="24"/>
          <w:szCs w:val="24"/>
          <w:vertAlign w:val="superscript"/>
        </w:rPr>
        <w:t>[23]</w:t>
      </w:r>
      <w:r w:rsidR="00985D83" w:rsidRPr="00695E23">
        <w:rPr>
          <w:rFonts w:ascii="Book Antiqua" w:hAnsi="Book Antiqua"/>
          <w:sz w:val="24"/>
          <w:szCs w:val="24"/>
        </w:rPr>
        <w:t xml:space="preserve"> reported that the prevalence of LVH among hypertensive patients is influenced by gender, obesity, and possibly age. Sex-specific criteria for LV mass index identify LVH in more women than men with systemic hypertension</w:t>
      </w:r>
      <w:r w:rsidR="00985D83" w:rsidRPr="00695E23">
        <w:rPr>
          <w:rFonts w:ascii="Book Antiqua" w:hAnsi="Book Antiqua"/>
          <w:sz w:val="24"/>
          <w:szCs w:val="24"/>
          <w:vertAlign w:val="superscript"/>
        </w:rPr>
        <w:t>[24]</w:t>
      </w:r>
      <w:r w:rsidR="00985D83" w:rsidRPr="00B15118">
        <w:rPr>
          <w:rFonts w:ascii="Book Antiqua" w:hAnsi="Book Antiqua"/>
          <w:sz w:val="24"/>
          <w:szCs w:val="24"/>
        </w:rPr>
        <w:t>.</w:t>
      </w:r>
      <w:r w:rsidR="00985D83" w:rsidRPr="00695E23">
        <w:rPr>
          <w:rFonts w:ascii="Book Antiqua" w:hAnsi="Book Antiqua"/>
          <w:sz w:val="24"/>
          <w:szCs w:val="24"/>
        </w:rPr>
        <w:t xml:space="preserve"> </w:t>
      </w:r>
    </w:p>
    <w:p w14:paraId="20F35B27" w14:textId="77777777" w:rsidR="001D0DBD" w:rsidRPr="00695E23" w:rsidRDefault="001D0DBD" w:rsidP="00695E23">
      <w:pPr>
        <w:spacing w:line="360" w:lineRule="auto"/>
        <w:rPr>
          <w:rFonts w:ascii="Book Antiqua" w:hAnsi="Book Antiqua"/>
          <w:sz w:val="24"/>
          <w:szCs w:val="24"/>
        </w:rPr>
      </w:pPr>
    </w:p>
    <w:p w14:paraId="32FCB17F" w14:textId="62DA6B4F" w:rsidR="001D0DBD" w:rsidRPr="00695E23" w:rsidRDefault="00505CB0" w:rsidP="00695E23">
      <w:pPr>
        <w:spacing w:line="360" w:lineRule="auto"/>
        <w:rPr>
          <w:rFonts w:ascii="Book Antiqua" w:hAnsi="Book Antiqua"/>
          <w:b/>
          <w:sz w:val="24"/>
          <w:szCs w:val="24"/>
        </w:rPr>
      </w:pPr>
      <w:r w:rsidRPr="00695E23">
        <w:rPr>
          <w:rFonts w:ascii="Book Antiqua" w:hAnsi="Book Antiqua"/>
          <w:b/>
          <w:sz w:val="24"/>
          <w:szCs w:val="24"/>
        </w:rPr>
        <w:t>MYOCARDIAL REMODELING AND PATTERNS OF LVH IN HTN-CM</w:t>
      </w:r>
    </w:p>
    <w:p w14:paraId="521C3809" w14:textId="30828C66" w:rsidR="00292CE0" w:rsidRPr="00695E23" w:rsidRDefault="00292CE0" w:rsidP="00695E23">
      <w:pPr>
        <w:spacing w:line="360" w:lineRule="auto"/>
        <w:rPr>
          <w:rFonts w:ascii="Book Antiqua" w:hAnsi="Book Antiqua"/>
          <w:sz w:val="24"/>
          <w:szCs w:val="24"/>
        </w:rPr>
      </w:pPr>
      <w:r w:rsidRPr="00695E23">
        <w:rPr>
          <w:rFonts w:ascii="Book Antiqua" w:hAnsi="Book Antiqua"/>
          <w:sz w:val="24"/>
          <w:szCs w:val="24"/>
        </w:rPr>
        <w:lastRenderedPageBreak/>
        <w:t>Conventional echocardiography provides useful morphological information of LVH patterns. For example, patients with hypertrophic cardiomyopathy (HCM) frequently show asymmetrical septal hypertrophy of the LV; this is the most characteristic finding</w:t>
      </w:r>
      <w:r w:rsidRPr="00695E23">
        <w:rPr>
          <w:rFonts w:ascii="Book Antiqua" w:hAnsi="Book Antiqua"/>
          <w:sz w:val="24"/>
          <w:szCs w:val="24"/>
          <w:vertAlign w:val="superscript"/>
        </w:rPr>
        <w:t>[25]</w:t>
      </w:r>
      <w:r w:rsidRPr="00695E23">
        <w:rPr>
          <w:rFonts w:ascii="Book Antiqua" w:hAnsi="Book Antiqua"/>
          <w:sz w:val="24"/>
          <w:szCs w:val="24"/>
        </w:rPr>
        <w:t>. In contrast, LVH associated with hypertension or HTN-CM is characterized by symmetrical (concentric) LV hypertrophy. However, 13%</w:t>
      </w:r>
      <w:r w:rsidR="00695E23">
        <w:rPr>
          <w:rFonts w:ascii="Book Antiqua" w:eastAsia="宋体" w:hAnsi="Book Antiqua" w:hint="eastAsia"/>
          <w:sz w:val="24"/>
          <w:szCs w:val="24"/>
          <w:lang w:eastAsia="zh-CN"/>
        </w:rPr>
        <w:t>-</w:t>
      </w:r>
      <w:r w:rsidRPr="00695E23">
        <w:rPr>
          <w:rFonts w:ascii="Book Antiqua" w:hAnsi="Book Antiqua"/>
          <w:sz w:val="24"/>
          <w:szCs w:val="24"/>
        </w:rPr>
        <w:t>31% of patients with HCM show symmetrical hypertrophy</w:t>
      </w:r>
      <w:r w:rsidR="00695E23">
        <w:rPr>
          <w:rFonts w:ascii="Book Antiqua" w:hAnsi="Book Antiqua"/>
          <w:sz w:val="24"/>
          <w:szCs w:val="24"/>
          <w:vertAlign w:val="superscript"/>
        </w:rPr>
        <w:t>[26,</w:t>
      </w:r>
      <w:r w:rsidR="00695E23" w:rsidRPr="00695E23">
        <w:rPr>
          <w:rFonts w:ascii="Book Antiqua" w:hAnsi="Book Antiqua"/>
          <w:sz w:val="24"/>
          <w:szCs w:val="24"/>
          <w:vertAlign w:val="superscript"/>
        </w:rPr>
        <w:t>27]</w:t>
      </w:r>
      <w:r w:rsidRPr="00695E23">
        <w:rPr>
          <w:rFonts w:ascii="Book Antiqua" w:hAnsi="Book Antiqua"/>
          <w:sz w:val="24"/>
          <w:szCs w:val="24"/>
        </w:rPr>
        <w:t>, whereas 4%</w:t>
      </w:r>
      <w:r w:rsidR="00695E23">
        <w:rPr>
          <w:rFonts w:ascii="Book Antiqua" w:eastAsia="宋体" w:hAnsi="Book Antiqua" w:hint="eastAsia"/>
          <w:sz w:val="24"/>
          <w:szCs w:val="24"/>
          <w:lang w:eastAsia="zh-CN"/>
        </w:rPr>
        <w:t>-</w:t>
      </w:r>
      <w:r w:rsidRPr="00695E23">
        <w:rPr>
          <w:rFonts w:ascii="Book Antiqua" w:hAnsi="Book Antiqua"/>
          <w:sz w:val="24"/>
          <w:szCs w:val="24"/>
        </w:rPr>
        <w:t>47% of hypertensive patients manifest asymmetrical septal hypertrophy</w:t>
      </w:r>
      <w:r w:rsidR="00695E23">
        <w:rPr>
          <w:rFonts w:ascii="Book Antiqua" w:hAnsi="Book Antiqua"/>
          <w:sz w:val="24"/>
          <w:szCs w:val="24"/>
          <w:vertAlign w:val="superscript"/>
        </w:rPr>
        <w:t>[27,</w:t>
      </w:r>
      <w:r w:rsidRPr="00695E23">
        <w:rPr>
          <w:rFonts w:ascii="Book Antiqua" w:hAnsi="Book Antiqua"/>
          <w:sz w:val="24"/>
          <w:szCs w:val="24"/>
          <w:vertAlign w:val="superscript"/>
        </w:rPr>
        <w:t>28]</w:t>
      </w:r>
      <w:r w:rsidRPr="00695E23">
        <w:rPr>
          <w:rFonts w:ascii="Book Antiqua" w:hAnsi="Book Antiqua"/>
          <w:sz w:val="24"/>
          <w:szCs w:val="24"/>
        </w:rPr>
        <w:t>.</w:t>
      </w:r>
    </w:p>
    <w:p w14:paraId="1F9E954D" w14:textId="643A299E" w:rsidR="00292CE0" w:rsidRPr="00695E23" w:rsidRDefault="00292CE0" w:rsidP="00695E23">
      <w:pPr>
        <w:spacing w:line="360" w:lineRule="auto"/>
        <w:ind w:firstLineChars="100" w:firstLine="240"/>
        <w:rPr>
          <w:rFonts w:ascii="Book Antiqua" w:hAnsi="Book Antiqua"/>
          <w:sz w:val="24"/>
          <w:szCs w:val="24"/>
        </w:rPr>
      </w:pPr>
      <w:r w:rsidRPr="00695E23">
        <w:rPr>
          <w:rFonts w:ascii="Book Antiqua" w:hAnsi="Book Antiqua"/>
          <w:sz w:val="24"/>
          <w:szCs w:val="24"/>
        </w:rPr>
        <w:t>LV remodeling/hypertrophy in HTN-CM may represent an adaptive response to hemodynamic overload imposed by systemic hypertension</w:t>
      </w:r>
      <w:r w:rsidRPr="00695E23">
        <w:rPr>
          <w:rFonts w:ascii="Book Antiqua" w:hAnsi="Book Antiqua"/>
          <w:sz w:val="24"/>
          <w:szCs w:val="24"/>
          <w:vertAlign w:val="superscript"/>
        </w:rPr>
        <w:t>[2]</w:t>
      </w:r>
      <w:r w:rsidRPr="00695E23">
        <w:rPr>
          <w:rFonts w:ascii="Book Antiqua" w:hAnsi="Book Antiqua"/>
          <w:sz w:val="24"/>
          <w:szCs w:val="24"/>
        </w:rPr>
        <w:t>. This compensatory response can be explained by the Laplace law (Figure 1, reproduced from</w:t>
      </w:r>
      <w:r w:rsidR="00695E23">
        <w:rPr>
          <w:rFonts w:ascii="Book Antiqua" w:hAnsi="Book Antiqua"/>
          <w:sz w:val="24"/>
          <w:szCs w:val="24"/>
          <w:vertAlign w:val="superscript"/>
        </w:rPr>
        <w:t>[2,</w:t>
      </w:r>
      <w:r w:rsidRPr="00695E23">
        <w:rPr>
          <w:rFonts w:ascii="Book Antiqua" w:hAnsi="Book Antiqua"/>
          <w:sz w:val="24"/>
          <w:szCs w:val="24"/>
          <w:vertAlign w:val="superscript"/>
        </w:rPr>
        <w:t>29]</w:t>
      </w:r>
      <w:r w:rsidRPr="00695E23">
        <w:rPr>
          <w:rFonts w:ascii="Book Antiqua" w:hAnsi="Book Antiqua"/>
          <w:sz w:val="24"/>
          <w:szCs w:val="24"/>
        </w:rPr>
        <w:t>). Sustained elevated blood pressure leads to an increase in LV wall stress, which is a major determinant of myocardial oxygen demand. In response to increased LV wall stress, the LV wall thickens and the LV mass increases, thereby resulting in the normalization of wall stress and development of a structural pattern known as concentric hypertrophy. Alternatively, an increase in blood volume could lead to an increase in the chamber radius, resulting in eccentric hypertrophy</w:t>
      </w:r>
      <w:r w:rsidRPr="00695E23">
        <w:rPr>
          <w:rFonts w:ascii="Book Antiqua" w:hAnsi="Book Antiqua"/>
          <w:sz w:val="24"/>
          <w:szCs w:val="24"/>
          <w:vertAlign w:val="superscript"/>
        </w:rPr>
        <w:t>[2]</w:t>
      </w:r>
      <w:r w:rsidRPr="00695E23">
        <w:rPr>
          <w:rFonts w:ascii="Book Antiqua" w:hAnsi="Book Antiqua"/>
          <w:sz w:val="24"/>
          <w:szCs w:val="24"/>
        </w:rPr>
        <w:t>.</w:t>
      </w:r>
    </w:p>
    <w:p w14:paraId="21D27142" w14:textId="6D56359F" w:rsidR="00292CE0" w:rsidRPr="00695E23" w:rsidRDefault="00292CE0" w:rsidP="00695E23">
      <w:pPr>
        <w:spacing w:line="360" w:lineRule="auto"/>
        <w:ind w:firstLineChars="100" w:firstLine="240"/>
        <w:rPr>
          <w:rFonts w:ascii="Book Antiqua" w:hAnsi="Book Antiqua"/>
          <w:sz w:val="24"/>
          <w:szCs w:val="24"/>
        </w:rPr>
      </w:pPr>
      <w:r w:rsidRPr="00695E23">
        <w:rPr>
          <w:rFonts w:ascii="Book Antiqua" w:hAnsi="Book Antiqua"/>
          <w:sz w:val="24"/>
          <w:szCs w:val="24"/>
        </w:rPr>
        <w:t xml:space="preserve">Ganau </w:t>
      </w:r>
      <w:r w:rsidRPr="00695E23">
        <w:rPr>
          <w:rFonts w:ascii="Book Antiqua" w:hAnsi="Book Antiqua"/>
          <w:i/>
          <w:sz w:val="24"/>
          <w:szCs w:val="24"/>
        </w:rPr>
        <w:t>et al</w:t>
      </w:r>
      <w:r w:rsidR="00695E23" w:rsidRPr="00695E23">
        <w:rPr>
          <w:rFonts w:ascii="Book Antiqua" w:hAnsi="Book Antiqua"/>
          <w:sz w:val="24"/>
          <w:szCs w:val="24"/>
          <w:vertAlign w:val="superscript"/>
        </w:rPr>
        <w:t>[24]</w:t>
      </w:r>
      <w:r w:rsidRPr="00695E23">
        <w:rPr>
          <w:rFonts w:ascii="Book Antiqua" w:hAnsi="Book Antiqua"/>
          <w:sz w:val="24"/>
          <w:szCs w:val="24"/>
        </w:rPr>
        <w:t xml:space="preserve"> investigated patterns of LVH and geometric remodeling in patients with essential hypertension. They reported that LV mass index and relative wall thickness were normal in 52% of the patients, whereas 13% had increased relative wall thickness with normal ventricular mass (concentric remodeling), 27% had increased mass with normal relative wall thickness (eccentric hypertrophy), and only 8% had “typical” hypertensive concentric </w:t>
      </w:r>
      <w:r w:rsidRPr="00695E23">
        <w:rPr>
          <w:rFonts w:ascii="Book Antiqua" w:hAnsi="Book Antiqua"/>
          <w:sz w:val="24"/>
          <w:szCs w:val="24"/>
        </w:rPr>
        <w:lastRenderedPageBreak/>
        <w:t>hypertrophy (increase in</w:t>
      </w:r>
      <w:r w:rsidR="00695E23">
        <w:rPr>
          <w:rFonts w:ascii="Book Antiqua" w:hAnsi="Book Antiqua"/>
          <w:sz w:val="24"/>
          <w:szCs w:val="24"/>
        </w:rPr>
        <w:t xml:space="preserve"> both variables). Cuspidi </w:t>
      </w:r>
      <w:r w:rsidR="00695E23" w:rsidRPr="00695E23">
        <w:rPr>
          <w:rFonts w:ascii="Book Antiqua" w:hAnsi="Book Antiqua"/>
          <w:i/>
          <w:sz w:val="24"/>
          <w:szCs w:val="24"/>
        </w:rPr>
        <w:t>et al</w:t>
      </w:r>
      <w:r w:rsidR="00695E23" w:rsidRPr="00695E23">
        <w:rPr>
          <w:rFonts w:ascii="Book Antiqua" w:hAnsi="Book Antiqua"/>
          <w:sz w:val="24"/>
          <w:szCs w:val="24"/>
          <w:vertAlign w:val="superscript"/>
        </w:rPr>
        <w:t>[14]</w:t>
      </w:r>
      <w:r w:rsidRPr="00695E23">
        <w:rPr>
          <w:rFonts w:ascii="Book Antiqua" w:hAnsi="Book Antiqua"/>
          <w:sz w:val="24"/>
          <w:szCs w:val="24"/>
        </w:rPr>
        <w:t xml:space="preserve"> also reported that concentric LV hypertrophy is not the most frequent geometric pattern and is less commonly seen than is eccentric hypertrophy in the hypertensive subjects. Indeed, the geometric pattern of LVH affects the prognosis</w:t>
      </w:r>
      <w:r w:rsidRPr="00695E23">
        <w:rPr>
          <w:rFonts w:ascii="Book Antiqua" w:hAnsi="Book Antiqua"/>
          <w:sz w:val="24"/>
          <w:szCs w:val="24"/>
          <w:vertAlign w:val="superscript"/>
        </w:rPr>
        <w:t>[30]</w:t>
      </w:r>
      <w:r w:rsidRPr="00695E23">
        <w:rPr>
          <w:rFonts w:ascii="Book Antiqua" w:hAnsi="Book Antiqua"/>
          <w:sz w:val="24"/>
          <w:szCs w:val="24"/>
        </w:rPr>
        <w:t>. Patients without an increase in absolute mass, but with an increase in relative wall thickness or in the wall thickness-to-cavity diameter ratio (concentric remodeling) have the same adverse risk as those with an increase in both mass and relative wall thickness (concentric hypertrophy)</w:t>
      </w:r>
      <w:r w:rsidRPr="00695E23">
        <w:rPr>
          <w:rFonts w:ascii="Book Antiqua" w:hAnsi="Book Antiqua"/>
          <w:sz w:val="24"/>
          <w:szCs w:val="24"/>
          <w:vertAlign w:val="superscript"/>
        </w:rPr>
        <w:t>[24]</w:t>
      </w:r>
      <w:r w:rsidRPr="00695E23">
        <w:rPr>
          <w:rFonts w:ascii="Book Antiqua" w:hAnsi="Book Antiqua"/>
          <w:sz w:val="24"/>
          <w:szCs w:val="24"/>
        </w:rPr>
        <w:t>. Velagaleti recently reported that the data from the Framingham Heart Study revealed that heart failure risk varied by LV geometric pattern, with eccentric and concentric hypertrophy predisposing to heart failure with reduced and preserved ejection fraction, respectively, after a mean follow-up of 21 years</w:t>
      </w:r>
      <w:r w:rsidRPr="00695E23">
        <w:rPr>
          <w:rFonts w:ascii="Book Antiqua" w:hAnsi="Book Antiqua"/>
          <w:sz w:val="24"/>
          <w:szCs w:val="24"/>
          <w:vertAlign w:val="superscript"/>
        </w:rPr>
        <w:t>[31]</w:t>
      </w:r>
      <w:r w:rsidRPr="00695E23">
        <w:rPr>
          <w:rFonts w:ascii="Book Antiqua" w:hAnsi="Book Antiqua"/>
          <w:sz w:val="24"/>
          <w:szCs w:val="24"/>
        </w:rPr>
        <w:t>.</w:t>
      </w:r>
    </w:p>
    <w:p w14:paraId="214FB2FE" w14:textId="0E97F26B" w:rsidR="00292CE0" w:rsidRPr="00695E23" w:rsidRDefault="00292CE0" w:rsidP="00695E23">
      <w:pPr>
        <w:spacing w:line="360" w:lineRule="auto"/>
        <w:ind w:firstLineChars="100" w:firstLine="240"/>
        <w:rPr>
          <w:rFonts w:ascii="Book Antiqua" w:hAnsi="Book Antiqua"/>
          <w:sz w:val="24"/>
          <w:szCs w:val="24"/>
        </w:rPr>
      </w:pPr>
      <w:r w:rsidRPr="00695E23">
        <w:rPr>
          <w:rFonts w:ascii="Book Antiqua" w:hAnsi="Book Antiqua"/>
          <w:sz w:val="24"/>
          <w:szCs w:val="24"/>
        </w:rPr>
        <w:t>Recent reports</w:t>
      </w:r>
      <w:r w:rsidRPr="00695E23">
        <w:rPr>
          <w:rFonts w:ascii="Book Antiqua" w:hAnsi="Book Antiqua"/>
          <w:sz w:val="24"/>
          <w:szCs w:val="24"/>
          <w:vertAlign w:val="superscript"/>
        </w:rPr>
        <w:t>[32,33]</w:t>
      </w:r>
      <w:r w:rsidRPr="00695E23">
        <w:rPr>
          <w:rFonts w:ascii="Book Antiqua" w:hAnsi="Book Antiqua"/>
          <w:sz w:val="24"/>
          <w:szCs w:val="24"/>
        </w:rPr>
        <w:t xml:space="preserve"> have described that a transition from LV concentric hypertrophy to dilation and systolic dysfunction is not a common finding, especially in the absence of coronary heart disease</w:t>
      </w:r>
      <w:r w:rsidRPr="00695E23">
        <w:rPr>
          <w:rFonts w:ascii="Book Antiqua" w:hAnsi="Book Antiqua"/>
          <w:sz w:val="24"/>
          <w:szCs w:val="24"/>
          <w:vertAlign w:val="superscript"/>
        </w:rPr>
        <w:t>[2]</w:t>
      </w:r>
      <w:r w:rsidRPr="00695E23">
        <w:rPr>
          <w:rFonts w:ascii="Book Antiqua" w:hAnsi="Book Antiqua"/>
          <w:sz w:val="24"/>
          <w:szCs w:val="24"/>
        </w:rPr>
        <w:t>. Observation of over one thousand patients with concentric LV hypertrophy and normal ej</w:t>
      </w:r>
      <w:r w:rsidR="00695E23">
        <w:rPr>
          <w:rFonts w:ascii="Book Antiqua" w:hAnsi="Book Antiqua"/>
          <w:sz w:val="24"/>
          <w:szCs w:val="24"/>
        </w:rPr>
        <w:t xml:space="preserve">ection fraction by Milani </w:t>
      </w:r>
      <w:r w:rsidR="00695E23" w:rsidRPr="00695E23">
        <w:rPr>
          <w:rFonts w:ascii="Book Antiqua" w:hAnsi="Book Antiqua"/>
          <w:i/>
          <w:sz w:val="24"/>
          <w:szCs w:val="24"/>
        </w:rPr>
        <w:t>et al</w:t>
      </w:r>
      <w:r w:rsidR="00695E23" w:rsidRPr="00695E23">
        <w:rPr>
          <w:rFonts w:ascii="Book Antiqua" w:hAnsi="Book Antiqua"/>
          <w:sz w:val="24"/>
          <w:szCs w:val="24"/>
          <w:vertAlign w:val="superscript"/>
        </w:rPr>
        <w:t>[32]</w:t>
      </w:r>
      <w:r w:rsidRPr="00695E23">
        <w:rPr>
          <w:rFonts w:ascii="Book Antiqua" w:hAnsi="Book Antiqua"/>
          <w:sz w:val="24"/>
          <w:szCs w:val="24"/>
        </w:rPr>
        <w:t xml:space="preserve"> revealed only 13% who progressed to systolic dysfunction by three years follow-up and this transition occurred after myocardial infarction in 42.5% of the patients. The various pathways of LV remodeling progression among hypertensive subjects are well described by Nadruz (Figure </w:t>
      </w:r>
      <w:r w:rsidR="00427C4B" w:rsidRPr="00695E23">
        <w:rPr>
          <w:rFonts w:ascii="Book Antiqua" w:hAnsi="Book Antiqua"/>
          <w:sz w:val="24"/>
          <w:szCs w:val="24"/>
        </w:rPr>
        <w:t>2</w:t>
      </w:r>
      <w:r w:rsidRPr="00695E23">
        <w:rPr>
          <w:rFonts w:ascii="Book Antiqua" w:hAnsi="Book Antiqua"/>
          <w:sz w:val="24"/>
          <w:szCs w:val="24"/>
        </w:rPr>
        <w:t>, reproduced from</w:t>
      </w:r>
      <w:r w:rsidRPr="00695E23">
        <w:rPr>
          <w:rFonts w:ascii="Book Antiqua" w:hAnsi="Book Antiqua"/>
          <w:sz w:val="24"/>
          <w:szCs w:val="24"/>
          <w:vertAlign w:val="superscript"/>
        </w:rPr>
        <w:t>[2]</w:t>
      </w:r>
      <w:r w:rsidRPr="00695E23">
        <w:rPr>
          <w:rFonts w:ascii="Book Antiqua" w:hAnsi="Book Antiqua"/>
          <w:sz w:val="24"/>
          <w:szCs w:val="24"/>
        </w:rPr>
        <w:t>)</w:t>
      </w:r>
    </w:p>
    <w:p w14:paraId="09926EBA" w14:textId="715988FD" w:rsidR="00292CE0" w:rsidRPr="00695E23" w:rsidRDefault="00292CE0" w:rsidP="00695E23">
      <w:pPr>
        <w:spacing w:line="360" w:lineRule="auto"/>
        <w:ind w:firstLineChars="100" w:firstLine="240"/>
        <w:rPr>
          <w:rFonts w:ascii="Book Antiqua" w:hAnsi="Book Antiqua"/>
          <w:sz w:val="24"/>
          <w:szCs w:val="24"/>
        </w:rPr>
      </w:pPr>
      <w:r w:rsidRPr="00695E23">
        <w:rPr>
          <w:rFonts w:ascii="Book Antiqua" w:hAnsi="Book Antiqua"/>
          <w:sz w:val="24"/>
          <w:szCs w:val="24"/>
        </w:rPr>
        <w:t xml:space="preserve">Interestingly, Khouri </w:t>
      </w:r>
      <w:r w:rsidRPr="00695E23">
        <w:rPr>
          <w:rFonts w:ascii="Book Antiqua" w:hAnsi="Book Antiqua"/>
          <w:i/>
          <w:sz w:val="24"/>
          <w:szCs w:val="24"/>
        </w:rPr>
        <w:t>et al</w:t>
      </w:r>
      <w:r w:rsidR="00695E23">
        <w:rPr>
          <w:rFonts w:ascii="Book Antiqua" w:eastAsia="宋体" w:hAnsi="Book Antiqua" w:hint="eastAsia"/>
          <w:sz w:val="24"/>
          <w:szCs w:val="24"/>
          <w:vertAlign w:val="superscript"/>
          <w:lang w:eastAsia="zh-CN"/>
        </w:rPr>
        <w:t>[34]</w:t>
      </w:r>
      <w:r w:rsidRPr="00695E23">
        <w:rPr>
          <w:rFonts w:ascii="Book Antiqua" w:hAnsi="Book Antiqua"/>
          <w:sz w:val="24"/>
          <w:szCs w:val="24"/>
        </w:rPr>
        <w:t xml:space="preserve"> recently suggested that concentric or eccentric LVH can each be subclassified into two subgroups using cardiac magnetic resonance imaging. This yields four distinct geometric patterns: eccentric </w:t>
      </w:r>
      <w:r w:rsidRPr="00695E23">
        <w:rPr>
          <w:rFonts w:ascii="Book Antiqua" w:hAnsi="Book Antiqua"/>
          <w:sz w:val="24"/>
          <w:szCs w:val="24"/>
        </w:rPr>
        <w:lastRenderedPageBreak/>
        <w:t>non-dilated, eccentric dilated, concentric non-dilated, and concentric dilated</w:t>
      </w:r>
      <w:r w:rsidRPr="00695E23">
        <w:rPr>
          <w:rFonts w:ascii="Book Antiqua" w:hAnsi="Book Antiqua"/>
          <w:sz w:val="24"/>
          <w:szCs w:val="24"/>
          <w:vertAlign w:val="superscript"/>
        </w:rPr>
        <w:t>[34]</w:t>
      </w:r>
      <w:r w:rsidRPr="00695E23">
        <w:rPr>
          <w:rFonts w:ascii="Book Antiqua" w:hAnsi="Book Antiqua"/>
          <w:sz w:val="24"/>
          <w:szCs w:val="24"/>
        </w:rPr>
        <w:t xml:space="preserve">. They found that dilated type LVH was more frequently associated with low ejection fraction and elevated troponin levels. Their findings were also supported by the investigation using echocardiography performed by Bang </w:t>
      </w:r>
      <w:r w:rsidRPr="00695E23">
        <w:rPr>
          <w:rFonts w:ascii="Book Antiqua" w:hAnsi="Book Antiqua"/>
          <w:i/>
          <w:sz w:val="24"/>
          <w:szCs w:val="24"/>
        </w:rPr>
        <w:t>et al</w:t>
      </w:r>
      <w:r w:rsidRPr="00695E23">
        <w:rPr>
          <w:rFonts w:ascii="Book Antiqua" w:hAnsi="Book Antiqua"/>
          <w:sz w:val="24"/>
          <w:szCs w:val="24"/>
          <w:vertAlign w:val="superscript"/>
        </w:rPr>
        <w:t>[35]</w:t>
      </w:r>
      <w:r w:rsidRPr="00695E23">
        <w:rPr>
          <w:rFonts w:ascii="Book Antiqua" w:hAnsi="Book Antiqua"/>
          <w:sz w:val="24"/>
          <w:szCs w:val="24"/>
        </w:rPr>
        <w:t xml:space="preserve">. This newly suggested re-classification of hypertensive patients with LVH into four groups according to the LV dilatation and increased concentricity may provide new insights into the hemodynamic and LV functional alteration in this population. </w:t>
      </w:r>
    </w:p>
    <w:p w14:paraId="55C40239" w14:textId="77777777" w:rsidR="001D0DBD" w:rsidRPr="00695E23" w:rsidRDefault="001D0DBD" w:rsidP="00695E23">
      <w:pPr>
        <w:spacing w:line="360" w:lineRule="auto"/>
        <w:rPr>
          <w:rFonts w:ascii="Book Antiqua" w:hAnsi="Book Antiqua"/>
          <w:sz w:val="24"/>
          <w:szCs w:val="24"/>
        </w:rPr>
      </w:pPr>
    </w:p>
    <w:p w14:paraId="5B962178" w14:textId="7838A6C2" w:rsidR="001D0DBD" w:rsidRPr="00695E23" w:rsidRDefault="00F335A7" w:rsidP="00695E23">
      <w:pPr>
        <w:spacing w:line="360" w:lineRule="auto"/>
        <w:rPr>
          <w:rFonts w:ascii="Book Antiqua" w:hAnsi="Book Antiqua"/>
          <w:b/>
          <w:sz w:val="24"/>
          <w:szCs w:val="24"/>
        </w:rPr>
      </w:pPr>
      <w:r w:rsidRPr="00695E23">
        <w:rPr>
          <w:rFonts w:ascii="Book Antiqua" w:hAnsi="Book Antiqua"/>
          <w:b/>
          <w:sz w:val="24"/>
          <w:szCs w:val="24"/>
        </w:rPr>
        <w:t>CLINICAL MANIFESTATION IN PATIENTS WITH HTN-CM</w:t>
      </w:r>
    </w:p>
    <w:p w14:paraId="28B88869" w14:textId="0102036C"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Persistent systemic hypertension induces LVH, fibrosis, diastolic dysfunction, and an increase in the activation of the RAAS, which leads to congestive heart failure</w:t>
      </w:r>
      <w:r w:rsidRPr="00695E23">
        <w:rPr>
          <w:rFonts w:ascii="Book Antiqua" w:hAnsi="Book Antiqua"/>
          <w:sz w:val="24"/>
          <w:szCs w:val="24"/>
          <w:vertAlign w:val="superscript"/>
        </w:rPr>
        <w:t>[36,37]</w:t>
      </w:r>
      <w:r w:rsidRPr="00695E23">
        <w:rPr>
          <w:rFonts w:ascii="Book Antiqua" w:hAnsi="Book Antiqua"/>
          <w:sz w:val="24"/>
          <w:szCs w:val="24"/>
        </w:rPr>
        <w:t>. One of the mechanisms of heart failure in patients with hypertension is LV diastolic dysfunction. LV diastolic dysfunction associated with hypertension is morphologically characterized by LV wall thickening and increased left atrial (LA) volume. In particular, LA volume is related to LV filling pressure or LA pressure, and is a prognostic marker of various cardiac diseases</w:t>
      </w:r>
      <w:r w:rsidRPr="00695E23">
        <w:rPr>
          <w:rFonts w:ascii="Book Antiqua" w:hAnsi="Book Antiqua"/>
          <w:sz w:val="24"/>
          <w:szCs w:val="24"/>
          <w:vertAlign w:val="superscript"/>
        </w:rPr>
        <w:t>[38,39]</w:t>
      </w:r>
      <w:r w:rsidRPr="00695E23">
        <w:rPr>
          <w:rFonts w:ascii="Book Antiqua" w:hAnsi="Book Antiqua"/>
          <w:sz w:val="24"/>
          <w:szCs w:val="24"/>
        </w:rPr>
        <w:t>. In advanced stages, hypertension induces eccentric LVH and LV systolic dysfunction</w:t>
      </w:r>
      <w:r w:rsidRPr="00695E23">
        <w:rPr>
          <w:rFonts w:ascii="Book Antiqua" w:hAnsi="Book Antiqua"/>
          <w:sz w:val="24"/>
          <w:szCs w:val="24"/>
          <w:vertAlign w:val="superscript"/>
        </w:rPr>
        <w:t>[40]</w:t>
      </w:r>
      <w:r w:rsidRPr="00695E23">
        <w:rPr>
          <w:rFonts w:ascii="Book Antiqua" w:hAnsi="Book Antiqua"/>
          <w:sz w:val="24"/>
          <w:szCs w:val="24"/>
        </w:rPr>
        <w:t>. Data from the Framingham Heart Study revealed that LVH is consistently identified as an independent risk factor for cardiovascular morbidity and mortality</w:t>
      </w:r>
      <w:r w:rsidRPr="00695E23">
        <w:rPr>
          <w:rFonts w:ascii="Book Antiqua" w:hAnsi="Book Antiqua"/>
          <w:sz w:val="24"/>
          <w:szCs w:val="24"/>
          <w:vertAlign w:val="superscript"/>
        </w:rPr>
        <w:t>[4,9,10]</w:t>
      </w:r>
      <w:r w:rsidRPr="00695E23">
        <w:rPr>
          <w:rFonts w:ascii="Book Antiqua" w:hAnsi="Book Antiqua"/>
          <w:sz w:val="24"/>
          <w:szCs w:val="24"/>
        </w:rPr>
        <w:t>. Further, hypertensive LVH or HTN-CM is associated with atrial fibrillation: the incidence increases by 40%</w:t>
      </w:r>
      <w:r w:rsidR="00695E23">
        <w:rPr>
          <w:rFonts w:ascii="Book Antiqua" w:eastAsia="宋体" w:hAnsi="Book Antiqua" w:hint="eastAsia"/>
          <w:sz w:val="24"/>
          <w:szCs w:val="24"/>
          <w:lang w:eastAsia="zh-CN"/>
        </w:rPr>
        <w:t>-</w:t>
      </w:r>
      <w:r w:rsidRPr="00695E23">
        <w:rPr>
          <w:rFonts w:ascii="Book Antiqua" w:hAnsi="Book Antiqua"/>
          <w:sz w:val="24"/>
          <w:szCs w:val="24"/>
        </w:rPr>
        <w:t>50% in the presence of hypertension</w:t>
      </w:r>
      <w:r w:rsidRPr="00695E23">
        <w:rPr>
          <w:rFonts w:ascii="Book Antiqua" w:hAnsi="Book Antiqua"/>
          <w:sz w:val="24"/>
          <w:szCs w:val="24"/>
          <w:vertAlign w:val="superscript"/>
        </w:rPr>
        <w:t>[41]</w:t>
      </w:r>
      <w:r w:rsidRPr="00695E23">
        <w:rPr>
          <w:rFonts w:ascii="Book Antiqua" w:hAnsi="Book Antiqua"/>
          <w:sz w:val="24"/>
          <w:szCs w:val="24"/>
        </w:rPr>
        <w:t xml:space="preserve">. Messerli </w:t>
      </w:r>
      <w:r w:rsidR="00695E23">
        <w:rPr>
          <w:rFonts w:ascii="Book Antiqua" w:hAnsi="Book Antiqua"/>
          <w:i/>
          <w:sz w:val="24"/>
          <w:szCs w:val="24"/>
        </w:rPr>
        <w:t>et al</w:t>
      </w:r>
      <w:r w:rsidR="00695E23" w:rsidRPr="00695E23">
        <w:rPr>
          <w:rFonts w:ascii="Book Antiqua" w:hAnsi="Book Antiqua"/>
          <w:sz w:val="24"/>
          <w:szCs w:val="24"/>
          <w:vertAlign w:val="superscript"/>
        </w:rPr>
        <w:t>[42]</w:t>
      </w:r>
      <w:r w:rsidRPr="00695E23">
        <w:rPr>
          <w:rFonts w:ascii="Book Antiqua" w:hAnsi="Book Antiqua"/>
          <w:sz w:val="24"/>
          <w:szCs w:val="24"/>
        </w:rPr>
        <w:t xml:space="preserve"> documented a strong correlation between hypertensive LVH or HTN-CM and an increased frequency of </w:t>
      </w:r>
      <w:r w:rsidRPr="00695E23">
        <w:rPr>
          <w:rFonts w:ascii="Book Antiqua" w:hAnsi="Book Antiqua"/>
          <w:sz w:val="24"/>
          <w:szCs w:val="24"/>
        </w:rPr>
        <w:lastRenderedPageBreak/>
        <w:t xml:space="preserve">ventricular arrhythmias. This emphasizes the importance of understanding of the clinical manifestations of HTN-CM. </w:t>
      </w:r>
    </w:p>
    <w:p w14:paraId="4A55E76E" w14:textId="77777777" w:rsidR="00F335A7" w:rsidRPr="00695E23" w:rsidRDefault="00F335A7" w:rsidP="00695E23">
      <w:pPr>
        <w:spacing w:line="360" w:lineRule="auto"/>
        <w:rPr>
          <w:rFonts w:ascii="Book Antiqua" w:hAnsi="Book Antiqua"/>
          <w:sz w:val="24"/>
          <w:szCs w:val="24"/>
        </w:rPr>
      </w:pPr>
    </w:p>
    <w:p w14:paraId="5C9C4525" w14:textId="620282B0" w:rsidR="00F335A7" w:rsidRPr="00695E23" w:rsidRDefault="00695E23" w:rsidP="00695E23">
      <w:pPr>
        <w:spacing w:line="360" w:lineRule="auto"/>
        <w:rPr>
          <w:rFonts w:ascii="Book Antiqua" w:eastAsia="宋体" w:hAnsi="Book Antiqua"/>
          <w:sz w:val="24"/>
          <w:szCs w:val="24"/>
          <w:lang w:eastAsia="zh-CN"/>
        </w:rPr>
      </w:pPr>
      <w:r>
        <w:rPr>
          <w:rFonts w:ascii="Book Antiqua" w:hAnsi="Book Antiqua"/>
          <w:b/>
          <w:i/>
          <w:sz w:val="24"/>
          <w:szCs w:val="24"/>
        </w:rPr>
        <w:t>LVH</w:t>
      </w:r>
    </w:p>
    <w:p w14:paraId="721582A4"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The pathophysiological mechanism by which LVH develops in patients with persistent systemic hypertension has been described in the previous sections. Both hypertension and LVH are affected by the same factors, such as angiotensin II, norepinephrine and epinephrine, and an increased peripheral and cardiac sympathetic drive</w:t>
      </w:r>
      <w:r w:rsidRPr="00695E23">
        <w:rPr>
          <w:rFonts w:ascii="Book Antiqua" w:hAnsi="Book Antiqua"/>
          <w:sz w:val="24"/>
          <w:szCs w:val="24"/>
          <w:vertAlign w:val="superscript"/>
        </w:rPr>
        <w:t>[43,44]</w:t>
      </w:r>
      <w:r w:rsidRPr="00695E23">
        <w:rPr>
          <w:rFonts w:ascii="Book Antiqua" w:hAnsi="Book Antiqua"/>
          <w:sz w:val="24"/>
          <w:szCs w:val="24"/>
        </w:rPr>
        <w:t>. LVH is a significant predictor for heart failure development and is associated with increased mortality</w:t>
      </w:r>
      <w:r w:rsidRPr="00695E23">
        <w:rPr>
          <w:rFonts w:ascii="Book Antiqua" w:hAnsi="Book Antiqua"/>
          <w:sz w:val="24"/>
          <w:szCs w:val="24"/>
          <w:vertAlign w:val="superscript"/>
        </w:rPr>
        <w:t>[4,9,10]</w:t>
      </w:r>
      <w:r w:rsidRPr="00695E23">
        <w:rPr>
          <w:rFonts w:ascii="Book Antiqua" w:hAnsi="Book Antiqua"/>
          <w:sz w:val="24"/>
          <w:szCs w:val="24"/>
        </w:rPr>
        <w:t>. Notably, patients with persistent hypertension causing HTN-CM often concomitantly have other atherosclerotic risk factors, such as obesity and diabetes. Although hypertension is the leading risk factor for LVH development, substantial evidence indicates that diabetes can also trigger this pathological remodeling response</w:t>
      </w:r>
      <w:r w:rsidRPr="00695E23">
        <w:rPr>
          <w:rFonts w:ascii="Book Antiqua" w:hAnsi="Book Antiqua"/>
          <w:sz w:val="24"/>
          <w:szCs w:val="24"/>
          <w:vertAlign w:val="superscript"/>
        </w:rPr>
        <w:t>[45]</w:t>
      </w:r>
      <w:r w:rsidRPr="00695E23">
        <w:rPr>
          <w:rFonts w:ascii="Book Antiqua" w:hAnsi="Book Antiqua"/>
          <w:sz w:val="24"/>
          <w:szCs w:val="24"/>
        </w:rPr>
        <w:t>. Obesity is associated with an increased risk of concentric LVH independent of elevated blood pressures</w:t>
      </w:r>
      <w:r w:rsidRPr="00695E23">
        <w:rPr>
          <w:rFonts w:ascii="Book Antiqua" w:hAnsi="Book Antiqua"/>
          <w:sz w:val="24"/>
          <w:szCs w:val="24"/>
          <w:vertAlign w:val="superscript"/>
        </w:rPr>
        <w:t>[23]</w:t>
      </w:r>
      <w:r w:rsidRPr="00695E23">
        <w:rPr>
          <w:rFonts w:ascii="Book Antiqua" w:hAnsi="Book Antiqua"/>
          <w:sz w:val="24"/>
          <w:szCs w:val="24"/>
        </w:rPr>
        <w:t>. Hypertensive LVH can lead to ventricular diastolic dysfunction; it is also a risk factor for myocardial infarction, which is a principal cause of LV systolic dysfunction</w:t>
      </w:r>
      <w:r w:rsidRPr="00695E23">
        <w:rPr>
          <w:rFonts w:ascii="Book Antiqua" w:hAnsi="Book Antiqua"/>
          <w:sz w:val="24"/>
          <w:szCs w:val="24"/>
          <w:vertAlign w:val="superscript"/>
        </w:rPr>
        <w:t>[46,47]</w:t>
      </w:r>
      <w:r w:rsidRPr="00695E23">
        <w:rPr>
          <w:rFonts w:ascii="Book Antiqua" w:hAnsi="Book Antiqua"/>
          <w:sz w:val="24"/>
          <w:szCs w:val="24"/>
        </w:rPr>
        <w:t xml:space="preserve">. </w:t>
      </w:r>
    </w:p>
    <w:p w14:paraId="3E41C47D" w14:textId="77777777" w:rsidR="00F335A7" w:rsidRPr="00695E23" w:rsidRDefault="00F335A7" w:rsidP="00695E23">
      <w:pPr>
        <w:spacing w:line="360" w:lineRule="auto"/>
        <w:rPr>
          <w:rFonts w:ascii="Book Antiqua" w:hAnsi="Book Antiqua"/>
          <w:sz w:val="24"/>
          <w:szCs w:val="24"/>
        </w:rPr>
      </w:pPr>
    </w:p>
    <w:p w14:paraId="7C1BD370" w14:textId="77777777" w:rsidR="00F335A7" w:rsidRPr="00695E23" w:rsidRDefault="00F335A7" w:rsidP="00695E23">
      <w:pPr>
        <w:spacing w:line="360" w:lineRule="auto"/>
        <w:rPr>
          <w:rFonts w:ascii="Book Antiqua" w:hAnsi="Book Antiqua"/>
          <w:b/>
          <w:i/>
          <w:sz w:val="24"/>
          <w:szCs w:val="24"/>
        </w:rPr>
      </w:pPr>
      <w:r w:rsidRPr="00695E23">
        <w:rPr>
          <w:rFonts w:ascii="Book Antiqua" w:hAnsi="Book Antiqua"/>
          <w:b/>
          <w:i/>
          <w:sz w:val="24"/>
          <w:szCs w:val="24"/>
        </w:rPr>
        <w:t>Diastolic dysfunction</w:t>
      </w:r>
    </w:p>
    <w:p w14:paraId="528B5C55"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In addition to LVH, diastolic dysfunction is a major factor contributing to hypertensive heart disease and the progression to “symptomatic” congestive heart failure</w:t>
      </w:r>
      <w:r w:rsidRPr="00695E23">
        <w:rPr>
          <w:rFonts w:ascii="Book Antiqua" w:hAnsi="Book Antiqua"/>
          <w:sz w:val="24"/>
          <w:szCs w:val="24"/>
          <w:vertAlign w:val="superscript"/>
        </w:rPr>
        <w:t>[48]</w:t>
      </w:r>
      <w:r w:rsidRPr="00695E23">
        <w:rPr>
          <w:rFonts w:ascii="Book Antiqua" w:hAnsi="Book Antiqua"/>
          <w:sz w:val="24"/>
          <w:szCs w:val="24"/>
        </w:rPr>
        <w:t>. Approximately 40% of patients with hypertensive heart disease have normal systolic function but abnormal diastolic function</w:t>
      </w:r>
      <w:r w:rsidRPr="00695E23">
        <w:rPr>
          <w:rFonts w:ascii="Book Antiqua" w:hAnsi="Book Antiqua"/>
          <w:sz w:val="24"/>
          <w:szCs w:val="24"/>
          <w:vertAlign w:val="superscript"/>
        </w:rPr>
        <w:t>[48,49]</w:t>
      </w:r>
      <w:r w:rsidRPr="00695E23">
        <w:rPr>
          <w:rFonts w:ascii="Book Antiqua" w:hAnsi="Book Antiqua"/>
          <w:sz w:val="24"/>
          <w:szCs w:val="24"/>
        </w:rPr>
        <w:t xml:space="preserve">. In fact, LV </w:t>
      </w:r>
      <w:r w:rsidRPr="00695E23">
        <w:rPr>
          <w:rFonts w:ascii="Book Antiqua" w:hAnsi="Book Antiqua"/>
          <w:sz w:val="24"/>
          <w:szCs w:val="24"/>
        </w:rPr>
        <w:lastRenderedPageBreak/>
        <w:t>diastolic dysfunction is the main cause of symptomatic heart failure development in patients with hypertension</w:t>
      </w:r>
      <w:r w:rsidRPr="00695E23">
        <w:rPr>
          <w:rFonts w:ascii="Book Antiqua" w:hAnsi="Book Antiqua"/>
          <w:sz w:val="24"/>
          <w:szCs w:val="24"/>
          <w:vertAlign w:val="superscript"/>
        </w:rPr>
        <w:t>[50]</w:t>
      </w:r>
      <w:r w:rsidRPr="00695E23">
        <w:rPr>
          <w:rFonts w:ascii="Book Antiqua" w:hAnsi="Book Antiqua"/>
          <w:sz w:val="24"/>
          <w:szCs w:val="24"/>
        </w:rPr>
        <w:t xml:space="preserve">. LV diastolic dysfunction in HTN-CM is morphologically characterized by LV wall thickening and a persistent elevation of LV end-diastolic pressure, causing increased LA volume. The increased LA volume is the result of elevated LV filling pressure or LA pressure, which presents as exercise intolerance in patients with HTN-CM. </w:t>
      </w:r>
    </w:p>
    <w:p w14:paraId="47621167" w14:textId="4288FED9" w:rsidR="00F335A7" w:rsidRPr="00695E23" w:rsidRDefault="00F335A7" w:rsidP="00695E23">
      <w:pPr>
        <w:spacing w:line="360" w:lineRule="auto"/>
        <w:ind w:firstLineChars="100" w:firstLine="240"/>
        <w:rPr>
          <w:rFonts w:ascii="Book Antiqua" w:hAnsi="Book Antiqua"/>
          <w:sz w:val="24"/>
          <w:szCs w:val="24"/>
        </w:rPr>
      </w:pPr>
      <w:r w:rsidRPr="00695E23">
        <w:rPr>
          <w:rFonts w:ascii="Book Antiqua" w:hAnsi="Book Antiqua"/>
          <w:sz w:val="24"/>
          <w:szCs w:val="24"/>
        </w:rPr>
        <w:t>Ischemia is also an important factor leading to diastolic impairment in HTN-CM. Hypertension itself accelerates arteriosclerosis in both systemic and coronary arteries</w:t>
      </w:r>
      <w:r w:rsidRPr="00695E23">
        <w:rPr>
          <w:rFonts w:ascii="Book Antiqua" w:hAnsi="Book Antiqua"/>
          <w:sz w:val="24"/>
          <w:szCs w:val="24"/>
          <w:vertAlign w:val="superscript"/>
        </w:rPr>
        <w:t>[11,51]</w:t>
      </w:r>
      <w:r w:rsidRPr="00695E23">
        <w:rPr>
          <w:rFonts w:ascii="Book Antiqua" w:hAnsi="Book Antiqua"/>
          <w:sz w:val="24"/>
          <w:szCs w:val="24"/>
        </w:rPr>
        <w:t>. Furthermore, a long-standing increase in LV wall stress and workload causes LVH, and is associated with an increase in the diameter of myocardial cells without a proportional proliferation of the capillary vasculature</w:t>
      </w:r>
      <w:r w:rsidRPr="00695E23">
        <w:rPr>
          <w:rFonts w:ascii="Book Antiqua" w:hAnsi="Book Antiqua"/>
          <w:sz w:val="24"/>
          <w:szCs w:val="24"/>
          <w:vertAlign w:val="superscript"/>
        </w:rPr>
        <w:t>[11]</w:t>
      </w:r>
      <w:r w:rsidRPr="00695E23">
        <w:rPr>
          <w:rFonts w:ascii="Book Antiqua" w:hAnsi="Book Antiqua"/>
          <w:sz w:val="24"/>
          <w:szCs w:val="24"/>
        </w:rPr>
        <w:t xml:space="preserve">. Therefore, myocardial tissues in patients with persistent hypertension suffer from ischemia, the so-called mismatch between coronary circulation and oxygen requirement of the myocardium. This underlying myocardial ischemia and hypertrophy leads to the association of HTN-CM rather predominantly with relaxation abnormalities. The impairment of LV pressure/volume reserve means that patients with HTN-CM who have impaired relaxation are usually asymptomatic during resting conditions, but a slight change in circulating volume or an elevation of systemic vascular resistance, such as occurs during exercise, renders their stiff LV incapable of handling the increased blood volume and it cannot produce appropriate cardiac output. This can lead to a progressive decline in ventricular function and ultimately congestive heart failure. Phillips </w:t>
      </w:r>
      <w:r w:rsidR="00695E23">
        <w:rPr>
          <w:rFonts w:ascii="Book Antiqua" w:hAnsi="Book Antiqua"/>
          <w:i/>
          <w:sz w:val="24"/>
          <w:szCs w:val="24"/>
        </w:rPr>
        <w:t>et al</w:t>
      </w:r>
      <w:r w:rsidR="00695E23">
        <w:rPr>
          <w:rFonts w:ascii="Book Antiqua" w:eastAsia="宋体" w:hAnsi="Book Antiqua" w:hint="eastAsia"/>
          <w:sz w:val="24"/>
          <w:szCs w:val="24"/>
          <w:vertAlign w:val="superscript"/>
          <w:lang w:eastAsia="zh-CN"/>
        </w:rPr>
        <w:t>[48]</w:t>
      </w:r>
      <w:r w:rsidRPr="00695E23">
        <w:rPr>
          <w:rFonts w:ascii="Book Antiqua" w:hAnsi="Book Antiqua"/>
          <w:sz w:val="24"/>
          <w:szCs w:val="24"/>
        </w:rPr>
        <w:t xml:space="preserve"> described the mechanisms underlying LV diastolic dysfunction and the clinical consequences of this </w:t>
      </w:r>
      <w:r w:rsidRPr="00695E23">
        <w:rPr>
          <w:rFonts w:ascii="Book Antiqua" w:hAnsi="Book Antiqua"/>
          <w:sz w:val="24"/>
          <w:szCs w:val="24"/>
        </w:rPr>
        <w:lastRenderedPageBreak/>
        <w:t>dysfunction in patients with hypertensive LVH or HTN-CM (Figure</w:t>
      </w:r>
      <w:r w:rsidR="00B15118">
        <w:rPr>
          <w:rFonts w:ascii="Book Antiqua" w:eastAsia="宋体" w:hAnsi="Book Antiqua" w:hint="eastAsia"/>
          <w:sz w:val="24"/>
          <w:szCs w:val="24"/>
          <w:lang w:eastAsia="zh-CN"/>
        </w:rPr>
        <w:t xml:space="preserve"> </w:t>
      </w:r>
      <w:r w:rsidR="00B15118">
        <w:rPr>
          <w:rFonts w:ascii="Book Antiqua" w:hAnsi="Book Antiqua"/>
          <w:sz w:val="24"/>
          <w:szCs w:val="24"/>
        </w:rPr>
        <w:t>3, reproduced from</w:t>
      </w:r>
      <w:r w:rsidRPr="00695E23">
        <w:rPr>
          <w:rFonts w:ascii="Book Antiqua" w:hAnsi="Book Antiqua"/>
          <w:sz w:val="24"/>
          <w:szCs w:val="24"/>
          <w:vertAlign w:val="superscript"/>
        </w:rPr>
        <w:t>[50]</w:t>
      </w:r>
      <w:r w:rsidRPr="00695E23">
        <w:rPr>
          <w:rFonts w:ascii="Book Antiqua" w:hAnsi="Book Antiqua"/>
          <w:sz w:val="24"/>
          <w:szCs w:val="24"/>
        </w:rPr>
        <w:t xml:space="preserve">). </w:t>
      </w:r>
    </w:p>
    <w:p w14:paraId="1842852C" w14:textId="77777777" w:rsidR="00F335A7" w:rsidRPr="00695E23" w:rsidRDefault="00F335A7" w:rsidP="00695E23">
      <w:pPr>
        <w:spacing w:line="360" w:lineRule="auto"/>
        <w:rPr>
          <w:rFonts w:ascii="Book Antiqua" w:hAnsi="Book Antiqua"/>
          <w:sz w:val="24"/>
          <w:szCs w:val="24"/>
        </w:rPr>
      </w:pPr>
    </w:p>
    <w:p w14:paraId="4AFB99EA" w14:textId="77777777" w:rsidR="00F335A7" w:rsidRPr="00695E23" w:rsidRDefault="00F335A7" w:rsidP="00695E23">
      <w:pPr>
        <w:spacing w:line="360" w:lineRule="auto"/>
        <w:rPr>
          <w:rFonts w:ascii="Book Antiqua" w:hAnsi="Book Antiqua"/>
          <w:b/>
          <w:i/>
          <w:sz w:val="24"/>
          <w:szCs w:val="24"/>
        </w:rPr>
      </w:pPr>
      <w:r w:rsidRPr="00695E23">
        <w:rPr>
          <w:rFonts w:ascii="Book Antiqua" w:hAnsi="Book Antiqua"/>
          <w:b/>
          <w:i/>
          <w:sz w:val="24"/>
          <w:szCs w:val="24"/>
        </w:rPr>
        <w:t>Systolic dysfunction</w:t>
      </w:r>
    </w:p>
    <w:p w14:paraId="314C70F0" w14:textId="46C80B8D"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The Framingham Heart Study reported that severe LV systolic dysfunction occurs in 3</w:t>
      </w:r>
      <w:r w:rsidR="00695E23">
        <w:rPr>
          <w:rFonts w:ascii="Book Antiqua" w:eastAsia="宋体" w:hAnsi="Book Antiqua" w:hint="eastAsia"/>
          <w:sz w:val="24"/>
          <w:szCs w:val="24"/>
          <w:lang w:eastAsia="zh-CN"/>
        </w:rPr>
        <w:t>%-</w:t>
      </w:r>
      <w:r w:rsidRPr="00695E23">
        <w:rPr>
          <w:rFonts w:ascii="Book Antiqua" w:hAnsi="Book Antiqua"/>
          <w:sz w:val="24"/>
          <w:szCs w:val="24"/>
        </w:rPr>
        <w:t>6% of hypertensive patients</w:t>
      </w:r>
      <w:r w:rsidRPr="00695E23">
        <w:rPr>
          <w:rFonts w:ascii="Book Antiqua" w:hAnsi="Book Antiqua"/>
          <w:sz w:val="24"/>
          <w:szCs w:val="24"/>
          <w:vertAlign w:val="superscript"/>
        </w:rPr>
        <w:t>[40]</w:t>
      </w:r>
      <w:r w:rsidRPr="00695E23">
        <w:rPr>
          <w:rFonts w:ascii="Book Antiqua" w:hAnsi="Book Antiqua"/>
          <w:sz w:val="24"/>
          <w:szCs w:val="24"/>
        </w:rPr>
        <w:t>. An eccentric pattern of hypertrophy is a particularly strong risk factor for LV systolic dysfunction, as shown by the Cardiovascular Health Study</w:t>
      </w:r>
      <w:r w:rsidRPr="00695E23">
        <w:rPr>
          <w:rFonts w:ascii="Book Antiqua" w:hAnsi="Book Antiqua"/>
          <w:sz w:val="24"/>
          <w:szCs w:val="24"/>
          <w:vertAlign w:val="superscript"/>
        </w:rPr>
        <w:t>[52]</w:t>
      </w:r>
      <w:r w:rsidRPr="00695E23">
        <w:rPr>
          <w:rFonts w:ascii="Book Antiqua" w:hAnsi="Book Antiqua"/>
          <w:sz w:val="24"/>
          <w:szCs w:val="24"/>
        </w:rPr>
        <w:t xml:space="preserve">. Severe LV systolic dysfunction </w:t>
      </w:r>
      <w:r w:rsidR="00695E23">
        <w:rPr>
          <w:rFonts w:ascii="Book Antiqua" w:eastAsia="宋体" w:hAnsi="Book Antiqua" w:hint="eastAsia"/>
          <w:sz w:val="24"/>
          <w:szCs w:val="24"/>
          <w:lang w:eastAsia="zh-CN"/>
        </w:rPr>
        <w:t>[</w:t>
      </w:r>
      <w:r w:rsidRPr="00695E23">
        <w:rPr>
          <w:rFonts w:ascii="Book Antiqua" w:hAnsi="Book Antiqua"/>
          <w:sz w:val="24"/>
          <w:szCs w:val="24"/>
        </w:rPr>
        <w:t xml:space="preserve">ejection fraction </w:t>
      </w:r>
      <w:r w:rsidR="00695E23">
        <w:rPr>
          <w:rFonts w:ascii="Book Antiqua" w:eastAsia="宋体" w:hAnsi="Book Antiqua" w:hint="eastAsia"/>
          <w:sz w:val="24"/>
          <w:szCs w:val="24"/>
          <w:lang w:eastAsia="zh-CN"/>
        </w:rPr>
        <w:t>(</w:t>
      </w:r>
      <w:r w:rsidRPr="00695E23">
        <w:rPr>
          <w:rFonts w:ascii="Book Antiqua" w:hAnsi="Book Antiqua"/>
          <w:sz w:val="24"/>
          <w:szCs w:val="24"/>
        </w:rPr>
        <w:t>EF</w:t>
      </w:r>
      <w:r w:rsidR="00695E23">
        <w:rPr>
          <w:rFonts w:ascii="Book Antiqua" w:eastAsia="宋体" w:hAnsi="Book Antiqua" w:hint="eastAsia"/>
          <w:sz w:val="24"/>
          <w:szCs w:val="24"/>
          <w:lang w:eastAsia="zh-CN"/>
        </w:rPr>
        <w:t>)</w:t>
      </w:r>
      <w:r w:rsidR="00695E23">
        <w:rPr>
          <w:rFonts w:ascii="Book Antiqua" w:hAnsi="Book Antiqua"/>
          <w:sz w:val="24"/>
          <w:szCs w:val="24"/>
        </w:rPr>
        <w:t xml:space="preserve"> &lt; 30%</w:t>
      </w:r>
      <w:r w:rsidR="00695E23">
        <w:rPr>
          <w:rFonts w:ascii="Book Antiqua" w:eastAsia="宋体" w:hAnsi="Book Antiqua" w:hint="eastAsia"/>
          <w:sz w:val="24"/>
          <w:szCs w:val="24"/>
          <w:lang w:eastAsia="zh-CN"/>
        </w:rPr>
        <w:t>]</w:t>
      </w:r>
      <w:r w:rsidRPr="00695E23">
        <w:rPr>
          <w:rFonts w:ascii="Book Antiqua" w:hAnsi="Book Antiqua"/>
          <w:sz w:val="24"/>
          <w:szCs w:val="24"/>
        </w:rPr>
        <w:t xml:space="preserve"> occurred in 6% in the Framingham Heart Study</w:t>
      </w:r>
      <w:r w:rsidRPr="00695E23">
        <w:rPr>
          <w:rFonts w:ascii="Book Antiqua" w:hAnsi="Book Antiqua"/>
          <w:sz w:val="24"/>
          <w:szCs w:val="24"/>
          <w:vertAlign w:val="superscript"/>
        </w:rPr>
        <w:t>[52]</w:t>
      </w:r>
      <w:r w:rsidRPr="00695E23">
        <w:rPr>
          <w:rFonts w:ascii="Book Antiqua" w:hAnsi="Book Antiqua"/>
          <w:sz w:val="24"/>
          <w:szCs w:val="24"/>
        </w:rPr>
        <w:t>; however, hypertensive LV remodeling/hypertrophy is certainly followed by chamber dilation and heart failure if not treated appropriately. Although LV function may be initially compensatory, it is followed by progressive worsening of symptoms that ends with cardiac death</w:t>
      </w:r>
      <w:r w:rsidRPr="00695E23">
        <w:rPr>
          <w:rFonts w:ascii="Book Antiqua" w:hAnsi="Book Antiqua"/>
          <w:sz w:val="24"/>
          <w:szCs w:val="24"/>
          <w:vertAlign w:val="superscript"/>
        </w:rPr>
        <w:t>[2,53]</w:t>
      </w:r>
      <w:r w:rsidRPr="00695E23">
        <w:rPr>
          <w:rFonts w:ascii="Book Antiqua" w:hAnsi="Book Antiqua"/>
          <w:sz w:val="24"/>
          <w:szCs w:val="24"/>
        </w:rPr>
        <w:t>. This phenomenon was consistently reproduced in animal models of pressure overload due to aortic banding, as well as in humans with aortic stenosis and hypertrophic cardiomyopathy</w:t>
      </w:r>
      <w:r w:rsidRPr="00695E23">
        <w:rPr>
          <w:rFonts w:ascii="Book Antiqua" w:hAnsi="Book Antiqua"/>
          <w:sz w:val="24"/>
          <w:szCs w:val="24"/>
          <w:vertAlign w:val="superscript"/>
        </w:rPr>
        <w:t>[53]</w:t>
      </w:r>
      <w:r w:rsidRPr="00695E23">
        <w:rPr>
          <w:rFonts w:ascii="Book Antiqua" w:hAnsi="Book Antiqua"/>
          <w:sz w:val="24"/>
          <w:szCs w:val="24"/>
        </w:rPr>
        <w:t xml:space="preserve">. </w:t>
      </w:r>
    </w:p>
    <w:p w14:paraId="5C95733D" w14:textId="77777777" w:rsidR="00F335A7" w:rsidRPr="00695E23" w:rsidRDefault="00F335A7" w:rsidP="00695E23">
      <w:pPr>
        <w:spacing w:line="360" w:lineRule="auto"/>
        <w:rPr>
          <w:rFonts w:ascii="Book Antiqua" w:hAnsi="Book Antiqua"/>
          <w:sz w:val="24"/>
          <w:szCs w:val="24"/>
        </w:rPr>
      </w:pPr>
    </w:p>
    <w:p w14:paraId="0C15EA7E" w14:textId="30625BBD" w:rsidR="00F335A7" w:rsidRPr="00695E23" w:rsidRDefault="00F335A7" w:rsidP="00695E23">
      <w:pPr>
        <w:spacing w:line="360" w:lineRule="auto"/>
        <w:rPr>
          <w:rFonts w:ascii="Book Antiqua" w:hAnsi="Book Antiqua"/>
          <w:b/>
          <w:sz w:val="24"/>
          <w:szCs w:val="24"/>
        </w:rPr>
      </w:pPr>
      <w:r w:rsidRPr="00695E23">
        <w:rPr>
          <w:rFonts w:ascii="Book Antiqua" w:hAnsi="Book Antiqua"/>
          <w:b/>
          <w:sz w:val="24"/>
          <w:szCs w:val="24"/>
        </w:rPr>
        <w:t>DIAGNOSIS OF HTN-CM</w:t>
      </w:r>
    </w:p>
    <w:p w14:paraId="3FD19381" w14:textId="77777777" w:rsidR="00F335A7" w:rsidRPr="00695E23" w:rsidRDefault="00F335A7" w:rsidP="00695E23">
      <w:pPr>
        <w:spacing w:line="360" w:lineRule="auto"/>
        <w:rPr>
          <w:rFonts w:ascii="Book Antiqua" w:hAnsi="Book Antiqua"/>
          <w:i/>
          <w:sz w:val="24"/>
          <w:szCs w:val="24"/>
        </w:rPr>
      </w:pPr>
      <w:r w:rsidRPr="00695E23">
        <w:rPr>
          <w:rFonts w:ascii="Book Antiqua" w:hAnsi="Book Antiqua"/>
          <w:b/>
          <w:i/>
          <w:sz w:val="24"/>
          <w:szCs w:val="24"/>
        </w:rPr>
        <w:t>Pathological findings of HTN-CM</w:t>
      </w:r>
    </w:p>
    <w:p w14:paraId="66148A63"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Pathological evaluation is important in the differential diagnosis of HTN-CM. Invasive endomyocardial biopsy (EMB) remains a powerful tool for obtaining a specific diagnosis in HTN-CM patients. A histopathological study revealed myocyte hypertrophy and moderate interstitial fibrosis, which was consistent with HTN-CM</w:t>
      </w:r>
      <w:r w:rsidRPr="00695E23">
        <w:rPr>
          <w:rFonts w:ascii="Book Antiqua" w:hAnsi="Book Antiqua"/>
          <w:sz w:val="24"/>
          <w:szCs w:val="24"/>
          <w:vertAlign w:val="superscript"/>
        </w:rPr>
        <w:t>[54,55]</w:t>
      </w:r>
      <w:r w:rsidRPr="00695E23">
        <w:rPr>
          <w:rFonts w:ascii="Book Antiqua" w:hAnsi="Book Antiqua"/>
          <w:sz w:val="24"/>
          <w:szCs w:val="24"/>
        </w:rPr>
        <w:t xml:space="preserve">. Cardiomyocyte hypertrophy in HTN-CM occurs as a result </w:t>
      </w:r>
      <w:r w:rsidRPr="00695E23">
        <w:rPr>
          <w:rFonts w:ascii="Book Antiqua" w:hAnsi="Book Antiqua"/>
          <w:sz w:val="24"/>
          <w:szCs w:val="24"/>
        </w:rPr>
        <w:lastRenderedPageBreak/>
        <w:t>of structural remodeling of the myocardium. It is a consequence of a number of pathologic processes that are mediated by mechanical, neurohormonal, and cytokine routes and take place in the cardiomyocyte and noncardiomyocyte compartments of the heart</w:t>
      </w:r>
      <w:r w:rsidRPr="00695E23">
        <w:rPr>
          <w:rFonts w:ascii="Book Antiqua" w:hAnsi="Book Antiqua"/>
          <w:sz w:val="24"/>
          <w:szCs w:val="24"/>
          <w:vertAlign w:val="superscript"/>
        </w:rPr>
        <w:t>[54]</w:t>
      </w:r>
      <w:r w:rsidRPr="00695E23">
        <w:rPr>
          <w:rFonts w:ascii="Book Antiqua" w:hAnsi="Book Antiqua"/>
          <w:sz w:val="24"/>
          <w:szCs w:val="24"/>
        </w:rPr>
        <w:t>. An exaggerated accumulation of fibers within the myocardial interstitium and surrounding intramural coronary arteries and arterioles has been consistently found in postmortem human hearts and biopsy samples from patients with HTN-CM</w:t>
      </w:r>
      <w:r w:rsidRPr="00695E23">
        <w:rPr>
          <w:rFonts w:ascii="Book Antiqua" w:hAnsi="Book Antiqua"/>
          <w:sz w:val="24"/>
          <w:szCs w:val="24"/>
          <w:vertAlign w:val="superscript"/>
        </w:rPr>
        <w:t>[55-57]</w:t>
      </w:r>
      <w:r w:rsidRPr="00695E23">
        <w:rPr>
          <w:rFonts w:ascii="Book Antiqua" w:hAnsi="Book Antiqua"/>
          <w:sz w:val="24"/>
          <w:szCs w:val="24"/>
        </w:rPr>
        <w:t xml:space="preserve">. </w:t>
      </w:r>
    </w:p>
    <w:p w14:paraId="3D0DDF97" w14:textId="31D29ABC"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The collagen volume fraction is significantly increased in the hearts of patients with HTN-CM when compared with normotensive patients (Figure</w:t>
      </w:r>
      <w:r w:rsidR="003327C7">
        <w:rPr>
          <w:rFonts w:ascii="Book Antiqua" w:eastAsia="宋体" w:hAnsi="Book Antiqua" w:hint="eastAsia"/>
          <w:sz w:val="24"/>
          <w:szCs w:val="24"/>
          <w:lang w:eastAsia="zh-CN"/>
        </w:rPr>
        <w:t>s</w:t>
      </w:r>
      <w:r w:rsidRPr="00695E23">
        <w:rPr>
          <w:rFonts w:ascii="Book Antiqua" w:hAnsi="Book Antiqua"/>
          <w:sz w:val="24"/>
          <w:szCs w:val="24"/>
        </w:rPr>
        <w:t xml:space="preserve"> 4</w:t>
      </w:r>
      <w:r w:rsidR="003327C7">
        <w:rPr>
          <w:rFonts w:ascii="Book Antiqua" w:eastAsia="宋体" w:hAnsi="Book Antiqua" w:hint="eastAsia"/>
          <w:sz w:val="24"/>
          <w:szCs w:val="24"/>
          <w:lang w:eastAsia="zh-CN"/>
        </w:rPr>
        <w:t xml:space="preserve"> and</w:t>
      </w:r>
      <w:r w:rsidRPr="00695E23">
        <w:rPr>
          <w:rFonts w:ascii="Book Antiqua" w:hAnsi="Book Antiqua"/>
          <w:sz w:val="24"/>
          <w:szCs w:val="24"/>
        </w:rPr>
        <w:t xml:space="preserve"> 5, reproduced from</w:t>
      </w:r>
      <w:r w:rsidRPr="00695E23">
        <w:rPr>
          <w:rFonts w:ascii="Book Antiqua" w:hAnsi="Book Antiqua"/>
          <w:sz w:val="24"/>
          <w:szCs w:val="24"/>
          <w:vertAlign w:val="superscript"/>
        </w:rPr>
        <w:t>[54,56]</w:t>
      </w:r>
      <w:r w:rsidRPr="00695E23">
        <w:rPr>
          <w:rFonts w:ascii="Book Antiqua" w:hAnsi="Book Antiqua"/>
          <w:sz w:val="24"/>
          <w:szCs w:val="24"/>
        </w:rPr>
        <w:t xml:space="preserve">). Several clinical observations support the possibility that fibrosis occurs by mechanical stress. Tanaka </w:t>
      </w:r>
      <w:r w:rsidRPr="00695E23">
        <w:rPr>
          <w:rFonts w:ascii="Book Antiqua" w:hAnsi="Book Antiqua"/>
          <w:i/>
          <w:sz w:val="24"/>
          <w:szCs w:val="24"/>
        </w:rPr>
        <w:t>et al</w:t>
      </w:r>
      <w:r w:rsidR="00B15118" w:rsidRPr="00695E23">
        <w:rPr>
          <w:rFonts w:ascii="Book Antiqua" w:hAnsi="Book Antiqua"/>
          <w:sz w:val="24"/>
          <w:szCs w:val="24"/>
          <w:vertAlign w:val="superscript"/>
        </w:rPr>
        <w:t>[58]</w:t>
      </w:r>
      <w:r w:rsidRPr="00695E23">
        <w:rPr>
          <w:rFonts w:ascii="Book Antiqua" w:hAnsi="Book Antiqua"/>
          <w:sz w:val="24"/>
          <w:szCs w:val="24"/>
        </w:rPr>
        <w:t xml:space="preserve"> reported that the collagen volume fraction of the LV free wall probably reflects transmural gradients of wall stress. Rossi found that the extent and severity of ventricular fibrosis paralleled the enlargement of cardiomyocytes</w:t>
      </w:r>
      <w:r w:rsidRPr="00695E23">
        <w:rPr>
          <w:rFonts w:ascii="Book Antiqua" w:hAnsi="Book Antiqua"/>
          <w:sz w:val="24"/>
          <w:szCs w:val="24"/>
          <w:vertAlign w:val="superscript"/>
        </w:rPr>
        <w:t>[59]</w:t>
      </w:r>
      <w:r w:rsidRPr="00695E23">
        <w:rPr>
          <w:rFonts w:ascii="Book Antiqua" w:hAnsi="Book Antiqua"/>
          <w:sz w:val="24"/>
          <w:szCs w:val="24"/>
        </w:rPr>
        <w:t xml:space="preserve">. Querejeta </w:t>
      </w:r>
      <w:r w:rsidRPr="00695E23">
        <w:rPr>
          <w:rFonts w:ascii="Book Antiqua" w:hAnsi="Book Antiqua"/>
          <w:i/>
          <w:sz w:val="24"/>
          <w:szCs w:val="24"/>
        </w:rPr>
        <w:t>et al</w:t>
      </w:r>
      <w:r w:rsidR="00B15118" w:rsidRPr="00695E23">
        <w:rPr>
          <w:rFonts w:ascii="Book Antiqua" w:hAnsi="Book Antiqua"/>
          <w:sz w:val="24"/>
          <w:szCs w:val="24"/>
          <w:vertAlign w:val="superscript"/>
        </w:rPr>
        <w:t>[60]</w:t>
      </w:r>
      <w:r w:rsidRPr="00695E23">
        <w:rPr>
          <w:rFonts w:ascii="Book Antiqua" w:hAnsi="Book Antiqua"/>
          <w:sz w:val="24"/>
          <w:szCs w:val="24"/>
        </w:rPr>
        <w:t xml:space="preserve"> reported that the collagen volume fraction correlated with systolic blood pressure and pulse pressure in the myocardium of patients with hypertension. </w:t>
      </w:r>
    </w:p>
    <w:p w14:paraId="584785B6" w14:textId="3F1FF2AF"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The RAAS and ACE activity may be an important determinant of the hypertrophic response</w:t>
      </w:r>
      <w:r w:rsidRPr="00695E23">
        <w:rPr>
          <w:rFonts w:ascii="Book Antiqua" w:hAnsi="Book Antiqua"/>
          <w:sz w:val="24"/>
          <w:szCs w:val="24"/>
          <w:vertAlign w:val="superscript"/>
        </w:rPr>
        <w:t>[5-7]</w:t>
      </w:r>
      <w:r w:rsidRPr="00695E23">
        <w:rPr>
          <w:rFonts w:ascii="Book Antiqua" w:hAnsi="Book Antiqua"/>
          <w:sz w:val="24"/>
          <w:szCs w:val="24"/>
        </w:rPr>
        <w:t>. The effect of angiotensin II may be a factor in the promotion of myocardial fibrosis</w:t>
      </w:r>
      <w:r w:rsidRPr="00695E23">
        <w:rPr>
          <w:rFonts w:ascii="Book Antiqua" w:hAnsi="Book Antiqua"/>
          <w:sz w:val="24"/>
          <w:szCs w:val="24"/>
          <w:vertAlign w:val="superscript"/>
        </w:rPr>
        <w:t>[61]</w:t>
      </w:r>
      <w:r w:rsidRPr="00695E23">
        <w:rPr>
          <w:rFonts w:ascii="Book Antiqua" w:hAnsi="Book Antiqua"/>
          <w:sz w:val="24"/>
          <w:szCs w:val="24"/>
        </w:rPr>
        <w:t>. Myocardial disarray (defined as bundles of myocytes oriented perpendicularly or obliquely to each other or interspersed in different directions), which is generally seen in patients with HCM, may also appear in patients in HTN-CM, although the distribution of myocardial disarray is relatively smaller in HTN-CM than in HCM. A previous study by Kato et</w:t>
      </w:r>
      <w:r w:rsidRPr="00695E23">
        <w:rPr>
          <w:rFonts w:ascii="Book Antiqua" w:hAnsi="Book Antiqua"/>
          <w:i/>
          <w:sz w:val="24"/>
          <w:szCs w:val="24"/>
        </w:rPr>
        <w:t xml:space="preserve"> al</w:t>
      </w:r>
      <w:r w:rsidR="00B15118" w:rsidRPr="00695E23">
        <w:rPr>
          <w:rFonts w:ascii="Book Antiqua" w:hAnsi="Book Antiqua"/>
          <w:sz w:val="24"/>
          <w:szCs w:val="24"/>
          <w:vertAlign w:val="superscript"/>
        </w:rPr>
        <w:t>[62]</w:t>
      </w:r>
      <w:r w:rsidRPr="00695E23">
        <w:rPr>
          <w:rFonts w:ascii="Book Antiqua" w:hAnsi="Book Antiqua"/>
          <w:sz w:val="24"/>
          <w:szCs w:val="24"/>
        </w:rPr>
        <w:t xml:space="preserve"> classified patients as HCM if they showed &gt; 33% myocyte disarray </w:t>
      </w:r>
      <w:r w:rsidRPr="00695E23">
        <w:rPr>
          <w:rFonts w:ascii="Book Antiqua" w:hAnsi="Book Antiqua"/>
          <w:sz w:val="24"/>
          <w:szCs w:val="24"/>
        </w:rPr>
        <w:lastRenderedPageBreak/>
        <w:t>in at least one of the cross sections examined. Patients with no or &lt; 5% myocyte disarray in all cross sections examined were classified as HTN-CM (Figure 6, reproduced from</w:t>
      </w:r>
      <w:r w:rsidRPr="00695E23">
        <w:rPr>
          <w:rFonts w:ascii="Book Antiqua" w:hAnsi="Book Antiqua"/>
          <w:sz w:val="24"/>
          <w:szCs w:val="24"/>
          <w:vertAlign w:val="superscript"/>
        </w:rPr>
        <w:t>[62]</w:t>
      </w:r>
      <w:r w:rsidRPr="00695E23">
        <w:rPr>
          <w:rFonts w:ascii="Book Antiqua" w:hAnsi="Book Antiqua"/>
          <w:sz w:val="24"/>
          <w:szCs w:val="24"/>
        </w:rPr>
        <w:t xml:space="preserve">). </w:t>
      </w:r>
    </w:p>
    <w:p w14:paraId="4AE1797F" w14:textId="7307F447"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HTN-CM arises as the result of an increase in the quantity of myocardium but it also emerges due to alterations in myocardial quality (</w:t>
      </w:r>
      <w:r w:rsidRPr="003327C7">
        <w:rPr>
          <w:rFonts w:ascii="Book Antiqua" w:hAnsi="Book Antiqua"/>
          <w:i/>
          <w:sz w:val="24"/>
          <w:szCs w:val="24"/>
        </w:rPr>
        <w:t>i.e.</w:t>
      </w:r>
      <w:r w:rsidRPr="00695E23">
        <w:rPr>
          <w:rFonts w:ascii="Book Antiqua" w:hAnsi="Book Antiqua"/>
          <w:sz w:val="24"/>
          <w:szCs w:val="24"/>
        </w:rPr>
        <w:t>, fibrosis)</w:t>
      </w:r>
      <w:r w:rsidRPr="00695E23">
        <w:rPr>
          <w:rFonts w:ascii="Book Antiqua" w:hAnsi="Book Antiqua"/>
          <w:sz w:val="24"/>
          <w:szCs w:val="24"/>
          <w:vertAlign w:val="superscript"/>
        </w:rPr>
        <w:t>[54]</w:t>
      </w:r>
      <w:r w:rsidRPr="00695E23">
        <w:rPr>
          <w:rFonts w:ascii="Book Antiqua" w:hAnsi="Book Antiqua"/>
          <w:sz w:val="24"/>
          <w:szCs w:val="24"/>
        </w:rPr>
        <w:t xml:space="preserve">. Mechanical stress and hormones such as RAAS lead to fibrosis, which in turn leads to chronic heart failure. </w:t>
      </w:r>
    </w:p>
    <w:p w14:paraId="46FEE9EF" w14:textId="77777777" w:rsidR="00F335A7" w:rsidRPr="00695E23" w:rsidRDefault="00F335A7" w:rsidP="00695E23">
      <w:pPr>
        <w:spacing w:line="360" w:lineRule="auto"/>
        <w:rPr>
          <w:rFonts w:ascii="Book Antiqua" w:hAnsi="Book Antiqua"/>
          <w:sz w:val="24"/>
          <w:szCs w:val="24"/>
        </w:rPr>
      </w:pPr>
    </w:p>
    <w:p w14:paraId="3C6145C6" w14:textId="77777777" w:rsidR="00F335A7" w:rsidRPr="00695E23" w:rsidRDefault="00F335A7" w:rsidP="00695E23">
      <w:pPr>
        <w:spacing w:line="360" w:lineRule="auto"/>
        <w:rPr>
          <w:rFonts w:ascii="Book Antiqua" w:hAnsi="Book Antiqua"/>
          <w:b/>
          <w:i/>
          <w:sz w:val="24"/>
          <w:szCs w:val="24"/>
        </w:rPr>
      </w:pPr>
      <w:r w:rsidRPr="00695E23">
        <w:rPr>
          <w:rFonts w:ascii="Book Antiqua" w:hAnsi="Book Antiqua"/>
          <w:b/>
          <w:i/>
          <w:sz w:val="24"/>
          <w:szCs w:val="24"/>
        </w:rPr>
        <w:t>Echocardiography</w:t>
      </w:r>
    </w:p>
    <w:p w14:paraId="7ABE8F7F" w14:textId="63DA273B"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Echocardiography is a powerful tool that provides morphological information about the LVH pattern in patients with hypertension. LVH can be detected with both electrocardiography and echocardiography</w:t>
      </w:r>
      <w:r w:rsidRPr="00695E23">
        <w:rPr>
          <w:rFonts w:ascii="Book Antiqua" w:hAnsi="Book Antiqua"/>
          <w:sz w:val="24"/>
          <w:szCs w:val="24"/>
          <w:vertAlign w:val="superscript"/>
        </w:rPr>
        <w:t>[63]</w:t>
      </w:r>
      <w:r w:rsidRPr="00695E23">
        <w:rPr>
          <w:rFonts w:ascii="Book Antiqua" w:hAnsi="Book Antiqua"/>
          <w:sz w:val="24"/>
          <w:szCs w:val="24"/>
        </w:rPr>
        <w:t xml:space="preserve">. The sensitivity of electrocardiography for LVH diagnosis is relatively low; therefore, echocardiography should be performed to evaluate LV morphology in patients with persistent hypertension. Levy </w:t>
      </w:r>
      <w:r w:rsidRPr="00695E23">
        <w:rPr>
          <w:rFonts w:ascii="Book Antiqua" w:hAnsi="Book Antiqua"/>
          <w:i/>
          <w:sz w:val="24"/>
          <w:szCs w:val="24"/>
        </w:rPr>
        <w:t>et al</w:t>
      </w:r>
      <w:r w:rsidR="003327C7" w:rsidRPr="00695E23">
        <w:rPr>
          <w:rFonts w:ascii="Book Antiqua" w:hAnsi="Book Antiqua"/>
          <w:sz w:val="24"/>
          <w:szCs w:val="24"/>
          <w:vertAlign w:val="superscript"/>
        </w:rPr>
        <w:t>[64]</w:t>
      </w:r>
      <w:r w:rsidRPr="00695E23">
        <w:rPr>
          <w:rFonts w:ascii="Book Antiqua" w:hAnsi="Book Antiqua"/>
          <w:sz w:val="24"/>
          <w:szCs w:val="24"/>
        </w:rPr>
        <w:t xml:space="preserve"> reviewed electrocard</w:t>
      </w:r>
      <w:r w:rsidR="003327C7">
        <w:rPr>
          <w:rFonts w:ascii="Book Antiqua" w:hAnsi="Book Antiqua"/>
          <w:sz w:val="24"/>
          <w:szCs w:val="24"/>
        </w:rPr>
        <w:t>iographic criteria for LVH in 4</w:t>
      </w:r>
      <w:r w:rsidRPr="00695E23">
        <w:rPr>
          <w:rFonts w:ascii="Book Antiqua" w:hAnsi="Book Antiqua"/>
          <w:sz w:val="24"/>
          <w:szCs w:val="24"/>
        </w:rPr>
        <w:t>684 subjects of the Framingham Heart Study and detected echocardiographic LVH in 290 men (14.2%) and 465 women (17.6%), although they found electrocardiographic features of LVH in only 2.9% of men and 1.5% of women</w:t>
      </w:r>
      <w:r w:rsidRPr="00695E23">
        <w:rPr>
          <w:rFonts w:ascii="Book Antiqua" w:hAnsi="Book Antiqua"/>
          <w:sz w:val="24"/>
          <w:szCs w:val="24"/>
          <w:vertAlign w:val="superscript"/>
        </w:rPr>
        <w:t>[64]</w:t>
      </w:r>
      <w:r w:rsidRPr="00695E23">
        <w:rPr>
          <w:rFonts w:ascii="Book Antiqua" w:hAnsi="Book Antiqua"/>
          <w:sz w:val="24"/>
          <w:szCs w:val="24"/>
        </w:rPr>
        <w:t>. Indeed, a prevalence of echocardiographic LVH was reported in 40% of patients with hypertension</w:t>
      </w:r>
      <w:r w:rsidRPr="00695E23">
        <w:rPr>
          <w:rFonts w:ascii="Book Antiqua" w:hAnsi="Book Antiqua"/>
          <w:sz w:val="24"/>
          <w:szCs w:val="24"/>
          <w:vertAlign w:val="superscript"/>
        </w:rPr>
        <w:t>[4,65]</w:t>
      </w:r>
      <w:r w:rsidRPr="00695E23">
        <w:rPr>
          <w:rFonts w:ascii="Book Antiqua" w:hAnsi="Book Antiqua"/>
          <w:sz w:val="24"/>
          <w:szCs w:val="24"/>
        </w:rPr>
        <w:t xml:space="preserve">. </w:t>
      </w:r>
    </w:p>
    <w:p w14:paraId="7B9401C8" w14:textId="431FF274"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LV mass (LVM), LV mass index, and relative wall thickness (RWT) are the most common measurements employed in evaluation of LVH in hypertensive patients</w:t>
      </w:r>
      <w:r w:rsidRPr="00695E23">
        <w:rPr>
          <w:rFonts w:ascii="Book Antiqua" w:hAnsi="Book Antiqua"/>
          <w:sz w:val="24"/>
          <w:szCs w:val="24"/>
          <w:vertAlign w:val="superscript"/>
        </w:rPr>
        <w:t>[66]</w:t>
      </w:r>
      <w:r w:rsidRPr="00695E23">
        <w:rPr>
          <w:rFonts w:ascii="Book Antiqua" w:hAnsi="Book Antiqua"/>
          <w:sz w:val="24"/>
          <w:szCs w:val="24"/>
        </w:rPr>
        <w:t xml:space="preserve">. LV geometry is classified into 4 groups based on LVM and RWT: concentric LVH (increased mass and increased RWT), eccentric LVH (increased </w:t>
      </w:r>
      <w:r w:rsidRPr="00695E23">
        <w:rPr>
          <w:rFonts w:ascii="Book Antiqua" w:hAnsi="Book Antiqua"/>
          <w:sz w:val="24"/>
          <w:szCs w:val="24"/>
        </w:rPr>
        <w:lastRenderedPageBreak/>
        <w:t>mass and normal RWT), concentric remodeling (normal mass and increased RWT), and normal geometry (normal mass and normal RWT)</w:t>
      </w:r>
      <w:r w:rsidRPr="00695E23">
        <w:rPr>
          <w:rFonts w:ascii="Book Antiqua" w:hAnsi="Book Antiqua"/>
          <w:sz w:val="24"/>
          <w:szCs w:val="24"/>
          <w:vertAlign w:val="superscript"/>
        </w:rPr>
        <w:t>[4,65,66]</w:t>
      </w:r>
      <w:r w:rsidRPr="00695E23">
        <w:rPr>
          <w:rFonts w:ascii="Book Antiqua" w:hAnsi="Book Antiqua"/>
          <w:sz w:val="24"/>
          <w:szCs w:val="24"/>
        </w:rPr>
        <w:t xml:space="preserve">. </w:t>
      </w:r>
    </w:p>
    <w:p w14:paraId="78153F3A" w14:textId="3BA514D2"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Several formulas are used to estimate LV mass. The original calculations from Troy were the first to be recommended as a standard for estimating LVM from M-mode measurements (Formula 1)</w:t>
      </w:r>
      <w:r w:rsidRPr="00695E23">
        <w:rPr>
          <w:rFonts w:ascii="Book Antiqua" w:hAnsi="Book Antiqua"/>
          <w:sz w:val="24"/>
          <w:szCs w:val="24"/>
          <w:vertAlign w:val="superscript"/>
        </w:rPr>
        <w:t>[67]</w:t>
      </w:r>
      <w:r w:rsidRPr="00695E23">
        <w:rPr>
          <w:rFonts w:ascii="Book Antiqua" w:hAnsi="Book Antiqua"/>
          <w:sz w:val="24"/>
          <w:szCs w:val="24"/>
        </w:rPr>
        <w:t>.</w:t>
      </w:r>
    </w:p>
    <w:p w14:paraId="622791B9" w14:textId="0B14A635"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ab/>
        <w:t xml:space="preserve">Formula 1: LV mass = 1.05 </w:t>
      </w:r>
      <w:r w:rsidR="003327C7">
        <w:rPr>
          <w:rFonts w:ascii="Book Antiqua" w:eastAsia="宋体" w:hAnsi="Book Antiqua" w:hint="eastAsia"/>
          <w:sz w:val="24"/>
          <w:szCs w:val="24"/>
          <w:lang w:eastAsia="zh-CN"/>
        </w:rPr>
        <w:t>[(</w:t>
      </w:r>
      <w:r w:rsidRPr="00695E23">
        <w:rPr>
          <w:rFonts w:ascii="Book Antiqua" w:hAnsi="Book Antiqua"/>
          <w:sz w:val="24"/>
          <w:szCs w:val="24"/>
        </w:rPr>
        <w:t>LVIDD + PWTD + IVSTD</w:t>
      </w:r>
      <w:r w:rsidR="003327C7">
        <w:rPr>
          <w:rFonts w:ascii="Book Antiqua" w:eastAsia="宋体" w:hAnsi="Book Antiqua" w:hint="eastAsia"/>
          <w:sz w:val="24"/>
          <w:szCs w:val="24"/>
          <w:lang w:eastAsia="zh-CN"/>
        </w:rPr>
        <w:t>)</w:t>
      </w:r>
      <w:r w:rsidRPr="00695E23">
        <w:rPr>
          <w:rFonts w:ascii="Book Antiqua" w:hAnsi="Book Antiqua"/>
          <w:sz w:val="24"/>
          <w:szCs w:val="24"/>
        </w:rPr>
        <w:t xml:space="preserve"> </w:t>
      </w:r>
      <w:r w:rsidRPr="00695E23">
        <w:rPr>
          <w:rFonts w:ascii="Book Antiqua" w:hAnsi="Book Antiqua"/>
          <w:sz w:val="24"/>
          <w:szCs w:val="24"/>
          <w:vertAlign w:val="superscript"/>
        </w:rPr>
        <w:t>3</w:t>
      </w:r>
      <w:r w:rsidR="003327C7">
        <w:rPr>
          <w:rFonts w:ascii="Book Antiqua" w:eastAsia="宋体" w:hAnsi="Book Antiqua" w:hint="eastAsia"/>
          <w:sz w:val="24"/>
          <w:szCs w:val="24"/>
          <w:vertAlign w:val="superscript"/>
          <w:lang w:eastAsia="zh-CN"/>
        </w:rPr>
        <w:t xml:space="preserve"> </w:t>
      </w:r>
      <w:r w:rsidRPr="00695E23">
        <w:rPr>
          <w:rFonts w:ascii="Book Antiqua" w:hAnsi="Book Antiqua" w:cs="Superclarendon Black Italic"/>
          <w:sz w:val="24"/>
          <w:szCs w:val="24"/>
        </w:rPr>
        <w:t>−</w:t>
      </w:r>
      <w:r w:rsidRPr="00695E23">
        <w:rPr>
          <w:rFonts w:ascii="Book Antiqua" w:hAnsi="Book Antiqua"/>
          <w:sz w:val="24"/>
          <w:szCs w:val="24"/>
        </w:rPr>
        <w:t xml:space="preserve"> </w:t>
      </w:r>
      <w:r w:rsidR="003327C7">
        <w:rPr>
          <w:rFonts w:ascii="Book Antiqua" w:eastAsia="宋体" w:hAnsi="Book Antiqua" w:hint="eastAsia"/>
          <w:sz w:val="24"/>
          <w:szCs w:val="24"/>
          <w:lang w:eastAsia="zh-CN"/>
        </w:rPr>
        <w:t>(</w:t>
      </w:r>
      <w:r w:rsidRPr="00695E23">
        <w:rPr>
          <w:rFonts w:ascii="Book Antiqua" w:hAnsi="Book Antiqua"/>
          <w:sz w:val="24"/>
          <w:szCs w:val="24"/>
        </w:rPr>
        <w:t>LVIDD</w:t>
      </w:r>
      <w:r w:rsidR="003327C7">
        <w:rPr>
          <w:rFonts w:ascii="Book Antiqua" w:eastAsia="宋体" w:hAnsi="Book Antiqua" w:hint="eastAsia"/>
          <w:sz w:val="24"/>
          <w:szCs w:val="24"/>
          <w:lang w:eastAsia="zh-CN"/>
        </w:rPr>
        <w:t>)</w:t>
      </w:r>
      <w:r w:rsidRPr="00695E23">
        <w:rPr>
          <w:rFonts w:ascii="Book Antiqua" w:hAnsi="Book Antiqua"/>
          <w:sz w:val="24"/>
          <w:szCs w:val="24"/>
        </w:rPr>
        <w:t xml:space="preserve"> </w:t>
      </w:r>
      <w:r w:rsidRPr="00695E23">
        <w:rPr>
          <w:rFonts w:ascii="Book Antiqua" w:hAnsi="Book Antiqua"/>
          <w:sz w:val="24"/>
          <w:szCs w:val="24"/>
          <w:vertAlign w:val="superscript"/>
        </w:rPr>
        <w:t>3</w:t>
      </w:r>
      <w:r w:rsidR="003327C7">
        <w:rPr>
          <w:rFonts w:ascii="Book Antiqua" w:eastAsia="宋体" w:hAnsi="Book Antiqua" w:hint="eastAsia"/>
          <w:sz w:val="24"/>
          <w:szCs w:val="24"/>
          <w:lang w:eastAsia="zh-CN"/>
        </w:rPr>
        <w:t>]</w:t>
      </w:r>
      <w:r w:rsidRPr="00695E23">
        <w:rPr>
          <w:rFonts w:ascii="Book Antiqua" w:hAnsi="Book Antiqua"/>
          <w:sz w:val="24"/>
          <w:szCs w:val="24"/>
        </w:rPr>
        <w:t xml:space="preserve"> g.</w:t>
      </w:r>
    </w:p>
    <w:p w14:paraId="230E5793"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ab/>
        <w:t>Where: LVIDD = LV Internal Diameter in Diastole</w:t>
      </w:r>
    </w:p>
    <w:p w14:paraId="7842756B"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ab/>
        <w:t>PWTD = Posterior Wall Thickness in Diastole</w:t>
      </w:r>
    </w:p>
    <w:p w14:paraId="289F93F7"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 xml:space="preserve"> </w:t>
      </w:r>
      <w:r w:rsidRPr="00695E23">
        <w:rPr>
          <w:rFonts w:ascii="Book Antiqua" w:hAnsi="Book Antiqua"/>
          <w:sz w:val="24"/>
          <w:szCs w:val="24"/>
        </w:rPr>
        <w:tab/>
        <w:t>IVSTD = Interventricular Septum Thickness in Diastole</w:t>
      </w:r>
    </w:p>
    <w:p w14:paraId="0CFC3B95" w14:textId="77777777"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Devereux added a slight modification by using the Penn convention as the border definition criteria (Formula 2)</w:t>
      </w:r>
      <w:r w:rsidRPr="00695E23">
        <w:rPr>
          <w:rFonts w:ascii="Book Antiqua" w:hAnsi="Book Antiqua"/>
          <w:sz w:val="24"/>
          <w:szCs w:val="24"/>
          <w:vertAlign w:val="superscript"/>
        </w:rPr>
        <w:t>[68]</w:t>
      </w:r>
      <w:r w:rsidRPr="00695E23">
        <w:rPr>
          <w:rFonts w:ascii="Book Antiqua" w:hAnsi="Book Antiqua"/>
          <w:sz w:val="24"/>
          <w:szCs w:val="24"/>
        </w:rPr>
        <w:t>.</w:t>
      </w:r>
    </w:p>
    <w:p w14:paraId="4386763B" w14:textId="51D1274A" w:rsidR="00F335A7" w:rsidRPr="003327C7" w:rsidRDefault="003327C7" w:rsidP="00695E23">
      <w:pPr>
        <w:spacing w:line="360" w:lineRule="auto"/>
        <w:rPr>
          <w:rFonts w:ascii="Book Antiqua" w:eastAsia="宋体" w:hAnsi="Book Antiqua"/>
          <w:sz w:val="24"/>
          <w:szCs w:val="24"/>
          <w:lang w:eastAsia="zh-CN"/>
        </w:rPr>
      </w:pPr>
      <w:r>
        <w:rPr>
          <w:rFonts w:ascii="Book Antiqua" w:hAnsi="Book Antiqua"/>
          <w:sz w:val="24"/>
          <w:szCs w:val="24"/>
        </w:rPr>
        <w:tab/>
        <w:t>Formula 2: LV mass =</w:t>
      </w:r>
      <w:r>
        <w:rPr>
          <w:rFonts w:ascii="Book Antiqua" w:eastAsia="宋体" w:hAnsi="Book Antiqua" w:hint="eastAsia"/>
          <w:sz w:val="24"/>
          <w:szCs w:val="24"/>
          <w:lang w:eastAsia="zh-CN"/>
        </w:rPr>
        <w:t xml:space="preserve"> </w:t>
      </w:r>
      <w:r>
        <w:rPr>
          <w:rFonts w:ascii="Book Antiqua" w:hAnsi="Book Antiqua"/>
          <w:sz w:val="24"/>
          <w:szCs w:val="24"/>
        </w:rPr>
        <w:t xml:space="preserve">1.04 </w:t>
      </w:r>
      <w:r w:rsidR="00F335A7" w:rsidRPr="00695E23">
        <w:rPr>
          <w:rFonts w:ascii="Book Antiqua" w:hAnsi="Book Antiqua"/>
          <w:sz w:val="24"/>
          <w:szCs w:val="24"/>
        </w:rPr>
        <w:t>[</w:t>
      </w:r>
      <w:r>
        <w:rPr>
          <w:rFonts w:ascii="Book Antiqua" w:eastAsia="宋体" w:hAnsi="Book Antiqua" w:hint="eastAsia"/>
          <w:sz w:val="24"/>
          <w:szCs w:val="24"/>
          <w:lang w:eastAsia="zh-CN"/>
        </w:rPr>
        <w:t>(</w:t>
      </w:r>
      <w:r w:rsidR="00F335A7" w:rsidRPr="00695E23">
        <w:rPr>
          <w:rFonts w:ascii="Book Antiqua" w:hAnsi="Book Antiqua"/>
          <w:sz w:val="24"/>
          <w:szCs w:val="24"/>
        </w:rPr>
        <w:t>LVIDD + PWTD + IVSTD</w:t>
      </w:r>
      <w:r>
        <w:rPr>
          <w:rFonts w:ascii="Book Antiqua" w:eastAsia="宋体" w:hAnsi="Book Antiqua" w:hint="eastAsia"/>
          <w:sz w:val="24"/>
          <w:szCs w:val="24"/>
          <w:lang w:eastAsia="zh-CN"/>
        </w:rPr>
        <w:t>)</w:t>
      </w:r>
      <w:r w:rsidR="00F335A7" w:rsidRPr="00695E23">
        <w:rPr>
          <w:rFonts w:ascii="Book Antiqua" w:hAnsi="Book Antiqua"/>
          <w:sz w:val="24"/>
          <w:szCs w:val="24"/>
        </w:rPr>
        <w:t xml:space="preserve"> </w:t>
      </w:r>
      <w:r w:rsidR="00F335A7" w:rsidRPr="00695E23">
        <w:rPr>
          <w:rFonts w:ascii="Book Antiqua" w:hAnsi="Book Antiqua"/>
          <w:sz w:val="24"/>
          <w:szCs w:val="24"/>
          <w:vertAlign w:val="superscript"/>
        </w:rPr>
        <w:t>3</w:t>
      </w:r>
      <w:r w:rsidR="00F335A7" w:rsidRPr="00695E23">
        <w:rPr>
          <w:rFonts w:ascii="Book Antiqua" w:hAnsi="Book Antiqua"/>
          <w:sz w:val="24"/>
          <w:szCs w:val="24"/>
        </w:rPr>
        <w:t xml:space="preserve"> </w:t>
      </w:r>
      <w:r>
        <w:rPr>
          <w:rFonts w:ascii="Book Antiqua" w:hAnsi="Book Antiqua" w:cs="Superclarendon Black Italic"/>
          <w:sz w:val="24"/>
          <w:szCs w:val="24"/>
        </w:rPr>
        <w:t>–</w:t>
      </w:r>
      <w:r w:rsidR="00F335A7" w:rsidRPr="00695E23">
        <w:rPr>
          <w:rFonts w:ascii="Book Antiqua" w:hAnsi="Book Antiqua"/>
          <w:sz w:val="24"/>
          <w:szCs w:val="24"/>
        </w:rPr>
        <w:t xml:space="preserve"> </w:t>
      </w:r>
      <w:r>
        <w:rPr>
          <w:rFonts w:ascii="Book Antiqua" w:eastAsia="宋体" w:hAnsi="Book Antiqua" w:hint="eastAsia"/>
          <w:sz w:val="24"/>
          <w:szCs w:val="24"/>
          <w:lang w:eastAsia="zh-CN"/>
        </w:rPr>
        <w:t>(</w:t>
      </w:r>
      <w:r w:rsidR="00F335A7" w:rsidRPr="00695E23">
        <w:rPr>
          <w:rFonts w:ascii="Book Antiqua" w:hAnsi="Book Antiqua"/>
          <w:sz w:val="24"/>
          <w:szCs w:val="24"/>
        </w:rPr>
        <w:t>LVIDD</w:t>
      </w:r>
      <w:r>
        <w:rPr>
          <w:rFonts w:ascii="Book Antiqua" w:eastAsia="宋体" w:hAnsi="Book Antiqua" w:hint="eastAsia"/>
          <w:sz w:val="24"/>
          <w:szCs w:val="24"/>
          <w:lang w:eastAsia="zh-CN"/>
        </w:rPr>
        <w:t>)</w:t>
      </w:r>
      <w:r w:rsidR="00F335A7" w:rsidRPr="00695E23">
        <w:rPr>
          <w:rFonts w:ascii="Book Antiqua" w:hAnsi="Book Antiqua"/>
          <w:sz w:val="24"/>
          <w:szCs w:val="24"/>
        </w:rPr>
        <w:t xml:space="preserve"> </w:t>
      </w:r>
      <w:r w:rsidR="00F335A7" w:rsidRPr="00695E23">
        <w:rPr>
          <w:rFonts w:ascii="Book Antiqua" w:hAnsi="Book Antiqua"/>
          <w:sz w:val="24"/>
          <w:szCs w:val="24"/>
          <w:vertAlign w:val="superscript"/>
        </w:rPr>
        <w:t>3</w:t>
      </w:r>
      <w:r>
        <w:rPr>
          <w:rFonts w:ascii="Book Antiqua" w:eastAsia="宋体" w:hAnsi="Book Antiqua" w:hint="eastAsia"/>
          <w:sz w:val="24"/>
          <w:szCs w:val="24"/>
          <w:lang w:eastAsia="zh-CN"/>
        </w:rPr>
        <w:t>]</w:t>
      </w:r>
      <w:r w:rsidR="00F335A7" w:rsidRPr="00695E23">
        <w:rPr>
          <w:rFonts w:ascii="Book Antiqua" w:hAnsi="Book Antiqua"/>
          <w:sz w:val="24"/>
          <w:szCs w:val="24"/>
        </w:rPr>
        <w:t xml:space="preserve"> </w:t>
      </w:r>
      <w:r w:rsidR="00F335A7" w:rsidRPr="00695E23">
        <w:rPr>
          <w:rFonts w:ascii="Book Antiqua" w:hAnsi="Book Antiqua" w:cs="Superclarendon Black Italic"/>
          <w:sz w:val="24"/>
          <w:szCs w:val="24"/>
        </w:rPr>
        <w:t>−</w:t>
      </w:r>
      <w:r>
        <w:rPr>
          <w:rFonts w:ascii="Book Antiqua" w:eastAsia="宋体" w:hAnsi="Book Antiqua" w:cs="Superclarendon Black Italic" w:hint="eastAsia"/>
          <w:sz w:val="24"/>
          <w:szCs w:val="24"/>
          <w:lang w:eastAsia="zh-CN"/>
        </w:rPr>
        <w:t xml:space="preserve"> </w:t>
      </w:r>
      <w:r w:rsidR="00F335A7" w:rsidRPr="00695E23">
        <w:rPr>
          <w:rFonts w:ascii="Book Antiqua" w:hAnsi="Book Antiqua"/>
          <w:sz w:val="24"/>
          <w:szCs w:val="24"/>
        </w:rPr>
        <w:t>13.6 g.</w:t>
      </w:r>
    </w:p>
    <w:p w14:paraId="18728AA1" w14:textId="77777777"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Subsequently, Devereux proposed a new, adjusted equation (validated on necropsy findings of 52 individuals)</w:t>
      </w:r>
      <w:r w:rsidRPr="00695E23">
        <w:rPr>
          <w:rFonts w:ascii="Book Antiqua" w:hAnsi="Book Antiqua"/>
          <w:sz w:val="24"/>
          <w:szCs w:val="24"/>
          <w:vertAlign w:val="superscript"/>
        </w:rPr>
        <w:t>[69]</w:t>
      </w:r>
      <w:r w:rsidRPr="00695E23">
        <w:rPr>
          <w:rFonts w:ascii="Book Antiqua" w:hAnsi="Book Antiqua"/>
          <w:sz w:val="24"/>
          <w:szCs w:val="24"/>
        </w:rPr>
        <w:t xml:space="preserve"> that used the ASE convention and accounted for this discrepancy (Formula 3).</w:t>
      </w:r>
    </w:p>
    <w:p w14:paraId="7D3D0A1E" w14:textId="7AA6F09B"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ab/>
        <w:t xml:space="preserve">Formula 3: LV mass = 0.8 </w:t>
      </w:r>
      <w:r w:rsidR="003327C7">
        <w:rPr>
          <w:rFonts w:ascii="Book Antiqua" w:eastAsia="宋体" w:hAnsi="Book Antiqua" w:hint="eastAsia"/>
          <w:sz w:val="24"/>
          <w:szCs w:val="24"/>
          <w:lang w:eastAsia="zh-CN"/>
        </w:rPr>
        <w:t>{</w:t>
      </w:r>
      <w:r w:rsidR="003327C7">
        <w:rPr>
          <w:rFonts w:ascii="Book Antiqua" w:hAnsi="Book Antiqua"/>
          <w:sz w:val="24"/>
          <w:szCs w:val="24"/>
        </w:rPr>
        <w:t xml:space="preserve">1.04 </w:t>
      </w:r>
      <w:r w:rsidR="003327C7">
        <w:rPr>
          <w:rFonts w:ascii="Book Antiqua" w:eastAsia="宋体" w:hAnsi="Book Antiqua" w:hint="eastAsia"/>
          <w:sz w:val="24"/>
          <w:szCs w:val="24"/>
          <w:lang w:eastAsia="zh-CN"/>
        </w:rPr>
        <w:t>[(</w:t>
      </w:r>
      <w:r w:rsidRPr="00695E23">
        <w:rPr>
          <w:rFonts w:ascii="Book Antiqua" w:hAnsi="Book Antiqua"/>
          <w:sz w:val="24"/>
          <w:szCs w:val="24"/>
        </w:rPr>
        <w:t>LVIDD + PWTD + IVSTD</w:t>
      </w:r>
      <w:r w:rsidR="003327C7">
        <w:rPr>
          <w:rFonts w:ascii="Book Antiqua" w:eastAsia="宋体" w:hAnsi="Book Antiqua" w:hint="eastAsia"/>
          <w:sz w:val="24"/>
          <w:szCs w:val="24"/>
          <w:lang w:eastAsia="zh-CN"/>
        </w:rPr>
        <w:t>)</w:t>
      </w:r>
      <w:r w:rsidRPr="00695E23">
        <w:rPr>
          <w:rFonts w:ascii="Book Antiqua" w:hAnsi="Book Antiqua"/>
          <w:sz w:val="24"/>
          <w:szCs w:val="24"/>
        </w:rPr>
        <w:t xml:space="preserve"> </w:t>
      </w:r>
      <w:r w:rsidRPr="00695E23">
        <w:rPr>
          <w:rFonts w:ascii="Book Antiqua" w:hAnsi="Book Antiqua"/>
          <w:sz w:val="24"/>
          <w:szCs w:val="24"/>
          <w:vertAlign w:val="superscript"/>
        </w:rPr>
        <w:t>3</w:t>
      </w:r>
      <w:r w:rsidRPr="00695E23">
        <w:rPr>
          <w:rFonts w:ascii="Book Antiqua" w:hAnsi="Book Antiqua"/>
          <w:sz w:val="24"/>
          <w:szCs w:val="24"/>
        </w:rPr>
        <w:t xml:space="preserve"> </w:t>
      </w:r>
      <w:r w:rsidR="003327C7">
        <w:rPr>
          <w:rFonts w:ascii="Book Antiqua" w:hAnsi="Book Antiqua" w:cs="Superclarendon Black Italic"/>
          <w:sz w:val="24"/>
          <w:szCs w:val="24"/>
        </w:rPr>
        <w:t>–</w:t>
      </w:r>
      <w:r w:rsidRPr="00695E23">
        <w:rPr>
          <w:rFonts w:ascii="Book Antiqua" w:hAnsi="Book Antiqua"/>
          <w:sz w:val="24"/>
          <w:szCs w:val="24"/>
        </w:rPr>
        <w:t xml:space="preserve"> </w:t>
      </w:r>
      <w:r w:rsidR="003327C7">
        <w:rPr>
          <w:rFonts w:ascii="Book Antiqua" w:eastAsia="宋体" w:hAnsi="Book Antiqua" w:hint="eastAsia"/>
          <w:sz w:val="24"/>
          <w:szCs w:val="24"/>
          <w:lang w:eastAsia="zh-CN"/>
        </w:rPr>
        <w:t>(</w:t>
      </w:r>
      <w:r w:rsidRPr="00695E23">
        <w:rPr>
          <w:rFonts w:ascii="Book Antiqua" w:hAnsi="Book Antiqua"/>
          <w:sz w:val="24"/>
          <w:szCs w:val="24"/>
        </w:rPr>
        <w:t>LVIDD</w:t>
      </w:r>
      <w:r w:rsidR="003327C7">
        <w:rPr>
          <w:rFonts w:ascii="Book Antiqua" w:eastAsia="宋体" w:hAnsi="Book Antiqua" w:hint="eastAsia"/>
          <w:sz w:val="24"/>
          <w:szCs w:val="24"/>
          <w:lang w:eastAsia="zh-CN"/>
        </w:rPr>
        <w:t>)</w:t>
      </w:r>
      <w:r w:rsidRPr="00695E23">
        <w:rPr>
          <w:rFonts w:ascii="Book Antiqua" w:hAnsi="Book Antiqua"/>
          <w:sz w:val="24"/>
          <w:szCs w:val="24"/>
        </w:rPr>
        <w:t xml:space="preserve"> </w:t>
      </w:r>
      <w:r w:rsidRPr="00695E23">
        <w:rPr>
          <w:rFonts w:ascii="Book Antiqua" w:hAnsi="Book Antiqua"/>
          <w:sz w:val="24"/>
          <w:szCs w:val="24"/>
          <w:vertAlign w:val="superscript"/>
        </w:rPr>
        <w:t>3</w:t>
      </w:r>
      <w:r w:rsidR="003327C7">
        <w:rPr>
          <w:rFonts w:ascii="Book Antiqua" w:eastAsia="宋体" w:hAnsi="Book Antiqua" w:hint="eastAsia"/>
          <w:sz w:val="24"/>
          <w:szCs w:val="24"/>
          <w:lang w:eastAsia="zh-CN"/>
        </w:rPr>
        <w:t>]}</w:t>
      </w:r>
      <w:r w:rsidRPr="00695E23">
        <w:rPr>
          <w:rFonts w:ascii="Book Antiqua" w:hAnsi="Book Antiqua"/>
          <w:sz w:val="24"/>
          <w:szCs w:val="24"/>
        </w:rPr>
        <w:t xml:space="preserve"> + 0.6 g.</w:t>
      </w:r>
    </w:p>
    <w:p w14:paraId="29BA139E"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Relative wall thickness (RWT) is measured in clinical studies as:</w:t>
      </w:r>
    </w:p>
    <w:p w14:paraId="628F4B78"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ab/>
        <w:t>RWT = (IVST + PWTD)/LVIDD</w:t>
      </w:r>
    </w:p>
    <w:p w14:paraId="2E4F27D7" w14:textId="77777777"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The usual reference cutoff value for increased RWT, derived from upper limits of normal samples, is 0.45</w:t>
      </w:r>
      <w:r w:rsidRPr="00695E23">
        <w:rPr>
          <w:rFonts w:ascii="Book Antiqua" w:hAnsi="Book Antiqua"/>
          <w:sz w:val="24"/>
          <w:szCs w:val="24"/>
          <w:vertAlign w:val="superscript"/>
        </w:rPr>
        <w:t>[4]</w:t>
      </w:r>
      <w:r w:rsidRPr="00695E23">
        <w:rPr>
          <w:rFonts w:ascii="Book Antiqua" w:hAnsi="Book Antiqua"/>
          <w:sz w:val="24"/>
          <w:szCs w:val="24"/>
        </w:rPr>
        <w:t>. The RWT provides information regarding LV geometry independent of other calculations</w:t>
      </w:r>
      <w:r w:rsidRPr="00695E23">
        <w:rPr>
          <w:rFonts w:ascii="Book Antiqua" w:hAnsi="Book Antiqua"/>
          <w:sz w:val="24"/>
          <w:szCs w:val="24"/>
          <w:vertAlign w:val="superscript"/>
        </w:rPr>
        <w:t>[70]</w:t>
      </w:r>
      <w:r w:rsidRPr="00695E23">
        <w:rPr>
          <w:rFonts w:ascii="Book Antiqua" w:hAnsi="Book Antiqua"/>
          <w:sz w:val="24"/>
          <w:szCs w:val="24"/>
        </w:rPr>
        <w:t xml:space="preserve">, thereby precluding a requirement for most corrections. Nevertheless, significant LVH can occur </w:t>
      </w:r>
      <w:r w:rsidRPr="00695E23">
        <w:rPr>
          <w:rFonts w:ascii="Book Antiqua" w:hAnsi="Book Antiqua"/>
          <w:sz w:val="24"/>
          <w:szCs w:val="24"/>
        </w:rPr>
        <w:lastRenderedPageBreak/>
        <w:t xml:space="preserve">without major changes in RWT, particularly when simultaneous pressure and volume overload are present; these conditions can be seen in patients with hypertension. </w:t>
      </w:r>
    </w:p>
    <w:p w14:paraId="22368AE4" w14:textId="7B8267CC" w:rsidR="00F335A7" w:rsidRPr="00AF7267" w:rsidRDefault="00F335A7" w:rsidP="00AF7267">
      <w:pPr>
        <w:spacing w:line="360" w:lineRule="auto"/>
        <w:ind w:firstLineChars="100" w:firstLine="240"/>
        <w:rPr>
          <w:rFonts w:ascii="Book Antiqua" w:eastAsia="宋体" w:hAnsi="Book Antiqua"/>
          <w:sz w:val="24"/>
          <w:szCs w:val="24"/>
          <w:lang w:eastAsia="zh-CN"/>
        </w:rPr>
      </w:pPr>
      <w:r w:rsidRPr="00695E23">
        <w:rPr>
          <w:rFonts w:ascii="Book Antiqua" w:hAnsi="Book Antiqua"/>
          <w:sz w:val="24"/>
          <w:szCs w:val="24"/>
        </w:rPr>
        <w:t>The American Society of Echocardiography with the European Association of Echocardiography has issued the following criteria for LVH using the modified Simpson’s rule</w:t>
      </w:r>
      <w:r w:rsidRPr="00695E23">
        <w:rPr>
          <w:rFonts w:ascii="Book Antiqua" w:hAnsi="Book Antiqua"/>
          <w:sz w:val="24"/>
          <w:szCs w:val="24"/>
          <w:vertAlign w:val="superscript"/>
        </w:rPr>
        <w:t>[71]</w:t>
      </w:r>
      <w:r w:rsidRPr="00695E23">
        <w:rPr>
          <w:rFonts w:ascii="Book Antiqua" w:hAnsi="Book Antiqua"/>
          <w:sz w:val="24"/>
          <w:szCs w:val="24"/>
        </w:rPr>
        <w:t>:</w:t>
      </w:r>
      <w:r w:rsidR="00AF7267">
        <w:rPr>
          <w:rFonts w:ascii="Book Antiqua" w:eastAsia="宋体" w:hAnsi="Book Antiqua" w:hint="eastAsia"/>
          <w:sz w:val="24"/>
          <w:szCs w:val="24"/>
          <w:lang w:eastAsia="zh-CN"/>
        </w:rPr>
        <w:t xml:space="preserve"> </w:t>
      </w:r>
      <w:r w:rsidRPr="00695E23">
        <w:rPr>
          <w:rFonts w:ascii="Book Antiqua" w:hAnsi="Book Antiqua"/>
          <w:sz w:val="24"/>
          <w:szCs w:val="24"/>
        </w:rPr>
        <w:t>Estimated LVM of 201</w:t>
      </w:r>
      <w:r w:rsidR="003327C7">
        <w:rPr>
          <w:rFonts w:ascii="Book Antiqua" w:eastAsia="宋体" w:hAnsi="Book Antiqua" w:hint="eastAsia"/>
          <w:sz w:val="24"/>
          <w:szCs w:val="24"/>
          <w:lang w:eastAsia="zh-CN"/>
        </w:rPr>
        <w:t>-</w:t>
      </w:r>
      <w:r w:rsidRPr="00695E23">
        <w:rPr>
          <w:rFonts w:ascii="Book Antiqua" w:hAnsi="Book Antiqua"/>
          <w:sz w:val="24"/>
          <w:szCs w:val="24"/>
        </w:rPr>
        <w:t>227 g (103</w:t>
      </w:r>
      <w:r w:rsidR="003327C7">
        <w:rPr>
          <w:rFonts w:ascii="Book Antiqua" w:eastAsia="宋体" w:hAnsi="Book Antiqua" w:hint="eastAsia"/>
          <w:sz w:val="24"/>
          <w:szCs w:val="24"/>
          <w:lang w:eastAsia="zh-CN"/>
        </w:rPr>
        <w:t>-</w:t>
      </w:r>
      <w:r w:rsidRPr="00695E23">
        <w:rPr>
          <w:rFonts w:ascii="Book Antiqua" w:hAnsi="Book Antiqua"/>
          <w:sz w:val="24"/>
          <w:szCs w:val="24"/>
        </w:rPr>
        <w:t>116 g/m</w:t>
      </w:r>
      <w:r w:rsidRPr="00695E23">
        <w:rPr>
          <w:rFonts w:ascii="Book Antiqua" w:hAnsi="Book Antiqua"/>
          <w:sz w:val="24"/>
          <w:szCs w:val="24"/>
          <w:vertAlign w:val="superscript"/>
        </w:rPr>
        <w:t>2</w:t>
      </w:r>
      <w:r w:rsidRPr="00695E23">
        <w:rPr>
          <w:rFonts w:ascii="Book Antiqua" w:hAnsi="Book Antiqua"/>
          <w:sz w:val="24"/>
          <w:szCs w:val="24"/>
        </w:rPr>
        <w:t>) for men and 151</w:t>
      </w:r>
      <w:r w:rsidR="003327C7">
        <w:rPr>
          <w:rFonts w:ascii="Book Antiqua" w:eastAsia="宋体" w:hAnsi="Book Antiqua" w:hint="eastAsia"/>
          <w:sz w:val="24"/>
          <w:szCs w:val="24"/>
          <w:lang w:eastAsia="zh-CN"/>
        </w:rPr>
        <w:t>-</w:t>
      </w:r>
      <w:r w:rsidRPr="00695E23">
        <w:rPr>
          <w:rFonts w:ascii="Book Antiqua" w:hAnsi="Book Antiqua"/>
          <w:sz w:val="24"/>
          <w:szCs w:val="24"/>
        </w:rPr>
        <w:t>171 g (89</w:t>
      </w:r>
      <w:r w:rsidR="003327C7">
        <w:rPr>
          <w:rFonts w:ascii="Book Antiqua" w:eastAsia="宋体" w:hAnsi="Book Antiqua" w:hint="eastAsia"/>
          <w:sz w:val="24"/>
          <w:szCs w:val="24"/>
          <w:lang w:eastAsia="zh-CN"/>
        </w:rPr>
        <w:t>-</w:t>
      </w:r>
      <w:r w:rsidRPr="00695E23">
        <w:rPr>
          <w:rFonts w:ascii="Book Antiqua" w:hAnsi="Book Antiqua"/>
          <w:sz w:val="24"/>
          <w:szCs w:val="24"/>
        </w:rPr>
        <w:t>100 g/m</w:t>
      </w:r>
      <w:r w:rsidRPr="00695E23">
        <w:rPr>
          <w:rFonts w:ascii="Book Antiqua" w:hAnsi="Book Antiqua"/>
          <w:sz w:val="24"/>
          <w:szCs w:val="24"/>
          <w:vertAlign w:val="superscript"/>
        </w:rPr>
        <w:t>2</w:t>
      </w:r>
      <w:r w:rsidRPr="00695E23">
        <w:rPr>
          <w:rFonts w:ascii="Book Antiqua" w:hAnsi="Book Antiqua"/>
          <w:sz w:val="24"/>
          <w:szCs w:val="24"/>
        </w:rPr>
        <w:t>) for women is mildly abnormal</w:t>
      </w:r>
      <w:r w:rsidR="00AF7267">
        <w:rPr>
          <w:rFonts w:ascii="Book Antiqua" w:eastAsia="宋体" w:hAnsi="Book Antiqua" w:hint="eastAsia"/>
          <w:sz w:val="24"/>
          <w:szCs w:val="24"/>
          <w:lang w:eastAsia="zh-CN"/>
        </w:rPr>
        <w:t xml:space="preserve">; </w:t>
      </w:r>
      <w:r w:rsidRPr="00695E23">
        <w:rPr>
          <w:rFonts w:ascii="Book Antiqua" w:hAnsi="Book Antiqua"/>
          <w:sz w:val="24"/>
          <w:szCs w:val="24"/>
        </w:rPr>
        <w:t>Estimated LVM of 228</w:t>
      </w:r>
      <w:r w:rsidR="003327C7">
        <w:rPr>
          <w:rFonts w:ascii="Book Antiqua" w:eastAsia="宋体" w:hAnsi="Book Antiqua" w:hint="eastAsia"/>
          <w:sz w:val="24"/>
          <w:szCs w:val="24"/>
          <w:lang w:eastAsia="zh-CN"/>
        </w:rPr>
        <w:t>-</w:t>
      </w:r>
      <w:r w:rsidRPr="00695E23">
        <w:rPr>
          <w:rFonts w:ascii="Book Antiqua" w:hAnsi="Book Antiqua"/>
          <w:sz w:val="24"/>
          <w:szCs w:val="24"/>
        </w:rPr>
        <w:t>254 g (117</w:t>
      </w:r>
      <w:r w:rsidR="003327C7">
        <w:rPr>
          <w:rFonts w:ascii="Book Antiqua" w:eastAsia="宋体" w:hAnsi="Book Antiqua" w:hint="eastAsia"/>
          <w:sz w:val="24"/>
          <w:szCs w:val="24"/>
          <w:lang w:eastAsia="zh-CN"/>
        </w:rPr>
        <w:t>-</w:t>
      </w:r>
      <w:r w:rsidRPr="00695E23">
        <w:rPr>
          <w:rFonts w:ascii="Book Antiqua" w:hAnsi="Book Antiqua"/>
          <w:sz w:val="24"/>
          <w:szCs w:val="24"/>
        </w:rPr>
        <w:t>130 g/m</w:t>
      </w:r>
      <w:r w:rsidRPr="00695E23">
        <w:rPr>
          <w:rFonts w:ascii="Book Antiqua" w:hAnsi="Book Antiqua"/>
          <w:sz w:val="24"/>
          <w:szCs w:val="24"/>
          <w:vertAlign w:val="superscript"/>
        </w:rPr>
        <w:t>2</w:t>
      </w:r>
      <w:r w:rsidRPr="00695E23">
        <w:rPr>
          <w:rFonts w:ascii="Book Antiqua" w:hAnsi="Book Antiqua"/>
          <w:sz w:val="24"/>
          <w:szCs w:val="24"/>
        </w:rPr>
        <w:t>) for men and 172</w:t>
      </w:r>
      <w:r w:rsidR="003327C7">
        <w:rPr>
          <w:rFonts w:ascii="Book Antiqua" w:eastAsia="宋体" w:hAnsi="Book Antiqua" w:hint="eastAsia"/>
          <w:sz w:val="24"/>
          <w:szCs w:val="24"/>
          <w:lang w:eastAsia="zh-CN"/>
        </w:rPr>
        <w:t>-</w:t>
      </w:r>
      <w:r w:rsidRPr="00695E23">
        <w:rPr>
          <w:rFonts w:ascii="Book Antiqua" w:hAnsi="Book Antiqua"/>
          <w:sz w:val="24"/>
          <w:szCs w:val="24"/>
        </w:rPr>
        <w:t>182 g (101</w:t>
      </w:r>
      <w:r w:rsidR="003327C7">
        <w:rPr>
          <w:rFonts w:ascii="Book Antiqua" w:eastAsia="宋体" w:hAnsi="Book Antiqua" w:hint="eastAsia"/>
          <w:sz w:val="24"/>
          <w:szCs w:val="24"/>
          <w:lang w:eastAsia="zh-CN"/>
        </w:rPr>
        <w:t>-</w:t>
      </w:r>
      <w:r w:rsidRPr="00695E23">
        <w:rPr>
          <w:rFonts w:ascii="Book Antiqua" w:hAnsi="Book Antiqua"/>
          <w:sz w:val="24"/>
          <w:szCs w:val="24"/>
        </w:rPr>
        <w:t>112 g/m</w:t>
      </w:r>
      <w:r w:rsidRPr="00695E23">
        <w:rPr>
          <w:rFonts w:ascii="Book Antiqua" w:hAnsi="Book Antiqua"/>
          <w:sz w:val="24"/>
          <w:szCs w:val="24"/>
          <w:vertAlign w:val="superscript"/>
        </w:rPr>
        <w:t>2</w:t>
      </w:r>
      <w:r w:rsidRPr="00695E23">
        <w:rPr>
          <w:rFonts w:ascii="Book Antiqua" w:hAnsi="Book Antiqua"/>
          <w:sz w:val="24"/>
          <w:szCs w:val="24"/>
        </w:rPr>
        <w:t>) for women is moderately abnormal</w:t>
      </w:r>
      <w:r w:rsidR="00AF7267">
        <w:rPr>
          <w:rFonts w:ascii="Book Antiqua" w:eastAsia="宋体" w:hAnsi="Book Antiqua" w:hint="eastAsia"/>
          <w:sz w:val="24"/>
          <w:szCs w:val="24"/>
          <w:lang w:eastAsia="zh-CN"/>
        </w:rPr>
        <w:t xml:space="preserve">; </w:t>
      </w:r>
      <w:r w:rsidRPr="00695E23">
        <w:rPr>
          <w:rFonts w:ascii="Book Antiqua" w:hAnsi="Book Antiqua"/>
          <w:sz w:val="24"/>
          <w:szCs w:val="24"/>
        </w:rPr>
        <w:t>Estimated LV mass of &gt;</w:t>
      </w:r>
      <w:r w:rsidR="003327C7">
        <w:rPr>
          <w:rFonts w:ascii="Book Antiqua" w:eastAsia="宋体" w:hAnsi="Book Antiqua" w:hint="eastAsia"/>
          <w:sz w:val="24"/>
          <w:szCs w:val="24"/>
          <w:lang w:eastAsia="zh-CN"/>
        </w:rPr>
        <w:t xml:space="preserve"> </w:t>
      </w:r>
      <w:r w:rsidRPr="00695E23">
        <w:rPr>
          <w:rFonts w:ascii="Book Antiqua" w:hAnsi="Book Antiqua"/>
          <w:sz w:val="24"/>
          <w:szCs w:val="24"/>
        </w:rPr>
        <w:t>255 g (&gt; 131 g/m</w:t>
      </w:r>
      <w:r w:rsidRPr="00695E23">
        <w:rPr>
          <w:rFonts w:ascii="Book Antiqua" w:hAnsi="Book Antiqua"/>
          <w:sz w:val="24"/>
          <w:szCs w:val="24"/>
          <w:vertAlign w:val="superscript"/>
        </w:rPr>
        <w:t>2</w:t>
      </w:r>
      <w:r w:rsidRPr="00695E23">
        <w:rPr>
          <w:rFonts w:ascii="Book Antiqua" w:hAnsi="Book Antiqua"/>
          <w:sz w:val="24"/>
          <w:szCs w:val="24"/>
        </w:rPr>
        <w:t>) for men and &gt;</w:t>
      </w:r>
      <w:r w:rsidR="003327C7">
        <w:rPr>
          <w:rFonts w:ascii="Book Antiqua" w:eastAsia="宋体" w:hAnsi="Book Antiqua" w:hint="eastAsia"/>
          <w:sz w:val="24"/>
          <w:szCs w:val="24"/>
          <w:lang w:eastAsia="zh-CN"/>
        </w:rPr>
        <w:t xml:space="preserve"> </w:t>
      </w:r>
      <w:r w:rsidRPr="00695E23">
        <w:rPr>
          <w:rFonts w:ascii="Book Antiqua" w:hAnsi="Book Antiqua"/>
          <w:sz w:val="24"/>
          <w:szCs w:val="24"/>
        </w:rPr>
        <w:t>193 g (&gt; 113 g/m</w:t>
      </w:r>
      <w:r w:rsidRPr="00695E23">
        <w:rPr>
          <w:rFonts w:ascii="Book Antiqua" w:hAnsi="Book Antiqua"/>
          <w:sz w:val="24"/>
          <w:szCs w:val="24"/>
          <w:vertAlign w:val="superscript"/>
        </w:rPr>
        <w:t>2</w:t>
      </w:r>
      <w:r w:rsidRPr="00695E23">
        <w:rPr>
          <w:rFonts w:ascii="Book Antiqua" w:hAnsi="Book Antiqua"/>
          <w:sz w:val="24"/>
          <w:szCs w:val="24"/>
        </w:rPr>
        <w:t>) for women is severely abnormal.</w:t>
      </w:r>
    </w:p>
    <w:p w14:paraId="217B1489" w14:textId="702DEB84"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Assessment of diastolic dysfunction by echocardiography is also important in the management of patients with HTN-CM. Diastolic dysfunction is seen in approximately 50% of patients with hypertension</w:t>
      </w:r>
      <w:r w:rsidRPr="00695E23">
        <w:rPr>
          <w:rFonts w:ascii="Book Antiqua" w:hAnsi="Book Antiqua"/>
          <w:sz w:val="24"/>
          <w:szCs w:val="24"/>
          <w:vertAlign w:val="superscript"/>
        </w:rPr>
        <w:t>[72]</w:t>
      </w:r>
      <w:r w:rsidRPr="00695E23">
        <w:rPr>
          <w:rFonts w:ascii="Book Antiqua" w:hAnsi="Book Antiqua"/>
          <w:sz w:val="24"/>
          <w:szCs w:val="24"/>
        </w:rPr>
        <w:t>. The changes in conventional Doppler echocardiographic parameters, such as peak early filling velocity (E), late diastolic filling velocity (A) and its ratio, as well as deceleration time, should be monitored. Patients with long-standing hypertension and advanced stage of HTN-CM may show a pseudonormalization of E/A ratio, known as restrictive physiology.</w:t>
      </w:r>
    </w:p>
    <w:p w14:paraId="09CF9F18" w14:textId="65038E9C"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Tissue Doppler imaging (TDI) allows quantitative assessment of ventricular function and early diastolic mitral annular velocity (E</w:t>
      </w:r>
      <w:r w:rsidRPr="00695E23">
        <w:rPr>
          <w:rFonts w:ascii="Book Antiqua" w:hAnsi="Book Antiqua" w:cs="Lucida Grande"/>
          <w:sz w:val="24"/>
          <w:szCs w:val="24"/>
        </w:rPr>
        <w:t>′</w:t>
      </w:r>
      <w:r w:rsidRPr="00695E23">
        <w:rPr>
          <w:rFonts w:ascii="Book Antiqua" w:hAnsi="Book Antiqua"/>
          <w:sz w:val="24"/>
          <w:szCs w:val="24"/>
        </w:rPr>
        <w:t>); the ratio of E/E</w:t>
      </w:r>
      <w:r w:rsidRPr="00695E23">
        <w:rPr>
          <w:rFonts w:ascii="Book Antiqua" w:hAnsi="Book Antiqua" w:cs="Lucida Grande"/>
          <w:sz w:val="24"/>
          <w:szCs w:val="24"/>
        </w:rPr>
        <w:t>′</w:t>
      </w:r>
      <w:r w:rsidRPr="00695E23">
        <w:rPr>
          <w:rFonts w:ascii="Book Antiqua" w:hAnsi="Book Antiqua"/>
          <w:sz w:val="24"/>
          <w:szCs w:val="24"/>
        </w:rPr>
        <w:t>, which is a parameter with correction of preload. This is a useful tool to assess the severity of diastolic dysfunction in patients with HTN-CM</w:t>
      </w:r>
      <w:r w:rsidRPr="00695E23">
        <w:rPr>
          <w:rFonts w:ascii="Book Antiqua" w:hAnsi="Book Antiqua"/>
          <w:sz w:val="24"/>
          <w:szCs w:val="24"/>
          <w:vertAlign w:val="superscript"/>
        </w:rPr>
        <w:t>[73]</w:t>
      </w:r>
      <w:r w:rsidRPr="00695E23">
        <w:rPr>
          <w:rFonts w:ascii="Book Antiqua" w:hAnsi="Book Antiqua"/>
          <w:sz w:val="24"/>
          <w:szCs w:val="24"/>
        </w:rPr>
        <w:t xml:space="preserve">. Kasner </w:t>
      </w:r>
      <w:r w:rsidRPr="00695E23">
        <w:rPr>
          <w:rFonts w:ascii="Book Antiqua" w:hAnsi="Book Antiqua"/>
          <w:i/>
          <w:sz w:val="24"/>
          <w:szCs w:val="24"/>
        </w:rPr>
        <w:t>et al</w:t>
      </w:r>
      <w:r w:rsidR="003327C7" w:rsidRPr="00695E23">
        <w:rPr>
          <w:rFonts w:ascii="Book Antiqua" w:hAnsi="Book Antiqua"/>
          <w:sz w:val="24"/>
          <w:szCs w:val="24"/>
          <w:vertAlign w:val="superscript"/>
        </w:rPr>
        <w:t>[73]</w:t>
      </w:r>
      <w:r w:rsidRPr="00695E23">
        <w:rPr>
          <w:rFonts w:ascii="Book Antiqua" w:hAnsi="Book Antiqua"/>
          <w:sz w:val="24"/>
          <w:szCs w:val="24"/>
        </w:rPr>
        <w:t xml:space="preserve"> performed both invasive and noninvasive assessment of diastolic dysfunction and identified the LV filling index of E/E</w:t>
      </w:r>
      <w:r w:rsidRPr="00695E23">
        <w:rPr>
          <w:rFonts w:ascii="Book Antiqua" w:hAnsi="Book Antiqua" w:cs="Lucida Grande"/>
          <w:sz w:val="24"/>
          <w:szCs w:val="24"/>
        </w:rPr>
        <w:t>′</w:t>
      </w:r>
      <w:r w:rsidRPr="00695E23">
        <w:rPr>
          <w:rFonts w:ascii="Book Antiqua" w:hAnsi="Book Antiqua"/>
          <w:sz w:val="24"/>
          <w:szCs w:val="24"/>
        </w:rPr>
        <w:t xml:space="preserve"> (lateral) as the best index for </w:t>
      </w:r>
      <w:r w:rsidRPr="00695E23">
        <w:rPr>
          <w:rFonts w:ascii="Book Antiqua" w:hAnsi="Book Antiqua"/>
          <w:sz w:val="24"/>
          <w:szCs w:val="24"/>
        </w:rPr>
        <w:lastRenderedPageBreak/>
        <w:t>detection of diastolic dysfunction in patients with heart failure with normal ejection fraction</w:t>
      </w:r>
      <w:r w:rsidRPr="00695E23">
        <w:rPr>
          <w:rFonts w:ascii="Book Antiqua" w:hAnsi="Book Antiqua"/>
          <w:sz w:val="24"/>
          <w:szCs w:val="24"/>
          <w:vertAlign w:val="superscript"/>
        </w:rPr>
        <w:t>[73]</w:t>
      </w:r>
      <w:r w:rsidRPr="00695E23">
        <w:rPr>
          <w:rFonts w:ascii="Book Antiqua" w:hAnsi="Book Antiqua"/>
          <w:sz w:val="24"/>
          <w:szCs w:val="24"/>
        </w:rPr>
        <w:t>.</w:t>
      </w:r>
    </w:p>
    <w:p w14:paraId="7D170E97" w14:textId="12848BD6"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Strain and strain rate parameters derived from TDI, as well as speckle tracking echocardiography have also been reported as useful tools for detection of diastolic dysfunction, and these can aid in discriminating patients with HTN-CM from those with other causes of LVH</w:t>
      </w:r>
      <w:r w:rsidRPr="00695E23">
        <w:rPr>
          <w:rFonts w:ascii="Book Antiqua" w:hAnsi="Book Antiqua"/>
          <w:sz w:val="24"/>
          <w:szCs w:val="24"/>
          <w:vertAlign w:val="superscript"/>
        </w:rPr>
        <w:t>[62,74]</w:t>
      </w:r>
      <w:r w:rsidRPr="00695E23">
        <w:rPr>
          <w:rFonts w:ascii="Book Antiqua" w:hAnsi="Book Antiqua"/>
          <w:sz w:val="24"/>
          <w:szCs w:val="24"/>
        </w:rPr>
        <w:t>. The abnormalities in strain parameters may occur in a stage of subclinical diastolic dysfunction in hypertensive patients</w:t>
      </w:r>
      <w:r w:rsidRPr="00695E23">
        <w:rPr>
          <w:rFonts w:ascii="Book Antiqua" w:hAnsi="Book Antiqua"/>
          <w:sz w:val="24"/>
          <w:szCs w:val="24"/>
          <w:vertAlign w:val="superscript"/>
        </w:rPr>
        <w:t>[75,76]</w:t>
      </w:r>
      <w:r w:rsidRPr="00695E23">
        <w:rPr>
          <w:rFonts w:ascii="Book Antiqua" w:hAnsi="Book Antiqua"/>
          <w:sz w:val="24"/>
          <w:szCs w:val="24"/>
        </w:rPr>
        <w:t xml:space="preserve"> making this a useful strategy for disease prevention</w:t>
      </w:r>
      <w:r w:rsidRPr="00695E23">
        <w:rPr>
          <w:rFonts w:ascii="Book Antiqua" w:hAnsi="Book Antiqua"/>
          <w:sz w:val="24"/>
          <w:szCs w:val="24"/>
          <w:vertAlign w:val="superscript"/>
        </w:rPr>
        <w:t>[4]</w:t>
      </w:r>
      <w:r w:rsidRPr="00695E23">
        <w:rPr>
          <w:rFonts w:ascii="Book Antiqua" w:hAnsi="Book Antiqua"/>
          <w:sz w:val="24"/>
          <w:szCs w:val="24"/>
        </w:rPr>
        <w:t>.</w:t>
      </w:r>
    </w:p>
    <w:p w14:paraId="7897C3DE" w14:textId="77777777" w:rsidR="00F335A7" w:rsidRPr="00695E23" w:rsidRDefault="00F335A7" w:rsidP="00695E23">
      <w:pPr>
        <w:spacing w:line="360" w:lineRule="auto"/>
        <w:rPr>
          <w:rFonts w:ascii="Book Antiqua" w:hAnsi="Book Antiqua"/>
          <w:sz w:val="24"/>
          <w:szCs w:val="24"/>
        </w:rPr>
      </w:pPr>
    </w:p>
    <w:p w14:paraId="71421627" w14:textId="77777777" w:rsidR="00F335A7" w:rsidRPr="00695E23" w:rsidRDefault="00F335A7" w:rsidP="00695E23">
      <w:pPr>
        <w:spacing w:line="360" w:lineRule="auto"/>
        <w:rPr>
          <w:rFonts w:ascii="Book Antiqua" w:hAnsi="Book Antiqua"/>
          <w:sz w:val="24"/>
          <w:szCs w:val="24"/>
        </w:rPr>
      </w:pPr>
      <w:r w:rsidRPr="00695E23">
        <w:rPr>
          <w:rFonts w:ascii="Book Antiqua" w:hAnsi="Book Antiqua"/>
          <w:b/>
          <w:i/>
          <w:sz w:val="24"/>
          <w:szCs w:val="24"/>
        </w:rPr>
        <w:t>Cardiac magnetic resonance</w:t>
      </w:r>
    </w:p>
    <w:p w14:paraId="0F58D5C6" w14:textId="1301896A"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Cardiac magnetic resonance imaging (CMR) offers a unique opportunity for noninvasive quantitation of both LVH with high reproducibility and myocardial fibrosis with high spatial and contrast resolution</w:t>
      </w:r>
      <w:r w:rsidRPr="00695E23">
        <w:rPr>
          <w:rFonts w:ascii="Book Antiqua" w:hAnsi="Book Antiqua"/>
          <w:sz w:val="24"/>
          <w:szCs w:val="24"/>
          <w:vertAlign w:val="superscript"/>
        </w:rPr>
        <w:t>[77]</w:t>
      </w:r>
      <w:r w:rsidRPr="00695E23">
        <w:rPr>
          <w:rFonts w:ascii="Book Antiqua" w:hAnsi="Book Antiqua"/>
          <w:sz w:val="24"/>
          <w:szCs w:val="24"/>
        </w:rPr>
        <w:t xml:space="preserve">. Takeda </w:t>
      </w:r>
      <w:r w:rsidRPr="00695E23">
        <w:rPr>
          <w:rFonts w:ascii="Book Antiqua" w:hAnsi="Book Antiqua"/>
          <w:i/>
          <w:sz w:val="24"/>
          <w:szCs w:val="24"/>
        </w:rPr>
        <w:t>et al</w:t>
      </w:r>
      <w:r w:rsidR="003327C7" w:rsidRPr="00695E23">
        <w:rPr>
          <w:rFonts w:ascii="Book Antiqua" w:hAnsi="Book Antiqua"/>
          <w:sz w:val="24"/>
          <w:szCs w:val="24"/>
          <w:vertAlign w:val="superscript"/>
        </w:rPr>
        <w:t>[78]</w:t>
      </w:r>
      <w:r w:rsidRPr="00695E23">
        <w:rPr>
          <w:rFonts w:ascii="Book Antiqua" w:hAnsi="Book Antiqua"/>
          <w:sz w:val="24"/>
          <w:szCs w:val="24"/>
        </w:rPr>
        <w:t xml:space="preserve"> described the power of CMR for distinguishing among cardiac amyloidosis, hypertrophic cardiomyopathy, and hypertensive heart disease, all of which present with LVH and heart failure</w:t>
      </w:r>
      <w:r w:rsidRPr="00695E23">
        <w:rPr>
          <w:rFonts w:ascii="Book Antiqua" w:hAnsi="Book Antiqua"/>
          <w:sz w:val="24"/>
          <w:szCs w:val="24"/>
          <w:vertAlign w:val="superscript"/>
        </w:rPr>
        <w:t>[78]</w:t>
      </w:r>
      <w:r w:rsidRPr="00695E23">
        <w:rPr>
          <w:rFonts w:ascii="Book Antiqua" w:hAnsi="Book Antiqua"/>
          <w:sz w:val="24"/>
          <w:szCs w:val="24"/>
        </w:rPr>
        <w:t xml:space="preserve">. </w:t>
      </w:r>
    </w:p>
    <w:p w14:paraId="5E0DCD4B" w14:textId="46DD5B51"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Advances in CMR provide the potential to address all these important issues in a single scan setting, thereby complementing other noninvasive tools and genetic testing</w:t>
      </w:r>
      <w:r w:rsidRPr="00695E23">
        <w:rPr>
          <w:rFonts w:ascii="Book Antiqua" w:hAnsi="Book Antiqua"/>
          <w:sz w:val="24"/>
          <w:szCs w:val="24"/>
          <w:vertAlign w:val="superscript"/>
        </w:rPr>
        <w:t>[79]</w:t>
      </w:r>
      <w:r w:rsidRPr="00695E23">
        <w:rPr>
          <w:rFonts w:ascii="Book Antiqua" w:hAnsi="Book Antiqua"/>
          <w:sz w:val="24"/>
          <w:szCs w:val="24"/>
        </w:rPr>
        <w:t>. CMR can provide three-dimensional data on cardiac anatomy, function, tissue characterization, coronary and microvascular perfusion and valvular disease without the use of ionizing radiation. Myocardial fibrosis or infiltration can be assessed following administration of gadolinium, an extracellular agent that accumulates in areas of interstitial expansion (</w:t>
      </w:r>
      <w:r w:rsidRPr="003327C7">
        <w:rPr>
          <w:rFonts w:ascii="Book Antiqua" w:hAnsi="Book Antiqua"/>
          <w:i/>
          <w:sz w:val="24"/>
          <w:szCs w:val="24"/>
        </w:rPr>
        <w:t>i.e</w:t>
      </w:r>
      <w:r w:rsidRPr="00695E23">
        <w:rPr>
          <w:rFonts w:ascii="Book Antiqua" w:hAnsi="Book Antiqua"/>
          <w:sz w:val="24"/>
          <w:szCs w:val="24"/>
        </w:rPr>
        <w:t xml:space="preserve">., due to </w:t>
      </w:r>
      <w:r w:rsidRPr="00695E23">
        <w:rPr>
          <w:rFonts w:ascii="Book Antiqua" w:hAnsi="Book Antiqua"/>
          <w:sz w:val="24"/>
          <w:szCs w:val="24"/>
        </w:rPr>
        <w:lastRenderedPageBreak/>
        <w:t>myocardial fibrosis, edema, or infiltration). Late gadolinium enhancement (LGE) imaging detects accumulation of contrast in areas of infarction or fibrosis due to the slower contrast kinetics and greater volume of distribution in the extracellular matrix. The extent and pattern of LGE establish the correct diagnosis between HCM and HTN-CM (Figure 7, reproduced from</w:t>
      </w:r>
      <w:r w:rsidRPr="00695E23">
        <w:rPr>
          <w:rFonts w:ascii="Book Antiqua" w:hAnsi="Book Antiqua"/>
          <w:sz w:val="24"/>
          <w:szCs w:val="24"/>
          <w:vertAlign w:val="superscript"/>
        </w:rPr>
        <w:t>[80]</w:t>
      </w:r>
      <w:r w:rsidRPr="00695E23">
        <w:rPr>
          <w:rFonts w:ascii="Book Antiqua" w:hAnsi="Book Antiqua"/>
          <w:sz w:val="24"/>
          <w:szCs w:val="24"/>
        </w:rPr>
        <w:t xml:space="preserve">). </w:t>
      </w:r>
    </w:p>
    <w:p w14:paraId="52899135" w14:textId="35050F1D"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The use of CMR in HTN-CM diagnosis allows reproducible assessment of wall thickness and LV mass with greater accuracy when compared to echocardiography. This is particularly important for assessing small LV mass changes over time as a consequence of treatment. In addition, this capability is also of prognostic value as it represents an independent predictor of cardiac mortality</w:t>
      </w:r>
      <w:r w:rsidRPr="00695E23">
        <w:rPr>
          <w:rFonts w:ascii="Book Antiqua" w:hAnsi="Book Antiqua"/>
          <w:sz w:val="24"/>
          <w:szCs w:val="24"/>
          <w:vertAlign w:val="superscript"/>
        </w:rPr>
        <w:t>[81,82]</w:t>
      </w:r>
      <w:r w:rsidRPr="00695E23">
        <w:rPr>
          <w:rFonts w:ascii="Book Antiqua" w:hAnsi="Book Antiqua"/>
          <w:sz w:val="24"/>
          <w:szCs w:val="24"/>
        </w:rPr>
        <w:t>. Up to 50% of hypertensive patients display LGE</w:t>
      </w:r>
      <w:r w:rsidRPr="00695E23">
        <w:rPr>
          <w:rFonts w:ascii="Book Antiqua" w:hAnsi="Book Antiqua"/>
          <w:sz w:val="24"/>
          <w:szCs w:val="24"/>
          <w:vertAlign w:val="superscript"/>
        </w:rPr>
        <w:t>[77,83]</w:t>
      </w:r>
      <w:r w:rsidRPr="00695E23">
        <w:rPr>
          <w:rFonts w:ascii="Book Antiqua" w:hAnsi="Book Antiqua"/>
          <w:sz w:val="24"/>
          <w:szCs w:val="24"/>
        </w:rPr>
        <w:t>. Although no typical pattern of LGE has been described, focal nonsubendocardial distribution predominates. No correlation was found between presence of LGE and LVEF or LV end-diastolic dimensions; however, patients displaying LGE had, in general, a greater LV mass</w:t>
      </w:r>
      <w:r w:rsidRPr="00695E23">
        <w:rPr>
          <w:rFonts w:ascii="Book Antiqua" w:hAnsi="Book Antiqua"/>
          <w:sz w:val="24"/>
          <w:szCs w:val="24"/>
          <w:vertAlign w:val="superscript"/>
        </w:rPr>
        <w:t>[81]</w:t>
      </w:r>
      <w:r w:rsidRPr="00695E23">
        <w:rPr>
          <w:rFonts w:ascii="Book Antiqua" w:hAnsi="Book Antiqua"/>
          <w:sz w:val="24"/>
          <w:szCs w:val="24"/>
        </w:rPr>
        <w:t>. The LGE patterns in HTN-CM offer new insights into risk stratification. This modality can identify patients with HTN-CM who are at risk of diastolic heart failure as a known relationship exists between myocardial fibrosis and diastolic heart failure. This clearly can be of use in therapeutic decision making</w:t>
      </w:r>
      <w:r w:rsidRPr="00695E23">
        <w:rPr>
          <w:rFonts w:ascii="Book Antiqua" w:hAnsi="Book Antiqua"/>
          <w:sz w:val="24"/>
          <w:szCs w:val="24"/>
          <w:vertAlign w:val="superscript"/>
        </w:rPr>
        <w:t>[84]</w:t>
      </w:r>
      <w:r w:rsidRPr="00695E23">
        <w:rPr>
          <w:rFonts w:ascii="Book Antiqua" w:hAnsi="Book Antiqua"/>
          <w:sz w:val="24"/>
          <w:szCs w:val="24"/>
        </w:rPr>
        <w:t>.</w:t>
      </w:r>
    </w:p>
    <w:p w14:paraId="02948BBA" w14:textId="77777777" w:rsidR="00F335A7" w:rsidRPr="00695E23" w:rsidRDefault="00F335A7" w:rsidP="00695E23">
      <w:pPr>
        <w:spacing w:line="360" w:lineRule="auto"/>
        <w:rPr>
          <w:rFonts w:ascii="Book Antiqua" w:hAnsi="Book Antiqua"/>
          <w:sz w:val="24"/>
          <w:szCs w:val="24"/>
        </w:rPr>
      </w:pPr>
    </w:p>
    <w:p w14:paraId="17C12083" w14:textId="77777777" w:rsidR="00F335A7" w:rsidRPr="00695E23" w:rsidRDefault="00F335A7" w:rsidP="00695E23">
      <w:pPr>
        <w:spacing w:line="360" w:lineRule="auto"/>
        <w:rPr>
          <w:rFonts w:ascii="Book Antiqua" w:hAnsi="Book Antiqua"/>
          <w:b/>
          <w:sz w:val="24"/>
          <w:szCs w:val="24"/>
        </w:rPr>
      </w:pPr>
      <w:r w:rsidRPr="00695E23">
        <w:rPr>
          <w:rFonts w:ascii="Book Antiqua" w:hAnsi="Book Antiqua"/>
          <w:b/>
          <w:sz w:val="24"/>
          <w:szCs w:val="24"/>
        </w:rPr>
        <w:t>TREATMENT OF HTN-CM</w:t>
      </w:r>
    </w:p>
    <w:p w14:paraId="6708EF12" w14:textId="0A091A1D"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Hypertensive cardiomyopathy (HTN-CM) is a result of a complex interaction of genetic and hemodynamic factors inducing struct</w:t>
      </w:r>
      <w:r w:rsidR="003327C7">
        <w:rPr>
          <w:rFonts w:ascii="Book Antiqua" w:hAnsi="Book Antiqua"/>
          <w:sz w:val="24"/>
          <w:szCs w:val="24"/>
        </w:rPr>
        <w:t>ural and functional adaptations</w:t>
      </w:r>
      <w:r w:rsidRPr="00695E23">
        <w:rPr>
          <w:rFonts w:ascii="Book Antiqua" w:hAnsi="Book Antiqua"/>
          <w:sz w:val="24"/>
          <w:szCs w:val="24"/>
          <w:vertAlign w:val="superscript"/>
        </w:rPr>
        <w:t>[85]</w:t>
      </w:r>
      <w:r w:rsidRPr="00695E23">
        <w:rPr>
          <w:rFonts w:ascii="Book Antiqua" w:hAnsi="Book Antiqua"/>
          <w:sz w:val="24"/>
          <w:szCs w:val="24"/>
        </w:rPr>
        <w:t xml:space="preserve">. LVH in HTN-CM is a recognized risk factor for congestive heart </w:t>
      </w:r>
      <w:r w:rsidRPr="00695E23">
        <w:rPr>
          <w:rFonts w:ascii="Book Antiqua" w:hAnsi="Book Antiqua"/>
          <w:sz w:val="24"/>
          <w:szCs w:val="24"/>
        </w:rPr>
        <w:lastRenderedPageBreak/>
        <w:t>failure, dysrhythmia, and sudden death</w:t>
      </w:r>
      <w:r w:rsidRPr="00695E23">
        <w:rPr>
          <w:rFonts w:ascii="Book Antiqua" w:hAnsi="Book Antiqua"/>
          <w:sz w:val="24"/>
          <w:szCs w:val="24"/>
          <w:vertAlign w:val="superscript"/>
        </w:rPr>
        <w:t>[4,9,10]</w:t>
      </w:r>
      <w:r w:rsidRPr="00695E23">
        <w:rPr>
          <w:rFonts w:ascii="Book Antiqua" w:hAnsi="Book Antiqua"/>
          <w:sz w:val="24"/>
          <w:szCs w:val="24"/>
        </w:rPr>
        <w:t>. Better elucidation of the mechanisms producing cardiovascular end-organ damage should lead to treatment targeted at reducing the effects of hypertension on the heart and vascular system. Most antihypertensive treatments promote regression of LVH and reversal of diastolic dysfunction, which may decrease symptoms of congestive heart failure and improve survival rates</w:t>
      </w:r>
      <w:r w:rsidRPr="00695E23">
        <w:rPr>
          <w:rFonts w:ascii="Book Antiqua" w:hAnsi="Book Antiqua"/>
          <w:sz w:val="24"/>
          <w:szCs w:val="24"/>
          <w:vertAlign w:val="superscript"/>
        </w:rPr>
        <w:t>[85]</w:t>
      </w:r>
      <w:r w:rsidRPr="00695E23">
        <w:rPr>
          <w:rFonts w:ascii="Book Antiqua" w:hAnsi="Book Antiqua"/>
          <w:sz w:val="24"/>
          <w:szCs w:val="24"/>
        </w:rPr>
        <w:t>. LV mass regression improves survival rates in hypertensive patients</w:t>
      </w:r>
      <w:r w:rsidRPr="00695E23">
        <w:rPr>
          <w:rFonts w:ascii="Book Antiqua" w:hAnsi="Book Antiqua"/>
          <w:sz w:val="24"/>
          <w:szCs w:val="24"/>
          <w:vertAlign w:val="superscript"/>
        </w:rPr>
        <w:t>[86]</w:t>
      </w:r>
      <w:r w:rsidRPr="00695E23">
        <w:rPr>
          <w:rFonts w:ascii="Book Antiqua" w:hAnsi="Book Antiqua"/>
          <w:sz w:val="24"/>
          <w:szCs w:val="24"/>
        </w:rPr>
        <w:t xml:space="preserve"> and is associated with reduced rate of complications of essential hypertension</w:t>
      </w:r>
      <w:r w:rsidRPr="00695E23">
        <w:rPr>
          <w:rFonts w:ascii="Book Antiqua" w:hAnsi="Book Antiqua"/>
          <w:sz w:val="24"/>
          <w:szCs w:val="24"/>
          <w:vertAlign w:val="superscript"/>
        </w:rPr>
        <w:t>[87]</w:t>
      </w:r>
      <w:r w:rsidRPr="00695E23">
        <w:rPr>
          <w:rFonts w:ascii="Book Antiqua" w:hAnsi="Book Antiqua"/>
          <w:sz w:val="24"/>
          <w:szCs w:val="24"/>
        </w:rPr>
        <w:t>.</w:t>
      </w:r>
    </w:p>
    <w:p w14:paraId="5CC88032" w14:textId="0983FCFA"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The RAAS is implicated in the development of cardiac hypertrophy associated with pressure overload</w:t>
      </w:r>
      <w:r w:rsidRPr="00695E23">
        <w:rPr>
          <w:rFonts w:ascii="Book Antiqua" w:hAnsi="Book Antiqua"/>
          <w:sz w:val="24"/>
          <w:szCs w:val="24"/>
          <w:vertAlign w:val="superscript"/>
        </w:rPr>
        <w:t>[5-7,32,35,88]</w:t>
      </w:r>
      <w:r w:rsidRPr="00695E23">
        <w:rPr>
          <w:rFonts w:ascii="Book Antiqua" w:hAnsi="Book Antiqua"/>
          <w:sz w:val="24"/>
          <w:szCs w:val="24"/>
        </w:rPr>
        <w:t xml:space="preserve">. Brilla </w:t>
      </w:r>
      <w:r w:rsidRPr="00695E23">
        <w:rPr>
          <w:rFonts w:ascii="Book Antiqua" w:hAnsi="Book Antiqua"/>
          <w:i/>
          <w:sz w:val="24"/>
          <w:szCs w:val="24"/>
        </w:rPr>
        <w:t>et al</w:t>
      </w:r>
      <w:r w:rsidR="003327C7" w:rsidRPr="00695E23">
        <w:rPr>
          <w:rFonts w:ascii="Book Antiqua" w:hAnsi="Book Antiqua"/>
          <w:sz w:val="24"/>
          <w:szCs w:val="24"/>
          <w:vertAlign w:val="superscript"/>
        </w:rPr>
        <w:t>[57]</w:t>
      </w:r>
      <w:r w:rsidRPr="00695E23">
        <w:rPr>
          <w:rFonts w:ascii="Book Antiqua" w:hAnsi="Book Antiqua"/>
          <w:sz w:val="24"/>
          <w:szCs w:val="24"/>
        </w:rPr>
        <w:t xml:space="preserve"> indicated ACE inhibition with lisinopril can regress myocardial fibrosis, regardless of LVH regression, and is accompanied by improved LV diastolic function. The Losartan Intervention for Endpoint Reduction (LIFE) study showed that the angiotensin II type 1 (AT1) receptor antagonist, Losartan, reduced LV mass and improved systolic performance, despite only a small drop in blood pressure</w:t>
      </w:r>
      <w:r w:rsidRPr="00695E23">
        <w:rPr>
          <w:rFonts w:ascii="Book Antiqua" w:hAnsi="Book Antiqua"/>
          <w:sz w:val="24"/>
          <w:szCs w:val="24"/>
          <w:vertAlign w:val="superscript"/>
        </w:rPr>
        <w:t>[89]</w:t>
      </w:r>
      <w:r w:rsidRPr="00695E23">
        <w:rPr>
          <w:rFonts w:ascii="Book Antiqua" w:hAnsi="Book Antiqua"/>
          <w:sz w:val="24"/>
          <w:szCs w:val="24"/>
        </w:rPr>
        <w:t xml:space="preserve">. Furthermore, in their animal study, Nagata </w:t>
      </w:r>
      <w:r w:rsidR="003327C7">
        <w:rPr>
          <w:rFonts w:ascii="Book Antiqua" w:hAnsi="Book Antiqua"/>
          <w:i/>
          <w:sz w:val="24"/>
          <w:szCs w:val="24"/>
        </w:rPr>
        <w:t>et al</w:t>
      </w:r>
      <w:r w:rsidR="003327C7" w:rsidRPr="00695E23">
        <w:rPr>
          <w:rFonts w:ascii="Book Antiqua" w:hAnsi="Book Antiqua"/>
          <w:sz w:val="24"/>
          <w:szCs w:val="24"/>
          <w:vertAlign w:val="superscript"/>
        </w:rPr>
        <w:t>[90]</w:t>
      </w:r>
      <w:r w:rsidRPr="00695E23">
        <w:rPr>
          <w:rFonts w:ascii="Book Antiqua" w:hAnsi="Book Antiqua"/>
          <w:sz w:val="24"/>
          <w:szCs w:val="24"/>
        </w:rPr>
        <w:t xml:space="preserve"> revealed the beneficial cardiac effects of eplerenone, which attenuates myocardial oxidative stress and coronary vascular inflammation induced by glucocorticoid-activated mineralocorticoid receptors. Gottdiener </w:t>
      </w:r>
      <w:r w:rsidR="003327C7">
        <w:rPr>
          <w:rFonts w:ascii="Book Antiqua" w:hAnsi="Book Antiqua"/>
          <w:i/>
          <w:sz w:val="24"/>
          <w:szCs w:val="24"/>
        </w:rPr>
        <w:t>et al</w:t>
      </w:r>
      <w:r w:rsidR="003327C7" w:rsidRPr="00695E23">
        <w:rPr>
          <w:rFonts w:ascii="Book Antiqua" w:hAnsi="Book Antiqua"/>
          <w:sz w:val="24"/>
          <w:szCs w:val="24"/>
          <w:vertAlign w:val="superscript"/>
        </w:rPr>
        <w:t>[91]</w:t>
      </w:r>
      <w:r w:rsidRPr="00695E23">
        <w:rPr>
          <w:rFonts w:ascii="Book Antiqua" w:hAnsi="Book Antiqua"/>
          <w:sz w:val="24"/>
          <w:szCs w:val="24"/>
        </w:rPr>
        <w:t xml:space="preserve"> showed that hydrochlorothiazide administration was associated with greater overall reduction of LA size when compared with other drugs used for the treatment of hypertension. In this study, an ACE inhibitor was nearly as beneficial as hydrochlorothiazide therapy (Figure 8, reproduced from</w:t>
      </w:r>
      <w:r w:rsidRPr="00695E23">
        <w:rPr>
          <w:rFonts w:ascii="Book Antiqua" w:hAnsi="Book Antiqua"/>
          <w:sz w:val="24"/>
          <w:szCs w:val="24"/>
          <w:vertAlign w:val="superscript"/>
        </w:rPr>
        <w:t>[85,91]</w:t>
      </w:r>
      <w:r w:rsidRPr="00695E23">
        <w:rPr>
          <w:rFonts w:ascii="Book Antiqua" w:hAnsi="Book Antiqua"/>
          <w:sz w:val="24"/>
          <w:szCs w:val="24"/>
        </w:rPr>
        <w:t xml:space="preserve">). Past studies indicated treatment with statins also reduces ACE activity in the cardiac tissue </w:t>
      </w:r>
      <w:r w:rsidRPr="00695E23">
        <w:rPr>
          <w:rFonts w:ascii="Book Antiqua" w:hAnsi="Book Antiqua"/>
          <w:sz w:val="24"/>
          <w:szCs w:val="24"/>
        </w:rPr>
        <w:lastRenderedPageBreak/>
        <w:t xml:space="preserve">of rats. </w:t>
      </w:r>
    </w:p>
    <w:p w14:paraId="12EAE545" w14:textId="60453524"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The 3-hydroxy-3-methylgutaryl-CoA (HMG-CoA) reductase inhibitors, commonly referred to as statins, are well-known and potent lipid-lowering agents that reduce the incidence of myocardial infarction and ischemic stroke. In addition to their primary effects, the statins have pleiotropic effects on the cardiovascular system</w:t>
      </w:r>
      <w:r w:rsidR="003327C7" w:rsidRPr="00695E23">
        <w:rPr>
          <w:rFonts w:ascii="Book Antiqua" w:hAnsi="Book Antiqua"/>
          <w:sz w:val="24"/>
          <w:szCs w:val="24"/>
          <w:vertAlign w:val="superscript"/>
        </w:rPr>
        <w:t>[92]</w:t>
      </w:r>
      <w:r w:rsidRPr="00695E23">
        <w:rPr>
          <w:rFonts w:ascii="Book Antiqua" w:hAnsi="Book Antiqua"/>
          <w:sz w:val="24"/>
          <w:szCs w:val="24"/>
        </w:rPr>
        <w:t>, including anti-inflammatory, anti-oxidative, and endothelial protective effects, and thus have been tested as therapeutic agents in heart failure</w:t>
      </w:r>
      <w:r w:rsidRPr="00695E23">
        <w:rPr>
          <w:rFonts w:ascii="Book Antiqua" w:hAnsi="Book Antiqua"/>
          <w:sz w:val="24"/>
          <w:szCs w:val="24"/>
          <w:vertAlign w:val="superscript"/>
        </w:rPr>
        <w:t>[93]</w:t>
      </w:r>
      <w:r w:rsidRPr="00695E23">
        <w:rPr>
          <w:rFonts w:ascii="Book Antiqua" w:hAnsi="Book Antiqua"/>
          <w:sz w:val="24"/>
          <w:szCs w:val="24"/>
        </w:rPr>
        <w:t xml:space="preserve">. Chang </w:t>
      </w:r>
      <w:r w:rsidRPr="00695E23">
        <w:rPr>
          <w:rFonts w:ascii="Book Antiqua" w:hAnsi="Book Antiqua"/>
          <w:i/>
          <w:sz w:val="24"/>
          <w:szCs w:val="24"/>
        </w:rPr>
        <w:t>et al</w:t>
      </w:r>
      <w:r w:rsidR="003327C7" w:rsidRPr="00695E23">
        <w:rPr>
          <w:rFonts w:ascii="Book Antiqua" w:hAnsi="Book Antiqua"/>
          <w:sz w:val="24"/>
          <w:szCs w:val="24"/>
          <w:vertAlign w:val="superscript"/>
        </w:rPr>
        <w:t>[93]</w:t>
      </w:r>
      <w:r w:rsidRPr="00695E23">
        <w:rPr>
          <w:rFonts w:ascii="Book Antiqua" w:hAnsi="Book Antiqua"/>
          <w:sz w:val="24"/>
          <w:szCs w:val="24"/>
        </w:rPr>
        <w:t xml:space="preserve"> showed that Rosuvastatin therapy attenuated myocardial fibrosis and LV stiffness. Saka </w:t>
      </w:r>
      <w:r w:rsidRPr="00695E23">
        <w:rPr>
          <w:rFonts w:ascii="Book Antiqua" w:hAnsi="Book Antiqua"/>
          <w:i/>
          <w:sz w:val="24"/>
          <w:szCs w:val="24"/>
        </w:rPr>
        <w:t>et al</w:t>
      </w:r>
      <w:r w:rsidR="003327C7" w:rsidRPr="00695E23">
        <w:rPr>
          <w:rFonts w:ascii="Book Antiqua" w:hAnsi="Book Antiqua"/>
          <w:sz w:val="24"/>
          <w:szCs w:val="24"/>
          <w:vertAlign w:val="superscript"/>
        </w:rPr>
        <w:t>[94]</w:t>
      </w:r>
      <w:r w:rsidRPr="00695E23">
        <w:rPr>
          <w:rFonts w:ascii="Book Antiqua" w:hAnsi="Book Antiqua"/>
          <w:sz w:val="24"/>
          <w:szCs w:val="24"/>
        </w:rPr>
        <w:t xml:space="preserve"> suggested that the effects of pitavastatin on load-induced cardiac hypertrophy and fibrosis are independent of its cholesterol lowering action and may be mediated, at least in part, through inhibition of RhoA-ERK-SRF signaling, which activates stretch-induced hypertrophy.</w:t>
      </w:r>
    </w:p>
    <w:p w14:paraId="586A3925" w14:textId="5A148CCE"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Considering these drug therapies, the most important issues in the treatment of HTN-CM are appropriate blood pressure control, weight loss, and dietary sodium restriction</w:t>
      </w:r>
      <w:r w:rsidRPr="00695E23">
        <w:rPr>
          <w:rFonts w:ascii="Book Antiqua" w:hAnsi="Book Antiqua"/>
          <w:sz w:val="24"/>
          <w:szCs w:val="24"/>
          <w:vertAlign w:val="superscript"/>
        </w:rPr>
        <w:t>[12,13,95]</w:t>
      </w:r>
      <w:r w:rsidRPr="00695E23">
        <w:rPr>
          <w:rFonts w:ascii="Book Antiqua" w:hAnsi="Book Antiqua"/>
          <w:sz w:val="24"/>
          <w:szCs w:val="24"/>
        </w:rPr>
        <w:t>. Regression of LVH and, more importantly, the prognosis of patients with HTN-CM, are both highly related to the antihypertensive response as well as the therapy used</w:t>
      </w:r>
      <w:r w:rsidRPr="00695E23">
        <w:rPr>
          <w:rFonts w:ascii="Book Antiqua" w:hAnsi="Book Antiqua"/>
          <w:sz w:val="24"/>
          <w:szCs w:val="24"/>
          <w:vertAlign w:val="superscript"/>
        </w:rPr>
        <w:t>[13]</w:t>
      </w:r>
      <w:r w:rsidRPr="00695E23">
        <w:rPr>
          <w:rFonts w:ascii="Book Antiqua" w:hAnsi="Book Antiqua"/>
          <w:sz w:val="24"/>
          <w:szCs w:val="24"/>
        </w:rPr>
        <w:t>. Regression of LVH continues gradually over time and may be associated with complete reversal of LVH and other abnormalities induced by hypertension, such as LA enlargement and diastolic dysfunction</w:t>
      </w:r>
      <w:r w:rsidRPr="00695E23">
        <w:rPr>
          <w:rFonts w:ascii="Book Antiqua" w:hAnsi="Book Antiqua"/>
          <w:sz w:val="24"/>
          <w:szCs w:val="24"/>
          <w:vertAlign w:val="superscript"/>
        </w:rPr>
        <w:t>[96]</w:t>
      </w:r>
      <w:r w:rsidRPr="00695E23">
        <w:rPr>
          <w:rFonts w:ascii="Book Antiqua" w:hAnsi="Book Antiqua"/>
          <w:sz w:val="24"/>
          <w:szCs w:val="24"/>
        </w:rPr>
        <w:t>.</w:t>
      </w:r>
    </w:p>
    <w:p w14:paraId="7E1F194E" w14:textId="616A95CC" w:rsidR="00F335A7" w:rsidRPr="00695E23" w:rsidRDefault="00F335A7" w:rsidP="003327C7">
      <w:pPr>
        <w:spacing w:line="360" w:lineRule="auto"/>
        <w:ind w:firstLineChars="100" w:firstLine="240"/>
        <w:rPr>
          <w:rFonts w:ascii="Book Antiqua" w:hAnsi="Book Antiqua"/>
          <w:sz w:val="24"/>
          <w:szCs w:val="24"/>
        </w:rPr>
      </w:pPr>
      <w:r w:rsidRPr="00695E23">
        <w:rPr>
          <w:rFonts w:ascii="Book Antiqua" w:hAnsi="Book Antiqua"/>
          <w:sz w:val="24"/>
          <w:szCs w:val="24"/>
        </w:rPr>
        <w:t>A meta-analysis published in 2003 evaluated the relative efficacy of different antihypertensive drugs for their ability to reverse LVH in patients with hypertension (Figure 9, reproduced from</w:t>
      </w:r>
      <w:r w:rsidRPr="00695E23">
        <w:rPr>
          <w:rFonts w:ascii="Book Antiqua" w:hAnsi="Book Antiqua"/>
          <w:sz w:val="24"/>
          <w:szCs w:val="24"/>
          <w:vertAlign w:val="superscript"/>
        </w:rPr>
        <w:t>[97]</w:t>
      </w:r>
      <w:r w:rsidRPr="00695E23">
        <w:rPr>
          <w:rFonts w:ascii="Book Antiqua" w:hAnsi="Book Antiqua"/>
          <w:sz w:val="24"/>
          <w:szCs w:val="24"/>
        </w:rPr>
        <w:t>). Notably, after statistical adjustments for duration of therapy and degree of blood pressure lowering, angiotensin II receptor blockers, calcium channel blockers, and ACE inhibitors showed more significant regression of LVH than did beta-blockers. Note that regression of LVH is associated with improvement in both systolic and diastolic function</w:t>
      </w:r>
      <w:r w:rsidRPr="00695E23">
        <w:rPr>
          <w:rFonts w:ascii="Book Antiqua" w:hAnsi="Book Antiqua"/>
          <w:sz w:val="24"/>
          <w:szCs w:val="24"/>
          <w:vertAlign w:val="superscript"/>
        </w:rPr>
        <w:t>[85]</w:t>
      </w:r>
      <w:r w:rsidRPr="00695E23">
        <w:rPr>
          <w:rFonts w:ascii="Book Antiqua" w:hAnsi="Book Antiqua"/>
          <w:sz w:val="24"/>
          <w:szCs w:val="24"/>
        </w:rPr>
        <w:t>, as well as with a reduction in cardiovascular risk</w:t>
      </w:r>
      <w:r w:rsidRPr="00695E23">
        <w:rPr>
          <w:rFonts w:ascii="Book Antiqua" w:hAnsi="Book Antiqua"/>
          <w:sz w:val="24"/>
          <w:szCs w:val="24"/>
          <w:vertAlign w:val="superscript"/>
        </w:rPr>
        <w:t>[95]</w:t>
      </w:r>
      <w:r w:rsidRPr="00695E23">
        <w:rPr>
          <w:rFonts w:ascii="Book Antiqua" w:hAnsi="Book Antiqua"/>
          <w:sz w:val="24"/>
          <w:szCs w:val="24"/>
        </w:rPr>
        <w:t xml:space="preserve">. </w:t>
      </w:r>
    </w:p>
    <w:p w14:paraId="0A1AAF83" w14:textId="77777777" w:rsidR="00F335A7" w:rsidRPr="00695E23" w:rsidRDefault="00F335A7" w:rsidP="00695E23">
      <w:pPr>
        <w:spacing w:line="360" w:lineRule="auto"/>
        <w:rPr>
          <w:rFonts w:ascii="Book Antiqua" w:hAnsi="Book Antiqua"/>
          <w:sz w:val="24"/>
          <w:szCs w:val="24"/>
        </w:rPr>
      </w:pPr>
    </w:p>
    <w:p w14:paraId="3CCBF6E7" w14:textId="77777777" w:rsidR="00F335A7" w:rsidRPr="00695E23" w:rsidRDefault="00F335A7" w:rsidP="00695E23">
      <w:pPr>
        <w:spacing w:line="360" w:lineRule="auto"/>
        <w:rPr>
          <w:rFonts w:ascii="Book Antiqua" w:hAnsi="Book Antiqua"/>
          <w:b/>
          <w:sz w:val="24"/>
          <w:szCs w:val="24"/>
        </w:rPr>
      </w:pPr>
      <w:r w:rsidRPr="00695E23">
        <w:rPr>
          <w:rFonts w:ascii="Book Antiqua" w:hAnsi="Book Antiqua"/>
          <w:b/>
          <w:sz w:val="24"/>
          <w:szCs w:val="24"/>
        </w:rPr>
        <w:t>CONCLUSION</w:t>
      </w:r>
    </w:p>
    <w:p w14:paraId="77CBCC3D" w14:textId="5101A094" w:rsidR="00F335A7" w:rsidRPr="00695E23" w:rsidRDefault="00F335A7" w:rsidP="00695E23">
      <w:pPr>
        <w:spacing w:line="360" w:lineRule="auto"/>
        <w:rPr>
          <w:rFonts w:ascii="Book Antiqua" w:hAnsi="Book Antiqua"/>
          <w:sz w:val="24"/>
          <w:szCs w:val="24"/>
        </w:rPr>
      </w:pPr>
      <w:r w:rsidRPr="00695E23">
        <w:rPr>
          <w:rFonts w:ascii="Book Antiqua" w:hAnsi="Book Antiqua"/>
          <w:sz w:val="24"/>
          <w:szCs w:val="24"/>
        </w:rPr>
        <w:t>To summarize, HTN-CM is characterized by LVH and LVH-induced diastolic dysfunction rather than systolic dysfunction. This is associated with increased risk of heart failure, arrhythmias, and death. LVH itself is a risk factor for mortality and morbidity, independent of other cardiovascular risk factors, including high blood pressure. Therefore, early detection of LVH development in patients with hypertension is important in order to start effective treatment when the myocardial damage is still reversible. Echocardiography, rather than electrocardiography alone, would be an ideal tool for detection of LVH in its early stage, along with advanced measurements such as tissue Doppler and strain parameters. CMR represents another powerful tool for detection and discrimination of patients with HTN-CM from those with other LVH diseases. Because the regression of LVH is associated with a reduction in cardiovascular risk and improved cardiac function, achieving good blood pressure control is very important in the treatment of patients with HTN-CM. This can be achieved with the use of antihypertensive agents (ACE inhibitors, angiotensin receptor blockers, and aldosterone receptor antagonists), which can be effective for reverse remodeling of the myocardium, weight loss, and sodium restriction.</w:t>
      </w:r>
    </w:p>
    <w:p w14:paraId="42D20DA6" w14:textId="0C62E58A" w:rsidR="004747F8" w:rsidRPr="00AF7267" w:rsidRDefault="001D0DBD" w:rsidP="00AF7267">
      <w:pPr>
        <w:spacing w:line="360" w:lineRule="auto"/>
        <w:rPr>
          <w:rFonts w:ascii="Book Antiqua" w:hAnsi="Book Antiqua"/>
          <w:sz w:val="24"/>
          <w:szCs w:val="24"/>
        </w:rPr>
      </w:pPr>
      <w:r w:rsidRPr="00695E23">
        <w:rPr>
          <w:rFonts w:ascii="Book Antiqua" w:hAnsi="Book Antiqua"/>
          <w:sz w:val="24"/>
          <w:szCs w:val="24"/>
        </w:rPr>
        <w:t xml:space="preserve"> </w:t>
      </w:r>
    </w:p>
    <w:p w14:paraId="4EAACB8C" w14:textId="4C58B7BD" w:rsidR="00AF47D2" w:rsidRPr="00AF7267" w:rsidRDefault="00AF47D2" w:rsidP="00AF7267">
      <w:pPr>
        <w:widowControl/>
        <w:spacing w:line="360" w:lineRule="auto"/>
        <w:rPr>
          <w:rFonts w:ascii="Book Antiqua" w:eastAsia="宋体" w:hAnsi="Book Antiqua" w:cs="Times New Roman"/>
          <w:b/>
          <w:sz w:val="24"/>
          <w:szCs w:val="24"/>
          <w:lang w:eastAsia="zh-CN"/>
        </w:rPr>
      </w:pPr>
      <w:r w:rsidRPr="00AF7267">
        <w:rPr>
          <w:rFonts w:ascii="Book Antiqua" w:eastAsia="MS Mincho" w:hAnsi="Book Antiqua" w:cs="Times New Roman"/>
          <w:b/>
          <w:sz w:val="24"/>
          <w:szCs w:val="24"/>
        </w:rPr>
        <w:t>REFERENCES</w:t>
      </w:r>
    </w:p>
    <w:p w14:paraId="7F12B671"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 </w:t>
      </w:r>
      <w:r w:rsidRPr="00AF7267">
        <w:rPr>
          <w:rFonts w:ascii="Book Antiqua" w:eastAsia="宋体" w:hAnsi="Book Antiqua" w:cs="宋体"/>
          <w:b/>
          <w:bCs/>
          <w:kern w:val="0"/>
          <w:sz w:val="24"/>
          <w:szCs w:val="24"/>
          <w:lang w:eastAsia="zh-CN"/>
        </w:rPr>
        <w:t>Lawes CM</w:t>
      </w:r>
      <w:r w:rsidRPr="00AF7267">
        <w:rPr>
          <w:rFonts w:ascii="Book Antiqua" w:eastAsia="宋体" w:hAnsi="Book Antiqua" w:cs="宋体"/>
          <w:kern w:val="0"/>
          <w:sz w:val="24"/>
          <w:szCs w:val="24"/>
          <w:lang w:eastAsia="zh-CN"/>
        </w:rPr>
        <w:t xml:space="preserve">, Vander Hoorn S, Rodgers A. Global burden of blood-pressure-related disease, 2001. </w:t>
      </w:r>
      <w:r w:rsidRPr="00AF7267">
        <w:rPr>
          <w:rFonts w:ascii="Book Antiqua" w:eastAsia="宋体" w:hAnsi="Book Antiqua" w:cs="宋体"/>
          <w:i/>
          <w:iCs/>
          <w:kern w:val="0"/>
          <w:sz w:val="24"/>
          <w:szCs w:val="24"/>
          <w:lang w:eastAsia="zh-CN"/>
        </w:rPr>
        <w:t>Lancet</w:t>
      </w:r>
      <w:r w:rsidRPr="00AF7267">
        <w:rPr>
          <w:rFonts w:ascii="Book Antiqua" w:eastAsia="宋体" w:hAnsi="Book Antiqua" w:cs="宋体"/>
          <w:kern w:val="0"/>
          <w:sz w:val="24"/>
          <w:szCs w:val="24"/>
          <w:lang w:eastAsia="zh-CN"/>
        </w:rPr>
        <w:t xml:space="preserve"> 2008; </w:t>
      </w:r>
      <w:r w:rsidRPr="00AF7267">
        <w:rPr>
          <w:rFonts w:ascii="Book Antiqua" w:eastAsia="宋体" w:hAnsi="Book Antiqua" w:cs="宋体"/>
          <w:b/>
          <w:bCs/>
          <w:kern w:val="0"/>
          <w:sz w:val="24"/>
          <w:szCs w:val="24"/>
          <w:lang w:eastAsia="zh-CN"/>
        </w:rPr>
        <w:t>371</w:t>
      </w:r>
      <w:r w:rsidRPr="00AF7267">
        <w:rPr>
          <w:rFonts w:ascii="Book Antiqua" w:eastAsia="宋体" w:hAnsi="Book Antiqua" w:cs="宋体"/>
          <w:kern w:val="0"/>
          <w:sz w:val="24"/>
          <w:szCs w:val="24"/>
          <w:lang w:eastAsia="zh-CN"/>
        </w:rPr>
        <w:t>: 1513-1518 [PMID: 18456100 DOI: 10.1016/S0140-6736(08)60655-8]</w:t>
      </w:r>
    </w:p>
    <w:p w14:paraId="0BEE0251"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 </w:t>
      </w:r>
      <w:r w:rsidRPr="00AF7267">
        <w:rPr>
          <w:rFonts w:ascii="Book Antiqua" w:eastAsia="宋体" w:hAnsi="Book Antiqua" w:cs="宋体"/>
          <w:b/>
          <w:bCs/>
          <w:kern w:val="0"/>
          <w:sz w:val="24"/>
          <w:szCs w:val="24"/>
          <w:lang w:eastAsia="zh-CN"/>
        </w:rPr>
        <w:t>Nadruz W</w:t>
      </w:r>
      <w:r w:rsidRPr="00AF7267">
        <w:rPr>
          <w:rFonts w:ascii="Book Antiqua" w:eastAsia="宋体" w:hAnsi="Book Antiqua" w:cs="宋体"/>
          <w:kern w:val="0"/>
          <w:sz w:val="24"/>
          <w:szCs w:val="24"/>
          <w:lang w:eastAsia="zh-CN"/>
        </w:rPr>
        <w:t xml:space="preserve">. Myocardial remodeling in hypertension. </w:t>
      </w:r>
      <w:r w:rsidRPr="00AF7267">
        <w:rPr>
          <w:rFonts w:ascii="Book Antiqua" w:eastAsia="宋体" w:hAnsi="Book Antiqua" w:cs="宋体"/>
          <w:i/>
          <w:iCs/>
          <w:kern w:val="0"/>
          <w:sz w:val="24"/>
          <w:szCs w:val="24"/>
          <w:lang w:eastAsia="zh-CN"/>
        </w:rPr>
        <w:t>J Hum Hypertens</w:t>
      </w:r>
      <w:r w:rsidRPr="00AF7267">
        <w:rPr>
          <w:rFonts w:ascii="Book Antiqua" w:eastAsia="宋体" w:hAnsi="Book Antiqua" w:cs="宋体"/>
          <w:kern w:val="0"/>
          <w:sz w:val="24"/>
          <w:szCs w:val="24"/>
          <w:lang w:eastAsia="zh-CN"/>
        </w:rPr>
        <w:t xml:space="preserve"> 2015; </w:t>
      </w:r>
      <w:r w:rsidRPr="00AF7267">
        <w:rPr>
          <w:rFonts w:ascii="Book Antiqua" w:eastAsia="宋体" w:hAnsi="Book Antiqua" w:cs="宋体"/>
          <w:b/>
          <w:bCs/>
          <w:kern w:val="0"/>
          <w:sz w:val="24"/>
          <w:szCs w:val="24"/>
          <w:lang w:eastAsia="zh-CN"/>
        </w:rPr>
        <w:t>29</w:t>
      </w:r>
      <w:r w:rsidRPr="00AF7267">
        <w:rPr>
          <w:rFonts w:ascii="Book Antiqua" w:eastAsia="宋体" w:hAnsi="Book Antiqua" w:cs="宋体"/>
          <w:kern w:val="0"/>
          <w:sz w:val="24"/>
          <w:szCs w:val="24"/>
          <w:lang w:eastAsia="zh-CN"/>
        </w:rPr>
        <w:t>: 1-6 [PMID: 24804791 DOI: 10.1038/jhh.2014.36]</w:t>
      </w:r>
    </w:p>
    <w:p w14:paraId="44DB9B3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 </w:t>
      </w:r>
      <w:r w:rsidRPr="00AF7267">
        <w:rPr>
          <w:rFonts w:ascii="Book Antiqua" w:eastAsia="宋体" w:hAnsi="Book Antiqua" w:cs="宋体"/>
          <w:b/>
          <w:bCs/>
          <w:kern w:val="0"/>
          <w:sz w:val="24"/>
          <w:szCs w:val="24"/>
          <w:lang w:eastAsia="zh-CN"/>
        </w:rPr>
        <w:t>van Hoeven KH</w:t>
      </w:r>
      <w:r w:rsidRPr="00AF7267">
        <w:rPr>
          <w:rFonts w:ascii="Book Antiqua" w:eastAsia="宋体" w:hAnsi="Book Antiqua" w:cs="宋体"/>
          <w:kern w:val="0"/>
          <w:sz w:val="24"/>
          <w:szCs w:val="24"/>
          <w:lang w:eastAsia="zh-CN"/>
        </w:rPr>
        <w:t xml:space="preserve">, Factor SM. A comparison of the pathological spectrum of hypertensive, diabetic, and hypertensive-diabetic heart disease.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1990; </w:t>
      </w:r>
      <w:r w:rsidRPr="00AF7267">
        <w:rPr>
          <w:rFonts w:ascii="Book Antiqua" w:eastAsia="宋体" w:hAnsi="Book Antiqua" w:cs="宋体"/>
          <w:b/>
          <w:bCs/>
          <w:kern w:val="0"/>
          <w:sz w:val="24"/>
          <w:szCs w:val="24"/>
          <w:lang w:eastAsia="zh-CN"/>
        </w:rPr>
        <w:t>82</w:t>
      </w:r>
      <w:r w:rsidRPr="00AF7267">
        <w:rPr>
          <w:rFonts w:ascii="Book Antiqua" w:eastAsia="宋体" w:hAnsi="Book Antiqua" w:cs="宋体"/>
          <w:kern w:val="0"/>
          <w:sz w:val="24"/>
          <w:szCs w:val="24"/>
          <w:lang w:eastAsia="zh-CN"/>
        </w:rPr>
        <w:t>: 848-855 [PMID: 2394006 DOI: 10.1161/01.CIR.82.3.848]</w:t>
      </w:r>
    </w:p>
    <w:p w14:paraId="37DF6DB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 </w:t>
      </w:r>
      <w:r w:rsidRPr="00AF7267">
        <w:rPr>
          <w:rFonts w:ascii="Book Antiqua" w:eastAsia="宋体" w:hAnsi="Book Antiqua" w:cs="宋体"/>
          <w:b/>
          <w:bCs/>
          <w:kern w:val="0"/>
          <w:sz w:val="24"/>
          <w:szCs w:val="24"/>
          <w:lang w:eastAsia="zh-CN"/>
        </w:rPr>
        <w:t>Janardhanan R</w:t>
      </w:r>
      <w:r w:rsidRPr="00AF7267">
        <w:rPr>
          <w:rFonts w:ascii="Book Antiqua" w:eastAsia="宋体" w:hAnsi="Book Antiqua" w:cs="宋体"/>
          <w:kern w:val="0"/>
          <w:sz w:val="24"/>
          <w:szCs w:val="24"/>
          <w:lang w:eastAsia="zh-CN"/>
        </w:rPr>
        <w:t xml:space="preserve">, Kramer CM. Imaging in hypertensive heart disease. </w:t>
      </w:r>
      <w:r w:rsidRPr="00AF7267">
        <w:rPr>
          <w:rFonts w:ascii="Book Antiqua" w:eastAsia="宋体" w:hAnsi="Book Antiqua" w:cs="宋体"/>
          <w:i/>
          <w:iCs/>
          <w:kern w:val="0"/>
          <w:sz w:val="24"/>
          <w:szCs w:val="24"/>
          <w:lang w:eastAsia="zh-CN"/>
        </w:rPr>
        <w:t>Expert Rev Cardiovasc Ther</w:t>
      </w:r>
      <w:r w:rsidRPr="00AF7267">
        <w:rPr>
          <w:rFonts w:ascii="Book Antiqua" w:eastAsia="宋体" w:hAnsi="Book Antiqua" w:cs="宋体"/>
          <w:kern w:val="0"/>
          <w:sz w:val="24"/>
          <w:szCs w:val="24"/>
          <w:lang w:eastAsia="zh-CN"/>
        </w:rPr>
        <w:t xml:space="preserve"> 2011; </w:t>
      </w:r>
      <w:r w:rsidRPr="00AF7267">
        <w:rPr>
          <w:rFonts w:ascii="Book Antiqua" w:eastAsia="宋体" w:hAnsi="Book Antiqua" w:cs="宋体"/>
          <w:b/>
          <w:bCs/>
          <w:kern w:val="0"/>
          <w:sz w:val="24"/>
          <w:szCs w:val="24"/>
          <w:lang w:eastAsia="zh-CN"/>
        </w:rPr>
        <w:t>9</w:t>
      </w:r>
      <w:r w:rsidRPr="00AF7267">
        <w:rPr>
          <w:rFonts w:ascii="Book Antiqua" w:eastAsia="宋体" w:hAnsi="Book Antiqua" w:cs="宋体"/>
          <w:kern w:val="0"/>
          <w:sz w:val="24"/>
          <w:szCs w:val="24"/>
          <w:lang w:eastAsia="zh-CN"/>
        </w:rPr>
        <w:t>: 199-209 [PMID: 21453216 DOI: 10.1586/erc.10.190]</w:t>
      </w:r>
    </w:p>
    <w:p w14:paraId="1181F229"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 </w:t>
      </w:r>
      <w:r w:rsidRPr="00AF7267">
        <w:rPr>
          <w:rFonts w:ascii="Book Antiqua" w:eastAsia="宋体" w:hAnsi="Book Antiqua" w:cs="宋体"/>
          <w:b/>
          <w:bCs/>
          <w:kern w:val="0"/>
          <w:sz w:val="24"/>
          <w:szCs w:val="24"/>
          <w:lang w:eastAsia="zh-CN"/>
        </w:rPr>
        <w:t>Re RN</w:t>
      </w:r>
      <w:r w:rsidRPr="00AF7267">
        <w:rPr>
          <w:rFonts w:ascii="Book Antiqua" w:eastAsia="宋体" w:hAnsi="Book Antiqua" w:cs="宋体"/>
          <w:kern w:val="0"/>
          <w:sz w:val="24"/>
          <w:szCs w:val="24"/>
          <w:lang w:eastAsia="zh-CN"/>
        </w:rPr>
        <w:t xml:space="preserve">. Intracellular renin and the nature of intracrine enzymes.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2003; </w:t>
      </w:r>
      <w:r w:rsidRPr="00AF7267">
        <w:rPr>
          <w:rFonts w:ascii="Book Antiqua" w:eastAsia="宋体" w:hAnsi="Book Antiqua" w:cs="宋体"/>
          <w:b/>
          <w:bCs/>
          <w:kern w:val="0"/>
          <w:sz w:val="24"/>
          <w:szCs w:val="24"/>
          <w:lang w:eastAsia="zh-CN"/>
        </w:rPr>
        <w:t>42</w:t>
      </w:r>
      <w:r w:rsidRPr="00AF7267">
        <w:rPr>
          <w:rFonts w:ascii="Book Antiqua" w:eastAsia="宋体" w:hAnsi="Book Antiqua" w:cs="宋体"/>
          <w:kern w:val="0"/>
          <w:sz w:val="24"/>
          <w:szCs w:val="24"/>
          <w:lang w:eastAsia="zh-CN"/>
        </w:rPr>
        <w:t>: 117-122 [PMID: 12860832 DOI: 10.1161/01.HYP.0000082495.93495.5B]</w:t>
      </w:r>
    </w:p>
    <w:p w14:paraId="4133C41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 </w:t>
      </w:r>
      <w:r w:rsidRPr="00AF7267">
        <w:rPr>
          <w:rFonts w:ascii="Book Antiqua" w:eastAsia="宋体" w:hAnsi="Book Antiqua" w:cs="宋体"/>
          <w:b/>
          <w:bCs/>
          <w:kern w:val="0"/>
          <w:sz w:val="24"/>
          <w:szCs w:val="24"/>
          <w:lang w:eastAsia="zh-CN"/>
        </w:rPr>
        <w:t>Dzau VJ</w:t>
      </w:r>
      <w:r w:rsidRPr="00AF7267">
        <w:rPr>
          <w:rFonts w:ascii="Book Antiqua" w:eastAsia="宋体" w:hAnsi="Book Antiqua" w:cs="宋体"/>
          <w:kern w:val="0"/>
          <w:sz w:val="24"/>
          <w:szCs w:val="24"/>
          <w:lang w:eastAsia="zh-CN"/>
        </w:rPr>
        <w:t xml:space="preserve">. Tissue renin-angiotensin system in myocardial hypertrophy and failure. </w:t>
      </w:r>
      <w:r w:rsidRPr="00AF7267">
        <w:rPr>
          <w:rFonts w:ascii="Book Antiqua" w:eastAsia="宋体" w:hAnsi="Book Antiqua" w:cs="宋体"/>
          <w:i/>
          <w:iCs/>
          <w:kern w:val="0"/>
          <w:sz w:val="24"/>
          <w:szCs w:val="24"/>
          <w:lang w:eastAsia="zh-CN"/>
        </w:rPr>
        <w:t>Arch Intern Med</w:t>
      </w:r>
      <w:r w:rsidRPr="00AF7267">
        <w:rPr>
          <w:rFonts w:ascii="Book Antiqua" w:eastAsia="宋体" w:hAnsi="Book Antiqua" w:cs="宋体"/>
          <w:kern w:val="0"/>
          <w:sz w:val="24"/>
          <w:szCs w:val="24"/>
          <w:lang w:eastAsia="zh-CN"/>
        </w:rPr>
        <w:t xml:space="preserve"> 1993; </w:t>
      </w:r>
      <w:r w:rsidRPr="00AF7267">
        <w:rPr>
          <w:rFonts w:ascii="Book Antiqua" w:eastAsia="宋体" w:hAnsi="Book Antiqua" w:cs="宋体"/>
          <w:b/>
          <w:bCs/>
          <w:kern w:val="0"/>
          <w:sz w:val="24"/>
          <w:szCs w:val="24"/>
          <w:lang w:eastAsia="zh-CN"/>
        </w:rPr>
        <w:t>153</w:t>
      </w:r>
      <w:r w:rsidRPr="00AF7267">
        <w:rPr>
          <w:rFonts w:ascii="Book Antiqua" w:eastAsia="宋体" w:hAnsi="Book Antiqua" w:cs="宋体"/>
          <w:kern w:val="0"/>
          <w:sz w:val="24"/>
          <w:szCs w:val="24"/>
          <w:lang w:eastAsia="zh-CN"/>
        </w:rPr>
        <w:t>: 937-942 [PMID: 8386920 DOI: 10.1001/archinte.1993.00410080011002]</w:t>
      </w:r>
    </w:p>
    <w:p w14:paraId="79F6A535"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 </w:t>
      </w:r>
      <w:r w:rsidRPr="00AF7267">
        <w:rPr>
          <w:rFonts w:ascii="Book Antiqua" w:eastAsia="宋体" w:hAnsi="Book Antiqua" w:cs="宋体"/>
          <w:b/>
          <w:bCs/>
          <w:kern w:val="0"/>
          <w:sz w:val="24"/>
          <w:szCs w:val="24"/>
          <w:lang w:eastAsia="zh-CN"/>
        </w:rPr>
        <w:t>Sadoshima J</w:t>
      </w:r>
      <w:r w:rsidRPr="00AF7267">
        <w:rPr>
          <w:rFonts w:ascii="Book Antiqua" w:eastAsia="宋体" w:hAnsi="Book Antiqua" w:cs="宋体"/>
          <w:kern w:val="0"/>
          <w:sz w:val="24"/>
          <w:szCs w:val="24"/>
          <w:lang w:eastAsia="zh-CN"/>
        </w:rPr>
        <w:t xml:space="preserve">, Xu Y, Slayter HS, Izumo S. Autocrine release of angiotensin II mediates stretch-induced hypertrophy of cardiac myocytes in vitro. </w:t>
      </w:r>
      <w:r w:rsidRPr="00AF7267">
        <w:rPr>
          <w:rFonts w:ascii="Book Antiqua" w:eastAsia="宋体" w:hAnsi="Book Antiqua" w:cs="宋体"/>
          <w:i/>
          <w:iCs/>
          <w:kern w:val="0"/>
          <w:sz w:val="24"/>
          <w:szCs w:val="24"/>
          <w:lang w:eastAsia="zh-CN"/>
        </w:rPr>
        <w:t>Cell</w:t>
      </w:r>
      <w:r w:rsidRPr="00AF7267">
        <w:rPr>
          <w:rFonts w:ascii="Book Antiqua" w:eastAsia="宋体" w:hAnsi="Book Antiqua" w:cs="宋体"/>
          <w:kern w:val="0"/>
          <w:sz w:val="24"/>
          <w:szCs w:val="24"/>
          <w:lang w:eastAsia="zh-CN"/>
        </w:rPr>
        <w:t xml:space="preserve"> 1993; </w:t>
      </w:r>
      <w:r w:rsidRPr="00AF7267">
        <w:rPr>
          <w:rFonts w:ascii="Book Antiqua" w:eastAsia="宋体" w:hAnsi="Book Antiqua" w:cs="宋体"/>
          <w:b/>
          <w:bCs/>
          <w:kern w:val="0"/>
          <w:sz w:val="24"/>
          <w:szCs w:val="24"/>
          <w:lang w:eastAsia="zh-CN"/>
        </w:rPr>
        <w:t>75</w:t>
      </w:r>
      <w:r w:rsidRPr="00AF7267">
        <w:rPr>
          <w:rFonts w:ascii="Book Antiqua" w:eastAsia="宋体" w:hAnsi="Book Antiqua" w:cs="宋体"/>
          <w:kern w:val="0"/>
          <w:sz w:val="24"/>
          <w:szCs w:val="24"/>
          <w:lang w:eastAsia="zh-CN"/>
        </w:rPr>
        <w:t>: 977-984 [PMID: 8252633 DOI: 1016/0092-8674(93)90541-W]</w:t>
      </w:r>
    </w:p>
    <w:p w14:paraId="062CCFF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 </w:t>
      </w:r>
      <w:r w:rsidRPr="00AF7267">
        <w:rPr>
          <w:rFonts w:ascii="Book Antiqua" w:eastAsia="宋体" w:hAnsi="Book Antiqua" w:cs="宋体"/>
          <w:b/>
          <w:bCs/>
          <w:kern w:val="0"/>
          <w:sz w:val="24"/>
          <w:szCs w:val="24"/>
          <w:lang w:eastAsia="zh-CN"/>
        </w:rPr>
        <w:t>Cuspidi C</w:t>
      </w:r>
      <w:r w:rsidRPr="00AF7267">
        <w:rPr>
          <w:rFonts w:ascii="Book Antiqua" w:eastAsia="宋体" w:hAnsi="Book Antiqua" w:cs="宋体"/>
          <w:kern w:val="0"/>
          <w:sz w:val="24"/>
          <w:szCs w:val="24"/>
          <w:lang w:eastAsia="zh-CN"/>
        </w:rPr>
        <w:t xml:space="preserve">, Ciulla M, Zanchetti A. Hypertensive myocardial fibrosis. </w:t>
      </w:r>
      <w:r w:rsidRPr="00AF7267">
        <w:rPr>
          <w:rFonts w:ascii="Book Antiqua" w:eastAsia="宋体" w:hAnsi="Book Antiqua" w:cs="宋体"/>
          <w:i/>
          <w:iCs/>
          <w:kern w:val="0"/>
          <w:sz w:val="24"/>
          <w:szCs w:val="24"/>
          <w:lang w:eastAsia="zh-CN"/>
        </w:rPr>
        <w:t>Nephrol Dial Transplant</w:t>
      </w:r>
      <w:r w:rsidRPr="00AF7267">
        <w:rPr>
          <w:rFonts w:ascii="Book Antiqua" w:eastAsia="宋体" w:hAnsi="Book Antiqua" w:cs="宋体"/>
          <w:kern w:val="0"/>
          <w:sz w:val="24"/>
          <w:szCs w:val="24"/>
          <w:lang w:eastAsia="zh-CN"/>
        </w:rPr>
        <w:t xml:space="preserve"> 2006; </w:t>
      </w:r>
      <w:r w:rsidRPr="00AF7267">
        <w:rPr>
          <w:rFonts w:ascii="Book Antiqua" w:eastAsia="宋体" w:hAnsi="Book Antiqua" w:cs="宋体"/>
          <w:b/>
          <w:bCs/>
          <w:kern w:val="0"/>
          <w:sz w:val="24"/>
          <w:szCs w:val="24"/>
          <w:lang w:eastAsia="zh-CN"/>
        </w:rPr>
        <w:t>21</w:t>
      </w:r>
      <w:r w:rsidRPr="00AF7267">
        <w:rPr>
          <w:rFonts w:ascii="Book Antiqua" w:eastAsia="宋体" w:hAnsi="Book Antiqua" w:cs="宋体"/>
          <w:kern w:val="0"/>
          <w:sz w:val="24"/>
          <w:szCs w:val="24"/>
          <w:lang w:eastAsia="zh-CN"/>
        </w:rPr>
        <w:t>: 20-23 [PMID: 16263734 DOI: 10.1093/ndt/gfi237]</w:t>
      </w:r>
    </w:p>
    <w:p w14:paraId="00327420"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 </w:t>
      </w:r>
      <w:r w:rsidRPr="00AF7267">
        <w:rPr>
          <w:rFonts w:ascii="Book Antiqua" w:eastAsia="宋体" w:hAnsi="Book Antiqua" w:cs="宋体"/>
          <w:b/>
          <w:bCs/>
          <w:kern w:val="0"/>
          <w:sz w:val="24"/>
          <w:szCs w:val="24"/>
          <w:lang w:eastAsia="zh-CN"/>
        </w:rPr>
        <w:t>Levy D</w:t>
      </w:r>
      <w:r w:rsidRPr="00AF7267">
        <w:rPr>
          <w:rFonts w:ascii="Book Antiqua" w:eastAsia="宋体" w:hAnsi="Book Antiqua" w:cs="宋体"/>
          <w:kern w:val="0"/>
          <w:sz w:val="24"/>
          <w:szCs w:val="24"/>
          <w:lang w:eastAsia="zh-CN"/>
        </w:rPr>
        <w:t xml:space="preserve">, Garrison RJ, Savage DD, Kannel WB, Castelli WP. Prognostic implications of echocardiographically determined left ventricular mass in the Framingham Heart Study. </w:t>
      </w:r>
      <w:r w:rsidRPr="00AF7267">
        <w:rPr>
          <w:rFonts w:ascii="Book Antiqua" w:eastAsia="宋体" w:hAnsi="Book Antiqua" w:cs="宋体"/>
          <w:i/>
          <w:iCs/>
          <w:kern w:val="0"/>
          <w:sz w:val="24"/>
          <w:szCs w:val="24"/>
          <w:lang w:eastAsia="zh-CN"/>
        </w:rPr>
        <w:t>N Engl J Med</w:t>
      </w:r>
      <w:r w:rsidRPr="00AF7267">
        <w:rPr>
          <w:rFonts w:ascii="Book Antiqua" w:eastAsia="宋体" w:hAnsi="Book Antiqua" w:cs="宋体"/>
          <w:kern w:val="0"/>
          <w:sz w:val="24"/>
          <w:szCs w:val="24"/>
          <w:lang w:eastAsia="zh-CN"/>
        </w:rPr>
        <w:t xml:space="preserve"> 1990; </w:t>
      </w:r>
      <w:r w:rsidRPr="00AF7267">
        <w:rPr>
          <w:rFonts w:ascii="Book Antiqua" w:eastAsia="宋体" w:hAnsi="Book Antiqua" w:cs="宋体"/>
          <w:b/>
          <w:bCs/>
          <w:kern w:val="0"/>
          <w:sz w:val="24"/>
          <w:szCs w:val="24"/>
          <w:lang w:eastAsia="zh-CN"/>
        </w:rPr>
        <w:t>322</w:t>
      </w:r>
      <w:r w:rsidRPr="00AF7267">
        <w:rPr>
          <w:rFonts w:ascii="Book Antiqua" w:eastAsia="宋体" w:hAnsi="Book Antiqua" w:cs="宋体"/>
          <w:kern w:val="0"/>
          <w:sz w:val="24"/>
          <w:szCs w:val="24"/>
          <w:lang w:eastAsia="zh-CN"/>
        </w:rPr>
        <w:t>: 1561-1566 [PMID: 2139921 DOI: 10.1056/NEJM199005313222203]</w:t>
      </w:r>
    </w:p>
    <w:p w14:paraId="2A9D90BF"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10 </w:t>
      </w:r>
      <w:r w:rsidRPr="00AF7267">
        <w:rPr>
          <w:rFonts w:ascii="Book Antiqua" w:eastAsia="宋体" w:hAnsi="Book Antiqua" w:cs="宋体"/>
          <w:b/>
          <w:bCs/>
          <w:kern w:val="0"/>
          <w:sz w:val="24"/>
          <w:szCs w:val="24"/>
          <w:lang w:eastAsia="zh-CN"/>
        </w:rPr>
        <w:t>Verdecchia P</w:t>
      </w:r>
      <w:r w:rsidRPr="00AF7267">
        <w:rPr>
          <w:rFonts w:ascii="Book Antiqua" w:eastAsia="宋体" w:hAnsi="Book Antiqua" w:cs="宋体"/>
          <w:kern w:val="0"/>
          <w:sz w:val="24"/>
          <w:szCs w:val="24"/>
          <w:lang w:eastAsia="zh-CN"/>
        </w:rPr>
        <w:t xml:space="preserve">, Schillaci G, Borgioni C, Ciucci A, Gattobigio R, Zampi I, Santucci A, Santucci C, Reboldi G, Porcellati C. Prognostic value of left ventricular mass and geometry in systemic hypertension with left ventricular hypertrophy.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1996; </w:t>
      </w:r>
      <w:r w:rsidRPr="00AF7267">
        <w:rPr>
          <w:rFonts w:ascii="Book Antiqua" w:eastAsia="宋体" w:hAnsi="Book Antiqua" w:cs="宋体"/>
          <w:b/>
          <w:bCs/>
          <w:kern w:val="0"/>
          <w:sz w:val="24"/>
          <w:szCs w:val="24"/>
          <w:lang w:eastAsia="zh-CN"/>
        </w:rPr>
        <w:t>78</w:t>
      </w:r>
      <w:r w:rsidRPr="00AF7267">
        <w:rPr>
          <w:rFonts w:ascii="Book Antiqua" w:eastAsia="宋体" w:hAnsi="Book Antiqua" w:cs="宋体"/>
          <w:kern w:val="0"/>
          <w:sz w:val="24"/>
          <w:szCs w:val="24"/>
          <w:lang w:eastAsia="zh-CN"/>
        </w:rPr>
        <w:t>: 197-202 [PMID: 8712142 DOI: 10.1016/S0002-9149(96)90395-1]</w:t>
      </w:r>
    </w:p>
    <w:p w14:paraId="79C6ADC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11 </w:t>
      </w:r>
      <w:r w:rsidRPr="00AF7267">
        <w:rPr>
          <w:rFonts w:ascii="Book Antiqua" w:eastAsia="宋体" w:hAnsi="Book Antiqua" w:cs="宋体"/>
          <w:b/>
          <w:bCs/>
          <w:kern w:val="0"/>
          <w:sz w:val="24"/>
          <w:szCs w:val="24"/>
          <w:lang w:eastAsia="zh-CN"/>
        </w:rPr>
        <w:t>Grossman E</w:t>
      </w:r>
      <w:r w:rsidRPr="00AF7267">
        <w:rPr>
          <w:rFonts w:ascii="Book Antiqua" w:eastAsia="宋体" w:hAnsi="Book Antiqua" w:cs="宋体"/>
          <w:kern w:val="0"/>
          <w:sz w:val="24"/>
          <w:szCs w:val="24"/>
          <w:lang w:eastAsia="zh-CN"/>
        </w:rPr>
        <w:t xml:space="preserve">, Messerli FH. Diabetic and hypertensive heart disease. </w:t>
      </w:r>
      <w:r w:rsidRPr="00AF7267">
        <w:rPr>
          <w:rFonts w:ascii="Book Antiqua" w:eastAsia="宋体" w:hAnsi="Book Antiqua" w:cs="宋体"/>
          <w:i/>
          <w:iCs/>
          <w:kern w:val="0"/>
          <w:sz w:val="24"/>
          <w:szCs w:val="24"/>
          <w:lang w:eastAsia="zh-CN"/>
        </w:rPr>
        <w:t>Ann Intern Med</w:t>
      </w:r>
      <w:r w:rsidRPr="00AF7267">
        <w:rPr>
          <w:rFonts w:ascii="Book Antiqua" w:eastAsia="宋体" w:hAnsi="Book Antiqua" w:cs="宋体"/>
          <w:kern w:val="0"/>
          <w:sz w:val="24"/>
          <w:szCs w:val="24"/>
          <w:lang w:eastAsia="zh-CN"/>
        </w:rPr>
        <w:t xml:space="preserve"> 1996; </w:t>
      </w:r>
      <w:r w:rsidRPr="00AF7267">
        <w:rPr>
          <w:rFonts w:ascii="Book Antiqua" w:eastAsia="宋体" w:hAnsi="Book Antiqua" w:cs="宋体"/>
          <w:b/>
          <w:bCs/>
          <w:kern w:val="0"/>
          <w:sz w:val="24"/>
          <w:szCs w:val="24"/>
          <w:lang w:eastAsia="zh-CN"/>
        </w:rPr>
        <w:t>125</w:t>
      </w:r>
      <w:r w:rsidRPr="00AF7267">
        <w:rPr>
          <w:rFonts w:ascii="Book Antiqua" w:eastAsia="宋体" w:hAnsi="Book Antiqua" w:cs="宋体"/>
          <w:kern w:val="0"/>
          <w:sz w:val="24"/>
          <w:szCs w:val="24"/>
          <w:lang w:eastAsia="zh-CN"/>
        </w:rPr>
        <w:t>: 304-310 [PMID: 8678395 DOI: 10.7326/0003-4819-125-4-199608150-00009]</w:t>
      </w:r>
    </w:p>
    <w:p w14:paraId="56068576" w14:textId="3C29A8C8"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12 </w:t>
      </w:r>
      <w:r w:rsidRPr="00AF7267">
        <w:rPr>
          <w:rFonts w:ascii="Book Antiqua" w:eastAsia="宋体" w:hAnsi="Book Antiqua" w:cs="宋体"/>
          <w:b/>
          <w:bCs/>
          <w:kern w:val="0"/>
          <w:sz w:val="24"/>
          <w:szCs w:val="24"/>
          <w:lang w:eastAsia="zh-CN"/>
        </w:rPr>
        <w:t>Vasan RS</w:t>
      </w:r>
      <w:r w:rsidRPr="00AF7267">
        <w:rPr>
          <w:rFonts w:ascii="Book Antiqua" w:eastAsia="宋体" w:hAnsi="Book Antiqua" w:cs="宋体"/>
          <w:kern w:val="0"/>
          <w:sz w:val="24"/>
          <w:szCs w:val="24"/>
          <w:lang w:eastAsia="zh-CN"/>
        </w:rPr>
        <w:t xml:space="preserve">, Levy D. The role of hypertension in the pathogenesis of heart failure. A clinical mechanistic overview. </w:t>
      </w:r>
      <w:r w:rsidRPr="00AF7267">
        <w:rPr>
          <w:rFonts w:ascii="Book Antiqua" w:eastAsia="宋体" w:hAnsi="Book Antiqua" w:cs="宋体"/>
          <w:i/>
          <w:iCs/>
          <w:kern w:val="0"/>
          <w:sz w:val="24"/>
          <w:szCs w:val="24"/>
          <w:lang w:eastAsia="zh-CN"/>
        </w:rPr>
        <w:t>Arch Intern Med</w:t>
      </w:r>
      <w:r w:rsidRPr="00AF7267">
        <w:rPr>
          <w:rFonts w:ascii="Book Antiqua" w:eastAsia="宋体" w:hAnsi="Book Antiqua" w:cs="宋体"/>
          <w:kern w:val="0"/>
          <w:sz w:val="24"/>
          <w:szCs w:val="24"/>
          <w:lang w:eastAsia="zh-CN"/>
        </w:rPr>
        <w:t xml:space="preserve"> 1996; </w:t>
      </w:r>
      <w:r w:rsidRPr="00AF7267">
        <w:rPr>
          <w:rFonts w:ascii="Book Antiqua" w:eastAsia="宋体" w:hAnsi="Book Antiqua" w:cs="宋体"/>
          <w:b/>
          <w:bCs/>
          <w:kern w:val="0"/>
          <w:sz w:val="24"/>
          <w:szCs w:val="24"/>
          <w:lang w:eastAsia="zh-CN"/>
        </w:rPr>
        <w:t>156</w:t>
      </w:r>
      <w:r w:rsidRPr="00AF7267">
        <w:rPr>
          <w:rFonts w:ascii="Book Antiqua" w:eastAsia="宋体" w:hAnsi="Book Antiqua" w:cs="宋体"/>
          <w:kern w:val="0"/>
          <w:sz w:val="24"/>
          <w:szCs w:val="24"/>
          <w:lang w:eastAsia="zh-CN"/>
        </w:rPr>
        <w:t>: 1789-1796 [PMID: 8790072 DOI: 10.1001/archinte.1996.00440150033003</w:t>
      </w:r>
      <w:r>
        <w:rPr>
          <w:rFonts w:ascii="Book Antiqua" w:eastAsia="宋体" w:hAnsi="Book Antiqua" w:cs="宋体" w:hint="eastAsia"/>
          <w:kern w:val="0"/>
          <w:sz w:val="24"/>
          <w:szCs w:val="24"/>
          <w:lang w:eastAsia="zh-CN"/>
        </w:rPr>
        <w:t>]</w:t>
      </w:r>
    </w:p>
    <w:p w14:paraId="533AE099"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13 </w:t>
      </w:r>
      <w:r w:rsidRPr="00AF7267">
        <w:rPr>
          <w:rFonts w:ascii="Book Antiqua" w:eastAsia="宋体" w:hAnsi="Book Antiqua" w:cs="宋体"/>
          <w:b/>
          <w:bCs/>
          <w:kern w:val="0"/>
          <w:sz w:val="24"/>
          <w:szCs w:val="24"/>
          <w:lang w:eastAsia="zh-CN"/>
        </w:rPr>
        <w:t>Ruilope LM</w:t>
      </w:r>
      <w:r w:rsidRPr="00AF7267">
        <w:rPr>
          <w:rFonts w:ascii="Book Antiqua" w:eastAsia="宋体" w:hAnsi="Book Antiqua" w:cs="宋体"/>
          <w:kern w:val="0"/>
          <w:sz w:val="24"/>
          <w:szCs w:val="24"/>
          <w:lang w:eastAsia="zh-CN"/>
        </w:rPr>
        <w:t xml:space="preserve">, Schmieder RE. Left ventricular hypertrophy and clinical outcomes in hypertensive patients. </w:t>
      </w:r>
      <w:r w:rsidRPr="00AF7267">
        <w:rPr>
          <w:rFonts w:ascii="Book Antiqua" w:eastAsia="宋体" w:hAnsi="Book Antiqua" w:cs="宋体"/>
          <w:i/>
          <w:iCs/>
          <w:kern w:val="0"/>
          <w:sz w:val="24"/>
          <w:szCs w:val="24"/>
          <w:lang w:eastAsia="zh-CN"/>
        </w:rPr>
        <w:t>Am J Hypertens</w:t>
      </w:r>
      <w:r w:rsidRPr="00AF7267">
        <w:rPr>
          <w:rFonts w:ascii="Book Antiqua" w:eastAsia="宋体" w:hAnsi="Book Antiqua" w:cs="宋体"/>
          <w:kern w:val="0"/>
          <w:sz w:val="24"/>
          <w:szCs w:val="24"/>
          <w:lang w:eastAsia="zh-CN"/>
        </w:rPr>
        <w:t xml:space="preserve"> 2008; </w:t>
      </w:r>
      <w:r w:rsidRPr="00AF7267">
        <w:rPr>
          <w:rFonts w:ascii="Book Antiqua" w:eastAsia="宋体" w:hAnsi="Book Antiqua" w:cs="宋体"/>
          <w:b/>
          <w:bCs/>
          <w:kern w:val="0"/>
          <w:sz w:val="24"/>
          <w:szCs w:val="24"/>
          <w:lang w:eastAsia="zh-CN"/>
        </w:rPr>
        <w:t>21</w:t>
      </w:r>
      <w:r w:rsidRPr="00AF7267">
        <w:rPr>
          <w:rFonts w:ascii="Book Antiqua" w:eastAsia="宋体" w:hAnsi="Book Antiqua" w:cs="宋体"/>
          <w:kern w:val="0"/>
          <w:sz w:val="24"/>
          <w:szCs w:val="24"/>
          <w:lang w:eastAsia="zh-CN"/>
        </w:rPr>
        <w:t>: 500-508 [PMID: 18437140 DOI: 10.1038/ajh.2008.16]</w:t>
      </w:r>
    </w:p>
    <w:p w14:paraId="14C73A8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14 </w:t>
      </w:r>
      <w:r w:rsidRPr="00AF7267">
        <w:rPr>
          <w:rFonts w:ascii="Book Antiqua" w:eastAsia="宋体" w:hAnsi="Book Antiqua" w:cs="宋体"/>
          <w:b/>
          <w:bCs/>
          <w:kern w:val="0"/>
          <w:sz w:val="24"/>
          <w:szCs w:val="24"/>
          <w:lang w:eastAsia="zh-CN"/>
        </w:rPr>
        <w:t>Cuspidi C</w:t>
      </w:r>
      <w:r w:rsidRPr="00AF7267">
        <w:rPr>
          <w:rFonts w:ascii="Book Antiqua" w:eastAsia="宋体" w:hAnsi="Book Antiqua" w:cs="宋体"/>
          <w:kern w:val="0"/>
          <w:sz w:val="24"/>
          <w:szCs w:val="24"/>
          <w:lang w:eastAsia="zh-CN"/>
        </w:rPr>
        <w:t xml:space="preserve">, Sala C, Negri F, Mancia G, Morganti A. Prevalence of left-ventricular hypertrophy in hypertension: an updated review of echocardiographic studies. </w:t>
      </w:r>
      <w:r w:rsidRPr="00AF7267">
        <w:rPr>
          <w:rFonts w:ascii="Book Antiqua" w:eastAsia="宋体" w:hAnsi="Book Antiqua" w:cs="宋体"/>
          <w:i/>
          <w:iCs/>
          <w:kern w:val="0"/>
          <w:sz w:val="24"/>
          <w:szCs w:val="24"/>
          <w:lang w:eastAsia="zh-CN"/>
        </w:rPr>
        <w:t>J Hum Hypertens</w:t>
      </w:r>
      <w:r w:rsidRPr="00AF7267">
        <w:rPr>
          <w:rFonts w:ascii="Book Antiqua" w:eastAsia="宋体" w:hAnsi="Book Antiqua" w:cs="宋体"/>
          <w:kern w:val="0"/>
          <w:sz w:val="24"/>
          <w:szCs w:val="24"/>
          <w:lang w:eastAsia="zh-CN"/>
        </w:rPr>
        <w:t xml:space="preserve"> 2012; </w:t>
      </w:r>
      <w:r w:rsidRPr="00AF7267">
        <w:rPr>
          <w:rFonts w:ascii="Book Antiqua" w:eastAsia="宋体" w:hAnsi="Book Antiqua" w:cs="宋体"/>
          <w:b/>
          <w:bCs/>
          <w:kern w:val="0"/>
          <w:sz w:val="24"/>
          <w:szCs w:val="24"/>
          <w:lang w:eastAsia="zh-CN"/>
        </w:rPr>
        <w:t>26</w:t>
      </w:r>
      <w:r w:rsidRPr="00AF7267">
        <w:rPr>
          <w:rFonts w:ascii="Book Antiqua" w:eastAsia="宋体" w:hAnsi="Book Antiqua" w:cs="宋体"/>
          <w:kern w:val="0"/>
          <w:sz w:val="24"/>
          <w:szCs w:val="24"/>
          <w:lang w:eastAsia="zh-CN"/>
        </w:rPr>
        <w:t>: 343-349 [PMID: 22113443 DOI: 10.1038/jhh.2011.104]</w:t>
      </w:r>
    </w:p>
    <w:p w14:paraId="3A1D2AE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15 </w:t>
      </w:r>
      <w:r w:rsidRPr="00AF7267">
        <w:rPr>
          <w:rFonts w:ascii="Book Antiqua" w:eastAsia="宋体" w:hAnsi="Book Antiqua" w:cs="宋体"/>
          <w:b/>
          <w:bCs/>
          <w:kern w:val="0"/>
          <w:sz w:val="24"/>
          <w:szCs w:val="24"/>
          <w:lang w:eastAsia="zh-CN"/>
        </w:rPr>
        <w:t>Daniels SD</w:t>
      </w:r>
      <w:r w:rsidRPr="00AF7267">
        <w:rPr>
          <w:rFonts w:ascii="Book Antiqua" w:eastAsia="宋体" w:hAnsi="Book Antiqua" w:cs="宋体"/>
          <w:kern w:val="0"/>
          <w:sz w:val="24"/>
          <w:szCs w:val="24"/>
          <w:lang w:eastAsia="zh-CN"/>
        </w:rPr>
        <w:t xml:space="preserve">, Meyer RA, Loggie JM. Determinants of cardiac involvement in children and adolescents with essential hypertension.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1990; </w:t>
      </w:r>
      <w:r w:rsidRPr="00AF7267">
        <w:rPr>
          <w:rFonts w:ascii="Book Antiqua" w:eastAsia="宋体" w:hAnsi="Book Antiqua" w:cs="宋体"/>
          <w:b/>
          <w:bCs/>
          <w:kern w:val="0"/>
          <w:sz w:val="24"/>
          <w:szCs w:val="24"/>
          <w:lang w:eastAsia="zh-CN"/>
        </w:rPr>
        <w:t>82</w:t>
      </w:r>
      <w:r w:rsidRPr="00AF7267">
        <w:rPr>
          <w:rFonts w:ascii="Book Antiqua" w:eastAsia="宋体" w:hAnsi="Book Antiqua" w:cs="宋体"/>
          <w:kern w:val="0"/>
          <w:sz w:val="24"/>
          <w:szCs w:val="24"/>
          <w:lang w:eastAsia="zh-CN"/>
        </w:rPr>
        <w:t>: 1243-1248 [PMID: 2401062 DOI: 10.1161/01.CIR.82.4.1243]</w:t>
      </w:r>
    </w:p>
    <w:p w14:paraId="0C04B6CB"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16 </w:t>
      </w:r>
      <w:r w:rsidRPr="00AF7267">
        <w:rPr>
          <w:rFonts w:ascii="Book Antiqua" w:eastAsia="宋体" w:hAnsi="Book Antiqua" w:cs="宋体"/>
          <w:b/>
          <w:bCs/>
          <w:kern w:val="0"/>
          <w:sz w:val="24"/>
          <w:szCs w:val="24"/>
          <w:lang w:eastAsia="zh-CN"/>
        </w:rPr>
        <w:t>Schnall PL</w:t>
      </w:r>
      <w:r w:rsidRPr="00AF7267">
        <w:rPr>
          <w:rFonts w:ascii="Book Antiqua" w:eastAsia="宋体" w:hAnsi="Book Antiqua" w:cs="宋体"/>
          <w:kern w:val="0"/>
          <w:sz w:val="24"/>
          <w:szCs w:val="24"/>
          <w:lang w:eastAsia="zh-CN"/>
        </w:rPr>
        <w:t xml:space="preserve">, Pieper C, Schwartz JE, Karasek RA, Schlussel Y, Devereux RB, Ganau A, Alderman M, Warren K, Pickering TG. The relationship between 'job strain,' workplace diastolic blood pressure, and left ventricular mass index. Results of a case-control study. </w:t>
      </w:r>
      <w:r w:rsidRPr="00AF7267">
        <w:rPr>
          <w:rFonts w:ascii="Book Antiqua" w:eastAsia="宋体" w:hAnsi="Book Antiqua" w:cs="宋体"/>
          <w:i/>
          <w:iCs/>
          <w:kern w:val="0"/>
          <w:sz w:val="24"/>
          <w:szCs w:val="24"/>
          <w:lang w:eastAsia="zh-CN"/>
        </w:rPr>
        <w:t>JAMA</w:t>
      </w:r>
      <w:r w:rsidRPr="00AF7267">
        <w:rPr>
          <w:rFonts w:ascii="Book Antiqua" w:eastAsia="宋体" w:hAnsi="Book Antiqua" w:cs="宋体"/>
          <w:kern w:val="0"/>
          <w:sz w:val="24"/>
          <w:szCs w:val="24"/>
          <w:lang w:eastAsia="zh-CN"/>
        </w:rPr>
        <w:t xml:space="preserve"> 1990; </w:t>
      </w:r>
      <w:r w:rsidRPr="00AF7267">
        <w:rPr>
          <w:rFonts w:ascii="Book Antiqua" w:eastAsia="宋体" w:hAnsi="Book Antiqua" w:cs="宋体"/>
          <w:b/>
          <w:bCs/>
          <w:kern w:val="0"/>
          <w:sz w:val="24"/>
          <w:szCs w:val="24"/>
          <w:lang w:eastAsia="zh-CN"/>
        </w:rPr>
        <w:t>263</w:t>
      </w:r>
      <w:r w:rsidRPr="00AF7267">
        <w:rPr>
          <w:rFonts w:ascii="Book Antiqua" w:eastAsia="宋体" w:hAnsi="Book Antiqua" w:cs="宋体"/>
          <w:kern w:val="0"/>
          <w:sz w:val="24"/>
          <w:szCs w:val="24"/>
          <w:lang w:eastAsia="zh-CN"/>
        </w:rPr>
        <w:t>: 1929-1935 [PMID: 2138234 DOI: 10.1001/jama.1990.03440140055031]</w:t>
      </w:r>
    </w:p>
    <w:p w14:paraId="2BE5446B"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17 </w:t>
      </w:r>
      <w:r w:rsidRPr="00AF7267">
        <w:rPr>
          <w:rFonts w:ascii="Book Antiqua" w:eastAsia="宋体" w:hAnsi="Book Antiqua" w:cs="宋体"/>
          <w:b/>
          <w:bCs/>
          <w:kern w:val="0"/>
          <w:sz w:val="24"/>
          <w:szCs w:val="24"/>
          <w:lang w:eastAsia="zh-CN"/>
        </w:rPr>
        <w:t>Devereux RB</w:t>
      </w:r>
      <w:r w:rsidRPr="00AF7267">
        <w:rPr>
          <w:rFonts w:ascii="Book Antiqua" w:eastAsia="宋体" w:hAnsi="Book Antiqua" w:cs="宋体"/>
          <w:kern w:val="0"/>
          <w:sz w:val="24"/>
          <w:szCs w:val="24"/>
          <w:lang w:eastAsia="zh-CN"/>
        </w:rPr>
        <w:t xml:space="preserve">, Pickering TG, Harshfield GA, Kleinert HD, Denby L, Clark L, Pregibon D, Jason M, Kleiner B, Borer JS, Laragh JH. Left ventricular hypertrophy in patients with hypertension: importance of blood pressure response to regularly recurring stress.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1983; </w:t>
      </w:r>
      <w:r w:rsidRPr="00AF7267">
        <w:rPr>
          <w:rFonts w:ascii="Book Antiqua" w:eastAsia="宋体" w:hAnsi="Book Antiqua" w:cs="宋体"/>
          <w:b/>
          <w:bCs/>
          <w:kern w:val="0"/>
          <w:sz w:val="24"/>
          <w:szCs w:val="24"/>
          <w:lang w:eastAsia="zh-CN"/>
        </w:rPr>
        <w:t>68</w:t>
      </w:r>
      <w:r w:rsidRPr="00AF7267">
        <w:rPr>
          <w:rFonts w:ascii="Book Antiqua" w:eastAsia="宋体" w:hAnsi="Book Antiqua" w:cs="宋体"/>
          <w:kern w:val="0"/>
          <w:sz w:val="24"/>
          <w:szCs w:val="24"/>
          <w:lang w:eastAsia="zh-CN"/>
        </w:rPr>
        <w:t>: 470-476 [PMID: 6223721 DOI: 10.1161/01.CIR.68.3.470]</w:t>
      </w:r>
    </w:p>
    <w:p w14:paraId="157E78F7"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18 </w:t>
      </w:r>
      <w:r w:rsidRPr="00AF7267">
        <w:rPr>
          <w:rFonts w:ascii="Book Antiqua" w:eastAsia="宋体" w:hAnsi="Book Antiqua" w:cs="宋体"/>
          <w:b/>
          <w:bCs/>
          <w:kern w:val="0"/>
          <w:sz w:val="24"/>
          <w:szCs w:val="24"/>
          <w:lang w:eastAsia="zh-CN"/>
        </w:rPr>
        <w:t>Post WS</w:t>
      </w:r>
      <w:r w:rsidRPr="00AF7267">
        <w:rPr>
          <w:rFonts w:ascii="Book Antiqua" w:eastAsia="宋体" w:hAnsi="Book Antiqua" w:cs="宋体"/>
          <w:kern w:val="0"/>
          <w:sz w:val="24"/>
          <w:szCs w:val="24"/>
          <w:lang w:eastAsia="zh-CN"/>
        </w:rPr>
        <w:t xml:space="preserve">, Larson MG, Levy D. Impact of left ventricular structure on the incidence of hypertension. The Framingham Heart Study.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1994; </w:t>
      </w:r>
      <w:r w:rsidRPr="00AF7267">
        <w:rPr>
          <w:rFonts w:ascii="Book Antiqua" w:eastAsia="宋体" w:hAnsi="Book Antiqua" w:cs="宋体"/>
          <w:b/>
          <w:bCs/>
          <w:kern w:val="0"/>
          <w:sz w:val="24"/>
          <w:szCs w:val="24"/>
          <w:lang w:eastAsia="zh-CN"/>
        </w:rPr>
        <w:t>90</w:t>
      </w:r>
      <w:r w:rsidRPr="00AF7267">
        <w:rPr>
          <w:rFonts w:ascii="Book Antiqua" w:eastAsia="宋体" w:hAnsi="Book Antiqua" w:cs="宋体"/>
          <w:kern w:val="0"/>
          <w:sz w:val="24"/>
          <w:szCs w:val="24"/>
          <w:lang w:eastAsia="zh-CN"/>
        </w:rPr>
        <w:t>: 179-185 [PMID: 8025994 DOI: 10.1161/01.CIR.90.1.179]</w:t>
      </w:r>
    </w:p>
    <w:p w14:paraId="2FF3692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19 </w:t>
      </w:r>
      <w:r w:rsidRPr="00AF7267">
        <w:rPr>
          <w:rFonts w:ascii="Book Antiqua" w:eastAsia="宋体" w:hAnsi="Book Antiqua" w:cs="宋体"/>
          <w:b/>
          <w:bCs/>
          <w:kern w:val="0"/>
          <w:sz w:val="24"/>
          <w:szCs w:val="24"/>
          <w:lang w:eastAsia="zh-CN"/>
        </w:rPr>
        <w:t>Akhter SA</w:t>
      </w:r>
      <w:r w:rsidRPr="00AF7267">
        <w:rPr>
          <w:rFonts w:ascii="Book Antiqua" w:eastAsia="宋体" w:hAnsi="Book Antiqua" w:cs="宋体"/>
          <w:kern w:val="0"/>
          <w:sz w:val="24"/>
          <w:szCs w:val="24"/>
          <w:lang w:eastAsia="zh-CN"/>
        </w:rPr>
        <w:t xml:space="preserve">, Luttrell LM, Rockman HA, Iaccarino G, Lefkowitz RJ, Koch WJ. Targeting the receptor-Gq interface to inhibit in vivo pressure overload myocardial hypertrophy. </w:t>
      </w:r>
      <w:r w:rsidRPr="00AF7267">
        <w:rPr>
          <w:rFonts w:ascii="Book Antiqua" w:eastAsia="宋体" w:hAnsi="Book Antiqua" w:cs="宋体"/>
          <w:i/>
          <w:iCs/>
          <w:kern w:val="0"/>
          <w:sz w:val="24"/>
          <w:szCs w:val="24"/>
          <w:lang w:eastAsia="zh-CN"/>
        </w:rPr>
        <w:t>Science</w:t>
      </w:r>
      <w:r w:rsidRPr="00AF7267">
        <w:rPr>
          <w:rFonts w:ascii="Book Antiqua" w:eastAsia="宋体" w:hAnsi="Book Antiqua" w:cs="宋体"/>
          <w:kern w:val="0"/>
          <w:sz w:val="24"/>
          <w:szCs w:val="24"/>
          <w:lang w:eastAsia="zh-CN"/>
        </w:rPr>
        <w:t xml:space="preserve"> 1998; </w:t>
      </w:r>
      <w:r w:rsidRPr="00AF7267">
        <w:rPr>
          <w:rFonts w:ascii="Book Antiqua" w:eastAsia="宋体" w:hAnsi="Book Antiqua" w:cs="宋体"/>
          <w:b/>
          <w:bCs/>
          <w:kern w:val="0"/>
          <w:sz w:val="24"/>
          <w:szCs w:val="24"/>
          <w:lang w:eastAsia="zh-CN"/>
        </w:rPr>
        <w:t>280</w:t>
      </w:r>
      <w:r w:rsidRPr="00AF7267">
        <w:rPr>
          <w:rFonts w:ascii="Book Antiqua" w:eastAsia="宋体" w:hAnsi="Book Antiqua" w:cs="宋体"/>
          <w:kern w:val="0"/>
          <w:sz w:val="24"/>
          <w:szCs w:val="24"/>
          <w:lang w:eastAsia="zh-CN"/>
        </w:rPr>
        <w:t>: 574-577 [PMID: 9554846 DOI: 10.1126/science.280.5363.574]</w:t>
      </w:r>
    </w:p>
    <w:p w14:paraId="2815092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20 </w:t>
      </w:r>
      <w:r w:rsidRPr="00AF7267">
        <w:rPr>
          <w:rFonts w:ascii="Book Antiqua" w:eastAsia="宋体" w:hAnsi="Book Antiqua" w:cs="宋体"/>
          <w:b/>
          <w:bCs/>
          <w:kern w:val="0"/>
          <w:sz w:val="24"/>
          <w:szCs w:val="24"/>
          <w:lang w:eastAsia="zh-CN"/>
        </w:rPr>
        <w:t>Ohishi M</w:t>
      </w:r>
      <w:r w:rsidRPr="00AF7267">
        <w:rPr>
          <w:rFonts w:ascii="Book Antiqua" w:eastAsia="宋体" w:hAnsi="Book Antiqua" w:cs="宋体"/>
          <w:kern w:val="0"/>
          <w:sz w:val="24"/>
          <w:szCs w:val="24"/>
          <w:lang w:eastAsia="zh-CN"/>
        </w:rPr>
        <w:t xml:space="preserve">, Rakugi H, Ogihara T. Association between a deletion polymorphism of the angiotensin-converting-enzyme gene and left ventricular hypertrophy. </w:t>
      </w:r>
      <w:r w:rsidRPr="00AF7267">
        <w:rPr>
          <w:rFonts w:ascii="Book Antiqua" w:eastAsia="宋体" w:hAnsi="Book Antiqua" w:cs="宋体"/>
          <w:i/>
          <w:iCs/>
          <w:kern w:val="0"/>
          <w:sz w:val="24"/>
          <w:szCs w:val="24"/>
          <w:lang w:eastAsia="zh-CN"/>
        </w:rPr>
        <w:t>N Engl J Med</w:t>
      </w:r>
      <w:r w:rsidRPr="00AF7267">
        <w:rPr>
          <w:rFonts w:ascii="Book Antiqua" w:eastAsia="宋体" w:hAnsi="Book Antiqua" w:cs="宋体"/>
          <w:kern w:val="0"/>
          <w:sz w:val="24"/>
          <w:szCs w:val="24"/>
          <w:lang w:eastAsia="zh-CN"/>
        </w:rPr>
        <w:t xml:space="preserve"> 1994; </w:t>
      </w:r>
      <w:r w:rsidRPr="00AF7267">
        <w:rPr>
          <w:rFonts w:ascii="Book Antiqua" w:eastAsia="宋体" w:hAnsi="Book Antiqua" w:cs="宋体"/>
          <w:b/>
          <w:bCs/>
          <w:kern w:val="0"/>
          <w:sz w:val="24"/>
          <w:szCs w:val="24"/>
          <w:lang w:eastAsia="zh-CN"/>
        </w:rPr>
        <w:t>331</w:t>
      </w:r>
      <w:r w:rsidRPr="00AF7267">
        <w:rPr>
          <w:rFonts w:ascii="Book Antiqua" w:eastAsia="宋体" w:hAnsi="Book Antiqua" w:cs="宋体"/>
          <w:kern w:val="0"/>
          <w:sz w:val="24"/>
          <w:szCs w:val="24"/>
          <w:lang w:eastAsia="zh-CN"/>
        </w:rPr>
        <w:t>: 1097-1098 [PMID: 7993479 DOI: 10.1056/NEJM199410203311616]</w:t>
      </w:r>
    </w:p>
    <w:p w14:paraId="4A0DFCA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21 </w:t>
      </w:r>
      <w:r w:rsidRPr="00AF7267">
        <w:rPr>
          <w:rFonts w:ascii="Book Antiqua" w:eastAsia="宋体" w:hAnsi="Book Antiqua" w:cs="宋体"/>
          <w:b/>
          <w:bCs/>
          <w:kern w:val="0"/>
          <w:sz w:val="24"/>
          <w:szCs w:val="24"/>
          <w:lang w:eastAsia="zh-CN"/>
        </w:rPr>
        <w:t>Brull D</w:t>
      </w:r>
      <w:r w:rsidRPr="00AF7267">
        <w:rPr>
          <w:rFonts w:ascii="Book Antiqua" w:eastAsia="宋体" w:hAnsi="Book Antiqua" w:cs="宋体"/>
          <w:kern w:val="0"/>
          <w:sz w:val="24"/>
          <w:szCs w:val="24"/>
          <w:lang w:eastAsia="zh-CN"/>
        </w:rPr>
        <w:t xml:space="preserve">, Dhamrait S, Myerson S, Erdmann J, Woods D, World M, Pennell D, Humphries S, Regitz-Zagrosek V, Montgomery H. Bradykinin B2BKR receptor polymorphism and left-ventricular growth response. </w:t>
      </w:r>
      <w:r w:rsidRPr="00AF7267">
        <w:rPr>
          <w:rFonts w:ascii="Book Antiqua" w:eastAsia="宋体" w:hAnsi="Book Antiqua" w:cs="宋体"/>
          <w:i/>
          <w:iCs/>
          <w:kern w:val="0"/>
          <w:sz w:val="24"/>
          <w:szCs w:val="24"/>
          <w:lang w:eastAsia="zh-CN"/>
        </w:rPr>
        <w:t>Lancet</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358</w:t>
      </w:r>
      <w:r w:rsidRPr="00AF7267">
        <w:rPr>
          <w:rFonts w:ascii="Book Antiqua" w:eastAsia="宋体" w:hAnsi="Book Antiqua" w:cs="宋体"/>
          <w:kern w:val="0"/>
          <w:sz w:val="24"/>
          <w:szCs w:val="24"/>
          <w:lang w:eastAsia="zh-CN"/>
        </w:rPr>
        <w:t>: 1155-1156 [PMID: 11597672 DOI: 10.1016/S0140-6736(01)06273-0]</w:t>
      </w:r>
    </w:p>
    <w:p w14:paraId="15A295CC" w14:textId="2707EBCF"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22 </w:t>
      </w:r>
      <w:r w:rsidRPr="00AF7267">
        <w:rPr>
          <w:rFonts w:ascii="Book Antiqua" w:eastAsia="宋体" w:hAnsi="Book Antiqua" w:cs="宋体"/>
          <w:b/>
          <w:bCs/>
          <w:kern w:val="0"/>
          <w:sz w:val="24"/>
          <w:szCs w:val="24"/>
          <w:lang w:eastAsia="zh-CN"/>
        </w:rPr>
        <w:t>Kizer JR</w:t>
      </w:r>
      <w:r w:rsidRPr="00AF7267">
        <w:rPr>
          <w:rFonts w:ascii="Book Antiqua" w:eastAsia="宋体" w:hAnsi="Book Antiqua" w:cs="宋体"/>
          <w:kern w:val="0"/>
          <w:sz w:val="24"/>
          <w:szCs w:val="24"/>
          <w:lang w:eastAsia="zh-CN"/>
        </w:rPr>
        <w:t xml:space="preserve">, Arnett DK, Bella JN, Paranicas M, Rao DC, Province MA, Oberman A, Kitzman DW, Hopkins PN, Liu JE, Devereux RB. Differences in left ventricular structure between black and white hypertensive adults: the Hypertension Genetic Epidemiology Network study.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2004; </w:t>
      </w:r>
      <w:r w:rsidRPr="00AF7267">
        <w:rPr>
          <w:rFonts w:ascii="Book Antiqua" w:eastAsia="宋体" w:hAnsi="Book Antiqua" w:cs="宋体"/>
          <w:b/>
          <w:bCs/>
          <w:kern w:val="0"/>
          <w:sz w:val="24"/>
          <w:szCs w:val="24"/>
          <w:lang w:eastAsia="zh-CN"/>
        </w:rPr>
        <w:t>43</w:t>
      </w:r>
      <w:r w:rsidRPr="00AF7267">
        <w:rPr>
          <w:rFonts w:ascii="Book Antiqua" w:eastAsia="宋体" w:hAnsi="Book Antiqua" w:cs="宋体"/>
          <w:kern w:val="0"/>
          <w:sz w:val="24"/>
          <w:szCs w:val="24"/>
          <w:lang w:eastAsia="zh-CN"/>
        </w:rPr>
        <w:t>: 1182-1188 [PMID: 15123573 DOI: 10.1161/01.HYP</w:t>
      </w:r>
      <w:r>
        <w:rPr>
          <w:rFonts w:ascii="Book Antiqua" w:eastAsia="宋体" w:hAnsi="Book Antiqua" w:cs="宋体" w:hint="eastAsia"/>
          <w:kern w:val="0"/>
          <w:sz w:val="24"/>
          <w:szCs w:val="24"/>
          <w:lang w:eastAsia="zh-CN"/>
        </w:rPr>
        <w:t>]</w:t>
      </w:r>
    </w:p>
    <w:p w14:paraId="195961A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23 </w:t>
      </w:r>
      <w:r w:rsidRPr="00AF7267">
        <w:rPr>
          <w:rFonts w:ascii="Book Antiqua" w:eastAsia="宋体" w:hAnsi="Book Antiqua" w:cs="宋体"/>
          <w:b/>
          <w:bCs/>
          <w:kern w:val="0"/>
          <w:sz w:val="24"/>
          <w:szCs w:val="24"/>
          <w:lang w:eastAsia="zh-CN"/>
        </w:rPr>
        <w:t>Devereux RB</w:t>
      </w:r>
      <w:r w:rsidRPr="00AF7267">
        <w:rPr>
          <w:rFonts w:ascii="Book Antiqua" w:eastAsia="宋体" w:hAnsi="Book Antiqua" w:cs="宋体"/>
          <w:kern w:val="0"/>
          <w:sz w:val="24"/>
          <w:szCs w:val="24"/>
          <w:lang w:eastAsia="zh-CN"/>
        </w:rPr>
        <w:t xml:space="preserve">, Roman MJ. Left ventricular hypertrophy in hypertension: stimuli, patterns, and consequences. </w:t>
      </w:r>
      <w:r w:rsidRPr="00AF7267">
        <w:rPr>
          <w:rFonts w:ascii="Book Antiqua" w:eastAsia="宋体" w:hAnsi="Book Antiqua" w:cs="宋体"/>
          <w:i/>
          <w:iCs/>
          <w:kern w:val="0"/>
          <w:sz w:val="24"/>
          <w:szCs w:val="24"/>
          <w:lang w:eastAsia="zh-CN"/>
        </w:rPr>
        <w:t>Hypertens Res</w:t>
      </w:r>
      <w:r w:rsidRPr="00AF7267">
        <w:rPr>
          <w:rFonts w:ascii="Book Antiqua" w:eastAsia="宋体" w:hAnsi="Book Antiqua" w:cs="宋体"/>
          <w:kern w:val="0"/>
          <w:sz w:val="24"/>
          <w:szCs w:val="24"/>
          <w:lang w:eastAsia="zh-CN"/>
        </w:rPr>
        <w:t xml:space="preserve"> 1999; </w:t>
      </w:r>
      <w:r w:rsidRPr="00AF7267">
        <w:rPr>
          <w:rFonts w:ascii="Book Antiqua" w:eastAsia="宋体" w:hAnsi="Book Antiqua" w:cs="宋体"/>
          <w:b/>
          <w:bCs/>
          <w:kern w:val="0"/>
          <w:sz w:val="24"/>
          <w:szCs w:val="24"/>
          <w:lang w:eastAsia="zh-CN"/>
        </w:rPr>
        <w:t>22</w:t>
      </w:r>
      <w:r w:rsidRPr="00AF7267">
        <w:rPr>
          <w:rFonts w:ascii="Book Antiqua" w:eastAsia="宋体" w:hAnsi="Book Antiqua" w:cs="宋体"/>
          <w:kern w:val="0"/>
          <w:sz w:val="24"/>
          <w:szCs w:val="24"/>
          <w:lang w:eastAsia="zh-CN"/>
        </w:rPr>
        <w:t>: 1-9 [PMID: 10221344 DOI: 10.1291/hypres.22.1]</w:t>
      </w:r>
    </w:p>
    <w:p w14:paraId="1503A2B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24 </w:t>
      </w:r>
      <w:r w:rsidRPr="00AF7267">
        <w:rPr>
          <w:rFonts w:ascii="Book Antiqua" w:eastAsia="宋体" w:hAnsi="Book Antiqua" w:cs="宋体"/>
          <w:b/>
          <w:bCs/>
          <w:kern w:val="0"/>
          <w:sz w:val="24"/>
          <w:szCs w:val="24"/>
          <w:lang w:eastAsia="zh-CN"/>
        </w:rPr>
        <w:t>Ganau A</w:t>
      </w:r>
      <w:r w:rsidRPr="00AF7267">
        <w:rPr>
          <w:rFonts w:ascii="Book Antiqua" w:eastAsia="宋体" w:hAnsi="Book Antiqua" w:cs="宋体"/>
          <w:kern w:val="0"/>
          <w:sz w:val="24"/>
          <w:szCs w:val="24"/>
          <w:lang w:eastAsia="zh-CN"/>
        </w:rPr>
        <w:t xml:space="preserve">, Devereux RB, Roman MJ, de Simone G, Pickering TG, Saba PS, Vargiu P, Simongini I, Laragh JH. Patterns of left ventricular hypertrophy and geometric remodeling in essential hypertension. </w:t>
      </w:r>
      <w:r w:rsidRPr="00AF7267">
        <w:rPr>
          <w:rFonts w:ascii="Book Antiqua" w:eastAsia="宋体" w:hAnsi="Book Antiqua" w:cs="宋体"/>
          <w:i/>
          <w:iCs/>
          <w:kern w:val="0"/>
          <w:sz w:val="24"/>
          <w:szCs w:val="24"/>
          <w:lang w:eastAsia="zh-CN"/>
        </w:rPr>
        <w:t>J Am Coll Cardiol</w:t>
      </w:r>
      <w:r w:rsidRPr="00AF7267">
        <w:rPr>
          <w:rFonts w:ascii="Book Antiqua" w:eastAsia="宋体" w:hAnsi="Book Antiqua" w:cs="宋体"/>
          <w:kern w:val="0"/>
          <w:sz w:val="24"/>
          <w:szCs w:val="24"/>
          <w:lang w:eastAsia="zh-CN"/>
        </w:rPr>
        <w:t xml:space="preserve"> 1992; </w:t>
      </w:r>
      <w:r w:rsidRPr="00AF7267">
        <w:rPr>
          <w:rFonts w:ascii="Book Antiqua" w:eastAsia="宋体" w:hAnsi="Book Antiqua" w:cs="宋体"/>
          <w:b/>
          <w:bCs/>
          <w:kern w:val="0"/>
          <w:sz w:val="24"/>
          <w:szCs w:val="24"/>
          <w:lang w:eastAsia="zh-CN"/>
        </w:rPr>
        <w:t>19</w:t>
      </w:r>
      <w:r w:rsidRPr="00AF7267">
        <w:rPr>
          <w:rFonts w:ascii="Book Antiqua" w:eastAsia="宋体" w:hAnsi="Book Antiqua" w:cs="宋体"/>
          <w:kern w:val="0"/>
          <w:sz w:val="24"/>
          <w:szCs w:val="24"/>
          <w:lang w:eastAsia="zh-CN"/>
        </w:rPr>
        <w:t>: 1550-1558 [PMID: 1534335 DOI: 10.1016/0735-1097(92)90617-V]</w:t>
      </w:r>
    </w:p>
    <w:p w14:paraId="478589D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25 </w:t>
      </w:r>
      <w:r w:rsidRPr="00AF7267">
        <w:rPr>
          <w:rFonts w:ascii="Book Antiqua" w:eastAsia="宋体" w:hAnsi="Book Antiqua" w:cs="宋体"/>
          <w:b/>
          <w:bCs/>
          <w:kern w:val="0"/>
          <w:sz w:val="24"/>
          <w:szCs w:val="24"/>
          <w:lang w:eastAsia="zh-CN"/>
        </w:rPr>
        <w:t>Wigle ED</w:t>
      </w:r>
      <w:r w:rsidRPr="00AF7267">
        <w:rPr>
          <w:rFonts w:ascii="Book Antiqua" w:eastAsia="宋体" w:hAnsi="Book Antiqua" w:cs="宋体"/>
          <w:kern w:val="0"/>
          <w:sz w:val="24"/>
          <w:szCs w:val="24"/>
          <w:lang w:eastAsia="zh-CN"/>
        </w:rPr>
        <w:t xml:space="preserve">, Rakowski H, Kimball BP, Williams WG. Hypertrophic cardiomyopathy. Clinical spectrum and treatment.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1995; </w:t>
      </w:r>
      <w:r w:rsidRPr="00AF7267">
        <w:rPr>
          <w:rFonts w:ascii="Book Antiqua" w:eastAsia="宋体" w:hAnsi="Book Antiqua" w:cs="宋体"/>
          <w:b/>
          <w:bCs/>
          <w:kern w:val="0"/>
          <w:sz w:val="24"/>
          <w:szCs w:val="24"/>
          <w:lang w:eastAsia="zh-CN"/>
        </w:rPr>
        <w:t>92</w:t>
      </w:r>
      <w:r w:rsidRPr="00AF7267">
        <w:rPr>
          <w:rFonts w:ascii="Book Antiqua" w:eastAsia="宋体" w:hAnsi="Book Antiqua" w:cs="宋体"/>
          <w:kern w:val="0"/>
          <w:sz w:val="24"/>
          <w:szCs w:val="24"/>
          <w:lang w:eastAsia="zh-CN"/>
        </w:rPr>
        <w:t>: 1680-1692 [PMID: 7671349 DOI: 10.1161/01.CIR.92.7.1680]</w:t>
      </w:r>
    </w:p>
    <w:p w14:paraId="6906BF25"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26 </w:t>
      </w:r>
      <w:r w:rsidRPr="00AF7267">
        <w:rPr>
          <w:rFonts w:ascii="Book Antiqua" w:eastAsia="宋体" w:hAnsi="Book Antiqua" w:cs="宋体"/>
          <w:b/>
          <w:bCs/>
          <w:kern w:val="0"/>
          <w:sz w:val="24"/>
          <w:szCs w:val="24"/>
          <w:lang w:eastAsia="zh-CN"/>
        </w:rPr>
        <w:t>Shapiro LM</w:t>
      </w:r>
      <w:r w:rsidRPr="00AF7267">
        <w:rPr>
          <w:rFonts w:ascii="Book Antiqua" w:eastAsia="宋体" w:hAnsi="Book Antiqua" w:cs="宋体"/>
          <w:kern w:val="0"/>
          <w:sz w:val="24"/>
          <w:szCs w:val="24"/>
          <w:lang w:eastAsia="zh-CN"/>
        </w:rPr>
        <w:t xml:space="preserve">, McKenna WJ. Distribution of left ventricular hypertrophy in hypertrophic cardiomyopathy: a two-dimensional echocardiographic study. </w:t>
      </w:r>
      <w:r w:rsidRPr="00AF7267">
        <w:rPr>
          <w:rFonts w:ascii="Book Antiqua" w:eastAsia="宋体" w:hAnsi="Book Antiqua" w:cs="宋体"/>
          <w:i/>
          <w:iCs/>
          <w:kern w:val="0"/>
          <w:sz w:val="24"/>
          <w:szCs w:val="24"/>
          <w:lang w:eastAsia="zh-CN"/>
        </w:rPr>
        <w:t>J Am Coll Cardiol</w:t>
      </w:r>
      <w:r w:rsidRPr="00AF7267">
        <w:rPr>
          <w:rFonts w:ascii="Book Antiqua" w:eastAsia="宋体" w:hAnsi="Book Antiqua" w:cs="宋体"/>
          <w:kern w:val="0"/>
          <w:sz w:val="24"/>
          <w:szCs w:val="24"/>
          <w:lang w:eastAsia="zh-CN"/>
        </w:rPr>
        <w:t xml:space="preserve"> 1983; </w:t>
      </w:r>
      <w:r w:rsidRPr="00AF7267">
        <w:rPr>
          <w:rFonts w:ascii="Book Antiqua" w:eastAsia="宋体" w:hAnsi="Book Antiqua" w:cs="宋体"/>
          <w:b/>
          <w:bCs/>
          <w:kern w:val="0"/>
          <w:sz w:val="24"/>
          <w:szCs w:val="24"/>
          <w:lang w:eastAsia="zh-CN"/>
        </w:rPr>
        <w:t>2</w:t>
      </w:r>
      <w:r w:rsidRPr="00AF7267">
        <w:rPr>
          <w:rFonts w:ascii="Book Antiqua" w:eastAsia="宋体" w:hAnsi="Book Antiqua" w:cs="宋体"/>
          <w:kern w:val="0"/>
          <w:sz w:val="24"/>
          <w:szCs w:val="24"/>
          <w:lang w:eastAsia="zh-CN"/>
        </w:rPr>
        <w:t>: 437-444 [PMID: 6683731 DOI: 10.1016/S0735-1097(83)80269-1]</w:t>
      </w:r>
    </w:p>
    <w:p w14:paraId="42DFE2C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27 </w:t>
      </w:r>
      <w:r w:rsidRPr="00AF7267">
        <w:rPr>
          <w:rFonts w:ascii="Book Antiqua" w:eastAsia="宋体" w:hAnsi="Book Antiqua" w:cs="宋体"/>
          <w:b/>
          <w:bCs/>
          <w:kern w:val="0"/>
          <w:sz w:val="24"/>
          <w:szCs w:val="24"/>
          <w:lang w:eastAsia="zh-CN"/>
        </w:rPr>
        <w:t>Nakamura T</w:t>
      </w:r>
      <w:r w:rsidRPr="00AF7267">
        <w:rPr>
          <w:rFonts w:ascii="Book Antiqua" w:eastAsia="宋体" w:hAnsi="Book Antiqua" w:cs="宋体"/>
          <w:kern w:val="0"/>
          <w:sz w:val="24"/>
          <w:szCs w:val="24"/>
          <w:lang w:eastAsia="zh-CN"/>
        </w:rPr>
        <w:t xml:space="preserve">, Sugihara H, Kinoshita N, Yoneyama S, Azuma A, Nakagawa M. Can serum carnitine levels distinguish hypertrophic cardiomyopathy from hypertensive hearts?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2000; </w:t>
      </w:r>
      <w:r w:rsidRPr="00AF7267">
        <w:rPr>
          <w:rFonts w:ascii="Book Antiqua" w:eastAsia="宋体" w:hAnsi="Book Antiqua" w:cs="宋体"/>
          <w:b/>
          <w:bCs/>
          <w:kern w:val="0"/>
          <w:sz w:val="24"/>
          <w:szCs w:val="24"/>
          <w:lang w:eastAsia="zh-CN"/>
        </w:rPr>
        <w:t>36</w:t>
      </w:r>
      <w:r w:rsidRPr="00AF7267">
        <w:rPr>
          <w:rFonts w:ascii="Book Antiqua" w:eastAsia="宋体" w:hAnsi="Book Antiqua" w:cs="宋体"/>
          <w:kern w:val="0"/>
          <w:sz w:val="24"/>
          <w:szCs w:val="24"/>
          <w:lang w:eastAsia="zh-CN"/>
        </w:rPr>
        <w:t>: 215-219 [PMID: 10948080 DOI: 10.1161/01.HYP.36.2.215]</w:t>
      </w:r>
    </w:p>
    <w:p w14:paraId="220CD60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28 </w:t>
      </w:r>
      <w:r w:rsidRPr="00AF7267">
        <w:rPr>
          <w:rFonts w:ascii="Book Antiqua" w:eastAsia="宋体" w:hAnsi="Book Antiqua" w:cs="宋体"/>
          <w:b/>
          <w:bCs/>
          <w:kern w:val="0"/>
          <w:sz w:val="24"/>
          <w:szCs w:val="24"/>
          <w:lang w:eastAsia="zh-CN"/>
        </w:rPr>
        <w:t>Dunn FG</w:t>
      </w:r>
      <w:r w:rsidRPr="00AF7267">
        <w:rPr>
          <w:rFonts w:ascii="Book Antiqua" w:eastAsia="宋体" w:hAnsi="Book Antiqua" w:cs="宋体"/>
          <w:kern w:val="0"/>
          <w:sz w:val="24"/>
          <w:szCs w:val="24"/>
          <w:lang w:eastAsia="zh-CN"/>
        </w:rPr>
        <w:t xml:space="preserve">, Chandraratna P, deCarvalho JG, Basta LL, Frohlich ED. Pathophysiologic assessment of hypertensive heart disease with echocardiography.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1977; </w:t>
      </w:r>
      <w:r w:rsidRPr="00AF7267">
        <w:rPr>
          <w:rFonts w:ascii="Book Antiqua" w:eastAsia="宋体" w:hAnsi="Book Antiqua" w:cs="宋体"/>
          <w:b/>
          <w:bCs/>
          <w:kern w:val="0"/>
          <w:sz w:val="24"/>
          <w:szCs w:val="24"/>
          <w:lang w:eastAsia="zh-CN"/>
        </w:rPr>
        <w:t>39</w:t>
      </w:r>
      <w:r w:rsidRPr="00AF7267">
        <w:rPr>
          <w:rFonts w:ascii="Book Antiqua" w:eastAsia="宋体" w:hAnsi="Book Antiqua" w:cs="宋体"/>
          <w:kern w:val="0"/>
          <w:sz w:val="24"/>
          <w:szCs w:val="24"/>
          <w:lang w:eastAsia="zh-CN"/>
        </w:rPr>
        <w:t>: 789-795 [PMID: 140601 DOI: 10.1016/S0002-9149(77)80028-3]</w:t>
      </w:r>
    </w:p>
    <w:p w14:paraId="617C62B3"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29 </w:t>
      </w:r>
      <w:r w:rsidRPr="00AF7267">
        <w:rPr>
          <w:rFonts w:ascii="Book Antiqua" w:eastAsia="宋体" w:hAnsi="Book Antiqua" w:cs="宋体"/>
          <w:b/>
          <w:bCs/>
          <w:kern w:val="0"/>
          <w:sz w:val="24"/>
          <w:szCs w:val="24"/>
          <w:lang w:eastAsia="zh-CN"/>
        </w:rPr>
        <w:t>Frohlich ED</w:t>
      </w:r>
      <w:r w:rsidRPr="00AF7267">
        <w:rPr>
          <w:rFonts w:ascii="Book Antiqua" w:eastAsia="宋体" w:hAnsi="Book Antiqua" w:cs="宋体"/>
          <w:kern w:val="0"/>
          <w:sz w:val="24"/>
          <w:szCs w:val="24"/>
          <w:lang w:eastAsia="zh-CN"/>
        </w:rPr>
        <w:t xml:space="preserve">, Susic D. Pressure overload. </w:t>
      </w:r>
      <w:r w:rsidRPr="00AF7267">
        <w:rPr>
          <w:rFonts w:ascii="Book Antiqua" w:eastAsia="宋体" w:hAnsi="Book Antiqua" w:cs="宋体"/>
          <w:i/>
          <w:iCs/>
          <w:kern w:val="0"/>
          <w:sz w:val="24"/>
          <w:szCs w:val="24"/>
          <w:lang w:eastAsia="zh-CN"/>
        </w:rPr>
        <w:t>Heart Fail Clin</w:t>
      </w:r>
      <w:r w:rsidRPr="00AF7267">
        <w:rPr>
          <w:rFonts w:ascii="Book Antiqua" w:eastAsia="宋体" w:hAnsi="Book Antiqua" w:cs="宋体"/>
          <w:kern w:val="0"/>
          <w:sz w:val="24"/>
          <w:szCs w:val="24"/>
          <w:lang w:eastAsia="zh-CN"/>
        </w:rPr>
        <w:t xml:space="preserve"> 2012; </w:t>
      </w:r>
      <w:r w:rsidRPr="00AF7267">
        <w:rPr>
          <w:rFonts w:ascii="Book Antiqua" w:eastAsia="宋体" w:hAnsi="Book Antiqua" w:cs="宋体"/>
          <w:b/>
          <w:bCs/>
          <w:kern w:val="0"/>
          <w:sz w:val="24"/>
          <w:szCs w:val="24"/>
          <w:lang w:eastAsia="zh-CN"/>
        </w:rPr>
        <w:t>8</w:t>
      </w:r>
      <w:r w:rsidRPr="00AF7267">
        <w:rPr>
          <w:rFonts w:ascii="Book Antiqua" w:eastAsia="宋体" w:hAnsi="Book Antiqua" w:cs="宋体"/>
          <w:kern w:val="0"/>
          <w:sz w:val="24"/>
          <w:szCs w:val="24"/>
          <w:lang w:eastAsia="zh-CN"/>
        </w:rPr>
        <w:t>: 21-32 [PMID: 22108724 DOI: 10.1016/j.hfc.2011.08.005]</w:t>
      </w:r>
    </w:p>
    <w:p w14:paraId="7BE34CC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30 </w:t>
      </w:r>
      <w:r w:rsidRPr="00AF7267">
        <w:rPr>
          <w:rFonts w:ascii="Book Antiqua" w:eastAsia="宋体" w:hAnsi="Book Antiqua" w:cs="宋体"/>
          <w:b/>
          <w:bCs/>
          <w:kern w:val="0"/>
          <w:sz w:val="24"/>
          <w:szCs w:val="24"/>
          <w:lang w:eastAsia="zh-CN"/>
        </w:rPr>
        <w:t>Krumholz HM</w:t>
      </w:r>
      <w:r w:rsidRPr="00AF7267">
        <w:rPr>
          <w:rFonts w:ascii="Book Antiqua" w:eastAsia="宋体" w:hAnsi="Book Antiqua" w:cs="宋体"/>
          <w:kern w:val="0"/>
          <w:sz w:val="24"/>
          <w:szCs w:val="24"/>
          <w:lang w:eastAsia="zh-CN"/>
        </w:rPr>
        <w:t xml:space="preserve">, Larson M, Levy D. Prognosis of left ventricular geometric patterns in the Framingham Heart Study. </w:t>
      </w:r>
      <w:r w:rsidRPr="00AF7267">
        <w:rPr>
          <w:rFonts w:ascii="Book Antiqua" w:eastAsia="宋体" w:hAnsi="Book Antiqua" w:cs="宋体"/>
          <w:i/>
          <w:iCs/>
          <w:kern w:val="0"/>
          <w:sz w:val="24"/>
          <w:szCs w:val="24"/>
          <w:lang w:eastAsia="zh-CN"/>
        </w:rPr>
        <w:t>J Am Coll Cardiol</w:t>
      </w:r>
      <w:r w:rsidRPr="00AF7267">
        <w:rPr>
          <w:rFonts w:ascii="Book Antiqua" w:eastAsia="宋体" w:hAnsi="Book Antiqua" w:cs="宋体"/>
          <w:kern w:val="0"/>
          <w:sz w:val="24"/>
          <w:szCs w:val="24"/>
          <w:lang w:eastAsia="zh-CN"/>
        </w:rPr>
        <w:t xml:space="preserve"> 1995; </w:t>
      </w:r>
      <w:r w:rsidRPr="00AF7267">
        <w:rPr>
          <w:rFonts w:ascii="Book Antiqua" w:eastAsia="宋体" w:hAnsi="Book Antiqua" w:cs="宋体"/>
          <w:b/>
          <w:bCs/>
          <w:kern w:val="0"/>
          <w:sz w:val="24"/>
          <w:szCs w:val="24"/>
          <w:lang w:eastAsia="zh-CN"/>
        </w:rPr>
        <w:t>25</w:t>
      </w:r>
      <w:r w:rsidRPr="00AF7267">
        <w:rPr>
          <w:rFonts w:ascii="Book Antiqua" w:eastAsia="宋体" w:hAnsi="Book Antiqua" w:cs="宋体"/>
          <w:kern w:val="0"/>
          <w:sz w:val="24"/>
          <w:szCs w:val="24"/>
          <w:lang w:eastAsia="zh-CN"/>
        </w:rPr>
        <w:t>: 879-884 [PMID: 7884091 DOI: 10.1016/0735-1097(94)00473-4]</w:t>
      </w:r>
    </w:p>
    <w:p w14:paraId="5A059A1A"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31 </w:t>
      </w:r>
      <w:r w:rsidRPr="00AF7267">
        <w:rPr>
          <w:rFonts w:ascii="Book Antiqua" w:eastAsia="宋体" w:hAnsi="Book Antiqua" w:cs="宋体"/>
          <w:b/>
          <w:bCs/>
          <w:kern w:val="0"/>
          <w:sz w:val="24"/>
          <w:szCs w:val="24"/>
          <w:lang w:eastAsia="zh-CN"/>
        </w:rPr>
        <w:t>Velagaleti RS</w:t>
      </w:r>
      <w:r w:rsidRPr="00AF7267">
        <w:rPr>
          <w:rFonts w:ascii="Book Antiqua" w:eastAsia="宋体" w:hAnsi="Book Antiqua" w:cs="宋体"/>
          <w:kern w:val="0"/>
          <w:sz w:val="24"/>
          <w:szCs w:val="24"/>
          <w:lang w:eastAsia="zh-CN"/>
        </w:rPr>
        <w:t xml:space="preserve">, Gona P, Pencina MJ, Aragam J, Wang TJ, Levy D, D'Agostino RB, Lee DS, Kannel WB, Benjamin EJ, Vasan RS. Left ventricular hypertrophy patterns and incidence of heart failure with preserved versus reduced ejection fraction.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2014; </w:t>
      </w:r>
      <w:r w:rsidRPr="00AF7267">
        <w:rPr>
          <w:rFonts w:ascii="Book Antiqua" w:eastAsia="宋体" w:hAnsi="Book Antiqua" w:cs="宋体"/>
          <w:b/>
          <w:bCs/>
          <w:kern w:val="0"/>
          <w:sz w:val="24"/>
          <w:szCs w:val="24"/>
          <w:lang w:eastAsia="zh-CN"/>
        </w:rPr>
        <w:t>113</w:t>
      </w:r>
      <w:r w:rsidRPr="00AF7267">
        <w:rPr>
          <w:rFonts w:ascii="Book Antiqua" w:eastAsia="宋体" w:hAnsi="Book Antiqua" w:cs="宋体"/>
          <w:kern w:val="0"/>
          <w:sz w:val="24"/>
          <w:szCs w:val="24"/>
          <w:lang w:eastAsia="zh-CN"/>
        </w:rPr>
        <w:t>: 117-122 [PMID: 24210333 DOI: 10.1016/j.amjcard.2013.09.028]</w:t>
      </w:r>
    </w:p>
    <w:p w14:paraId="23F5C49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32 </w:t>
      </w:r>
      <w:r w:rsidRPr="00AF7267">
        <w:rPr>
          <w:rFonts w:ascii="Book Antiqua" w:eastAsia="宋体" w:hAnsi="Book Antiqua" w:cs="宋体"/>
          <w:b/>
          <w:bCs/>
          <w:kern w:val="0"/>
          <w:sz w:val="24"/>
          <w:szCs w:val="24"/>
          <w:lang w:eastAsia="zh-CN"/>
        </w:rPr>
        <w:t>Milani RV</w:t>
      </w:r>
      <w:r w:rsidRPr="00AF7267">
        <w:rPr>
          <w:rFonts w:ascii="Book Antiqua" w:eastAsia="宋体" w:hAnsi="Book Antiqua" w:cs="宋体"/>
          <w:kern w:val="0"/>
          <w:sz w:val="24"/>
          <w:szCs w:val="24"/>
          <w:lang w:eastAsia="zh-CN"/>
        </w:rPr>
        <w:t xml:space="preserve">, Drazner MH, Lavie CJ, Morin DP, Ventura HO. Progression from concentric left ventricular hypertrophy and normal ejection fraction to left ventricular dysfunction.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2011; </w:t>
      </w:r>
      <w:r w:rsidRPr="00AF7267">
        <w:rPr>
          <w:rFonts w:ascii="Book Antiqua" w:eastAsia="宋体" w:hAnsi="Book Antiqua" w:cs="宋体"/>
          <w:b/>
          <w:bCs/>
          <w:kern w:val="0"/>
          <w:sz w:val="24"/>
          <w:szCs w:val="24"/>
          <w:lang w:eastAsia="zh-CN"/>
        </w:rPr>
        <w:t>108</w:t>
      </w:r>
      <w:r w:rsidRPr="00AF7267">
        <w:rPr>
          <w:rFonts w:ascii="Book Antiqua" w:eastAsia="宋体" w:hAnsi="Book Antiqua" w:cs="宋体"/>
          <w:kern w:val="0"/>
          <w:sz w:val="24"/>
          <w:szCs w:val="24"/>
          <w:lang w:eastAsia="zh-CN"/>
        </w:rPr>
        <w:t>: 992-996 [PMID: 21784383 DOI: 10.1016/j.amjcard.2011.05.038]</w:t>
      </w:r>
    </w:p>
    <w:p w14:paraId="2684ADD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33 </w:t>
      </w:r>
      <w:r w:rsidRPr="00AF7267">
        <w:rPr>
          <w:rFonts w:ascii="Book Antiqua" w:eastAsia="宋体" w:hAnsi="Book Antiqua" w:cs="宋体"/>
          <w:b/>
          <w:bCs/>
          <w:kern w:val="0"/>
          <w:sz w:val="24"/>
          <w:szCs w:val="24"/>
          <w:lang w:eastAsia="zh-CN"/>
        </w:rPr>
        <w:t>Krishnamoorthy A</w:t>
      </w:r>
      <w:r w:rsidRPr="00AF7267">
        <w:rPr>
          <w:rFonts w:ascii="Book Antiqua" w:eastAsia="宋体" w:hAnsi="Book Antiqua" w:cs="宋体"/>
          <w:kern w:val="0"/>
          <w:sz w:val="24"/>
          <w:szCs w:val="24"/>
          <w:lang w:eastAsia="zh-CN"/>
        </w:rPr>
        <w:t xml:space="preserve">, Brown T, Ayers CR, Gupta S, Rame JE, Patel PC, Markham DW, Drazner MH. Progression from normal to reduced left ventricular ejection fraction in patients with concentric left ventricular hypertrophy after long-term follow-up.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2011; </w:t>
      </w:r>
      <w:r w:rsidRPr="00AF7267">
        <w:rPr>
          <w:rFonts w:ascii="Book Antiqua" w:eastAsia="宋体" w:hAnsi="Book Antiqua" w:cs="宋体"/>
          <w:b/>
          <w:bCs/>
          <w:kern w:val="0"/>
          <w:sz w:val="24"/>
          <w:szCs w:val="24"/>
          <w:lang w:eastAsia="zh-CN"/>
        </w:rPr>
        <w:t>108</w:t>
      </w:r>
      <w:r w:rsidRPr="00AF7267">
        <w:rPr>
          <w:rFonts w:ascii="Book Antiqua" w:eastAsia="宋体" w:hAnsi="Book Antiqua" w:cs="宋体"/>
          <w:kern w:val="0"/>
          <w:sz w:val="24"/>
          <w:szCs w:val="24"/>
          <w:lang w:eastAsia="zh-CN"/>
        </w:rPr>
        <w:t>: 997-1001 [PMID: 21798496 DOI: 10.1016/j.amjcard.2011.05.037]</w:t>
      </w:r>
    </w:p>
    <w:p w14:paraId="4B0D5BFB"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34 </w:t>
      </w:r>
      <w:r w:rsidRPr="00AF7267">
        <w:rPr>
          <w:rFonts w:ascii="Book Antiqua" w:eastAsia="宋体" w:hAnsi="Book Antiqua" w:cs="宋体"/>
          <w:b/>
          <w:bCs/>
          <w:kern w:val="0"/>
          <w:sz w:val="24"/>
          <w:szCs w:val="24"/>
          <w:lang w:eastAsia="zh-CN"/>
        </w:rPr>
        <w:t>Khouri MG</w:t>
      </w:r>
      <w:r w:rsidRPr="00AF7267">
        <w:rPr>
          <w:rFonts w:ascii="Book Antiqua" w:eastAsia="宋体" w:hAnsi="Book Antiqua" w:cs="宋体"/>
          <w:kern w:val="0"/>
          <w:sz w:val="24"/>
          <w:szCs w:val="24"/>
          <w:lang w:eastAsia="zh-CN"/>
        </w:rPr>
        <w:t xml:space="preserve">, Peshock RM, Ayers CR, de Lemos JA, Drazner MH. A 4-tiered classification of left ventricular hypertrophy based on left ventricular geometry: the Dallas heart study. </w:t>
      </w:r>
      <w:r w:rsidRPr="00AF7267">
        <w:rPr>
          <w:rFonts w:ascii="Book Antiqua" w:eastAsia="宋体" w:hAnsi="Book Antiqua" w:cs="宋体"/>
          <w:i/>
          <w:iCs/>
          <w:kern w:val="0"/>
          <w:sz w:val="24"/>
          <w:szCs w:val="24"/>
          <w:lang w:eastAsia="zh-CN"/>
        </w:rPr>
        <w:t>Circ Cardiovasc Imaging</w:t>
      </w:r>
      <w:r w:rsidRPr="00AF7267">
        <w:rPr>
          <w:rFonts w:ascii="Book Antiqua" w:eastAsia="宋体" w:hAnsi="Book Antiqua" w:cs="宋体"/>
          <w:kern w:val="0"/>
          <w:sz w:val="24"/>
          <w:szCs w:val="24"/>
          <w:lang w:eastAsia="zh-CN"/>
        </w:rPr>
        <w:t xml:space="preserve"> 2010; </w:t>
      </w:r>
      <w:r w:rsidRPr="00AF7267">
        <w:rPr>
          <w:rFonts w:ascii="Book Antiqua" w:eastAsia="宋体" w:hAnsi="Book Antiqua" w:cs="宋体"/>
          <w:b/>
          <w:bCs/>
          <w:kern w:val="0"/>
          <w:sz w:val="24"/>
          <w:szCs w:val="24"/>
          <w:lang w:eastAsia="zh-CN"/>
        </w:rPr>
        <w:t>3</w:t>
      </w:r>
      <w:r w:rsidRPr="00AF7267">
        <w:rPr>
          <w:rFonts w:ascii="Book Antiqua" w:eastAsia="宋体" w:hAnsi="Book Antiqua" w:cs="宋体"/>
          <w:kern w:val="0"/>
          <w:sz w:val="24"/>
          <w:szCs w:val="24"/>
          <w:lang w:eastAsia="zh-CN"/>
        </w:rPr>
        <w:t>: 164-171 [PMID: 20061518 DOI: 10.1161/CIRCIMAGING.109.883652]</w:t>
      </w:r>
    </w:p>
    <w:p w14:paraId="5A8E8E57"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35 </w:t>
      </w:r>
      <w:r w:rsidRPr="00AF7267">
        <w:rPr>
          <w:rFonts w:ascii="Book Antiqua" w:eastAsia="宋体" w:hAnsi="Book Antiqua" w:cs="宋体"/>
          <w:b/>
          <w:bCs/>
          <w:kern w:val="0"/>
          <w:sz w:val="24"/>
          <w:szCs w:val="24"/>
          <w:lang w:eastAsia="zh-CN"/>
        </w:rPr>
        <w:t>Bang CN</w:t>
      </w:r>
      <w:r w:rsidRPr="00AF7267">
        <w:rPr>
          <w:rFonts w:ascii="Book Antiqua" w:eastAsia="宋体" w:hAnsi="Book Antiqua" w:cs="宋体"/>
          <w:kern w:val="0"/>
          <w:sz w:val="24"/>
          <w:szCs w:val="24"/>
          <w:lang w:eastAsia="zh-CN"/>
        </w:rPr>
        <w:t xml:space="preserve">, Gerdts E, Aurigemma GP, Boman K, Dahlöf B, Roman MJ, Køber L, Wachtell K, Devereux RB. Systolic left ventricular function according to left ventricular concentricity and dilatation in hypertensive patients: the Losartan Intervention For Endpoint reduction in hypertension study. </w:t>
      </w:r>
      <w:r w:rsidRPr="00AF7267">
        <w:rPr>
          <w:rFonts w:ascii="Book Antiqua" w:eastAsia="宋体" w:hAnsi="Book Antiqua" w:cs="宋体"/>
          <w:i/>
          <w:iCs/>
          <w:kern w:val="0"/>
          <w:sz w:val="24"/>
          <w:szCs w:val="24"/>
          <w:lang w:eastAsia="zh-CN"/>
        </w:rPr>
        <w:t>J Hypertens</w:t>
      </w:r>
      <w:r w:rsidRPr="00AF7267">
        <w:rPr>
          <w:rFonts w:ascii="Book Antiqua" w:eastAsia="宋体" w:hAnsi="Book Antiqua" w:cs="宋体"/>
          <w:kern w:val="0"/>
          <w:sz w:val="24"/>
          <w:szCs w:val="24"/>
          <w:lang w:eastAsia="zh-CN"/>
        </w:rPr>
        <w:t xml:space="preserve"> 2013; </w:t>
      </w:r>
      <w:r w:rsidRPr="00AF7267">
        <w:rPr>
          <w:rFonts w:ascii="Book Antiqua" w:eastAsia="宋体" w:hAnsi="Book Antiqua" w:cs="宋体"/>
          <w:b/>
          <w:bCs/>
          <w:kern w:val="0"/>
          <w:sz w:val="24"/>
          <w:szCs w:val="24"/>
          <w:lang w:eastAsia="zh-CN"/>
        </w:rPr>
        <w:t>31</w:t>
      </w:r>
      <w:r w:rsidRPr="00AF7267">
        <w:rPr>
          <w:rFonts w:ascii="Book Antiqua" w:eastAsia="宋体" w:hAnsi="Book Antiqua" w:cs="宋体"/>
          <w:kern w:val="0"/>
          <w:sz w:val="24"/>
          <w:szCs w:val="24"/>
          <w:lang w:eastAsia="zh-CN"/>
        </w:rPr>
        <w:t>: 2060-2068 [PMID: 23838656 DOI: 10.1097/HJH.0b013e328362bbd6]</w:t>
      </w:r>
    </w:p>
    <w:p w14:paraId="29F7777F"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36 </w:t>
      </w:r>
      <w:r w:rsidRPr="00AF7267">
        <w:rPr>
          <w:rFonts w:ascii="Book Antiqua" w:eastAsia="宋体" w:hAnsi="Book Antiqua" w:cs="宋体"/>
          <w:b/>
          <w:bCs/>
          <w:kern w:val="0"/>
          <w:sz w:val="24"/>
          <w:szCs w:val="24"/>
          <w:lang w:eastAsia="zh-CN"/>
        </w:rPr>
        <w:t>González A</w:t>
      </w:r>
      <w:r w:rsidRPr="00AF7267">
        <w:rPr>
          <w:rFonts w:ascii="Book Antiqua" w:eastAsia="宋体" w:hAnsi="Book Antiqua" w:cs="宋体"/>
          <w:kern w:val="0"/>
          <w:sz w:val="24"/>
          <w:szCs w:val="24"/>
          <w:lang w:eastAsia="zh-CN"/>
        </w:rPr>
        <w:t xml:space="preserve">, López B, Díez J. Fibrosis in hypertensive heart disease: role of the renin-angiotensin-aldosterone system. </w:t>
      </w:r>
      <w:r w:rsidRPr="00AF7267">
        <w:rPr>
          <w:rFonts w:ascii="Book Antiqua" w:eastAsia="宋体" w:hAnsi="Book Antiqua" w:cs="宋体"/>
          <w:i/>
          <w:iCs/>
          <w:kern w:val="0"/>
          <w:sz w:val="24"/>
          <w:szCs w:val="24"/>
          <w:lang w:eastAsia="zh-CN"/>
        </w:rPr>
        <w:t>Med Clin North Am</w:t>
      </w:r>
      <w:r w:rsidRPr="00AF7267">
        <w:rPr>
          <w:rFonts w:ascii="Book Antiqua" w:eastAsia="宋体" w:hAnsi="Book Antiqua" w:cs="宋体"/>
          <w:kern w:val="0"/>
          <w:sz w:val="24"/>
          <w:szCs w:val="24"/>
          <w:lang w:eastAsia="zh-CN"/>
        </w:rPr>
        <w:t xml:space="preserve"> 2004; </w:t>
      </w:r>
      <w:r w:rsidRPr="00AF7267">
        <w:rPr>
          <w:rFonts w:ascii="Book Antiqua" w:eastAsia="宋体" w:hAnsi="Book Antiqua" w:cs="宋体"/>
          <w:b/>
          <w:bCs/>
          <w:kern w:val="0"/>
          <w:sz w:val="24"/>
          <w:szCs w:val="24"/>
          <w:lang w:eastAsia="zh-CN"/>
        </w:rPr>
        <w:t>88</w:t>
      </w:r>
      <w:r w:rsidRPr="00AF7267">
        <w:rPr>
          <w:rFonts w:ascii="Book Antiqua" w:eastAsia="宋体" w:hAnsi="Book Antiqua" w:cs="宋体"/>
          <w:kern w:val="0"/>
          <w:sz w:val="24"/>
          <w:szCs w:val="24"/>
          <w:lang w:eastAsia="zh-CN"/>
        </w:rPr>
        <w:t>: 83-97 [PMID: 14871052 DOI: 10.1016/S0025-7125(03)00125-1]</w:t>
      </w:r>
    </w:p>
    <w:p w14:paraId="15B01F7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37 </w:t>
      </w:r>
      <w:r w:rsidRPr="00AF7267">
        <w:rPr>
          <w:rFonts w:ascii="Book Antiqua" w:eastAsia="宋体" w:hAnsi="Book Antiqua" w:cs="宋体"/>
          <w:b/>
          <w:bCs/>
          <w:kern w:val="0"/>
          <w:sz w:val="24"/>
          <w:szCs w:val="24"/>
          <w:lang w:eastAsia="zh-CN"/>
        </w:rPr>
        <w:t>Gardin JM</w:t>
      </w:r>
      <w:r w:rsidRPr="00AF7267">
        <w:rPr>
          <w:rFonts w:ascii="Book Antiqua" w:eastAsia="宋体" w:hAnsi="Book Antiqua" w:cs="宋体"/>
          <w:kern w:val="0"/>
          <w:sz w:val="24"/>
          <w:szCs w:val="24"/>
          <w:lang w:eastAsia="zh-CN"/>
        </w:rPr>
        <w:t xml:space="preserve">, Lauer MS. Left ventricular hypertrophy: the next treatable, silent killer? </w:t>
      </w:r>
      <w:r w:rsidRPr="00AF7267">
        <w:rPr>
          <w:rFonts w:ascii="Book Antiqua" w:eastAsia="宋体" w:hAnsi="Book Antiqua" w:cs="宋体"/>
          <w:i/>
          <w:iCs/>
          <w:kern w:val="0"/>
          <w:sz w:val="24"/>
          <w:szCs w:val="24"/>
          <w:lang w:eastAsia="zh-CN"/>
        </w:rPr>
        <w:t>JAMA</w:t>
      </w:r>
      <w:r w:rsidRPr="00AF7267">
        <w:rPr>
          <w:rFonts w:ascii="Book Antiqua" w:eastAsia="宋体" w:hAnsi="Book Antiqua" w:cs="宋体"/>
          <w:kern w:val="0"/>
          <w:sz w:val="24"/>
          <w:szCs w:val="24"/>
          <w:lang w:eastAsia="zh-CN"/>
        </w:rPr>
        <w:t xml:space="preserve"> 2004; </w:t>
      </w:r>
      <w:r w:rsidRPr="00AF7267">
        <w:rPr>
          <w:rFonts w:ascii="Book Antiqua" w:eastAsia="宋体" w:hAnsi="Book Antiqua" w:cs="宋体"/>
          <w:b/>
          <w:bCs/>
          <w:kern w:val="0"/>
          <w:sz w:val="24"/>
          <w:szCs w:val="24"/>
          <w:lang w:eastAsia="zh-CN"/>
        </w:rPr>
        <w:t>292</w:t>
      </w:r>
      <w:r w:rsidRPr="00AF7267">
        <w:rPr>
          <w:rFonts w:ascii="Book Antiqua" w:eastAsia="宋体" w:hAnsi="Book Antiqua" w:cs="宋体"/>
          <w:kern w:val="0"/>
          <w:sz w:val="24"/>
          <w:szCs w:val="24"/>
          <w:lang w:eastAsia="zh-CN"/>
        </w:rPr>
        <w:t>: 2396-2398 [PMID: 15547168 DOI: 10.1001/jama.292.19.2396]</w:t>
      </w:r>
    </w:p>
    <w:p w14:paraId="20B3503A"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38 </w:t>
      </w:r>
      <w:r w:rsidRPr="00AF7267">
        <w:rPr>
          <w:rFonts w:ascii="Book Antiqua" w:eastAsia="宋体" w:hAnsi="Book Antiqua" w:cs="宋体"/>
          <w:b/>
          <w:bCs/>
          <w:kern w:val="0"/>
          <w:sz w:val="24"/>
          <w:szCs w:val="24"/>
          <w:lang w:eastAsia="zh-CN"/>
        </w:rPr>
        <w:t>Kizer JR</w:t>
      </w:r>
      <w:r w:rsidRPr="00AF7267">
        <w:rPr>
          <w:rFonts w:ascii="Book Antiqua" w:eastAsia="宋体" w:hAnsi="Book Antiqua" w:cs="宋体"/>
          <w:kern w:val="0"/>
          <w:sz w:val="24"/>
          <w:szCs w:val="24"/>
          <w:lang w:eastAsia="zh-CN"/>
        </w:rPr>
        <w:t xml:space="preserve">, Bella JN, Palmieri V, Liu JE, Best LG, Lee ET, Roman MJ, Devereux RB. Left atrial diameter as an independent predictor of first clinical cardiovascular events in middle-aged and elderly adults: the Strong Heart Study (SHS). </w:t>
      </w:r>
      <w:r w:rsidRPr="00AF7267">
        <w:rPr>
          <w:rFonts w:ascii="Book Antiqua" w:eastAsia="宋体" w:hAnsi="Book Antiqua" w:cs="宋体"/>
          <w:i/>
          <w:iCs/>
          <w:kern w:val="0"/>
          <w:sz w:val="24"/>
          <w:szCs w:val="24"/>
          <w:lang w:eastAsia="zh-CN"/>
        </w:rPr>
        <w:t>Am Heart J</w:t>
      </w:r>
      <w:r w:rsidRPr="00AF7267">
        <w:rPr>
          <w:rFonts w:ascii="Book Antiqua" w:eastAsia="宋体" w:hAnsi="Book Antiqua" w:cs="宋体"/>
          <w:kern w:val="0"/>
          <w:sz w:val="24"/>
          <w:szCs w:val="24"/>
          <w:lang w:eastAsia="zh-CN"/>
        </w:rPr>
        <w:t xml:space="preserve"> 2006; </w:t>
      </w:r>
      <w:r w:rsidRPr="00AF7267">
        <w:rPr>
          <w:rFonts w:ascii="Book Antiqua" w:eastAsia="宋体" w:hAnsi="Book Antiqua" w:cs="宋体"/>
          <w:b/>
          <w:bCs/>
          <w:kern w:val="0"/>
          <w:sz w:val="24"/>
          <w:szCs w:val="24"/>
          <w:lang w:eastAsia="zh-CN"/>
        </w:rPr>
        <w:t>151</w:t>
      </w:r>
      <w:r w:rsidRPr="00AF7267">
        <w:rPr>
          <w:rFonts w:ascii="Book Antiqua" w:eastAsia="宋体" w:hAnsi="Book Antiqua" w:cs="宋体"/>
          <w:kern w:val="0"/>
          <w:sz w:val="24"/>
          <w:szCs w:val="24"/>
          <w:lang w:eastAsia="zh-CN"/>
        </w:rPr>
        <w:t>: 412-418 [PMID: 16442908 DOI: 10.1016/j.ahj.2005.04.031]</w:t>
      </w:r>
    </w:p>
    <w:p w14:paraId="1A19858F"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39 </w:t>
      </w:r>
      <w:r w:rsidRPr="00AF7267">
        <w:rPr>
          <w:rFonts w:ascii="Book Antiqua" w:eastAsia="宋体" w:hAnsi="Book Antiqua" w:cs="宋体"/>
          <w:b/>
          <w:bCs/>
          <w:kern w:val="0"/>
          <w:sz w:val="24"/>
          <w:szCs w:val="24"/>
          <w:lang w:eastAsia="zh-CN"/>
        </w:rPr>
        <w:t>Rossi A</w:t>
      </w:r>
      <w:r w:rsidRPr="00AF7267">
        <w:rPr>
          <w:rFonts w:ascii="Book Antiqua" w:eastAsia="宋体" w:hAnsi="Book Antiqua" w:cs="宋体"/>
          <w:kern w:val="0"/>
          <w:sz w:val="24"/>
          <w:szCs w:val="24"/>
          <w:lang w:eastAsia="zh-CN"/>
        </w:rPr>
        <w:t xml:space="preserve">, Temporelli PL, Quintana M, Dini FL, Ghio S, Hillis GS, Klein AL, Marsan NA, Prior DL, Yu CM, Poppe KK, Doughty RN, Whalley GA. Independent relationship of left atrial size and mortality in patients with heart failure: an individual patient meta-analysis of longitudinal data (MeRGE Heart Failure). </w:t>
      </w:r>
      <w:r w:rsidRPr="00AF7267">
        <w:rPr>
          <w:rFonts w:ascii="Book Antiqua" w:eastAsia="宋体" w:hAnsi="Book Antiqua" w:cs="宋体"/>
          <w:i/>
          <w:iCs/>
          <w:kern w:val="0"/>
          <w:sz w:val="24"/>
          <w:szCs w:val="24"/>
          <w:lang w:eastAsia="zh-CN"/>
        </w:rPr>
        <w:t>Eur J Heart Fail</w:t>
      </w:r>
      <w:r w:rsidRPr="00AF7267">
        <w:rPr>
          <w:rFonts w:ascii="Book Antiqua" w:eastAsia="宋体" w:hAnsi="Book Antiqua" w:cs="宋体"/>
          <w:kern w:val="0"/>
          <w:sz w:val="24"/>
          <w:szCs w:val="24"/>
          <w:lang w:eastAsia="zh-CN"/>
        </w:rPr>
        <w:t xml:space="preserve"> 2009; </w:t>
      </w:r>
      <w:r w:rsidRPr="00AF7267">
        <w:rPr>
          <w:rFonts w:ascii="Book Antiqua" w:eastAsia="宋体" w:hAnsi="Book Antiqua" w:cs="宋体"/>
          <w:b/>
          <w:bCs/>
          <w:kern w:val="0"/>
          <w:sz w:val="24"/>
          <w:szCs w:val="24"/>
          <w:lang w:eastAsia="zh-CN"/>
        </w:rPr>
        <w:t>11</w:t>
      </w:r>
      <w:r w:rsidRPr="00AF7267">
        <w:rPr>
          <w:rFonts w:ascii="Book Antiqua" w:eastAsia="宋体" w:hAnsi="Book Antiqua" w:cs="宋体"/>
          <w:kern w:val="0"/>
          <w:sz w:val="24"/>
          <w:szCs w:val="24"/>
          <w:lang w:eastAsia="zh-CN"/>
        </w:rPr>
        <w:t>: 929-936 [PMID: 19789395 DOI: 10.1093/eurjhf/hfp112]</w:t>
      </w:r>
    </w:p>
    <w:p w14:paraId="6025732C"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40 </w:t>
      </w:r>
      <w:r w:rsidRPr="00AF7267">
        <w:rPr>
          <w:rFonts w:ascii="Book Antiqua" w:eastAsia="宋体" w:hAnsi="Book Antiqua" w:cs="宋体"/>
          <w:b/>
          <w:bCs/>
          <w:kern w:val="0"/>
          <w:sz w:val="24"/>
          <w:szCs w:val="24"/>
          <w:lang w:eastAsia="zh-CN"/>
        </w:rPr>
        <w:t>Devereux RB</w:t>
      </w:r>
      <w:r w:rsidRPr="00AF7267">
        <w:rPr>
          <w:rFonts w:ascii="Book Antiqua" w:eastAsia="宋体" w:hAnsi="Book Antiqua" w:cs="宋体"/>
          <w:kern w:val="0"/>
          <w:sz w:val="24"/>
          <w:szCs w:val="24"/>
          <w:lang w:eastAsia="zh-CN"/>
        </w:rPr>
        <w:t xml:space="preserve">, Bella JN, Palmieri V, Oberman A, Kitzman DW, Hopkins PN, Rao DC, Morgan D, Paranicas M, Fishman D, Arnett DK. Left ventricular systolic dysfunction in a biracial sample of hypertensive adults: The Hypertension Genetic Epidemiology Network (HyperGEN) Study.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38</w:t>
      </w:r>
      <w:r w:rsidRPr="00AF7267">
        <w:rPr>
          <w:rFonts w:ascii="Book Antiqua" w:eastAsia="宋体" w:hAnsi="Book Antiqua" w:cs="宋体"/>
          <w:kern w:val="0"/>
          <w:sz w:val="24"/>
          <w:szCs w:val="24"/>
          <w:lang w:eastAsia="zh-CN"/>
        </w:rPr>
        <w:t>: 417-423 [PMID: 11566915 DOI: 10.1161/01.HYP.38.3.417]</w:t>
      </w:r>
    </w:p>
    <w:p w14:paraId="17C04FFB"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41 </w:t>
      </w:r>
      <w:r w:rsidRPr="00AF7267">
        <w:rPr>
          <w:rFonts w:ascii="Book Antiqua" w:eastAsia="宋体" w:hAnsi="Book Antiqua" w:cs="宋体"/>
          <w:b/>
          <w:bCs/>
          <w:kern w:val="0"/>
          <w:sz w:val="24"/>
          <w:szCs w:val="24"/>
          <w:lang w:eastAsia="zh-CN"/>
        </w:rPr>
        <w:t>Kannel WB</w:t>
      </w:r>
      <w:r w:rsidRPr="00AF7267">
        <w:rPr>
          <w:rFonts w:ascii="Book Antiqua" w:eastAsia="宋体" w:hAnsi="Book Antiqua" w:cs="宋体"/>
          <w:kern w:val="0"/>
          <w:sz w:val="24"/>
          <w:szCs w:val="24"/>
          <w:lang w:eastAsia="zh-CN"/>
        </w:rPr>
        <w:t xml:space="preserve">, Wolf PA, Benjamin EJ, Levy D. Prevalence, incidence, prognosis, and predisposing conditions for atrial fibrillation: population-based estimates.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1998; </w:t>
      </w:r>
      <w:r w:rsidRPr="00AF7267">
        <w:rPr>
          <w:rFonts w:ascii="Book Antiqua" w:eastAsia="宋体" w:hAnsi="Book Antiqua" w:cs="宋体"/>
          <w:b/>
          <w:bCs/>
          <w:kern w:val="0"/>
          <w:sz w:val="24"/>
          <w:szCs w:val="24"/>
          <w:lang w:eastAsia="zh-CN"/>
        </w:rPr>
        <w:t>82</w:t>
      </w:r>
      <w:r w:rsidRPr="00AF7267">
        <w:rPr>
          <w:rFonts w:ascii="Book Antiqua" w:eastAsia="宋体" w:hAnsi="Book Antiqua" w:cs="宋体"/>
          <w:kern w:val="0"/>
          <w:sz w:val="24"/>
          <w:szCs w:val="24"/>
          <w:lang w:eastAsia="zh-CN"/>
        </w:rPr>
        <w:t>: 2N-9N [PMID: 9809895 DOI: 10.1016/S0002-9149(98)00583-9]</w:t>
      </w:r>
    </w:p>
    <w:p w14:paraId="47C9005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42 </w:t>
      </w:r>
      <w:r w:rsidRPr="00AF7267">
        <w:rPr>
          <w:rFonts w:ascii="Book Antiqua" w:eastAsia="宋体" w:hAnsi="Book Antiqua" w:cs="宋体"/>
          <w:b/>
          <w:bCs/>
          <w:kern w:val="0"/>
          <w:sz w:val="24"/>
          <w:szCs w:val="24"/>
          <w:lang w:eastAsia="zh-CN"/>
        </w:rPr>
        <w:t>Messerli FH</w:t>
      </w:r>
      <w:r w:rsidRPr="00AF7267">
        <w:rPr>
          <w:rFonts w:ascii="Book Antiqua" w:eastAsia="宋体" w:hAnsi="Book Antiqua" w:cs="宋体"/>
          <w:kern w:val="0"/>
          <w:sz w:val="24"/>
          <w:szCs w:val="24"/>
          <w:lang w:eastAsia="zh-CN"/>
        </w:rPr>
        <w:t xml:space="preserve">, Ventura HO, Elizardi DJ, Dunn FG, Frohlich ED. Hypertension and sudden death. Increased ventricular ectopic activity in left ventricular hypertrophy. </w:t>
      </w:r>
      <w:r w:rsidRPr="00AF7267">
        <w:rPr>
          <w:rFonts w:ascii="Book Antiqua" w:eastAsia="宋体" w:hAnsi="Book Antiqua" w:cs="宋体"/>
          <w:i/>
          <w:iCs/>
          <w:kern w:val="0"/>
          <w:sz w:val="24"/>
          <w:szCs w:val="24"/>
          <w:lang w:eastAsia="zh-CN"/>
        </w:rPr>
        <w:t>Am J Med</w:t>
      </w:r>
      <w:r w:rsidRPr="00AF7267">
        <w:rPr>
          <w:rFonts w:ascii="Book Antiqua" w:eastAsia="宋体" w:hAnsi="Book Antiqua" w:cs="宋体"/>
          <w:kern w:val="0"/>
          <w:sz w:val="24"/>
          <w:szCs w:val="24"/>
          <w:lang w:eastAsia="zh-CN"/>
        </w:rPr>
        <w:t xml:space="preserve"> 1984; </w:t>
      </w:r>
      <w:r w:rsidRPr="00AF7267">
        <w:rPr>
          <w:rFonts w:ascii="Book Antiqua" w:eastAsia="宋体" w:hAnsi="Book Antiqua" w:cs="宋体"/>
          <w:b/>
          <w:bCs/>
          <w:kern w:val="0"/>
          <w:sz w:val="24"/>
          <w:szCs w:val="24"/>
          <w:lang w:eastAsia="zh-CN"/>
        </w:rPr>
        <w:t>77</w:t>
      </w:r>
      <w:r w:rsidRPr="00AF7267">
        <w:rPr>
          <w:rFonts w:ascii="Book Antiqua" w:eastAsia="宋体" w:hAnsi="Book Antiqua" w:cs="宋体"/>
          <w:kern w:val="0"/>
          <w:sz w:val="24"/>
          <w:szCs w:val="24"/>
          <w:lang w:eastAsia="zh-CN"/>
        </w:rPr>
        <w:t>: 18-22 [PMID: 6234799 DOI: 10.1016/0002-9343(84)90430-3]</w:t>
      </w:r>
    </w:p>
    <w:p w14:paraId="051FC1C3"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43 </w:t>
      </w:r>
      <w:r w:rsidRPr="00AF7267">
        <w:rPr>
          <w:rFonts w:ascii="Book Antiqua" w:eastAsia="宋体" w:hAnsi="Book Antiqua" w:cs="宋体"/>
          <w:b/>
          <w:bCs/>
          <w:kern w:val="0"/>
          <w:sz w:val="24"/>
          <w:szCs w:val="24"/>
          <w:lang w:eastAsia="zh-CN"/>
        </w:rPr>
        <w:t>Greenwood JP</w:t>
      </w:r>
      <w:r w:rsidRPr="00AF7267">
        <w:rPr>
          <w:rFonts w:ascii="Book Antiqua" w:eastAsia="宋体" w:hAnsi="Book Antiqua" w:cs="宋体"/>
          <w:kern w:val="0"/>
          <w:sz w:val="24"/>
          <w:szCs w:val="24"/>
          <w:lang w:eastAsia="zh-CN"/>
        </w:rPr>
        <w:t xml:space="preserve">, Scott EM, Stoker JB, Mary DA. Hypertensive left ventricular hypertrophy: relation to peripheral sympathetic drive. </w:t>
      </w:r>
      <w:r w:rsidRPr="00AF7267">
        <w:rPr>
          <w:rFonts w:ascii="Book Antiqua" w:eastAsia="宋体" w:hAnsi="Book Antiqua" w:cs="宋体"/>
          <w:i/>
          <w:iCs/>
          <w:kern w:val="0"/>
          <w:sz w:val="24"/>
          <w:szCs w:val="24"/>
          <w:lang w:eastAsia="zh-CN"/>
        </w:rPr>
        <w:t>J Am Coll Cardiol</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38</w:t>
      </w:r>
      <w:r w:rsidRPr="00AF7267">
        <w:rPr>
          <w:rFonts w:ascii="Book Antiqua" w:eastAsia="宋体" w:hAnsi="Book Antiqua" w:cs="宋体"/>
          <w:kern w:val="0"/>
          <w:sz w:val="24"/>
          <w:szCs w:val="24"/>
          <w:lang w:eastAsia="zh-CN"/>
        </w:rPr>
        <w:t>: 1711-1717 [PMID: 11704385 DOI: 10.1016/S0735-1097(01)01600-X]</w:t>
      </w:r>
    </w:p>
    <w:p w14:paraId="2E58FE61"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44 </w:t>
      </w:r>
      <w:r w:rsidRPr="00AF7267">
        <w:rPr>
          <w:rFonts w:ascii="Book Antiqua" w:eastAsia="宋体" w:hAnsi="Book Antiqua" w:cs="宋体"/>
          <w:b/>
          <w:bCs/>
          <w:kern w:val="0"/>
          <w:sz w:val="24"/>
          <w:szCs w:val="24"/>
          <w:lang w:eastAsia="zh-CN"/>
        </w:rPr>
        <w:t>Schlaich MP</w:t>
      </w:r>
      <w:r w:rsidRPr="00AF7267">
        <w:rPr>
          <w:rFonts w:ascii="Book Antiqua" w:eastAsia="宋体" w:hAnsi="Book Antiqua" w:cs="宋体"/>
          <w:kern w:val="0"/>
          <w:sz w:val="24"/>
          <w:szCs w:val="24"/>
          <w:lang w:eastAsia="zh-CN"/>
        </w:rPr>
        <w:t xml:space="preserve">, Kaye DM, Lambert E, Sommerville M, Socratous F, Esler MD. Relation between cardiac sympathetic activity and hypertensive left ventricular hypertrophy.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2003; </w:t>
      </w:r>
      <w:r w:rsidRPr="00AF7267">
        <w:rPr>
          <w:rFonts w:ascii="Book Antiqua" w:eastAsia="宋体" w:hAnsi="Book Antiqua" w:cs="宋体"/>
          <w:b/>
          <w:bCs/>
          <w:kern w:val="0"/>
          <w:sz w:val="24"/>
          <w:szCs w:val="24"/>
          <w:lang w:eastAsia="zh-CN"/>
        </w:rPr>
        <w:t>108</w:t>
      </w:r>
      <w:r w:rsidRPr="00AF7267">
        <w:rPr>
          <w:rFonts w:ascii="Book Antiqua" w:eastAsia="宋体" w:hAnsi="Book Antiqua" w:cs="宋体"/>
          <w:kern w:val="0"/>
          <w:sz w:val="24"/>
          <w:szCs w:val="24"/>
          <w:lang w:eastAsia="zh-CN"/>
        </w:rPr>
        <w:t>: 560-565 [PMID: 12847071 DOI: 10.1161/01.CIR.0000081775.72651.B6]</w:t>
      </w:r>
    </w:p>
    <w:p w14:paraId="27238CFB"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45 </w:t>
      </w:r>
      <w:r w:rsidRPr="00AF7267">
        <w:rPr>
          <w:rFonts w:ascii="Book Antiqua" w:eastAsia="宋体" w:hAnsi="Book Antiqua" w:cs="宋体"/>
          <w:b/>
          <w:bCs/>
          <w:kern w:val="0"/>
          <w:sz w:val="24"/>
          <w:szCs w:val="24"/>
          <w:lang w:eastAsia="zh-CN"/>
        </w:rPr>
        <w:t>Musilli C</w:t>
      </w:r>
      <w:r w:rsidRPr="00AF7267">
        <w:rPr>
          <w:rFonts w:ascii="Book Antiqua" w:eastAsia="宋体" w:hAnsi="Book Antiqua" w:cs="宋体"/>
          <w:kern w:val="0"/>
          <w:sz w:val="24"/>
          <w:szCs w:val="24"/>
          <w:lang w:eastAsia="zh-CN"/>
        </w:rPr>
        <w:t xml:space="preserve">, Paccosi S, Pala L, Gerlini G, Ledda F, Mugelli A, Rotella CM, Parenti A. Characterization of circulating and monocyte-derived dendritic cells in obese and diabetic patients. </w:t>
      </w:r>
      <w:r w:rsidRPr="00AF7267">
        <w:rPr>
          <w:rFonts w:ascii="Book Antiqua" w:eastAsia="宋体" w:hAnsi="Book Antiqua" w:cs="宋体"/>
          <w:i/>
          <w:iCs/>
          <w:kern w:val="0"/>
          <w:sz w:val="24"/>
          <w:szCs w:val="24"/>
          <w:lang w:eastAsia="zh-CN"/>
        </w:rPr>
        <w:t>Mol Immunol</w:t>
      </w:r>
      <w:r w:rsidRPr="00AF7267">
        <w:rPr>
          <w:rFonts w:ascii="Book Antiqua" w:eastAsia="宋体" w:hAnsi="Book Antiqua" w:cs="宋体"/>
          <w:kern w:val="0"/>
          <w:sz w:val="24"/>
          <w:szCs w:val="24"/>
          <w:lang w:eastAsia="zh-CN"/>
        </w:rPr>
        <w:t xml:space="preserve"> 2011; </w:t>
      </w:r>
      <w:r w:rsidRPr="00AF7267">
        <w:rPr>
          <w:rFonts w:ascii="Book Antiqua" w:eastAsia="宋体" w:hAnsi="Book Antiqua" w:cs="宋体"/>
          <w:b/>
          <w:bCs/>
          <w:kern w:val="0"/>
          <w:sz w:val="24"/>
          <w:szCs w:val="24"/>
          <w:lang w:eastAsia="zh-CN"/>
        </w:rPr>
        <w:t>49</w:t>
      </w:r>
      <w:r w:rsidRPr="00AF7267">
        <w:rPr>
          <w:rFonts w:ascii="Book Antiqua" w:eastAsia="宋体" w:hAnsi="Book Antiqua" w:cs="宋体"/>
          <w:kern w:val="0"/>
          <w:sz w:val="24"/>
          <w:szCs w:val="24"/>
          <w:lang w:eastAsia="zh-CN"/>
        </w:rPr>
        <w:t>: 234-238 [PMID: 21940050 DOI: 10.1016/j.molimm.2011.08.01]</w:t>
      </w:r>
    </w:p>
    <w:p w14:paraId="19E44670"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46 </w:t>
      </w:r>
      <w:r w:rsidRPr="00AF7267">
        <w:rPr>
          <w:rFonts w:ascii="Book Antiqua" w:eastAsia="宋体" w:hAnsi="Book Antiqua" w:cs="宋体"/>
          <w:b/>
          <w:bCs/>
          <w:kern w:val="0"/>
          <w:sz w:val="24"/>
          <w:szCs w:val="24"/>
          <w:lang w:eastAsia="zh-CN"/>
        </w:rPr>
        <w:t>Kjeldsen SE</w:t>
      </w:r>
      <w:r w:rsidRPr="00AF7267">
        <w:rPr>
          <w:rFonts w:ascii="Book Antiqua" w:eastAsia="宋体" w:hAnsi="Book Antiqua" w:cs="宋体"/>
          <w:kern w:val="0"/>
          <w:sz w:val="24"/>
          <w:szCs w:val="24"/>
          <w:lang w:eastAsia="zh-CN"/>
        </w:rPr>
        <w:t xml:space="preserve">, Devereux RB, Hille DA, Lyle PA, Dahlöf B, Julius S, Edelman JM, Snapinn SM, de Faire U, Fyhrquist F, Ibsen H, Lederballe-Pedersen O, Lindholm LH, Nieminen MS, Omvik P, Oparil S, Wedel H. Predictors of cardiovascular events in patients with hypertension and left ventricular hypertrophy: the Losartan Intervention for Endpoint reduction in hypertension study. </w:t>
      </w:r>
      <w:r w:rsidRPr="00AF7267">
        <w:rPr>
          <w:rFonts w:ascii="Book Antiqua" w:eastAsia="宋体" w:hAnsi="Book Antiqua" w:cs="宋体"/>
          <w:i/>
          <w:iCs/>
          <w:kern w:val="0"/>
          <w:sz w:val="24"/>
          <w:szCs w:val="24"/>
          <w:lang w:eastAsia="zh-CN"/>
        </w:rPr>
        <w:t>Blood Press</w:t>
      </w:r>
      <w:r w:rsidRPr="00AF7267">
        <w:rPr>
          <w:rFonts w:ascii="Book Antiqua" w:eastAsia="宋体" w:hAnsi="Book Antiqua" w:cs="宋体"/>
          <w:kern w:val="0"/>
          <w:sz w:val="24"/>
          <w:szCs w:val="24"/>
          <w:lang w:eastAsia="zh-CN"/>
        </w:rPr>
        <w:t xml:space="preserve"> 2009; </w:t>
      </w:r>
      <w:r w:rsidRPr="00AF7267">
        <w:rPr>
          <w:rFonts w:ascii="Book Antiqua" w:eastAsia="宋体" w:hAnsi="Book Antiqua" w:cs="宋体"/>
          <w:b/>
          <w:bCs/>
          <w:kern w:val="0"/>
          <w:sz w:val="24"/>
          <w:szCs w:val="24"/>
          <w:lang w:eastAsia="zh-CN"/>
        </w:rPr>
        <w:t>18</w:t>
      </w:r>
      <w:r w:rsidRPr="00AF7267">
        <w:rPr>
          <w:rFonts w:ascii="Book Antiqua" w:eastAsia="宋体" w:hAnsi="Book Antiqua" w:cs="宋体"/>
          <w:kern w:val="0"/>
          <w:sz w:val="24"/>
          <w:szCs w:val="24"/>
          <w:lang w:eastAsia="zh-CN"/>
        </w:rPr>
        <w:t>: 348-361 [PMID: 20001655 DOI: 10.3109/08037050903460590]</w:t>
      </w:r>
    </w:p>
    <w:p w14:paraId="656EF49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47 </w:t>
      </w:r>
      <w:r w:rsidRPr="00AF7267">
        <w:rPr>
          <w:rFonts w:ascii="Book Antiqua" w:eastAsia="宋体" w:hAnsi="Book Antiqua" w:cs="宋体"/>
          <w:b/>
          <w:bCs/>
          <w:kern w:val="0"/>
          <w:sz w:val="24"/>
          <w:szCs w:val="24"/>
          <w:lang w:eastAsia="zh-CN"/>
        </w:rPr>
        <w:t>Diamond JA</w:t>
      </w:r>
      <w:r w:rsidRPr="00AF7267">
        <w:rPr>
          <w:rFonts w:ascii="Book Antiqua" w:eastAsia="宋体" w:hAnsi="Book Antiqua" w:cs="宋体"/>
          <w:kern w:val="0"/>
          <w:sz w:val="24"/>
          <w:szCs w:val="24"/>
          <w:lang w:eastAsia="zh-CN"/>
        </w:rPr>
        <w:t xml:space="preserve">, Phillips RA. Hypertensive heart disease. </w:t>
      </w:r>
      <w:r w:rsidRPr="00AF7267">
        <w:rPr>
          <w:rFonts w:ascii="Book Antiqua" w:eastAsia="宋体" w:hAnsi="Book Antiqua" w:cs="宋体"/>
          <w:i/>
          <w:iCs/>
          <w:kern w:val="0"/>
          <w:sz w:val="24"/>
          <w:szCs w:val="24"/>
          <w:lang w:eastAsia="zh-CN"/>
        </w:rPr>
        <w:t>Hypertens Res</w:t>
      </w:r>
      <w:r w:rsidRPr="00AF7267">
        <w:rPr>
          <w:rFonts w:ascii="Book Antiqua" w:eastAsia="宋体" w:hAnsi="Book Antiqua" w:cs="宋体"/>
          <w:kern w:val="0"/>
          <w:sz w:val="24"/>
          <w:szCs w:val="24"/>
          <w:lang w:eastAsia="zh-CN"/>
        </w:rPr>
        <w:t xml:space="preserve"> 2005; </w:t>
      </w:r>
      <w:r w:rsidRPr="00AF7267">
        <w:rPr>
          <w:rFonts w:ascii="Book Antiqua" w:eastAsia="宋体" w:hAnsi="Book Antiqua" w:cs="宋体"/>
          <w:b/>
          <w:bCs/>
          <w:kern w:val="0"/>
          <w:sz w:val="24"/>
          <w:szCs w:val="24"/>
          <w:lang w:eastAsia="zh-CN"/>
        </w:rPr>
        <w:t>28</w:t>
      </w:r>
      <w:r w:rsidRPr="00AF7267">
        <w:rPr>
          <w:rFonts w:ascii="Book Antiqua" w:eastAsia="宋体" w:hAnsi="Book Antiqua" w:cs="宋体"/>
          <w:kern w:val="0"/>
          <w:sz w:val="24"/>
          <w:szCs w:val="24"/>
          <w:lang w:eastAsia="zh-CN"/>
        </w:rPr>
        <w:t>: 191-202 [PMID: 16097361 DOI: 10.1291/hypres.28.191]</w:t>
      </w:r>
    </w:p>
    <w:p w14:paraId="6CA9ACF3"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48 </w:t>
      </w:r>
      <w:r w:rsidRPr="00AF7267">
        <w:rPr>
          <w:rFonts w:ascii="Book Antiqua" w:eastAsia="宋体" w:hAnsi="Book Antiqua" w:cs="宋体"/>
          <w:b/>
          <w:bCs/>
          <w:kern w:val="0"/>
          <w:sz w:val="24"/>
          <w:szCs w:val="24"/>
          <w:lang w:eastAsia="zh-CN"/>
        </w:rPr>
        <w:t>Phillips RA</w:t>
      </w:r>
      <w:r w:rsidRPr="00AF7267">
        <w:rPr>
          <w:rFonts w:ascii="Book Antiqua" w:eastAsia="宋体" w:hAnsi="Book Antiqua" w:cs="宋体"/>
          <w:kern w:val="0"/>
          <w:sz w:val="24"/>
          <w:szCs w:val="24"/>
          <w:lang w:eastAsia="zh-CN"/>
        </w:rPr>
        <w:t xml:space="preserve">, Diamond JA. Diastolic function in hypertension. </w:t>
      </w:r>
      <w:r w:rsidRPr="00AF7267">
        <w:rPr>
          <w:rFonts w:ascii="Book Antiqua" w:eastAsia="宋体" w:hAnsi="Book Antiqua" w:cs="宋体"/>
          <w:i/>
          <w:iCs/>
          <w:kern w:val="0"/>
          <w:sz w:val="24"/>
          <w:szCs w:val="24"/>
          <w:lang w:eastAsia="zh-CN"/>
        </w:rPr>
        <w:t>Curr Cardiol Rep</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3</w:t>
      </w:r>
      <w:r w:rsidRPr="00AF7267">
        <w:rPr>
          <w:rFonts w:ascii="Book Antiqua" w:eastAsia="宋体" w:hAnsi="Book Antiqua" w:cs="宋体"/>
          <w:kern w:val="0"/>
          <w:sz w:val="24"/>
          <w:szCs w:val="24"/>
          <w:lang w:eastAsia="zh-CN"/>
        </w:rPr>
        <w:t>: 485-497 [PMID: 11602080 DOI: 10.1007/s11886-001-0071-4]</w:t>
      </w:r>
    </w:p>
    <w:p w14:paraId="445CE8A7"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49 </w:t>
      </w:r>
      <w:r w:rsidRPr="00AF7267">
        <w:rPr>
          <w:rFonts w:ascii="Book Antiqua" w:eastAsia="宋体" w:hAnsi="Book Antiqua" w:cs="宋体"/>
          <w:b/>
          <w:bCs/>
          <w:kern w:val="0"/>
          <w:sz w:val="24"/>
          <w:szCs w:val="24"/>
          <w:lang w:eastAsia="zh-CN"/>
        </w:rPr>
        <w:t>Aurigemma GP</w:t>
      </w:r>
      <w:r w:rsidRPr="00AF7267">
        <w:rPr>
          <w:rFonts w:ascii="Book Antiqua" w:eastAsia="宋体" w:hAnsi="Book Antiqua" w:cs="宋体"/>
          <w:kern w:val="0"/>
          <w:sz w:val="24"/>
          <w:szCs w:val="24"/>
          <w:lang w:eastAsia="zh-CN"/>
        </w:rPr>
        <w:t xml:space="preserve">, Gottdiener JS, Shemanski L, Gardin J, Kitzman D. Predictive value of systolic and diastolic function for incident congestive heart failure in the elderly: the cardiovascular health study. </w:t>
      </w:r>
      <w:r w:rsidRPr="00AF7267">
        <w:rPr>
          <w:rFonts w:ascii="Book Antiqua" w:eastAsia="宋体" w:hAnsi="Book Antiqua" w:cs="宋体"/>
          <w:i/>
          <w:iCs/>
          <w:kern w:val="0"/>
          <w:sz w:val="24"/>
          <w:szCs w:val="24"/>
          <w:lang w:eastAsia="zh-CN"/>
        </w:rPr>
        <w:t>J Am Coll Cardiol</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37</w:t>
      </w:r>
      <w:r w:rsidRPr="00AF7267">
        <w:rPr>
          <w:rFonts w:ascii="Book Antiqua" w:eastAsia="宋体" w:hAnsi="Book Antiqua" w:cs="宋体"/>
          <w:kern w:val="0"/>
          <w:sz w:val="24"/>
          <w:szCs w:val="24"/>
          <w:lang w:eastAsia="zh-CN"/>
        </w:rPr>
        <w:t>: 1042-1048 [PMID: 11263606 DOI: 10.1016/S0735-1097(01)01110-X]</w:t>
      </w:r>
    </w:p>
    <w:p w14:paraId="3B562A9B"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50 </w:t>
      </w:r>
      <w:r w:rsidRPr="00AF7267">
        <w:rPr>
          <w:rFonts w:ascii="Book Antiqua" w:eastAsia="宋体" w:hAnsi="Book Antiqua" w:cs="宋体"/>
          <w:b/>
          <w:bCs/>
          <w:kern w:val="0"/>
          <w:sz w:val="24"/>
          <w:szCs w:val="24"/>
          <w:lang w:eastAsia="zh-CN"/>
        </w:rPr>
        <w:t>Gandhi SK</w:t>
      </w:r>
      <w:r w:rsidRPr="00AF7267">
        <w:rPr>
          <w:rFonts w:ascii="Book Antiqua" w:eastAsia="宋体" w:hAnsi="Book Antiqua" w:cs="宋体"/>
          <w:kern w:val="0"/>
          <w:sz w:val="24"/>
          <w:szCs w:val="24"/>
          <w:lang w:eastAsia="zh-CN"/>
        </w:rPr>
        <w:t xml:space="preserve">, Powers JC, Nomeir AM, Fowle K, Kitzman DW, Rankin KM, Little WC. The pathogenesis of acute pulmonary edema associated with hypertension. </w:t>
      </w:r>
      <w:r w:rsidRPr="00AF7267">
        <w:rPr>
          <w:rFonts w:ascii="Book Antiqua" w:eastAsia="宋体" w:hAnsi="Book Antiqua" w:cs="宋体"/>
          <w:i/>
          <w:iCs/>
          <w:kern w:val="0"/>
          <w:sz w:val="24"/>
          <w:szCs w:val="24"/>
          <w:lang w:eastAsia="zh-CN"/>
        </w:rPr>
        <w:t>N Engl J Med</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344</w:t>
      </w:r>
      <w:r w:rsidRPr="00AF7267">
        <w:rPr>
          <w:rFonts w:ascii="Book Antiqua" w:eastAsia="宋体" w:hAnsi="Book Antiqua" w:cs="宋体"/>
          <w:kern w:val="0"/>
          <w:sz w:val="24"/>
          <w:szCs w:val="24"/>
          <w:lang w:eastAsia="zh-CN"/>
        </w:rPr>
        <w:t>: 17-22 [PMID: 11136955 DOI: 10.1056/NEJM200101043440103]</w:t>
      </w:r>
    </w:p>
    <w:p w14:paraId="73AD5146" w14:textId="3A6A13C0" w:rsidR="00AF7267" w:rsidRPr="00AF7267" w:rsidRDefault="00AF7267" w:rsidP="00AF7267">
      <w:pPr>
        <w:widowControl/>
        <w:spacing w:line="360" w:lineRule="auto"/>
        <w:rPr>
          <w:rFonts w:ascii="Book Antiqua" w:eastAsia="宋体" w:hAnsi="Book Antiqua" w:cs="宋体"/>
          <w:kern w:val="0"/>
          <w:sz w:val="24"/>
          <w:szCs w:val="24"/>
          <w:lang w:eastAsia="zh-CN"/>
        </w:rPr>
      </w:pPr>
      <w:r>
        <w:rPr>
          <w:rFonts w:ascii="Book Antiqua" w:eastAsia="宋体" w:hAnsi="Book Antiqua" w:cs="宋体"/>
          <w:kern w:val="0"/>
          <w:sz w:val="24"/>
          <w:szCs w:val="24"/>
          <w:lang w:eastAsia="zh-CN"/>
        </w:rPr>
        <w:t xml:space="preserve">51 </w:t>
      </w:r>
      <w:r w:rsidRPr="00AF7267">
        <w:rPr>
          <w:rFonts w:ascii="Book Antiqua" w:eastAsia="宋体" w:hAnsi="Book Antiqua" w:cs="宋体"/>
          <w:b/>
          <w:kern w:val="0"/>
          <w:sz w:val="24"/>
          <w:szCs w:val="24"/>
          <w:lang w:eastAsia="zh-CN"/>
        </w:rPr>
        <w:t>Chobanian AV</w:t>
      </w:r>
      <w:r w:rsidRPr="00AF7267">
        <w:rPr>
          <w:rFonts w:ascii="Book Antiqua" w:eastAsia="宋体" w:hAnsi="Book Antiqua" w:cs="宋体"/>
          <w:kern w:val="0"/>
          <w:sz w:val="24"/>
          <w:szCs w:val="24"/>
          <w:lang w:eastAsia="zh-CN"/>
        </w:rPr>
        <w:t xml:space="preserve">, Brecher PI, Haudenschild CC. Effects of hypertension and antihypertensive therapy on atherosclerosis: state of the heart lecture. </w:t>
      </w:r>
      <w:r w:rsidRPr="00AF7267">
        <w:rPr>
          <w:rFonts w:ascii="Book Antiqua" w:eastAsia="宋体" w:hAnsi="Book Antiqua" w:cs="宋体"/>
          <w:i/>
          <w:kern w:val="0"/>
          <w:sz w:val="24"/>
          <w:szCs w:val="24"/>
          <w:lang w:eastAsia="zh-CN"/>
        </w:rPr>
        <w:t>Hypertension</w:t>
      </w:r>
      <w:r w:rsidRPr="00AF7267">
        <w:rPr>
          <w:rFonts w:ascii="Book Antiqua" w:eastAsia="宋体" w:hAnsi="Book Antiqua" w:cs="宋体"/>
          <w:kern w:val="0"/>
          <w:sz w:val="24"/>
          <w:szCs w:val="24"/>
          <w:lang w:eastAsia="zh-CN"/>
        </w:rPr>
        <w:t xml:space="preserve"> 1986; </w:t>
      </w:r>
      <w:r w:rsidRPr="00AF7267">
        <w:rPr>
          <w:rFonts w:ascii="Book Antiqua" w:eastAsia="宋体" w:hAnsi="Book Antiqua" w:cs="宋体"/>
          <w:b/>
          <w:kern w:val="0"/>
          <w:sz w:val="24"/>
          <w:szCs w:val="24"/>
          <w:lang w:eastAsia="zh-CN"/>
        </w:rPr>
        <w:t>8</w:t>
      </w:r>
      <w:r>
        <w:rPr>
          <w:rFonts w:ascii="Book Antiqua" w:eastAsia="宋体" w:hAnsi="Book Antiqua" w:cs="宋体" w:hint="eastAsia"/>
          <w:kern w:val="0"/>
          <w:sz w:val="24"/>
          <w:szCs w:val="24"/>
          <w:lang w:eastAsia="zh-CN"/>
        </w:rPr>
        <w:t xml:space="preserve"> </w:t>
      </w:r>
      <w:r>
        <w:rPr>
          <w:rFonts w:ascii="Book Antiqua" w:eastAsia="宋体" w:hAnsi="Book Antiqua" w:cs="宋体"/>
          <w:kern w:val="0"/>
          <w:sz w:val="24"/>
          <w:szCs w:val="24"/>
          <w:lang w:eastAsia="zh-CN"/>
        </w:rPr>
        <w:t>(Suppl l): 15-21</w:t>
      </w:r>
    </w:p>
    <w:p w14:paraId="5B13E9E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52 </w:t>
      </w:r>
      <w:r w:rsidRPr="00AF7267">
        <w:rPr>
          <w:rFonts w:ascii="Book Antiqua" w:eastAsia="宋体" w:hAnsi="Book Antiqua" w:cs="宋体"/>
          <w:b/>
          <w:bCs/>
          <w:kern w:val="0"/>
          <w:sz w:val="24"/>
          <w:szCs w:val="24"/>
          <w:lang w:eastAsia="zh-CN"/>
        </w:rPr>
        <w:t>Wang TJ</w:t>
      </w:r>
      <w:r w:rsidRPr="00AF7267">
        <w:rPr>
          <w:rFonts w:ascii="Book Antiqua" w:eastAsia="宋体" w:hAnsi="Book Antiqua" w:cs="宋体"/>
          <w:kern w:val="0"/>
          <w:sz w:val="24"/>
          <w:szCs w:val="24"/>
          <w:lang w:eastAsia="zh-CN"/>
        </w:rPr>
        <w:t xml:space="preserve">, Evans JC, Benjamin EJ, Levy D, LeRoy EC, Vasan RS. Natural history of asymptomatic left ventricular systolic dysfunction in the community.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2003; </w:t>
      </w:r>
      <w:r w:rsidRPr="00AF7267">
        <w:rPr>
          <w:rFonts w:ascii="Book Antiqua" w:eastAsia="宋体" w:hAnsi="Book Antiqua" w:cs="宋体"/>
          <w:b/>
          <w:bCs/>
          <w:kern w:val="0"/>
          <w:sz w:val="24"/>
          <w:szCs w:val="24"/>
          <w:lang w:eastAsia="zh-CN"/>
        </w:rPr>
        <w:t>108</w:t>
      </w:r>
      <w:r w:rsidRPr="00AF7267">
        <w:rPr>
          <w:rFonts w:ascii="Book Antiqua" w:eastAsia="宋体" w:hAnsi="Book Antiqua" w:cs="宋体"/>
          <w:kern w:val="0"/>
          <w:sz w:val="24"/>
          <w:szCs w:val="24"/>
          <w:lang w:eastAsia="zh-CN"/>
        </w:rPr>
        <w:t>: 977-982 [PMID: 12912813 DOI: 10.1161/01.CIR.0000085166.44904.79]</w:t>
      </w:r>
    </w:p>
    <w:p w14:paraId="26005BE5"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53 </w:t>
      </w:r>
      <w:r w:rsidRPr="00AF7267">
        <w:rPr>
          <w:rFonts w:ascii="Book Antiqua" w:eastAsia="宋体" w:hAnsi="Book Antiqua" w:cs="宋体"/>
          <w:b/>
          <w:bCs/>
          <w:kern w:val="0"/>
          <w:sz w:val="24"/>
          <w:szCs w:val="24"/>
          <w:lang w:eastAsia="zh-CN"/>
        </w:rPr>
        <w:t>Drazner MH</w:t>
      </w:r>
      <w:r w:rsidRPr="00AF7267">
        <w:rPr>
          <w:rFonts w:ascii="Book Antiqua" w:eastAsia="宋体" w:hAnsi="Book Antiqua" w:cs="宋体"/>
          <w:kern w:val="0"/>
          <w:sz w:val="24"/>
          <w:szCs w:val="24"/>
          <w:lang w:eastAsia="zh-CN"/>
        </w:rPr>
        <w:t xml:space="preserve">. The progression of hypertensive heart disease.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2011; </w:t>
      </w:r>
      <w:r w:rsidRPr="00AF7267">
        <w:rPr>
          <w:rFonts w:ascii="Book Antiqua" w:eastAsia="宋体" w:hAnsi="Book Antiqua" w:cs="宋体"/>
          <w:b/>
          <w:bCs/>
          <w:kern w:val="0"/>
          <w:sz w:val="24"/>
          <w:szCs w:val="24"/>
          <w:lang w:eastAsia="zh-CN"/>
        </w:rPr>
        <w:t>123</w:t>
      </w:r>
      <w:r w:rsidRPr="00AF7267">
        <w:rPr>
          <w:rFonts w:ascii="Book Antiqua" w:eastAsia="宋体" w:hAnsi="Book Antiqua" w:cs="宋体"/>
          <w:kern w:val="0"/>
          <w:sz w:val="24"/>
          <w:szCs w:val="24"/>
          <w:lang w:eastAsia="zh-CN"/>
        </w:rPr>
        <w:t>: 327-334 [PMID: 21263005 DOI: 10.1161/CIRCULATIONAHA.108.845792]</w:t>
      </w:r>
    </w:p>
    <w:p w14:paraId="76D21D0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54 </w:t>
      </w:r>
      <w:r w:rsidRPr="00AF7267">
        <w:rPr>
          <w:rFonts w:ascii="Book Antiqua" w:eastAsia="宋体" w:hAnsi="Book Antiqua" w:cs="宋体"/>
          <w:b/>
          <w:bCs/>
          <w:kern w:val="0"/>
          <w:sz w:val="24"/>
          <w:szCs w:val="24"/>
          <w:lang w:eastAsia="zh-CN"/>
        </w:rPr>
        <w:t>Díez J</w:t>
      </w:r>
      <w:r w:rsidRPr="00AF7267">
        <w:rPr>
          <w:rFonts w:ascii="Book Antiqua" w:eastAsia="宋体" w:hAnsi="Book Antiqua" w:cs="宋体"/>
          <w:kern w:val="0"/>
          <w:sz w:val="24"/>
          <w:szCs w:val="24"/>
          <w:lang w:eastAsia="zh-CN"/>
        </w:rPr>
        <w:t xml:space="preserve">, González A, López B, Querejeta R. Mechanisms of disease: pathologic structural remodeling is more than adaptive hypertrophy in hypertensive heart disease. </w:t>
      </w:r>
      <w:r w:rsidRPr="00AF7267">
        <w:rPr>
          <w:rFonts w:ascii="Book Antiqua" w:eastAsia="宋体" w:hAnsi="Book Antiqua" w:cs="宋体"/>
          <w:i/>
          <w:iCs/>
          <w:kern w:val="0"/>
          <w:sz w:val="24"/>
          <w:szCs w:val="24"/>
          <w:lang w:eastAsia="zh-CN"/>
        </w:rPr>
        <w:t>Nat Clin Pract Cardiovasc Med</w:t>
      </w:r>
      <w:r w:rsidRPr="00AF7267">
        <w:rPr>
          <w:rFonts w:ascii="Book Antiqua" w:eastAsia="宋体" w:hAnsi="Book Antiqua" w:cs="宋体"/>
          <w:kern w:val="0"/>
          <w:sz w:val="24"/>
          <w:szCs w:val="24"/>
          <w:lang w:eastAsia="zh-CN"/>
        </w:rPr>
        <w:t xml:space="preserve"> 2005; </w:t>
      </w:r>
      <w:r w:rsidRPr="00AF7267">
        <w:rPr>
          <w:rFonts w:ascii="Book Antiqua" w:eastAsia="宋体" w:hAnsi="Book Antiqua" w:cs="宋体"/>
          <w:b/>
          <w:bCs/>
          <w:kern w:val="0"/>
          <w:sz w:val="24"/>
          <w:szCs w:val="24"/>
          <w:lang w:eastAsia="zh-CN"/>
        </w:rPr>
        <w:t>2</w:t>
      </w:r>
      <w:r w:rsidRPr="00AF7267">
        <w:rPr>
          <w:rFonts w:ascii="Book Antiqua" w:eastAsia="宋体" w:hAnsi="Book Antiqua" w:cs="宋体"/>
          <w:kern w:val="0"/>
          <w:sz w:val="24"/>
          <w:szCs w:val="24"/>
          <w:lang w:eastAsia="zh-CN"/>
        </w:rPr>
        <w:t>: 209-216 [PMID: 16265485 DOI: 10.1038/ncpcardio0158]</w:t>
      </w:r>
    </w:p>
    <w:p w14:paraId="75B0A8A0"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55 </w:t>
      </w:r>
      <w:r w:rsidRPr="00AF7267">
        <w:rPr>
          <w:rFonts w:ascii="Book Antiqua" w:eastAsia="宋体" w:hAnsi="Book Antiqua" w:cs="宋体"/>
          <w:b/>
          <w:bCs/>
          <w:kern w:val="0"/>
          <w:sz w:val="24"/>
          <w:szCs w:val="24"/>
          <w:lang w:eastAsia="zh-CN"/>
        </w:rPr>
        <w:t>Díez J</w:t>
      </w:r>
      <w:r w:rsidRPr="00AF7267">
        <w:rPr>
          <w:rFonts w:ascii="Book Antiqua" w:eastAsia="宋体" w:hAnsi="Book Antiqua" w:cs="宋体"/>
          <w:kern w:val="0"/>
          <w:sz w:val="24"/>
          <w:szCs w:val="24"/>
          <w:lang w:eastAsia="zh-CN"/>
        </w:rPr>
        <w:t xml:space="preserve">. Diagnosis and treatment of myocardial fibrosis in hypertensive heart disease. </w:t>
      </w:r>
      <w:r w:rsidRPr="00AF7267">
        <w:rPr>
          <w:rFonts w:ascii="Book Antiqua" w:eastAsia="宋体" w:hAnsi="Book Antiqua" w:cs="宋体"/>
          <w:i/>
          <w:iCs/>
          <w:kern w:val="0"/>
          <w:sz w:val="24"/>
          <w:szCs w:val="24"/>
          <w:lang w:eastAsia="zh-CN"/>
        </w:rPr>
        <w:t>Circ J</w:t>
      </w:r>
      <w:r w:rsidRPr="00AF7267">
        <w:rPr>
          <w:rFonts w:ascii="Book Antiqua" w:eastAsia="宋体" w:hAnsi="Book Antiqua" w:cs="宋体"/>
          <w:kern w:val="0"/>
          <w:sz w:val="24"/>
          <w:szCs w:val="24"/>
          <w:lang w:eastAsia="zh-CN"/>
        </w:rPr>
        <w:t xml:space="preserve"> 2008; </w:t>
      </w:r>
      <w:r w:rsidRPr="00AF7267">
        <w:rPr>
          <w:rFonts w:ascii="Book Antiqua" w:eastAsia="宋体" w:hAnsi="Book Antiqua" w:cs="宋体"/>
          <w:b/>
          <w:bCs/>
          <w:kern w:val="0"/>
          <w:sz w:val="24"/>
          <w:szCs w:val="24"/>
          <w:lang w:eastAsia="zh-CN"/>
        </w:rPr>
        <w:t xml:space="preserve">72 </w:t>
      </w:r>
      <w:r w:rsidRPr="00AF7267">
        <w:rPr>
          <w:rFonts w:ascii="Book Antiqua" w:eastAsia="宋体" w:hAnsi="Book Antiqua" w:cs="宋体"/>
          <w:bCs/>
          <w:kern w:val="0"/>
          <w:sz w:val="24"/>
          <w:szCs w:val="24"/>
          <w:lang w:eastAsia="zh-CN"/>
        </w:rPr>
        <w:t>Suppl A</w:t>
      </w:r>
      <w:r w:rsidRPr="00AF7267">
        <w:rPr>
          <w:rFonts w:ascii="Book Antiqua" w:eastAsia="宋体" w:hAnsi="Book Antiqua" w:cs="宋体"/>
          <w:kern w:val="0"/>
          <w:sz w:val="24"/>
          <w:szCs w:val="24"/>
          <w:lang w:eastAsia="zh-CN"/>
        </w:rPr>
        <w:t>: A8-12 [PMID: 18772529 DOI: 10.1253/circj.CJ-07-1067]</w:t>
      </w:r>
    </w:p>
    <w:p w14:paraId="1541F18C"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56 </w:t>
      </w:r>
      <w:r w:rsidRPr="00AF7267">
        <w:rPr>
          <w:rFonts w:ascii="Book Antiqua" w:eastAsia="宋体" w:hAnsi="Book Antiqua" w:cs="宋体"/>
          <w:b/>
          <w:bCs/>
          <w:kern w:val="0"/>
          <w:sz w:val="24"/>
          <w:szCs w:val="24"/>
          <w:lang w:eastAsia="zh-CN"/>
        </w:rPr>
        <w:t>Díez J</w:t>
      </w:r>
      <w:r w:rsidRPr="00AF7267">
        <w:rPr>
          <w:rFonts w:ascii="Book Antiqua" w:eastAsia="宋体" w:hAnsi="Book Antiqua" w:cs="宋体"/>
          <w:kern w:val="0"/>
          <w:sz w:val="24"/>
          <w:szCs w:val="24"/>
          <w:lang w:eastAsia="zh-CN"/>
        </w:rPr>
        <w:t xml:space="preserve">. Mechanisms of cardiac fibrosis in hypertension. </w:t>
      </w:r>
      <w:r w:rsidRPr="00AF7267">
        <w:rPr>
          <w:rFonts w:ascii="Book Antiqua" w:eastAsia="宋体" w:hAnsi="Book Antiqua" w:cs="宋体"/>
          <w:i/>
          <w:iCs/>
          <w:kern w:val="0"/>
          <w:sz w:val="24"/>
          <w:szCs w:val="24"/>
          <w:lang w:eastAsia="zh-CN"/>
        </w:rPr>
        <w:t>J Clin Hypertens (Greenwich)</w:t>
      </w:r>
      <w:r w:rsidRPr="00AF7267">
        <w:rPr>
          <w:rFonts w:ascii="Book Antiqua" w:eastAsia="宋体" w:hAnsi="Book Antiqua" w:cs="宋体"/>
          <w:kern w:val="0"/>
          <w:sz w:val="24"/>
          <w:szCs w:val="24"/>
          <w:lang w:eastAsia="zh-CN"/>
        </w:rPr>
        <w:t xml:space="preserve"> 2007; </w:t>
      </w:r>
      <w:r w:rsidRPr="00AF7267">
        <w:rPr>
          <w:rFonts w:ascii="Book Antiqua" w:eastAsia="宋体" w:hAnsi="Book Antiqua" w:cs="宋体"/>
          <w:b/>
          <w:bCs/>
          <w:kern w:val="0"/>
          <w:sz w:val="24"/>
          <w:szCs w:val="24"/>
          <w:lang w:eastAsia="zh-CN"/>
        </w:rPr>
        <w:t>9</w:t>
      </w:r>
      <w:r w:rsidRPr="00AF7267">
        <w:rPr>
          <w:rFonts w:ascii="Book Antiqua" w:eastAsia="宋体" w:hAnsi="Book Antiqua" w:cs="宋体"/>
          <w:kern w:val="0"/>
          <w:sz w:val="24"/>
          <w:szCs w:val="24"/>
          <w:lang w:eastAsia="zh-CN"/>
        </w:rPr>
        <w:t>: 546-550 [PMID: 17617765 DOI: 10.1111/j.1524-6175.2007.06626.x]</w:t>
      </w:r>
    </w:p>
    <w:p w14:paraId="1DDC3F3C"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57 </w:t>
      </w:r>
      <w:r w:rsidRPr="00AF7267">
        <w:rPr>
          <w:rFonts w:ascii="Book Antiqua" w:eastAsia="宋体" w:hAnsi="Book Antiqua" w:cs="宋体"/>
          <w:b/>
          <w:bCs/>
          <w:kern w:val="0"/>
          <w:sz w:val="24"/>
          <w:szCs w:val="24"/>
          <w:lang w:eastAsia="zh-CN"/>
        </w:rPr>
        <w:t>Brilla CG</w:t>
      </w:r>
      <w:r w:rsidRPr="00AF7267">
        <w:rPr>
          <w:rFonts w:ascii="Book Antiqua" w:eastAsia="宋体" w:hAnsi="Book Antiqua" w:cs="宋体"/>
          <w:kern w:val="0"/>
          <w:sz w:val="24"/>
          <w:szCs w:val="24"/>
          <w:lang w:eastAsia="zh-CN"/>
        </w:rPr>
        <w:t xml:space="preserve">, Funck RC, Rupp H. Lisinopril-mediated regression of myocardial fibrosis in patients with hypertensive heart disease.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2000; </w:t>
      </w:r>
      <w:r w:rsidRPr="00AF7267">
        <w:rPr>
          <w:rFonts w:ascii="Book Antiqua" w:eastAsia="宋体" w:hAnsi="Book Antiqua" w:cs="宋体"/>
          <w:b/>
          <w:bCs/>
          <w:kern w:val="0"/>
          <w:sz w:val="24"/>
          <w:szCs w:val="24"/>
          <w:lang w:eastAsia="zh-CN"/>
        </w:rPr>
        <w:t>102</w:t>
      </w:r>
      <w:r w:rsidRPr="00AF7267">
        <w:rPr>
          <w:rFonts w:ascii="Book Antiqua" w:eastAsia="宋体" w:hAnsi="Book Antiqua" w:cs="宋体"/>
          <w:kern w:val="0"/>
          <w:sz w:val="24"/>
          <w:szCs w:val="24"/>
          <w:lang w:eastAsia="zh-CN"/>
        </w:rPr>
        <w:t>: 1388-1393 [PMID: 10993857 DOI: 10.1161/01.CIR.102.12.1388]</w:t>
      </w:r>
    </w:p>
    <w:p w14:paraId="25729D31"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58 </w:t>
      </w:r>
      <w:r w:rsidRPr="00AF7267">
        <w:rPr>
          <w:rFonts w:ascii="Book Antiqua" w:eastAsia="宋体" w:hAnsi="Book Antiqua" w:cs="宋体"/>
          <w:b/>
          <w:bCs/>
          <w:kern w:val="0"/>
          <w:sz w:val="24"/>
          <w:szCs w:val="24"/>
          <w:lang w:eastAsia="zh-CN"/>
        </w:rPr>
        <w:t>Tanaka M</w:t>
      </w:r>
      <w:r w:rsidRPr="00AF7267">
        <w:rPr>
          <w:rFonts w:ascii="Book Antiqua" w:eastAsia="宋体" w:hAnsi="Book Antiqua" w:cs="宋体"/>
          <w:kern w:val="0"/>
          <w:sz w:val="24"/>
          <w:szCs w:val="24"/>
          <w:lang w:eastAsia="zh-CN"/>
        </w:rPr>
        <w:t xml:space="preserve">, Fujiwara H, Onodera T, Wu DJ, Hamashima Y, Kawai C. Quantitative analysis of myocardial fibrosis in normals, hypertensive hearts, and hypertrophic cardiomyopathy. </w:t>
      </w:r>
      <w:r w:rsidRPr="00AF7267">
        <w:rPr>
          <w:rFonts w:ascii="Book Antiqua" w:eastAsia="宋体" w:hAnsi="Book Antiqua" w:cs="宋体"/>
          <w:i/>
          <w:iCs/>
          <w:kern w:val="0"/>
          <w:sz w:val="24"/>
          <w:szCs w:val="24"/>
          <w:lang w:eastAsia="zh-CN"/>
        </w:rPr>
        <w:t>Br Heart J</w:t>
      </w:r>
      <w:r w:rsidRPr="00AF7267">
        <w:rPr>
          <w:rFonts w:ascii="Book Antiqua" w:eastAsia="宋体" w:hAnsi="Book Antiqua" w:cs="宋体"/>
          <w:kern w:val="0"/>
          <w:sz w:val="24"/>
          <w:szCs w:val="24"/>
          <w:lang w:eastAsia="zh-CN"/>
        </w:rPr>
        <w:t xml:space="preserve"> 1986; </w:t>
      </w:r>
      <w:r w:rsidRPr="00AF7267">
        <w:rPr>
          <w:rFonts w:ascii="Book Antiqua" w:eastAsia="宋体" w:hAnsi="Book Antiqua" w:cs="宋体"/>
          <w:b/>
          <w:bCs/>
          <w:kern w:val="0"/>
          <w:sz w:val="24"/>
          <w:szCs w:val="24"/>
          <w:lang w:eastAsia="zh-CN"/>
        </w:rPr>
        <w:t>55</w:t>
      </w:r>
      <w:r w:rsidRPr="00AF7267">
        <w:rPr>
          <w:rFonts w:ascii="Book Antiqua" w:eastAsia="宋体" w:hAnsi="Book Antiqua" w:cs="宋体"/>
          <w:kern w:val="0"/>
          <w:sz w:val="24"/>
          <w:szCs w:val="24"/>
          <w:lang w:eastAsia="zh-CN"/>
        </w:rPr>
        <w:t>: 575-581 [PMID: 3718796 DOI: 10.1136/hrt.55.6.575]</w:t>
      </w:r>
    </w:p>
    <w:p w14:paraId="390523B6"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59 </w:t>
      </w:r>
      <w:r w:rsidRPr="00AF7267">
        <w:rPr>
          <w:rFonts w:ascii="Book Antiqua" w:eastAsia="宋体" w:hAnsi="Book Antiqua" w:cs="宋体"/>
          <w:b/>
          <w:bCs/>
          <w:kern w:val="0"/>
          <w:sz w:val="24"/>
          <w:szCs w:val="24"/>
          <w:lang w:eastAsia="zh-CN"/>
        </w:rPr>
        <w:t>Rossi MA</w:t>
      </w:r>
      <w:r w:rsidRPr="00AF7267">
        <w:rPr>
          <w:rFonts w:ascii="Book Antiqua" w:eastAsia="宋体" w:hAnsi="Book Antiqua" w:cs="宋体"/>
          <w:kern w:val="0"/>
          <w:sz w:val="24"/>
          <w:szCs w:val="24"/>
          <w:lang w:eastAsia="zh-CN"/>
        </w:rPr>
        <w:t xml:space="preserve">. Pathologic fibrosis and connective tissue matrix in left ventricular hypertrophy due to chronic arterial hypertension in humans. </w:t>
      </w:r>
      <w:r w:rsidRPr="00AF7267">
        <w:rPr>
          <w:rFonts w:ascii="Book Antiqua" w:eastAsia="宋体" w:hAnsi="Book Antiqua" w:cs="宋体"/>
          <w:i/>
          <w:iCs/>
          <w:kern w:val="0"/>
          <w:sz w:val="24"/>
          <w:szCs w:val="24"/>
          <w:lang w:eastAsia="zh-CN"/>
        </w:rPr>
        <w:t>J Hypertens</w:t>
      </w:r>
      <w:r w:rsidRPr="00AF7267">
        <w:rPr>
          <w:rFonts w:ascii="Book Antiqua" w:eastAsia="宋体" w:hAnsi="Book Antiqua" w:cs="宋体"/>
          <w:kern w:val="0"/>
          <w:sz w:val="24"/>
          <w:szCs w:val="24"/>
          <w:lang w:eastAsia="zh-CN"/>
        </w:rPr>
        <w:t xml:space="preserve"> 1998; </w:t>
      </w:r>
      <w:r w:rsidRPr="00AF7267">
        <w:rPr>
          <w:rFonts w:ascii="Book Antiqua" w:eastAsia="宋体" w:hAnsi="Book Antiqua" w:cs="宋体"/>
          <w:b/>
          <w:bCs/>
          <w:kern w:val="0"/>
          <w:sz w:val="24"/>
          <w:szCs w:val="24"/>
          <w:lang w:eastAsia="zh-CN"/>
        </w:rPr>
        <w:t>16</w:t>
      </w:r>
      <w:r w:rsidRPr="00AF7267">
        <w:rPr>
          <w:rFonts w:ascii="Book Antiqua" w:eastAsia="宋体" w:hAnsi="Book Antiqua" w:cs="宋体"/>
          <w:kern w:val="0"/>
          <w:sz w:val="24"/>
          <w:szCs w:val="24"/>
          <w:lang w:eastAsia="zh-CN"/>
        </w:rPr>
        <w:t>: 1031-1041 [PMID: 9794745]</w:t>
      </w:r>
    </w:p>
    <w:p w14:paraId="1537DED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60 </w:t>
      </w:r>
      <w:r w:rsidRPr="00AF7267">
        <w:rPr>
          <w:rFonts w:ascii="Book Antiqua" w:eastAsia="宋体" w:hAnsi="Book Antiqua" w:cs="宋体"/>
          <w:b/>
          <w:bCs/>
          <w:kern w:val="0"/>
          <w:sz w:val="24"/>
          <w:szCs w:val="24"/>
          <w:lang w:eastAsia="zh-CN"/>
        </w:rPr>
        <w:t>Querejeta R</w:t>
      </w:r>
      <w:r w:rsidRPr="00AF7267">
        <w:rPr>
          <w:rFonts w:ascii="Book Antiqua" w:eastAsia="宋体" w:hAnsi="Book Antiqua" w:cs="宋体"/>
          <w:kern w:val="0"/>
          <w:sz w:val="24"/>
          <w:szCs w:val="24"/>
          <w:lang w:eastAsia="zh-CN"/>
        </w:rPr>
        <w:t xml:space="preserve">, Varo N, López B, Larman M, Artiñano E, Etayo JC, Martínez Ubago JL, Gutierrez-Stampa M, Emparanza JI, Gil MJ, Monreal I, Mindán JP, Díez J. Serum carboxy-terminal propeptide of procollagen type I is a marker of myocardial fibrosis in hypertensive heart disease.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2000; </w:t>
      </w:r>
      <w:r w:rsidRPr="00AF7267">
        <w:rPr>
          <w:rFonts w:ascii="Book Antiqua" w:eastAsia="宋体" w:hAnsi="Book Antiqua" w:cs="宋体"/>
          <w:b/>
          <w:bCs/>
          <w:kern w:val="0"/>
          <w:sz w:val="24"/>
          <w:szCs w:val="24"/>
          <w:lang w:eastAsia="zh-CN"/>
        </w:rPr>
        <w:t>101</w:t>
      </w:r>
      <w:r w:rsidRPr="00AF7267">
        <w:rPr>
          <w:rFonts w:ascii="Book Antiqua" w:eastAsia="宋体" w:hAnsi="Book Antiqua" w:cs="宋体"/>
          <w:kern w:val="0"/>
          <w:sz w:val="24"/>
          <w:szCs w:val="24"/>
          <w:lang w:eastAsia="zh-CN"/>
        </w:rPr>
        <w:t>: 1729-1735 [PMID: 10758057 DOI: 10.1161/01.CIR.101.14.1729]</w:t>
      </w:r>
    </w:p>
    <w:p w14:paraId="1B6C1919"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61 </w:t>
      </w:r>
      <w:r w:rsidRPr="00AF7267">
        <w:rPr>
          <w:rFonts w:ascii="Book Antiqua" w:eastAsia="宋体" w:hAnsi="Book Antiqua" w:cs="宋体"/>
          <w:b/>
          <w:bCs/>
          <w:kern w:val="0"/>
          <w:sz w:val="24"/>
          <w:szCs w:val="24"/>
          <w:lang w:eastAsia="zh-CN"/>
        </w:rPr>
        <w:t>Mazzolai L</w:t>
      </w:r>
      <w:r w:rsidRPr="00AF7267">
        <w:rPr>
          <w:rFonts w:ascii="Book Antiqua" w:eastAsia="宋体" w:hAnsi="Book Antiqua" w:cs="宋体"/>
          <w:kern w:val="0"/>
          <w:sz w:val="24"/>
          <w:szCs w:val="24"/>
          <w:lang w:eastAsia="zh-CN"/>
        </w:rPr>
        <w:t xml:space="preserve">, Nussberger J, Aubert JF, Brunner DB, Gabbiani G, Brunner HR, Pedrazzini T. Blood pressure-independent cardiac hypertrophy induced by locally activated renin-angiotensin system.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1998; </w:t>
      </w:r>
      <w:r w:rsidRPr="00AF7267">
        <w:rPr>
          <w:rFonts w:ascii="Book Antiqua" w:eastAsia="宋体" w:hAnsi="Book Antiqua" w:cs="宋体"/>
          <w:b/>
          <w:bCs/>
          <w:kern w:val="0"/>
          <w:sz w:val="24"/>
          <w:szCs w:val="24"/>
          <w:lang w:eastAsia="zh-CN"/>
        </w:rPr>
        <w:t>31</w:t>
      </w:r>
      <w:r w:rsidRPr="00AF7267">
        <w:rPr>
          <w:rFonts w:ascii="Book Antiqua" w:eastAsia="宋体" w:hAnsi="Book Antiqua" w:cs="宋体"/>
          <w:kern w:val="0"/>
          <w:sz w:val="24"/>
          <w:szCs w:val="24"/>
          <w:lang w:eastAsia="zh-CN"/>
        </w:rPr>
        <w:t>: 1324-1330 [PMID: 9622149 DOI: 10.1161/01.HYP.31.6.1324]</w:t>
      </w:r>
    </w:p>
    <w:p w14:paraId="1D0BA2C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62 </w:t>
      </w:r>
      <w:r w:rsidRPr="00AF7267">
        <w:rPr>
          <w:rFonts w:ascii="Book Antiqua" w:eastAsia="宋体" w:hAnsi="Book Antiqua" w:cs="宋体"/>
          <w:b/>
          <w:bCs/>
          <w:kern w:val="0"/>
          <w:sz w:val="24"/>
          <w:szCs w:val="24"/>
          <w:lang w:eastAsia="zh-CN"/>
        </w:rPr>
        <w:t>Kato TS</w:t>
      </w:r>
      <w:r w:rsidRPr="00AF7267">
        <w:rPr>
          <w:rFonts w:ascii="Book Antiqua" w:eastAsia="宋体" w:hAnsi="Book Antiqua" w:cs="宋体"/>
          <w:kern w:val="0"/>
          <w:sz w:val="24"/>
          <w:szCs w:val="24"/>
          <w:lang w:eastAsia="zh-CN"/>
        </w:rPr>
        <w:t xml:space="preserve">, Noda A, Izawa H, Yamada A, Obata K, Nagata K, Iwase M, Murohara T, Yokota M. Discrimination of nonobstructive hypertrophic cardiomyopathy from hypertensive left ventricular hypertrophy on the basis of strain rate imaging by tissue Doppler ultrasonography.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2004; </w:t>
      </w:r>
      <w:r w:rsidRPr="00AF7267">
        <w:rPr>
          <w:rFonts w:ascii="Book Antiqua" w:eastAsia="宋体" w:hAnsi="Book Antiqua" w:cs="宋体"/>
          <w:b/>
          <w:bCs/>
          <w:kern w:val="0"/>
          <w:sz w:val="24"/>
          <w:szCs w:val="24"/>
          <w:lang w:eastAsia="zh-CN"/>
        </w:rPr>
        <w:t>110</w:t>
      </w:r>
      <w:r w:rsidRPr="00AF7267">
        <w:rPr>
          <w:rFonts w:ascii="Book Antiqua" w:eastAsia="宋体" w:hAnsi="Book Antiqua" w:cs="宋体"/>
          <w:kern w:val="0"/>
          <w:sz w:val="24"/>
          <w:szCs w:val="24"/>
          <w:lang w:eastAsia="zh-CN"/>
        </w:rPr>
        <w:t>: 3808-3814 [PMID: 15583080 DOI: 10.1161/01.CIR.0000150334.69355.00]</w:t>
      </w:r>
    </w:p>
    <w:p w14:paraId="626FBBA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63 </w:t>
      </w:r>
      <w:r w:rsidRPr="00AF7267">
        <w:rPr>
          <w:rFonts w:ascii="Book Antiqua" w:eastAsia="宋体" w:hAnsi="Book Antiqua" w:cs="宋体"/>
          <w:b/>
          <w:bCs/>
          <w:kern w:val="0"/>
          <w:sz w:val="24"/>
          <w:szCs w:val="24"/>
          <w:lang w:eastAsia="zh-CN"/>
        </w:rPr>
        <w:t>Lorell BH</w:t>
      </w:r>
      <w:r w:rsidRPr="00AF7267">
        <w:rPr>
          <w:rFonts w:ascii="Book Antiqua" w:eastAsia="宋体" w:hAnsi="Book Antiqua" w:cs="宋体"/>
          <w:kern w:val="0"/>
          <w:sz w:val="24"/>
          <w:szCs w:val="24"/>
          <w:lang w:eastAsia="zh-CN"/>
        </w:rPr>
        <w:t xml:space="preserve">, Carabello BA. Left ventricular hypertrophy: pathogenesis, detection, and prognosis.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2000; </w:t>
      </w:r>
      <w:r w:rsidRPr="00AF7267">
        <w:rPr>
          <w:rFonts w:ascii="Book Antiqua" w:eastAsia="宋体" w:hAnsi="Book Antiqua" w:cs="宋体"/>
          <w:b/>
          <w:bCs/>
          <w:kern w:val="0"/>
          <w:sz w:val="24"/>
          <w:szCs w:val="24"/>
          <w:lang w:eastAsia="zh-CN"/>
        </w:rPr>
        <w:t>102</w:t>
      </w:r>
      <w:r w:rsidRPr="00AF7267">
        <w:rPr>
          <w:rFonts w:ascii="Book Antiqua" w:eastAsia="宋体" w:hAnsi="Book Antiqua" w:cs="宋体"/>
          <w:kern w:val="0"/>
          <w:sz w:val="24"/>
          <w:szCs w:val="24"/>
          <w:lang w:eastAsia="zh-CN"/>
        </w:rPr>
        <w:t>: 470-479 [PMID: 10908222 DOI: 10.1161/01.CIR.102.4.470]</w:t>
      </w:r>
    </w:p>
    <w:p w14:paraId="737FB576"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64 </w:t>
      </w:r>
      <w:r w:rsidRPr="00AF7267">
        <w:rPr>
          <w:rFonts w:ascii="Book Antiqua" w:eastAsia="宋体" w:hAnsi="Book Antiqua" w:cs="宋体"/>
          <w:b/>
          <w:bCs/>
          <w:kern w:val="0"/>
          <w:sz w:val="24"/>
          <w:szCs w:val="24"/>
          <w:lang w:eastAsia="zh-CN"/>
        </w:rPr>
        <w:t>Levy D</w:t>
      </w:r>
      <w:r w:rsidRPr="00AF7267">
        <w:rPr>
          <w:rFonts w:ascii="Book Antiqua" w:eastAsia="宋体" w:hAnsi="Book Antiqua" w:cs="宋体"/>
          <w:kern w:val="0"/>
          <w:sz w:val="24"/>
          <w:szCs w:val="24"/>
          <w:lang w:eastAsia="zh-CN"/>
        </w:rPr>
        <w:t xml:space="preserve">, Labib SB, Anderson KM, Christiansen JC, Kannel WB, Castelli WP. Determinants of sensitivity and specificity of electrocardiographic criteria for left ventricular hypertrophy.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1990; </w:t>
      </w:r>
      <w:r w:rsidRPr="00AF7267">
        <w:rPr>
          <w:rFonts w:ascii="Book Antiqua" w:eastAsia="宋体" w:hAnsi="Book Antiqua" w:cs="宋体"/>
          <w:b/>
          <w:bCs/>
          <w:kern w:val="0"/>
          <w:sz w:val="24"/>
          <w:szCs w:val="24"/>
          <w:lang w:eastAsia="zh-CN"/>
        </w:rPr>
        <w:t>81</w:t>
      </w:r>
      <w:r w:rsidRPr="00AF7267">
        <w:rPr>
          <w:rFonts w:ascii="Book Antiqua" w:eastAsia="宋体" w:hAnsi="Book Antiqua" w:cs="宋体"/>
          <w:kern w:val="0"/>
          <w:sz w:val="24"/>
          <w:szCs w:val="24"/>
          <w:lang w:eastAsia="zh-CN"/>
        </w:rPr>
        <w:t>: 815-820 [PMID: 2137733 DOI: 10.1161/01.CIR.81.3.815]</w:t>
      </w:r>
    </w:p>
    <w:p w14:paraId="05615300"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65 </w:t>
      </w:r>
      <w:r w:rsidRPr="00AF7267">
        <w:rPr>
          <w:rFonts w:ascii="Book Antiqua" w:eastAsia="宋体" w:hAnsi="Book Antiqua" w:cs="宋体"/>
          <w:b/>
          <w:bCs/>
          <w:kern w:val="0"/>
          <w:sz w:val="24"/>
          <w:szCs w:val="24"/>
          <w:lang w:eastAsia="zh-CN"/>
        </w:rPr>
        <w:t>Savage DD</w:t>
      </w:r>
      <w:r w:rsidRPr="00AF7267">
        <w:rPr>
          <w:rFonts w:ascii="Book Antiqua" w:eastAsia="宋体" w:hAnsi="Book Antiqua" w:cs="宋体"/>
          <w:kern w:val="0"/>
          <w:sz w:val="24"/>
          <w:szCs w:val="24"/>
          <w:lang w:eastAsia="zh-CN"/>
        </w:rPr>
        <w:t xml:space="preserve">, Drayer JI, Henry WL, Mathews EC, Ware JH, Gardin JM, Cohen ER, Epstein SE, Laragh JH. Echocardiographic assessment of cardiac anatomy and function in hypertensive subjects.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1979; </w:t>
      </w:r>
      <w:r w:rsidRPr="00AF7267">
        <w:rPr>
          <w:rFonts w:ascii="Book Antiqua" w:eastAsia="宋体" w:hAnsi="Book Antiqua" w:cs="宋体"/>
          <w:b/>
          <w:bCs/>
          <w:kern w:val="0"/>
          <w:sz w:val="24"/>
          <w:szCs w:val="24"/>
          <w:lang w:eastAsia="zh-CN"/>
        </w:rPr>
        <w:t>59</w:t>
      </w:r>
      <w:r w:rsidRPr="00AF7267">
        <w:rPr>
          <w:rFonts w:ascii="Book Antiqua" w:eastAsia="宋体" w:hAnsi="Book Antiqua" w:cs="宋体"/>
          <w:kern w:val="0"/>
          <w:sz w:val="24"/>
          <w:szCs w:val="24"/>
          <w:lang w:eastAsia="zh-CN"/>
        </w:rPr>
        <w:t>: 623-632 [PMID: 421302 DOI: 10.1161/01.CIR.59.4.623]</w:t>
      </w:r>
    </w:p>
    <w:p w14:paraId="01B9E67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66 </w:t>
      </w:r>
      <w:r w:rsidRPr="00AF7267">
        <w:rPr>
          <w:rFonts w:ascii="Book Antiqua" w:eastAsia="宋体" w:hAnsi="Book Antiqua" w:cs="宋体"/>
          <w:b/>
          <w:bCs/>
          <w:kern w:val="0"/>
          <w:sz w:val="24"/>
          <w:szCs w:val="24"/>
          <w:lang w:eastAsia="zh-CN"/>
        </w:rPr>
        <w:t>Foppa M</w:t>
      </w:r>
      <w:r w:rsidRPr="00AF7267">
        <w:rPr>
          <w:rFonts w:ascii="Book Antiqua" w:eastAsia="宋体" w:hAnsi="Book Antiqua" w:cs="宋体"/>
          <w:kern w:val="0"/>
          <w:sz w:val="24"/>
          <w:szCs w:val="24"/>
          <w:lang w:eastAsia="zh-CN"/>
        </w:rPr>
        <w:t xml:space="preserve">, Duncan BB, Rohde LE. Echocardiography-based left ventricular mass estimation. How should we define hypertrophy? </w:t>
      </w:r>
      <w:r w:rsidRPr="00AF7267">
        <w:rPr>
          <w:rFonts w:ascii="Book Antiqua" w:eastAsia="宋体" w:hAnsi="Book Antiqua" w:cs="宋体"/>
          <w:i/>
          <w:iCs/>
          <w:kern w:val="0"/>
          <w:sz w:val="24"/>
          <w:szCs w:val="24"/>
          <w:lang w:eastAsia="zh-CN"/>
        </w:rPr>
        <w:t>Cardiovasc Ultrasound</w:t>
      </w:r>
      <w:r w:rsidRPr="00AF7267">
        <w:rPr>
          <w:rFonts w:ascii="Book Antiqua" w:eastAsia="宋体" w:hAnsi="Book Antiqua" w:cs="宋体"/>
          <w:kern w:val="0"/>
          <w:sz w:val="24"/>
          <w:szCs w:val="24"/>
          <w:lang w:eastAsia="zh-CN"/>
        </w:rPr>
        <w:t xml:space="preserve"> 2005; </w:t>
      </w:r>
      <w:r w:rsidRPr="00AF7267">
        <w:rPr>
          <w:rFonts w:ascii="Book Antiqua" w:eastAsia="宋体" w:hAnsi="Book Antiqua" w:cs="宋体"/>
          <w:b/>
          <w:bCs/>
          <w:kern w:val="0"/>
          <w:sz w:val="24"/>
          <w:szCs w:val="24"/>
          <w:lang w:eastAsia="zh-CN"/>
        </w:rPr>
        <w:t>3</w:t>
      </w:r>
      <w:r w:rsidRPr="00AF7267">
        <w:rPr>
          <w:rFonts w:ascii="Book Antiqua" w:eastAsia="宋体" w:hAnsi="Book Antiqua" w:cs="宋体"/>
          <w:kern w:val="0"/>
          <w:sz w:val="24"/>
          <w:szCs w:val="24"/>
          <w:lang w:eastAsia="zh-CN"/>
        </w:rPr>
        <w:t>: 17 [PMID: 15963236 DOI: 10.1186/1476-7120-3-17]</w:t>
      </w:r>
    </w:p>
    <w:p w14:paraId="53CB374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67 </w:t>
      </w:r>
      <w:r w:rsidRPr="00AF7267">
        <w:rPr>
          <w:rFonts w:ascii="Book Antiqua" w:eastAsia="宋体" w:hAnsi="Book Antiqua" w:cs="宋体"/>
          <w:b/>
          <w:bCs/>
          <w:kern w:val="0"/>
          <w:sz w:val="24"/>
          <w:szCs w:val="24"/>
          <w:lang w:eastAsia="zh-CN"/>
        </w:rPr>
        <w:t>Troy BL</w:t>
      </w:r>
      <w:r w:rsidRPr="00AF7267">
        <w:rPr>
          <w:rFonts w:ascii="Book Antiqua" w:eastAsia="宋体" w:hAnsi="Book Antiqua" w:cs="宋体"/>
          <w:kern w:val="0"/>
          <w:sz w:val="24"/>
          <w:szCs w:val="24"/>
          <w:lang w:eastAsia="zh-CN"/>
        </w:rPr>
        <w:t xml:space="preserve">, Pombo J, Rackley CE. Measurement of left ventricular wall thickness and mass by echocardiography.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1972; </w:t>
      </w:r>
      <w:r w:rsidRPr="00AF7267">
        <w:rPr>
          <w:rFonts w:ascii="Book Antiqua" w:eastAsia="宋体" w:hAnsi="Book Antiqua" w:cs="宋体"/>
          <w:b/>
          <w:bCs/>
          <w:kern w:val="0"/>
          <w:sz w:val="24"/>
          <w:szCs w:val="24"/>
          <w:lang w:eastAsia="zh-CN"/>
        </w:rPr>
        <w:t>45</w:t>
      </w:r>
      <w:r w:rsidRPr="00AF7267">
        <w:rPr>
          <w:rFonts w:ascii="Book Antiqua" w:eastAsia="宋体" w:hAnsi="Book Antiqua" w:cs="宋体"/>
          <w:kern w:val="0"/>
          <w:sz w:val="24"/>
          <w:szCs w:val="24"/>
          <w:lang w:eastAsia="zh-CN"/>
        </w:rPr>
        <w:t>: 602-611 [PMID: 4258936 DOI: 10.1161/01.CIR.45.3.602]</w:t>
      </w:r>
    </w:p>
    <w:p w14:paraId="3615572C"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68 </w:t>
      </w:r>
      <w:r w:rsidRPr="00AF7267">
        <w:rPr>
          <w:rFonts w:ascii="Book Antiqua" w:eastAsia="宋体" w:hAnsi="Book Antiqua" w:cs="宋体"/>
          <w:b/>
          <w:bCs/>
          <w:kern w:val="0"/>
          <w:sz w:val="24"/>
          <w:szCs w:val="24"/>
          <w:lang w:eastAsia="zh-CN"/>
        </w:rPr>
        <w:t>Devereux RB</w:t>
      </w:r>
      <w:r w:rsidRPr="00AF7267">
        <w:rPr>
          <w:rFonts w:ascii="Book Antiqua" w:eastAsia="宋体" w:hAnsi="Book Antiqua" w:cs="宋体"/>
          <w:kern w:val="0"/>
          <w:sz w:val="24"/>
          <w:szCs w:val="24"/>
          <w:lang w:eastAsia="zh-CN"/>
        </w:rPr>
        <w:t xml:space="preserve">, Reichek N. Echocardiographic determination of left ventricular mass in man. Anatomic validation of the method.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1977; </w:t>
      </w:r>
      <w:r w:rsidRPr="00AF7267">
        <w:rPr>
          <w:rFonts w:ascii="Book Antiqua" w:eastAsia="宋体" w:hAnsi="Book Antiqua" w:cs="宋体"/>
          <w:b/>
          <w:bCs/>
          <w:kern w:val="0"/>
          <w:sz w:val="24"/>
          <w:szCs w:val="24"/>
          <w:lang w:eastAsia="zh-CN"/>
        </w:rPr>
        <w:t>55</w:t>
      </w:r>
      <w:r w:rsidRPr="00AF7267">
        <w:rPr>
          <w:rFonts w:ascii="Book Antiqua" w:eastAsia="宋体" w:hAnsi="Book Antiqua" w:cs="宋体"/>
          <w:kern w:val="0"/>
          <w:sz w:val="24"/>
          <w:szCs w:val="24"/>
          <w:lang w:eastAsia="zh-CN"/>
        </w:rPr>
        <w:t>: 613-618 [PMID: 138494 DOI: 10.1161/01.CIR.55.4.613]</w:t>
      </w:r>
    </w:p>
    <w:p w14:paraId="6BBE076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69 </w:t>
      </w:r>
      <w:r w:rsidRPr="00AF7267">
        <w:rPr>
          <w:rFonts w:ascii="Book Antiqua" w:eastAsia="宋体" w:hAnsi="Book Antiqua" w:cs="宋体"/>
          <w:b/>
          <w:bCs/>
          <w:kern w:val="0"/>
          <w:sz w:val="24"/>
          <w:szCs w:val="24"/>
          <w:lang w:eastAsia="zh-CN"/>
        </w:rPr>
        <w:t>Devereux RB</w:t>
      </w:r>
      <w:r w:rsidRPr="00AF7267">
        <w:rPr>
          <w:rFonts w:ascii="Book Antiqua" w:eastAsia="宋体" w:hAnsi="Book Antiqua" w:cs="宋体"/>
          <w:kern w:val="0"/>
          <w:sz w:val="24"/>
          <w:szCs w:val="24"/>
          <w:lang w:eastAsia="zh-CN"/>
        </w:rPr>
        <w:t xml:space="preserve">, Alonso DR, Lutas EM, Gottlieb GJ, Campo E, Sachs I, Reichek N. Echocardiographic assessment of left ventricular hypertrophy: comparison to necropsy findings.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1986; </w:t>
      </w:r>
      <w:r w:rsidRPr="00AF7267">
        <w:rPr>
          <w:rFonts w:ascii="Book Antiqua" w:eastAsia="宋体" w:hAnsi="Book Antiqua" w:cs="宋体"/>
          <w:b/>
          <w:bCs/>
          <w:kern w:val="0"/>
          <w:sz w:val="24"/>
          <w:szCs w:val="24"/>
          <w:lang w:eastAsia="zh-CN"/>
        </w:rPr>
        <w:t>57</w:t>
      </w:r>
      <w:r w:rsidRPr="00AF7267">
        <w:rPr>
          <w:rFonts w:ascii="Book Antiqua" w:eastAsia="宋体" w:hAnsi="Book Antiqua" w:cs="宋体"/>
          <w:kern w:val="0"/>
          <w:sz w:val="24"/>
          <w:szCs w:val="24"/>
          <w:lang w:eastAsia="zh-CN"/>
        </w:rPr>
        <w:t>: 450-458 [PMID: 2936235 DOI: 10.1016/0002-9149(86)90771-X]</w:t>
      </w:r>
    </w:p>
    <w:p w14:paraId="742FD5A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70 </w:t>
      </w:r>
      <w:r w:rsidRPr="00AF7267">
        <w:rPr>
          <w:rFonts w:ascii="Book Antiqua" w:eastAsia="宋体" w:hAnsi="Book Antiqua" w:cs="宋体"/>
          <w:b/>
          <w:bCs/>
          <w:kern w:val="0"/>
          <w:sz w:val="24"/>
          <w:szCs w:val="24"/>
          <w:lang w:eastAsia="zh-CN"/>
        </w:rPr>
        <w:t>Li L</w:t>
      </w:r>
      <w:r w:rsidRPr="00AF7267">
        <w:rPr>
          <w:rFonts w:ascii="Book Antiqua" w:eastAsia="宋体" w:hAnsi="Book Antiqua" w:cs="宋体"/>
          <w:kern w:val="0"/>
          <w:sz w:val="24"/>
          <w:szCs w:val="24"/>
          <w:lang w:eastAsia="zh-CN"/>
        </w:rPr>
        <w:t xml:space="preserve">, Shigematsu Y, Hamada M, Hiwada K. Relative wall thickness is an independent predictor of left ventricular systolic and diastolic dysfunctions in essential hypertension. </w:t>
      </w:r>
      <w:r w:rsidRPr="00AF7267">
        <w:rPr>
          <w:rFonts w:ascii="Book Antiqua" w:eastAsia="宋体" w:hAnsi="Book Antiqua" w:cs="宋体"/>
          <w:i/>
          <w:iCs/>
          <w:kern w:val="0"/>
          <w:sz w:val="24"/>
          <w:szCs w:val="24"/>
          <w:lang w:eastAsia="zh-CN"/>
        </w:rPr>
        <w:t>Hypertens Res</w:t>
      </w:r>
      <w:r w:rsidRPr="00AF7267">
        <w:rPr>
          <w:rFonts w:ascii="Book Antiqua" w:eastAsia="宋体" w:hAnsi="Book Antiqua" w:cs="宋体"/>
          <w:kern w:val="0"/>
          <w:sz w:val="24"/>
          <w:szCs w:val="24"/>
          <w:lang w:eastAsia="zh-CN"/>
        </w:rPr>
        <w:t xml:space="preserve"> 2001; </w:t>
      </w:r>
      <w:r w:rsidRPr="00AF7267">
        <w:rPr>
          <w:rFonts w:ascii="Book Antiqua" w:eastAsia="宋体" w:hAnsi="Book Antiqua" w:cs="宋体"/>
          <w:b/>
          <w:bCs/>
          <w:kern w:val="0"/>
          <w:sz w:val="24"/>
          <w:szCs w:val="24"/>
          <w:lang w:eastAsia="zh-CN"/>
        </w:rPr>
        <w:t>24</w:t>
      </w:r>
      <w:r w:rsidRPr="00AF7267">
        <w:rPr>
          <w:rFonts w:ascii="Book Antiqua" w:eastAsia="宋体" w:hAnsi="Book Antiqua" w:cs="宋体"/>
          <w:kern w:val="0"/>
          <w:sz w:val="24"/>
          <w:szCs w:val="24"/>
          <w:lang w:eastAsia="zh-CN"/>
        </w:rPr>
        <w:t>: 493-499 [PMID: 11675942 DOI: 10.1291/hypres.24.493]</w:t>
      </w:r>
    </w:p>
    <w:p w14:paraId="6A239D69"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71 </w:t>
      </w:r>
      <w:r w:rsidRPr="00AF7267">
        <w:rPr>
          <w:rFonts w:ascii="Book Antiqua" w:eastAsia="宋体" w:hAnsi="Book Antiqua" w:cs="宋体"/>
          <w:b/>
          <w:bCs/>
          <w:kern w:val="0"/>
          <w:sz w:val="24"/>
          <w:szCs w:val="24"/>
          <w:lang w:eastAsia="zh-CN"/>
        </w:rPr>
        <w:t>Lang RM</w:t>
      </w:r>
      <w:r w:rsidRPr="00AF7267">
        <w:rPr>
          <w:rFonts w:ascii="Book Antiqua" w:eastAsia="宋体" w:hAnsi="Book Antiqua" w:cs="宋体"/>
          <w:kern w:val="0"/>
          <w:sz w:val="24"/>
          <w:szCs w:val="24"/>
          <w:lang w:eastAsia="zh-CN"/>
        </w:rPr>
        <w:t xml:space="preserve">, Bierig M, Devereux RB, Flachskampf FA, Foster E, Pellikka PA, Picard MH, Roman MJ, Seward J, Shanewise JS, Solomon SD, Spencer KT, Sutton MS, Stewart WJ.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w:t>
      </w:r>
      <w:r w:rsidRPr="00AF7267">
        <w:rPr>
          <w:rFonts w:ascii="Book Antiqua" w:eastAsia="宋体" w:hAnsi="Book Antiqua" w:cs="宋体"/>
          <w:i/>
          <w:iCs/>
          <w:kern w:val="0"/>
          <w:sz w:val="24"/>
          <w:szCs w:val="24"/>
          <w:lang w:eastAsia="zh-CN"/>
        </w:rPr>
        <w:t>J Am Soc Echocardiogr</w:t>
      </w:r>
      <w:r w:rsidRPr="00AF7267">
        <w:rPr>
          <w:rFonts w:ascii="Book Antiqua" w:eastAsia="宋体" w:hAnsi="Book Antiqua" w:cs="宋体"/>
          <w:kern w:val="0"/>
          <w:sz w:val="24"/>
          <w:szCs w:val="24"/>
          <w:lang w:eastAsia="zh-CN"/>
        </w:rPr>
        <w:t xml:space="preserve"> 2005; </w:t>
      </w:r>
      <w:r w:rsidRPr="00AF7267">
        <w:rPr>
          <w:rFonts w:ascii="Book Antiqua" w:eastAsia="宋体" w:hAnsi="Book Antiqua" w:cs="宋体"/>
          <w:b/>
          <w:bCs/>
          <w:kern w:val="0"/>
          <w:sz w:val="24"/>
          <w:szCs w:val="24"/>
          <w:lang w:eastAsia="zh-CN"/>
        </w:rPr>
        <w:t>18</w:t>
      </w:r>
      <w:r w:rsidRPr="00AF7267">
        <w:rPr>
          <w:rFonts w:ascii="Book Antiqua" w:eastAsia="宋体" w:hAnsi="Book Antiqua" w:cs="宋体"/>
          <w:kern w:val="0"/>
          <w:sz w:val="24"/>
          <w:szCs w:val="24"/>
          <w:lang w:eastAsia="zh-CN"/>
        </w:rPr>
        <w:t>: 1440-1463 [PMID: 16376782 DOI: 10.1016/j.echo.2005.10.005]</w:t>
      </w:r>
    </w:p>
    <w:p w14:paraId="735AC53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72 </w:t>
      </w:r>
      <w:r w:rsidRPr="00AF7267">
        <w:rPr>
          <w:rFonts w:ascii="Book Antiqua" w:eastAsia="宋体" w:hAnsi="Book Antiqua" w:cs="宋体"/>
          <w:b/>
          <w:bCs/>
          <w:kern w:val="0"/>
          <w:sz w:val="24"/>
          <w:szCs w:val="24"/>
          <w:lang w:eastAsia="zh-CN"/>
        </w:rPr>
        <w:t>Redfield MM</w:t>
      </w:r>
      <w:r w:rsidRPr="00AF7267">
        <w:rPr>
          <w:rFonts w:ascii="Book Antiqua" w:eastAsia="宋体" w:hAnsi="Book Antiqua" w:cs="宋体"/>
          <w:kern w:val="0"/>
          <w:sz w:val="24"/>
          <w:szCs w:val="24"/>
          <w:lang w:eastAsia="zh-CN"/>
        </w:rPr>
        <w:t xml:space="preserve">, Jacobsen SJ, Burnett JC, Mahoney DW, Bailey KR, Rodeheffer RJ. Burden of systolic and diastolic ventricular dysfunction in the community: appreciating the scope of the heart failure epidemic. </w:t>
      </w:r>
      <w:r w:rsidRPr="00AF7267">
        <w:rPr>
          <w:rFonts w:ascii="Book Antiqua" w:eastAsia="宋体" w:hAnsi="Book Antiqua" w:cs="宋体"/>
          <w:i/>
          <w:iCs/>
          <w:kern w:val="0"/>
          <w:sz w:val="24"/>
          <w:szCs w:val="24"/>
          <w:lang w:eastAsia="zh-CN"/>
        </w:rPr>
        <w:t>JAMA</w:t>
      </w:r>
      <w:r w:rsidRPr="00AF7267">
        <w:rPr>
          <w:rFonts w:ascii="Book Antiqua" w:eastAsia="宋体" w:hAnsi="Book Antiqua" w:cs="宋体"/>
          <w:kern w:val="0"/>
          <w:sz w:val="24"/>
          <w:szCs w:val="24"/>
          <w:lang w:eastAsia="zh-CN"/>
        </w:rPr>
        <w:t xml:space="preserve"> 2003; </w:t>
      </w:r>
      <w:r w:rsidRPr="00AF7267">
        <w:rPr>
          <w:rFonts w:ascii="Book Antiqua" w:eastAsia="宋体" w:hAnsi="Book Antiqua" w:cs="宋体"/>
          <w:b/>
          <w:bCs/>
          <w:kern w:val="0"/>
          <w:sz w:val="24"/>
          <w:szCs w:val="24"/>
          <w:lang w:eastAsia="zh-CN"/>
        </w:rPr>
        <w:t>289</w:t>
      </w:r>
      <w:r w:rsidRPr="00AF7267">
        <w:rPr>
          <w:rFonts w:ascii="Book Antiqua" w:eastAsia="宋体" w:hAnsi="Book Antiqua" w:cs="宋体"/>
          <w:kern w:val="0"/>
          <w:sz w:val="24"/>
          <w:szCs w:val="24"/>
          <w:lang w:eastAsia="zh-CN"/>
        </w:rPr>
        <w:t>: 194-202 [PMID: 12517230 DOI: 10.1001/jama.289.2.194]</w:t>
      </w:r>
    </w:p>
    <w:p w14:paraId="7C4BF94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73 </w:t>
      </w:r>
      <w:r w:rsidRPr="00AF7267">
        <w:rPr>
          <w:rFonts w:ascii="Book Antiqua" w:eastAsia="宋体" w:hAnsi="Book Antiqua" w:cs="宋体"/>
          <w:b/>
          <w:bCs/>
          <w:kern w:val="0"/>
          <w:sz w:val="24"/>
          <w:szCs w:val="24"/>
          <w:lang w:eastAsia="zh-CN"/>
        </w:rPr>
        <w:t>Kasner M</w:t>
      </w:r>
      <w:r w:rsidRPr="00AF7267">
        <w:rPr>
          <w:rFonts w:ascii="Book Antiqua" w:eastAsia="宋体" w:hAnsi="Book Antiqua" w:cs="宋体"/>
          <w:kern w:val="0"/>
          <w:sz w:val="24"/>
          <w:szCs w:val="24"/>
          <w:lang w:eastAsia="zh-CN"/>
        </w:rPr>
        <w:t xml:space="preserve">, Westermann D, Steendijk P, Gaub R, Wilkenshoff U, Weitmann K, Hoffmann W, Poller W, Schultheiss HP, Pauschinger M, Tschöpe C. Utility of Doppler echocardiography and tissue Doppler imaging in the estimation of diastolic function in heart failure with normal ejection fraction: a comparative Doppler-conductance catheterization study.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2007; </w:t>
      </w:r>
      <w:r w:rsidRPr="00AF7267">
        <w:rPr>
          <w:rFonts w:ascii="Book Antiqua" w:eastAsia="宋体" w:hAnsi="Book Antiqua" w:cs="宋体"/>
          <w:b/>
          <w:bCs/>
          <w:kern w:val="0"/>
          <w:sz w:val="24"/>
          <w:szCs w:val="24"/>
          <w:lang w:eastAsia="zh-CN"/>
        </w:rPr>
        <w:t>116</w:t>
      </w:r>
      <w:r w:rsidRPr="00AF7267">
        <w:rPr>
          <w:rFonts w:ascii="Book Antiqua" w:eastAsia="宋体" w:hAnsi="Book Antiqua" w:cs="宋体"/>
          <w:kern w:val="0"/>
          <w:sz w:val="24"/>
          <w:szCs w:val="24"/>
          <w:lang w:eastAsia="zh-CN"/>
        </w:rPr>
        <w:t>: 637-647 [PMID: 17646587 DOI: 10.1161/CIRCULATIONAHA.106.661983]</w:t>
      </w:r>
    </w:p>
    <w:p w14:paraId="09A660FA"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74 </w:t>
      </w:r>
      <w:r w:rsidRPr="00AF7267">
        <w:rPr>
          <w:rFonts w:ascii="Book Antiqua" w:eastAsia="宋体" w:hAnsi="Book Antiqua" w:cs="宋体"/>
          <w:b/>
          <w:bCs/>
          <w:kern w:val="0"/>
          <w:sz w:val="24"/>
          <w:szCs w:val="24"/>
          <w:lang w:eastAsia="zh-CN"/>
        </w:rPr>
        <w:t>Kato TS</w:t>
      </w:r>
      <w:r w:rsidRPr="00AF7267">
        <w:rPr>
          <w:rFonts w:ascii="Book Antiqua" w:eastAsia="宋体" w:hAnsi="Book Antiqua" w:cs="宋体"/>
          <w:kern w:val="0"/>
          <w:sz w:val="24"/>
          <w:szCs w:val="24"/>
          <w:lang w:eastAsia="zh-CN"/>
        </w:rPr>
        <w:t xml:space="preserve">, Izawa H, Komamura K, Noda A, Asano H, Nagata K, Hashimoto S, Oda N, Kamiya C, Kanzaki H, Hashimura K, Ueda HI, Murohara T, Kitakaze M, Yokota M. Heterogeneity of regional systolic function detected by tissue Doppler imaging is linked to impaired global left ventricular relaxation in hypertrophic cardiomyopathy. </w:t>
      </w:r>
      <w:r w:rsidRPr="00AF7267">
        <w:rPr>
          <w:rFonts w:ascii="Book Antiqua" w:eastAsia="宋体" w:hAnsi="Book Antiqua" w:cs="宋体"/>
          <w:i/>
          <w:iCs/>
          <w:kern w:val="0"/>
          <w:sz w:val="24"/>
          <w:szCs w:val="24"/>
          <w:lang w:eastAsia="zh-CN"/>
        </w:rPr>
        <w:t>Heart</w:t>
      </w:r>
      <w:r w:rsidRPr="00AF7267">
        <w:rPr>
          <w:rFonts w:ascii="Book Antiqua" w:eastAsia="宋体" w:hAnsi="Book Antiqua" w:cs="宋体"/>
          <w:kern w:val="0"/>
          <w:sz w:val="24"/>
          <w:szCs w:val="24"/>
          <w:lang w:eastAsia="zh-CN"/>
        </w:rPr>
        <w:t xml:space="preserve"> 2008; </w:t>
      </w:r>
      <w:r w:rsidRPr="00AF7267">
        <w:rPr>
          <w:rFonts w:ascii="Book Antiqua" w:eastAsia="宋体" w:hAnsi="Book Antiqua" w:cs="宋体"/>
          <w:b/>
          <w:bCs/>
          <w:kern w:val="0"/>
          <w:sz w:val="24"/>
          <w:szCs w:val="24"/>
          <w:lang w:eastAsia="zh-CN"/>
        </w:rPr>
        <w:t>94</w:t>
      </w:r>
      <w:r w:rsidRPr="00AF7267">
        <w:rPr>
          <w:rFonts w:ascii="Book Antiqua" w:eastAsia="宋体" w:hAnsi="Book Antiqua" w:cs="宋体"/>
          <w:kern w:val="0"/>
          <w:sz w:val="24"/>
          <w:szCs w:val="24"/>
          <w:lang w:eastAsia="zh-CN"/>
        </w:rPr>
        <w:t>: 1302-1306 [PMID: 18198205 DOI: 10.1136/hrt.2007.124453]</w:t>
      </w:r>
    </w:p>
    <w:p w14:paraId="4EE2FE02"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75 </w:t>
      </w:r>
      <w:r w:rsidRPr="00AF7267">
        <w:rPr>
          <w:rFonts w:ascii="Book Antiqua" w:eastAsia="宋体" w:hAnsi="Book Antiqua" w:cs="宋体"/>
          <w:b/>
          <w:bCs/>
          <w:kern w:val="0"/>
          <w:sz w:val="24"/>
          <w:szCs w:val="24"/>
          <w:lang w:eastAsia="zh-CN"/>
        </w:rPr>
        <w:t>Narayanan A</w:t>
      </w:r>
      <w:r w:rsidRPr="00AF7267">
        <w:rPr>
          <w:rFonts w:ascii="Book Antiqua" w:eastAsia="宋体" w:hAnsi="Book Antiqua" w:cs="宋体"/>
          <w:kern w:val="0"/>
          <w:sz w:val="24"/>
          <w:szCs w:val="24"/>
          <w:lang w:eastAsia="zh-CN"/>
        </w:rPr>
        <w:t xml:space="preserve">, Aurigemma GP, Chinali M, Hill JC, Meyer TE, Tighe DA. Cardiac mechanics in mild hypertensive heart disease: a speckle-strain imaging study. </w:t>
      </w:r>
      <w:r w:rsidRPr="00AF7267">
        <w:rPr>
          <w:rFonts w:ascii="Book Antiqua" w:eastAsia="宋体" w:hAnsi="Book Antiqua" w:cs="宋体"/>
          <w:i/>
          <w:iCs/>
          <w:kern w:val="0"/>
          <w:sz w:val="24"/>
          <w:szCs w:val="24"/>
          <w:lang w:eastAsia="zh-CN"/>
        </w:rPr>
        <w:t>Circ Cardiovasc Imaging</w:t>
      </w:r>
      <w:r w:rsidRPr="00AF7267">
        <w:rPr>
          <w:rFonts w:ascii="Book Antiqua" w:eastAsia="宋体" w:hAnsi="Book Antiqua" w:cs="宋体"/>
          <w:kern w:val="0"/>
          <w:sz w:val="24"/>
          <w:szCs w:val="24"/>
          <w:lang w:eastAsia="zh-CN"/>
        </w:rPr>
        <w:t xml:space="preserve"> 2009; </w:t>
      </w:r>
      <w:r w:rsidRPr="00AF7267">
        <w:rPr>
          <w:rFonts w:ascii="Book Antiqua" w:eastAsia="宋体" w:hAnsi="Book Antiqua" w:cs="宋体"/>
          <w:b/>
          <w:bCs/>
          <w:kern w:val="0"/>
          <w:sz w:val="24"/>
          <w:szCs w:val="24"/>
          <w:lang w:eastAsia="zh-CN"/>
        </w:rPr>
        <w:t>2</w:t>
      </w:r>
      <w:r w:rsidRPr="00AF7267">
        <w:rPr>
          <w:rFonts w:ascii="Book Antiqua" w:eastAsia="宋体" w:hAnsi="Book Antiqua" w:cs="宋体"/>
          <w:kern w:val="0"/>
          <w:sz w:val="24"/>
          <w:szCs w:val="24"/>
          <w:lang w:eastAsia="zh-CN"/>
        </w:rPr>
        <w:t>: 382-390 [PMID: 19808626 DOI: 10.1161/CIRCIMAGING.108.811620]</w:t>
      </w:r>
    </w:p>
    <w:p w14:paraId="75376C7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76 </w:t>
      </w:r>
      <w:r w:rsidRPr="00AF7267">
        <w:rPr>
          <w:rFonts w:ascii="Book Antiqua" w:eastAsia="宋体" w:hAnsi="Book Antiqua" w:cs="宋体"/>
          <w:b/>
          <w:bCs/>
          <w:kern w:val="0"/>
          <w:sz w:val="24"/>
          <w:szCs w:val="24"/>
          <w:lang w:eastAsia="zh-CN"/>
        </w:rPr>
        <w:t>Solomon SD</w:t>
      </w:r>
      <w:r w:rsidRPr="00AF7267">
        <w:rPr>
          <w:rFonts w:ascii="Book Antiqua" w:eastAsia="宋体" w:hAnsi="Book Antiqua" w:cs="宋体"/>
          <w:kern w:val="0"/>
          <w:sz w:val="24"/>
          <w:szCs w:val="24"/>
          <w:lang w:eastAsia="zh-CN"/>
        </w:rPr>
        <w:t xml:space="preserve">, Janardhanan R, Verma A, Bourgoun M, Daley WL, Purkayastha D, Lacourcière Y, Hippler SE, Fields H, Naqvi TZ, Mulvagh SL, Arnold JM, Thomas JD, Zile MR, Aurigemma GP. Effect of angiotensin receptor blockade and antihypertensive drugs on diastolic function in patients with hypertension and diastolic dysfunction: a randomised trial. </w:t>
      </w:r>
      <w:r w:rsidRPr="00AF7267">
        <w:rPr>
          <w:rFonts w:ascii="Book Antiqua" w:eastAsia="宋体" w:hAnsi="Book Antiqua" w:cs="宋体"/>
          <w:i/>
          <w:iCs/>
          <w:kern w:val="0"/>
          <w:sz w:val="24"/>
          <w:szCs w:val="24"/>
          <w:lang w:eastAsia="zh-CN"/>
        </w:rPr>
        <w:t>Lancet</w:t>
      </w:r>
      <w:r w:rsidRPr="00AF7267">
        <w:rPr>
          <w:rFonts w:ascii="Book Antiqua" w:eastAsia="宋体" w:hAnsi="Book Antiqua" w:cs="宋体"/>
          <w:kern w:val="0"/>
          <w:sz w:val="24"/>
          <w:szCs w:val="24"/>
          <w:lang w:eastAsia="zh-CN"/>
        </w:rPr>
        <w:t xml:space="preserve"> 2007; </w:t>
      </w:r>
      <w:r w:rsidRPr="00AF7267">
        <w:rPr>
          <w:rFonts w:ascii="Book Antiqua" w:eastAsia="宋体" w:hAnsi="Book Antiqua" w:cs="宋体"/>
          <w:b/>
          <w:bCs/>
          <w:kern w:val="0"/>
          <w:sz w:val="24"/>
          <w:szCs w:val="24"/>
          <w:lang w:eastAsia="zh-CN"/>
        </w:rPr>
        <w:t>369</w:t>
      </w:r>
      <w:r w:rsidRPr="00AF7267">
        <w:rPr>
          <w:rFonts w:ascii="Book Antiqua" w:eastAsia="宋体" w:hAnsi="Book Antiqua" w:cs="宋体"/>
          <w:kern w:val="0"/>
          <w:sz w:val="24"/>
          <w:szCs w:val="24"/>
          <w:lang w:eastAsia="zh-CN"/>
        </w:rPr>
        <w:t>: 2079-2087 [PMID: 17586303 DOI: 10.1016/S0140-6736(07)60980-5]</w:t>
      </w:r>
    </w:p>
    <w:p w14:paraId="6A49E87A" w14:textId="75EE368B"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77 </w:t>
      </w:r>
      <w:r w:rsidRPr="00AF7267">
        <w:rPr>
          <w:rFonts w:ascii="Book Antiqua" w:eastAsia="宋体" w:hAnsi="Book Antiqua" w:cs="宋体"/>
          <w:b/>
          <w:bCs/>
          <w:kern w:val="0"/>
          <w:sz w:val="24"/>
          <w:szCs w:val="24"/>
          <w:lang w:eastAsia="zh-CN"/>
        </w:rPr>
        <w:t>Rudolph A</w:t>
      </w:r>
      <w:r w:rsidRPr="00AF7267">
        <w:rPr>
          <w:rFonts w:ascii="Book Antiqua" w:eastAsia="宋体" w:hAnsi="Book Antiqua" w:cs="宋体"/>
          <w:kern w:val="0"/>
          <w:sz w:val="24"/>
          <w:szCs w:val="24"/>
          <w:lang w:eastAsia="zh-CN"/>
        </w:rPr>
        <w:t xml:space="preserve">, Abdel-Aty H, Bohl S, Boyé P, Zagrosek A, Dietz R, Schulz-Menger J. Noninvasive detection of fibrosis applying contrast-enhanced cardiac magnetic resonance in different forms of left ventricular hypertrophy relation to remodeling. </w:t>
      </w:r>
      <w:r w:rsidRPr="00AF7267">
        <w:rPr>
          <w:rFonts w:ascii="Book Antiqua" w:eastAsia="宋体" w:hAnsi="Book Antiqua" w:cs="宋体"/>
          <w:i/>
          <w:iCs/>
          <w:kern w:val="0"/>
          <w:sz w:val="24"/>
          <w:szCs w:val="24"/>
          <w:lang w:eastAsia="zh-CN"/>
        </w:rPr>
        <w:t>J Am Coll Cardiol</w:t>
      </w:r>
      <w:r w:rsidRPr="00AF7267">
        <w:rPr>
          <w:rFonts w:ascii="Book Antiqua" w:eastAsia="宋体" w:hAnsi="Book Antiqua" w:cs="宋体"/>
          <w:kern w:val="0"/>
          <w:sz w:val="24"/>
          <w:szCs w:val="24"/>
          <w:lang w:eastAsia="zh-CN"/>
        </w:rPr>
        <w:t xml:space="preserve"> 2009; </w:t>
      </w:r>
      <w:r w:rsidRPr="00AF7267">
        <w:rPr>
          <w:rFonts w:ascii="Book Antiqua" w:eastAsia="宋体" w:hAnsi="Book Antiqua" w:cs="宋体"/>
          <w:b/>
          <w:bCs/>
          <w:kern w:val="0"/>
          <w:sz w:val="24"/>
          <w:szCs w:val="24"/>
          <w:lang w:eastAsia="zh-CN"/>
        </w:rPr>
        <w:t>53</w:t>
      </w:r>
      <w:r w:rsidRPr="00AF7267">
        <w:rPr>
          <w:rFonts w:ascii="Book Antiqua" w:eastAsia="宋体" w:hAnsi="Book Antiqua" w:cs="宋体"/>
          <w:kern w:val="0"/>
          <w:sz w:val="24"/>
          <w:szCs w:val="24"/>
          <w:lang w:eastAsia="zh-CN"/>
        </w:rPr>
        <w:t xml:space="preserve">: 284-291 [PMID: 19147047 DOI: </w:t>
      </w:r>
      <w:r>
        <w:rPr>
          <w:rFonts w:ascii="Book Antiqua" w:eastAsia="宋体" w:hAnsi="Book Antiqua" w:cs="宋体" w:hint="eastAsia"/>
          <w:kern w:val="0"/>
          <w:sz w:val="24"/>
          <w:szCs w:val="24"/>
          <w:lang w:eastAsia="zh-CN"/>
        </w:rPr>
        <w:t>1</w:t>
      </w:r>
      <w:r w:rsidRPr="00AF7267">
        <w:rPr>
          <w:rFonts w:ascii="Book Antiqua" w:eastAsia="宋体" w:hAnsi="Book Antiqua" w:cs="宋体"/>
          <w:kern w:val="0"/>
          <w:sz w:val="24"/>
          <w:szCs w:val="24"/>
          <w:lang w:eastAsia="zh-CN"/>
        </w:rPr>
        <w:t>0.1016/j.jacc.2008.08.064]</w:t>
      </w:r>
    </w:p>
    <w:p w14:paraId="30686DE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78 </w:t>
      </w:r>
      <w:r w:rsidRPr="00AF7267">
        <w:rPr>
          <w:rFonts w:ascii="Book Antiqua" w:eastAsia="宋体" w:hAnsi="Book Antiqua" w:cs="宋体"/>
          <w:b/>
          <w:bCs/>
          <w:kern w:val="0"/>
          <w:sz w:val="24"/>
          <w:szCs w:val="24"/>
          <w:lang w:eastAsia="zh-CN"/>
        </w:rPr>
        <w:t>Takeda M</w:t>
      </w:r>
      <w:r w:rsidRPr="00AF7267">
        <w:rPr>
          <w:rFonts w:ascii="Book Antiqua" w:eastAsia="宋体" w:hAnsi="Book Antiqua" w:cs="宋体"/>
          <w:kern w:val="0"/>
          <w:sz w:val="24"/>
          <w:szCs w:val="24"/>
          <w:lang w:eastAsia="zh-CN"/>
        </w:rPr>
        <w:t xml:space="preserve">, Amano Y, Tachi M, Tani H, Mizuno K, Kumita S. MRI differentiation of cardiomyopathy showing left ventricular hypertrophy and heart failure: differentiation between cardiac amyloidosis, hypertrophic cardiomyopathy, and hypertensive heart disease. </w:t>
      </w:r>
      <w:r w:rsidRPr="00AF7267">
        <w:rPr>
          <w:rFonts w:ascii="Book Antiqua" w:eastAsia="宋体" w:hAnsi="Book Antiqua" w:cs="宋体"/>
          <w:i/>
          <w:iCs/>
          <w:kern w:val="0"/>
          <w:sz w:val="24"/>
          <w:szCs w:val="24"/>
          <w:lang w:eastAsia="zh-CN"/>
        </w:rPr>
        <w:t>Jpn J Radiol</w:t>
      </w:r>
      <w:r w:rsidRPr="00AF7267">
        <w:rPr>
          <w:rFonts w:ascii="Book Antiqua" w:eastAsia="宋体" w:hAnsi="Book Antiqua" w:cs="宋体"/>
          <w:kern w:val="0"/>
          <w:sz w:val="24"/>
          <w:szCs w:val="24"/>
          <w:lang w:eastAsia="zh-CN"/>
        </w:rPr>
        <w:t xml:space="preserve"> 2013; </w:t>
      </w:r>
      <w:r w:rsidRPr="00AF7267">
        <w:rPr>
          <w:rFonts w:ascii="Book Antiqua" w:eastAsia="宋体" w:hAnsi="Book Antiqua" w:cs="宋体"/>
          <w:b/>
          <w:bCs/>
          <w:kern w:val="0"/>
          <w:sz w:val="24"/>
          <w:szCs w:val="24"/>
          <w:lang w:eastAsia="zh-CN"/>
        </w:rPr>
        <w:t>31</w:t>
      </w:r>
      <w:r w:rsidRPr="00AF7267">
        <w:rPr>
          <w:rFonts w:ascii="Book Antiqua" w:eastAsia="宋体" w:hAnsi="Book Antiqua" w:cs="宋体"/>
          <w:kern w:val="0"/>
          <w:sz w:val="24"/>
          <w:szCs w:val="24"/>
          <w:lang w:eastAsia="zh-CN"/>
        </w:rPr>
        <w:t>: 693-700 [PMID: 23996116 DOI: 10.1007/s11604-013-0238-0]</w:t>
      </w:r>
    </w:p>
    <w:p w14:paraId="314D321A"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79 </w:t>
      </w:r>
      <w:r w:rsidRPr="00AF7267">
        <w:rPr>
          <w:rFonts w:ascii="Book Antiqua" w:eastAsia="宋体" w:hAnsi="Book Antiqua" w:cs="宋体"/>
          <w:b/>
          <w:bCs/>
          <w:kern w:val="0"/>
          <w:sz w:val="24"/>
          <w:szCs w:val="24"/>
          <w:lang w:eastAsia="zh-CN"/>
        </w:rPr>
        <w:t>Assomull RG</w:t>
      </w:r>
      <w:r w:rsidRPr="00AF7267">
        <w:rPr>
          <w:rFonts w:ascii="Book Antiqua" w:eastAsia="宋体" w:hAnsi="Book Antiqua" w:cs="宋体"/>
          <w:kern w:val="0"/>
          <w:sz w:val="24"/>
          <w:szCs w:val="24"/>
          <w:lang w:eastAsia="zh-CN"/>
        </w:rPr>
        <w:t xml:space="preserve">, Shakespeare C, Kalra PR, Lloyd G, Gulati A, Strange J, Bradlow WM, Lyne J, Keegan J, Poole-Wilson P, Cowie MR, Pennell DJ, Prasad SK. Role of cardiovascular magnetic resonance as a gatekeeper to invasive coronary angiography in patients presenting with heart failure of unknown etiology.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2011; </w:t>
      </w:r>
      <w:r w:rsidRPr="00AF7267">
        <w:rPr>
          <w:rFonts w:ascii="Book Antiqua" w:eastAsia="宋体" w:hAnsi="Book Antiqua" w:cs="宋体"/>
          <w:b/>
          <w:bCs/>
          <w:kern w:val="0"/>
          <w:sz w:val="24"/>
          <w:szCs w:val="24"/>
          <w:lang w:eastAsia="zh-CN"/>
        </w:rPr>
        <w:t>124</w:t>
      </w:r>
      <w:r w:rsidRPr="00AF7267">
        <w:rPr>
          <w:rFonts w:ascii="Book Antiqua" w:eastAsia="宋体" w:hAnsi="Book Antiqua" w:cs="宋体"/>
          <w:kern w:val="0"/>
          <w:sz w:val="24"/>
          <w:szCs w:val="24"/>
          <w:lang w:eastAsia="zh-CN"/>
        </w:rPr>
        <w:t>: 1351-1360 [PMID: 21900085 DOI: 10.1161/CIRCULATIONAHA.110.011346]</w:t>
      </w:r>
    </w:p>
    <w:p w14:paraId="7987DA9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80 </w:t>
      </w:r>
      <w:r w:rsidRPr="00AF7267">
        <w:rPr>
          <w:rFonts w:ascii="Book Antiqua" w:eastAsia="宋体" w:hAnsi="Book Antiqua" w:cs="宋体"/>
          <w:b/>
          <w:bCs/>
          <w:kern w:val="0"/>
          <w:sz w:val="24"/>
          <w:szCs w:val="24"/>
          <w:lang w:eastAsia="zh-CN"/>
        </w:rPr>
        <w:t>Parsai C</w:t>
      </w:r>
      <w:r w:rsidRPr="00AF7267">
        <w:rPr>
          <w:rFonts w:ascii="Book Antiqua" w:eastAsia="宋体" w:hAnsi="Book Antiqua" w:cs="宋体"/>
          <w:kern w:val="0"/>
          <w:sz w:val="24"/>
          <w:szCs w:val="24"/>
          <w:lang w:eastAsia="zh-CN"/>
        </w:rPr>
        <w:t xml:space="preserve">, O'Hanlon R, Prasad SK, Mohiaddin RH. Diagnostic and prognostic value of cardiovascular magnetic resonance in non-ischaemic cardiomyopathies. </w:t>
      </w:r>
      <w:r w:rsidRPr="00AF7267">
        <w:rPr>
          <w:rFonts w:ascii="Book Antiqua" w:eastAsia="宋体" w:hAnsi="Book Antiqua" w:cs="宋体"/>
          <w:i/>
          <w:iCs/>
          <w:kern w:val="0"/>
          <w:sz w:val="24"/>
          <w:szCs w:val="24"/>
          <w:lang w:eastAsia="zh-CN"/>
        </w:rPr>
        <w:t>J Cardiovasc Magn Reson</w:t>
      </w:r>
      <w:r w:rsidRPr="00AF7267">
        <w:rPr>
          <w:rFonts w:ascii="Book Antiqua" w:eastAsia="宋体" w:hAnsi="Book Antiqua" w:cs="宋体"/>
          <w:kern w:val="0"/>
          <w:sz w:val="24"/>
          <w:szCs w:val="24"/>
          <w:lang w:eastAsia="zh-CN"/>
        </w:rPr>
        <w:t xml:space="preserve"> 2012; </w:t>
      </w:r>
      <w:r w:rsidRPr="00AF7267">
        <w:rPr>
          <w:rFonts w:ascii="Book Antiqua" w:eastAsia="宋体" w:hAnsi="Book Antiqua" w:cs="宋体"/>
          <w:b/>
          <w:bCs/>
          <w:kern w:val="0"/>
          <w:sz w:val="24"/>
          <w:szCs w:val="24"/>
          <w:lang w:eastAsia="zh-CN"/>
        </w:rPr>
        <w:t>14</w:t>
      </w:r>
      <w:r w:rsidRPr="00AF7267">
        <w:rPr>
          <w:rFonts w:ascii="Book Antiqua" w:eastAsia="宋体" w:hAnsi="Book Antiqua" w:cs="宋体"/>
          <w:kern w:val="0"/>
          <w:sz w:val="24"/>
          <w:szCs w:val="24"/>
          <w:lang w:eastAsia="zh-CN"/>
        </w:rPr>
        <w:t>: 54 [PMID: 22857649 DOI: 10.1186/1532-429X-14-54]</w:t>
      </w:r>
    </w:p>
    <w:p w14:paraId="6BDA0089"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81 </w:t>
      </w:r>
      <w:r w:rsidRPr="00AF7267">
        <w:rPr>
          <w:rFonts w:ascii="Book Antiqua" w:eastAsia="宋体" w:hAnsi="Book Antiqua" w:cs="宋体"/>
          <w:b/>
          <w:bCs/>
          <w:kern w:val="0"/>
          <w:sz w:val="24"/>
          <w:szCs w:val="24"/>
          <w:lang w:eastAsia="zh-CN"/>
        </w:rPr>
        <w:t>Myerson SG</w:t>
      </w:r>
      <w:r w:rsidRPr="00AF7267">
        <w:rPr>
          <w:rFonts w:ascii="Book Antiqua" w:eastAsia="宋体" w:hAnsi="Book Antiqua" w:cs="宋体"/>
          <w:kern w:val="0"/>
          <w:sz w:val="24"/>
          <w:szCs w:val="24"/>
          <w:lang w:eastAsia="zh-CN"/>
        </w:rPr>
        <w:t xml:space="preserve">, Bellenger NG, Pennell DJ. Assessment of left ventricular mass by cardiovascular magnetic resonance.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2002; </w:t>
      </w:r>
      <w:r w:rsidRPr="00AF7267">
        <w:rPr>
          <w:rFonts w:ascii="Book Antiqua" w:eastAsia="宋体" w:hAnsi="Book Antiqua" w:cs="宋体"/>
          <w:b/>
          <w:bCs/>
          <w:kern w:val="0"/>
          <w:sz w:val="24"/>
          <w:szCs w:val="24"/>
          <w:lang w:eastAsia="zh-CN"/>
        </w:rPr>
        <w:t>39</w:t>
      </w:r>
      <w:r w:rsidRPr="00AF7267">
        <w:rPr>
          <w:rFonts w:ascii="Book Antiqua" w:eastAsia="宋体" w:hAnsi="Book Antiqua" w:cs="宋体"/>
          <w:kern w:val="0"/>
          <w:sz w:val="24"/>
          <w:szCs w:val="24"/>
          <w:lang w:eastAsia="zh-CN"/>
        </w:rPr>
        <w:t>: 750-755 [PMID: 11897757 DOI: 10.1161/hy0302.104674]</w:t>
      </w:r>
    </w:p>
    <w:p w14:paraId="2553899F"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82 </w:t>
      </w:r>
      <w:r w:rsidRPr="00AF7267">
        <w:rPr>
          <w:rFonts w:ascii="Book Antiqua" w:eastAsia="宋体" w:hAnsi="Book Antiqua" w:cs="宋体"/>
          <w:b/>
          <w:bCs/>
          <w:kern w:val="0"/>
          <w:sz w:val="24"/>
          <w:szCs w:val="24"/>
          <w:lang w:eastAsia="zh-CN"/>
        </w:rPr>
        <w:t>Yusuf S</w:t>
      </w:r>
      <w:r w:rsidRPr="00AF7267">
        <w:rPr>
          <w:rFonts w:ascii="Book Antiqua" w:eastAsia="宋体" w:hAnsi="Book Antiqua" w:cs="宋体"/>
          <w:kern w:val="0"/>
          <w:sz w:val="24"/>
          <w:szCs w:val="24"/>
          <w:lang w:eastAsia="zh-CN"/>
        </w:rPr>
        <w:t xml:space="preserve">, Teo KK, Pogue J, Dyal L, Copland I, Schumacher H, Dagenais G, Sleight P, Anderson C. Telmisartan, ramipril, or both in patients at high risk for vascular events. </w:t>
      </w:r>
      <w:r w:rsidRPr="00AF7267">
        <w:rPr>
          <w:rFonts w:ascii="Book Antiqua" w:eastAsia="宋体" w:hAnsi="Book Antiqua" w:cs="宋体"/>
          <w:i/>
          <w:iCs/>
          <w:kern w:val="0"/>
          <w:sz w:val="24"/>
          <w:szCs w:val="24"/>
          <w:lang w:eastAsia="zh-CN"/>
        </w:rPr>
        <w:t>N Engl J Med</w:t>
      </w:r>
      <w:r w:rsidRPr="00AF7267">
        <w:rPr>
          <w:rFonts w:ascii="Book Antiqua" w:eastAsia="宋体" w:hAnsi="Book Antiqua" w:cs="宋体"/>
          <w:kern w:val="0"/>
          <w:sz w:val="24"/>
          <w:szCs w:val="24"/>
          <w:lang w:eastAsia="zh-CN"/>
        </w:rPr>
        <w:t xml:space="preserve"> 2008; </w:t>
      </w:r>
      <w:r w:rsidRPr="00AF7267">
        <w:rPr>
          <w:rFonts w:ascii="Book Antiqua" w:eastAsia="宋体" w:hAnsi="Book Antiqua" w:cs="宋体"/>
          <w:b/>
          <w:bCs/>
          <w:kern w:val="0"/>
          <w:sz w:val="24"/>
          <w:szCs w:val="24"/>
          <w:lang w:eastAsia="zh-CN"/>
        </w:rPr>
        <w:t>358</w:t>
      </w:r>
      <w:r w:rsidRPr="00AF7267">
        <w:rPr>
          <w:rFonts w:ascii="Book Antiqua" w:eastAsia="宋体" w:hAnsi="Book Antiqua" w:cs="宋体"/>
          <w:kern w:val="0"/>
          <w:sz w:val="24"/>
          <w:szCs w:val="24"/>
          <w:lang w:eastAsia="zh-CN"/>
        </w:rPr>
        <w:t>: 1547-1559 [PMID: 18378520 DOI: 10.1056/NEJMoa0801317]</w:t>
      </w:r>
    </w:p>
    <w:p w14:paraId="10D36A5D"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83 </w:t>
      </w:r>
      <w:r w:rsidRPr="00AF7267">
        <w:rPr>
          <w:rFonts w:ascii="Book Antiqua" w:eastAsia="宋体" w:hAnsi="Book Antiqua" w:cs="宋体"/>
          <w:b/>
          <w:bCs/>
          <w:kern w:val="0"/>
          <w:sz w:val="24"/>
          <w:szCs w:val="24"/>
          <w:lang w:eastAsia="zh-CN"/>
        </w:rPr>
        <w:t>Andersen K</w:t>
      </w:r>
      <w:r w:rsidRPr="00AF7267">
        <w:rPr>
          <w:rFonts w:ascii="Book Antiqua" w:eastAsia="宋体" w:hAnsi="Book Antiqua" w:cs="宋体"/>
          <w:kern w:val="0"/>
          <w:sz w:val="24"/>
          <w:szCs w:val="24"/>
          <w:lang w:eastAsia="zh-CN"/>
        </w:rPr>
        <w:t xml:space="preserve">, Hennersdorf M, Cohnen M, Blondin D, Mödder U, Poll LW. Myocardial delayed contrast enhancement in patients with arterial hypertension: initial results of cardiac MRI. </w:t>
      </w:r>
      <w:r w:rsidRPr="00AF7267">
        <w:rPr>
          <w:rFonts w:ascii="Book Antiqua" w:eastAsia="宋体" w:hAnsi="Book Antiqua" w:cs="宋体"/>
          <w:i/>
          <w:iCs/>
          <w:kern w:val="0"/>
          <w:sz w:val="24"/>
          <w:szCs w:val="24"/>
          <w:lang w:eastAsia="zh-CN"/>
        </w:rPr>
        <w:t>Eur J Radiol</w:t>
      </w:r>
      <w:r w:rsidRPr="00AF7267">
        <w:rPr>
          <w:rFonts w:ascii="Book Antiqua" w:eastAsia="宋体" w:hAnsi="Book Antiqua" w:cs="宋体"/>
          <w:kern w:val="0"/>
          <w:sz w:val="24"/>
          <w:szCs w:val="24"/>
          <w:lang w:eastAsia="zh-CN"/>
        </w:rPr>
        <w:t xml:space="preserve"> 2009; </w:t>
      </w:r>
      <w:r w:rsidRPr="00AF7267">
        <w:rPr>
          <w:rFonts w:ascii="Book Antiqua" w:eastAsia="宋体" w:hAnsi="Book Antiqua" w:cs="宋体"/>
          <w:b/>
          <w:bCs/>
          <w:kern w:val="0"/>
          <w:sz w:val="24"/>
          <w:szCs w:val="24"/>
          <w:lang w:eastAsia="zh-CN"/>
        </w:rPr>
        <w:t>71</w:t>
      </w:r>
      <w:r w:rsidRPr="00AF7267">
        <w:rPr>
          <w:rFonts w:ascii="Book Antiqua" w:eastAsia="宋体" w:hAnsi="Book Antiqua" w:cs="宋体"/>
          <w:kern w:val="0"/>
          <w:sz w:val="24"/>
          <w:szCs w:val="24"/>
          <w:lang w:eastAsia="zh-CN"/>
        </w:rPr>
        <w:t>: 75-81 [PMID: 18434065 DOI: 10.1016/j.ejrad.2008.03.00]</w:t>
      </w:r>
    </w:p>
    <w:p w14:paraId="19A41DD8"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84 </w:t>
      </w:r>
      <w:r w:rsidRPr="00AF7267">
        <w:rPr>
          <w:rFonts w:ascii="Book Antiqua" w:eastAsia="宋体" w:hAnsi="Book Antiqua" w:cs="宋体"/>
          <w:b/>
          <w:bCs/>
          <w:kern w:val="0"/>
          <w:sz w:val="24"/>
          <w:szCs w:val="24"/>
          <w:lang w:eastAsia="zh-CN"/>
        </w:rPr>
        <w:t>Martos R</w:t>
      </w:r>
      <w:r w:rsidRPr="00AF7267">
        <w:rPr>
          <w:rFonts w:ascii="Book Antiqua" w:eastAsia="宋体" w:hAnsi="Book Antiqua" w:cs="宋体"/>
          <w:kern w:val="0"/>
          <w:sz w:val="24"/>
          <w:szCs w:val="24"/>
          <w:lang w:eastAsia="zh-CN"/>
        </w:rPr>
        <w:t xml:space="preserve">, Baugh J, Ledwidge M, O'Loughlin C, Conlon C, Patle A, Donnelly SC, McDonald K. Diastolic heart failure: evidence of increased myocardial collagen turnover linked to diastolic dysfunction.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2007; </w:t>
      </w:r>
      <w:r w:rsidRPr="00AF7267">
        <w:rPr>
          <w:rFonts w:ascii="Book Antiqua" w:eastAsia="宋体" w:hAnsi="Book Antiqua" w:cs="宋体"/>
          <w:b/>
          <w:bCs/>
          <w:kern w:val="0"/>
          <w:sz w:val="24"/>
          <w:szCs w:val="24"/>
          <w:lang w:eastAsia="zh-CN"/>
        </w:rPr>
        <w:t>115</w:t>
      </w:r>
      <w:r w:rsidRPr="00AF7267">
        <w:rPr>
          <w:rFonts w:ascii="Book Antiqua" w:eastAsia="宋体" w:hAnsi="Book Antiqua" w:cs="宋体"/>
          <w:kern w:val="0"/>
          <w:sz w:val="24"/>
          <w:szCs w:val="24"/>
          <w:lang w:eastAsia="zh-CN"/>
        </w:rPr>
        <w:t>: 888-895 [PMID: 17283265 DOI: 10.1161/CIRCULATIONAHA.106.638569]</w:t>
      </w:r>
    </w:p>
    <w:p w14:paraId="4819B9D1"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85 </w:t>
      </w:r>
      <w:r w:rsidRPr="00AF7267">
        <w:rPr>
          <w:rFonts w:ascii="Book Antiqua" w:eastAsia="宋体" w:hAnsi="Book Antiqua" w:cs="宋体"/>
          <w:b/>
          <w:bCs/>
          <w:kern w:val="0"/>
          <w:sz w:val="24"/>
          <w:szCs w:val="24"/>
          <w:lang w:eastAsia="zh-CN"/>
        </w:rPr>
        <w:t>Diamond JA</w:t>
      </w:r>
      <w:r w:rsidRPr="00AF7267">
        <w:rPr>
          <w:rFonts w:ascii="Book Antiqua" w:eastAsia="宋体" w:hAnsi="Book Antiqua" w:cs="宋体"/>
          <w:kern w:val="0"/>
          <w:sz w:val="24"/>
          <w:szCs w:val="24"/>
          <w:lang w:eastAsia="zh-CN"/>
        </w:rPr>
        <w:t xml:space="preserve">, Phillips RA. Regression of left ventricular hypertrophy: are there preferred drugs? </w:t>
      </w:r>
      <w:r w:rsidRPr="00AF7267">
        <w:rPr>
          <w:rFonts w:ascii="Book Antiqua" w:eastAsia="宋体" w:hAnsi="Book Antiqua" w:cs="宋体"/>
          <w:i/>
          <w:iCs/>
          <w:kern w:val="0"/>
          <w:sz w:val="24"/>
          <w:szCs w:val="24"/>
          <w:lang w:eastAsia="zh-CN"/>
        </w:rPr>
        <w:t>Curr Hypertens Rep</w:t>
      </w:r>
      <w:r w:rsidRPr="00AF7267">
        <w:rPr>
          <w:rFonts w:ascii="Book Antiqua" w:eastAsia="宋体" w:hAnsi="Book Antiqua" w:cs="宋体"/>
          <w:kern w:val="0"/>
          <w:sz w:val="24"/>
          <w:szCs w:val="24"/>
          <w:lang w:eastAsia="zh-CN"/>
        </w:rPr>
        <w:t xml:space="preserve"> 2003; </w:t>
      </w:r>
      <w:r w:rsidRPr="00AF7267">
        <w:rPr>
          <w:rFonts w:ascii="Book Antiqua" w:eastAsia="宋体" w:hAnsi="Book Antiqua" w:cs="宋体"/>
          <w:b/>
          <w:bCs/>
          <w:kern w:val="0"/>
          <w:sz w:val="24"/>
          <w:szCs w:val="24"/>
          <w:lang w:eastAsia="zh-CN"/>
        </w:rPr>
        <w:t>5</w:t>
      </w:r>
      <w:r w:rsidRPr="00AF7267">
        <w:rPr>
          <w:rFonts w:ascii="Book Antiqua" w:eastAsia="宋体" w:hAnsi="Book Antiqua" w:cs="宋体"/>
          <w:kern w:val="0"/>
          <w:sz w:val="24"/>
          <w:szCs w:val="24"/>
          <w:lang w:eastAsia="zh-CN"/>
        </w:rPr>
        <w:t>: 368-371 [PMID: 12948428 DOI: 10.1007/s11906-003-0081-2]</w:t>
      </w:r>
    </w:p>
    <w:p w14:paraId="1DFA524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86 </w:t>
      </w:r>
      <w:r w:rsidRPr="00AF7267">
        <w:rPr>
          <w:rFonts w:ascii="Book Antiqua" w:eastAsia="宋体" w:hAnsi="Book Antiqua" w:cs="宋体"/>
          <w:b/>
          <w:bCs/>
          <w:kern w:val="0"/>
          <w:sz w:val="24"/>
          <w:szCs w:val="24"/>
          <w:lang w:eastAsia="zh-CN"/>
        </w:rPr>
        <w:t>Muiesan ML</w:t>
      </w:r>
      <w:r w:rsidRPr="00AF7267">
        <w:rPr>
          <w:rFonts w:ascii="Book Antiqua" w:eastAsia="宋体" w:hAnsi="Book Antiqua" w:cs="宋体"/>
          <w:kern w:val="0"/>
          <w:sz w:val="24"/>
          <w:szCs w:val="24"/>
          <w:lang w:eastAsia="zh-CN"/>
        </w:rPr>
        <w:t xml:space="preserve">, Salvetti M, Rizzoni D, Castellano M, Donato F, Agabiti-Rosei E. Association of change in left ventricular mass with prognosis during long-term antihypertensive treatment. </w:t>
      </w:r>
      <w:r w:rsidRPr="00AF7267">
        <w:rPr>
          <w:rFonts w:ascii="Book Antiqua" w:eastAsia="宋体" w:hAnsi="Book Antiqua" w:cs="宋体"/>
          <w:i/>
          <w:iCs/>
          <w:kern w:val="0"/>
          <w:sz w:val="24"/>
          <w:szCs w:val="24"/>
          <w:lang w:eastAsia="zh-CN"/>
        </w:rPr>
        <w:t>J Hypertens</w:t>
      </w:r>
      <w:r w:rsidRPr="00AF7267">
        <w:rPr>
          <w:rFonts w:ascii="Book Antiqua" w:eastAsia="宋体" w:hAnsi="Book Antiqua" w:cs="宋体"/>
          <w:kern w:val="0"/>
          <w:sz w:val="24"/>
          <w:szCs w:val="24"/>
          <w:lang w:eastAsia="zh-CN"/>
        </w:rPr>
        <w:t xml:space="preserve"> 1995; </w:t>
      </w:r>
      <w:r w:rsidRPr="00AF7267">
        <w:rPr>
          <w:rFonts w:ascii="Book Antiqua" w:eastAsia="宋体" w:hAnsi="Book Antiqua" w:cs="宋体"/>
          <w:b/>
          <w:bCs/>
          <w:kern w:val="0"/>
          <w:sz w:val="24"/>
          <w:szCs w:val="24"/>
          <w:lang w:eastAsia="zh-CN"/>
        </w:rPr>
        <w:t>13</w:t>
      </w:r>
      <w:r w:rsidRPr="00AF7267">
        <w:rPr>
          <w:rFonts w:ascii="Book Antiqua" w:eastAsia="宋体" w:hAnsi="Book Antiqua" w:cs="宋体"/>
          <w:kern w:val="0"/>
          <w:sz w:val="24"/>
          <w:szCs w:val="24"/>
          <w:lang w:eastAsia="zh-CN"/>
        </w:rPr>
        <w:t>: 1091-1095 [PMID: 8586800]</w:t>
      </w:r>
    </w:p>
    <w:p w14:paraId="273449D6"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87 </w:t>
      </w:r>
      <w:r w:rsidRPr="00AF7267">
        <w:rPr>
          <w:rFonts w:ascii="Book Antiqua" w:eastAsia="宋体" w:hAnsi="Book Antiqua" w:cs="宋体"/>
          <w:b/>
          <w:bCs/>
          <w:kern w:val="0"/>
          <w:sz w:val="24"/>
          <w:szCs w:val="24"/>
          <w:lang w:eastAsia="zh-CN"/>
        </w:rPr>
        <w:t>Koren MJ</w:t>
      </w:r>
      <w:r w:rsidRPr="00AF7267">
        <w:rPr>
          <w:rFonts w:ascii="Book Antiqua" w:eastAsia="宋体" w:hAnsi="Book Antiqua" w:cs="宋体"/>
          <w:kern w:val="0"/>
          <w:sz w:val="24"/>
          <w:szCs w:val="24"/>
          <w:lang w:eastAsia="zh-CN"/>
        </w:rPr>
        <w:t xml:space="preserve">, Ulin RJ, Koren AT, Laragh JH, Devereux RB. Left ventricular mass change during treatment and outcome in patients with essential hypertension. </w:t>
      </w:r>
      <w:r w:rsidRPr="00AF7267">
        <w:rPr>
          <w:rFonts w:ascii="Book Antiqua" w:eastAsia="宋体" w:hAnsi="Book Antiqua" w:cs="宋体"/>
          <w:i/>
          <w:iCs/>
          <w:kern w:val="0"/>
          <w:sz w:val="24"/>
          <w:szCs w:val="24"/>
          <w:lang w:eastAsia="zh-CN"/>
        </w:rPr>
        <w:t>Am J Hypertens</w:t>
      </w:r>
      <w:r w:rsidRPr="00AF7267">
        <w:rPr>
          <w:rFonts w:ascii="Book Antiqua" w:eastAsia="宋体" w:hAnsi="Book Antiqua" w:cs="宋体"/>
          <w:kern w:val="0"/>
          <w:sz w:val="24"/>
          <w:szCs w:val="24"/>
          <w:lang w:eastAsia="zh-CN"/>
        </w:rPr>
        <w:t xml:space="preserve"> 2002; </w:t>
      </w:r>
      <w:r w:rsidRPr="00AF7267">
        <w:rPr>
          <w:rFonts w:ascii="Book Antiqua" w:eastAsia="宋体" w:hAnsi="Book Antiqua" w:cs="宋体"/>
          <w:b/>
          <w:bCs/>
          <w:kern w:val="0"/>
          <w:sz w:val="24"/>
          <w:szCs w:val="24"/>
          <w:lang w:eastAsia="zh-CN"/>
        </w:rPr>
        <w:t>15</w:t>
      </w:r>
      <w:r w:rsidRPr="00AF7267">
        <w:rPr>
          <w:rFonts w:ascii="Book Antiqua" w:eastAsia="宋体" w:hAnsi="Book Antiqua" w:cs="宋体"/>
          <w:kern w:val="0"/>
          <w:sz w:val="24"/>
          <w:szCs w:val="24"/>
          <w:lang w:eastAsia="zh-CN"/>
        </w:rPr>
        <w:t>: 1021-1028 [PMID: 12460696 DOI: 10.1016/S0895-7061(02)03061-3]</w:t>
      </w:r>
    </w:p>
    <w:p w14:paraId="1C0165DE"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88 </w:t>
      </w:r>
      <w:r w:rsidRPr="00AF7267">
        <w:rPr>
          <w:rFonts w:ascii="Book Antiqua" w:eastAsia="宋体" w:hAnsi="Book Antiqua" w:cs="宋体"/>
          <w:b/>
          <w:bCs/>
          <w:kern w:val="0"/>
          <w:sz w:val="24"/>
          <w:szCs w:val="24"/>
          <w:lang w:eastAsia="zh-CN"/>
        </w:rPr>
        <w:t>Yamazaki T</w:t>
      </w:r>
      <w:r w:rsidRPr="00AF7267">
        <w:rPr>
          <w:rFonts w:ascii="Book Antiqua" w:eastAsia="宋体" w:hAnsi="Book Antiqua" w:cs="宋体"/>
          <w:kern w:val="0"/>
          <w:sz w:val="24"/>
          <w:szCs w:val="24"/>
          <w:lang w:eastAsia="zh-CN"/>
        </w:rPr>
        <w:t xml:space="preserve">, Yazaki Y. Is there major involvement of the renin-angiotensin system in cardiac hypertrophy? </w:t>
      </w:r>
      <w:r w:rsidRPr="00AF7267">
        <w:rPr>
          <w:rFonts w:ascii="Book Antiqua" w:eastAsia="宋体" w:hAnsi="Book Antiqua" w:cs="宋体"/>
          <w:i/>
          <w:iCs/>
          <w:kern w:val="0"/>
          <w:sz w:val="24"/>
          <w:szCs w:val="24"/>
          <w:lang w:eastAsia="zh-CN"/>
        </w:rPr>
        <w:t>Circ Res</w:t>
      </w:r>
      <w:r w:rsidRPr="00AF7267">
        <w:rPr>
          <w:rFonts w:ascii="Book Antiqua" w:eastAsia="宋体" w:hAnsi="Book Antiqua" w:cs="宋体"/>
          <w:kern w:val="0"/>
          <w:sz w:val="24"/>
          <w:szCs w:val="24"/>
          <w:lang w:eastAsia="zh-CN"/>
        </w:rPr>
        <w:t xml:space="preserve"> 1997; </w:t>
      </w:r>
      <w:r w:rsidRPr="00AF7267">
        <w:rPr>
          <w:rFonts w:ascii="Book Antiqua" w:eastAsia="宋体" w:hAnsi="Book Antiqua" w:cs="宋体"/>
          <w:b/>
          <w:bCs/>
          <w:kern w:val="0"/>
          <w:sz w:val="24"/>
          <w:szCs w:val="24"/>
          <w:lang w:eastAsia="zh-CN"/>
        </w:rPr>
        <w:t>81</w:t>
      </w:r>
      <w:r w:rsidRPr="00AF7267">
        <w:rPr>
          <w:rFonts w:ascii="Book Antiqua" w:eastAsia="宋体" w:hAnsi="Book Antiqua" w:cs="宋体"/>
          <w:kern w:val="0"/>
          <w:sz w:val="24"/>
          <w:szCs w:val="24"/>
          <w:lang w:eastAsia="zh-CN"/>
        </w:rPr>
        <w:t>: 639-642 [PMID: 9351435]</w:t>
      </w:r>
    </w:p>
    <w:p w14:paraId="7CADC84A"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89 </w:t>
      </w:r>
      <w:r w:rsidRPr="00AF7267">
        <w:rPr>
          <w:rFonts w:ascii="Book Antiqua" w:eastAsia="宋体" w:hAnsi="Book Antiqua" w:cs="宋体"/>
          <w:b/>
          <w:bCs/>
          <w:kern w:val="0"/>
          <w:sz w:val="24"/>
          <w:szCs w:val="24"/>
          <w:lang w:eastAsia="zh-CN"/>
        </w:rPr>
        <w:t>Wachtell K</w:t>
      </w:r>
      <w:r w:rsidRPr="00AF7267">
        <w:rPr>
          <w:rFonts w:ascii="Book Antiqua" w:eastAsia="宋体" w:hAnsi="Book Antiqua" w:cs="宋体"/>
          <w:kern w:val="0"/>
          <w:sz w:val="24"/>
          <w:szCs w:val="24"/>
          <w:lang w:eastAsia="zh-CN"/>
        </w:rPr>
        <w:t xml:space="preserve">, Palmieri V, Olsen MH, Gerdts E, Papademetriou V, Nieminen MS, Smith G, Dahlöf B, Aurigemma GP, Devereux RB. Change in systolic left ventricular performance after 3 years of antihypertensive treatment: the Losartan Intervention for Endpoint (LIFE) Study.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2002; </w:t>
      </w:r>
      <w:r w:rsidRPr="00AF7267">
        <w:rPr>
          <w:rFonts w:ascii="Book Antiqua" w:eastAsia="宋体" w:hAnsi="Book Antiqua" w:cs="宋体"/>
          <w:b/>
          <w:bCs/>
          <w:kern w:val="0"/>
          <w:sz w:val="24"/>
          <w:szCs w:val="24"/>
          <w:lang w:eastAsia="zh-CN"/>
        </w:rPr>
        <w:t>106</w:t>
      </w:r>
      <w:r w:rsidRPr="00AF7267">
        <w:rPr>
          <w:rFonts w:ascii="Book Antiqua" w:eastAsia="宋体" w:hAnsi="Book Antiqua" w:cs="宋体"/>
          <w:kern w:val="0"/>
          <w:sz w:val="24"/>
          <w:szCs w:val="24"/>
          <w:lang w:eastAsia="zh-CN"/>
        </w:rPr>
        <w:t>: 227-232 [PMID: 12105163 DOI: 10.1161/01.CIR.0000021601.49664.2A]</w:t>
      </w:r>
    </w:p>
    <w:p w14:paraId="31E9CC80"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90 </w:t>
      </w:r>
      <w:r w:rsidRPr="00AF7267">
        <w:rPr>
          <w:rFonts w:ascii="Book Antiqua" w:eastAsia="宋体" w:hAnsi="Book Antiqua" w:cs="宋体"/>
          <w:b/>
          <w:bCs/>
          <w:kern w:val="0"/>
          <w:sz w:val="24"/>
          <w:szCs w:val="24"/>
          <w:lang w:eastAsia="zh-CN"/>
        </w:rPr>
        <w:t>Nagata K</w:t>
      </w:r>
      <w:r w:rsidRPr="00AF7267">
        <w:rPr>
          <w:rFonts w:ascii="Book Antiqua" w:eastAsia="宋体" w:hAnsi="Book Antiqua" w:cs="宋体"/>
          <w:kern w:val="0"/>
          <w:sz w:val="24"/>
          <w:szCs w:val="24"/>
          <w:lang w:eastAsia="zh-CN"/>
        </w:rPr>
        <w:t xml:space="preserve">, Obata K, Xu J, Ichihara S, Noda A, Kimata H, Kato T, Izawa H, Murohara T, Yokota M. Mineralocorticoid receptor antagonism attenuates cardiac hypertrophy and failure in low-aldosterone hypertensive rats.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2006; </w:t>
      </w:r>
      <w:r w:rsidRPr="00AF7267">
        <w:rPr>
          <w:rFonts w:ascii="Book Antiqua" w:eastAsia="宋体" w:hAnsi="Book Antiqua" w:cs="宋体"/>
          <w:b/>
          <w:bCs/>
          <w:kern w:val="0"/>
          <w:sz w:val="24"/>
          <w:szCs w:val="24"/>
          <w:lang w:eastAsia="zh-CN"/>
        </w:rPr>
        <w:t>47</w:t>
      </w:r>
      <w:r w:rsidRPr="00AF7267">
        <w:rPr>
          <w:rFonts w:ascii="Book Antiqua" w:eastAsia="宋体" w:hAnsi="Book Antiqua" w:cs="宋体"/>
          <w:kern w:val="0"/>
          <w:sz w:val="24"/>
          <w:szCs w:val="24"/>
          <w:lang w:eastAsia="zh-CN"/>
        </w:rPr>
        <w:t>: 656-664 [PMID: 16505208 DOI: 10.1161/01.HYP.0000203772.78696.67]</w:t>
      </w:r>
    </w:p>
    <w:p w14:paraId="71570983"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91 </w:t>
      </w:r>
      <w:r w:rsidRPr="00AF7267">
        <w:rPr>
          <w:rFonts w:ascii="Book Antiqua" w:eastAsia="宋体" w:hAnsi="Book Antiqua" w:cs="宋体"/>
          <w:b/>
          <w:bCs/>
          <w:kern w:val="0"/>
          <w:sz w:val="24"/>
          <w:szCs w:val="24"/>
          <w:lang w:eastAsia="zh-CN"/>
        </w:rPr>
        <w:t>Gottdiener JS</w:t>
      </w:r>
      <w:r w:rsidRPr="00AF7267">
        <w:rPr>
          <w:rFonts w:ascii="Book Antiqua" w:eastAsia="宋体" w:hAnsi="Book Antiqua" w:cs="宋体"/>
          <w:kern w:val="0"/>
          <w:sz w:val="24"/>
          <w:szCs w:val="24"/>
          <w:lang w:eastAsia="zh-CN"/>
        </w:rPr>
        <w:t xml:space="preserve">, Reda DJ, Massie BM, Materson BJ, Williams DW, Anderson RJ. Effect of single-drug therapy on reduction of left ventricular mass in mild to moderate hypertension: comparison of six antihypertensive agents. The Department of Veterans Affairs Cooperative Study Group on Antihypertensive Agents.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1997; </w:t>
      </w:r>
      <w:r w:rsidRPr="00AF7267">
        <w:rPr>
          <w:rFonts w:ascii="Book Antiqua" w:eastAsia="宋体" w:hAnsi="Book Antiqua" w:cs="宋体"/>
          <w:b/>
          <w:bCs/>
          <w:kern w:val="0"/>
          <w:sz w:val="24"/>
          <w:szCs w:val="24"/>
          <w:lang w:eastAsia="zh-CN"/>
        </w:rPr>
        <w:t>95</w:t>
      </w:r>
      <w:r w:rsidRPr="00AF7267">
        <w:rPr>
          <w:rFonts w:ascii="Book Antiqua" w:eastAsia="宋体" w:hAnsi="Book Antiqua" w:cs="宋体"/>
          <w:kern w:val="0"/>
          <w:sz w:val="24"/>
          <w:szCs w:val="24"/>
          <w:lang w:eastAsia="zh-CN"/>
        </w:rPr>
        <w:t>: 2007-2014 [PMID: 9133508 DOI: 10.1161/01.CIR.95.8.2007]</w:t>
      </w:r>
    </w:p>
    <w:p w14:paraId="3314DD94"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92 </w:t>
      </w:r>
      <w:r w:rsidRPr="00AF7267">
        <w:rPr>
          <w:rFonts w:ascii="Book Antiqua" w:eastAsia="宋体" w:hAnsi="Book Antiqua" w:cs="宋体"/>
          <w:b/>
          <w:bCs/>
          <w:kern w:val="0"/>
          <w:sz w:val="24"/>
          <w:szCs w:val="24"/>
          <w:lang w:eastAsia="zh-CN"/>
        </w:rPr>
        <w:t>Ray KK</w:t>
      </w:r>
      <w:r w:rsidRPr="00AF7267">
        <w:rPr>
          <w:rFonts w:ascii="Book Antiqua" w:eastAsia="宋体" w:hAnsi="Book Antiqua" w:cs="宋体"/>
          <w:kern w:val="0"/>
          <w:sz w:val="24"/>
          <w:szCs w:val="24"/>
          <w:lang w:eastAsia="zh-CN"/>
        </w:rPr>
        <w:t xml:space="preserve">, Cannon CP. Early time to benefit with intensive statin treatment: could it be the pleiotropic effects? </w:t>
      </w:r>
      <w:r w:rsidRPr="00AF7267">
        <w:rPr>
          <w:rFonts w:ascii="Book Antiqua" w:eastAsia="宋体" w:hAnsi="Book Antiqua" w:cs="宋体"/>
          <w:i/>
          <w:iCs/>
          <w:kern w:val="0"/>
          <w:sz w:val="24"/>
          <w:szCs w:val="24"/>
          <w:lang w:eastAsia="zh-CN"/>
        </w:rPr>
        <w:t>Am J Cardiol</w:t>
      </w:r>
      <w:r w:rsidRPr="00AF7267">
        <w:rPr>
          <w:rFonts w:ascii="Book Antiqua" w:eastAsia="宋体" w:hAnsi="Book Antiqua" w:cs="宋体"/>
          <w:kern w:val="0"/>
          <w:sz w:val="24"/>
          <w:szCs w:val="24"/>
          <w:lang w:eastAsia="zh-CN"/>
        </w:rPr>
        <w:t xml:space="preserve"> 2005; </w:t>
      </w:r>
      <w:r w:rsidRPr="00AF7267">
        <w:rPr>
          <w:rFonts w:ascii="Book Antiqua" w:eastAsia="宋体" w:hAnsi="Book Antiqua" w:cs="宋体"/>
          <w:b/>
          <w:bCs/>
          <w:kern w:val="0"/>
          <w:sz w:val="24"/>
          <w:szCs w:val="24"/>
          <w:lang w:eastAsia="zh-CN"/>
        </w:rPr>
        <w:t>96</w:t>
      </w:r>
      <w:r w:rsidRPr="00AF7267">
        <w:rPr>
          <w:rFonts w:ascii="Book Antiqua" w:eastAsia="宋体" w:hAnsi="Book Antiqua" w:cs="宋体"/>
          <w:kern w:val="0"/>
          <w:sz w:val="24"/>
          <w:szCs w:val="24"/>
          <w:lang w:eastAsia="zh-CN"/>
        </w:rPr>
        <w:t>: 54F-60F [PMID: 16126024 DOI: 10.1016/j.amjcard.2005.06.027]</w:t>
      </w:r>
    </w:p>
    <w:p w14:paraId="42853B53"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93 </w:t>
      </w:r>
      <w:r w:rsidRPr="00AF7267">
        <w:rPr>
          <w:rFonts w:ascii="Book Antiqua" w:eastAsia="宋体" w:hAnsi="Book Antiqua" w:cs="宋体"/>
          <w:b/>
          <w:bCs/>
          <w:kern w:val="0"/>
          <w:sz w:val="24"/>
          <w:szCs w:val="24"/>
          <w:lang w:eastAsia="zh-CN"/>
        </w:rPr>
        <w:t>Chang SA</w:t>
      </w:r>
      <w:r w:rsidRPr="00AF7267">
        <w:rPr>
          <w:rFonts w:ascii="Book Antiqua" w:eastAsia="宋体" w:hAnsi="Book Antiqua" w:cs="宋体"/>
          <w:kern w:val="0"/>
          <w:sz w:val="24"/>
          <w:szCs w:val="24"/>
          <w:lang w:eastAsia="zh-CN"/>
        </w:rPr>
        <w:t xml:space="preserve">, Kim YJ, Lee HW, Kim DH, Kim HK, Chang HJ, Sohn DW, Oh BH, Park YB. Effect of rosuvastatin on cardiac remodeling, function, and progression to heart failure in hypertensive heart with established left ventricular hypertrophy. </w:t>
      </w:r>
      <w:r w:rsidRPr="00AF7267">
        <w:rPr>
          <w:rFonts w:ascii="Book Antiqua" w:eastAsia="宋体" w:hAnsi="Book Antiqua" w:cs="宋体"/>
          <w:i/>
          <w:iCs/>
          <w:kern w:val="0"/>
          <w:sz w:val="24"/>
          <w:szCs w:val="24"/>
          <w:lang w:eastAsia="zh-CN"/>
        </w:rPr>
        <w:t>Hypertension</w:t>
      </w:r>
      <w:r w:rsidRPr="00AF7267">
        <w:rPr>
          <w:rFonts w:ascii="Book Antiqua" w:eastAsia="宋体" w:hAnsi="Book Antiqua" w:cs="宋体"/>
          <w:kern w:val="0"/>
          <w:sz w:val="24"/>
          <w:szCs w:val="24"/>
          <w:lang w:eastAsia="zh-CN"/>
        </w:rPr>
        <w:t xml:space="preserve"> 2009; </w:t>
      </w:r>
      <w:r w:rsidRPr="00AF7267">
        <w:rPr>
          <w:rFonts w:ascii="Book Antiqua" w:eastAsia="宋体" w:hAnsi="Book Antiqua" w:cs="宋体"/>
          <w:b/>
          <w:bCs/>
          <w:kern w:val="0"/>
          <w:sz w:val="24"/>
          <w:szCs w:val="24"/>
          <w:lang w:eastAsia="zh-CN"/>
        </w:rPr>
        <w:t>54</w:t>
      </w:r>
      <w:r w:rsidRPr="00AF7267">
        <w:rPr>
          <w:rFonts w:ascii="Book Antiqua" w:eastAsia="宋体" w:hAnsi="Book Antiqua" w:cs="宋体"/>
          <w:kern w:val="0"/>
          <w:sz w:val="24"/>
          <w:szCs w:val="24"/>
          <w:lang w:eastAsia="zh-CN"/>
        </w:rPr>
        <w:t>: 591-597 [PMID: 19564547 DOI: 10.1161/HYPERTENSIONAHA.109.131243]</w:t>
      </w:r>
    </w:p>
    <w:p w14:paraId="0C41C0B6"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94 </w:t>
      </w:r>
      <w:r w:rsidRPr="00AF7267">
        <w:rPr>
          <w:rFonts w:ascii="Book Antiqua" w:eastAsia="宋体" w:hAnsi="Book Antiqua" w:cs="宋体"/>
          <w:b/>
          <w:bCs/>
          <w:kern w:val="0"/>
          <w:sz w:val="24"/>
          <w:szCs w:val="24"/>
          <w:lang w:eastAsia="zh-CN"/>
        </w:rPr>
        <w:t>Saka M</w:t>
      </w:r>
      <w:r w:rsidRPr="00AF7267">
        <w:rPr>
          <w:rFonts w:ascii="Book Antiqua" w:eastAsia="宋体" w:hAnsi="Book Antiqua" w:cs="宋体"/>
          <w:kern w:val="0"/>
          <w:sz w:val="24"/>
          <w:szCs w:val="24"/>
          <w:lang w:eastAsia="zh-CN"/>
        </w:rPr>
        <w:t xml:space="preserve">, Obata K, Ichihara S, Cheng XW, Kimata H, Noda A, Izawa H, Nagata K, Yokota M. Attenuation of ventricular hypertrophy and fibrosis in rats by pitavastatin: potential role of the RhoA-extracellular signal-regulated kinase-serum response factor signalling pathway. </w:t>
      </w:r>
      <w:r w:rsidRPr="00AF7267">
        <w:rPr>
          <w:rFonts w:ascii="Book Antiqua" w:eastAsia="宋体" w:hAnsi="Book Antiqua" w:cs="宋体"/>
          <w:i/>
          <w:iCs/>
          <w:kern w:val="0"/>
          <w:sz w:val="24"/>
          <w:szCs w:val="24"/>
          <w:lang w:eastAsia="zh-CN"/>
        </w:rPr>
        <w:t>Clin Exp Pharmacol Physiol</w:t>
      </w:r>
      <w:r w:rsidRPr="00AF7267">
        <w:rPr>
          <w:rFonts w:ascii="Book Antiqua" w:eastAsia="宋体" w:hAnsi="Book Antiqua" w:cs="宋体"/>
          <w:kern w:val="0"/>
          <w:sz w:val="24"/>
          <w:szCs w:val="24"/>
          <w:lang w:eastAsia="zh-CN"/>
        </w:rPr>
        <w:t xml:space="preserve"> 2006; </w:t>
      </w:r>
      <w:r w:rsidRPr="00AF7267">
        <w:rPr>
          <w:rFonts w:ascii="Book Antiqua" w:eastAsia="宋体" w:hAnsi="Book Antiqua" w:cs="宋体"/>
          <w:b/>
          <w:bCs/>
          <w:kern w:val="0"/>
          <w:sz w:val="24"/>
          <w:szCs w:val="24"/>
          <w:lang w:eastAsia="zh-CN"/>
        </w:rPr>
        <w:t>33</w:t>
      </w:r>
      <w:r w:rsidRPr="00AF7267">
        <w:rPr>
          <w:rFonts w:ascii="Book Antiqua" w:eastAsia="宋体" w:hAnsi="Book Antiqua" w:cs="宋体"/>
          <w:kern w:val="0"/>
          <w:sz w:val="24"/>
          <w:szCs w:val="24"/>
          <w:lang w:eastAsia="zh-CN"/>
        </w:rPr>
        <w:t>: 1164-1171 [PMID: 17184496 DOI: 10.1111/j.1440-1681.2006.04508.x]</w:t>
      </w:r>
    </w:p>
    <w:p w14:paraId="518ACCA0" w14:textId="4EAF643D"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95 </w:t>
      </w:r>
      <w:r w:rsidRPr="00AF7267">
        <w:rPr>
          <w:rFonts w:ascii="Book Antiqua" w:eastAsia="宋体" w:hAnsi="Book Antiqua" w:cs="宋体"/>
          <w:b/>
          <w:bCs/>
          <w:kern w:val="0"/>
          <w:sz w:val="24"/>
          <w:szCs w:val="24"/>
          <w:lang w:eastAsia="zh-CN"/>
        </w:rPr>
        <w:t>Levy D</w:t>
      </w:r>
      <w:r w:rsidRPr="00AF7267">
        <w:rPr>
          <w:rFonts w:ascii="Book Antiqua" w:eastAsia="宋体" w:hAnsi="Book Antiqua" w:cs="宋体"/>
          <w:kern w:val="0"/>
          <w:sz w:val="24"/>
          <w:szCs w:val="24"/>
          <w:lang w:eastAsia="zh-CN"/>
        </w:rPr>
        <w:t xml:space="preserve">, Salomon M, D'Agostino RB, Belanger AJ, Kannel WB. Prognostic implications of baseline electrocardiographic features and their serial changes in subjects with left ventricular hypertrophy. </w:t>
      </w:r>
      <w:r w:rsidRPr="00AF7267">
        <w:rPr>
          <w:rFonts w:ascii="Book Antiqua" w:eastAsia="宋体" w:hAnsi="Book Antiqua" w:cs="宋体"/>
          <w:i/>
          <w:iCs/>
          <w:kern w:val="0"/>
          <w:sz w:val="24"/>
          <w:szCs w:val="24"/>
          <w:lang w:eastAsia="zh-CN"/>
        </w:rPr>
        <w:t>Circulation</w:t>
      </w:r>
      <w:r w:rsidRPr="00AF7267">
        <w:rPr>
          <w:rFonts w:ascii="Book Antiqua" w:eastAsia="宋体" w:hAnsi="Book Antiqua" w:cs="宋体"/>
          <w:kern w:val="0"/>
          <w:sz w:val="24"/>
          <w:szCs w:val="24"/>
          <w:lang w:eastAsia="zh-CN"/>
        </w:rPr>
        <w:t xml:space="preserve"> 1994; </w:t>
      </w:r>
      <w:r w:rsidRPr="00AF7267">
        <w:rPr>
          <w:rFonts w:ascii="Book Antiqua" w:eastAsia="宋体" w:hAnsi="Book Antiqua" w:cs="宋体"/>
          <w:b/>
          <w:bCs/>
          <w:kern w:val="0"/>
          <w:sz w:val="24"/>
          <w:szCs w:val="24"/>
          <w:lang w:eastAsia="zh-CN"/>
        </w:rPr>
        <w:t>90</w:t>
      </w:r>
      <w:r w:rsidRPr="00AF7267">
        <w:rPr>
          <w:rFonts w:ascii="Book Antiqua" w:eastAsia="宋体" w:hAnsi="Book Antiqua" w:cs="宋体"/>
          <w:kern w:val="0"/>
          <w:sz w:val="24"/>
          <w:szCs w:val="24"/>
          <w:lang w:eastAsia="zh-CN"/>
        </w:rPr>
        <w:t xml:space="preserve">: 1786-1793 [PMID: 7923663 DOI: </w:t>
      </w:r>
      <w:r>
        <w:rPr>
          <w:rFonts w:ascii="Book Antiqua" w:eastAsia="宋体" w:hAnsi="Book Antiqua" w:cs="宋体" w:hint="eastAsia"/>
          <w:kern w:val="0"/>
          <w:sz w:val="24"/>
          <w:szCs w:val="24"/>
          <w:lang w:eastAsia="zh-CN"/>
        </w:rPr>
        <w:t>1</w:t>
      </w:r>
      <w:r w:rsidRPr="00AF7267">
        <w:rPr>
          <w:rFonts w:ascii="Book Antiqua" w:eastAsia="宋体" w:hAnsi="Book Antiqua" w:cs="宋体"/>
          <w:kern w:val="0"/>
          <w:sz w:val="24"/>
          <w:szCs w:val="24"/>
          <w:lang w:eastAsia="zh-CN"/>
        </w:rPr>
        <w:t>0.1111/j.1440-1681.2006.04508.x]</w:t>
      </w:r>
    </w:p>
    <w:p w14:paraId="54D8ED0A"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96 </w:t>
      </w:r>
      <w:r w:rsidRPr="00AF7267">
        <w:rPr>
          <w:rFonts w:ascii="Book Antiqua" w:eastAsia="宋体" w:hAnsi="Book Antiqua" w:cs="宋体"/>
          <w:b/>
          <w:bCs/>
          <w:kern w:val="0"/>
          <w:sz w:val="24"/>
          <w:szCs w:val="24"/>
          <w:lang w:eastAsia="zh-CN"/>
        </w:rPr>
        <w:t>Franz IW</w:t>
      </w:r>
      <w:r w:rsidRPr="00AF7267">
        <w:rPr>
          <w:rFonts w:ascii="Book Antiqua" w:eastAsia="宋体" w:hAnsi="Book Antiqua" w:cs="宋体"/>
          <w:kern w:val="0"/>
          <w:sz w:val="24"/>
          <w:szCs w:val="24"/>
          <w:lang w:eastAsia="zh-CN"/>
        </w:rPr>
        <w:t xml:space="preserve">, Tönnesmann U, Müller JF. Time course of complete normalization of left ventricular hypertrophy during long-term antihypertensive therapy with angiotensin converting enzyme inhibitors. </w:t>
      </w:r>
      <w:r w:rsidRPr="00AF7267">
        <w:rPr>
          <w:rFonts w:ascii="Book Antiqua" w:eastAsia="宋体" w:hAnsi="Book Antiqua" w:cs="宋体"/>
          <w:i/>
          <w:iCs/>
          <w:kern w:val="0"/>
          <w:sz w:val="24"/>
          <w:szCs w:val="24"/>
          <w:lang w:eastAsia="zh-CN"/>
        </w:rPr>
        <w:t>Am J Hypertens</w:t>
      </w:r>
      <w:r w:rsidRPr="00AF7267">
        <w:rPr>
          <w:rFonts w:ascii="Book Antiqua" w:eastAsia="宋体" w:hAnsi="Book Antiqua" w:cs="宋体"/>
          <w:kern w:val="0"/>
          <w:sz w:val="24"/>
          <w:szCs w:val="24"/>
          <w:lang w:eastAsia="zh-CN"/>
        </w:rPr>
        <w:t xml:space="preserve"> 1998; </w:t>
      </w:r>
      <w:r w:rsidRPr="00AF7267">
        <w:rPr>
          <w:rFonts w:ascii="Book Antiqua" w:eastAsia="宋体" w:hAnsi="Book Antiqua" w:cs="宋体"/>
          <w:b/>
          <w:bCs/>
          <w:kern w:val="0"/>
          <w:sz w:val="24"/>
          <w:szCs w:val="24"/>
          <w:lang w:eastAsia="zh-CN"/>
        </w:rPr>
        <w:t>11</w:t>
      </w:r>
      <w:r w:rsidRPr="00AF7267">
        <w:rPr>
          <w:rFonts w:ascii="Book Antiqua" w:eastAsia="宋体" w:hAnsi="Book Antiqua" w:cs="宋体"/>
          <w:kern w:val="0"/>
          <w:sz w:val="24"/>
          <w:szCs w:val="24"/>
          <w:lang w:eastAsia="zh-CN"/>
        </w:rPr>
        <w:t>: 631-639 [PMID: 9657621 DOI: 10.1016/S0985-7061(98)00024-7]</w:t>
      </w:r>
    </w:p>
    <w:p w14:paraId="210A8D73" w14:textId="77777777" w:rsidR="00AF7267" w:rsidRPr="00AF7267" w:rsidRDefault="00AF7267" w:rsidP="00AF7267">
      <w:pPr>
        <w:widowControl/>
        <w:spacing w:line="360" w:lineRule="auto"/>
        <w:rPr>
          <w:rFonts w:ascii="Book Antiqua" w:eastAsia="宋体" w:hAnsi="Book Antiqua" w:cs="宋体"/>
          <w:kern w:val="0"/>
          <w:sz w:val="24"/>
          <w:szCs w:val="24"/>
          <w:lang w:eastAsia="zh-CN"/>
        </w:rPr>
      </w:pPr>
      <w:r w:rsidRPr="00AF7267">
        <w:rPr>
          <w:rFonts w:ascii="Book Antiqua" w:eastAsia="宋体" w:hAnsi="Book Antiqua" w:cs="宋体"/>
          <w:kern w:val="0"/>
          <w:sz w:val="24"/>
          <w:szCs w:val="24"/>
          <w:lang w:eastAsia="zh-CN"/>
        </w:rPr>
        <w:t xml:space="preserve">97 </w:t>
      </w:r>
      <w:r w:rsidRPr="00AF7267">
        <w:rPr>
          <w:rFonts w:ascii="Book Antiqua" w:eastAsia="宋体" w:hAnsi="Book Antiqua" w:cs="宋体"/>
          <w:b/>
          <w:bCs/>
          <w:kern w:val="0"/>
          <w:sz w:val="24"/>
          <w:szCs w:val="24"/>
          <w:lang w:eastAsia="zh-CN"/>
        </w:rPr>
        <w:t>Klingbeil AU</w:t>
      </w:r>
      <w:r w:rsidRPr="00AF7267">
        <w:rPr>
          <w:rFonts w:ascii="Book Antiqua" w:eastAsia="宋体" w:hAnsi="Book Antiqua" w:cs="宋体"/>
          <w:kern w:val="0"/>
          <w:sz w:val="24"/>
          <w:szCs w:val="24"/>
          <w:lang w:eastAsia="zh-CN"/>
        </w:rPr>
        <w:t xml:space="preserve">, Schneider M, Martus P, Messerli FH, Schmieder RE. A meta-analysis of the effects of treatment on left ventricular mass in essential hypertension. </w:t>
      </w:r>
      <w:r w:rsidRPr="00AF7267">
        <w:rPr>
          <w:rFonts w:ascii="Book Antiqua" w:eastAsia="宋体" w:hAnsi="Book Antiqua" w:cs="宋体"/>
          <w:i/>
          <w:iCs/>
          <w:kern w:val="0"/>
          <w:sz w:val="24"/>
          <w:szCs w:val="24"/>
          <w:lang w:eastAsia="zh-CN"/>
        </w:rPr>
        <w:t>Am J Med</w:t>
      </w:r>
      <w:r w:rsidRPr="00AF7267">
        <w:rPr>
          <w:rFonts w:ascii="Book Antiqua" w:eastAsia="宋体" w:hAnsi="Book Antiqua" w:cs="宋体"/>
          <w:kern w:val="0"/>
          <w:sz w:val="24"/>
          <w:szCs w:val="24"/>
          <w:lang w:eastAsia="zh-CN"/>
        </w:rPr>
        <w:t xml:space="preserve"> 2003; </w:t>
      </w:r>
      <w:r w:rsidRPr="00AF7267">
        <w:rPr>
          <w:rFonts w:ascii="Book Antiqua" w:eastAsia="宋体" w:hAnsi="Book Antiqua" w:cs="宋体"/>
          <w:b/>
          <w:bCs/>
          <w:kern w:val="0"/>
          <w:sz w:val="24"/>
          <w:szCs w:val="24"/>
          <w:lang w:eastAsia="zh-CN"/>
        </w:rPr>
        <w:t>115</w:t>
      </w:r>
      <w:r w:rsidRPr="00AF7267">
        <w:rPr>
          <w:rFonts w:ascii="Book Antiqua" w:eastAsia="宋体" w:hAnsi="Book Antiqua" w:cs="宋体"/>
          <w:kern w:val="0"/>
          <w:sz w:val="24"/>
          <w:szCs w:val="24"/>
          <w:lang w:eastAsia="zh-CN"/>
        </w:rPr>
        <w:t>: 41-46 [PMID: 12867233 DOI: 10.1016/S0002-9343(03)00158-X]</w:t>
      </w:r>
    </w:p>
    <w:p w14:paraId="06DBD695" w14:textId="77777777" w:rsidR="003327C7" w:rsidRPr="00AF7267" w:rsidRDefault="003327C7" w:rsidP="00AF7267">
      <w:pPr>
        <w:widowControl/>
        <w:spacing w:line="360" w:lineRule="auto"/>
        <w:rPr>
          <w:rFonts w:ascii="Book Antiqua" w:eastAsia="宋体" w:hAnsi="Book Antiqua" w:cs="Times New Roman"/>
          <w:b/>
          <w:sz w:val="24"/>
          <w:szCs w:val="24"/>
          <w:lang w:eastAsia="zh-CN"/>
        </w:rPr>
      </w:pPr>
    </w:p>
    <w:p w14:paraId="0255AA6F" w14:textId="281039E8" w:rsidR="003327C7" w:rsidRPr="00AF7267" w:rsidRDefault="003327C7" w:rsidP="00AF7267">
      <w:pPr>
        <w:pStyle w:val="PlainText"/>
        <w:spacing w:line="360" w:lineRule="auto"/>
        <w:jc w:val="right"/>
        <w:rPr>
          <w:rFonts w:ascii="Book Antiqua" w:hAnsi="Book Antiqua"/>
          <w:b/>
          <w:sz w:val="24"/>
          <w:szCs w:val="24"/>
        </w:rPr>
      </w:pPr>
      <w:r w:rsidRPr="00AF7267">
        <w:rPr>
          <w:rFonts w:ascii="Book Antiqua" w:hAnsi="Book Antiqua"/>
          <w:b/>
          <w:sz w:val="24"/>
          <w:szCs w:val="24"/>
        </w:rPr>
        <w:t xml:space="preserve">P-Reviewer: </w:t>
      </w:r>
      <w:r w:rsidRPr="00AF7267">
        <w:rPr>
          <w:rFonts w:ascii="Book Antiqua" w:hAnsi="Book Antiqua" w:cs="Tahoma"/>
          <w:color w:val="000000"/>
          <w:sz w:val="24"/>
          <w:szCs w:val="24"/>
          <w:shd w:val="clear" w:color="auto" w:fill="FFFFFF"/>
        </w:rPr>
        <w:t xml:space="preserve">Pontremoli R, Tan XR, Turgut O, Zielinski T </w:t>
      </w:r>
      <w:r w:rsidRPr="00AF7267">
        <w:rPr>
          <w:rFonts w:ascii="Book Antiqua" w:hAnsi="Book Antiqua"/>
          <w:b/>
          <w:sz w:val="24"/>
          <w:szCs w:val="24"/>
        </w:rPr>
        <w:t xml:space="preserve">S-Editor: </w:t>
      </w:r>
      <w:r w:rsidRPr="00AF7267">
        <w:rPr>
          <w:rFonts w:ascii="Book Antiqua" w:hAnsi="Book Antiqua"/>
          <w:sz w:val="24"/>
          <w:szCs w:val="24"/>
        </w:rPr>
        <w:t>Ji FF</w:t>
      </w:r>
      <w:r w:rsidRPr="00AF7267">
        <w:rPr>
          <w:rFonts w:ascii="Book Antiqua" w:hAnsi="Book Antiqua"/>
          <w:b/>
          <w:sz w:val="24"/>
          <w:szCs w:val="24"/>
        </w:rPr>
        <w:t xml:space="preserve"> L-Editor: E-Editor:</w:t>
      </w:r>
    </w:p>
    <w:p w14:paraId="3AC3BDD0" w14:textId="77777777" w:rsidR="003327C7" w:rsidRPr="003327C7" w:rsidRDefault="003327C7" w:rsidP="003327C7">
      <w:pPr>
        <w:widowControl/>
        <w:spacing w:line="360" w:lineRule="auto"/>
        <w:rPr>
          <w:rFonts w:ascii="Book Antiqua" w:eastAsia="宋体" w:hAnsi="Book Antiqua" w:cs="Times New Roman"/>
          <w:noProof/>
          <w:sz w:val="24"/>
          <w:szCs w:val="24"/>
          <w:lang w:eastAsia="zh-CN"/>
        </w:rPr>
      </w:pPr>
    </w:p>
    <w:p w14:paraId="6F8D552C" w14:textId="77777777"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sz w:val="24"/>
          <w:szCs w:val="24"/>
        </w:rPr>
        <w:br w:type="page"/>
      </w:r>
    </w:p>
    <w:p w14:paraId="31F6BE22"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4D7F41BF" wp14:editId="260A2CB5">
            <wp:extent cx="5400675" cy="3848100"/>
            <wp:effectExtent l="0" t="0" r="0" b="0"/>
            <wp:docPr id="9" name="図 9" descr="スクリーンショット 2014-12-26 01.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スクリーンショット 2014-12-26 01.55.26.png"/>
                    <pic:cNvPicPr>
                      <a:picLocks noChangeAspect="1" noChangeArrowheads="1"/>
                    </pic:cNvPicPr>
                  </pic:nvPicPr>
                  <pic:blipFill>
                    <a:blip r:embed="rId9">
                      <a:extLst>
                        <a:ext uri="{28A0092B-C50C-407E-A947-70E740481C1C}">
                          <a14:useLocalDpi xmlns:a14="http://schemas.microsoft.com/office/drawing/2010/main" val="0"/>
                        </a:ext>
                      </a:extLst>
                    </a:blip>
                    <a:srcRect b="17998"/>
                    <a:stretch>
                      <a:fillRect/>
                    </a:stretch>
                  </pic:blipFill>
                  <pic:spPr bwMode="auto">
                    <a:xfrm>
                      <a:off x="0" y="0"/>
                      <a:ext cx="5400675" cy="3848100"/>
                    </a:xfrm>
                    <a:prstGeom prst="rect">
                      <a:avLst/>
                    </a:prstGeom>
                    <a:noFill/>
                    <a:ln>
                      <a:noFill/>
                    </a:ln>
                  </pic:spPr>
                </pic:pic>
              </a:graphicData>
            </a:graphic>
          </wp:inline>
        </w:drawing>
      </w:r>
    </w:p>
    <w:p w14:paraId="0173C769" w14:textId="30773FEF" w:rsidR="003327C7" w:rsidRPr="003327C7" w:rsidRDefault="003E0ED4" w:rsidP="003327C7">
      <w:pPr>
        <w:widowControl/>
        <w:spacing w:line="360" w:lineRule="auto"/>
        <w:rPr>
          <w:rFonts w:ascii="Book Antiqua" w:eastAsia="MS Mincho" w:hAnsi="Book Antiqua" w:cs="Times New Roman"/>
          <w:sz w:val="24"/>
          <w:szCs w:val="24"/>
        </w:rPr>
      </w:pPr>
      <w:r w:rsidRPr="003327C7">
        <w:rPr>
          <w:rFonts w:ascii="Book Antiqua" w:eastAsia="MS Mincho" w:hAnsi="Book Antiqua" w:cs="Times New Roman"/>
          <w:b/>
          <w:sz w:val="24"/>
          <w:szCs w:val="24"/>
        </w:rPr>
        <w:t xml:space="preserve">Figure 1 The Laplace law and how it may explain the development of concentric and eccentric </w:t>
      </w:r>
      <w:r w:rsidR="003327C7" w:rsidRPr="003327C7">
        <w:rPr>
          <w:rFonts w:ascii="Book Antiqua" w:hAnsi="Book Antiqua"/>
          <w:b/>
          <w:sz w:val="24"/>
          <w:szCs w:val="24"/>
        </w:rPr>
        <w:t>left ventricular hypertrophy</w:t>
      </w:r>
      <w:r w:rsidRPr="003327C7">
        <w:rPr>
          <w:rFonts w:ascii="Book Antiqua" w:eastAsia="MS Mincho" w:hAnsi="Book Antiqua" w:cs="Times New Roman"/>
          <w:b/>
          <w:sz w:val="24"/>
          <w:szCs w:val="24"/>
        </w:rPr>
        <w:t xml:space="preserve"> in response to pressure and volume overload, respectively.</w:t>
      </w:r>
      <w:r w:rsidRPr="00695E23">
        <w:rPr>
          <w:rFonts w:ascii="Book Antiqua" w:eastAsia="MS Mincho" w:hAnsi="Book Antiqua" w:cs="Times New Roman"/>
          <w:sz w:val="24"/>
          <w:szCs w:val="24"/>
        </w:rPr>
        <w:t xml:space="preserve"> </w:t>
      </w:r>
      <w:r w:rsidR="003327C7" w:rsidRPr="00695E23">
        <w:rPr>
          <w:rFonts w:ascii="Book Antiqua" w:eastAsia="MS Mincho" w:hAnsi="Book Antiqua" w:cs="Times New Roman"/>
          <w:sz w:val="24"/>
          <w:szCs w:val="24"/>
        </w:rPr>
        <w:t>Reproduced from Nadruz and Hum</w:t>
      </w:r>
      <w:r w:rsidR="003327C7" w:rsidRPr="00695E23">
        <w:rPr>
          <w:rFonts w:ascii="Book Antiqua" w:eastAsia="MS Mincho" w:hAnsi="Book Antiqua" w:cs="Times New Roman"/>
          <w:sz w:val="24"/>
          <w:szCs w:val="24"/>
          <w:vertAlign w:val="superscript"/>
        </w:rPr>
        <w:t>[2]</w:t>
      </w:r>
      <w:r w:rsidR="003327C7" w:rsidRPr="00695E23">
        <w:rPr>
          <w:rFonts w:ascii="Book Antiqua" w:eastAsia="MS Mincho" w:hAnsi="Book Antiqua" w:cs="Times New Roman"/>
          <w:sz w:val="24"/>
          <w:szCs w:val="24"/>
        </w:rPr>
        <w:t>, 2015; Frolich and Susic</w:t>
      </w:r>
      <w:r w:rsidR="003327C7" w:rsidRPr="00695E23">
        <w:rPr>
          <w:rFonts w:ascii="Book Antiqua" w:eastAsia="MS Mincho" w:hAnsi="Book Antiqua" w:cs="Times New Roman"/>
          <w:sz w:val="24"/>
          <w:szCs w:val="24"/>
          <w:vertAlign w:val="superscript"/>
        </w:rPr>
        <w:t>[29]</w:t>
      </w:r>
      <w:r w:rsidR="003327C7" w:rsidRPr="00695E23">
        <w:rPr>
          <w:rFonts w:ascii="Book Antiqua" w:eastAsia="MS Mincho" w:hAnsi="Book Antiqua" w:cs="Times New Roman"/>
          <w:sz w:val="24"/>
          <w:szCs w:val="24"/>
        </w:rPr>
        <w:t>, 2012</w:t>
      </w:r>
      <w:r w:rsidR="003327C7">
        <w:rPr>
          <w:rFonts w:ascii="Book Antiqua" w:eastAsia="宋体" w:hAnsi="Book Antiqua" w:cs="Times New Roman" w:hint="eastAsia"/>
          <w:sz w:val="24"/>
          <w:szCs w:val="24"/>
          <w:lang w:eastAsia="zh-CN"/>
        </w:rPr>
        <w:t>.</w:t>
      </w:r>
      <w:r w:rsidR="003327C7" w:rsidRPr="003327C7">
        <w:rPr>
          <w:rFonts w:ascii="Book Antiqua" w:eastAsia="MS Mincho" w:hAnsi="Book Antiqua" w:cs="Times New Roman"/>
          <w:sz w:val="24"/>
          <w:szCs w:val="24"/>
        </w:rPr>
        <w:t xml:space="preserve"> </w:t>
      </w:r>
      <w:r w:rsidR="003327C7" w:rsidRPr="00695E23">
        <w:rPr>
          <w:rFonts w:ascii="Book Antiqua" w:eastAsia="MS Mincho" w:hAnsi="Book Antiqua" w:cs="Times New Roman"/>
          <w:sz w:val="24"/>
          <w:szCs w:val="24"/>
        </w:rPr>
        <w:t>T</w:t>
      </w:r>
      <w:r w:rsidR="003327C7">
        <w:rPr>
          <w:rFonts w:ascii="Book Antiqua" w:eastAsia="宋体" w:hAnsi="Book Antiqua" w:cs="Times New Roman" w:hint="eastAsia"/>
          <w:sz w:val="24"/>
          <w:szCs w:val="24"/>
          <w:lang w:eastAsia="zh-CN"/>
        </w:rPr>
        <w:t>:</w:t>
      </w:r>
      <w:r w:rsidR="003327C7" w:rsidRPr="00695E23">
        <w:rPr>
          <w:rFonts w:ascii="Book Antiqua" w:eastAsia="MS Mincho" w:hAnsi="Book Antiqua" w:cs="Times New Roman"/>
          <w:sz w:val="24"/>
          <w:szCs w:val="24"/>
        </w:rPr>
        <w:t xml:space="preserve"> Tension or stress in the LV wall; P</w:t>
      </w:r>
      <w:r w:rsidR="003327C7">
        <w:rPr>
          <w:rFonts w:ascii="Book Antiqua" w:eastAsia="宋体" w:hAnsi="Book Antiqua" w:cs="Times New Roman" w:hint="eastAsia"/>
          <w:sz w:val="24"/>
          <w:szCs w:val="24"/>
          <w:lang w:eastAsia="zh-CN"/>
        </w:rPr>
        <w:t>:</w:t>
      </w:r>
      <w:r w:rsidR="003327C7" w:rsidRPr="00695E23">
        <w:rPr>
          <w:rFonts w:ascii="Book Antiqua" w:eastAsia="MS Mincho" w:hAnsi="Book Antiqua" w:cs="Times New Roman"/>
          <w:sz w:val="24"/>
          <w:szCs w:val="24"/>
        </w:rPr>
        <w:t xml:space="preserve"> LV pressure; r</w:t>
      </w:r>
      <w:r w:rsidR="003327C7">
        <w:rPr>
          <w:rFonts w:ascii="Book Antiqua" w:eastAsia="宋体" w:hAnsi="Book Antiqua" w:cs="Times New Roman" w:hint="eastAsia"/>
          <w:sz w:val="24"/>
          <w:szCs w:val="24"/>
          <w:lang w:eastAsia="zh-CN"/>
        </w:rPr>
        <w:t>:</w:t>
      </w:r>
      <w:r w:rsidR="003327C7" w:rsidRPr="00695E23">
        <w:rPr>
          <w:rFonts w:ascii="Book Antiqua" w:eastAsia="MS Mincho" w:hAnsi="Book Antiqua" w:cs="Times New Roman"/>
          <w:sz w:val="24"/>
          <w:szCs w:val="24"/>
        </w:rPr>
        <w:t xml:space="preserve"> Radius of the chamber; h</w:t>
      </w:r>
      <w:r w:rsidR="003327C7">
        <w:rPr>
          <w:rFonts w:ascii="Book Antiqua" w:eastAsia="宋体" w:hAnsi="Book Antiqua" w:cs="Times New Roman" w:hint="eastAsia"/>
          <w:sz w:val="24"/>
          <w:szCs w:val="24"/>
          <w:lang w:eastAsia="zh-CN"/>
        </w:rPr>
        <w:t>:</w:t>
      </w:r>
      <w:r w:rsidR="003327C7" w:rsidRPr="00695E23">
        <w:rPr>
          <w:rFonts w:ascii="Book Antiqua" w:eastAsia="MS Mincho" w:hAnsi="Book Antiqua" w:cs="Times New Roman"/>
          <w:sz w:val="24"/>
          <w:szCs w:val="24"/>
        </w:rPr>
        <w:t xml:space="preserve"> LV wall thickness.</w:t>
      </w:r>
    </w:p>
    <w:p w14:paraId="5A01381D" w14:textId="49AFCCE9"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sz w:val="24"/>
          <w:szCs w:val="24"/>
        </w:rPr>
        <w:br w:type="page"/>
      </w:r>
    </w:p>
    <w:p w14:paraId="7BD299BB"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6F61D9F1" wp14:editId="17F2E99D">
            <wp:extent cx="5400675" cy="2695575"/>
            <wp:effectExtent l="0" t="0" r="0" b="0"/>
            <wp:docPr id="8" name="図 8" descr="スクリーンショット 2014-12-26 02.3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スクリーンショット 2014-12-26 02.35.45.png"/>
                    <pic:cNvPicPr>
                      <a:picLocks noChangeAspect="1" noChangeArrowheads="1"/>
                    </pic:cNvPicPr>
                  </pic:nvPicPr>
                  <pic:blipFill>
                    <a:blip r:embed="rId10">
                      <a:extLst>
                        <a:ext uri="{28A0092B-C50C-407E-A947-70E740481C1C}">
                          <a14:useLocalDpi xmlns:a14="http://schemas.microsoft.com/office/drawing/2010/main" val="0"/>
                        </a:ext>
                      </a:extLst>
                    </a:blip>
                    <a:srcRect b="5145"/>
                    <a:stretch>
                      <a:fillRect/>
                    </a:stretch>
                  </pic:blipFill>
                  <pic:spPr bwMode="auto">
                    <a:xfrm>
                      <a:off x="0" y="0"/>
                      <a:ext cx="5400675" cy="2695575"/>
                    </a:xfrm>
                    <a:prstGeom prst="rect">
                      <a:avLst/>
                    </a:prstGeom>
                    <a:noFill/>
                    <a:ln>
                      <a:noFill/>
                    </a:ln>
                  </pic:spPr>
                </pic:pic>
              </a:graphicData>
            </a:graphic>
          </wp:inline>
        </w:drawing>
      </w:r>
    </w:p>
    <w:p w14:paraId="36475947" w14:textId="763D7343" w:rsidR="003E0ED4" w:rsidRPr="003327C7" w:rsidRDefault="003E0ED4" w:rsidP="00695E23">
      <w:pPr>
        <w:widowControl/>
        <w:spacing w:line="360" w:lineRule="auto"/>
        <w:rPr>
          <w:rFonts w:ascii="Book Antiqua" w:eastAsia="宋体" w:hAnsi="Book Antiqua" w:cs="Times New Roman"/>
          <w:sz w:val="24"/>
          <w:szCs w:val="24"/>
          <w:lang w:eastAsia="zh-CN"/>
        </w:rPr>
      </w:pPr>
      <w:r w:rsidRPr="003327C7">
        <w:rPr>
          <w:rFonts w:ascii="Book Antiqua" w:eastAsia="MS Mincho" w:hAnsi="Book Antiqua" w:cs="Times New Roman"/>
          <w:b/>
          <w:sz w:val="24"/>
          <w:szCs w:val="24"/>
        </w:rPr>
        <w:t xml:space="preserve">Figure 2 Pathways of </w:t>
      </w:r>
      <w:r w:rsidR="003327C7" w:rsidRPr="003327C7">
        <w:rPr>
          <w:rFonts w:ascii="Book Antiqua" w:hAnsi="Book Antiqua"/>
          <w:b/>
          <w:sz w:val="24"/>
          <w:szCs w:val="24"/>
        </w:rPr>
        <w:t>left ventricular</w:t>
      </w:r>
      <w:r w:rsidRPr="003327C7">
        <w:rPr>
          <w:rFonts w:ascii="Book Antiqua" w:eastAsia="MS Mincho" w:hAnsi="Book Antiqua" w:cs="Times New Roman"/>
          <w:b/>
          <w:sz w:val="24"/>
          <w:szCs w:val="24"/>
        </w:rPr>
        <w:t xml:space="preserve"> remodeling progression secondary to systemic hypertension.</w:t>
      </w:r>
      <w:r w:rsidRPr="00695E23">
        <w:rPr>
          <w:rFonts w:ascii="Book Antiqua" w:eastAsia="MS Mincho" w:hAnsi="Book Antiqua" w:cs="Times New Roman"/>
          <w:sz w:val="24"/>
          <w:szCs w:val="24"/>
        </w:rPr>
        <w:t xml:space="preserve"> </w:t>
      </w:r>
      <w:r w:rsidR="003327C7" w:rsidRPr="00695E23">
        <w:rPr>
          <w:rFonts w:ascii="Book Antiqua" w:eastAsia="MS Mincho" w:hAnsi="Book Antiqua" w:cs="Times New Roman"/>
          <w:sz w:val="24"/>
          <w:szCs w:val="24"/>
        </w:rPr>
        <w:t>Reproduced from Nadruz and Hum</w:t>
      </w:r>
      <w:r w:rsidR="003327C7" w:rsidRPr="00695E23">
        <w:rPr>
          <w:rFonts w:ascii="Book Antiqua" w:eastAsia="MS Mincho" w:hAnsi="Book Antiqua" w:cs="Times New Roman"/>
          <w:sz w:val="24"/>
          <w:szCs w:val="24"/>
          <w:vertAlign w:val="superscript"/>
        </w:rPr>
        <w:t>[2]</w:t>
      </w:r>
      <w:r w:rsidR="003327C7" w:rsidRPr="00695E23">
        <w:rPr>
          <w:rFonts w:ascii="Book Antiqua" w:eastAsia="MS Mincho" w:hAnsi="Book Antiqua" w:cs="Times New Roman"/>
          <w:sz w:val="24"/>
          <w:szCs w:val="24"/>
        </w:rPr>
        <w:t>, 2015</w:t>
      </w:r>
      <w:r w:rsidR="003327C7">
        <w:rPr>
          <w:rFonts w:ascii="Book Antiqua" w:eastAsia="宋体" w:hAnsi="Book Antiqua" w:cs="Times New Roman" w:hint="eastAsia"/>
          <w:sz w:val="24"/>
          <w:szCs w:val="24"/>
          <w:lang w:eastAsia="zh-CN"/>
        </w:rPr>
        <w:t xml:space="preserve">. </w:t>
      </w:r>
      <w:r w:rsidR="003327C7" w:rsidRPr="00695E23">
        <w:rPr>
          <w:rFonts w:ascii="Book Antiqua" w:eastAsia="MS Mincho" w:hAnsi="Book Antiqua" w:cs="Times New Roman"/>
          <w:sz w:val="24"/>
          <w:szCs w:val="24"/>
        </w:rPr>
        <w:t>EF</w:t>
      </w:r>
      <w:r w:rsidR="00B15118">
        <w:rPr>
          <w:rFonts w:ascii="Book Antiqua" w:eastAsia="宋体" w:hAnsi="Book Antiqua" w:cs="Times New Roman" w:hint="eastAsia"/>
          <w:sz w:val="24"/>
          <w:szCs w:val="24"/>
          <w:lang w:eastAsia="zh-CN"/>
        </w:rPr>
        <w:t>:</w:t>
      </w:r>
      <w:r w:rsidR="003327C7"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E</w:t>
      </w:r>
      <w:r w:rsidR="003327C7" w:rsidRPr="00695E23">
        <w:rPr>
          <w:rFonts w:ascii="Book Antiqua" w:eastAsia="MS Mincho" w:hAnsi="Book Antiqua" w:cs="Times New Roman"/>
          <w:sz w:val="24"/>
          <w:szCs w:val="24"/>
        </w:rPr>
        <w:t>jection fraction; MI</w:t>
      </w:r>
      <w:r w:rsidR="00B15118">
        <w:rPr>
          <w:rFonts w:ascii="Book Antiqua" w:eastAsia="宋体" w:hAnsi="Book Antiqua" w:cs="Times New Roman" w:hint="eastAsia"/>
          <w:sz w:val="24"/>
          <w:szCs w:val="24"/>
          <w:lang w:eastAsia="zh-CN"/>
        </w:rPr>
        <w:t>:</w:t>
      </w:r>
      <w:r w:rsidR="003327C7"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M</w:t>
      </w:r>
      <w:r w:rsidR="003327C7" w:rsidRPr="00695E23">
        <w:rPr>
          <w:rFonts w:ascii="Book Antiqua" w:eastAsia="MS Mincho" w:hAnsi="Book Antiqua" w:cs="Times New Roman"/>
          <w:sz w:val="24"/>
          <w:szCs w:val="24"/>
        </w:rPr>
        <w:t>yocardial infarction.</w:t>
      </w:r>
    </w:p>
    <w:p w14:paraId="6EA408E9" w14:textId="77777777"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sz w:val="24"/>
          <w:szCs w:val="24"/>
        </w:rPr>
        <w:br w:type="page"/>
      </w:r>
    </w:p>
    <w:p w14:paraId="075473FB"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5CF8F7A3" wp14:editId="56410C9E">
            <wp:extent cx="5400675" cy="2343150"/>
            <wp:effectExtent l="0" t="0" r="0" b="0"/>
            <wp:docPr id="7" name="図 7" descr="スクリーンショット 2014-12-26 17.4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スクリーンショット 2014-12-26 17.46.09.png"/>
                    <pic:cNvPicPr>
                      <a:picLocks noChangeAspect="1" noChangeArrowheads="1"/>
                    </pic:cNvPicPr>
                  </pic:nvPicPr>
                  <pic:blipFill>
                    <a:blip r:embed="rId11">
                      <a:extLst>
                        <a:ext uri="{28A0092B-C50C-407E-A947-70E740481C1C}">
                          <a14:useLocalDpi xmlns:a14="http://schemas.microsoft.com/office/drawing/2010/main" val="0"/>
                        </a:ext>
                      </a:extLst>
                    </a:blip>
                    <a:srcRect b="10001"/>
                    <a:stretch>
                      <a:fillRect/>
                    </a:stretch>
                  </pic:blipFill>
                  <pic:spPr bwMode="auto">
                    <a:xfrm>
                      <a:off x="0" y="0"/>
                      <a:ext cx="5400675" cy="2343150"/>
                    </a:xfrm>
                    <a:prstGeom prst="rect">
                      <a:avLst/>
                    </a:prstGeom>
                    <a:noFill/>
                    <a:ln>
                      <a:noFill/>
                    </a:ln>
                  </pic:spPr>
                </pic:pic>
              </a:graphicData>
            </a:graphic>
          </wp:inline>
        </w:drawing>
      </w:r>
    </w:p>
    <w:p w14:paraId="33B7B0E9" w14:textId="030EC253" w:rsidR="003E0ED4" w:rsidRPr="00B15118" w:rsidRDefault="003E0ED4" w:rsidP="00695E23">
      <w:pPr>
        <w:widowControl/>
        <w:spacing w:line="360" w:lineRule="auto"/>
        <w:rPr>
          <w:rFonts w:ascii="Book Antiqua" w:eastAsia="宋体" w:hAnsi="Book Antiqua" w:cs="Times New Roman"/>
          <w:sz w:val="24"/>
          <w:szCs w:val="24"/>
          <w:vertAlign w:val="superscript"/>
          <w:lang w:eastAsia="zh-CN"/>
        </w:rPr>
      </w:pPr>
      <w:r w:rsidRPr="00695E23">
        <w:rPr>
          <w:rFonts w:ascii="Book Antiqua" w:eastAsia="MS Mincho" w:hAnsi="Book Antiqua" w:cs="Times New Roman"/>
          <w:b/>
          <w:sz w:val="24"/>
          <w:szCs w:val="24"/>
        </w:rPr>
        <w:t>Figu</w:t>
      </w:r>
      <w:r w:rsidR="00B15118">
        <w:rPr>
          <w:rFonts w:ascii="Book Antiqua" w:eastAsia="MS Mincho" w:hAnsi="Book Antiqua" w:cs="Times New Roman"/>
          <w:b/>
          <w:sz w:val="24"/>
          <w:szCs w:val="24"/>
        </w:rPr>
        <w:t>re 3 Causes of left ventricular</w:t>
      </w:r>
      <w:r w:rsidRPr="00695E23">
        <w:rPr>
          <w:rFonts w:ascii="Book Antiqua" w:eastAsia="MS Mincho" w:hAnsi="Book Antiqua" w:cs="Times New Roman"/>
          <w:b/>
          <w:sz w:val="24"/>
          <w:szCs w:val="24"/>
        </w:rPr>
        <w:t xml:space="preserve"> diastolic dysfunction and its clinical consequences.</w:t>
      </w:r>
      <w:r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Reproduced from Phillips and Diamond</w:t>
      </w:r>
      <w:r w:rsidR="00B15118" w:rsidRPr="00695E23">
        <w:rPr>
          <w:rFonts w:ascii="Book Antiqua" w:eastAsia="MS Mincho" w:hAnsi="Book Antiqua" w:cs="Times New Roman"/>
          <w:sz w:val="24"/>
          <w:szCs w:val="24"/>
          <w:vertAlign w:val="superscript"/>
        </w:rPr>
        <w:t>[48]</w:t>
      </w:r>
      <w:r w:rsidR="00B15118" w:rsidRPr="00695E23">
        <w:rPr>
          <w:rFonts w:ascii="Book Antiqua" w:eastAsia="MS Mincho" w:hAnsi="Book Antiqua" w:cs="Times New Roman"/>
          <w:sz w:val="24"/>
          <w:szCs w:val="24"/>
        </w:rPr>
        <w:t>, 2001</w:t>
      </w:r>
      <w:r w:rsidR="00B15118" w:rsidRPr="00B15118">
        <w:rPr>
          <w:rFonts w:ascii="Book Antiqua" w:eastAsia="宋体" w:hAnsi="Book Antiqua" w:cs="Times New Roman" w:hint="eastAsia"/>
          <w:sz w:val="24"/>
          <w:szCs w:val="24"/>
          <w:lang w:eastAsia="zh-CN"/>
        </w:rPr>
        <w:t>.</w:t>
      </w:r>
      <w:r w:rsidR="00B15118">
        <w:rPr>
          <w:rFonts w:ascii="Book Antiqua" w:eastAsia="宋体" w:hAnsi="Book Antiqua" w:cs="Times New Roman" w:hint="eastAsia"/>
          <w:sz w:val="24"/>
          <w:szCs w:val="24"/>
          <w:vertAlign w:val="superscript"/>
          <w:lang w:eastAsia="zh-CN"/>
        </w:rPr>
        <w:t xml:space="preserve"> </w:t>
      </w:r>
      <w:r w:rsidRPr="00695E23">
        <w:rPr>
          <w:rFonts w:ascii="Book Antiqua" w:eastAsia="MS Mincho" w:hAnsi="Book Antiqua" w:cs="Times New Roman"/>
          <w:sz w:val="24"/>
          <w:szCs w:val="24"/>
        </w:rPr>
        <w:t>ANP</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A</w:t>
      </w:r>
      <w:r w:rsidRPr="00695E23">
        <w:rPr>
          <w:rFonts w:ascii="Book Antiqua" w:eastAsia="MS Mincho" w:hAnsi="Book Antiqua" w:cs="Times New Roman"/>
          <w:sz w:val="24"/>
          <w:szCs w:val="24"/>
        </w:rPr>
        <w:t xml:space="preserve">trial natriuretic peptide; </w:t>
      </w:r>
      <w:r w:rsidR="00B15118">
        <w:rPr>
          <w:rFonts w:ascii="Book Antiqua" w:eastAsia="宋体" w:hAnsi="Book Antiqua" w:cs="Times New Roman" w:hint="eastAsia"/>
          <w:sz w:val="24"/>
          <w:szCs w:val="24"/>
          <w:lang w:eastAsia="zh-CN"/>
        </w:rPr>
        <w:t xml:space="preserve">BNP: </w:t>
      </w:r>
      <w:r w:rsidR="00B15118" w:rsidRPr="00695E23">
        <w:rPr>
          <w:rFonts w:ascii="Book Antiqua" w:eastAsia="MS Mincho" w:hAnsi="Book Antiqua" w:cs="Times New Roman"/>
          <w:sz w:val="24"/>
          <w:szCs w:val="24"/>
        </w:rPr>
        <w:t>B</w:t>
      </w:r>
      <w:r w:rsidRPr="00695E23">
        <w:rPr>
          <w:rFonts w:ascii="Book Antiqua" w:eastAsia="MS Mincho" w:hAnsi="Book Antiqua" w:cs="Times New Roman"/>
          <w:sz w:val="24"/>
          <w:szCs w:val="24"/>
        </w:rPr>
        <w:t>rain natriuretic peptide; LA</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L</w:t>
      </w:r>
      <w:r w:rsidRPr="00695E23">
        <w:rPr>
          <w:rFonts w:ascii="Book Antiqua" w:eastAsia="MS Mincho" w:hAnsi="Book Antiqua" w:cs="Times New Roman"/>
          <w:sz w:val="24"/>
          <w:szCs w:val="24"/>
        </w:rPr>
        <w:t>eft atrial; LVH</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L</w:t>
      </w:r>
      <w:r w:rsidRPr="00695E23">
        <w:rPr>
          <w:rFonts w:ascii="Book Antiqua" w:eastAsia="MS Mincho" w:hAnsi="Book Antiqua" w:cs="Times New Roman"/>
          <w:sz w:val="24"/>
          <w:szCs w:val="24"/>
        </w:rPr>
        <w:t>eft ventricular hypertrophy</w:t>
      </w:r>
      <w:r w:rsidR="00B15118">
        <w:rPr>
          <w:rFonts w:ascii="Book Antiqua" w:eastAsia="宋体" w:hAnsi="Book Antiqua" w:cs="Times New Roman" w:hint="eastAsia"/>
          <w:sz w:val="24"/>
          <w:szCs w:val="24"/>
          <w:lang w:eastAsia="zh-CN"/>
        </w:rPr>
        <w:t>.</w:t>
      </w:r>
    </w:p>
    <w:p w14:paraId="2E59DFB6" w14:textId="77777777"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sz w:val="24"/>
          <w:szCs w:val="24"/>
        </w:rPr>
        <w:br w:type="page"/>
      </w:r>
    </w:p>
    <w:p w14:paraId="0D389B2E"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188DF287" wp14:editId="189DD274">
            <wp:extent cx="5400675" cy="26860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
                    <pic:cNvPicPr>
                      <a:picLocks noChangeAspect="1" noChangeArrowheads="1"/>
                    </pic:cNvPicPr>
                  </pic:nvPicPr>
                  <pic:blipFill>
                    <a:blip r:embed="rId12">
                      <a:extLst>
                        <a:ext uri="{28A0092B-C50C-407E-A947-70E740481C1C}">
                          <a14:useLocalDpi xmlns:a14="http://schemas.microsoft.com/office/drawing/2010/main" val="0"/>
                        </a:ext>
                      </a:extLst>
                    </a:blip>
                    <a:srcRect b="21811"/>
                    <a:stretch>
                      <a:fillRect/>
                    </a:stretch>
                  </pic:blipFill>
                  <pic:spPr bwMode="auto">
                    <a:xfrm>
                      <a:off x="0" y="0"/>
                      <a:ext cx="5400675" cy="2686050"/>
                    </a:xfrm>
                    <a:prstGeom prst="rect">
                      <a:avLst/>
                    </a:prstGeom>
                    <a:noFill/>
                    <a:ln>
                      <a:noFill/>
                    </a:ln>
                  </pic:spPr>
                </pic:pic>
              </a:graphicData>
            </a:graphic>
          </wp:inline>
        </w:drawing>
      </w:r>
    </w:p>
    <w:p w14:paraId="71216996" w14:textId="1EE29F8E" w:rsidR="00B15118" w:rsidRPr="00B15118" w:rsidRDefault="0051516D" w:rsidP="00B15118">
      <w:pPr>
        <w:widowControl/>
        <w:spacing w:line="360" w:lineRule="auto"/>
        <w:rPr>
          <w:rFonts w:ascii="Book Antiqua" w:eastAsia="宋体" w:hAnsi="Book Antiqua" w:cs="Times New Roman"/>
          <w:sz w:val="24"/>
          <w:szCs w:val="24"/>
          <w:lang w:eastAsia="zh-CN"/>
        </w:rPr>
      </w:pPr>
      <w:r w:rsidRPr="00695E23">
        <w:rPr>
          <w:rFonts w:ascii="Book Antiqua" w:eastAsia="MS Mincho" w:hAnsi="Book Antiqua" w:cs="Times New Roman"/>
          <w:b/>
          <w:sz w:val="24"/>
          <w:szCs w:val="24"/>
        </w:rPr>
        <w:t>Figure 4 Comparison of collagen fibers in endomyocardial tissue.</w:t>
      </w:r>
      <w:r w:rsidR="00B15118">
        <w:rPr>
          <w:rFonts w:ascii="Book Antiqua" w:eastAsia="MS Mincho" w:hAnsi="Book Antiqua" w:cs="Times New Roman"/>
          <w:sz w:val="24"/>
          <w:szCs w:val="24"/>
        </w:rPr>
        <w:t xml:space="preserve"> A</w:t>
      </w:r>
      <w:r w:rsidR="00B15118">
        <w:rPr>
          <w:rFonts w:ascii="Book Antiqua" w:eastAsia="宋体" w:hAnsi="Book Antiqua" w:cs="Times New Roman" w:hint="eastAsia"/>
          <w:sz w:val="24"/>
          <w:szCs w:val="24"/>
          <w:lang w:eastAsia="zh-CN"/>
        </w:rPr>
        <w:t xml:space="preserve">: </w:t>
      </w:r>
      <w:r w:rsidRPr="00695E23">
        <w:rPr>
          <w:rFonts w:ascii="Book Antiqua" w:eastAsia="MS Mincho" w:hAnsi="Book Antiqua" w:cs="Times New Roman"/>
          <w:sz w:val="24"/>
          <w:szCs w:val="24"/>
        </w:rPr>
        <w:t>Specimen from a normotensive person</w:t>
      </w:r>
      <w:r w:rsidR="00B15118">
        <w:rPr>
          <w:rFonts w:ascii="Book Antiqua" w:eastAsia="宋体" w:hAnsi="Book Antiqua" w:cs="Times New Roman" w:hint="eastAsia"/>
          <w:sz w:val="24"/>
          <w:szCs w:val="24"/>
          <w:lang w:eastAsia="zh-CN"/>
        </w:rPr>
        <w:t xml:space="preserve">; </w:t>
      </w:r>
      <w:r w:rsidR="00B15118">
        <w:rPr>
          <w:rFonts w:ascii="Book Antiqua" w:eastAsia="MS Mincho" w:hAnsi="Book Antiqua" w:cs="Times New Roman"/>
          <w:sz w:val="24"/>
          <w:szCs w:val="24"/>
        </w:rPr>
        <w:t>B</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Specimen from a patient with hypertensive heart disease. The sections were stained with picrosirius red. Collagen fibers are stained red.</w:t>
      </w:r>
      <w:r w:rsidR="00B15118">
        <w:rPr>
          <w:rFonts w:ascii="Book Antiqua" w:eastAsia="宋体" w:hAnsi="Book Antiqua" w:cs="Times New Roman" w:hint="eastAsia"/>
          <w:sz w:val="24"/>
          <w:szCs w:val="24"/>
          <w:lang w:eastAsia="zh-CN"/>
        </w:rPr>
        <w:t xml:space="preserve"> </w:t>
      </w:r>
      <w:r w:rsidR="00B15118" w:rsidRPr="00695E23">
        <w:rPr>
          <w:rFonts w:ascii="Book Antiqua" w:eastAsia="MS Mincho" w:hAnsi="Book Antiqua" w:cs="Times New Roman"/>
          <w:sz w:val="24"/>
          <w:szCs w:val="24"/>
        </w:rPr>
        <w:t xml:space="preserve">Reproduced from Deiz </w:t>
      </w:r>
      <w:r w:rsidR="00B15118" w:rsidRPr="00695E23">
        <w:rPr>
          <w:rFonts w:ascii="Book Antiqua" w:eastAsia="MS Mincho" w:hAnsi="Book Antiqua" w:cs="Times New Roman"/>
          <w:i/>
          <w:sz w:val="24"/>
          <w:szCs w:val="24"/>
        </w:rPr>
        <w:t>et al</w:t>
      </w:r>
      <w:r w:rsidR="00B15118" w:rsidRPr="00695E23">
        <w:rPr>
          <w:rFonts w:ascii="Book Antiqua" w:eastAsia="MS Mincho" w:hAnsi="Book Antiqua" w:cs="Times New Roman"/>
          <w:sz w:val="24"/>
          <w:szCs w:val="24"/>
          <w:vertAlign w:val="superscript"/>
        </w:rPr>
        <w:t>[54]</w:t>
      </w:r>
      <w:r w:rsidR="00B15118" w:rsidRPr="00695E23">
        <w:rPr>
          <w:rFonts w:ascii="Book Antiqua" w:eastAsia="MS Mincho" w:hAnsi="Book Antiqua" w:cs="Times New Roman"/>
          <w:sz w:val="24"/>
          <w:szCs w:val="24"/>
        </w:rPr>
        <w:t>, 2005</w:t>
      </w:r>
      <w:r w:rsidR="00B15118">
        <w:rPr>
          <w:rFonts w:ascii="Book Antiqua" w:eastAsia="宋体" w:hAnsi="Book Antiqua" w:cs="Times New Roman" w:hint="eastAsia"/>
          <w:sz w:val="24"/>
          <w:szCs w:val="24"/>
          <w:lang w:eastAsia="zh-CN"/>
        </w:rPr>
        <w:t>.</w:t>
      </w:r>
    </w:p>
    <w:p w14:paraId="0EDD4AA9" w14:textId="35469DD3" w:rsidR="0051516D" w:rsidRPr="00B15118" w:rsidRDefault="0051516D" w:rsidP="00695E23">
      <w:pPr>
        <w:widowControl/>
        <w:spacing w:line="360" w:lineRule="auto"/>
        <w:rPr>
          <w:rFonts w:ascii="Book Antiqua" w:eastAsia="宋体" w:hAnsi="Book Antiqua" w:cs="Times New Roman"/>
          <w:sz w:val="24"/>
          <w:szCs w:val="24"/>
          <w:lang w:eastAsia="zh-CN"/>
        </w:rPr>
      </w:pPr>
    </w:p>
    <w:p w14:paraId="293E7E26" w14:textId="200FEC4A" w:rsidR="00596DFB" w:rsidRPr="00695E23" w:rsidRDefault="00596DFB" w:rsidP="00695E23">
      <w:pPr>
        <w:widowControl/>
        <w:spacing w:line="360" w:lineRule="auto"/>
        <w:rPr>
          <w:rFonts w:ascii="Book Antiqua" w:eastAsia="MS Mincho" w:hAnsi="Book Antiqua" w:cs="Times New Roman"/>
          <w:sz w:val="24"/>
          <w:szCs w:val="24"/>
        </w:rPr>
      </w:pPr>
    </w:p>
    <w:p w14:paraId="5D7A371E" w14:textId="77777777"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sz w:val="24"/>
          <w:szCs w:val="24"/>
        </w:rPr>
        <w:br w:type="page"/>
      </w:r>
    </w:p>
    <w:p w14:paraId="2EE20B22"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799F6276" wp14:editId="72913D27">
            <wp:extent cx="4629150" cy="4457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3">
                      <a:extLst>
                        <a:ext uri="{28A0092B-C50C-407E-A947-70E740481C1C}">
                          <a14:useLocalDpi xmlns:a14="http://schemas.microsoft.com/office/drawing/2010/main" val="0"/>
                        </a:ext>
                      </a:extLst>
                    </a:blip>
                    <a:srcRect b="18634"/>
                    <a:stretch>
                      <a:fillRect/>
                    </a:stretch>
                  </pic:blipFill>
                  <pic:spPr bwMode="auto">
                    <a:xfrm>
                      <a:off x="0" y="0"/>
                      <a:ext cx="4629150" cy="4457700"/>
                    </a:xfrm>
                    <a:prstGeom prst="rect">
                      <a:avLst/>
                    </a:prstGeom>
                    <a:noFill/>
                    <a:ln>
                      <a:noFill/>
                    </a:ln>
                  </pic:spPr>
                </pic:pic>
              </a:graphicData>
            </a:graphic>
          </wp:inline>
        </w:drawing>
      </w:r>
    </w:p>
    <w:p w14:paraId="56DC77F5" w14:textId="0B7E775F" w:rsidR="00B15118" w:rsidRPr="00B15118" w:rsidRDefault="00D56DBD" w:rsidP="00B15118">
      <w:pPr>
        <w:widowControl/>
        <w:spacing w:line="360" w:lineRule="auto"/>
        <w:rPr>
          <w:rFonts w:ascii="Book Antiqua" w:eastAsia="宋体" w:hAnsi="Book Antiqua" w:cs="Times New Roman"/>
          <w:sz w:val="24"/>
          <w:szCs w:val="24"/>
          <w:lang w:eastAsia="zh-CN"/>
        </w:rPr>
      </w:pPr>
      <w:r w:rsidRPr="00695E23">
        <w:rPr>
          <w:rFonts w:ascii="Book Antiqua" w:eastAsia="MS Mincho" w:hAnsi="Book Antiqua" w:cs="Times New Roman"/>
          <w:b/>
          <w:sz w:val="24"/>
          <w:szCs w:val="24"/>
        </w:rPr>
        <w:t>Figure 5 Endomyocardial tissue from a hypertensive patient with left ventricular hypertrophy.</w:t>
      </w:r>
      <w:r w:rsidR="00B15118">
        <w:rPr>
          <w:rFonts w:ascii="Book Antiqua" w:eastAsia="MS Mincho" w:hAnsi="Book Antiqua" w:cs="Times New Roman"/>
          <w:sz w:val="24"/>
          <w:szCs w:val="24"/>
        </w:rPr>
        <w:t xml:space="preserve"> A</w:t>
      </w:r>
      <w:r w:rsidR="00B15118">
        <w:rPr>
          <w:rFonts w:ascii="Book Antiqua" w:eastAsia="宋体" w:hAnsi="Book Antiqua" w:cs="Times New Roman" w:hint="eastAsia"/>
          <w:sz w:val="24"/>
          <w:szCs w:val="24"/>
          <w:lang w:eastAsia="zh-CN"/>
        </w:rPr>
        <w:t>:</w:t>
      </w:r>
      <w:r w:rsidR="00B15118">
        <w:rPr>
          <w:rFonts w:ascii="Book Antiqua" w:eastAsia="MS Mincho" w:hAnsi="Book Antiqua" w:cs="Times New Roman"/>
          <w:sz w:val="24"/>
          <w:szCs w:val="24"/>
        </w:rPr>
        <w:t xml:space="preserve"> Perivascular fibrosis</w:t>
      </w:r>
      <w:r w:rsidR="00B15118">
        <w:rPr>
          <w:rFonts w:ascii="Book Antiqua" w:eastAsia="宋体" w:hAnsi="Book Antiqua" w:cs="Times New Roman" w:hint="eastAsia"/>
          <w:sz w:val="24"/>
          <w:szCs w:val="24"/>
          <w:lang w:eastAsia="zh-CN"/>
        </w:rPr>
        <w:t>;</w:t>
      </w:r>
      <w:r w:rsidR="00B15118">
        <w:rPr>
          <w:rFonts w:ascii="Book Antiqua" w:eastAsia="MS Mincho" w:hAnsi="Book Antiqua" w:cs="Times New Roman"/>
          <w:sz w:val="24"/>
          <w:szCs w:val="24"/>
        </w:rPr>
        <w:t xml:space="preserve"> B</w:t>
      </w:r>
      <w:r w:rsidR="00B15118">
        <w:rPr>
          <w:rFonts w:ascii="Book Antiqua" w:eastAsia="宋体" w:hAnsi="Book Antiqua" w:cs="Times New Roman" w:hint="eastAsia"/>
          <w:sz w:val="24"/>
          <w:szCs w:val="24"/>
          <w:lang w:eastAsia="zh-CN"/>
        </w:rPr>
        <w:t>:</w:t>
      </w:r>
      <w:r w:rsidR="00B15118">
        <w:rPr>
          <w:rFonts w:ascii="Book Antiqua" w:eastAsia="MS Mincho" w:hAnsi="Book Antiqua" w:cs="Times New Roman"/>
          <w:sz w:val="24"/>
          <w:szCs w:val="24"/>
        </w:rPr>
        <w:t xml:space="preserve"> Microscopic scarring</w:t>
      </w:r>
      <w:r w:rsidR="00B15118">
        <w:rPr>
          <w:rFonts w:ascii="Book Antiqua" w:eastAsia="宋体" w:hAnsi="Book Antiqua" w:cs="Times New Roman" w:hint="eastAsia"/>
          <w:sz w:val="24"/>
          <w:szCs w:val="24"/>
          <w:lang w:eastAsia="zh-CN"/>
        </w:rPr>
        <w:t>;</w:t>
      </w:r>
      <w:r w:rsidR="00B15118">
        <w:rPr>
          <w:rFonts w:ascii="Book Antiqua" w:eastAsia="MS Mincho" w:hAnsi="Book Antiqua" w:cs="Times New Roman"/>
          <w:sz w:val="24"/>
          <w:szCs w:val="24"/>
        </w:rPr>
        <w:t xml:space="preserve"> C</w:t>
      </w:r>
      <w:r w:rsidR="00B15118">
        <w:rPr>
          <w:rFonts w:ascii="Book Antiqua" w:eastAsia="宋体" w:hAnsi="Book Antiqua" w:cs="Times New Roman" w:hint="eastAsia"/>
          <w:sz w:val="24"/>
          <w:szCs w:val="24"/>
          <w:lang w:eastAsia="zh-CN"/>
        </w:rPr>
        <w:t xml:space="preserve">: </w:t>
      </w:r>
      <w:r w:rsidRPr="00695E23">
        <w:rPr>
          <w:rFonts w:ascii="Book Antiqua" w:eastAsia="MS Mincho" w:hAnsi="Book Antiqua" w:cs="Times New Roman"/>
          <w:sz w:val="24"/>
          <w:szCs w:val="24"/>
        </w:rPr>
        <w:t>Interstitial fibrosis. Sections were stained with picrosirius red. Collagen tissue is stained red.</w:t>
      </w:r>
      <w:r w:rsidR="00B15118">
        <w:rPr>
          <w:rFonts w:ascii="Book Antiqua" w:eastAsia="宋体" w:hAnsi="Book Antiqua" w:cs="Times New Roman"/>
          <w:sz w:val="24"/>
          <w:szCs w:val="24"/>
          <w:lang w:eastAsia="zh-CN"/>
        </w:rPr>
        <w:t xml:space="preserve"> </w:t>
      </w:r>
      <w:r w:rsidR="00B15118" w:rsidRPr="00695E23">
        <w:rPr>
          <w:rFonts w:ascii="Book Antiqua" w:eastAsia="MS Mincho" w:hAnsi="Book Antiqua" w:cs="Times New Roman"/>
          <w:sz w:val="24"/>
          <w:szCs w:val="24"/>
        </w:rPr>
        <w:t>Reproduced from Diez</w:t>
      </w:r>
      <w:r w:rsidR="00B15118" w:rsidRPr="00695E23">
        <w:rPr>
          <w:rFonts w:ascii="Book Antiqua" w:eastAsia="MS Mincho" w:hAnsi="Book Antiqua" w:cs="Times New Roman"/>
          <w:sz w:val="24"/>
          <w:szCs w:val="24"/>
          <w:vertAlign w:val="superscript"/>
        </w:rPr>
        <w:t>[56]</w:t>
      </w:r>
      <w:r w:rsidR="00B15118" w:rsidRPr="00695E23">
        <w:rPr>
          <w:rFonts w:ascii="Book Antiqua" w:eastAsia="MS Mincho" w:hAnsi="Book Antiqua" w:cs="Times New Roman"/>
          <w:sz w:val="24"/>
          <w:szCs w:val="24"/>
        </w:rPr>
        <w:t xml:space="preserve"> 2007</w:t>
      </w:r>
      <w:r w:rsidR="00B15118">
        <w:rPr>
          <w:rFonts w:ascii="Book Antiqua" w:eastAsia="宋体" w:hAnsi="Book Antiqua" w:cs="Times New Roman" w:hint="eastAsia"/>
          <w:sz w:val="24"/>
          <w:szCs w:val="24"/>
          <w:lang w:eastAsia="zh-CN"/>
        </w:rPr>
        <w:t>.</w:t>
      </w:r>
    </w:p>
    <w:p w14:paraId="0B38CA81" w14:textId="2158630C" w:rsidR="00D56DBD" w:rsidRPr="00B15118" w:rsidRDefault="00D56DBD" w:rsidP="00695E23">
      <w:pPr>
        <w:widowControl/>
        <w:spacing w:line="360" w:lineRule="auto"/>
        <w:rPr>
          <w:rFonts w:ascii="Book Antiqua" w:eastAsia="宋体" w:hAnsi="Book Antiqua" w:cs="Times New Roman"/>
          <w:sz w:val="24"/>
          <w:szCs w:val="24"/>
          <w:lang w:eastAsia="zh-CN"/>
        </w:rPr>
      </w:pPr>
    </w:p>
    <w:p w14:paraId="5D80C5E7" w14:textId="22E38355" w:rsidR="00D56DBD"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noProof/>
          <w:sz w:val="24"/>
          <w:szCs w:val="24"/>
        </w:rPr>
        <w:br w:type="page"/>
      </w:r>
    </w:p>
    <w:p w14:paraId="63225AAE" w14:textId="77777777" w:rsidR="00596DFB" w:rsidRPr="00695E23" w:rsidRDefault="006F7AAD"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noProof/>
          <w:sz w:val="24"/>
          <w:szCs w:val="24"/>
          <w:lang w:eastAsia="en-US"/>
        </w:rPr>
        <w:drawing>
          <wp:inline distT="0" distB="0" distL="0" distR="0" wp14:anchorId="48E3FDC6" wp14:editId="4A24ABF7">
            <wp:extent cx="4668957" cy="5845175"/>
            <wp:effectExtent l="0" t="0" r="5080" b="0"/>
            <wp:docPr id="4" name="図 4" descr="スクリーンショット 2014-12-29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クリーンショット 2014-12-29 11"/>
                    <pic:cNvPicPr>
                      <a:picLocks noChangeAspect="1" noChangeArrowheads="1"/>
                    </pic:cNvPicPr>
                  </pic:nvPicPr>
                  <pic:blipFill>
                    <a:blip r:embed="rId14">
                      <a:extLst>
                        <a:ext uri="{28A0092B-C50C-407E-A947-70E740481C1C}">
                          <a14:useLocalDpi xmlns:a14="http://schemas.microsoft.com/office/drawing/2010/main" val="0"/>
                        </a:ext>
                      </a:extLst>
                    </a:blip>
                    <a:srcRect b="13997"/>
                    <a:stretch>
                      <a:fillRect/>
                    </a:stretch>
                  </pic:blipFill>
                  <pic:spPr bwMode="auto">
                    <a:xfrm>
                      <a:off x="0" y="0"/>
                      <a:ext cx="4668957" cy="5845175"/>
                    </a:xfrm>
                    <a:prstGeom prst="rect">
                      <a:avLst/>
                    </a:prstGeom>
                    <a:noFill/>
                    <a:ln>
                      <a:noFill/>
                    </a:ln>
                  </pic:spPr>
                </pic:pic>
              </a:graphicData>
            </a:graphic>
          </wp:inline>
        </w:drawing>
      </w:r>
    </w:p>
    <w:p w14:paraId="569311A8" w14:textId="40F66C01" w:rsidR="00D56DBD" w:rsidRPr="00B15118" w:rsidRDefault="00D56DBD" w:rsidP="00695E23">
      <w:pPr>
        <w:widowControl/>
        <w:spacing w:line="360" w:lineRule="auto"/>
        <w:rPr>
          <w:rFonts w:ascii="Book Antiqua" w:eastAsia="宋体" w:hAnsi="Book Antiqua" w:cs="Times New Roman"/>
          <w:sz w:val="24"/>
          <w:szCs w:val="24"/>
          <w:lang w:eastAsia="zh-CN"/>
        </w:rPr>
      </w:pPr>
      <w:r w:rsidRPr="00695E23">
        <w:rPr>
          <w:rFonts w:ascii="Book Antiqua" w:eastAsia="MS Mincho" w:hAnsi="Book Antiqua" w:cs="Times New Roman"/>
          <w:b/>
          <w:sz w:val="24"/>
          <w:szCs w:val="24"/>
        </w:rPr>
        <w:t>Figure 6 Representative cross sections of myocardial biopsy specimens</w:t>
      </w:r>
      <w:r w:rsidR="00B15118">
        <w:rPr>
          <w:rFonts w:ascii="Book Antiqua" w:eastAsia="MS Mincho" w:hAnsi="Book Antiqua" w:cs="Times New Roman"/>
          <w:sz w:val="24"/>
          <w:szCs w:val="24"/>
        </w:rPr>
        <w:t>. A</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Hypertrophic cardiomyopathy showing disorganized arrangement of hypertrophic myocytes</w:t>
      </w:r>
      <w:r w:rsidR="00B15118">
        <w:rPr>
          <w:rFonts w:ascii="Book Antiqua" w:eastAsia="宋体" w:hAnsi="Book Antiqua" w:cs="Times New Roman" w:hint="eastAsia"/>
          <w:sz w:val="24"/>
          <w:szCs w:val="24"/>
          <w:lang w:eastAsia="zh-CN"/>
        </w:rPr>
        <w:t xml:space="preserve">; </w:t>
      </w:r>
      <w:r w:rsidRPr="00695E23">
        <w:rPr>
          <w:rFonts w:ascii="Book Antiqua" w:eastAsia="MS Mincho" w:hAnsi="Book Antiqua" w:cs="Times New Roman"/>
          <w:sz w:val="24"/>
          <w:szCs w:val="24"/>
        </w:rPr>
        <w:t>B</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Hypertensive cardiomyopathy patients showing parallel alignment of hypertrophic myocytes. Sections were stained with hematoxylin-eosin. Scale bar, 100</w:t>
      </w:r>
      <w:r w:rsidR="00B15118">
        <w:rPr>
          <w:rFonts w:ascii="Book Antiqua" w:eastAsia="宋体" w:hAnsi="Book Antiqua" w:cs="Times New Roman" w:hint="eastAsia"/>
          <w:sz w:val="24"/>
          <w:szCs w:val="24"/>
          <w:lang w:eastAsia="zh-CN"/>
        </w:rPr>
        <w:t xml:space="preserve"> </w:t>
      </w:r>
      <w:r w:rsidRPr="00695E23">
        <w:rPr>
          <w:rFonts w:ascii="Book Antiqua" w:eastAsia="MS Mincho" w:hAnsi="Book Antiqua" w:cs="Times New Roman"/>
          <w:sz w:val="24"/>
          <w:szCs w:val="24"/>
        </w:rPr>
        <w:t>µm.</w:t>
      </w:r>
      <w:r w:rsidR="00B15118" w:rsidRPr="00695E23">
        <w:rPr>
          <w:rFonts w:ascii="Book Antiqua" w:eastAsia="MS Mincho" w:hAnsi="Book Antiqua" w:cs="Times New Roman"/>
          <w:sz w:val="24"/>
          <w:szCs w:val="24"/>
        </w:rPr>
        <w:t xml:space="preserve">　</w:t>
      </w:r>
      <w:r w:rsidR="00B15118" w:rsidRPr="00695E23">
        <w:rPr>
          <w:rFonts w:ascii="Book Antiqua" w:eastAsia="MS Mincho" w:hAnsi="Book Antiqua" w:cs="Times New Roman"/>
          <w:sz w:val="24"/>
          <w:szCs w:val="24"/>
        </w:rPr>
        <w:t xml:space="preserve">(Reproduced from Kato </w:t>
      </w:r>
      <w:r w:rsidR="00B15118" w:rsidRPr="00695E23">
        <w:rPr>
          <w:rFonts w:ascii="Book Antiqua" w:eastAsia="MS Mincho" w:hAnsi="Book Antiqua" w:cs="Times New Roman"/>
          <w:i/>
          <w:sz w:val="24"/>
          <w:szCs w:val="24"/>
        </w:rPr>
        <w:t>et al</w:t>
      </w:r>
      <w:r w:rsidR="00B15118" w:rsidRPr="00695E23">
        <w:rPr>
          <w:rFonts w:ascii="Book Antiqua" w:eastAsia="MS Mincho" w:hAnsi="Book Antiqua" w:cs="Times New Roman"/>
          <w:sz w:val="24"/>
          <w:szCs w:val="24"/>
          <w:vertAlign w:val="superscript"/>
        </w:rPr>
        <w:t>[62]</w:t>
      </w:r>
      <w:r w:rsidR="00B15118" w:rsidRPr="00695E23">
        <w:rPr>
          <w:rFonts w:ascii="Book Antiqua" w:eastAsia="MS Mincho" w:hAnsi="Book Antiqua" w:cs="Times New Roman"/>
          <w:i/>
          <w:sz w:val="24"/>
          <w:szCs w:val="24"/>
        </w:rPr>
        <w:t>,</w:t>
      </w:r>
      <w:r w:rsidR="00B15118" w:rsidRPr="00695E23">
        <w:rPr>
          <w:rFonts w:ascii="Book Antiqua" w:eastAsia="MS Mincho" w:hAnsi="Book Antiqua" w:cs="Times New Roman"/>
          <w:sz w:val="24"/>
          <w:szCs w:val="24"/>
        </w:rPr>
        <w:t xml:space="preserve"> 2004)</w:t>
      </w:r>
      <w:r w:rsidR="00B15118">
        <w:rPr>
          <w:rFonts w:ascii="Book Antiqua" w:eastAsia="宋体" w:hAnsi="Book Antiqua" w:cs="Times New Roman" w:hint="eastAsia"/>
          <w:sz w:val="24"/>
          <w:szCs w:val="24"/>
          <w:lang w:eastAsia="zh-CN"/>
        </w:rPr>
        <w:t>.</w:t>
      </w:r>
    </w:p>
    <w:p w14:paraId="59F03629" w14:textId="754FB119"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sz w:val="24"/>
          <w:szCs w:val="24"/>
        </w:rPr>
        <w:br w:type="page"/>
      </w:r>
    </w:p>
    <w:p w14:paraId="6F5A9B9B"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198CC896" wp14:editId="48F7DAC3">
            <wp:extent cx="5400675" cy="1943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
                    <pic:cNvPicPr>
                      <a:picLocks noChangeAspect="1" noChangeArrowheads="1"/>
                    </pic:cNvPicPr>
                  </pic:nvPicPr>
                  <pic:blipFill>
                    <a:blip r:embed="rId15">
                      <a:extLst>
                        <a:ext uri="{28A0092B-C50C-407E-A947-70E740481C1C}">
                          <a14:useLocalDpi xmlns:a14="http://schemas.microsoft.com/office/drawing/2010/main" val="0"/>
                        </a:ext>
                      </a:extLst>
                    </a:blip>
                    <a:srcRect b="15427"/>
                    <a:stretch>
                      <a:fillRect/>
                    </a:stretch>
                  </pic:blipFill>
                  <pic:spPr bwMode="auto">
                    <a:xfrm>
                      <a:off x="0" y="0"/>
                      <a:ext cx="5400675" cy="1943100"/>
                    </a:xfrm>
                    <a:prstGeom prst="rect">
                      <a:avLst/>
                    </a:prstGeom>
                    <a:noFill/>
                    <a:ln>
                      <a:noFill/>
                    </a:ln>
                  </pic:spPr>
                </pic:pic>
              </a:graphicData>
            </a:graphic>
          </wp:inline>
        </w:drawing>
      </w:r>
    </w:p>
    <w:p w14:paraId="106B9806" w14:textId="743ADEF4" w:rsidR="00B571EC" w:rsidRPr="00B15118" w:rsidRDefault="00B571EC" w:rsidP="00695E23">
      <w:pPr>
        <w:widowControl/>
        <w:spacing w:line="360" w:lineRule="auto"/>
        <w:rPr>
          <w:rFonts w:ascii="Book Antiqua" w:eastAsia="宋体" w:hAnsi="Book Antiqua" w:cs="Times New Roman"/>
          <w:sz w:val="24"/>
          <w:szCs w:val="24"/>
          <w:lang w:eastAsia="zh-CN"/>
        </w:rPr>
      </w:pPr>
      <w:r w:rsidRPr="00695E23">
        <w:rPr>
          <w:rFonts w:ascii="Book Antiqua" w:eastAsia="MS Mincho" w:hAnsi="Book Antiqua" w:cs="Times New Roman"/>
          <w:b/>
          <w:sz w:val="24"/>
          <w:szCs w:val="24"/>
        </w:rPr>
        <w:t xml:space="preserve">Figure 7 Diagnostic patterns of late gadolinium enhancement distribution pattern and location of </w:t>
      </w:r>
      <w:r w:rsidR="00B15118" w:rsidRPr="00695E23">
        <w:rPr>
          <w:rFonts w:ascii="Book Antiqua" w:eastAsia="MS Mincho" w:hAnsi="Book Antiqua" w:cs="Times New Roman"/>
          <w:b/>
          <w:sz w:val="24"/>
          <w:szCs w:val="24"/>
        </w:rPr>
        <w:t>late gadolinium enhancement</w:t>
      </w:r>
      <w:r w:rsidRPr="00695E23">
        <w:rPr>
          <w:rFonts w:ascii="Book Antiqua" w:eastAsia="MS Mincho" w:hAnsi="Book Antiqua" w:cs="Times New Roman"/>
          <w:b/>
          <w:sz w:val="24"/>
          <w:szCs w:val="24"/>
        </w:rPr>
        <w:t xml:space="preserve">. </w:t>
      </w:r>
      <w:r w:rsidRPr="00695E23">
        <w:rPr>
          <w:rFonts w:ascii="Book Antiqua" w:eastAsia="MS Mincho" w:hAnsi="Book Antiqua" w:cs="Times New Roman"/>
          <w:sz w:val="24"/>
          <w:szCs w:val="24"/>
        </w:rPr>
        <w:t>These features contribute to the differential diagnosis of hypertensive cardiomyopathy (HCM) an</w:t>
      </w:r>
      <w:r w:rsidR="00B15118">
        <w:rPr>
          <w:rFonts w:ascii="Book Antiqua" w:eastAsia="MS Mincho" w:hAnsi="Book Antiqua" w:cs="Times New Roman"/>
          <w:sz w:val="24"/>
          <w:szCs w:val="24"/>
        </w:rPr>
        <w:t xml:space="preserve">d non-ischemic cardiomyopathy. </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A) sub-epicardial fibrosis following myocarditis, (B) circumferential diffuse enhancement in amyloidosis</w:t>
      </w:r>
      <w:r w:rsidR="00B15118">
        <w:rPr>
          <w:rFonts w:ascii="Book Antiqua" w:eastAsia="宋体" w:hAnsi="Book Antiqua" w:cs="Times New Roman" w:hint="eastAsia"/>
          <w:sz w:val="24"/>
          <w:szCs w:val="24"/>
          <w:lang w:eastAsia="zh-CN"/>
        </w:rPr>
        <w:t>,</w:t>
      </w:r>
      <w:r w:rsidRPr="00695E23">
        <w:rPr>
          <w:rFonts w:ascii="Book Antiqua" w:eastAsia="MS Mincho" w:hAnsi="Book Antiqua" w:cs="Times New Roman"/>
          <w:sz w:val="24"/>
          <w:szCs w:val="24"/>
        </w:rPr>
        <w:t xml:space="preserve"> (C) patchy fibrosis in affected hypertrophied segments in </w:t>
      </w:r>
      <w:r w:rsidR="00B15118">
        <w:rPr>
          <w:rFonts w:ascii="Book Antiqua" w:eastAsia="MS Mincho" w:hAnsi="Book Antiqua" w:cs="Times New Roman"/>
          <w:sz w:val="24"/>
          <w:szCs w:val="24"/>
        </w:rPr>
        <w:t>HCM</w:t>
      </w:r>
      <w:r w:rsidRPr="00695E23">
        <w:rPr>
          <w:rFonts w:ascii="Book Antiqua" w:eastAsia="MS Mincho" w:hAnsi="Book Antiqua" w:cs="Times New Roman"/>
          <w:sz w:val="24"/>
          <w:szCs w:val="24"/>
        </w:rPr>
        <w:t xml:space="preserve"> and a typical ischemic sub-endocardial enhancement (D).</w:t>
      </w:r>
      <w:r w:rsidR="00B15118">
        <w:rPr>
          <w:rFonts w:ascii="Book Antiqua" w:eastAsia="宋体" w:hAnsi="Book Antiqua" w:cs="Times New Roman" w:hint="eastAsia"/>
          <w:sz w:val="24"/>
          <w:szCs w:val="24"/>
          <w:lang w:eastAsia="zh-CN"/>
        </w:rPr>
        <w:t xml:space="preserve"> </w:t>
      </w:r>
      <w:r w:rsidR="00B15118" w:rsidRPr="00695E23">
        <w:rPr>
          <w:rFonts w:ascii="Book Antiqua" w:eastAsia="MS Mincho" w:hAnsi="Book Antiqua" w:cs="Times New Roman"/>
          <w:sz w:val="24"/>
          <w:szCs w:val="24"/>
        </w:rPr>
        <w:t xml:space="preserve">(Reproduced from Parsai </w:t>
      </w:r>
      <w:r w:rsidR="00B15118" w:rsidRPr="00695E23">
        <w:rPr>
          <w:rFonts w:ascii="Book Antiqua" w:eastAsia="MS Mincho" w:hAnsi="Book Antiqua" w:cs="Times New Roman"/>
          <w:i/>
          <w:sz w:val="24"/>
          <w:szCs w:val="24"/>
        </w:rPr>
        <w:t>et al</w:t>
      </w:r>
      <w:r w:rsidR="00B15118" w:rsidRPr="00695E23">
        <w:rPr>
          <w:rFonts w:ascii="Book Antiqua" w:eastAsia="MS Mincho" w:hAnsi="Book Antiqua" w:cs="Times New Roman"/>
          <w:sz w:val="24"/>
          <w:szCs w:val="24"/>
          <w:vertAlign w:val="superscript"/>
        </w:rPr>
        <w:t>[80]</w:t>
      </w:r>
      <w:r w:rsidR="00B15118" w:rsidRPr="00695E23">
        <w:rPr>
          <w:rFonts w:ascii="Book Antiqua" w:eastAsia="MS Mincho" w:hAnsi="Book Antiqua" w:cs="Times New Roman"/>
          <w:sz w:val="24"/>
          <w:szCs w:val="24"/>
        </w:rPr>
        <w:t>, 2012)</w:t>
      </w:r>
      <w:r w:rsidR="00B15118">
        <w:rPr>
          <w:rFonts w:ascii="Book Antiqua" w:eastAsia="宋体" w:hAnsi="Book Antiqua" w:cs="Times New Roman" w:hint="eastAsia"/>
          <w:sz w:val="24"/>
          <w:szCs w:val="24"/>
          <w:lang w:eastAsia="zh-CN"/>
        </w:rPr>
        <w:t>.</w:t>
      </w:r>
    </w:p>
    <w:p w14:paraId="1AE3581B" w14:textId="6537D5B5"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noProof/>
          <w:sz w:val="24"/>
          <w:szCs w:val="24"/>
        </w:rPr>
        <w:br w:type="page"/>
      </w:r>
    </w:p>
    <w:p w14:paraId="1EB7CA8B" w14:textId="77777777" w:rsidR="00596DFB" w:rsidRPr="00695E23" w:rsidRDefault="006F7AAD" w:rsidP="00695E23">
      <w:pPr>
        <w:widowControl/>
        <w:spacing w:line="360" w:lineRule="auto"/>
        <w:rPr>
          <w:rFonts w:ascii="Book Antiqua" w:eastAsia="MS Mincho" w:hAnsi="Book Antiqua" w:cs="Times New Roman"/>
          <w:noProof/>
          <w:sz w:val="24"/>
          <w:szCs w:val="24"/>
        </w:rPr>
      </w:pPr>
      <w:r w:rsidRPr="00695E23">
        <w:rPr>
          <w:rFonts w:ascii="Book Antiqua" w:eastAsia="MS Mincho" w:hAnsi="Book Antiqua" w:cs="Times New Roman"/>
          <w:noProof/>
          <w:sz w:val="24"/>
          <w:szCs w:val="24"/>
          <w:lang w:eastAsia="en-US"/>
        </w:rPr>
        <w:drawing>
          <wp:inline distT="0" distB="0" distL="0" distR="0" wp14:anchorId="6790547D" wp14:editId="27061D99">
            <wp:extent cx="3619500" cy="2324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
                    <pic:cNvPicPr>
                      <a:picLocks noChangeAspect="1" noChangeArrowheads="1"/>
                    </pic:cNvPicPr>
                  </pic:nvPicPr>
                  <pic:blipFill>
                    <a:blip r:embed="rId16">
                      <a:extLst>
                        <a:ext uri="{28A0092B-C50C-407E-A947-70E740481C1C}">
                          <a14:useLocalDpi xmlns:a14="http://schemas.microsoft.com/office/drawing/2010/main" val="0"/>
                        </a:ext>
                      </a:extLst>
                    </a:blip>
                    <a:srcRect r="33020"/>
                    <a:stretch>
                      <a:fillRect/>
                    </a:stretch>
                  </pic:blipFill>
                  <pic:spPr bwMode="auto">
                    <a:xfrm>
                      <a:off x="0" y="0"/>
                      <a:ext cx="3619500" cy="2324100"/>
                    </a:xfrm>
                    <a:prstGeom prst="rect">
                      <a:avLst/>
                    </a:prstGeom>
                    <a:noFill/>
                    <a:ln>
                      <a:noFill/>
                    </a:ln>
                  </pic:spPr>
                </pic:pic>
              </a:graphicData>
            </a:graphic>
          </wp:inline>
        </w:drawing>
      </w:r>
    </w:p>
    <w:p w14:paraId="2A0E6862" w14:textId="737A874C" w:rsidR="00B15118" w:rsidRPr="00B15118" w:rsidRDefault="00B571EC" w:rsidP="00695E23">
      <w:pPr>
        <w:widowControl/>
        <w:spacing w:line="360" w:lineRule="auto"/>
        <w:rPr>
          <w:rFonts w:ascii="Book Antiqua" w:eastAsia="宋体" w:hAnsi="Book Antiqua" w:cs="Times New Roman"/>
          <w:noProof/>
          <w:sz w:val="24"/>
          <w:szCs w:val="24"/>
          <w:lang w:eastAsia="zh-CN"/>
        </w:rPr>
      </w:pPr>
      <w:r w:rsidRPr="00695E23">
        <w:rPr>
          <w:rFonts w:ascii="Book Antiqua" w:eastAsia="MS Mincho" w:hAnsi="Book Antiqua" w:cs="Times New Roman"/>
          <w:b/>
          <w:noProof/>
          <w:sz w:val="24"/>
          <w:szCs w:val="24"/>
        </w:rPr>
        <w:t>Figure 8 Effect of randomized treatments with single-drug therapy on left ventricular mass.</w:t>
      </w:r>
      <w:r w:rsidRPr="00695E23">
        <w:rPr>
          <w:rFonts w:ascii="Book Antiqua" w:eastAsia="MS Mincho" w:hAnsi="Book Antiqua" w:cs="Times New Roman"/>
          <w:noProof/>
          <w:sz w:val="24"/>
          <w:szCs w:val="24"/>
        </w:rPr>
        <w:t xml:space="preserve"> In this group of 493 hypertensive patients, the 1-year change in </w:t>
      </w:r>
      <w:r w:rsidR="00B15118" w:rsidRPr="00B15118">
        <w:rPr>
          <w:rFonts w:ascii="Book Antiqua" w:eastAsia="MS Mincho" w:hAnsi="Book Antiqua" w:cs="Times New Roman"/>
          <w:noProof/>
          <w:sz w:val="24"/>
          <w:szCs w:val="24"/>
        </w:rPr>
        <w:t>left ventricular</w:t>
      </w:r>
      <w:r w:rsidR="00B15118" w:rsidRPr="00695E23">
        <w:rPr>
          <w:rFonts w:ascii="Book Antiqua" w:eastAsia="MS Mincho" w:hAnsi="Book Antiqua" w:cs="Times New Roman"/>
          <w:noProof/>
          <w:sz w:val="24"/>
          <w:szCs w:val="24"/>
        </w:rPr>
        <w:t xml:space="preserve"> </w:t>
      </w:r>
      <w:r w:rsidR="00B15118">
        <w:rPr>
          <w:rFonts w:ascii="Book Antiqua" w:eastAsia="宋体" w:hAnsi="Book Antiqua" w:cs="Times New Roman" w:hint="eastAsia"/>
          <w:noProof/>
          <w:sz w:val="24"/>
          <w:szCs w:val="24"/>
          <w:lang w:eastAsia="zh-CN"/>
        </w:rPr>
        <w:t>(</w:t>
      </w:r>
      <w:r w:rsidRPr="00695E23">
        <w:rPr>
          <w:rFonts w:ascii="Book Antiqua" w:eastAsia="MS Mincho" w:hAnsi="Book Antiqua" w:cs="Times New Roman"/>
          <w:noProof/>
          <w:sz w:val="24"/>
          <w:szCs w:val="24"/>
        </w:rPr>
        <w:t>LV</w:t>
      </w:r>
      <w:r w:rsidR="00B15118">
        <w:rPr>
          <w:rFonts w:ascii="Book Antiqua" w:eastAsia="宋体" w:hAnsi="Book Antiqua" w:cs="Times New Roman" w:hint="eastAsia"/>
          <w:noProof/>
          <w:sz w:val="24"/>
          <w:szCs w:val="24"/>
          <w:lang w:eastAsia="zh-CN"/>
        </w:rPr>
        <w:t>)</w:t>
      </w:r>
      <w:r w:rsidRPr="00695E23">
        <w:rPr>
          <w:rFonts w:ascii="Book Antiqua" w:eastAsia="MS Mincho" w:hAnsi="Book Antiqua" w:cs="Times New Roman"/>
          <w:noProof/>
          <w:sz w:val="24"/>
          <w:szCs w:val="24"/>
        </w:rPr>
        <w:t xml:space="preserve"> mass from baseline is shown for each of three baseline mass tertiles. The highest baseline tertile shows significant reductions with hydrochlorothiazide (HCTZ), captopril, and atenolol (</w:t>
      </w:r>
      <w:r w:rsidR="00B15118" w:rsidRPr="00B15118">
        <w:rPr>
          <w:rFonts w:ascii="Book Antiqua" w:eastAsia="MS Mincho" w:hAnsi="Book Antiqua" w:cs="Times New Roman"/>
          <w:i/>
          <w:noProof/>
          <w:sz w:val="24"/>
          <w:szCs w:val="24"/>
        </w:rPr>
        <w:t>P</w:t>
      </w:r>
      <w:r w:rsidR="00B15118">
        <w:rPr>
          <w:rFonts w:ascii="Book Antiqua" w:eastAsia="宋体" w:hAnsi="Book Antiqua" w:cs="Times New Roman" w:hint="eastAsia"/>
          <w:noProof/>
          <w:sz w:val="24"/>
          <w:szCs w:val="24"/>
          <w:lang w:eastAsia="zh-CN"/>
        </w:rPr>
        <w:t xml:space="preserve"> </w:t>
      </w:r>
      <w:r w:rsidRPr="00695E23">
        <w:rPr>
          <w:rFonts w:ascii="Book Antiqua" w:eastAsia="MS Mincho" w:hAnsi="Book Antiqua" w:cs="Times New Roman"/>
          <w:noProof/>
          <w:sz w:val="24"/>
          <w:szCs w:val="24"/>
        </w:rPr>
        <w:t>&lt;</w:t>
      </w:r>
      <w:r w:rsidR="00B15118">
        <w:rPr>
          <w:rFonts w:ascii="Book Antiqua" w:eastAsia="宋体" w:hAnsi="Book Antiqua" w:cs="Times New Roman" w:hint="eastAsia"/>
          <w:noProof/>
          <w:sz w:val="24"/>
          <w:szCs w:val="24"/>
          <w:lang w:eastAsia="zh-CN"/>
        </w:rPr>
        <w:t xml:space="preserve"> </w:t>
      </w:r>
      <w:r w:rsidRPr="00695E23">
        <w:rPr>
          <w:rFonts w:ascii="Book Antiqua" w:eastAsia="MS Mincho" w:hAnsi="Book Antiqua" w:cs="Times New Roman"/>
          <w:noProof/>
          <w:sz w:val="24"/>
          <w:szCs w:val="24"/>
        </w:rPr>
        <w:t>0.05).</w:t>
      </w:r>
      <w:r w:rsidR="00B15118">
        <w:rPr>
          <w:rFonts w:ascii="Book Antiqua" w:eastAsia="宋体" w:hAnsi="Book Antiqua" w:cs="Times New Roman" w:hint="eastAsia"/>
          <w:noProof/>
          <w:sz w:val="24"/>
          <w:szCs w:val="24"/>
          <w:lang w:eastAsia="zh-CN"/>
        </w:rPr>
        <w:t xml:space="preserve"> </w:t>
      </w:r>
      <w:r w:rsidR="00B15118" w:rsidRPr="00695E23">
        <w:rPr>
          <w:rFonts w:ascii="Book Antiqua" w:eastAsia="MS Mincho" w:hAnsi="Book Antiqua" w:cs="Times New Roman"/>
          <w:sz w:val="24"/>
          <w:szCs w:val="24"/>
        </w:rPr>
        <w:t xml:space="preserve">(Reproduced from Diamond </w:t>
      </w:r>
      <w:r w:rsidR="00B15118" w:rsidRPr="00B15118">
        <w:rPr>
          <w:rFonts w:ascii="Book Antiqua" w:eastAsia="MS Mincho" w:hAnsi="Book Antiqua" w:cs="Times New Roman"/>
          <w:i/>
          <w:sz w:val="24"/>
          <w:szCs w:val="24"/>
        </w:rPr>
        <w:t>et al</w:t>
      </w:r>
      <w:r w:rsidR="00B15118">
        <w:rPr>
          <w:rFonts w:ascii="Book Antiqua" w:eastAsia="宋体" w:hAnsi="Book Antiqua" w:cs="Times New Roman" w:hint="eastAsia"/>
          <w:sz w:val="24"/>
          <w:szCs w:val="24"/>
          <w:vertAlign w:val="superscript"/>
          <w:lang w:eastAsia="zh-CN"/>
        </w:rPr>
        <w:t>[85]</w:t>
      </w:r>
      <w:r w:rsidR="00B15118" w:rsidRPr="00695E23">
        <w:rPr>
          <w:rFonts w:ascii="Book Antiqua" w:eastAsia="MS Mincho" w:hAnsi="Book Antiqua" w:cs="Times New Roman"/>
          <w:sz w:val="24"/>
          <w:szCs w:val="24"/>
        </w:rPr>
        <w:t xml:space="preserve">, 2003; Gottdiener </w:t>
      </w:r>
      <w:r w:rsidR="00B15118" w:rsidRPr="00B15118">
        <w:rPr>
          <w:rFonts w:ascii="Book Antiqua" w:eastAsia="MS Mincho" w:hAnsi="Book Antiqua" w:cs="Times New Roman"/>
          <w:i/>
          <w:sz w:val="24"/>
          <w:szCs w:val="24"/>
        </w:rPr>
        <w:t>et al</w:t>
      </w:r>
      <w:r w:rsidR="00B15118">
        <w:rPr>
          <w:rFonts w:ascii="Book Antiqua" w:eastAsia="宋体" w:hAnsi="Book Antiqua" w:cs="Times New Roman" w:hint="eastAsia"/>
          <w:sz w:val="24"/>
          <w:szCs w:val="24"/>
          <w:vertAlign w:val="superscript"/>
          <w:lang w:eastAsia="zh-CN"/>
        </w:rPr>
        <w:t>[91]</w:t>
      </w:r>
      <w:r w:rsidR="00B15118" w:rsidRPr="00695E23">
        <w:rPr>
          <w:rFonts w:ascii="Book Antiqua" w:eastAsia="MS Mincho" w:hAnsi="Book Antiqua" w:cs="Times New Roman"/>
          <w:sz w:val="24"/>
          <w:szCs w:val="24"/>
        </w:rPr>
        <w:t>, 2007)</w:t>
      </w:r>
      <w:r w:rsidR="00B15118">
        <w:rPr>
          <w:rFonts w:ascii="Book Antiqua" w:eastAsia="宋体" w:hAnsi="Book Antiqua" w:cs="Times New Roman" w:hint="eastAsia"/>
          <w:sz w:val="24"/>
          <w:szCs w:val="24"/>
          <w:lang w:eastAsia="zh-CN"/>
        </w:rPr>
        <w:t>.</w:t>
      </w:r>
    </w:p>
    <w:p w14:paraId="43BC5C23" w14:textId="274721C1" w:rsidR="00596DFB" w:rsidRPr="00695E23" w:rsidRDefault="00596DFB" w:rsidP="00695E23">
      <w:pPr>
        <w:widowControl/>
        <w:spacing w:line="360" w:lineRule="auto"/>
        <w:rPr>
          <w:rFonts w:ascii="Book Antiqua" w:eastAsia="MS Mincho" w:hAnsi="Book Antiqua" w:cs="Times New Roman"/>
          <w:sz w:val="24"/>
          <w:szCs w:val="24"/>
        </w:rPr>
      </w:pPr>
      <w:r w:rsidRPr="00695E23">
        <w:rPr>
          <w:rFonts w:ascii="Book Antiqua" w:eastAsia="MS Mincho" w:hAnsi="Book Antiqua" w:cs="Times New Roman"/>
          <w:noProof/>
          <w:sz w:val="24"/>
          <w:szCs w:val="24"/>
        </w:rPr>
        <w:br w:type="page"/>
      </w:r>
    </w:p>
    <w:p w14:paraId="2C278634" w14:textId="29479140" w:rsidR="00596DFB" w:rsidRPr="00695E23" w:rsidRDefault="00B15118" w:rsidP="00695E23">
      <w:pPr>
        <w:widowControl/>
        <w:spacing w:line="360" w:lineRule="auto"/>
        <w:rPr>
          <w:rFonts w:ascii="Book Antiqua" w:eastAsia="MS Mincho" w:hAnsi="Book Antiqua" w:cs="Times New Roman"/>
          <w:sz w:val="24"/>
          <w:szCs w:val="24"/>
        </w:rPr>
      </w:pPr>
      <w:r>
        <w:rPr>
          <w:noProof/>
          <w:lang w:eastAsia="en-US"/>
        </w:rPr>
        <w:drawing>
          <wp:inline distT="0" distB="0" distL="0" distR="0" wp14:anchorId="399C13D3" wp14:editId="6330DEEC">
            <wp:extent cx="5400040" cy="35850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585027"/>
                    </a:xfrm>
                    <a:prstGeom prst="rect">
                      <a:avLst/>
                    </a:prstGeom>
                  </pic:spPr>
                </pic:pic>
              </a:graphicData>
            </a:graphic>
          </wp:inline>
        </w:drawing>
      </w:r>
    </w:p>
    <w:p w14:paraId="7B7DE1A9" w14:textId="4ACF816A" w:rsidR="00090B36" w:rsidRPr="00B15118" w:rsidRDefault="00B15118" w:rsidP="00695E23">
      <w:pPr>
        <w:widowControl/>
        <w:spacing w:line="360" w:lineRule="auto"/>
        <w:rPr>
          <w:rFonts w:ascii="Book Antiqua" w:eastAsia="宋体" w:hAnsi="Book Antiqua" w:cs="Times New Roman"/>
          <w:sz w:val="24"/>
          <w:szCs w:val="24"/>
          <w:lang w:eastAsia="zh-CN"/>
        </w:rPr>
      </w:pPr>
      <w:r>
        <w:rPr>
          <w:rFonts w:ascii="Book Antiqua" w:eastAsia="MS Mincho" w:hAnsi="Book Antiqua" w:cs="Times New Roman"/>
          <w:b/>
          <w:sz w:val="24"/>
          <w:szCs w:val="24"/>
        </w:rPr>
        <w:t>Figure 9</w:t>
      </w:r>
      <w:r w:rsidR="00090B36" w:rsidRPr="00695E23">
        <w:rPr>
          <w:rFonts w:ascii="Book Antiqua" w:eastAsia="MS Mincho" w:hAnsi="Book Antiqua" w:cs="Times New Roman"/>
          <w:b/>
          <w:sz w:val="24"/>
          <w:szCs w:val="24"/>
        </w:rPr>
        <w:t xml:space="preserve"> Change in left ventricular mass index (as percentage from baseline) with antihypertensive treatment by drug class.</w:t>
      </w:r>
      <w:r w:rsidR="00090B36" w:rsidRPr="00695E23">
        <w:rPr>
          <w:rFonts w:ascii="Book Antiqua" w:eastAsia="MS Mincho" w:hAnsi="Book Antiqua" w:cs="Times New Roman"/>
          <w:sz w:val="24"/>
          <w:szCs w:val="24"/>
        </w:rPr>
        <w:t xml:space="preserve"> Data represent the mean values and 95% confidence intervals, adjusted for change in diastolic blood pressure and treatment duration. The </w:t>
      </w:r>
      <w:r w:rsidRPr="00B15118">
        <w:rPr>
          <w:rFonts w:ascii="Book Antiqua" w:eastAsia="宋体" w:hAnsi="Book Antiqua" w:cs="Times New Roman" w:hint="eastAsia"/>
          <w:sz w:val="24"/>
          <w:szCs w:val="24"/>
          <w:vertAlign w:val="superscript"/>
          <w:lang w:eastAsia="zh-CN"/>
        </w:rPr>
        <w:t>a</w:t>
      </w:r>
      <w:r w:rsidRPr="00B15118">
        <w:rPr>
          <w:rFonts w:ascii="Book Antiqua" w:eastAsia="MS Mincho" w:hAnsi="Book Antiqua" w:cs="Times New Roman"/>
          <w:i/>
          <w:sz w:val="24"/>
          <w:szCs w:val="24"/>
        </w:rPr>
        <w:t>P</w:t>
      </w:r>
      <w:r>
        <w:rPr>
          <w:rFonts w:ascii="Book Antiqua" w:eastAsia="宋体" w:hAnsi="Book Antiqua" w:cs="Times New Roman" w:hint="eastAsia"/>
          <w:i/>
          <w:sz w:val="24"/>
          <w:szCs w:val="24"/>
          <w:lang w:eastAsia="zh-CN"/>
        </w:rPr>
        <w:t xml:space="preserve"> </w:t>
      </w:r>
      <w:r w:rsidR="00090B36" w:rsidRPr="00695E23">
        <w:rPr>
          <w:rFonts w:ascii="Book Antiqua" w:eastAsia="MS Mincho" w:hAnsi="Book Antiqua" w:cs="Times New Roman"/>
          <w:sz w:val="24"/>
          <w:szCs w:val="24"/>
        </w:rPr>
        <w:t>&lt;</w:t>
      </w:r>
      <w:r>
        <w:rPr>
          <w:rFonts w:ascii="Book Antiqua" w:eastAsia="宋体" w:hAnsi="Book Antiqua" w:cs="Times New Roman" w:hint="eastAsia"/>
          <w:sz w:val="24"/>
          <w:szCs w:val="24"/>
          <w:lang w:eastAsia="zh-CN"/>
        </w:rPr>
        <w:t xml:space="preserve"> </w:t>
      </w:r>
      <w:r w:rsidR="00090B36" w:rsidRPr="00695E23">
        <w:rPr>
          <w:rFonts w:ascii="Book Antiqua" w:eastAsia="MS Mincho" w:hAnsi="Book Antiqua" w:cs="Times New Roman"/>
          <w:sz w:val="24"/>
          <w:szCs w:val="24"/>
        </w:rPr>
        <w:t>0.05</w:t>
      </w:r>
      <w:r w:rsidR="00090B36" w:rsidRPr="00B15118">
        <w:rPr>
          <w:rFonts w:ascii="Book Antiqua" w:eastAsia="MS Mincho" w:hAnsi="Book Antiqua" w:cs="Times New Roman"/>
          <w:i/>
          <w:sz w:val="24"/>
          <w:szCs w:val="24"/>
        </w:rPr>
        <w:t xml:space="preserve"> vs</w:t>
      </w:r>
      <w:r w:rsidR="00090B36" w:rsidRPr="00695E23">
        <w:rPr>
          <w:rFonts w:ascii="Book Antiqua" w:eastAsia="MS Mincho" w:hAnsi="Book Antiqua" w:cs="Times New Roman"/>
          <w:sz w:val="24"/>
          <w:szCs w:val="24"/>
        </w:rPr>
        <w:t xml:space="preserve"> beta-blockers, and </w:t>
      </w:r>
      <w:r w:rsidRPr="00B15118">
        <w:rPr>
          <w:rFonts w:ascii="Book Antiqua" w:eastAsia="宋体" w:hAnsi="Book Antiqua" w:cs="Times New Roman" w:hint="eastAsia"/>
          <w:sz w:val="24"/>
          <w:szCs w:val="24"/>
          <w:vertAlign w:val="superscript"/>
          <w:lang w:eastAsia="zh-CN"/>
        </w:rPr>
        <w:t>b</w:t>
      </w:r>
      <w:r w:rsidRPr="00B15118">
        <w:rPr>
          <w:rFonts w:ascii="Book Antiqua" w:eastAsia="MS Mincho" w:hAnsi="Book Antiqua" w:cs="Times New Roman"/>
          <w:i/>
          <w:sz w:val="24"/>
          <w:szCs w:val="24"/>
        </w:rPr>
        <w:t>P</w:t>
      </w:r>
      <w:r>
        <w:rPr>
          <w:rFonts w:ascii="Book Antiqua" w:eastAsia="宋体" w:hAnsi="Book Antiqua" w:cs="Times New Roman" w:hint="eastAsia"/>
          <w:i/>
          <w:sz w:val="24"/>
          <w:szCs w:val="24"/>
          <w:lang w:eastAsia="zh-CN"/>
        </w:rPr>
        <w:t xml:space="preserve"> </w:t>
      </w:r>
      <w:r w:rsidR="00090B36" w:rsidRPr="00695E23">
        <w:rPr>
          <w:rFonts w:ascii="Book Antiqua" w:eastAsia="MS Mincho" w:hAnsi="Book Antiqua" w:cs="Times New Roman"/>
          <w:sz w:val="24"/>
          <w:szCs w:val="24"/>
        </w:rPr>
        <w:t>&lt;</w:t>
      </w:r>
      <w:r>
        <w:rPr>
          <w:rFonts w:ascii="Book Antiqua" w:eastAsia="宋体" w:hAnsi="Book Antiqua" w:cs="Times New Roman" w:hint="eastAsia"/>
          <w:sz w:val="24"/>
          <w:szCs w:val="24"/>
          <w:lang w:eastAsia="zh-CN"/>
        </w:rPr>
        <w:t xml:space="preserve"> </w:t>
      </w:r>
      <w:r w:rsidR="00090B36" w:rsidRPr="00695E23">
        <w:rPr>
          <w:rFonts w:ascii="Book Antiqua" w:eastAsia="MS Mincho" w:hAnsi="Book Antiqua" w:cs="Times New Roman"/>
          <w:sz w:val="24"/>
          <w:szCs w:val="24"/>
        </w:rPr>
        <w:t xml:space="preserve">0.01 </w:t>
      </w:r>
      <w:r w:rsidR="00090B36" w:rsidRPr="00B15118">
        <w:rPr>
          <w:rFonts w:ascii="Book Antiqua" w:eastAsia="MS Mincho" w:hAnsi="Book Antiqua" w:cs="Times New Roman"/>
          <w:i/>
          <w:sz w:val="24"/>
          <w:szCs w:val="24"/>
        </w:rPr>
        <w:t xml:space="preserve">vs </w:t>
      </w:r>
      <w:r w:rsidR="00090B36" w:rsidRPr="00695E23">
        <w:rPr>
          <w:rFonts w:ascii="Book Antiqua" w:eastAsia="MS Mincho" w:hAnsi="Book Antiqua" w:cs="Times New Roman"/>
          <w:sz w:val="24"/>
          <w:szCs w:val="24"/>
        </w:rPr>
        <w:t>beta-blocker (after Bonferroni correction). ACE</w:t>
      </w:r>
      <w:r>
        <w:rPr>
          <w:rFonts w:ascii="Book Antiqua" w:eastAsia="宋体" w:hAnsi="Book Antiqua" w:cs="Times New Roman" w:hint="eastAsia"/>
          <w:sz w:val="24"/>
          <w:szCs w:val="24"/>
          <w:lang w:eastAsia="zh-CN"/>
        </w:rPr>
        <w:t>:</w:t>
      </w:r>
      <w:r w:rsidR="00090B36" w:rsidRPr="00695E23">
        <w:rPr>
          <w:rFonts w:ascii="Book Antiqua" w:eastAsia="MS Mincho" w:hAnsi="Book Antiqua" w:cs="Times New Roman"/>
          <w:sz w:val="24"/>
          <w:szCs w:val="24"/>
        </w:rPr>
        <w:t xml:space="preserve"> </w:t>
      </w:r>
      <w:r w:rsidRPr="00695E23">
        <w:rPr>
          <w:rFonts w:ascii="Book Antiqua" w:eastAsia="MS Mincho" w:hAnsi="Book Antiqua" w:cs="Times New Roman"/>
          <w:sz w:val="24"/>
          <w:szCs w:val="24"/>
        </w:rPr>
        <w:t>A</w:t>
      </w:r>
      <w:r w:rsidR="00090B36" w:rsidRPr="00695E23">
        <w:rPr>
          <w:rFonts w:ascii="Book Antiqua" w:eastAsia="MS Mincho" w:hAnsi="Book Antiqua" w:cs="Times New Roman"/>
          <w:sz w:val="24"/>
          <w:szCs w:val="24"/>
        </w:rPr>
        <w:t>ngiotensin-converting-enzyme.</w:t>
      </w:r>
      <w:r>
        <w:rPr>
          <w:rFonts w:ascii="Book Antiqua" w:eastAsia="宋体" w:hAnsi="Book Antiqua" w:cs="Times New Roman" w:hint="eastAsia"/>
          <w:sz w:val="24"/>
          <w:szCs w:val="24"/>
          <w:lang w:eastAsia="zh-CN"/>
        </w:rPr>
        <w:t xml:space="preserve"> </w:t>
      </w:r>
      <w:r w:rsidRPr="00695E23">
        <w:rPr>
          <w:rFonts w:ascii="Book Antiqua" w:eastAsia="MS Mincho" w:hAnsi="Book Antiqua" w:cs="Times New Roman"/>
          <w:sz w:val="24"/>
          <w:szCs w:val="24"/>
        </w:rPr>
        <w:t>(</w:t>
      </w:r>
      <w:r>
        <w:rPr>
          <w:rFonts w:ascii="Book Antiqua" w:eastAsia="MS Mincho" w:hAnsi="Book Antiqua" w:cs="Times New Roman"/>
          <w:sz w:val="24"/>
          <w:szCs w:val="24"/>
        </w:rPr>
        <w:t xml:space="preserve">Reproduced from Klingbeil </w:t>
      </w:r>
      <w:r w:rsidRPr="00B15118">
        <w:rPr>
          <w:rFonts w:ascii="Book Antiqua" w:eastAsia="MS Mincho" w:hAnsi="Book Antiqua" w:cs="Times New Roman"/>
          <w:i/>
          <w:sz w:val="24"/>
          <w:szCs w:val="24"/>
        </w:rPr>
        <w:t>et al</w:t>
      </w:r>
      <w:r w:rsidRPr="00695E23">
        <w:rPr>
          <w:rFonts w:ascii="Book Antiqua" w:eastAsia="MS Mincho" w:hAnsi="Book Antiqua" w:cs="Times New Roman"/>
          <w:sz w:val="24"/>
          <w:szCs w:val="24"/>
          <w:vertAlign w:val="superscript"/>
        </w:rPr>
        <w:t>[97]</w:t>
      </w:r>
      <w:r w:rsidRPr="00695E23">
        <w:rPr>
          <w:rFonts w:ascii="Book Antiqua" w:eastAsia="MS Mincho" w:hAnsi="Book Antiqua" w:cs="Times New Roman"/>
          <w:sz w:val="24"/>
          <w:szCs w:val="24"/>
        </w:rPr>
        <w:t>, 2003)</w:t>
      </w:r>
      <w:r>
        <w:rPr>
          <w:rFonts w:ascii="Book Antiqua" w:eastAsia="宋体" w:hAnsi="Book Antiqua" w:cs="Times New Roman" w:hint="eastAsia"/>
          <w:sz w:val="24"/>
          <w:szCs w:val="24"/>
          <w:lang w:eastAsia="zh-CN"/>
        </w:rPr>
        <w:t>.</w:t>
      </w:r>
    </w:p>
    <w:p w14:paraId="441AA6D6" w14:textId="77777777" w:rsidR="00596DFB" w:rsidRPr="00695E23" w:rsidRDefault="00596DFB" w:rsidP="00695E23">
      <w:pPr>
        <w:spacing w:line="360" w:lineRule="auto"/>
        <w:rPr>
          <w:rFonts w:ascii="Book Antiqua" w:hAnsi="Book Antiqua"/>
          <w:sz w:val="24"/>
          <w:szCs w:val="24"/>
        </w:rPr>
      </w:pPr>
    </w:p>
    <w:sectPr w:rsidR="00596DFB" w:rsidRPr="00695E23" w:rsidSect="0025762D">
      <w:head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034E5" w14:textId="77777777" w:rsidR="00955880" w:rsidRDefault="00955880" w:rsidP="002B11ED">
      <w:r>
        <w:separator/>
      </w:r>
    </w:p>
  </w:endnote>
  <w:endnote w:type="continuationSeparator" w:id="0">
    <w:p w14:paraId="1C6CE894" w14:textId="77777777" w:rsidR="00955880" w:rsidRDefault="00955880" w:rsidP="002B1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uperclarendon Black Italic">
    <w:panose1 w:val="02060A05060000020003"/>
    <w:charset w:val="00"/>
    <w:family w:val="auto"/>
    <w:pitch w:val="variable"/>
    <w:sig w:usb0="A00000EF" w:usb1="5000205A" w:usb2="00000000" w:usb3="00000000" w:csb0="00000183"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B54CD" w14:textId="77777777" w:rsidR="00955880" w:rsidRDefault="00955880" w:rsidP="002B11ED">
      <w:r>
        <w:separator/>
      </w:r>
    </w:p>
  </w:footnote>
  <w:footnote w:type="continuationSeparator" w:id="0">
    <w:p w14:paraId="0F6BC688" w14:textId="77777777" w:rsidR="00955880" w:rsidRDefault="00955880" w:rsidP="002B11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9FFC" w14:textId="248FACF1" w:rsidR="00B13355" w:rsidRPr="00525CAB" w:rsidRDefault="00B13355" w:rsidP="00525CAB">
    <w:pPr>
      <w:pStyle w:val="Header"/>
      <w:wordWrap w:val="0"/>
      <w:ind w:leftChars="166" w:left="349"/>
      <w:jc w:val="right"/>
      <w:rPr>
        <w:rFonts w:ascii="Times New Roman" w:hAnsi="Times New Roman"/>
        <w:i/>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C37484"/>
    <w:multiLevelType w:val="hybridMultilevel"/>
    <w:tmpl w:val="DD185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DBD"/>
    <w:rsid w:val="00000527"/>
    <w:rsid w:val="00013006"/>
    <w:rsid w:val="000245F4"/>
    <w:rsid w:val="00036CC4"/>
    <w:rsid w:val="00090B36"/>
    <w:rsid w:val="000A0A02"/>
    <w:rsid w:val="000A2862"/>
    <w:rsid w:val="000B2098"/>
    <w:rsid w:val="000D4E6A"/>
    <w:rsid w:val="000D6DA1"/>
    <w:rsid w:val="000E32A5"/>
    <w:rsid w:val="000E4913"/>
    <w:rsid w:val="000E4F03"/>
    <w:rsid w:val="000F6F8B"/>
    <w:rsid w:val="00102B97"/>
    <w:rsid w:val="00106E3F"/>
    <w:rsid w:val="001114C7"/>
    <w:rsid w:val="00113495"/>
    <w:rsid w:val="00123F05"/>
    <w:rsid w:val="001324C0"/>
    <w:rsid w:val="00147D2D"/>
    <w:rsid w:val="00155D9D"/>
    <w:rsid w:val="0016790E"/>
    <w:rsid w:val="0019394A"/>
    <w:rsid w:val="00195225"/>
    <w:rsid w:val="0019742C"/>
    <w:rsid w:val="001B315F"/>
    <w:rsid w:val="001D0DBD"/>
    <w:rsid w:val="001D6883"/>
    <w:rsid w:val="001E1CA6"/>
    <w:rsid w:val="001E4A6E"/>
    <w:rsid w:val="001E7459"/>
    <w:rsid w:val="001E776A"/>
    <w:rsid w:val="00206C45"/>
    <w:rsid w:val="002109A4"/>
    <w:rsid w:val="002235FC"/>
    <w:rsid w:val="00237FDD"/>
    <w:rsid w:val="0025762D"/>
    <w:rsid w:val="00282B71"/>
    <w:rsid w:val="00285FE8"/>
    <w:rsid w:val="002905D7"/>
    <w:rsid w:val="00292CE0"/>
    <w:rsid w:val="002948F9"/>
    <w:rsid w:val="002A12A8"/>
    <w:rsid w:val="002B11ED"/>
    <w:rsid w:val="002F045A"/>
    <w:rsid w:val="002F0C6A"/>
    <w:rsid w:val="002F7BF4"/>
    <w:rsid w:val="00311374"/>
    <w:rsid w:val="003124F3"/>
    <w:rsid w:val="00327171"/>
    <w:rsid w:val="003327C7"/>
    <w:rsid w:val="00342F05"/>
    <w:rsid w:val="00345E79"/>
    <w:rsid w:val="003462E3"/>
    <w:rsid w:val="003507AA"/>
    <w:rsid w:val="003550BA"/>
    <w:rsid w:val="00357DE4"/>
    <w:rsid w:val="00365B0E"/>
    <w:rsid w:val="00365C38"/>
    <w:rsid w:val="00366B0C"/>
    <w:rsid w:val="00386D0E"/>
    <w:rsid w:val="003968E9"/>
    <w:rsid w:val="003A3C70"/>
    <w:rsid w:val="003E0ED4"/>
    <w:rsid w:val="004105BB"/>
    <w:rsid w:val="004251B5"/>
    <w:rsid w:val="00427C4B"/>
    <w:rsid w:val="00431D9A"/>
    <w:rsid w:val="00440D8B"/>
    <w:rsid w:val="004459B0"/>
    <w:rsid w:val="004474F8"/>
    <w:rsid w:val="00454325"/>
    <w:rsid w:val="00455DB6"/>
    <w:rsid w:val="0045763E"/>
    <w:rsid w:val="004747F8"/>
    <w:rsid w:val="0047571F"/>
    <w:rsid w:val="00475898"/>
    <w:rsid w:val="00494C6A"/>
    <w:rsid w:val="004A434B"/>
    <w:rsid w:val="004B2894"/>
    <w:rsid w:val="004E35C5"/>
    <w:rsid w:val="004E40D0"/>
    <w:rsid w:val="004F31B5"/>
    <w:rsid w:val="00505CB0"/>
    <w:rsid w:val="005148F7"/>
    <w:rsid w:val="0051516D"/>
    <w:rsid w:val="0052280C"/>
    <w:rsid w:val="00524319"/>
    <w:rsid w:val="00524B24"/>
    <w:rsid w:val="005253EE"/>
    <w:rsid w:val="00525CAB"/>
    <w:rsid w:val="00533179"/>
    <w:rsid w:val="005339A7"/>
    <w:rsid w:val="00541220"/>
    <w:rsid w:val="005461EA"/>
    <w:rsid w:val="005655A4"/>
    <w:rsid w:val="005674CF"/>
    <w:rsid w:val="00585DCF"/>
    <w:rsid w:val="00593B87"/>
    <w:rsid w:val="00596DFB"/>
    <w:rsid w:val="005A1C71"/>
    <w:rsid w:val="005B5068"/>
    <w:rsid w:val="005C0C2E"/>
    <w:rsid w:val="005C41EC"/>
    <w:rsid w:val="005C6CF8"/>
    <w:rsid w:val="005C6D10"/>
    <w:rsid w:val="005D50B3"/>
    <w:rsid w:val="005E4E03"/>
    <w:rsid w:val="005E56EA"/>
    <w:rsid w:val="005F39D2"/>
    <w:rsid w:val="005F7359"/>
    <w:rsid w:val="0061442C"/>
    <w:rsid w:val="00625ADE"/>
    <w:rsid w:val="006613E7"/>
    <w:rsid w:val="00661D10"/>
    <w:rsid w:val="00670025"/>
    <w:rsid w:val="00682AF9"/>
    <w:rsid w:val="006856E5"/>
    <w:rsid w:val="00691C02"/>
    <w:rsid w:val="006935F6"/>
    <w:rsid w:val="00695E23"/>
    <w:rsid w:val="00697BF4"/>
    <w:rsid w:val="006C47F7"/>
    <w:rsid w:val="006D2033"/>
    <w:rsid w:val="006D59A9"/>
    <w:rsid w:val="006E2E5A"/>
    <w:rsid w:val="006E5D0E"/>
    <w:rsid w:val="006F7AAD"/>
    <w:rsid w:val="00700568"/>
    <w:rsid w:val="00705EBD"/>
    <w:rsid w:val="007365EE"/>
    <w:rsid w:val="00743B57"/>
    <w:rsid w:val="007666EF"/>
    <w:rsid w:val="0077498E"/>
    <w:rsid w:val="0078519A"/>
    <w:rsid w:val="00785E65"/>
    <w:rsid w:val="00790843"/>
    <w:rsid w:val="007A2162"/>
    <w:rsid w:val="007A512C"/>
    <w:rsid w:val="007B4C50"/>
    <w:rsid w:val="007C2320"/>
    <w:rsid w:val="007E2FD9"/>
    <w:rsid w:val="007F18D5"/>
    <w:rsid w:val="00800568"/>
    <w:rsid w:val="008203B5"/>
    <w:rsid w:val="00826311"/>
    <w:rsid w:val="00834D9E"/>
    <w:rsid w:val="00850EE2"/>
    <w:rsid w:val="0085247E"/>
    <w:rsid w:val="008B2500"/>
    <w:rsid w:val="008B2599"/>
    <w:rsid w:val="008B7785"/>
    <w:rsid w:val="008C236C"/>
    <w:rsid w:val="008D10D8"/>
    <w:rsid w:val="008D1F4F"/>
    <w:rsid w:val="008D4FFB"/>
    <w:rsid w:val="008D5120"/>
    <w:rsid w:val="008E25E0"/>
    <w:rsid w:val="008E6AFC"/>
    <w:rsid w:val="008F1387"/>
    <w:rsid w:val="00912001"/>
    <w:rsid w:val="009236A7"/>
    <w:rsid w:val="00926ABE"/>
    <w:rsid w:val="009330D7"/>
    <w:rsid w:val="00944251"/>
    <w:rsid w:val="00946C89"/>
    <w:rsid w:val="00950B20"/>
    <w:rsid w:val="00954939"/>
    <w:rsid w:val="00955880"/>
    <w:rsid w:val="00960A1A"/>
    <w:rsid w:val="009709E4"/>
    <w:rsid w:val="009802A6"/>
    <w:rsid w:val="00985D83"/>
    <w:rsid w:val="00995C22"/>
    <w:rsid w:val="009A730D"/>
    <w:rsid w:val="009B67C9"/>
    <w:rsid w:val="009C7E3D"/>
    <w:rsid w:val="009D7C7E"/>
    <w:rsid w:val="009E2410"/>
    <w:rsid w:val="00A232AF"/>
    <w:rsid w:val="00A27B9D"/>
    <w:rsid w:val="00A51382"/>
    <w:rsid w:val="00A54664"/>
    <w:rsid w:val="00A61F2A"/>
    <w:rsid w:val="00A6523D"/>
    <w:rsid w:val="00A929A7"/>
    <w:rsid w:val="00AA0D4E"/>
    <w:rsid w:val="00AA60C4"/>
    <w:rsid w:val="00AC2A6B"/>
    <w:rsid w:val="00AF083E"/>
    <w:rsid w:val="00AF47D2"/>
    <w:rsid w:val="00AF7267"/>
    <w:rsid w:val="00B0160F"/>
    <w:rsid w:val="00B10A51"/>
    <w:rsid w:val="00B13355"/>
    <w:rsid w:val="00B15118"/>
    <w:rsid w:val="00B32DA1"/>
    <w:rsid w:val="00B3311B"/>
    <w:rsid w:val="00B45D6A"/>
    <w:rsid w:val="00B571EC"/>
    <w:rsid w:val="00B90C59"/>
    <w:rsid w:val="00BB1E0A"/>
    <w:rsid w:val="00BB50F5"/>
    <w:rsid w:val="00BC7931"/>
    <w:rsid w:val="00BE5A21"/>
    <w:rsid w:val="00C11FA0"/>
    <w:rsid w:val="00C25816"/>
    <w:rsid w:val="00C27686"/>
    <w:rsid w:val="00C30D16"/>
    <w:rsid w:val="00C37FF4"/>
    <w:rsid w:val="00C43C5A"/>
    <w:rsid w:val="00C53E42"/>
    <w:rsid w:val="00C603DB"/>
    <w:rsid w:val="00CB62D9"/>
    <w:rsid w:val="00CC3A11"/>
    <w:rsid w:val="00CD2BA6"/>
    <w:rsid w:val="00CD30BD"/>
    <w:rsid w:val="00CE0D18"/>
    <w:rsid w:val="00CE3157"/>
    <w:rsid w:val="00CF5CCA"/>
    <w:rsid w:val="00D20016"/>
    <w:rsid w:val="00D515CA"/>
    <w:rsid w:val="00D529FF"/>
    <w:rsid w:val="00D56DBD"/>
    <w:rsid w:val="00D6481D"/>
    <w:rsid w:val="00D85B77"/>
    <w:rsid w:val="00DA2611"/>
    <w:rsid w:val="00DA7951"/>
    <w:rsid w:val="00DD27E9"/>
    <w:rsid w:val="00DD4A4C"/>
    <w:rsid w:val="00DD7174"/>
    <w:rsid w:val="00DE4EF6"/>
    <w:rsid w:val="00E013F7"/>
    <w:rsid w:val="00E015F6"/>
    <w:rsid w:val="00E20111"/>
    <w:rsid w:val="00E2415C"/>
    <w:rsid w:val="00E43901"/>
    <w:rsid w:val="00E45077"/>
    <w:rsid w:val="00E51E56"/>
    <w:rsid w:val="00E5205A"/>
    <w:rsid w:val="00E57251"/>
    <w:rsid w:val="00E63A61"/>
    <w:rsid w:val="00E63FBE"/>
    <w:rsid w:val="00E75916"/>
    <w:rsid w:val="00E82485"/>
    <w:rsid w:val="00EA6B8D"/>
    <w:rsid w:val="00EB1205"/>
    <w:rsid w:val="00EC4418"/>
    <w:rsid w:val="00F14B21"/>
    <w:rsid w:val="00F332A4"/>
    <w:rsid w:val="00F335A7"/>
    <w:rsid w:val="00F40827"/>
    <w:rsid w:val="00F41ADB"/>
    <w:rsid w:val="00F53D67"/>
    <w:rsid w:val="00F55A02"/>
    <w:rsid w:val="00F634D5"/>
    <w:rsid w:val="00F714FD"/>
    <w:rsid w:val="00F73A4E"/>
    <w:rsid w:val="00F85DE3"/>
    <w:rsid w:val="00F936F9"/>
    <w:rsid w:val="00FA5C6A"/>
    <w:rsid w:val="00FB3B91"/>
    <w:rsid w:val="00FC7607"/>
    <w:rsid w:val="00FF08CD"/>
    <w:rsid w:val="00FF5467"/>
    <w:rsid w:val="00FF6DE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2BD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E03"/>
    <w:rPr>
      <w:rFonts w:ascii="Tahoma" w:hAnsi="Tahoma" w:cs="Tahoma"/>
      <w:sz w:val="16"/>
      <w:szCs w:val="16"/>
    </w:rPr>
  </w:style>
  <w:style w:type="character" w:customStyle="1" w:styleId="BalloonTextChar">
    <w:name w:val="Balloon Text Char"/>
    <w:basedOn w:val="DefaultParagraphFont"/>
    <w:link w:val="BalloonText"/>
    <w:uiPriority w:val="99"/>
    <w:semiHidden/>
    <w:rsid w:val="005E4E03"/>
    <w:rPr>
      <w:rFonts w:ascii="Tahoma" w:hAnsi="Tahoma" w:cs="Tahoma"/>
      <w:sz w:val="16"/>
      <w:szCs w:val="16"/>
    </w:rPr>
  </w:style>
  <w:style w:type="character" w:styleId="CommentReference">
    <w:name w:val="annotation reference"/>
    <w:basedOn w:val="DefaultParagraphFont"/>
    <w:uiPriority w:val="99"/>
    <w:semiHidden/>
    <w:unhideWhenUsed/>
    <w:rsid w:val="006D59A9"/>
    <w:rPr>
      <w:sz w:val="16"/>
      <w:szCs w:val="16"/>
    </w:rPr>
  </w:style>
  <w:style w:type="paragraph" w:styleId="CommentText">
    <w:name w:val="annotation text"/>
    <w:basedOn w:val="Normal"/>
    <w:link w:val="CommentTextChar"/>
    <w:uiPriority w:val="99"/>
    <w:semiHidden/>
    <w:unhideWhenUsed/>
    <w:rsid w:val="006D59A9"/>
    <w:rPr>
      <w:sz w:val="20"/>
      <w:szCs w:val="20"/>
    </w:rPr>
  </w:style>
  <w:style w:type="character" w:customStyle="1" w:styleId="CommentTextChar">
    <w:name w:val="Comment Text Char"/>
    <w:basedOn w:val="DefaultParagraphFont"/>
    <w:link w:val="CommentText"/>
    <w:uiPriority w:val="99"/>
    <w:semiHidden/>
    <w:rsid w:val="006D59A9"/>
    <w:rPr>
      <w:sz w:val="20"/>
      <w:szCs w:val="20"/>
    </w:rPr>
  </w:style>
  <w:style w:type="paragraph" w:styleId="CommentSubject">
    <w:name w:val="annotation subject"/>
    <w:basedOn w:val="CommentText"/>
    <w:next w:val="CommentText"/>
    <w:link w:val="CommentSubjectChar"/>
    <w:uiPriority w:val="99"/>
    <w:semiHidden/>
    <w:unhideWhenUsed/>
    <w:rsid w:val="006D59A9"/>
    <w:rPr>
      <w:b/>
      <w:bCs/>
    </w:rPr>
  </w:style>
  <w:style w:type="character" w:customStyle="1" w:styleId="CommentSubjectChar">
    <w:name w:val="Comment Subject Char"/>
    <w:basedOn w:val="CommentTextChar"/>
    <w:link w:val="CommentSubject"/>
    <w:uiPriority w:val="99"/>
    <w:semiHidden/>
    <w:rsid w:val="006D59A9"/>
    <w:rPr>
      <w:b/>
      <w:bCs/>
      <w:sz w:val="20"/>
      <w:szCs w:val="20"/>
    </w:rPr>
  </w:style>
  <w:style w:type="paragraph" w:styleId="Header">
    <w:name w:val="header"/>
    <w:basedOn w:val="Normal"/>
    <w:link w:val="HeaderChar"/>
    <w:uiPriority w:val="99"/>
    <w:unhideWhenUsed/>
    <w:rsid w:val="002B11ED"/>
    <w:pPr>
      <w:tabs>
        <w:tab w:val="center" w:pos="4680"/>
        <w:tab w:val="right" w:pos="9360"/>
      </w:tabs>
    </w:pPr>
  </w:style>
  <w:style w:type="character" w:customStyle="1" w:styleId="HeaderChar">
    <w:name w:val="Header Char"/>
    <w:basedOn w:val="DefaultParagraphFont"/>
    <w:link w:val="Header"/>
    <w:uiPriority w:val="99"/>
    <w:rsid w:val="002B11ED"/>
  </w:style>
  <w:style w:type="paragraph" w:styleId="Footer">
    <w:name w:val="footer"/>
    <w:basedOn w:val="Normal"/>
    <w:link w:val="FooterChar"/>
    <w:uiPriority w:val="99"/>
    <w:unhideWhenUsed/>
    <w:rsid w:val="002B11ED"/>
    <w:pPr>
      <w:tabs>
        <w:tab w:val="center" w:pos="4680"/>
        <w:tab w:val="right" w:pos="9360"/>
      </w:tabs>
    </w:pPr>
  </w:style>
  <w:style w:type="character" w:customStyle="1" w:styleId="FooterChar">
    <w:name w:val="Footer Char"/>
    <w:basedOn w:val="DefaultParagraphFont"/>
    <w:link w:val="Footer"/>
    <w:uiPriority w:val="99"/>
    <w:rsid w:val="002B11ED"/>
  </w:style>
  <w:style w:type="paragraph" w:styleId="BodyText">
    <w:name w:val="Body Text"/>
    <w:basedOn w:val="Normal"/>
    <w:link w:val="BodyTextChar"/>
    <w:uiPriority w:val="99"/>
    <w:semiHidden/>
    <w:unhideWhenUsed/>
    <w:rsid w:val="00697BF4"/>
    <w:pPr>
      <w:spacing w:after="120"/>
    </w:pPr>
  </w:style>
  <w:style w:type="character" w:customStyle="1" w:styleId="BodyTextChar">
    <w:name w:val="Body Text Char"/>
    <w:basedOn w:val="DefaultParagraphFont"/>
    <w:link w:val="BodyText"/>
    <w:uiPriority w:val="99"/>
    <w:semiHidden/>
    <w:rsid w:val="00697BF4"/>
  </w:style>
  <w:style w:type="paragraph" w:styleId="BodyTextFirstIndent">
    <w:name w:val="Body Text First Indent"/>
    <w:basedOn w:val="BodyText"/>
    <w:link w:val="BodyTextFirstIndentChar"/>
    <w:uiPriority w:val="99"/>
    <w:semiHidden/>
    <w:unhideWhenUsed/>
    <w:rsid w:val="00697BF4"/>
    <w:pPr>
      <w:spacing w:after="0"/>
      <w:ind w:firstLine="360"/>
    </w:pPr>
  </w:style>
  <w:style w:type="character" w:customStyle="1" w:styleId="BodyTextFirstIndentChar">
    <w:name w:val="Body Text First Indent Char"/>
    <w:basedOn w:val="BodyTextChar"/>
    <w:link w:val="BodyTextFirstIndent"/>
    <w:uiPriority w:val="99"/>
    <w:semiHidden/>
    <w:rsid w:val="00697BF4"/>
  </w:style>
  <w:style w:type="character" w:styleId="Hyperlink">
    <w:name w:val="Hyperlink"/>
    <w:basedOn w:val="DefaultParagraphFont"/>
    <w:uiPriority w:val="99"/>
    <w:unhideWhenUsed/>
    <w:rsid w:val="005339A7"/>
    <w:rPr>
      <w:color w:val="0000FF"/>
      <w:u w:val="single"/>
    </w:rPr>
  </w:style>
  <w:style w:type="paragraph" w:styleId="ListParagraph">
    <w:name w:val="List Paragraph"/>
    <w:basedOn w:val="Normal"/>
    <w:uiPriority w:val="34"/>
    <w:qFormat/>
    <w:rsid w:val="00F714FD"/>
    <w:pPr>
      <w:ind w:left="720"/>
      <w:contextualSpacing/>
    </w:pPr>
  </w:style>
  <w:style w:type="paragraph" w:styleId="PlainText">
    <w:name w:val="Plain Text"/>
    <w:basedOn w:val="Normal"/>
    <w:link w:val="PlainTextChar"/>
    <w:rsid w:val="003327C7"/>
    <w:rPr>
      <w:rFonts w:ascii="宋体" w:eastAsia="宋体" w:hAnsi="Courier New" w:cs="Courier New"/>
      <w:szCs w:val="21"/>
      <w:lang w:eastAsia="zh-CN"/>
    </w:rPr>
  </w:style>
  <w:style w:type="character" w:customStyle="1" w:styleId="PlainTextChar">
    <w:name w:val="Plain Text Char"/>
    <w:basedOn w:val="DefaultParagraphFont"/>
    <w:link w:val="PlainText"/>
    <w:rsid w:val="003327C7"/>
    <w:rPr>
      <w:rFonts w:ascii="宋体" w:eastAsia="宋体" w:hAnsi="Courier New" w:cs="Courier New"/>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E03"/>
    <w:rPr>
      <w:rFonts w:ascii="Tahoma" w:hAnsi="Tahoma" w:cs="Tahoma"/>
      <w:sz w:val="16"/>
      <w:szCs w:val="16"/>
    </w:rPr>
  </w:style>
  <w:style w:type="character" w:customStyle="1" w:styleId="BalloonTextChar">
    <w:name w:val="Balloon Text Char"/>
    <w:basedOn w:val="DefaultParagraphFont"/>
    <w:link w:val="BalloonText"/>
    <w:uiPriority w:val="99"/>
    <w:semiHidden/>
    <w:rsid w:val="005E4E03"/>
    <w:rPr>
      <w:rFonts w:ascii="Tahoma" w:hAnsi="Tahoma" w:cs="Tahoma"/>
      <w:sz w:val="16"/>
      <w:szCs w:val="16"/>
    </w:rPr>
  </w:style>
  <w:style w:type="character" w:styleId="CommentReference">
    <w:name w:val="annotation reference"/>
    <w:basedOn w:val="DefaultParagraphFont"/>
    <w:uiPriority w:val="99"/>
    <w:semiHidden/>
    <w:unhideWhenUsed/>
    <w:rsid w:val="006D59A9"/>
    <w:rPr>
      <w:sz w:val="16"/>
      <w:szCs w:val="16"/>
    </w:rPr>
  </w:style>
  <w:style w:type="paragraph" w:styleId="CommentText">
    <w:name w:val="annotation text"/>
    <w:basedOn w:val="Normal"/>
    <w:link w:val="CommentTextChar"/>
    <w:uiPriority w:val="99"/>
    <w:semiHidden/>
    <w:unhideWhenUsed/>
    <w:rsid w:val="006D59A9"/>
    <w:rPr>
      <w:sz w:val="20"/>
      <w:szCs w:val="20"/>
    </w:rPr>
  </w:style>
  <w:style w:type="character" w:customStyle="1" w:styleId="CommentTextChar">
    <w:name w:val="Comment Text Char"/>
    <w:basedOn w:val="DefaultParagraphFont"/>
    <w:link w:val="CommentText"/>
    <w:uiPriority w:val="99"/>
    <w:semiHidden/>
    <w:rsid w:val="006D59A9"/>
    <w:rPr>
      <w:sz w:val="20"/>
      <w:szCs w:val="20"/>
    </w:rPr>
  </w:style>
  <w:style w:type="paragraph" w:styleId="CommentSubject">
    <w:name w:val="annotation subject"/>
    <w:basedOn w:val="CommentText"/>
    <w:next w:val="CommentText"/>
    <w:link w:val="CommentSubjectChar"/>
    <w:uiPriority w:val="99"/>
    <w:semiHidden/>
    <w:unhideWhenUsed/>
    <w:rsid w:val="006D59A9"/>
    <w:rPr>
      <w:b/>
      <w:bCs/>
    </w:rPr>
  </w:style>
  <w:style w:type="character" w:customStyle="1" w:styleId="CommentSubjectChar">
    <w:name w:val="Comment Subject Char"/>
    <w:basedOn w:val="CommentTextChar"/>
    <w:link w:val="CommentSubject"/>
    <w:uiPriority w:val="99"/>
    <w:semiHidden/>
    <w:rsid w:val="006D59A9"/>
    <w:rPr>
      <w:b/>
      <w:bCs/>
      <w:sz w:val="20"/>
      <w:szCs w:val="20"/>
    </w:rPr>
  </w:style>
  <w:style w:type="paragraph" w:styleId="Header">
    <w:name w:val="header"/>
    <w:basedOn w:val="Normal"/>
    <w:link w:val="HeaderChar"/>
    <w:uiPriority w:val="99"/>
    <w:unhideWhenUsed/>
    <w:rsid w:val="002B11ED"/>
    <w:pPr>
      <w:tabs>
        <w:tab w:val="center" w:pos="4680"/>
        <w:tab w:val="right" w:pos="9360"/>
      </w:tabs>
    </w:pPr>
  </w:style>
  <w:style w:type="character" w:customStyle="1" w:styleId="HeaderChar">
    <w:name w:val="Header Char"/>
    <w:basedOn w:val="DefaultParagraphFont"/>
    <w:link w:val="Header"/>
    <w:uiPriority w:val="99"/>
    <w:rsid w:val="002B11ED"/>
  </w:style>
  <w:style w:type="paragraph" w:styleId="Footer">
    <w:name w:val="footer"/>
    <w:basedOn w:val="Normal"/>
    <w:link w:val="FooterChar"/>
    <w:uiPriority w:val="99"/>
    <w:unhideWhenUsed/>
    <w:rsid w:val="002B11ED"/>
    <w:pPr>
      <w:tabs>
        <w:tab w:val="center" w:pos="4680"/>
        <w:tab w:val="right" w:pos="9360"/>
      </w:tabs>
    </w:pPr>
  </w:style>
  <w:style w:type="character" w:customStyle="1" w:styleId="FooterChar">
    <w:name w:val="Footer Char"/>
    <w:basedOn w:val="DefaultParagraphFont"/>
    <w:link w:val="Footer"/>
    <w:uiPriority w:val="99"/>
    <w:rsid w:val="002B11ED"/>
  </w:style>
  <w:style w:type="paragraph" w:styleId="BodyText">
    <w:name w:val="Body Text"/>
    <w:basedOn w:val="Normal"/>
    <w:link w:val="BodyTextChar"/>
    <w:uiPriority w:val="99"/>
    <w:semiHidden/>
    <w:unhideWhenUsed/>
    <w:rsid w:val="00697BF4"/>
    <w:pPr>
      <w:spacing w:after="120"/>
    </w:pPr>
  </w:style>
  <w:style w:type="character" w:customStyle="1" w:styleId="BodyTextChar">
    <w:name w:val="Body Text Char"/>
    <w:basedOn w:val="DefaultParagraphFont"/>
    <w:link w:val="BodyText"/>
    <w:uiPriority w:val="99"/>
    <w:semiHidden/>
    <w:rsid w:val="00697BF4"/>
  </w:style>
  <w:style w:type="paragraph" w:styleId="BodyTextFirstIndent">
    <w:name w:val="Body Text First Indent"/>
    <w:basedOn w:val="BodyText"/>
    <w:link w:val="BodyTextFirstIndentChar"/>
    <w:uiPriority w:val="99"/>
    <w:semiHidden/>
    <w:unhideWhenUsed/>
    <w:rsid w:val="00697BF4"/>
    <w:pPr>
      <w:spacing w:after="0"/>
      <w:ind w:firstLine="360"/>
    </w:pPr>
  </w:style>
  <w:style w:type="character" w:customStyle="1" w:styleId="BodyTextFirstIndentChar">
    <w:name w:val="Body Text First Indent Char"/>
    <w:basedOn w:val="BodyTextChar"/>
    <w:link w:val="BodyTextFirstIndent"/>
    <w:uiPriority w:val="99"/>
    <w:semiHidden/>
    <w:rsid w:val="00697BF4"/>
  </w:style>
  <w:style w:type="character" w:styleId="Hyperlink">
    <w:name w:val="Hyperlink"/>
    <w:basedOn w:val="DefaultParagraphFont"/>
    <w:uiPriority w:val="99"/>
    <w:unhideWhenUsed/>
    <w:rsid w:val="005339A7"/>
    <w:rPr>
      <w:color w:val="0000FF"/>
      <w:u w:val="single"/>
    </w:rPr>
  </w:style>
  <w:style w:type="paragraph" w:styleId="ListParagraph">
    <w:name w:val="List Paragraph"/>
    <w:basedOn w:val="Normal"/>
    <w:uiPriority w:val="34"/>
    <w:qFormat/>
    <w:rsid w:val="00F714FD"/>
    <w:pPr>
      <w:ind w:left="720"/>
      <w:contextualSpacing/>
    </w:pPr>
  </w:style>
  <w:style w:type="paragraph" w:styleId="PlainText">
    <w:name w:val="Plain Text"/>
    <w:basedOn w:val="Normal"/>
    <w:link w:val="PlainTextChar"/>
    <w:rsid w:val="003327C7"/>
    <w:rPr>
      <w:rFonts w:ascii="宋体" w:eastAsia="宋体" w:hAnsi="Courier New" w:cs="Courier New"/>
      <w:szCs w:val="21"/>
      <w:lang w:eastAsia="zh-CN"/>
    </w:rPr>
  </w:style>
  <w:style w:type="character" w:customStyle="1" w:styleId="PlainTextChar">
    <w:name w:val="Plain Text Char"/>
    <w:basedOn w:val="DefaultParagraphFont"/>
    <w:link w:val="PlainText"/>
    <w:rsid w:val="003327C7"/>
    <w:rPr>
      <w:rFonts w:ascii="宋体" w:eastAsia="宋体"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896062">
      <w:bodyDiv w:val="1"/>
      <w:marLeft w:val="0"/>
      <w:marRight w:val="0"/>
      <w:marTop w:val="0"/>
      <w:marBottom w:val="0"/>
      <w:divBdr>
        <w:top w:val="none" w:sz="0" w:space="0" w:color="auto"/>
        <w:left w:val="none" w:sz="0" w:space="0" w:color="auto"/>
        <w:bottom w:val="none" w:sz="0" w:space="0" w:color="auto"/>
        <w:right w:val="none" w:sz="0" w:space="0" w:color="auto"/>
      </w:divBdr>
      <w:divsChild>
        <w:div w:id="1601910380">
          <w:marLeft w:val="0"/>
          <w:marRight w:val="0"/>
          <w:marTop w:val="0"/>
          <w:marBottom w:val="0"/>
          <w:divBdr>
            <w:top w:val="none" w:sz="0" w:space="0" w:color="auto"/>
            <w:left w:val="none" w:sz="0" w:space="0" w:color="auto"/>
            <w:bottom w:val="none" w:sz="0" w:space="0" w:color="auto"/>
            <w:right w:val="none" w:sz="0" w:space="0" w:color="auto"/>
          </w:divBdr>
          <w:divsChild>
            <w:div w:id="870193637">
              <w:marLeft w:val="0"/>
              <w:marRight w:val="0"/>
              <w:marTop w:val="0"/>
              <w:marBottom w:val="0"/>
              <w:divBdr>
                <w:top w:val="none" w:sz="0" w:space="0" w:color="auto"/>
                <w:left w:val="none" w:sz="0" w:space="0" w:color="auto"/>
                <w:bottom w:val="none" w:sz="0" w:space="0" w:color="auto"/>
                <w:right w:val="none" w:sz="0" w:space="0" w:color="auto"/>
              </w:divBdr>
            </w:div>
            <w:div w:id="1858494574">
              <w:marLeft w:val="0"/>
              <w:marRight w:val="0"/>
              <w:marTop w:val="0"/>
              <w:marBottom w:val="0"/>
              <w:divBdr>
                <w:top w:val="none" w:sz="0" w:space="0" w:color="auto"/>
                <w:left w:val="none" w:sz="0" w:space="0" w:color="auto"/>
                <w:bottom w:val="none" w:sz="0" w:space="0" w:color="auto"/>
                <w:right w:val="none" w:sz="0" w:space="0" w:color="auto"/>
              </w:divBdr>
            </w:div>
            <w:div w:id="2011981118">
              <w:marLeft w:val="0"/>
              <w:marRight w:val="0"/>
              <w:marTop w:val="0"/>
              <w:marBottom w:val="0"/>
              <w:divBdr>
                <w:top w:val="none" w:sz="0" w:space="0" w:color="auto"/>
                <w:left w:val="none" w:sz="0" w:space="0" w:color="auto"/>
                <w:bottom w:val="none" w:sz="0" w:space="0" w:color="auto"/>
                <w:right w:val="none" w:sz="0" w:space="0" w:color="auto"/>
              </w:divBdr>
            </w:div>
            <w:div w:id="688142694">
              <w:marLeft w:val="0"/>
              <w:marRight w:val="0"/>
              <w:marTop w:val="0"/>
              <w:marBottom w:val="0"/>
              <w:divBdr>
                <w:top w:val="none" w:sz="0" w:space="0" w:color="auto"/>
                <w:left w:val="none" w:sz="0" w:space="0" w:color="auto"/>
                <w:bottom w:val="none" w:sz="0" w:space="0" w:color="auto"/>
                <w:right w:val="none" w:sz="0" w:space="0" w:color="auto"/>
              </w:divBdr>
            </w:div>
            <w:div w:id="262885659">
              <w:marLeft w:val="0"/>
              <w:marRight w:val="0"/>
              <w:marTop w:val="0"/>
              <w:marBottom w:val="0"/>
              <w:divBdr>
                <w:top w:val="none" w:sz="0" w:space="0" w:color="auto"/>
                <w:left w:val="none" w:sz="0" w:space="0" w:color="auto"/>
                <w:bottom w:val="none" w:sz="0" w:space="0" w:color="auto"/>
                <w:right w:val="none" w:sz="0" w:space="0" w:color="auto"/>
              </w:divBdr>
            </w:div>
            <w:div w:id="201793768">
              <w:marLeft w:val="0"/>
              <w:marRight w:val="0"/>
              <w:marTop w:val="0"/>
              <w:marBottom w:val="0"/>
              <w:divBdr>
                <w:top w:val="none" w:sz="0" w:space="0" w:color="auto"/>
                <w:left w:val="none" w:sz="0" w:space="0" w:color="auto"/>
                <w:bottom w:val="none" w:sz="0" w:space="0" w:color="auto"/>
                <w:right w:val="none" w:sz="0" w:space="0" w:color="auto"/>
              </w:divBdr>
            </w:div>
            <w:div w:id="1759591555">
              <w:marLeft w:val="0"/>
              <w:marRight w:val="0"/>
              <w:marTop w:val="0"/>
              <w:marBottom w:val="0"/>
              <w:divBdr>
                <w:top w:val="none" w:sz="0" w:space="0" w:color="auto"/>
                <w:left w:val="none" w:sz="0" w:space="0" w:color="auto"/>
                <w:bottom w:val="none" w:sz="0" w:space="0" w:color="auto"/>
                <w:right w:val="none" w:sz="0" w:space="0" w:color="auto"/>
              </w:divBdr>
            </w:div>
            <w:div w:id="380978624">
              <w:marLeft w:val="0"/>
              <w:marRight w:val="0"/>
              <w:marTop w:val="0"/>
              <w:marBottom w:val="0"/>
              <w:divBdr>
                <w:top w:val="none" w:sz="0" w:space="0" w:color="auto"/>
                <w:left w:val="none" w:sz="0" w:space="0" w:color="auto"/>
                <w:bottom w:val="none" w:sz="0" w:space="0" w:color="auto"/>
                <w:right w:val="none" w:sz="0" w:space="0" w:color="auto"/>
              </w:divBdr>
            </w:div>
            <w:div w:id="1729844678">
              <w:marLeft w:val="0"/>
              <w:marRight w:val="0"/>
              <w:marTop w:val="0"/>
              <w:marBottom w:val="0"/>
              <w:divBdr>
                <w:top w:val="none" w:sz="0" w:space="0" w:color="auto"/>
                <w:left w:val="none" w:sz="0" w:space="0" w:color="auto"/>
                <w:bottom w:val="none" w:sz="0" w:space="0" w:color="auto"/>
                <w:right w:val="none" w:sz="0" w:space="0" w:color="auto"/>
              </w:divBdr>
            </w:div>
            <w:div w:id="723869695">
              <w:marLeft w:val="0"/>
              <w:marRight w:val="0"/>
              <w:marTop w:val="0"/>
              <w:marBottom w:val="0"/>
              <w:divBdr>
                <w:top w:val="none" w:sz="0" w:space="0" w:color="auto"/>
                <w:left w:val="none" w:sz="0" w:space="0" w:color="auto"/>
                <w:bottom w:val="none" w:sz="0" w:space="0" w:color="auto"/>
                <w:right w:val="none" w:sz="0" w:space="0" w:color="auto"/>
              </w:divBdr>
            </w:div>
            <w:div w:id="1333411926">
              <w:marLeft w:val="0"/>
              <w:marRight w:val="0"/>
              <w:marTop w:val="0"/>
              <w:marBottom w:val="0"/>
              <w:divBdr>
                <w:top w:val="none" w:sz="0" w:space="0" w:color="auto"/>
                <w:left w:val="none" w:sz="0" w:space="0" w:color="auto"/>
                <w:bottom w:val="none" w:sz="0" w:space="0" w:color="auto"/>
                <w:right w:val="none" w:sz="0" w:space="0" w:color="auto"/>
              </w:divBdr>
            </w:div>
            <w:div w:id="1336304058">
              <w:marLeft w:val="0"/>
              <w:marRight w:val="0"/>
              <w:marTop w:val="0"/>
              <w:marBottom w:val="0"/>
              <w:divBdr>
                <w:top w:val="none" w:sz="0" w:space="0" w:color="auto"/>
                <w:left w:val="none" w:sz="0" w:space="0" w:color="auto"/>
                <w:bottom w:val="none" w:sz="0" w:space="0" w:color="auto"/>
                <w:right w:val="none" w:sz="0" w:space="0" w:color="auto"/>
              </w:divBdr>
            </w:div>
            <w:div w:id="1386416689">
              <w:marLeft w:val="0"/>
              <w:marRight w:val="0"/>
              <w:marTop w:val="0"/>
              <w:marBottom w:val="0"/>
              <w:divBdr>
                <w:top w:val="none" w:sz="0" w:space="0" w:color="auto"/>
                <w:left w:val="none" w:sz="0" w:space="0" w:color="auto"/>
                <w:bottom w:val="none" w:sz="0" w:space="0" w:color="auto"/>
                <w:right w:val="none" w:sz="0" w:space="0" w:color="auto"/>
              </w:divBdr>
            </w:div>
            <w:div w:id="261760952">
              <w:marLeft w:val="0"/>
              <w:marRight w:val="0"/>
              <w:marTop w:val="0"/>
              <w:marBottom w:val="0"/>
              <w:divBdr>
                <w:top w:val="none" w:sz="0" w:space="0" w:color="auto"/>
                <w:left w:val="none" w:sz="0" w:space="0" w:color="auto"/>
                <w:bottom w:val="none" w:sz="0" w:space="0" w:color="auto"/>
                <w:right w:val="none" w:sz="0" w:space="0" w:color="auto"/>
              </w:divBdr>
            </w:div>
            <w:div w:id="1229533554">
              <w:marLeft w:val="0"/>
              <w:marRight w:val="0"/>
              <w:marTop w:val="0"/>
              <w:marBottom w:val="0"/>
              <w:divBdr>
                <w:top w:val="none" w:sz="0" w:space="0" w:color="auto"/>
                <w:left w:val="none" w:sz="0" w:space="0" w:color="auto"/>
                <w:bottom w:val="none" w:sz="0" w:space="0" w:color="auto"/>
                <w:right w:val="none" w:sz="0" w:space="0" w:color="auto"/>
              </w:divBdr>
            </w:div>
            <w:div w:id="1758093242">
              <w:marLeft w:val="0"/>
              <w:marRight w:val="0"/>
              <w:marTop w:val="0"/>
              <w:marBottom w:val="0"/>
              <w:divBdr>
                <w:top w:val="none" w:sz="0" w:space="0" w:color="auto"/>
                <w:left w:val="none" w:sz="0" w:space="0" w:color="auto"/>
                <w:bottom w:val="none" w:sz="0" w:space="0" w:color="auto"/>
                <w:right w:val="none" w:sz="0" w:space="0" w:color="auto"/>
              </w:divBdr>
            </w:div>
            <w:div w:id="1990666609">
              <w:marLeft w:val="0"/>
              <w:marRight w:val="0"/>
              <w:marTop w:val="0"/>
              <w:marBottom w:val="0"/>
              <w:divBdr>
                <w:top w:val="none" w:sz="0" w:space="0" w:color="auto"/>
                <w:left w:val="none" w:sz="0" w:space="0" w:color="auto"/>
                <w:bottom w:val="none" w:sz="0" w:space="0" w:color="auto"/>
                <w:right w:val="none" w:sz="0" w:space="0" w:color="auto"/>
              </w:divBdr>
            </w:div>
            <w:div w:id="1646007778">
              <w:marLeft w:val="0"/>
              <w:marRight w:val="0"/>
              <w:marTop w:val="0"/>
              <w:marBottom w:val="0"/>
              <w:divBdr>
                <w:top w:val="none" w:sz="0" w:space="0" w:color="auto"/>
                <w:left w:val="none" w:sz="0" w:space="0" w:color="auto"/>
                <w:bottom w:val="none" w:sz="0" w:space="0" w:color="auto"/>
                <w:right w:val="none" w:sz="0" w:space="0" w:color="auto"/>
              </w:divBdr>
            </w:div>
            <w:div w:id="228998999">
              <w:marLeft w:val="0"/>
              <w:marRight w:val="0"/>
              <w:marTop w:val="0"/>
              <w:marBottom w:val="0"/>
              <w:divBdr>
                <w:top w:val="none" w:sz="0" w:space="0" w:color="auto"/>
                <w:left w:val="none" w:sz="0" w:space="0" w:color="auto"/>
                <w:bottom w:val="none" w:sz="0" w:space="0" w:color="auto"/>
                <w:right w:val="none" w:sz="0" w:space="0" w:color="auto"/>
              </w:divBdr>
            </w:div>
            <w:div w:id="308439060">
              <w:marLeft w:val="0"/>
              <w:marRight w:val="0"/>
              <w:marTop w:val="0"/>
              <w:marBottom w:val="0"/>
              <w:divBdr>
                <w:top w:val="none" w:sz="0" w:space="0" w:color="auto"/>
                <w:left w:val="none" w:sz="0" w:space="0" w:color="auto"/>
                <w:bottom w:val="none" w:sz="0" w:space="0" w:color="auto"/>
                <w:right w:val="none" w:sz="0" w:space="0" w:color="auto"/>
              </w:divBdr>
            </w:div>
            <w:div w:id="1749618877">
              <w:marLeft w:val="0"/>
              <w:marRight w:val="0"/>
              <w:marTop w:val="0"/>
              <w:marBottom w:val="0"/>
              <w:divBdr>
                <w:top w:val="none" w:sz="0" w:space="0" w:color="auto"/>
                <w:left w:val="none" w:sz="0" w:space="0" w:color="auto"/>
                <w:bottom w:val="none" w:sz="0" w:space="0" w:color="auto"/>
                <w:right w:val="none" w:sz="0" w:space="0" w:color="auto"/>
              </w:divBdr>
            </w:div>
            <w:div w:id="578444818">
              <w:marLeft w:val="0"/>
              <w:marRight w:val="0"/>
              <w:marTop w:val="0"/>
              <w:marBottom w:val="0"/>
              <w:divBdr>
                <w:top w:val="none" w:sz="0" w:space="0" w:color="auto"/>
                <w:left w:val="none" w:sz="0" w:space="0" w:color="auto"/>
                <w:bottom w:val="none" w:sz="0" w:space="0" w:color="auto"/>
                <w:right w:val="none" w:sz="0" w:space="0" w:color="auto"/>
              </w:divBdr>
            </w:div>
            <w:div w:id="2120031102">
              <w:marLeft w:val="0"/>
              <w:marRight w:val="0"/>
              <w:marTop w:val="0"/>
              <w:marBottom w:val="0"/>
              <w:divBdr>
                <w:top w:val="none" w:sz="0" w:space="0" w:color="auto"/>
                <w:left w:val="none" w:sz="0" w:space="0" w:color="auto"/>
                <w:bottom w:val="none" w:sz="0" w:space="0" w:color="auto"/>
                <w:right w:val="none" w:sz="0" w:space="0" w:color="auto"/>
              </w:divBdr>
            </w:div>
            <w:div w:id="1406563969">
              <w:marLeft w:val="0"/>
              <w:marRight w:val="0"/>
              <w:marTop w:val="0"/>
              <w:marBottom w:val="0"/>
              <w:divBdr>
                <w:top w:val="none" w:sz="0" w:space="0" w:color="auto"/>
                <w:left w:val="none" w:sz="0" w:space="0" w:color="auto"/>
                <w:bottom w:val="none" w:sz="0" w:space="0" w:color="auto"/>
                <w:right w:val="none" w:sz="0" w:space="0" w:color="auto"/>
              </w:divBdr>
            </w:div>
            <w:div w:id="1329554602">
              <w:marLeft w:val="0"/>
              <w:marRight w:val="0"/>
              <w:marTop w:val="0"/>
              <w:marBottom w:val="0"/>
              <w:divBdr>
                <w:top w:val="none" w:sz="0" w:space="0" w:color="auto"/>
                <w:left w:val="none" w:sz="0" w:space="0" w:color="auto"/>
                <w:bottom w:val="none" w:sz="0" w:space="0" w:color="auto"/>
                <w:right w:val="none" w:sz="0" w:space="0" w:color="auto"/>
              </w:divBdr>
            </w:div>
            <w:div w:id="1823615755">
              <w:marLeft w:val="0"/>
              <w:marRight w:val="0"/>
              <w:marTop w:val="0"/>
              <w:marBottom w:val="0"/>
              <w:divBdr>
                <w:top w:val="none" w:sz="0" w:space="0" w:color="auto"/>
                <w:left w:val="none" w:sz="0" w:space="0" w:color="auto"/>
                <w:bottom w:val="none" w:sz="0" w:space="0" w:color="auto"/>
                <w:right w:val="none" w:sz="0" w:space="0" w:color="auto"/>
              </w:divBdr>
            </w:div>
            <w:div w:id="1195078534">
              <w:marLeft w:val="0"/>
              <w:marRight w:val="0"/>
              <w:marTop w:val="0"/>
              <w:marBottom w:val="0"/>
              <w:divBdr>
                <w:top w:val="none" w:sz="0" w:space="0" w:color="auto"/>
                <w:left w:val="none" w:sz="0" w:space="0" w:color="auto"/>
                <w:bottom w:val="none" w:sz="0" w:space="0" w:color="auto"/>
                <w:right w:val="none" w:sz="0" w:space="0" w:color="auto"/>
              </w:divBdr>
            </w:div>
            <w:div w:id="1946767245">
              <w:marLeft w:val="0"/>
              <w:marRight w:val="0"/>
              <w:marTop w:val="0"/>
              <w:marBottom w:val="0"/>
              <w:divBdr>
                <w:top w:val="none" w:sz="0" w:space="0" w:color="auto"/>
                <w:left w:val="none" w:sz="0" w:space="0" w:color="auto"/>
                <w:bottom w:val="none" w:sz="0" w:space="0" w:color="auto"/>
                <w:right w:val="none" w:sz="0" w:space="0" w:color="auto"/>
              </w:divBdr>
            </w:div>
            <w:div w:id="2069566051">
              <w:marLeft w:val="0"/>
              <w:marRight w:val="0"/>
              <w:marTop w:val="0"/>
              <w:marBottom w:val="0"/>
              <w:divBdr>
                <w:top w:val="none" w:sz="0" w:space="0" w:color="auto"/>
                <w:left w:val="none" w:sz="0" w:space="0" w:color="auto"/>
                <w:bottom w:val="none" w:sz="0" w:space="0" w:color="auto"/>
                <w:right w:val="none" w:sz="0" w:space="0" w:color="auto"/>
              </w:divBdr>
            </w:div>
            <w:div w:id="1859277007">
              <w:marLeft w:val="0"/>
              <w:marRight w:val="0"/>
              <w:marTop w:val="0"/>
              <w:marBottom w:val="0"/>
              <w:divBdr>
                <w:top w:val="none" w:sz="0" w:space="0" w:color="auto"/>
                <w:left w:val="none" w:sz="0" w:space="0" w:color="auto"/>
                <w:bottom w:val="none" w:sz="0" w:space="0" w:color="auto"/>
                <w:right w:val="none" w:sz="0" w:space="0" w:color="auto"/>
              </w:divBdr>
            </w:div>
            <w:div w:id="780414054">
              <w:marLeft w:val="0"/>
              <w:marRight w:val="0"/>
              <w:marTop w:val="0"/>
              <w:marBottom w:val="0"/>
              <w:divBdr>
                <w:top w:val="none" w:sz="0" w:space="0" w:color="auto"/>
                <w:left w:val="none" w:sz="0" w:space="0" w:color="auto"/>
                <w:bottom w:val="none" w:sz="0" w:space="0" w:color="auto"/>
                <w:right w:val="none" w:sz="0" w:space="0" w:color="auto"/>
              </w:divBdr>
            </w:div>
            <w:div w:id="1504389999">
              <w:marLeft w:val="0"/>
              <w:marRight w:val="0"/>
              <w:marTop w:val="0"/>
              <w:marBottom w:val="0"/>
              <w:divBdr>
                <w:top w:val="none" w:sz="0" w:space="0" w:color="auto"/>
                <w:left w:val="none" w:sz="0" w:space="0" w:color="auto"/>
                <w:bottom w:val="none" w:sz="0" w:space="0" w:color="auto"/>
                <w:right w:val="none" w:sz="0" w:space="0" w:color="auto"/>
              </w:divBdr>
            </w:div>
            <w:div w:id="1759908440">
              <w:marLeft w:val="0"/>
              <w:marRight w:val="0"/>
              <w:marTop w:val="0"/>
              <w:marBottom w:val="0"/>
              <w:divBdr>
                <w:top w:val="none" w:sz="0" w:space="0" w:color="auto"/>
                <w:left w:val="none" w:sz="0" w:space="0" w:color="auto"/>
                <w:bottom w:val="none" w:sz="0" w:space="0" w:color="auto"/>
                <w:right w:val="none" w:sz="0" w:space="0" w:color="auto"/>
              </w:divBdr>
            </w:div>
            <w:div w:id="1306744110">
              <w:marLeft w:val="0"/>
              <w:marRight w:val="0"/>
              <w:marTop w:val="0"/>
              <w:marBottom w:val="0"/>
              <w:divBdr>
                <w:top w:val="none" w:sz="0" w:space="0" w:color="auto"/>
                <w:left w:val="none" w:sz="0" w:space="0" w:color="auto"/>
                <w:bottom w:val="none" w:sz="0" w:space="0" w:color="auto"/>
                <w:right w:val="none" w:sz="0" w:space="0" w:color="auto"/>
              </w:divBdr>
            </w:div>
            <w:div w:id="1977877372">
              <w:marLeft w:val="0"/>
              <w:marRight w:val="0"/>
              <w:marTop w:val="0"/>
              <w:marBottom w:val="0"/>
              <w:divBdr>
                <w:top w:val="none" w:sz="0" w:space="0" w:color="auto"/>
                <w:left w:val="none" w:sz="0" w:space="0" w:color="auto"/>
                <w:bottom w:val="none" w:sz="0" w:space="0" w:color="auto"/>
                <w:right w:val="none" w:sz="0" w:space="0" w:color="auto"/>
              </w:divBdr>
            </w:div>
            <w:div w:id="1017461139">
              <w:marLeft w:val="0"/>
              <w:marRight w:val="0"/>
              <w:marTop w:val="0"/>
              <w:marBottom w:val="0"/>
              <w:divBdr>
                <w:top w:val="none" w:sz="0" w:space="0" w:color="auto"/>
                <w:left w:val="none" w:sz="0" w:space="0" w:color="auto"/>
                <w:bottom w:val="none" w:sz="0" w:space="0" w:color="auto"/>
                <w:right w:val="none" w:sz="0" w:space="0" w:color="auto"/>
              </w:divBdr>
            </w:div>
            <w:div w:id="1319386134">
              <w:marLeft w:val="0"/>
              <w:marRight w:val="0"/>
              <w:marTop w:val="0"/>
              <w:marBottom w:val="0"/>
              <w:divBdr>
                <w:top w:val="none" w:sz="0" w:space="0" w:color="auto"/>
                <w:left w:val="none" w:sz="0" w:space="0" w:color="auto"/>
                <w:bottom w:val="none" w:sz="0" w:space="0" w:color="auto"/>
                <w:right w:val="none" w:sz="0" w:space="0" w:color="auto"/>
              </w:divBdr>
            </w:div>
            <w:div w:id="993532688">
              <w:marLeft w:val="0"/>
              <w:marRight w:val="0"/>
              <w:marTop w:val="0"/>
              <w:marBottom w:val="0"/>
              <w:divBdr>
                <w:top w:val="none" w:sz="0" w:space="0" w:color="auto"/>
                <w:left w:val="none" w:sz="0" w:space="0" w:color="auto"/>
                <w:bottom w:val="none" w:sz="0" w:space="0" w:color="auto"/>
                <w:right w:val="none" w:sz="0" w:space="0" w:color="auto"/>
              </w:divBdr>
            </w:div>
            <w:div w:id="1400981876">
              <w:marLeft w:val="0"/>
              <w:marRight w:val="0"/>
              <w:marTop w:val="0"/>
              <w:marBottom w:val="0"/>
              <w:divBdr>
                <w:top w:val="none" w:sz="0" w:space="0" w:color="auto"/>
                <w:left w:val="none" w:sz="0" w:space="0" w:color="auto"/>
                <w:bottom w:val="none" w:sz="0" w:space="0" w:color="auto"/>
                <w:right w:val="none" w:sz="0" w:space="0" w:color="auto"/>
              </w:divBdr>
            </w:div>
            <w:div w:id="333723395">
              <w:marLeft w:val="0"/>
              <w:marRight w:val="0"/>
              <w:marTop w:val="0"/>
              <w:marBottom w:val="0"/>
              <w:divBdr>
                <w:top w:val="none" w:sz="0" w:space="0" w:color="auto"/>
                <w:left w:val="none" w:sz="0" w:space="0" w:color="auto"/>
                <w:bottom w:val="none" w:sz="0" w:space="0" w:color="auto"/>
                <w:right w:val="none" w:sz="0" w:space="0" w:color="auto"/>
              </w:divBdr>
            </w:div>
            <w:div w:id="264189299">
              <w:marLeft w:val="0"/>
              <w:marRight w:val="0"/>
              <w:marTop w:val="0"/>
              <w:marBottom w:val="0"/>
              <w:divBdr>
                <w:top w:val="none" w:sz="0" w:space="0" w:color="auto"/>
                <w:left w:val="none" w:sz="0" w:space="0" w:color="auto"/>
                <w:bottom w:val="none" w:sz="0" w:space="0" w:color="auto"/>
                <w:right w:val="none" w:sz="0" w:space="0" w:color="auto"/>
              </w:divBdr>
            </w:div>
            <w:div w:id="299578880">
              <w:marLeft w:val="0"/>
              <w:marRight w:val="0"/>
              <w:marTop w:val="0"/>
              <w:marBottom w:val="0"/>
              <w:divBdr>
                <w:top w:val="none" w:sz="0" w:space="0" w:color="auto"/>
                <w:left w:val="none" w:sz="0" w:space="0" w:color="auto"/>
                <w:bottom w:val="none" w:sz="0" w:space="0" w:color="auto"/>
                <w:right w:val="none" w:sz="0" w:space="0" w:color="auto"/>
              </w:divBdr>
            </w:div>
            <w:div w:id="1203206805">
              <w:marLeft w:val="0"/>
              <w:marRight w:val="0"/>
              <w:marTop w:val="0"/>
              <w:marBottom w:val="0"/>
              <w:divBdr>
                <w:top w:val="none" w:sz="0" w:space="0" w:color="auto"/>
                <w:left w:val="none" w:sz="0" w:space="0" w:color="auto"/>
                <w:bottom w:val="none" w:sz="0" w:space="0" w:color="auto"/>
                <w:right w:val="none" w:sz="0" w:space="0" w:color="auto"/>
              </w:divBdr>
            </w:div>
            <w:div w:id="1205827993">
              <w:marLeft w:val="0"/>
              <w:marRight w:val="0"/>
              <w:marTop w:val="0"/>
              <w:marBottom w:val="0"/>
              <w:divBdr>
                <w:top w:val="none" w:sz="0" w:space="0" w:color="auto"/>
                <w:left w:val="none" w:sz="0" w:space="0" w:color="auto"/>
                <w:bottom w:val="none" w:sz="0" w:space="0" w:color="auto"/>
                <w:right w:val="none" w:sz="0" w:space="0" w:color="auto"/>
              </w:divBdr>
            </w:div>
            <w:div w:id="384646313">
              <w:marLeft w:val="0"/>
              <w:marRight w:val="0"/>
              <w:marTop w:val="0"/>
              <w:marBottom w:val="0"/>
              <w:divBdr>
                <w:top w:val="none" w:sz="0" w:space="0" w:color="auto"/>
                <w:left w:val="none" w:sz="0" w:space="0" w:color="auto"/>
                <w:bottom w:val="none" w:sz="0" w:space="0" w:color="auto"/>
                <w:right w:val="none" w:sz="0" w:space="0" w:color="auto"/>
              </w:divBdr>
            </w:div>
            <w:div w:id="980842749">
              <w:marLeft w:val="0"/>
              <w:marRight w:val="0"/>
              <w:marTop w:val="0"/>
              <w:marBottom w:val="0"/>
              <w:divBdr>
                <w:top w:val="none" w:sz="0" w:space="0" w:color="auto"/>
                <w:left w:val="none" w:sz="0" w:space="0" w:color="auto"/>
                <w:bottom w:val="none" w:sz="0" w:space="0" w:color="auto"/>
                <w:right w:val="none" w:sz="0" w:space="0" w:color="auto"/>
              </w:divBdr>
            </w:div>
            <w:div w:id="985205100">
              <w:marLeft w:val="0"/>
              <w:marRight w:val="0"/>
              <w:marTop w:val="0"/>
              <w:marBottom w:val="0"/>
              <w:divBdr>
                <w:top w:val="none" w:sz="0" w:space="0" w:color="auto"/>
                <w:left w:val="none" w:sz="0" w:space="0" w:color="auto"/>
                <w:bottom w:val="none" w:sz="0" w:space="0" w:color="auto"/>
                <w:right w:val="none" w:sz="0" w:space="0" w:color="auto"/>
              </w:divBdr>
            </w:div>
            <w:div w:id="126094539">
              <w:marLeft w:val="0"/>
              <w:marRight w:val="0"/>
              <w:marTop w:val="0"/>
              <w:marBottom w:val="0"/>
              <w:divBdr>
                <w:top w:val="none" w:sz="0" w:space="0" w:color="auto"/>
                <w:left w:val="none" w:sz="0" w:space="0" w:color="auto"/>
                <w:bottom w:val="none" w:sz="0" w:space="0" w:color="auto"/>
                <w:right w:val="none" w:sz="0" w:space="0" w:color="auto"/>
              </w:divBdr>
            </w:div>
            <w:div w:id="1083065232">
              <w:marLeft w:val="0"/>
              <w:marRight w:val="0"/>
              <w:marTop w:val="0"/>
              <w:marBottom w:val="0"/>
              <w:divBdr>
                <w:top w:val="none" w:sz="0" w:space="0" w:color="auto"/>
                <w:left w:val="none" w:sz="0" w:space="0" w:color="auto"/>
                <w:bottom w:val="none" w:sz="0" w:space="0" w:color="auto"/>
                <w:right w:val="none" w:sz="0" w:space="0" w:color="auto"/>
              </w:divBdr>
            </w:div>
            <w:div w:id="2145730248">
              <w:marLeft w:val="0"/>
              <w:marRight w:val="0"/>
              <w:marTop w:val="0"/>
              <w:marBottom w:val="0"/>
              <w:divBdr>
                <w:top w:val="none" w:sz="0" w:space="0" w:color="auto"/>
                <w:left w:val="none" w:sz="0" w:space="0" w:color="auto"/>
                <w:bottom w:val="none" w:sz="0" w:space="0" w:color="auto"/>
                <w:right w:val="none" w:sz="0" w:space="0" w:color="auto"/>
              </w:divBdr>
            </w:div>
            <w:div w:id="493880084">
              <w:marLeft w:val="0"/>
              <w:marRight w:val="0"/>
              <w:marTop w:val="0"/>
              <w:marBottom w:val="0"/>
              <w:divBdr>
                <w:top w:val="none" w:sz="0" w:space="0" w:color="auto"/>
                <w:left w:val="none" w:sz="0" w:space="0" w:color="auto"/>
                <w:bottom w:val="none" w:sz="0" w:space="0" w:color="auto"/>
                <w:right w:val="none" w:sz="0" w:space="0" w:color="auto"/>
              </w:divBdr>
            </w:div>
            <w:div w:id="365522587">
              <w:marLeft w:val="0"/>
              <w:marRight w:val="0"/>
              <w:marTop w:val="0"/>
              <w:marBottom w:val="0"/>
              <w:divBdr>
                <w:top w:val="none" w:sz="0" w:space="0" w:color="auto"/>
                <w:left w:val="none" w:sz="0" w:space="0" w:color="auto"/>
                <w:bottom w:val="none" w:sz="0" w:space="0" w:color="auto"/>
                <w:right w:val="none" w:sz="0" w:space="0" w:color="auto"/>
              </w:divBdr>
            </w:div>
            <w:div w:id="1456674987">
              <w:marLeft w:val="0"/>
              <w:marRight w:val="0"/>
              <w:marTop w:val="0"/>
              <w:marBottom w:val="0"/>
              <w:divBdr>
                <w:top w:val="none" w:sz="0" w:space="0" w:color="auto"/>
                <w:left w:val="none" w:sz="0" w:space="0" w:color="auto"/>
                <w:bottom w:val="none" w:sz="0" w:space="0" w:color="auto"/>
                <w:right w:val="none" w:sz="0" w:space="0" w:color="auto"/>
              </w:divBdr>
            </w:div>
            <w:div w:id="1583756590">
              <w:marLeft w:val="0"/>
              <w:marRight w:val="0"/>
              <w:marTop w:val="0"/>
              <w:marBottom w:val="0"/>
              <w:divBdr>
                <w:top w:val="none" w:sz="0" w:space="0" w:color="auto"/>
                <w:left w:val="none" w:sz="0" w:space="0" w:color="auto"/>
                <w:bottom w:val="none" w:sz="0" w:space="0" w:color="auto"/>
                <w:right w:val="none" w:sz="0" w:space="0" w:color="auto"/>
              </w:divBdr>
            </w:div>
            <w:div w:id="1339387529">
              <w:marLeft w:val="0"/>
              <w:marRight w:val="0"/>
              <w:marTop w:val="0"/>
              <w:marBottom w:val="0"/>
              <w:divBdr>
                <w:top w:val="none" w:sz="0" w:space="0" w:color="auto"/>
                <w:left w:val="none" w:sz="0" w:space="0" w:color="auto"/>
                <w:bottom w:val="none" w:sz="0" w:space="0" w:color="auto"/>
                <w:right w:val="none" w:sz="0" w:space="0" w:color="auto"/>
              </w:divBdr>
            </w:div>
            <w:div w:id="389810201">
              <w:marLeft w:val="0"/>
              <w:marRight w:val="0"/>
              <w:marTop w:val="0"/>
              <w:marBottom w:val="0"/>
              <w:divBdr>
                <w:top w:val="none" w:sz="0" w:space="0" w:color="auto"/>
                <w:left w:val="none" w:sz="0" w:space="0" w:color="auto"/>
                <w:bottom w:val="none" w:sz="0" w:space="0" w:color="auto"/>
                <w:right w:val="none" w:sz="0" w:space="0" w:color="auto"/>
              </w:divBdr>
            </w:div>
            <w:div w:id="1000694888">
              <w:marLeft w:val="0"/>
              <w:marRight w:val="0"/>
              <w:marTop w:val="0"/>
              <w:marBottom w:val="0"/>
              <w:divBdr>
                <w:top w:val="none" w:sz="0" w:space="0" w:color="auto"/>
                <w:left w:val="none" w:sz="0" w:space="0" w:color="auto"/>
                <w:bottom w:val="none" w:sz="0" w:space="0" w:color="auto"/>
                <w:right w:val="none" w:sz="0" w:space="0" w:color="auto"/>
              </w:divBdr>
            </w:div>
            <w:div w:id="182593012">
              <w:marLeft w:val="0"/>
              <w:marRight w:val="0"/>
              <w:marTop w:val="0"/>
              <w:marBottom w:val="0"/>
              <w:divBdr>
                <w:top w:val="none" w:sz="0" w:space="0" w:color="auto"/>
                <w:left w:val="none" w:sz="0" w:space="0" w:color="auto"/>
                <w:bottom w:val="none" w:sz="0" w:space="0" w:color="auto"/>
                <w:right w:val="none" w:sz="0" w:space="0" w:color="auto"/>
              </w:divBdr>
            </w:div>
            <w:div w:id="117914283">
              <w:marLeft w:val="0"/>
              <w:marRight w:val="0"/>
              <w:marTop w:val="0"/>
              <w:marBottom w:val="0"/>
              <w:divBdr>
                <w:top w:val="none" w:sz="0" w:space="0" w:color="auto"/>
                <w:left w:val="none" w:sz="0" w:space="0" w:color="auto"/>
                <w:bottom w:val="none" w:sz="0" w:space="0" w:color="auto"/>
                <w:right w:val="none" w:sz="0" w:space="0" w:color="auto"/>
              </w:divBdr>
            </w:div>
            <w:div w:id="1452092536">
              <w:marLeft w:val="0"/>
              <w:marRight w:val="0"/>
              <w:marTop w:val="0"/>
              <w:marBottom w:val="0"/>
              <w:divBdr>
                <w:top w:val="none" w:sz="0" w:space="0" w:color="auto"/>
                <w:left w:val="none" w:sz="0" w:space="0" w:color="auto"/>
                <w:bottom w:val="none" w:sz="0" w:space="0" w:color="auto"/>
                <w:right w:val="none" w:sz="0" w:space="0" w:color="auto"/>
              </w:divBdr>
            </w:div>
            <w:div w:id="64885505">
              <w:marLeft w:val="0"/>
              <w:marRight w:val="0"/>
              <w:marTop w:val="0"/>
              <w:marBottom w:val="0"/>
              <w:divBdr>
                <w:top w:val="none" w:sz="0" w:space="0" w:color="auto"/>
                <w:left w:val="none" w:sz="0" w:space="0" w:color="auto"/>
                <w:bottom w:val="none" w:sz="0" w:space="0" w:color="auto"/>
                <w:right w:val="none" w:sz="0" w:space="0" w:color="auto"/>
              </w:divBdr>
            </w:div>
            <w:div w:id="616715104">
              <w:marLeft w:val="0"/>
              <w:marRight w:val="0"/>
              <w:marTop w:val="0"/>
              <w:marBottom w:val="0"/>
              <w:divBdr>
                <w:top w:val="none" w:sz="0" w:space="0" w:color="auto"/>
                <w:left w:val="none" w:sz="0" w:space="0" w:color="auto"/>
                <w:bottom w:val="none" w:sz="0" w:space="0" w:color="auto"/>
                <w:right w:val="none" w:sz="0" w:space="0" w:color="auto"/>
              </w:divBdr>
            </w:div>
            <w:div w:id="758796768">
              <w:marLeft w:val="0"/>
              <w:marRight w:val="0"/>
              <w:marTop w:val="0"/>
              <w:marBottom w:val="0"/>
              <w:divBdr>
                <w:top w:val="none" w:sz="0" w:space="0" w:color="auto"/>
                <w:left w:val="none" w:sz="0" w:space="0" w:color="auto"/>
                <w:bottom w:val="none" w:sz="0" w:space="0" w:color="auto"/>
                <w:right w:val="none" w:sz="0" w:space="0" w:color="auto"/>
              </w:divBdr>
            </w:div>
            <w:div w:id="738211250">
              <w:marLeft w:val="0"/>
              <w:marRight w:val="0"/>
              <w:marTop w:val="0"/>
              <w:marBottom w:val="0"/>
              <w:divBdr>
                <w:top w:val="none" w:sz="0" w:space="0" w:color="auto"/>
                <w:left w:val="none" w:sz="0" w:space="0" w:color="auto"/>
                <w:bottom w:val="none" w:sz="0" w:space="0" w:color="auto"/>
                <w:right w:val="none" w:sz="0" w:space="0" w:color="auto"/>
              </w:divBdr>
            </w:div>
            <w:div w:id="1972785567">
              <w:marLeft w:val="0"/>
              <w:marRight w:val="0"/>
              <w:marTop w:val="0"/>
              <w:marBottom w:val="0"/>
              <w:divBdr>
                <w:top w:val="none" w:sz="0" w:space="0" w:color="auto"/>
                <w:left w:val="none" w:sz="0" w:space="0" w:color="auto"/>
                <w:bottom w:val="none" w:sz="0" w:space="0" w:color="auto"/>
                <w:right w:val="none" w:sz="0" w:space="0" w:color="auto"/>
              </w:divBdr>
            </w:div>
            <w:div w:id="1719819029">
              <w:marLeft w:val="0"/>
              <w:marRight w:val="0"/>
              <w:marTop w:val="0"/>
              <w:marBottom w:val="0"/>
              <w:divBdr>
                <w:top w:val="none" w:sz="0" w:space="0" w:color="auto"/>
                <w:left w:val="none" w:sz="0" w:space="0" w:color="auto"/>
                <w:bottom w:val="none" w:sz="0" w:space="0" w:color="auto"/>
                <w:right w:val="none" w:sz="0" w:space="0" w:color="auto"/>
              </w:divBdr>
            </w:div>
            <w:div w:id="1415277284">
              <w:marLeft w:val="0"/>
              <w:marRight w:val="0"/>
              <w:marTop w:val="0"/>
              <w:marBottom w:val="0"/>
              <w:divBdr>
                <w:top w:val="none" w:sz="0" w:space="0" w:color="auto"/>
                <w:left w:val="none" w:sz="0" w:space="0" w:color="auto"/>
                <w:bottom w:val="none" w:sz="0" w:space="0" w:color="auto"/>
                <w:right w:val="none" w:sz="0" w:space="0" w:color="auto"/>
              </w:divBdr>
            </w:div>
            <w:div w:id="1374305126">
              <w:marLeft w:val="0"/>
              <w:marRight w:val="0"/>
              <w:marTop w:val="0"/>
              <w:marBottom w:val="0"/>
              <w:divBdr>
                <w:top w:val="none" w:sz="0" w:space="0" w:color="auto"/>
                <w:left w:val="none" w:sz="0" w:space="0" w:color="auto"/>
                <w:bottom w:val="none" w:sz="0" w:space="0" w:color="auto"/>
                <w:right w:val="none" w:sz="0" w:space="0" w:color="auto"/>
              </w:divBdr>
            </w:div>
            <w:div w:id="1546284628">
              <w:marLeft w:val="0"/>
              <w:marRight w:val="0"/>
              <w:marTop w:val="0"/>
              <w:marBottom w:val="0"/>
              <w:divBdr>
                <w:top w:val="none" w:sz="0" w:space="0" w:color="auto"/>
                <w:left w:val="none" w:sz="0" w:space="0" w:color="auto"/>
                <w:bottom w:val="none" w:sz="0" w:space="0" w:color="auto"/>
                <w:right w:val="none" w:sz="0" w:space="0" w:color="auto"/>
              </w:divBdr>
            </w:div>
            <w:div w:id="756488261">
              <w:marLeft w:val="0"/>
              <w:marRight w:val="0"/>
              <w:marTop w:val="0"/>
              <w:marBottom w:val="0"/>
              <w:divBdr>
                <w:top w:val="none" w:sz="0" w:space="0" w:color="auto"/>
                <w:left w:val="none" w:sz="0" w:space="0" w:color="auto"/>
                <w:bottom w:val="none" w:sz="0" w:space="0" w:color="auto"/>
                <w:right w:val="none" w:sz="0" w:space="0" w:color="auto"/>
              </w:divBdr>
            </w:div>
            <w:div w:id="666130442">
              <w:marLeft w:val="0"/>
              <w:marRight w:val="0"/>
              <w:marTop w:val="0"/>
              <w:marBottom w:val="0"/>
              <w:divBdr>
                <w:top w:val="none" w:sz="0" w:space="0" w:color="auto"/>
                <w:left w:val="none" w:sz="0" w:space="0" w:color="auto"/>
                <w:bottom w:val="none" w:sz="0" w:space="0" w:color="auto"/>
                <w:right w:val="none" w:sz="0" w:space="0" w:color="auto"/>
              </w:divBdr>
            </w:div>
            <w:div w:id="343215010">
              <w:marLeft w:val="0"/>
              <w:marRight w:val="0"/>
              <w:marTop w:val="0"/>
              <w:marBottom w:val="0"/>
              <w:divBdr>
                <w:top w:val="none" w:sz="0" w:space="0" w:color="auto"/>
                <w:left w:val="none" w:sz="0" w:space="0" w:color="auto"/>
                <w:bottom w:val="none" w:sz="0" w:space="0" w:color="auto"/>
                <w:right w:val="none" w:sz="0" w:space="0" w:color="auto"/>
              </w:divBdr>
            </w:div>
            <w:div w:id="1633975445">
              <w:marLeft w:val="0"/>
              <w:marRight w:val="0"/>
              <w:marTop w:val="0"/>
              <w:marBottom w:val="0"/>
              <w:divBdr>
                <w:top w:val="none" w:sz="0" w:space="0" w:color="auto"/>
                <w:left w:val="none" w:sz="0" w:space="0" w:color="auto"/>
                <w:bottom w:val="none" w:sz="0" w:space="0" w:color="auto"/>
                <w:right w:val="none" w:sz="0" w:space="0" w:color="auto"/>
              </w:divBdr>
            </w:div>
            <w:div w:id="195657177">
              <w:marLeft w:val="0"/>
              <w:marRight w:val="0"/>
              <w:marTop w:val="0"/>
              <w:marBottom w:val="0"/>
              <w:divBdr>
                <w:top w:val="none" w:sz="0" w:space="0" w:color="auto"/>
                <w:left w:val="none" w:sz="0" w:space="0" w:color="auto"/>
                <w:bottom w:val="none" w:sz="0" w:space="0" w:color="auto"/>
                <w:right w:val="none" w:sz="0" w:space="0" w:color="auto"/>
              </w:divBdr>
            </w:div>
            <w:div w:id="165556908">
              <w:marLeft w:val="0"/>
              <w:marRight w:val="0"/>
              <w:marTop w:val="0"/>
              <w:marBottom w:val="0"/>
              <w:divBdr>
                <w:top w:val="none" w:sz="0" w:space="0" w:color="auto"/>
                <w:left w:val="none" w:sz="0" w:space="0" w:color="auto"/>
                <w:bottom w:val="none" w:sz="0" w:space="0" w:color="auto"/>
                <w:right w:val="none" w:sz="0" w:space="0" w:color="auto"/>
              </w:divBdr>
            </w:div>
            <w:div w:id="134571224">
              <w:marLeft w:val="0"/>
              <w:marRight w:val="0"/>
              <w:marTop w:val="0"/>
              <w:marBottom w:val="0"/>
              <w:divBdr>
                <w:top w:val="none" w:sz="0" w:space="0" w:color="auto"/>
                <w:left w:val="none" w:sz="0" w:space="0" w:color="auto"/>
                <w:bottom w:val="none" w:sz="0" w:space="0" w:color="auto"/>
                <w:right w:val="none" w:sz="0" w:space="0" w:color="auto"/>
              </w:divBdr>
            </w:div>
            <w:div w:id="1368069404">
              <w:marLeft w:val="0"/>
              <w:marRight w:val="0"/>
              <w:marTop w:val="0"/>
              <w:marBottom w:val="0"/>
              <w:divBdr>
                <w:top w:val="none" w:sz="0" w:space="0" w:color="auto"/>
                <w:left w:val="none" w:sz="0" w:space="0" w:color="auto"/>
                <w:bottom w:val="none" w:sz="0" w:space="0" w:color="auto"/>
                <w:right w:val="none" w:sz="0" w:space="0" w:color="auto"/>
              </w:divBdr>
            </w:div>
            <w:div w:id="1635481497">
              <w:marLeft w:val="0"/>
              <w:marRight w:val="0"/>
              <w:marTop w:val="0"/>
              <w:marBottom w:val="0"/>
              <w:divBdr>
                <w:top w:val="none" w:sz="0" w:space="0" w:color="auto"/>
                <w:left w:val="none" w:sz="0" w:space="0" w:color="auto"/>
                <w:bottom w:val="none" w:sz="0" w:space="0" w:color="auto"/>
                <w:right w:val="none" w:sz="0" w:space="0" w:color="auto"/>
              </w:divBdr>
            </w:div>
            <w:div w:id="1608387981">
              <w:marLeft w:val="0"/>
              <w:marRight w:val="0"/>
              <w:marTop w:val="0"/>
              <w:marBottom w:val="0"/>
              <w:divBdr>
                <w:top w:val="none" w:sz="0" w:space="0" w:color="auto"/>
                <w:left w:val="none" w:sz="0" w:space="0" w:color="auto"/>
                <w:bottom w:val="none" w:sz="0" w:space="0" w:color="auto"/>
                <w:right w:val="none" w:sz="0" w:space="0" w:color="auto"/>
              </w:divBdr>
            </w:div>
            <w:div w:id="2009822424">
              <w:marLeft w:val="0"/>
              <w:marRight w:val="0"/>
              <w:marTop w:val="0"/>
              <w:marBottom w:val="0"/>
              <w:divBdr>
                <w:top w:val="none" w:sz="0" w:space="0" w:color="auto"/>
                <w:left w:val="none" w:sz="0" w:space="0" w:color="auto"/>
                <w:bottom w:val="none" w:sz="0" w:space="0" w:color="auto"/>
                <w:right w:val="none" w:sz="0" w:space="0" w:color="auto"/>
              </w:divBdr>
            </w:div>
            <w:div w:id="929120650">
              <w:marLeft w:val="0"/>
              <w:marRight w:val="0"/>
              <w:marTop w:val="0"/>
              <w:marBottom w:val="0"/>
              <w:divBdr>
                <w:top w:val="none" w:sz="0" w:space="0" w:color="auto"/>
                <w:left w:val="none" w:sz="0" w:space="0" w:color="auto"/>
                <w:bottom w:val="none" w:sz="0" w:space="0" w:color="auto"/>
                <w:right w:val="none" w:sz="0" w:space="0" w:color="auto"/>
              </w:divBdr>
            </w:div>
            <w:div w:id="1864396970">
              <w:marLeft w:val="0"/>
              <w:marRight w:val="0"/>
              <w:marTop w:val="0"/>
              <w:marBottom w:val="0"/>
              <w:divBdr>
                <w:top w:val="none" w:sz="0" w:space="0" w:color="auto"/>
                <w:left w:val="none" w:sz="0" w:space="0" w:color="auto"/>
                <w:bottom w:val="none" w:sz="0" w:space="0" w:color="auto"/>
                <w:right w:val="none" w:sz="0" w:space="0" w:color="auto"/>
              </w:divBdr>
            </w:div>
            <w:div w:id="1611663661">
              <w:marLeft w:val="0"/>
              <w:marRight w:val="0"/>
              <w:marTop w:val="0"/>
              <w:marBottom w:val="0"/>
              <w:divBdr>
                <w:top w:val="none" w:sz="0" w:space="0" w:color="auto"/>
                <w:left w:val="none" w:sz="0" w:space="0" w:color="auto"/>
                <w:bottom w:val="none" w:sz="0" w:space="0" w:color="auto"/>
                <w:right w:val="none" w:sz="0" w:space="0" w:color="auto"/>
              </w:divBdr>
            </w:div>
            <w:div w:id="207647472">
              <w:marLeft w:val="0"/>
              <w:marRight w:val="0"/>
              <w:marTop w:val="0"/>
              <w:marBottom w:val="0"/>
              <w:divBdr>
                <w:top w:val="none" w:sz="0" w:space="0" w:color="auto"/>
                <w:left w:val="none" w:sz="0" w:space="0" w:color="auto"/>
                <w:bottom w:val="none" w:sz="0" w:space="0" w:color="auto"/>
                <w:right w:val="none" w:sz="0" w:space="0" w:color="auto"/>
              </w:divBdr>
            </w:div>
            <w:div w:id="165291568">
              <w:marLeft w:val="0"/>
              <w:marRight w:val="0"/>
              <w:marTop w:val="0"/>
              <w:marBottom w:val="0"/>
              <w:divBdr>
                <w:top w:val="none" w:sz="0" w:space="0" w:color="auto"/>
                <w:left w:val="none" w:sz="0" w:space="0" w:color="auto"/>
                <w:bottom w:val="none" w:sz="0" w:space="0" w:color="auto"/>
                <w:right w:val="none" w:sz="0" w:space="0" w:color="auto"/>
              </w:divBdr>
            </w:div>
            <w:div w:id="561528368">
              <w:marLeft w:val="0"/>
              <w:marRight w:val="0"/>
              <w:marTop w:val="0"/>
              <w:marBottom w:val="0"/>
              <w:divBdr>
                <w:top w:val="none" w:sz="0" w:space="0" w:color="auto"/>
                <w:left w:val="none" w:sz="0" w:space="0" w:color="auto"/>
                <w:bottom w:val="none" w:sz="0" w:space="0" w:color="auto"/>
                <w:right w:val="none" w:sz="0" w:space="0" w:color="auto"/>
              </w:divBdr>
            </w:div>
            <w:div w:id="1364676355">
              <w:marLeft w:val="0"/>
              <w:marRight w:val="0"/>
              <w:marTop w:val="0"/>
              <w:marBottom w:val="0"/>
              <w:divBdr>
                <w:top w:val="none" w:sz="0" w:space="0" w:color="auto"/>
                <w:left w:val="none" w:sz="0" w:space="0" w:color="auto"/>
                <w:bottom w:val="none" w:sz="0" w:space="0" w:color="auto"/>
                <w:right w:val="none" w:sz="0" w:space="0" w:color="auto"/>
              </w:divBdr>
            </w:div>
            <w:div w:id="880551494">
              <w:marLeft w:val="0"/>
              <w:marRight w:val="0"/>
              <w:marTop w:val="0"/>
              <w:marBottom w:val="0"/>
              <w:divBdr>
                <w:top w:val="none" w:sz="0" w:space="0" w:color="auto"/>
                <w:left w:val="none" w:sz="0" w:space="0" w:color="auto"/>
                <w:bottom w:val="none" w:sz="0" w:space="0" w:color="auto"/>
                <w:right w:val="none" w:sz="0" w:space="0" w:color="auto"/>
              </w:divBdr>
            </w:div>
            <w:div w:id="1812556808">
              <w:marLeft w:val="0"/>
              <w:marRight w:val="0"/>
              <w:marTop w:val="0"/>
              <w:marBottom w:val="0"/>
              <w:divBdr>
                <w:top w:val="none" w:sz="0" w:space="0" w:color="auto"/>
                <w:left w:val="none" w:sz="0" w:space="0" w:color="auto"/>
                <w:bottom w:val="none" w:sz="0" w:space="0" w:color="auto"/>
                <w:right w:val="none" w:sz="0" w:space="0" w:color="auto"/>
              </w:divBdr>
            </w:div>
            <w:div w:id="447697405">
              <w:marLeft w:val="0"/>
              <w:marRight w:val="0"/>
              <w:marTop w:val="0"/>
              <w:marBottom w:val="0"/>
              <w:divBdr>
                <w:top w:val="none" w:sz="0" w:space="0" w:color="auto"/>
                <w:left w:val="none" w:sz="0" w:space="0" w:color="auto"/>
                <w:bottom w:val="none" w:sz="0" w:space="0" w:color="auto"/>
                <w:right w:val="none" w:sz="0" w:space="0" w:color="auto"/>
              </w:divBdr>
            </w:div>
            <w:div w:id="1841113232">
              <w:marLeft w:val="0"/>
              <w:marRight w:val="0"/>
              <w:marTop w:val="0"/>
              <w:marBottom w:val="0"/>
              <w:divBdr>
                <w:top w:val="none" w:sz="0" w:space="0" w:color="auto"/>
                <w:left w:val="none" w:sz="0" w:space="0" w:color="auto"/>
                <w:bottom w:val="none" w:sz="0" w:space="0" w:color="auto"/>
                <w:right w:val="none" w:sz="0" w:space="0" w:color="auto"/>
              </w:divBdr>
            </w:div>
            <w:div w:id="617222191">
              <w:marLeft w:val="0"/>
              <w:marRight w:val="0"/>
              <w:marTop w:val="0"/>
              <w:marBottom w:val="0"/>
              <w:divBdr>
                <w:top w:val="none" w:sz="0" w:space="0" w:color="auto"/>
                <w:left w:val="none" w:sz="0" w:space="0" w:color="auto"/>
                <w:bottom w:val="none" w:sz="0" w:space="0" w:color="auto"/>
                <w:right w:val="none" w:sz="0" w:space="0" w:color="auto"/>
              </w:divBdr>
            </w:div>
            <w:div w:id="1802920534">
              <w:marLeft w:val="0"/>
              <w:marRight w:val="0"/>
              <w:marTop w:val="0"/>
              <w:marBottom w:val="0"/>
              <w:divBdr>
                <w:top w:val="none" w:sz="0" w:space="0" w:color="auto"/>
                <w:left w:val="none" w:sz="0" w:space="0" w:color="auto"/>
                <w:bottom w:val="none" w:sz="0" w:space="0" w:color="auto"/>
                <w:right w:val="none" w:sz="0" w:space="0" w:color="auto"/>
              </w:divBdr>
            </w:div>
            <w:div w:id="405497044">
              <w:marLeft w:val="0"/>
              <w:marRight w:val="0"/>
              <w:marTop w:val="0"/>
              <w:marBottom w:val="0"/>
              <w:divBdr>
                <w:top w:val="none" w:sz="0" w:space="0" w:color="auto"/>
                <w:left w:val="none" w:sz="0" w:space="0" w:color="auto"/>
                <w:bottom w:val="none" w:sz="0" w:space="0" w:color="auto"/>
                <w:right w:val="none" w:sz="0" w:space="0" w:color="auto"/>
              </w:divBdr>
            </w:div>
            <w:div w:id="968709652">
              <w:marLeft w:val="0"/>
              <w:marRight w:val="0"/>
              <w:marTop w:val="0"/>
              <w:marBottom w:val="0"/>
              <w:divBdr>
                <w:top w:val="none" w:sz="0" w:space="0" w:color="auto"/>
                <w:left w:val="none" w:sz="0" w:space="0" w:color="auto"/>
                <w:bottom w:val="none" w:sz="0" w:space="0" w:color="auto"/>
                <w:right w:val="none" w:sz="0" w:space="0" w:color="auto"/>
              </w:divBdr>
            </w:div>
            <w:div w:id="1904178163">
              <w:marLeft w:val="0"/>
              <w:marRight w:val="0"/>
              <w:marTop w:val="0"/>
              <w:marBottom w:val="0"/>
              <w:divBdr>
                <w:top w:val="none" w:sz="0" w:space="0" w:color="auto"/>
                <w:left w:val="none" w:sz="0" w:space="0" w:color="auto"/>
                <w:bottom w:val="none" w:sz="0" w:space="0" w:color="auto"/>
                <w:right w:val="none" w:sz="0" w:space="0" w:color="auto"/>
              </w:divBdr>
            </w:div>
            <w:div w:id="1311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9055</Words>
  <Characters>51617</Characters>
  <Application>Microsoft Macintosh Word</Application>
  <DocSecurity>0</DocSecurity>
  <Lines>430</Lines>
  <Paragraphs>121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Kishio K</dc:creator>
  <cp:lastModifiedBy>Na Ma</cp:lastModifiedBy>
  <cp:revision>3</cp:revision>
  <cp:lastPrinted>2015-01-05T09:44:00Z</cp:lastPrinted>
  <dcterms:created xsi:type="dcterms:W3CDTF">2015-04-29T01:00:00Z</dcterms:created>
  <dcterms:modified xsi:type="dcterms:W3CDTF">2015-04-29T04:34:00Z</dcterms:modified>
</cp:coreProperties>
</file>