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89" w:rsidRPr="00E607BC" w:rsidRDefault="00190889" w:rsidP="00E607BC">
      <w:pPr>
        <w:spacing w:after="0" w:line="360" w:lineRule="auto"/>
        <w:jc w:val="both"/>
        <w:rPr>
          <w:rFonts w:ascii="Book Antiqua" w:hAnsi="Book Antiqua"/>
          <w:b/>
          <w:sz w:val="24"/>
          <w:szCs w:val="24"/>
        </w:rPr>
      </w:pPr>
      <w:r w:rsidRPr="00E607BC">
        <w:rPr>
          <w:rFonts w:ascii="Book Antiqua" w:hAnsi="Book Antiqua"/>
          <w:b/>
          <w:sz w:val="24"/>
          <w:szCs w:val="24"/>
        </w:rPr>
        <w:t>Name of journal: World Journal of Biological Chemistry</w:t>
      </w:r>
    </w:p>
    <w:p w:rsidR="00190889" w:rsidRPr="00E607BC" w:rsidRDefault="00190889" w:rsidP="00E607BC">
      <w:pPr>
        <w:spacing w:after="0" w:line="360" w:lineRule="auto"/>
        <w:jc w:val="both"/>
        <w:rPr>
          <w:rFonts w:ascii="Book Antiqua" w:hAnsi="Book Antiqua"/>
          <w:b/>
          <w:sz w:val="24"/>
          <w:szCs w:val="24"/>
        </w:rPr>
      </w:pPr>
      <w:r w:rsidRPr="00E607BC">
        <w:rPr>
          <w:rFonts w:ascii="Book Antiqua" w:hAnsi="Book Antiqua"/>
          <w:b/>
          <w:sz w:val="24"/>
          <w:szCs w:val="24"/>
        </w:rPr>
        <w:t>ESPS Manuscript NO: 16685</w:t>
      </w:r>
    </w:p>
    <w:p w:rsidR="00190889" w:rsidRPr="00E607BC" w:rsidRDefault="00190889" w:rsidP="00E607BC">
      <w:pPr>
        <w:spacing w:after="0" w:line="360" w:lineRule="auto"/>
        <w:jc w:val="both"/>
        <w:rPr>
          <w:rFonts w:ascii="Book Antiqua" w:hAnsi="Book Antiqua"/>
          <w:b/>
          <w:sz w:val="24"/>
          <w:szCs w:val="24"/>
        </w:rPr>
      </w:pPr>
      <w:r w:rsidRPr="00E607BC">
        <w:rPr>
          <w:rFonts w:ascii="Book Antiqua" w:hAnsi="Book Antiqua"/>
          <w:b/>
          <w:sz w:val="24"/>
          <w:szCs w:val="24"/>
        </w:rPr>
        <w:t>Columns: EDITORIAL</w:t>
      </w:r>
    </w:p>
    <w:p w:rsidR="00D52E22" w:rsidRPr="00E607BC" w:rsidRDefault="00D52E22" w:rsidP="00E607BC">
      <w:pPr>
        <w:spacing w:after="0" w:line="360" w:lineRule="auto"/>
        <w:jc w:val="both"/>
        <w:rPr>
          <w:rFonts w:ascii="Book Antiqua" w:hAnsi="Book Antiqua"/>
          <w:sz w:val="24"/>
          <w:szCs w:val="24"/>
        </w:rPr>
      </w:pPr>
    </w:p>
    <w:p w:rsidR="00EE1A08" w:rsidRPr="00E607BC" w:rsidRDefault="00D52E22" w:rsidP="00E607BC">
      <w:pPr>
        <w:spacing w:after="0" w:line="360" w:lineRule="auto"/>
        <w:jc w:val="both"/>
        <w:rPr>
          <w:rFonts w:ascii="Book Antiqua" w:hAnsi="Book Antiqua"/>
          <w:b/>
          <w:sz w:val="24"/>
          <w:szCs w:val="24"/>
        </w:rPr>
      </w:pPr>
      <w:r w:rsidRPr="00E607BC">
        <w:rPr>
          <w:rFonts w:ascii="Book Antiqua" w:hAnsi="Book Antiqua"/>
          <w:b/>
          <w:sz w:val="24"/>
          <w:szCs w:val="24"/>
        </w:rPr>
        <w:t>Is erythroferrone</w:t>
      </w:r>
      <w:r w:rsidR="00DA567F" w:rsidRPr="00E607BC">
        <w:rPr>
          <w:rFonts w:ascii="Book Antiqua" w:hAnsi="Book Antiqua"/>
          <w:b/>
          <w:sz w:val="24"/>
          <w:szCs w:val="24"/>
        </w:rPr>
        <w:t xml:space="preserve"> finally</w:t>
      </w:r>
      <w:r w:rsidRPr="00E607BC">
        <w:rPr>
          <w:rFonts w:ascii="Book Antiqua" w:hAnsi="Book Antiqua"/>
          <w:b/>
          <w:sz w:val="24"/>
          <w:szCs w:val="24"/>
        </w:rPr>
        <w:t xml:space="preserve"> the long sought-after systemic erythroid regulator of iron?</w:t>
      </w:r>
    </w:p>
    <w:p w:rsidR="00486697" w:rsidRPr="00E607BC" w:rsidRDefault="00486697" w:rsidP="00E607BC">
      <w:pPr>
        <w:spacing w:after="0" w:line="360" w:lineRule="auto"/>
        <w:jc w:val="both"/>
        <w:rPr>
          <w:rFonts w:ascii="Book Antiqua" w:hAnsi="Book Antiqua"/>
          <w:sz w:val="24"/>
          <w:szCs w:val="24"/>
        </w:rPr>
      </w:pPr>
    </w:p>
    <w:p w:rsidR="00486697" w:rsidRPr="00E607BC" w:rsidRDefault="00486697" w:rsidP="00E607BC">
      <w:pPr>
        <w:spacing w:after="0" w:line="360" w:lineRule="auto"/>
        <w:jc w:val="both"/>
        <w:rPr>
          <w:rFonts w:ascii="Book Antiqua" w:hAnsi="Book Antiqua"/>
          <w:sz w:val="24"/>
          <w:szCs w:val="24"/>
        </w:rPr>
      </w:pPr>
      <w:r w:rsidRPr="00E607BC">
        <w:rPr>
          <w:rFonts w:ascii="Book Antiqua" w:hAnsi="Book Antiqua"/>
          <w:sz w:val="24"/>
          <w:szCs w:val="24"/>
        </w:rPr>
        <w:t>Lawen A. Erythroferrone - The erythroid regulator of iron?</w:t>
      </w:r>
    </w:p>
    <w:p w:rsidR="00486697" w:rsidRPr="00E607BC" w:rsidRDefault="00486697" w:rsidP="00E607BC">
      <w:pPr>
        <w:spacing w:after="0" w:line="360" w:lineRule="auto"/>
        <w:jc w:val="both"/>
        <w:rPr>
          <w:rFonts w:ascii="Book Antiqua" w:hAnsi="Book Antiqua"/>
          <w:sz w:val="24"/>
          <w:szCs w:val="24"/>
        </w:rPr>
      </w:pPr>
    </w:p>
    <w:p w:rsidR="00190889" w:rsidRPr="00E607BC" w:rsidRDefault="00D52E22" w:rsidP="00E607BC">
      <w:pPr>
        <w:spacing w:after="0" w:line="360" w:lineRule="auto"/>
        <w:jc w:val="both"/>
        <w:rPr>
          <w:rFonts w:ascii="Book Antiqua" w:hAnsi="Book Antiqua"/>
          <w:sz w:val="24"/>
          <w:szCs w:val="24"/>
        </w:rPr>
      </w:pPr>
      <w:r w:rsidRPr="00E607BC">
        <w:rPr>
          <w:rFonts w:ascii="Book Antiqua" w:hAnsi="Book Antiqua"/>
          <w:sz w:val="24"/>
          <w:szCs w:val="24"/>
        </w:rPr>
        <w:t>Alfons Lawen</w:t>
      </w:r>
    </w:p>
    <w:p w:rsidR="00486697" w:rsidRPr="00E607BC" w:rsidRDefault="00486697" w:rsidP="00E607BC">
      <w:pPr>
        <w:spacing w:after="0" w:line="360" w:lineRule="auto"/>
        <w:jc w:val="both"/>
        <w:rPr>
          <w:rFonts w:ascii="Book Antiqua" w:hAnsi="Book Antiqua"/>
          <w:sz w:val="24"/>
          <w:szCs w:val="24"/>
        </w:rPr>
      </w:pPr>
    </w:p>
    <w:p w:rsidR="00EA2874" w:rsidRPr="00E607BC" w:rsidRDefault="00486697" w:rsidP="00E607BC">
      <w:pPr>
        <w:spacing w:after="0" w:line="360" w:lineRule="auto"/>
        <w:jc w:val="both"/>
        <w:rPr>
          <w:rFonts w:ascii="Book Antiqua" w:hAnsi="Book Antiqua"/>
          <w:sz w:val="24"/>
          <w:szCs w:val="24"/>
        </w:rPr>
      </w:pPr>
      <w:r w:rsidRPr="00E607BC">
        <w:rPr>
          <w:rFonts w:ascii="Book Antiqua" w:hAnsi="Book Antiqua"/>
          <w:b/>
          <w:sz w:val="24"/>
          <w:szCs w:val="24"/>
        </w:rPr>
        <w:t xml:space="preserve">Alfons Lawen, </w:t>
      </w:r>
      <w:r w:rsidR="00EA2874" w:rsidRPr="00E607BC">
        <w:rPr>
          <w:rFonts w:ascii="Book Antiqua" w:hAnsi="Book Antiqua"/>
          <w:sz w:val="24"/>
          <w:szCs w:val="24"/>
          <w:lang w:val="en-US"/>
        </w:rPr>
        <w:t>Department of Biochemistry and Molecular Biology, School of Biomedical Sciences, Monash Unive</w:t>
      </w:r>
      <w:r w:rsidRPr="00E607BC">
        <w:rPr>
          <w:rFonts w:ascii="Book Antiqua" w:hAnsi="Book Antiqua"/>
          <w:sz w:val="24"/>
          <w:szCs w:val="24"/>
          <w:lang w:val="en-US"/>
        </w:rPr>
        <w:t>rsity, Victoria 3800, Australia</w:t>
      </w:r>
    </w:p>
    <w:p w:rsidR="00190889" w:rsidRPr="00E607BC" w:rsidRDefault="00190889" w:rsidP="00E607BC">
      <w:pPr>
        <w:spacing w:after="0" w:line="360" w:lineRule="auto"/>
        <w:jc w:val="both"/>
        <w:rPr>
          <w:rFonts w:ascii="Book Antiqua" w:hAnsi="Book Antiqua"/>
          <w:sz w:val="24"/>
          <w:szCs w:val="24"/>
          <w:lang w:val="en-US"/>
        </w:rPr>
      </w:pPr>
    </w:p>
    <w:p w:rsidR="006B547D" w:rsidRPr="00E607BC" w:rsidRDefault="006B547D" w:rsidP="00E607BC">
      <w:pPr>
        <w:spacing w:after="0" w:line="360" w:lineRule="auto"/>
        <w:jc w:val="both"/>
        <w:rPr>
          <w:rFonts w:ascii="Book Antiqua" w:hAnsi="Book Antiqua"/>
          <w:sz w:val="24"/>
          <w:szCs w:val="24"/>
        </w:rPr>
      </w:pPr>
      <w:r w:rsidRPr="00E607BC">
        <w:rPr>
          <w:rFonts w:ascii="Book Antiqua" w:hAnsi="Book Antiqua" w:cs="BookAntiqua,Bold"/>
          <w:b/>
          <w:bCs/>
          <w:sz w:val="24"/>
          <w:szCs w:val="24"/>
        </w:rPr>
        <w:t xml:space="preserve">Author contributions: </w:t>
      </w:r>
      <w:r w:rsidRPr="00E607BC">
        <w:rPr>
          <w:rFonts w:ascii="Book Antiqua" w:hAnsi="Book Antiqua" w:cs="BookAntiqua"/>
          <w:sz w:val="24"/>
          <w:szCs w:val="24"/>
        </w:rPr>
        <w:t>Lawen A solely contributed to this paper.</w:t>
      </w:r>
    </w:p>
    <w:p w:rsidR="00EA2874" w:rsidRPr="00E607BC" w:rsidRDefault="00EA2874" w:rsidP="00E607BC">
      <w:pPr>
        <w:spacing w:after="0" w:line="360" w:lineRule="auto"/>
        <w:jc w:val="both"/>
        <w:rPr>
          <w:rFonts w:ascii="Book Antiqua" w:hAnsi="Book Antiqua"/>
          <w:sz w:val="24"/>
          <w:szCs w:val="24"/>
        </w:rPr>
      </w:pPr>
    </w:p>
    <w:p w:rsidR="00486697" w:rsidRPr="00E607BC" w:rsidRDefault="00486697" w:rsidP="00E607BC">
      <w:pPr>
        <w:pStyle w:val="BodyTextIndent"/>
        <w:spacing w:after="0" w:line="360" w:lineRule="auto"/>
        <w:ind w:leftChars="0" w:left="0"/>
        <w:rPr>
          <w:rFonts w:eastAsia="宋体"/>
          <w:sz w:val="24"/>
          <w:szCs w:val="24"/>
          <w:lang w:eastAsia="zh-CN"/>
        </w:rPr>
      </w:pPr>
      <w:r w:rsidRPr="00E607BC">
        <w:rPr>
          <w:rFonts w:eastAsia="Times New Roman" w:cs="Gulim"/>
          <w:b/>
          <w:color w:val="000000"/>
          <w:sz w:val="24"/>
          <w:szCs w:val="24"/>
        </w:rPr>
        <w:t>Conflict-of-interest</w:t>
      </w:r>
      <w:r w:rsidRPr="00E607BC">
        <w:rPr>
          <w:rFonts w:cs="Gulim"/>
          <w:b/>
          <w:color w:val="000000"/>
          <w:sz w:val="24"/>
          <w:szCs w:val="24"/>
          <w:lang w:eastAsia="zh-CN"/>
        </w:rPr>
        <w:t>:</w:t>
      </w:r>
      <w:r w:rsidRPr="00E607BC">
        <w:rPr>
          <w:rFonts w:eastAsia="宋体" w:cs="Gulim"/>
          <w:b/>
          <w:color w:val="000000"/>
          <w:sz w:val="24"/>
          <w:szCs w:val="24"/>
          <w:lang w:eastAsia="zh-CN"/>
        </w:rPr>
        <w:t xml:space="preserve"> </w:t>
      </w:r>
      <w:r w:rsidRPr="00E607BC">
        <w:rPr>
          <w:sz w:val="24"/>
          <w:szCs w:val="24"/>
          <w:lang w:eastAsia="zh-CN"/>
        </w:rPr>
        <w:t>None.</w:t>
      </w:r>
    </w:p>
    <w:p w:rsidR="00486697" w:rsidRPr="00E607BC" w:rsidRDefault="00486697" w:rsidP="00E607BC">
      <w:pPr>
        <w:pStyle w:val="CommentText"/>
        <w:adjustRightInd w:val="0"/>
        <w:snapToGrid w:val="0"/>
        <w:spacing w:after="0" w:line="360" w:lineRule="auto"/>
        <w:jc w:val="both"/>
        <w:rPr>
          <w:rFonts w:ascii="Book Antiqua" w:hAnsi="Book Antiqua" w:cs="Gulim"/>
          <w:b/>
          <w:color w:val="000000"/>
          <w:sz w:val="24"/>
          <w:szCs w:val="24"/>
        </w:rPr>
      </w:pPr>
      <w:r w:rsidRPr="00E607BC">
        <w:rPr>
          <w:rFonts w:ascii="Book Antiqua" w:eastAsia="Times New Roman" w:hAnsi="Book Antiqua" w:cs="Gulim"/>
          <w:b/>
          <w:color w:val="000000"/>
          <w:sz w:val="24"/>
          <w:szCs w:val="24"/>
        </w:rPr>
        <w:t xml:space="preserve"> </w:t>
      </w:r>
    </w:p>
    <w:p w:rsidR="00486697" w:rsidRPr="00E607BC" w:rsidRDefault="00486697" w:rsidP="00E607BC">
      <w:pPr>
        <w:spacing w:after="0" w:line="360" w:lineRule="auto"/>
        <w:jc w:val="both"/>
        <w:rPr>
          <w:rFonts w:ascii="Book Antiqua" w:eastAsia="宋体" w:hAnsi="Book Antiqua" w:cs="宋体"/>
          <w:color w:val="000000" w:themeColor="text1"/>
          <w:sz w:val="24"/>
          <w:szCs w:val="24"/>
        </w:rPr>
      </w:pPr>
      <w:bookmarkStart w:id="0" w:name="OLE_LINK507"/>
      <w:bookmarkStart w:id="1" w:name="OLE_LINK506"/>
      <w:bookmarkStart w:id="2" w:name="OLE_LINK496"/>
      <w:bookmarkStart w:id="3" w:name="OLE_LINK479"/>
      <w:r w:rsidRPr="00E607BC">
        <w:rPr>
          <w:rFonts w:ascii="Book Antiqua" w:eastAsia="宋体" w:hAnsi="Book Antiqua" w:cs="宋体"/>
          <w:b/>
          <w:color w:val="000000" w:themeColor="text1"/>
          <w:sz w:val="24"/>
          <w:szCs w:val="24"/>
        </w:rPr>
        <w:t xml:space="preserve">Open-Access: </w:t>
      </w:r>
      <w:r w:rsidRPr="00E607BC">
        <w:rPr>
          <w:rFonts w:ascii="Book Antiqua" w:eastAsia="宋体" w:hAnsi="Book Antiqua" w:cs="宋体"/>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607BC">
          <w:rPr>
            <w:rFonts w:ascii="Book Antiqua" w:eastAsia="宋体" w:hAnsi="Book Antiqua" w:cs="宋体"/>
            <w:color w:val="000000" w:themeColor="text1"/>
            <w:sz w:val="24"/>
            <w:szCs w:val="24"/>
            <w:u w:val="single"/>
          </w:rPr>
          <w:t>http://creativecommons.org/licenses/by-nc/4.0/</w:t>
        </w:r>
      </w:hyperlink>
      <w:bookmarkEnd w:id="0"/>
      <w:bookmarkEnd w:id="1"/>
      <w:bookmarkEnd w:id="2"/>
      <w:bookmarkEnd w:id="3"/>
    </w:p>
    <w:p w:rsidR="00486697" w:rsidRPr="00E607BC" w:rsidRDefault="00486697" w:rsidP="00E607BC">
      <w:pPr>
        <w:spacing w:after="0" w:line="360" w:lineRule="auto"/>
        <w:jc w:val="both"/>
        <w:rPr>
          <w:rFonts w:ascii="Book Antiqua" w:hAnsi="Book Antiqua"/>
          <w:sz w:val="24"/>
          <w:szCs w:val="24"/>
        </w:rPr>
      </w:pPr>
    </w:p>
    <w:p w:rsidR="006B547D" w:rsidRPr="00E607BC" w:rsidRDefault="006B547D" w:rsidP="00E607BC">
      <w:pPr>
        <w:spacing w:after="0" w:line="360" w:lineRule="auto"/>
        <w:jc w:val="both"/>
        <w:rPr>
          <w:rFonts w:ascii="Book Antiqua" w:hAnsi="Book Antiqua"/>
          <w:sz w:val="24"/>
          <w:szCs w:val="24"/>
        </w:rPr>
      </w:pPr>
      <w:r w:rsidRPr="00E607BC">
        <w:rPr>
          <w:rFonts w:ascii="Book Antiqua" w:hAnsi="Book Antiqua"/>
          <w:b/>
          <w:sz w:val="24"/>
          <w:szCs w:val="24"/>
        </w:rPr>
        <w:t xml:space="preserve">Correspondence to: </w:t>
      </w:r>
      <w:r w:rsidR="00E122F5" w:rsidRPr="00E607BC">
        <w:rPr>
          <w:rFonts w:ascii="Book Antiqua" w:hAnsi="Book Antiqua"/>
          <w:b/>
          <w:sz w:val="24"/>
          <w:szCs w:val="24"/>
        </w:rPr>
        <w:t xml:space="preserve">Dr. </w:t>
      </w:r>
      <w:r w:rsidRPr="00E607BC">
        <w:rPr>
          <w:rFonts w:ascii="Book Antiqua" w:hAnsi="Book Antiqua"/>
          <w:b/>
          <w:sz w:val="24"/>
          <w:szCs w:val="24"/>
        </w:rPr>
        <w:t xml:space="preserve">Alfons Lawen, </w:t>
      </w:r>
      <w:r w:rsidR="00E122F5" w:rsidRPr="00E607BC">
        <w:rPr>
          <w:rFonts w:ascii="Book Antiqua" w:hAnsi="Book Antiqua"/>
          <w:b/>
          <w:sz w:val="24"/>
          <w:szCs w:val="24"/>
        </w:rPr>
        <w:t>Rer,</w:t>
      </w:r>
      <w:r w:rsidRPr="00E607BC">
        <w:rPr>
          <w:rFonts w:ascii="Book Antiqua" w:hAnsi="Book Antiqua"/>
          <w:b/>
          <w:sz w:val="24"/>
          <w:szCs w:val="24"/>
        </w:rPr>
        <w:t xml:space="preserve"> </w:t>
      </w:r>
      <w:r w:rsidR="00E122F5" w:rsidRPr="00E607BC">
        <w:rPr>
          <w:rFonts w:ascii="Book Antiqua" w:hAnsi="Book Antiqua"/>
          <w:b/>
          <w:sz w:val="24"/>
          <w:szCs w:val="24"/>
        </w:rPr>
        <w:t>Nat</w:t>
      </w:r>
      <w:r w:rsidRPr="00E607BC">
        <w:rPr>
          <w:rFonts w:ascii="Book Antiqua" w:hAnsi="Book Antiqua"/>
          <w:b/>
          <w:sz w:val="24"/>
          <w:szCs w:val="24"/>
        </w:rPr>
        <w:t>,</w:t>
      </w:r>
      <w:r w:rsidRPr="00E607BC">
        <w:rPr>
          <w:rFonts w:ascii="Book Antiqua" w:hAnsi="Book Antiqua"/>
          <w:sz w:val="24"/>
          <w:szCs w:val="24"/>
        </w:rPr>
        <w:t xml:space="preserve"> </w:t>
      </w:r>
      <w:r w:rsidRPr="00E607BC">
        <w:rPr>
          <w:rFonts w:ascii="Book Antiqua" w:hAnsi="Book Antiqua"/>
          <w:sz w:val="24"/>
          <w:szCs w:val="24"/>
          <w:lang w:val="en-US"/>
        </w:rPr>
        <w:t>Department of Biochemistry and Molecular Biology, School of Biomedical Sciences, Monash University, Victoria 3800, Australia.</w:t>
      </w:r>
      <w:r w:rsidR="00486697" w:rsidRPr="00E607BC">
        <w:rPr>
          <w:rFonts w:ascii="Book Antiqua" w:hAnsi="Book Antiqua"/>
          <w:sz w:val="24"/>
          <w:szCs w:val="24"/>
        </w:rPr>
        <w:t xml:space="preserve"> </w:t>
      </w:r>
      <w:hyperlink r:id="rId10" w:history="1">
        <w:r w:rsidR="00CE47DD" w:rsidRPr="00A80EF9">
          <w:rPr>
            <w:rStyle w:val="Hyperlink"/>
            <w:rFonts w:ascii="Book Antiqua" w:hAnsi="Book Antiqua" w:hint="eastAsia"/>
            <w:sz w:val="24"/>
            <w:szCs w:val="24"/>
          </w:rPr>
          <w:t>a</w:t>
        </w:r>
        <w:r w:rsidR="00CE47DD" w:rsidRPr="00A80EF9">
          <w:rPr>
            <w:rStyle w:val="Hyperlink"/>
            <w:rFonts w:ascii="Book Antiqua" w:hAnsi="Book Antiqua"/>
            <w:sz w:val="24"/>
            <w:szCs w:val="24"/>
          </w:rPr>
          <w:t>lfons.</w:t>
        </w:r>
        <w:r w:rsidR="00CE47DD" w:rsidRPr="00A80EF9">
          <w:rPr>
            <w:rStyle w:val="Hyperlink"/>
            <w:rFonts w:ascii="Book Antiqua" w:hAnsi="Book Antiqua" w:hint="eastAsia"/>
            <w:sz w:val="24"/>
            <w:szCs w:val="24"/>
          </w:rPr>
          <w:t>l</w:t>
        </w:r>
        <w:r w:rsidR="00CE47DD" w:rsidRPr="00A80EF9">
          <w:rPr>
            <w:rStyle w:val="Hyperlink"/>
            <w:rFonts w:ascii="Book Antiqua" w:hAnsi="Book Antiqua"/>
            <w:sz w:val="24"/>
            <w:szCs w:val="24"/>
          </w:rPr>
          <w:t>awen@monash.edu</w:t>
        </w:r>
      </w:hyperlink>
    </w:p>
    <w:p w:rsidR="00486697" w:rsidRPr="00E607BC" w:rsidRDefault="00486697" w:rsidP="00E607BC">
      <w:pPr>
        <w:spacing w:after="0" w:line="360" w:lineRule="auto"/>
        <w:rPr>
          <w:rFonts w:ascii="Book Antiqua" w:hAnsi="Book Antiqua"/>
          <w:sz w:val="24"/>
          <w:szCs w:val="24"/>
        </w:rPr>
      </w:pPr>
    </w:p>
    <w:p w:rsidR="00486697" w:rsidRPr="00E607BC" w:rsidRDefault="00486697" w:rsidP="00E607BC">
      <w:pPr>
        <w:spacing w:after="0" w:line="360" w:lineRule="auto"/>
        <w:rPr>
          <w:rFonts w:ascii="Book Antiqua" w:eastAsia="宋体" w:hAnsi="Book Antiqua" w:cs="Times New Roman"/>
          <w:sz w:val="24"/>
          <w:szCs w:val="24"/>
        </w:rPr>
      </w:pPr>
      <w:r w:rsidRPr="00E607BC">
        <w:rPr>
          <w:rFonts w:ascii="Book Antiqua" w:hAnsi="Book Antiqua" w:cs="Times New Roman"/>
          <w:b/>
          <w:sz w:val="24"/>
          <w:szCs w:val="24"/>
        </w:rPr>
        <w:t>Telephone:</w:t>
      </w:r>
      <w:r w:rsidRPr="00E607BC">
        <w:rPr>
          <w:rFonts w:ascii="Book Antiqua" w:hAnsi="Book Antiqua"/>
          <w:sz w:val="24"/>
          <w:szCs w:val="24"/>
        </w:rPr>
        <w:t xml:space="preserve"> +61-3-99053711</w:t>
      </w:r>
    </w:p>
    <w:p w:rsidR="00486697" w:rsidRPr="00E607BC" w:rsidRDefault="00486697" w:rsidP="00E607BC">
      <w:pPr>
        <w:spacing w:after="0" w:line="360" w:lineRule="auto"/>
        <w:rPr>
          <w:rFonts w:ascii="Book Antiqua" w:eastAsia="宋体" w:hAnsi="Book Antiqua" w:cs="Times New Roman"/>
          <w:sz w:val="24"/>
          <w:szCs w:val="24"/>
        </w:rPr>
      </w:pPr>
      <w:r w:rsidRPr="00E607BC">
        <w:rPr>
          <w:rFonts w:ascii="Book Antiqua" w:hAnsi="Book Antiqua" w:cs="Times New Roman"/>
          <w:b/>
          <w:sz w:val="24"/>
          <w:szCs w:val="24"/>
        </w:rPr>
        <w:t>Fax:</w:t>
      </w:r>
      <w:r w:rsidRPr="00E607BC">
        <w:rPr>
          <w:rFonts w:ascii="Book Antiqua" w:hAnsi="Book Antiqua" w:cs="Times New Roman"/>
          <w:sz w:val="24"/>
          <w:szCs w:val="24"/>
        </w:rPr>
        <w:t xml:space="preserve"> </w:t>
      </w:r>
      <w:r w:rsidRPr="00E607BC">
        <w:rPr>
          <w:rFonts w:ascii="Book Antiqua" w:hAnsi="Book Antiqua"/>
          <w:sz w:val="24"/>
          <w:szCs w:val="24"/>
        </w:rPr>
        <w:t>+61-3-99029500</w:t>
      </w:r>
    </w:p>
    <w:p w:rsidR="00486697" w:rsidRPr="00E607BC" w:rsidRDefault="00486697" w:rsidP="00E607BC">
      <w:pPr>
        <w:spacing w:after="0" w:line="360" w:lineRule="auto"/>
        <w:rPr>
          <w:rFonts w:ascii="Book Antiqua" w:hAnsi="Book Antiqua"/>
          <w:b/>
          <w:sz w:val="24"/>
          <w:szCs w:val="24"/>
        </w:rPr>
      </w:pPr>
      <w:r w:rsidRPr="00E607BC">
        <w:rPr>
          <w:rFonts w:ascii="Book Antiqua" w:hAnsi="Book Antiqua"/>
          <w:b/>
          <w:sz w:val="24"/>
          <w:szCs w:val="24"/>
        </w:rPr>
        <w:t xml:space="preserve">Received: </w:t>
      </w:r>
      <w:r w:rsidR="00E607BC" w:rsidRPr="00E607BC">
        <w:rPr>
          <w:rFonts w:ascii="Book Antiqua" w:hAnsi="Book Antiqua"/>
          <w:sz w:val="24"/>
          <w:szCs w:val="24"/>
        </w:rPr>
        <w:t>January 27, 2015</w:t>
      </w:r>
    </w:p>
    <w:p w:rsidR="00486697" w:rsidRPr="00E607BC" w:rsidRDefault="00486697" w:rsidP="00E607BC">
      <w:pPr>
        <w:spacing w:after="0" w:line="360" w:lineRule="auto"/>
        <w:rPr>
          <w:rFonts w:ascii="Book Antiqua" w:hAnsi="Book Antiqua"/>
          <w:b/>
          <w:sz w:val="24"/>
          <w:szCs w:val="24"/>
        </w:rPr>
      </w:pPr>
      <w:r w:rsidRPr="00E607BC">
        <w:rPr>
          <w:rFonts w:ascii="Book Antiqua" w:hAnsi="Book Antiqua"/>
          <w:b/>
          <w:sz w:val="24"/>
          <w:szCs w:val="24"/>
        </w:rPr>
        <w:lastRenderedPageBreak/>
        <w:t>Peer-review started:</w:t>
      </w:r>
      <w:r w:rsidR="00E607BC" w:rsidRPr="00E607BC">
        <w:rPr>
          <w:rFonts w:ascii="Book Antiqua" w:hAnsi="Book Antiqua"/>
          <w:sz w:val="24"/>
          <w:szCs w:val="24"/>
        </w:rPr>
        <w:t xml:space="preserve"> January 28, 2015</w:t>
      </w:r>
    </w:p>
    <w:p w:rsidR="00486697" w:rsidRPr="00E607BC" w:rsidRDefault="00486697" w:rsidP="00E607BC">
      <w:pPr>
        <w:spacing w:after="0" w:line="360" w:lineRule="auto"/>
        <w:rPr>
          <w:rFonts w:ascii="Book Antiqua" w:hAnsi="Book Antiqua"/>
          <w:b/>
          <w:sz w:val="24"/>
          <w:szCs w:val="24"/>
        </w:rPr>
      </w:pPr>
      <w:bookmarkStart w:id="4" w:name="OLE_LINK21"/>
      <w:bookmarkStart w:id="5" w:name="OLE_LINK22"/>
      <w:r w:rsidRPr="00E607BC">
        <w:rPr>
          <w:rFonts w:ascii="Book Antiqua" w:hAnsi="Book Antiqua"/>
          <w:b/>
          <w:sz w:val="24"/>
          <w:szCs w:val="24"/>
        </w:rPr>
        <w:t>First decision:</w:t>
      </w:r>
      <w:r w:rsidR="00E607BC" w:rsidRPr="00E607BC">
        <w:rPr>
          <w:rFonts w:ascii="Book Antiqua" w:hAnsi="Book Antiqua"/>
          <w:b/>
          <w:sz w:val="24"/>
          <w:szCs w:val="24"/>
        </w:rPr>
        <w:t xml:space="preserve"> </w:t>
      </w:r>
      <w:r w:rsidR="00E607BC" w:rsidRPr="00E607BC">
        <w:rPr>
          <w:rFonts w:ascii="Book Antiqua" w:hAnsi="Book Antiqua"/>
          <w:sz w:val="24"/>
          <w:szCs w:val="24"/>
        </w:rPr>
        <w:t>March 6, 2015</w:t>
      </w:r>
    </w:p>
    <w:bookmarkEnd w:id="4"/>
    <w:bookmarkEnd w:id="5"/>
    <w:p w:rsidR="00486697" w:rsidRPr="00E607BC" w:rsidRDefault="00486697" w:rsidP="00E607BC">
      <w:pPr>
        <w:spacing w:after="0" w:line="360" w:lineRule="auto"/>
        <w:rPr>
          <w:rFonts w:ascii="Book Antiqua" w:hAnsi="Book Antiqua"/>
          <w:b/>
          <w:sz w:val="24"/>
          <w:szCs w:val="24"/>
        </w:rPr>
      </w:pPr>
      <w:r w:rsidRPr="00E607BC">
        <w:rPr>
          <w:rFonts w:ascii="Book Antiqua" w:hAnsi="Book Antiqua"/>
          <w:b/>
          <w:sz w:val="24"/>
          <w:szCs w:val="24"/>
        </w:rPr>
        <w:t xml:space="preserve">Revised: </w:t>
      </w:r>
      <w:r w:rsidR="00E607BC" w:rsidRPr="00E607BC">
        <w:rPr>
          <w:rFonts w:ascii="Book Antiqua" w:hAnsi="Book Antiqua"/>
          <w:sz w:val="24"/>
          <w:szCs w:val="24"/>
        </w:rPr>
        <w:t>April 20, 2015</w:t>
      </w:r>
    </w:p>
    <w:p w:rsidR="00486697" w:rsidRPr="00E607BC" w:rsidRDefault="00486697" w:rsidP="00E607BC">
      <w:pPr>
        <w:spacing w:after="0" w:line="360" w:lineRule="auto"/>
        <w:rPr>
          <w:rFonts w:ascii="Book Antiqua" w:hAnsi="Book Antiqua"/>
          <w:b/>
          <w:sz w:val="24"/>
          <w:szCs w:val="24"/>
        </w:rPr>
      </w:pPr>
      <w:r w:rsidRPr="00E607BC">
        <w:rPr>
          <w:rFonts w:ascii="Book Antiqua" w:hAnsi="Book Antiqua"/>
          <w:b/>
          <w:sz w:val="24"/>
          <w:szCs w:val="24"/>
        </w:rPr>
        <w:t xml:space="preserve">Accepted: </w:t>
      </w:r>
      <w:r w:rsidR="00113F90" w:rsidRPr="00113F90">
        <w:rPr>
          <w:rFonts w:ascii="Book Antiqua" w:hAnsi="Book Antiqua"/>
          <w:sz w:val="24"/>
          <w:szCs w:val="24"/>
        </w:rPr>
        <w:t>May 16, 2015</w:t>
      </w:r>
      <w:bookmarkStart w:id="6" w:name="_GoBack"/>
      <w:bookmarkEnd w:id="6"/>
    </w:p>
    <w:p w:rsidR="00486697" w:rsidRPr="00E607BC" w:rsidRDefault="00486697" w:rsidP="00E607BC">
      <w:pPr>
        <w:spacing w:after="0" w:line="360" w:lineRule="auto"/>
        <w:rPr>
          <w:rFonts w:ascii="Book Antiqua" w:hAnsi="Book Antiqua"/>
          <w:b/>
          <w:sz w:val="24"/>
          <w:szCs w:val="24"/>
        </w:rPr>
      </w:pPr>
      <w:r w:rsidRPr="00E607BC">
        <w:rPr>
          <w:rFonts w:ascii="Book Antiqua" w:hAnsi="Book Antiqua"/>
          <w:b/>
          <w:sz w:val="24"/>
          <w:szCs w:val="24"/>
        </w:rPr>
        <w:t>Article in press:</w:t>
      </w:r>
    </w:p>
    <w:p w:rsidR="00486697" w:rsidRPr="00E607BC" w:rsidRDefault="00486697" w:rsidP="00E607BC">
      <w:pPr>
        <w:spacing w:after="0" w:line="360" w:lineRule="auto"/>
        <w:rPr>
          <w:rFonts w:ascii="Book Antiqua" w:hAnsi="Book Antiqua"/>
          <w:b/>
          <w:sz w:val="24"/>
          <w:szCs w:val="24"/>
        </w:rPr>
      </w:pPr>
      <w:r w:rsidRPr="00E607BC">
        <w:rPr>
          <w:rFonts w:ascii="Book Antiqua" w:hAnsi="Book Antiqua"/>
          <w:b/>
          <w:sz w:val="24"/>
          <w:szCs w:val="24"/>
        </w:rPr>
        <w:t xml:space="preserve">Published online: </w:t>
      </w:r>
    </w:p>
    <w:p w:rsidR="00486697" w:rsidRPr="00E607BC" w:rsidRDefault="00486697" w:rsidP="00E607BC">
      <w:pPr>
        <w:spacing w:after="0" w:line="360" w:lineRule="auto"/>
        <w:jc w:val="both"/>
        <w:rPr>
          <w:rFonts w:ascii="Book Antiqua" w:hAnsi="Book Antiqua"/>
          <w:sz w:val="24"/>
          <w:szCs w:val="24"/>
        </w:rPr>
      </w:pPr>
    </w:p>
    <w:p w:rsidR="00D91D3D" w:rsidRPr="00E607BC" w:rsidRDefault="00D91D3D" w:rsidP="00E607BC">
      <w:pPr>
        <w:spacing w:after="0" w:line="360" w:lineRule="auto"/>
        <w:jc w:val="both"/>
        <w:rPr>
          <w:rFonts w:ascii="Book Antiqua" w:hAnsi="Book Antiqua"/>
          <w:sz w:val="24"/>
          <w:szCs w:val="24"/>
        </w:rPr>
      </w:pPr>
      <w:r w:rsidRPr="00E607BC">
        <w:rPr>
          <w:rFonts w:ascii="Book Antiqua" w:hAnsi="Book Antiqua"/>
          <w:b/>
          <w:bCs/>
          <w:sz w:val="24"/>
          <w:szCs w:val="24"/>
        </w:rPr>
        <w:t>Abstract</w:t>
      </w:r>
    </w:p>
    <w:p w:rsidR="00D91D3D" w:rsidRPr="00E607BC" w:rsidRDefault="00A40E54" w:rsidP="00E607BC">
      <w:pPr>
        <w:spacing w:after="0" w:line="360" w:lineRule="auto"/>
        <w:ind w:left="-42"/>
        <w:jc w:val="both"/>
        <w:rPr>
          <w:rFonts w:ascii="Book Antiqua" w:hAnsi="Book Antiqua"/>
          <w:sz w:val="24"/>
          <w:szCs w:val="24"/>
        </w:rPr>
      </w:pPr>
      <w:r w:rsidRPr="00E607BC">
        <w:rPr>
          <w:rFonts w:ascii="Book Antiqua" w:hAnsi="Book Antiqua"/>
          <w:sz w:val="24"/>
          <w:szCs w:val="24"/>
        </w:rPr>
        <w:t>Iron metabolism is regulated on the cellular and the systemic level.</w:t>
      </w:r>
      <w:r w:rsidR="00486697" w:rsidRPr="00E607BC">
        <w:rPr>
          <w:rFonts w:ascii="Book Antiqua" w:hAnsi="Book Antiqua"/>
          <w:sz w:val="24"/>
          <w:szCs w:val="24"/>
        </w:rPr>
        <w:t xml:space="preserve"> </w:t>
      </w:r>
      <w:r w:rsidR="00F14545" w:rsidRPr="00E607BC">
        <w:rPr>
          <w:rFonts w:ascii="Book Antiqua" w:hAnsi="Book Antiqua"/>
          <w:sz w:val="24"/>
          <w:szCs w:val="24"/>
        </w:rPr>
        <w:t>Over the last decade, the liver peptide “hepcidin” has emerged as the bod</w:t>
      </w:r>
      <w:r w:rsidR="00486697" w:rsidRPr="00E607BC">
        <w:rPr>
          <w:rFonts w:ascii="Book Antiqua" w:hAnsi="Book Antiqua"/>
          <w:sz w:val="24"/>
          <w:szCs w:val="24"/>
        </w:rPr>
        <w:t xml:space="preserve">y’s key irons store regulator. </w:t>
      </w:r>
      <w:r w:rsidR="00F14545" w:rsidRPr="00E607BC">
        <w:rPr>
          <w:rFonts w:ascii="Book Antiqua" w:hAnsi="Book Antiqua"/>
          <w:sz w:val="24"/>
          <w:szCs w:val="24"/>
        </w:rPr>
        <w:t xml:space="preserve">The long postulated “erythroid regulator </w:t>
      </w:r>
      <w:r w:rsidR="004B74BE" w:rsidRPr="00E607BC">
        <w:rPr>
          <w:rFonts w:ascii="Book Antiqua" w:hAnsi="Book Antiqua"/>
          <w:sz w:val="24"/>
          <w:szCs w:val="24"/>
        </w:rPr>
        <w:t>of ir</w:t>
      </w:r>
      <w:r w:rsidR="00486697" w:rsidRPr="00E607BC">
        <w:rPr>
          <w:rFonts w:ascii="Book Antiqua" w:hAnsi="Book Antiqua"/>
          <w:sz w:val="24"/>
          <w:szCs w:val="24"/>
        </w:rPr>
        <w:t>on”, however, remained elusive.</w:t>
      </w:r>
      <w:r w:rsidR="004B74BE" w:rsidRPr="00E607BC">
        <w:rPr>
          <w:rFonts w:ascii="Book Antiqua" w:hAnsi="Book Antiqua"/>
          <w:sz w:val="24"/>
          <w:szCs w:val="24"/>
        </w:rPr>
        <w:t xml:space="preserve"> Last year, evidence was provided, that a previously described myokine “myonectin” may also function as the long sought erythroid regulator of iron.</w:t>
      </w:r>
      <w:r w:rsidR="00486697" w:rsidRPr="00E607BC">
        <w:rPr>
          <w:rFonts w:ascii="Book Antiqua" w:hAnsi="Book Antiqua"/>
          <w:sz w:val="24"/>
          <w:szCs w:val="24"/>
        </w:rPr>
        <w:t xml:space="preserve"> </w:t>
      </w:r>
      <w:r w:rsidR="004B74BE" w:rsidRPr="00E607BC">
        <w:rPr>
          <w:rFonts w:ascii="Book Antiqua" w:hAnsi="Book Antiqua"/>
          <w:sz w:val="24"/>
          <w:szCs w:val="24"/>
        </w:rPr>
        <w:t>Myonectin was therefore re-named “erythroferrone”.</w:t>
      </w:r>
      <w:r w:rsidR="00486697" w:rsidRPr="00E607BC">
        <w:rPr>
          <w:rFonts w:ascii="Book Antiqua" w:hAnsi="Book Antiqua"/>
          <w:sz w:val="24"/>
          <w:szCs w:val="24"/>
        </w:rPr>
        <w:t xml:space="preserve"> </w:t>
      </w:r>
      <w:r w:rsidR="00145375" w:rsidRPr="00E607BC">
        <w:rPr>
          <w:rFonts w:ascii="Book Antiqua" w:hAnsi="Book Antiqua"/>
          <w:sz w:val="24"/>
          <w:szCs w:val="24"/>
        </w:rPr>
        <w:t>This editorial provides a brief discussion on the two functions of erythroferrone and also briefly considers the emerging potential role of transferrin receptor 2 in erythropoiesis.</w:t>
      </w:r>
    </w:p>
    <w:p w:rsidR="00486697" w:rsidRPr="00E607BC" w:rsidRDefault="00486697" w:rsidP="00E607BC">
      <w:pPr>
        <w:spacing w:after="0" w:line="360" w:lineRule="auto"/>
        <w:jc w:val="both"/>
        <w:rPr>
          <w:rFonts w:ascii="Book Antiqua" w:hAnsi="Book Antiqua"/>
          <w:sz w:val="24"/>
          <w:szCs w:val="24"/>
        </w:rPr>
      </w:pPr>
    </w:p>
    <w:p w:rsidR="00D91D3D" w:rsidRPr="00E607BC" w:rsidRDefault="00190889" w:rsidP="00E607BC">
      <w:pPr>
        <w:spacing w:after="0" w:line="360" w:lineRule="auto"/>
        <w:jc w:val="both"/>
        <w:rPr>
          <w:rFonts w:ascii="Book Antiqua" w:hAnsi="Book Antiqua"/>
          <w:sz w:val="24"/>
          <w:szCs w:val="24"/>
        </w:rPr>
      </w:pPr>
      <w:r w:rsidRPr="00E607BC">
        <w:rPr>
          <w:rFonts w:ascii="Book Antiqua" w:hAnsi="Book Antiqua"/>
          <w:b/>
          <w:bCs/>
          <w:sz w:val="24"/>
          <w:szCs w:val="24"/>
        </w:rPr>
        <w:t xml:space="preserve">Key </w:t>
      </w:r>
      <w:r w:rsidR="00D91D3D" w:rsidRPr="00E607BC">
        <w:rPr>
          <w:rFonts w:ascii="Book Antiqua" w:hAnsi="Book Antiqua"/>
          <w:b/>
          <w:bCs/>
          <w:sz w:val="24"/>
          <w:szCs w:val="24"/>
        </w:rPr>
        <w:t>words:</w:t>
      </w:r>
      <w:r w:rsidR="00A40E54" w:rsidRPr="00E607BC">
        <w:rPr>
          <w:rFonts w:ascii="Book Antiqua" w:hAnsi="Book Antiqua"/>
          <w:sz w:val="24"/>
          <w:szCs w:val="24"/>
        </w:rPr>
        <w:t xml:space="preserve"> </w:t>
      </w:r>
      <w:r w:rsidRPr="00E607BC">
        <w:rPr>
          <w:rFonts w:ascii="Book Antiqua" w:hAnsi="Book Antiqua"/>
          <w:sz w:val="24"/>
          <w:szCs w:val="24"/>
        </w:rPr>
        <w:t xml:space="preserve">Erythroid </w:t>
      </w:r>
      <w:r w:rsidR="00A40E54" w:rsidRPr="00E607BC">
        <w:rPr>
          <w:rFonts w:ascii="Book Antiqua" w:hAnsi="Book Antiqua"/>
          <w:sz w:val="24"/>
          <w:szCs w:val="24"/>
        </w:rPr>
        <w:t xml:space="preserve">regulator of iron; </w:t>
      </w:r>
      <w:r w:rsidRPr="00E607BC">
        <w:rPr>
          <w:rFonts w:ascii="Book Antiqua" w:hAnsi="Book Antiqua"/>
          <w:sz w:val="24"/>
          <w:szCs w:val="24"/>
        </w:rPr>
        <w:t>Hepcidin</w:t>
      </w:r>
      <w:r w:rsidR="00A40E54" w:rsidRPr="00E607BC">
        <w:rPr>
          <w:rFonts w:ascii="Book Antiqua" w:hAnsi="Book Antiqua"/>
          <w:sz w:val="24"/>
          <w:szCs w:val="24"/>
        </w:rPr>
        <w:t xml:space="preserve">; </w:t>
      </w:r>
      <w:r w:rsidRPr="00E607BC">
        <w:rPr>
          <w:rFonts w:ascii="Book Antiqua" w:hAnsi="Book Antiqua"/>
          <w:sz w:val="24"/>
          <w:szCs w:val="24"/>
        </w:rPr>
        <w:t xml:space="preserve">Iron </w:t>
      </w:r>
      <w:r w:rsidR="00A40E54" w:rsidRPr="00E607BC">
        <w:rPr>
          <w:rFonts w:ascii="Book Antiqua" w:hAnsi="Book Antiqua"/>
          <w:sz w:val="24"/>
          <w:szCs w:val="24"/>
        </w:rPr>
        <w:t xml:space="preserve">metabolism; </w:t>
      </w:r>
      <w:r w:rsidRPr="00E607BC">
        <w:rPr>
          <w:rFonts w:ascii="Book Antiqua" w:hAnsi="Book Antiqua"/>
          <w:sz w:val="24"/>
          <w:szCs w:val="24"/>
        </w:rPr>
        <w:t>Myonectin</w:t>
      </w:r>
      <w:r w:rsidR="00A40E54" w:rsidRPr="00E607BC">
        <w:rPr>
          <w:rFonts w:ascii="Book Antiqua" w:hAnsi="Book Antiqua"/>
          <w:sz w:val="24"/>
          <w:szCs w:val="24"/>
        </w:rPr>
        <w:t xml:space="preserve">; </w:t>
      </w:r>
      <w:r w:rsidRPr="00E607BC">
        <w:rPr>
          <w:rFonts w:ascii="Book Antiqua" w:hAnsi="Book Antiqua"/>
          <w:sz w:val="24"/>
          <w:szCs w:val="24"/>
        </w:rPr>
        <w:t xml:space="preserve">Systemic </w:t>
      </w:r>
      <w:r w:rsidR="00A40E54" w:rsidRPr="00E607BC">
        <w:rPr>
          <w:rFonts w:ascii="Book Antiqua" w:hAnsi="Book Antiqua"/>
          <w:sz w:val="24"/>
          <w:szCs w:val="24"/>
        </w:rPr>
        <w:t>iron regulation</w:t>
      </w:r>
    </w:p>
    <w:p w:rsidR="00D91D3D" w:rsidRPr="00E607BC" w:rsidRDefault="00D91D3D" w:rsidP="00E607BC">
      <w:pPr>
        <w:tabs>
          <w:tab w:val="left" w:pos="3220"/>
        </w:tabs>
        <w:spacing w:after="0" w:line="360" w:lineRule="auto"/>
        <w:jc w:val="both"/>
        <w:rPr>
          <w:rFonts w:ascii="Book Antiqua" w:hAnsi="Book Antiqua"/>
          <w:b/>
          <w:bCs/>
          <w:sz w:val="24"/>
          <w:szCs w:val="24"/>
        </w:rPr>
      </w:pPr>
    </w:p>
    <w:p w:rsidR="00E607BC" w:rsidRPr="00E607BC" w:rsidRDefault="00E607BC" w:rsidP="00E607BC">
      <w:pPr>
        <w:spacing w:after="0" w:line="360" w:lineRule="auto"/>
        <w:jc w:val="both"/>
        <w:rPr>
          <w:rFonts w:ascii="Book Antiqua" w:hAnsi="Book Antiqua"/>
          <w:i/>
          <w:iCs/>
          <w:sz w:val="24"/>
          <w:szCs w:val="24"/>
        </w:rPr>
      </w:pPr>
      <w:r w:rsidRPr="00E607BC">
        <w:rPr>
          <w:rFonts w:ascii="Book Antiqua" w:hAnsi="Book Antiqua" w:cs="Tahoma"/>
          <w:b/>
          <w:color w:val="000000"/>
          <w:sz w:val="24"/>
          <w:szCs w:val="24"/>
          <w:lang w:val="en-GB" w:eastAsia="ja-JP"/>
        </w:rPr>
        <w:t xml:space="preserve">© </w:t>
      </w:r>
      <w:r w:rsidRPr="00E607BC">
        <w:rPr>
          <w:rFonts w:ascii="Book Antiqua" w:eastAsia="AdvTimes" w:hAnsi="Book Antiqua" w:cs="AdvTimes"/>
          <w:b/>
          <w:color w:val="000000"/>
          <w:sz w:val="24"/>
          <w:szCs w:val="24"/>
          <w:lang w:val="fr-FR" w:eastAsia="ja-JP"/>
        </w:rPr>
        <w:t>The Author(s) 2015.</w:t>
      </w:r>
      <w:r w:rsidRPr="00E607BC">
        <w:rPr>
          <w:rFonts w:ascii="Book Antiqua" w:eastAsia="AdvTimes" w:hAnsi="Book Antiqua" w:cs="AdvTimes"/>
          <w:color w:val="000000"/>
          <w:sz w:val="24"/>
          <w:szCs w:val="24"/>
          <w:lang w:val="fr-FR" w:eastAsia="ja-JP"/>
        </w:rPr>
        <w:t xml:space="preserve"> Published by </w:t>
      </w:r>
      <w:r w:rsidRPr="00E607BC">
        <w:rPr>
          <w:rFonts w:ascii="Book Antiqua" w:hAnsi="Book Antiqua" w:cs="Arial Unicode MS"/>
          <w:color w:val="000000"/>
          <w:sz w:val="24"/>
          <w:szCs w:val="24"/>
          <w:lang w:val="en-GB" w:eastAsia="ja-JP"/>
        </w:rPr>
        <w:t>Baishideng Publishing Group Inc.</w:t>
      </w:r>
      <w:r w:rsidRPr="00E607BC">
        <w:rPr>
          <w:rFonts w:ascii="Book Antiqua" w:hAnsi="Book Antiqua" w:cs="Arial Unicode MS"/>
          <w:sz w:val="24"/>
          <w:szCs w:val="24"/>
          <w:lang w:val="en-GB" w:eastAsia="ja-JP"/>
        </w:rPr>
        <w:t xml:space="preserve"> </w:t>
      </w:r>
      <w:r w:rsidRPr="00E607BC">
        <w:rPr>
          <w:rFonts w:ascii="Book Antiqua" w:hAnsi="Book Antiqua" w:cs="Arial Unicode MS"/>
          <w:sz w:val="24"/>
          <w:szCs w:val="24"/>
          <w:lang w:val="fr-FR" w:eastAsia="ja-JP"/>
        </w:rPr>
        <w:t>All rights reserved</w:t>
      </w:r>
      <w:r w:rsidRPr="00E607BC">
        <w:rPr>
          <w:rFonts w:ascii="Book Antiqua" w:hAnsi="Book Antiqua" w:cs="Arial Unicode MS"/>
          <w:sz w:val="24"/>
          <w:szCs w:val="24"/>
          <w:lang w:val="fr-FR"/>
        </w:rPr>
        <w:t>.</w:t>
      </w:r>
    </w:p>
    <w:p w:rsidR="00E607BC" w:rsidRPr="00E607BC" w:rsidRDefault="00E607BC" w:rsidP="00E607BC">
      <w:pPr>
        <w:tabs>
          <w:tab w:val="left" w:pos="3220"/>
        </w:tabs>
        <w:spacing w:after="0" w:line="360" w:lineRule="auto"/>
        <w:jc w:val="both"/>
        <w:rPr>
          <w:rFonts w:ascii="Book Antiqua" w:hAnsi="Book Antiqua"/>
          <w:b/>
          <w:bCs/>
          <w:sz w:val="24"/>
          <w:szCs w:val="24"/>
        </w:rPr>
      </w:pPr>
    </w:p>
    <w:p w:rsidR="00D91D3D" w:rsidRPr="00E607BC" w:rsidRDefault="00D91D3D" w:rsidP="00E607BC">
      <w:pPr>
        <w:tabs>
          <w:tab w:val="left" w:pos="3220"/>
        </w:tabs>
        <w:spacing w:after="0" w:line="360" w:lineRule="auto"/>
        <w:jc w:val="both"/>
        <w:rPr>
          <w:rFonts w:ascii="Book Antiqua" w:hAnsi="Book Antiqua"/>
          <w:b/>
          <w:bCs/>
          <w:sz w:val="24"/>
          <w:szCs w:val="24"/>
        </w:rPr>
      </w:pPr>
      <w:r w:rsidRPr="00E607BC">
        <w:rPr>
          <w:rFonts w:ascii="Book Antiqua" w:hAnsi="Book Antiqua"/>
          <w:b/>
          <w:bCs/>
          <w:sz w:val="24"/>
          <w:szCs w:val="24"/>
        </w:rPr>
        <w:t>Core tip</w:t>
      </w:r>
      <w:r w:rsidR="00A40E54" w:rsidRPr="00E607BC">
        <w:rPr>
          <w:rFonts w:ascii="Book Antiqua" w:hAnsi="Book Antiqua"/>
          <w:b/>
          <w:bCs/>
          <w:sz w:val="24"/>
          <w:szCs w:val="24"/>
        </w:rPr>
        <w:t xml:space="preserve">: </w:t>
      </w:r>
      <w:r w:rsidR="00B27FD4" w:rsidRPr="00E607BC">
        <w:rPr>
          <w:rFonts w:ascii="Book Antiqua" w:hAnsi="Book Antiqua"/>
          <w:sz w:val="24"/>
          <w:szCs w:val="24"/>
        </w:rPr>
        <w:t>Iron metabolism is regulated on the cellular and the systemic level.</w:t>
      </w:r>
      <w:r w:rsidR="00486697" w:rsidRPr="00E607BC">
        <w:rPr>
          <w:rFonts w:ascii="Book Antiqua" w:hAnsi="Book Antiqua"/>
          <w:sz w:val="24"/>
          <w:szCs w:val="24"/>
        </w:rPr>
        <w:t xml:space="preserve"> </w:t>
      </w:r>
      <w:r w:rsidR="00B27FD4" w:rsidRPr="00E607BC">
        <w:rPr>
          <w:rFonts w:ascii="Book Antiqua" w:hAnsi="Book Antiqua"/>
          <w:sz w:val="24"/>
          <w:szCs w:val="24"/>
        </w:rPr>
        <w:t>Over the last decade, the small</w:t>
      </w:r>
      <w:r w:rsidR="0005574B" w:rsidRPr="00E607BC">
        <w:rPr>
          <w:rFonts w:ascii="Book Antiqua" w:hAnsi="Book Antiqua"/>
          <w:sz w:val="24"/>
          <w:szCs w:val="24"/>
        </w:rPr>
        <w:t>, 25-amino-</w:t>
      </w:r>
      <w:r w:rsidR="00B27FD4" w:rsidRPr="00E607BC">
        <w:rPr>
          <w:rFonts w:ascii="Book Antiqua" w:hAnsi="Book Antiqua"/>
          <w:sz w:val="24"/>
          <w:szCs w:val="24"/>
        </w:rPr>
        <w:t>acid liver peptide “hepcidin” has emerged as the bo</w:t>
      </w:r>
      <w:r w:rsidR="00486697" w:rsidRPr="00E607BC">
        <w:rPr>
          <w:rFonts w:ascii="Book Antiqua" w:hAnsi="Book Antiqua"/>
          <w:sz w:val="24"/>
          <w:szCs w:val="24"/>
        </w:rPr>
        <w:t>dy’s key irons store regulator.</w:t>
      </w:r>
      <w:r w:rsidR="00B27FD4" w:rsidRPr="00E607BC">
        <w:rPr>
          <w:rFonts w:ascii="Book Antiqua" w:hAnsi="Book Antiqua"/>
          <w:sz w:val="24"/>
          <w:szCs w:val="24"/>
        </w:rPr>
        <w:t xml:space="preserve"> The long postulated “erythroid regulator of iron”, however, remained elusive.</w:t>
      </w:r>
      <w:r w:rsidR="00486697" w:rsidRPr="00E607BC">
        <w:rPr>
          <w:rFonts w:ascii="Book Antiqua" w:hAnsi="Book Antiqua"/>
          <w:sz w:val="24"/>
          <w:szCs w:val="24"/>
        </w:rPr>
        <w:t xml:space="preserve"> </w:t>
      </w:r>
      <w:r w:rsidR="00B27FD4" w:rsidRPr="00E607BC">
        <w:rPr>
          <w:rFonts w:ascii="Book Antiqua" w:hAnsi="Book Antiqua"/>
          <w:sz w:val="24"/>
          <w:szCs w:val="24"/>
        </w:rPr>
        <w:t>Several candidates have been suggeste</w:t>
      </w:r>
      <w:r w:rsidR="00145375" w:rsidRPr="00E607BC">
        <w:rPr>
          <w:rFonts w:ascii="Book Antiqua" w:hAnsi="Book Antiqua"/>
          <w:sz w:val="24"/>
          <w:szCs w:val="24"/>
        </w:rPr>
        <w:t xml:space="preserve">d in the literature, </w:t>
      </w:r>
      <w:r w:rsidR="00B27FD4" w:rsidRPr="00E607BC">
        <w:rPr>
          <w:rFonts w:ascii="Book Antiqua" w:hAnsi="Book Antiqua"/>
          <w:sz w:val="24"/>
          <w:szCs w:val="24"/>
        </w:rPr>
        <w:t>however all had to be dismissed.</w:t>
      </w:r>
      <w:r w:rsidR="00486697" w:rsidRPr="00E607BC">
        <w:rPr>
          <w:rFonts w:ascii="Book Antiqua" w:hAnsi="Book Antiqua"/>
          <w:sz w:val="24"/>
          <w:szCs w:val="24"/>
        </w:rPr>
        <w:t xml:space="preserve"> </w:t>
      </w:r>
      <w:r w:rsidR="00B27FD4" w:rsidRPr="00E607BC">
        <w:rPr>
          <w:rFonts w:ascii="Book Antiqua" w:hAnsi="Book Antiqua"/>
          <w:sz w:val="24"/>
          <w:szCs w:val="24"/>
        </w:rPr>
        <w:t>Last year, evidence was provided, that</w:t>
      </w:r>
      <w:r w:rsidR="00145375" w:rsidRPr="00E607BC">
        <w:rPr>
          <w:rFonts w:ascii="Book Antiqua" w:hAnsi="Book Antiqua"/>
          <w:sz w:val="24"/>
          <w:szCs w:val="24"/>
        </w:rPr>
        <w:t xml:space="preserve"> erythroferrone,</w:t>
      </w:r>
      <w:r w:rsidR="00B27FD4" w:rsidRPr="00E607BC">
        <w:rPr>
          <w:rFonts w:ascii="Book Antiqua" w:hAnsi="Book Antiqua"/>
          <w:sz w:val="24"/>
          <w:szCs w:val="24"/>
        </w:rPr>
        <w:t xml:space="preserve"> a previously described myokine</w:t>
      </w:r>
      <w:r w:rsidR="00145375" w:rsidRPr="00E607BC">
        <w:rPr>
          <w:rFonts w:ascii="Book Antiqua" w:hAnsi="Book Antiqua"/>
          <w:sz w:val="24"/>
          <w:szCs w:val="24"/>
        </w:rPr>
        <w:t>,</w:t>
      </w:r>
      <w:r w:rsidR="00B27FD4" w:rsidRPr="00E607BC">
        <w:rPr>
          <w:rFonts w:ascii="Book Antiqua" w:hAnsi="Book Antiqua"/>
          <w:sz w:val="24"/>
          <w:szCs w:val="24"/>
        </w:rPr>
        <w:t xml:space="preserve"> may also function as the long sought erythroid regulator of iron.</w:t>
      </w:r>
      <w:r w:rsidR="00486697" w:rsidRPr="00E607BC">
        <w:rPr>
          <w:rFonts w:ascii="Book Antiqua" w:hAnsi="Book Antiqua"/>
          <w:sz w:val="24"/>
          <w:szCs w:val="24"/>
        </w:rPr>
        <w:t xml:space="preserve"> </w:t>
      </w:r>
      <w:r w:rsidR="00145375" w:rsidRPr="00E607BC">
        <w:rPr>
          <w:rFonts w:ascii="Book Antiqua" w:hAnsi="Book Antiqua"/>
          <w:sz w:val="24"/>
          <w:szCs w:val="24"/>
        </w:rPr>
        <w:t>While erythroferrone appears to be an important iron regulator for erythropoiesis, transferrin receptor 2 also emerges as a player in this regulation.</w:t>
      </w:r>
    </w:p>
    <w:p w:rsidR="00E607BC" w:rsidRPr="00E607BC" w:rsidRDefault="00E607BC" w:rsidP="00E607BC">
      <w:pPr>
        <w:spacing w:after="0" w:line="360" w:lineRule="auto"/>
        <w:jc w:val="both"/>
        <w:rPr>
          <w:rFonts w:ascii="Book Antiqua" w:hAnsi="Book Antiqua"/>
          <w:sz w:val="24"/>
          <w:szCs w:val="24"/>
        </w:rPr>
      </w:pPr>
    </w:p>
    <w:p w:rsidR="00E607BC" w:rsidRPr="00E607BC" w:rsidRDefault="00E607BC" w:rsidP="00E607BC">
      <w:pPr>
        <w:spacing w:after="0" w:line="360" w:lineRule="auto"/>
        <w:jc w:val="both"/>
        <w:rPr>
          <w:rFonts w:ascii="Book Antiqua" w:hAnsi="Book Antiqua"/>
          <w:sz w:val="24"/>
          <w:szCs w:val="24"/>
        </w:rPr>
      </w:pPr>
      <w:r w:rsidRPr="00E607BC">
        <w:rPr>
          <w:rFonts w:ascii="Book Antiqua" w:hAnsi="Book Antiqua"/>
          <w:sz w:val="24"/>
          <w:szCs w:val="24"/>
        </w:rPr>
        <w:t xml:space="preserve">Lawen A. Is erythroferrone finally the long sought-after systemic erythroid regulator of iron? </w:t>
      </w:r>
      <w:r w:rsidRPr="00E607BC">
        <w:rPr>
          <w:rFonts w:ascii="Book Antiqua" w:hAnsi="Book Antiqua"/>
          <w:i/>
          <w:iCs/>
          <w:sz w:val="24"/>
          <w:szCs w:val="24"/>
        </w:rPr>
        <w:t>World J Biol Chem</w:t>
      </w:r>
      <w:r w:rsidRPr="00E607BC">
        <w:rPr>
          <w:rFonts w:ascii="Book Antiqua" w:hAnsi="Book Antiqua"/>
          <w:iCs/>
          <w:sz w:val="24"/>
          <w:szCs w:val="24"/>
        </w:rPr>
        <w:t xml:space="preserve"> 2015; In press</w:t>
      </w:r>
    </w:p>
    <w:p w:rsidR="00E607BC" w:rsidRPr="00E607BC" w:rsidRDefault="00E607BC" w:rsidP="00E607BC">
      <w:pPr>
        <w:spacing w:after="0" w:line="360" w:lineRule="auto"/>
        <w:jc w:val="both"/>
        <w:rPr>
          <w:rFonts w:ascii="Book Antiqua" w:hAnsi="Book Antiqua"/>
          <w:sz w:val="24"/>
          <w:szCs w:val="24"/>
        </w:rPr>
      </w:pPr>
    </w:p>
    <w:p w:rsidR="006E288B" w:rsidRPr="00E607BC" w:rsidRDefault="00D56FF9" w:rsidP="00E607BC">
      <w:pPr>
        <w:spacing w:after="0" w:line="360" w:lineRule="auto"/>
        <w:jc w:val="both"/>
        <w:rPr>
          <w:rFonts w:ascii="Book Antiqua" w:hAnsi="Book Antiqua"/>
          <w:sz w:val="24"/>
          <w:szCs w:val="24"/>
        </w:rPr>
      </w:pPr>
      <w:r w:rsidRPr="00E607BC">
        <w:rPr>
          <w:rFonts w:ascii="Book Antiqua" w:hAnsi="Book Antiqua"/>
          <w:b/>
          <w:bCs/>
          <w:sz w:val="24"/>
          <w:szCs w:val="24"/>
        </w:rPr>
        <w:t>IRON AND LIFE</w:t>
      </w:r>
    </w:p>
    <w:p w:rsidR="00D52E22" w:rsidRPr="00E607BC" w:rsidRDefault="006D4365" w:rsidP="00E607BC">
      <w:pPr>
        <w:spacing w:after="0" w:line="360" w:lineRule="auto"/>
        <w:jc w:val="both"/>
        <w:rPr>
          <w:rFonts w:ascii="Book Antiqua" w:hAnsi="Book Antiqua"/>
          <w:sz w:val="24"/>
          <w:szCs w:val="24"/>
        </w:rPr>
      </w:pPr>
      <w:r w:rsidRPr="00E607BC">
        <w:rPr>
          <w:rFonts w:ascii="Book Antiqua" w:hAnsi="Book Antiqua"/>
          <w:sz w:val="24"/>
          <w:szCs w:val="24"/>
        </w:rPr>
        <w:t>Iron is a very important metal for all cells; iron deficiency results in cell death, but iron overload can be similarly detrimental.</w:t>
      </w:r>
      <w:r w:rsidR="00486697" w:rsidRPr="00E607BC">
        <w:rPr>
          <w:rFonts w:ascii="Book Antiqua" w:hAnsi="Book Antiqua"/>
          <w:sz w:val="24"/>
          <w:szCs w:val="24"/>
        </w:rPr>
        <w:t xml:space="preserve"> </w:t>
      </w:r>
      <w:r w:rsidR="004F6507" w:rsidRPr="00E607BC">
        <w:rPr>
          <w:rFonts w:ascii="Book Antiqua" w:hAnsi="Book Antiqua"/>
          <w:sz w:val="24"/>
          <w:szCs w:val="24"/>
        </w:rPr>
        <w:t>Adult humans have about 3 to 5 grams of iron in the body, the vast majority of which is bound to haemoglobin</w:t>
      </w:r>
      <w:r w:rsidR="00D56FF9" w:rsidRPr="00E607BC">
        <w:rPr>
          <w:rFonts w:ascii="Book Antiqua" w:hAnsi="Book Antiqua"/>
          <w:sz w:val="24"/>
          <w:szCs w:val="24"/>
          <w:vertAlign w:val="superscript"/>
        </w:rPr>
        <w:t>[1]</w:t>
      </w:r>
      <w:r w:rsidR="004F6507" w:rsidRPr="00E607BC">
        <w:rPr>
          <w:rFonts w:ascii="Book Antiqua" w:hAnsi="Book Antiqua"/>
          <w:sz w:val="24"/>
          <w:szCs w:val="24"/>
        </w:rPr>
        <w:t>.</w:t>
      </w:r>
      <w:r w:rsidR="00486697" w:rsidRPr="00E607BC">
        <w:rPr>
          <w:rFonts w:ascii="Book Antiqua" w:hAnsi="Book Antiqua"/>
          <w:sz w:val="24"/>
          <w:szCs w:val="24"/>
        </w:rPr>
        <w:t xml:space="preserve"> </w:t>
      </w:r>
      <w:r w:rsidR="004F6507" w:rsidRPr="00E607BC">
        <w:rPr>
          <w:rFonts w:ascii="Book Antiqua" w:hAnsi="Book Antiqua"/>
          <w:sz w:val="24"/>
          <w:szCs w:val="24"/>
        </w:rPr>
        <w:t>The major iron storage in the body occurs in the liver, or more specifically, the hepatocytes, where most iron is bound to ferritin</w:t>
      </w:r>
      <w:r w:rsidR="00B40228" w:rsidRPr="00E607BC">
        <w:rPr>
          <w:rFonts w:ascii="Book Antiqua" w:hAnsi="Book Antiqua"/>
          <w:sz w:val="24"/>
          <w:szCs w:val="24"/>
          <w:vertAlign w:val="superscript"/>
        </w:rPr>
        <w:t>[2]</w:t>
      </w:r>
      <w:r w:rsidR="004F6507" w:rsidRPr="00E607BC">
        <w:rPr>
          <w:rFonts w:ascii="Book Antiqua" w:hAnsi="Book Antiqua"/>
          <w:sz w:val="24"/>
          <w:szCs w:val="24"/>
        </w:rPr>
        <w:t>.</w:t>
      </w:r>
      <w:r w:rsidR="00486697" w:rsidRPr="00E607BC">
        <w:rPr>
          <w:rFonts w:ascii="Book Antiqua" w:hAnsi="Book Antiqua"/>
          <w:sz w:val="24"/>
          <w:szCs w:val="24"/>
        </w:rPr>
        <w:t xml:space="preserve"> </w:t>
      </w:r>
      <w:r w:rsidR="007A2419" w:rsidRPr="00E607BC">
        <w:rPr>
          <w:rFonts w:ascii="Book Antiqua" w:hAnsi="Book Antiqua"/>
          <w:sz w:val="24"/>
          <w:szCs w:val="24"/>
        </w:rPr>
        <w:t xml:space="preserve">As iron is such a double-edged sword, its metabolism has to be tightly regulated and for a long time, both, a store regulator and a erythroid regulator have been hypothesised </w:t>
      </w:r>
      <w:r w:rsidR="00567AA0" w:rsidRPr="00E607BC">
        <w:rPr>
          <w:rFonts w:ascii="Book Antiqua" w:hAnsi="Book Antiqua"/>
          <w:sz w:val="24"/>
          <w:szCs w:val="24"/>
        </w:rPr>
        <w:t>to regulate systemic iron needs</w:t>
      </w:r>
      <w:r w:rsidR="00B40228" w:rsidRPr="00E607BC">
        <w:rPr>
          <w:rFonts w:ascii="Book Antiqua" w:hAnsi="Book Antiqua"/>
          <w:sz w:val="24"/>
          <w:szCs w:val="24"/>
          <w:vertAlign w:val="superscript"/>
        </w:rPr>
        <w:t>[3]</w:t>
      </w:r>
      <w:r w:rsidR="007A2419" w:rsidRPr="00E607BC">
        <w:rPr>
          <w:rFonts w:ascii="Book Antiqua" w:hAnsi="Book Antiqua"/>
          <w:sz w:val="24"/>
          <w:szCs w:val="24"/>
        </w:rPr>
        <w:t>.</w:t>
      </w:r>
      <w:r w:rsidR="00486697" w:rsidRPr="00E607BC">
        <w:rPr>
          <w:rFonts w:ascii="Book Antiqua" w:hAnsi="Book Antiqua"/>
          <w:sz w:val="24"/>
          <w:szCs w:val="24"/>
        </w:rPr>
        <w:t xml:space="preserve"> </w:t>
      </w:r>
      <w:r w:rsidR="00567AA0" w:rsidRPr="00E607BC">
        <w:rPr>
          <w:rFonts w:ascii="Book Antiqua" w:hAnsi="Book Antiqua"/>
          <w:sz w:val="24"/>
          <w:szCs w:val="24"/>
        </w:rPr>
        <w:t>It was also shown early on that both, iron deficiency and increased erythropoiesis were able to up-regulate iron absorption</w:t>
      </w:r>
      <w:r w:rsidR="00B40228" w:rsidRPr="00E607BC">
        <w:rPr>
          <w:rFonts w:ascii="Book Antiqua" w:hAnsi="Book Antiqua"/>
          <w:sz w:val="24"/>
          <w:szCs w:val="24"/>
          <w:vertAlign w:val="superscript"/>
        </w:rPr>
        <w:t>[4,5]</w:t>
      </w:r>
      <w:r w:rsidR="00B40228" w:rsidRPr="00E607BC">
        <w:rPr>
          <w:rFonts w:ascii="Book Antiqua" w:hAnsi="Book Antiqua"/>
          <w:sz w:val="24"/>
          <w:szCs w:val="24"/>
        </w:rPr>
        <w:t>.</w:t>
      </w:r>
    </w:p>
    <w:p w:rsidR="00486697" w:rsidRPr="00E607BC" w:rsidRDefault="00486697" w:rsidP="00E607BC">
      <w:pPr>
        <w:spacing w:after="0" w:line="360" w:lineRule="auto"/>
        <w:jc w:val="both"/>
        <w:rPr>
          <w:rFonts w:ascii="Book Antiqua" w:hAnsi="Book Antiqua"/>
          <w:b/>
          <w:bCs/>
          <w:caps/>
          <w:sz w:val="24"/>
          <w:szCs w:val="24"/>
        </w:rPr>
      </w:pPr>
    </w:p>
    <w:p w:rsidR="006E288B" w:rsidRPr="00E607BC" w:rsidRDefault="006E288B" w:rsidP="00E607BC">
      <w:pPr>
        <w:spacing w:after="0" w:line="360" w:lineRule="auto"/>
        <w:jc w:val="both"/>
        <w:rPr>
          <w:rFonts w:ascii="Book Antiqua" w:hAnsi="Book Antiqua"/>
          <w:b/>
          <w:bCs/>
          <w:caps/>
          <w:sz w:val="24"/>
          <w:szCs w:val="24"/>
        </w:rPr>
      </w:pPr>
      <w:r w:rsidRPr="00E607BC">
        <w:rPr>
          <w:rFonts w:ascii="Book Antiqua" w:hAnsi="Book Antiqua"/>
          <w:b/>
          <w:bCs/>
          <w:caps/>
          <w:sz w:val="24"/>
          <w:szCs w:val="24"/>
        </w:rPr>
        <w:t>Hepcidin as the iron store regulator</w:t>
      </w:r>
    </w:p>
    <w:p w:rsidR="00567AA0" w:rsidRPr="00E607BC" w:rsidRDefault="00567AA0" w:rsidP="00E607BC">
      <w:pPr>
        <w:spacing w:after="0" w:line="360" w:lineRule="auto"/>
        <w:jc w:val="both"/>
        <w:rPr>
          <w:rFonts w:ascii="Book Antiqua" w:hAnsi="Book Antiqua"/>
          <w:sz w:val="24"/>
          <w:szCs w:val="24"/>
        </w:rPr>
      </w:pPr>
      <w:r w:rsidRPr="00E607BC">
        <w:rPr>
          <w:rFonts w:ascii="Book Antiqua" w:hAnsi="Book Antiqua"/>
          <w:sz w:val="24"/>
          <w:szCs w:val="24"/>
        </w:rPr>
        <w:t xml:space="preserve">In </w:t>
      </w:r>
      <w:r w:rsidR="0048335A" w:rsidRPr="00E607BC">
        <w:rPr>
          <w:rFonts w:ascii="Book Antiqua" w:hAnsi="Book Antiqua"/>
          <w:sz w:val="24"/>
          <w:szCs w:val="24"/>
        </w:rPr>
        <w:t>2000/2001, a small</w:t>
      </w:r>
      <w:r w:rsidR="0005574B" w:rsidRPr="00E607BC">
        <w:rPr>
          <w:rFonts w:ascii="Book Antiqua" w:hAnsi="Book Antiqua"/>
          <w:sz w:val="24"/>
          <w:szCs w:val="24"/>
        </w:rPr>
        <w:t xml:space="preserve"> (25-amino-acid)</w:t>
      </w:r>
      <w:r w:rsidR="0048335A" w:rsidRPr="00E607BC">
        <w:rPr>
          <w:rFonts w:ascii="Book Antiqua" w:hAnsi="Book Antiqua"/>
          <w:sz w:val="24"/>
          <w:szCs w:val="24"/>
        </w:rPr>
        <w:t xml:space="preserve"> hepatic antimicrobial peptide, </w:t>
      </w:r>
      <w:r w:rsidR="0048335A" w:rsidRPr="00E607BC">
        <w:rPr>
          <w:rFonts w:ascii="Book Antiqua" w:eastAsia="Times New Roman" w:hAnsi="Book Antiqua"/>
          <w:sz w:val="24"/>
          <w:szCs w:val="24"/>
          <w:lang w:val="en-US" w:eastAsia="en-AU"/>
        </w:rPr>
        <w:t xml:space="preserve">LEAP-1 or </w:t>
      </w:r>
      <w:r w:rsidR="0048335A" w:rsidRPr="00E607BC">
        <w:rPr>
          <w:rFonts w:ascii="Book Antiqua" w:hAnsi="Book Antiqua"/>
          <w:sz w:val="24"/>
          <w:szCs w:val="24"/>
        </w:rPr>
        <w:t>hepcidin, was first described</w:t>
      </w:r>
      <w:r w:rsidR="00B40228" w:rsidRPr="00E607BC">
        <w:rPr>
          <w:rFonts w:ascii="Book Antiqua" w:hAnsi="Book Antiqua"/>
          <w:sz w:val="24"/>
          <w:szCs w:val="24"/>
          <w:vertAlign w:val="superscript"/>
        </w:rPr>
        <w:t>[6,7]</w:t>
      </w:r>
      <w:r w:rsidR="00E3299A" w:rsidRPr="00E607BC">
        <w:rPr>
          <w:rFonts w:ascii="Book Antiqua" w:hAnsi="Book Antiqua"/>
          <w:sz w:val="24"/>
          <w:szCs w:val="24"/>
        </w:rPr>
        <w:t>.</w:t>
      </w:r>
      <w:r w:rsidR="00486697" w:rsidRPr="00E607BC">
        <w:rPr>
          <w:rFonts w:ascii="Book Antiqua" w:hAnsi="Book Antiqua"/>
          <w:sz w:val="24"/>
          <w:szCs w:val="24"/>
        </w:rPr>
        <w:t xml:space="preserve"> </w:t>
      </w:r>
      <w:r w:rsidR="00E3299A" w:rsidRPr="00E607BC">
        <w:rPr>
          <w:rFonts w:ascii="Book Antiqua" w:hAnsi="Book Antiqua"/>
          <w:sz w:val="24"/>
          <w:szCs w:val="24"/>
        </w:rPr>
        <w:t>It was soon to be connected to iron metabolism and now is widely accepted to be the “store regulator”</w:t>
      </w:r>
      <w:r w:rsidR="00E70631" w:rsidRPr="00E607BC">
        <w:rPr>
          <w:rFonts w:ascii="Book Antiqua" w:hAnsi="Book Antiqua"/>
          <w:sz w:val="24"/>
          <w:szCs w:val="24"/>
          <w:vertAlign w:val="superscript"/>
        </w:rPr>
        <w:t>[5]</w:t>
      </w:r>
      <w:r w:rsidR="00E3299A" w:rsidRPr="00E607BC">
        <w:rPr>
          <w:rFonts w:ascii="Book Antiqua" w:hAnsi="Book Antiqua"/>
          <w:sz w:val="24"/>
          <w:szCs w:val="24"/>
        </w:rPr>
        <w:t>.</w:t>
      </w:r>
      <w:r w:rsidR="00486697" w:rsidRPr="00E607BC">
        <w:rPr>
          <w:rFonts w:ascii="Book Antiqua" w:hAnsi="Book Antiqua"/>
          <w:sz w:val="24"/>
          <w:szCs w:val="24"/>
        </w:rPr>
        <w:t xml:space="preserve"> </w:t>
      </w:r>
      <w:r w:rsidR="0099206B" w:rsidRPr="00E607BC">
        <w:rPr>
          <w:rFonts w:ascii="Book Antiqua" w:hAnsi="Book Antiqua"/>
          <w:sz w:val="24"/>
          <w:szCs w:val="24"/>
        </w:rPr>
        <w:t>Murine hepcidin was found to be over-expressed during iron overload</w:t>
      </w:r>
      <w:r w:rsidR="00E70631" w:rsidRPr="00E607BC">
        <w:rPr>
          <w:rFonts w:ascii="Book Antiqua" w:hAnsi="Book Antiqua"/>
          <w:sz w:val="24"/>
          <w:szCs w:val="24"/>
          <w:vertAlign w:val="superscript"/>
        </w:rPr>
        <w:t>[8]</w:t>
      </w:r>
      <w:r w:rsidR="0099206B" w:rsidRPr="00E607BC">
        <w:rPr>
          <w:rFonts w:ascii="Book Antiqua" w:hAnsi="Book Antiqua"/>
          <w:sz w:val="24"/>
          <w:szCs w:val="24"/>
        </w:rPr>
        <w:t xml:space="preserve">. </w:t>
      </w:r>
      <w:r w:rsidR="00E3299A" w:rsidRPr="00E607BC">
        <w:rPr>
          <w:rFonts w:ascii="Book Antiqua" w:hAnsi="Book Antiqua"/>
          <w:sz w:val="24"/>
          <w:szCs w:val="24"/>
        </w:rPr>
        <w:t xml:space="preserve">It is synthesized </w:t>
      </w:r>
      <w:r w:rsidR="00323CE2" w:rsidRPr="00E607BC">
        <w:rPr>
          <w:rFonts w:ascii="Book Antiqua" w:hAnsi="Book Antiqua"/>
          <w:sz w:val="24"/>
          <w:szCs w:val="24"/>
        </w:rPr>
        <w:t xml:space="preserve">in response to high iron load </w:t>
      </w:r>
      <w:r w:rsidR="00E3299A" w:rsidRPr="00E607BC">
        <w:rPr>
          <w:rFonts w:ascii="Book Antiqua" w:hAnsi="Book Antiqua"/>
          <w:sz w:val="24"/>
          <w:szCs w:val="24"/>
        </w:rPr>
        <w:t>and secreted by the liver</w:t>
      </w:r>
      <w:r w:rsidR="00323CE2" w:rsidRPr="00E607BC">
        <w:rPr>
          <w:rFonts w:ascii="Book Antiqua" w:hAnsi="Book Antiqua"/>
          <w:sz w:val="24"/>
          <w:szCs w:val="24"/>
        </w:rPr>
        <w:t xml:space="preserve"> into the blood stream, where the majority may bind unspecifically to albumin, while a small fraction (the active fraction?) w</w:t>
      </w:r>
      <w:r w:rsidR="00486697" w:rsidRPr="00E607BC">
        <w:rPr>
          <w:rFonts w:ascii="Book Antiqua" w:hAnsi="Book Antiqua"/>
          <w:sz w:val="24"/>
          <w:szCs w:val="24"/>
        </w:rPr>
        <w:t>ill bind specifically to</w:t>
      </w:r>
      <w:r w:rsidR="00486697" w:rsidRPr="00E607BC">
        <w:rPr>
          <w:rFonts w:ascii="Book Antiqua" w:hAnsi="Book Antiqua"/>
          <w:sz w:val="24"/>
          <w:szCs w:val="24"/>
          <w:lang w:val="en-US"/>
        </w:rPr>
        <w:t xml:space="preserve"> </w:t>
      </w:r>
      <w:r w:rsidR="00323CE2" w:rsidRPr="00E607BC">
        <w:rPr>
          <w:rFonts w:ascii="Book Antiqua" w:eastAsia="Times New Roman" w:hAnsi="Book Antiqua"/>
          <w:sz w:val="24"/>
          <w:szCs w:val="24"/>
          <w:lang w:val="en-US" w:eastAsia="en-AU"/>
        </w:rPr>
        <w:t>-2-macroglobulin</w:t>
      </w:r>
      <w:r w:rsidR="00F47BA9" w:rsidRPr="00E607BC">
        <w:rPr>
          <w:rFonts w:ascii="Book Antiqua" w:eastAsia="Times New Roman" w:hAnsi="Book Antiqua"/>
          <w:sz w:val="24"/>
          <w:szCs w:val="24"/>
          <w:lang w:val="en-US" w:eastAsia="en-AU"/>
        </w:rPr>
        <w:t>, from which it can be delivered to ferroportin</w:t>
      </w:r>
      <w:r w:rsidR="00E70631" w:rsidRPr="00E607BC">
        <w:rPr>
          <w:rFonts w:ascii="Book Antiqua" w:hAnsi="Book Antiqua"/>
          <w:sz w:val="24"/>
          <w:szCs w:val="24"/>
          <w:vertAlign w:val="superscript"/>
        </w:rPr>
        <w:t>[9]</w:t>
      </w:r>
      <w:r w:rsidR="00F47BA9" w:rsidRPr="00E607BC">
        <w:rPr>
          <w:rFonts w:ascii="Book Antiqua" w:hAnsi="Book Antiqua"/>
          <w:sz w:val="24"/>
          <w:szCs w:val="24"/>
        </w:rPr>
        <w:t>.</w:t>
      </w:r>
      <w:r w:rsidR="00486697" w:rsidRPr="00E607BC">
        <w:rPr>
          <w:rFonts w:ascii="Book Antiqua" w:hAnsi="Book Antiqua"/>
          <w:sz w:val="24"/>
          <w:szCs w:val="24"/>
        </w:rPr>
        <w:t xml:space="preserve"> </w:t>
      </w:r>
      <w:r w:rsidR="006A0D13" w:rsidRPr="00E607BC">
        <w:rPr>
          <w:rFonts w:ascii="Book Antiqua" w:hAnsi="Book Antiqua"/>
          <w:sz w:val="24"/>
          <w:szCs w:val="24"/>
        </w:rPr>
        <w:t>Once bound to ferroportin, the only known</w:t>
      </w:r>
      <w:r w:rsidR="007F5727" w:rsidRPr="00E607BC">
        <w:rPr>
          <w:rFonts w:ascii="Book Antiqua" w:hAnsi="Book Antiqua"/>
          <w:sz w:val="24"/>
          <w:szCs w:val="24"/>
        </w:rPr>
        <w:t xml:space="preserve"> mammalian</w:t>
      </w:r>
      <w:r w:rsidR="006A0D13" w:rsidRPr="00E607BC">
        <w:rPr>
          <w:rFonts w:ascii="Book Antiqua" w:hAnsi="Book Antiqua"/>
          <w:sz w:val="24"/>
          <w:szCs w:val="24"/>
        </w:rPr>
        <w:t xml:space="preserve"> cellular iron exporter, it will trigger proteosomal ferroportin degradation and thereby lower iron release into the circulation</w:t>
      </w:r>
      <w:r w:rsidR="000432F9" w:rsidRPr="00E607BC">
        <w:rPr>
          <w:rFonts w:ascii="Book Antiqua" w:hAnsi="Book Antiqua"/>
          <w:sz w:val="24"/>
          <w:szCs w:val="24"/>
        </w:rPr>
        <w:t xml:space="preserve"> (Figure 1)</w:t>
      </w:r>
      <w:r w:rsidR="00E70631" w:rsidRPr="00E607BC">
        <w:rPr>
          <w:rFonts w:ascii="Book Antiqua" w:hAnsi="Book Antiqua"/>
          <w:sz w:val="24"/>
          <w:szCs w:val="24"/>
          <w:vertAlign w:val="superscript"/>
        </w:rPr>
        <w:t>[1]</w:t>
      </w:r>
      <w:r w:rsidR="006A0D13" w:rsidRPr="00E607BC">
        <w:rPr>
          <w:rFonts w:ascii="Book Antiqua" w:hAnsi="Book Antiqua"/>
          <w:sz w:val="24"/>
          <w:szCs w:val="24"/>
        </w:rPr>
        <w:t>.</w:t>
      </w:r>
    </w:p>
    <w:p w:rsidR="00486697" w:rsidRPr="00E607BC" w:rsidRDefault="00486697" w:rsidP="00E607BC">
      <w:pPr>
        <w:spacing w:after="0" w:line="360" w:lineRule="auto"/>
        <w:jc w:val="both"/>
        <w:rPr>
          <w:rFonts w:ascii="Book Antiqua" w:hAnsi="Book Antiqua"/>
          <w:i/>
          <w:iCs/>
          <w:sz w:val="24"/>
          <w:szCs w:val="24"/>
        </w:rPr>
      </w:pPr>
    </w:p>
    <w:p w:rsidR="006E288B" w:rsidRPr="00E607BC" w:rsidRDefault="006E288B" w:rsidP="00E607BC">
      <w:pPr>
        <w:spacing w:after="0" w:line="360" w:lineRule="auto"/>
        <w:jc w:val="both"/>
        <w:rPr>
          <w:rFonts w:ascii="Book Antiqua" w:hAnsi="Book Antiqua"/>
          <w:b/>
          <w:bCs/>
          <w:caps/>
          <w:sz w:val="24"/>
          <w:szCs w:val="24"/>
        </w:rPr>
      </w:pPr>
      <w:r w:rsidRPr="00E607BC">
        <w:rPr>
          <w:rFonts w:ascii="Book Antiqua" w:hAnsi="Book Antiqua"/>
          <w:b/>
          <w:bCs/>
          <w:caps/>
          <w:sz w:val="24"/>
          <w:szCs w:val="24"/>
        </w:rPr>
        <w:t>Proposed erythroid regulators</w:t>
      </w:r>
      <w:r w:rsidR="00C005E5" w:rsidRPr="00E607BC">
        <w:rPr>
          <w:rFonts w:ascii="Book Antiqua" w:hAnsi="Book Antiqua"/>
          <w:b/>
          <w:bCs/>
          <w:caps/>
          <w:sz w:val="24"/>
          <w:szCs w:val="24"/>
        </w:rPr>
        <w:t xml:space="preserve"> of iron</w:t>
      </w:r>
    </w:p>
    <w:p w:rsidR="006E288B" w:rsidRPr="00E607BC" w:rsidRDefault="00280C40" w:rsidP="00E607BC">
      <w:pPr>
        <w:spacing w:after="0" w:line="360" w:lineRule="auto"/>
        <w:jc w:val="both"/>
        <w:rPr>
          <w:rFonts w:ascii="Book Antiqua" w:hAnsi="Book Antiqua"/>
          <w:sz w:val="24"/>
          <w:szCs w:val="24"/>
        </w:rPr>
      </w:pPr>
      <w:r w:rsidRPr="00E607BC">
        <w:rPr>
          <w:rFonts w:ascii="Book Antiqua" w:hAnsi="Book Antiqua"/>
          <w:sz w:val="24"/>
          <w:szCs w:val="24"/>
        </w:rPr>
        <w:t>T</w:t>
      </w:r>
      <w:r w:rsidR="006A0D13" w:rsidRPr="00E607BC">
        <w:rPr>
          <w:rFonts w:ascii="Book Antiqua" w:hAnsi="Book Antiqua"/>
          <w:sz w:val="24"/>
          <w:szCs w:val="24"/>
        </w:rPr>
        <w:t>he nature of the erythroid regulator on the other hand remained elusive</w:t>
      </w:r>
      <w:r w:rsidR="00F60D33" w:rsidRPr="00E607BC">
        <w:rPr>
          <w:rFonts w:ascii="Book Antiqua" w:hAnsi="Book Antiqua"/>
          <w:sz w:val="24"/>
          <w:szCs w:val="24"/>
        </w:rPr>
        <w:t>.</w:t>
      </w:r>
      <w:r w:rsidR="00486697" w:rsidRPr="00E607BC">
        <w:rPr>
          <w:rFonts w:ascii="Book Antiqua" w:hAnsi="Book Antiqua"/>
          <w:sz w:val="24"/>
          <w:szCs w:val="24"/>
        </w:rPr>
        <w:t xml:space="preserve"> </w:t>
      </w:r>
      <w:r w:rsidR="00F60D33" w:rsidRPr="00E607BC">
        <w:rPr>
          <w:rFonts w:ascii="Book Antiqua" w:hAnsi="Book Antiqua"/>
          <w:sz w:val="24"/>
          <w:szCs w:val="24"/>
        </w:rPr>
        <w:t xml:space="preserve">In order to be considered the erythroid regulator, the molecule should be </w:t>
      </w:r>
      <w:r w:rsidR="00664992" w:rsidRPr="00E607BC">
        <w:rPr>
          <w:rFonts w:ascii="Book Antiqua" w:hAnsi="Book Antiqua"/>
          <w:sz w:val="24"/>
          <w:szCs w:val="24"/>
        </w:rPr>
        <w:t xml:space="preserve">independent of the total body iron stores, but </w:t>
      </w:r>
      <w:r w:rsidR="00F60D33" w:rsidRPr="00E607BC">
        <w:rPr>
          <w:rFonts w:ascii="Book Antiqua" w:hAnsi="Book Antiqua"/>
          <w:sz w:val="24"/>
          <w:szCs w:val="24"/>
        </w:rPr>
        <w:t>up-regulated in anaemia</w:t>
      </w:r>
      <w:r w:rsidR="00664992" w:rsidRPr="00E607BC">
        <w:rPr>
          <w:rFonts w:ascii="Book Antiqua" w:hAnsi="Book Antiqua"/>
          <w:sz w:val="24"/>
          <w:szCs w:val="24"/>
        </w:rPr>
        <w:t>;</w:t>
      </w:r>
      <w:r w:rsidR="00F60D33" w:rsidRPr="00E607BC">
        <w:rPr>
          <w:rFonts w:ascii="Book Antiqua" w:hAnsi="Book Antiqua"/>
          <w:sz w:val="24"/>
          <w:szCs w:val="24"/>
        </w:rPr>
        <w:t xml:space="preserve"> it should </w:t>
      </w:r>
      <w:r w:rsidR="005013F9" w:rsidRPr="00E607BC">
        <w:rPr>
          <w:rFonts w:ascii="Book Antiqua" w:hAnsi="Book Antiqua"/>
          <w:sz w:val="24"/>
          <w:szCs w:val="24"/>
        </w:rPr>
        <w:t>be</w:t>
      </w:r>
      <w:r w:rsidR="00F60D33" w:rsidRPr="00E607BC">
        <w:rPr>
          <w:rFonts w:ascii="Book Antiqua" w:hAnsi="Book Antiqua"/>
          <w:sz w:val="24"/>
          <w:szCs w:val="24"/>
        </w:rPr>
        <w:t xml:space="preserve"> up-regulat</w:t>
      </w:r>
      <w:r w:rsidR="005013F9" w:rsidRPr="00E607BC">
        <w:rPr>
          <w:rFonts w:ascii="Book Antiqua" w:hAnsi="Book Antiqua"/>
          <w:sz w:val="24"/>
          <w:szCs w:val="24"/>
        </w:rPr>
        <w:t xml:space="preserve">ed by </w:t>
      </w:r>
      <w:r w:rsidR="00F60D33" w:rsidRPr="00E607BC">
        <w:rPr>
          <w:rFonts w:ascii="Book Antiqua" w:hAnsi="Book Antiqua"/>
          <w:sz w:val="24"/>
          <w:szCs w:val="24"/>
        </w:rPr>
        <w:t xml:space="preserve">erythropietin </w:t>
      </w:r>
      <w:r w:rsidR="00E64650" w:rsidRPr="00E607BC">
        <w:rPr>
          <w:rFonts w:ascii="Book Antiqua" w:hAnsi="Book Antiqua"/>
          <w:sz w:val="24"/>
          <w:szCs w:val="24"/>
        </w:rPr>
        <w:t xml:space="preserve">and </w:t>
      </w:r>
      <w:r w:rsidR="005013F9" w:rsidRPr="00E607BC">
        <w:rPr>
          <w:rFonts w:ascii="Book Antiqua" w:hAnsi="Book Antiqua"/>
          <w:sz w:val="24"/>
          <w:szCs w:val="24"/>
        </w:rPr>
        <w:t xml:space="preserve">it should trigger </w:t>
      </w:r>
      <w:r w:rsidR="00E64650" w:rsidRPr="00E607BC">
        <w:rPr>
          <w:rFonts w:ascii="Book Antiqua" w:hAnsi="Book Antiqua"/>
          <w:sz w:val="24"/>
          <w:szCs w:val="24"/>
        </w:rPr>
        <w:t>the down-regulation of hepcidin.</w:t>
      </w:r>
      <w:r w:rsidR="00486697" w:rsidRPr="00E607BC">
        <w:rPr>
          <w:rFonts w:ascii="Book Antiqua" w:hAnsi="Book Antiqua"/>
          <w:sz w:val="24"/>
          <w:szCs w:val="24"/>
        </w:rPr>
        <w:t xml:space="preserve"> </w:t>
      </w:r>
      <w:r w:rsidR="00E64650" w:rsidRPr="00E607BC">
        <w:rPr>
          <w:rFonts w:ascii="Book Antiqua" w:hAnsi="Book Antiqua"/>
          <w:sz w:val="24"/>
          <w:szCs w:val="24"/>
        </w:rPr>
        <w:t>It also should be down-regulated after blood transfusion.</w:t>
      </w:r>
      <w:r w:rsidR="00486697" w:rsidRPr="00E607BC">
        <w:rPr>
          <w:rFonts w:ascii="Book Antiqua" w:hAnsi="Book Antiqua"/>
          <w:sz w:val="24"/>
          <w:szCs w:val="24"/>
        </w:rPr>
        <w:t xml:space="preserve"> </w:t>
      </w:r>
      <w:r w:rsidR="00E64650" w:rsidRPr="00E607BC">
        <w:rPr>
          <w:rFonts w:ascii="Book Antiqua" w:hAnsi="Book Antiqua"/>
          <w:sz w:val="24"/>
          <w:szCs w:val="24"/>
        </w:rPr>
        <w:t>T</w:t>
      </w:r>
      <w:r w:rsidR="00202642" w:rsidRPr="00E607BC">
        <w:rPr>
          <w:rFonts w:ascii="Book Antiqua" w:hAnsi="Book Antiqua"/>
          <w:sz w:val="24"/>
          <w:szCs w:val="24"/>
        </w:rPr>
        <w:t>wo</w:t>
      </w:r>
      <w:r w:rsidRPr="00E607BC">
        <w:rPr>
          <w:rFonts w:ascii="Book Antiqua" w:hAnsi="Book Antiqua"/>
          <w:sz w:val="24"/>
          <w:szCs w:val="24"/>
        </w:rPr>
        <w:t xml:space="preserve"> candidate</w:t>
      </w:r>
      <w:r w:rsidR="00202642" w:rsidRPr="00E607BC">
        <w:rPr>
          <w:rFonts w:ascii="Book Antiqua" w:hAnsi="Book Antiqua"/>
          <w:sz w:val="24"/>
          <w:szCs w:val="24"/>
        </w:rPr>
        <w:t>s</w:t>
      </w:r>
      <w:r w:rsidRPr="00E607BC">
        <w:rPr>
          <w:rFonts w:ascii="Book Antiqua" w:hAnsi="Book Antiqua"/>
          <w:sz w:val="24"/>
          <w:szCs w:val="24"/>
        </w:rPr>
        <w:t xml:space="preserve"> have been </w:t>
      </w:r>
      <w:r w:rsidR="00E64650" w:rsidRPr="00E607BC">
        <w:rPr>
          <w:rFonts w:ascii="Book Antiqua" w:hAnsi="Book Antiqua"/>
          <w:sz w:val="24"/>
          <w:szCs w:val="24"/>
        </w:rPr>
        <w:t xml:space="preserve">earlier </w:t>
      </w:r>
      <w:r w:rsidRPr="00E607BC">
        <w:rPr>
          <w:rFonts w:ascii="Book Antiqua" w:hAnsi="Book Antiqua"/>
          <w:sz w:val="24"/>
          <w:szCs w:val="24"/>
        </w:rPr>
        <w:t xml:space="preserve">identified, </w:t>
      </w:r>
      <w:r w:rsidR="00757632" w:rsidRPr="00E607BC">
        <w:rPr>
          <w:rFonts w:ascii="Book Antiqua" w:hAnsi="Book Antiqua"/>
          <w:sz w:val="24"/>
          <w:szCs w:val="24"/>
        </w:rPr>
        <w:t>Growth Differentiation Factor 15 (</w:t>
      </w:r>
      <w:r w:rsidRPr="00E607BC">
        <w:rPr>
          <w:rFonts w:ascii="Book Antiqua" w:hAnsi="Book Antiqua"/>
          <w:sz w:val="24"/>
          <w:szCs w:val="24"/>
        </w:rPr>
        <w:t>G</w:t>
      </w:r>
      <w:r w:rsidR="00757632" w:rsidRPr="00E607BC">
        <w:rPr>
          <w:rFonts w:ascii="Book Antiqua" w:hAnsi="Book Antiqua"/>
          <w:sz w:val="24"/>
          <w:szCs w:val="24"/>
        </w:rPr>
        <w:t>DF</w:t>
      </w:r>
      <w:r w:rsidRPr="00E607BC">
        <w:rPr>
          <w:rFonts w:ascii="Book Antiqua" w:hAnsi="Book Antiqua"/>
          <w:sz w:val="24"/>
          <w:szCs w:val="24"/>
        </w:rPr>
        <w:t>15</w:t>
      </w:r>
      <w:r w:rsidR="00757632" w:rsidRPr="00E607BC">
        <w:rPr>
          <w:rFonts w:ascii="Book Antiqua" w:hAnsi="Book Antiqua"/>
          <w:sz w:val="24"/>
          <w:szCs w:val="24"/>
        </w:rPr>
        <w:t>)</w:t>
      </w:r>
      <w:r w:rsidRPr="00E607BC">
        <w:rPr>
          <w:rFonts w:ascii="Book Antiqua" w:hAnsi="Book Antiqua"/>
          <w:sz w:val="24"/>
          <w:szCs w:val="24"/>
        </w:rPr>
        <w:t xml:space="preserve"> and</w:t>
      </w:r>
      <w:r w:rsidR="00214290" w:rsidRPr="00E607BC">
        <w:rPr>
          <w:rFonts w:ascii="Book Antiqua" w:hAnsi="Book Antiqua"/>
          <w:sz w:val="24"/>
          <w:szCs w:val="24"/>
        </w:rPr>
        <w:t xml:space="preserve"> Twisted Gastrulation</w:t>
      </w:r>
      <w:r w:rsidRPr="00E607BC">
        <w:rPr>
          <w:rFonts w:ascii="Book Antiqua" w:hAnsi="Book Antiqua"/>
          <w:sz w:val="24"/>
          <w:szCs w:val="24"/>
        </w:rPr>
        <w:t xml:space="preserve"> </w:t>
      </w:r>
      <w:r w:rsidR="00214290" w:rsidRPr="00E607BC">
        <w:rPr>
          <w:rFonts w:ascii="Book Antiqua" w:hAnsi="Book Antiqua"/>
          <w:sz w:val="24"/>
          <w:szCs w:val="24"/>
        </w:rPr>
        <w:t>(</w:t>
      </w:r>
      <w:r w:rsidRPr="00E607BC">
        <w:rPr>
          <w:rFonts w:ascii="Book Antiqua" w:hAnsi="Book Antiqua"/>
          <w:sz w:val="24"/>
          <w:szCs w:val="24"/>
        </w:rPr>
        <w:t>T</w:t>
      </w:r>
      <w:r w:rsidR="00202642" w:rsidRPr="00E607BC">
        <w:rPr>
          <w:rFonts w:ascii="Book Antiqua" w:hAnsi="Book Antiqua"/>
          <w:sz w:val="24"/>
          <w:szCs w:val="24"/>
        </w:rPr>
        <w:t>WSG</w:t>
      </w:r>
      <w:r w:rsidRPr="00E607BC">
        <w:rPr>
          <w:rFonts w:ascii="Book Antiqua" w:hAnsi="Book Antiqua"/>
          <w:sz w:val="24"/>
          <w:szCs w:val="24"/>
        </w:rPr>
        <w:t>1)</w:t>
      </w:r>
      <w:r w:rsidR="00E70631" w:rsidRPr="00E607BC">
        <w:rPr>
          <w:rFonts w:ascii="Book Antiqua" w:hAnsi="Book Antiqua"/>
          <w:sz w:val="24"/>
          <w:szCs w:val="24"/>
          <w:vertAlign w:val="superscript"/>
        </w:rPr>
        <w:t>[10,11]</w:t>
      </w:r>
      <w:r w:rsidR="00214290" w:rsidRPr="00E607BC">
        <w:rPr>
          <w:rFonts w:ascii="Book Antiqua" w:hAnsi="Book Antiqua"/>
          <w:sz w:val="24"/>
          <w:szCs w:val="24"/>
        </w:rPr>
        <w:t>.</w:t>
      </w:r>
      <w:r w:rsidR="00486697" w:rsidRPr="00E607BC">
        <w:rPr>
          <w:rFonts w:ascii="Book Antiqua" w:hAnsi="Book Antiqua"/>
          <w:sz w:val="24"/>
          <w:szCs w:val="24"/>
        </w:rPr>
        <w:t xml:space="preserve"> </w:t>
      </w:r>
      <w:r w:rsidR="00214290" w:rsidRPr="00E607BC">
        <w:rPr>
          <w:rFonts w:ascii="Book Antiqua" w:hAnsi="Book Antiqua"/>
          <w:sz w:val="24"/>
          <w:szCs w:val="24"/>
        </w:rPr>
        <w:t xml:space="preserve">The former was identified as being up-regulated in thalassaemic serum by a transcriptional profiling approach during erythropoiesis and as being able to </w:t>
      </w:r>
      <w:r w:rsidR="00214290" w:rsidRPr="00E607BC">
        <w:rPr>
          <w:rFonts w:ascii="Book Antiqua" w:hAnsi="Book Antiqua"/>
          <w:i/>
          <w:iCs/>
          <w:sz w:val="24"/>
          <w:szCs w:val="24"/>
        </w:rPr>
        <w:t>in vitro</w:t>
      </w:r>
      <w:r w:rsidR="00214290" w:rsidRPr="00E607BC">
        <w:rPr>
          <w:rFonts w:ascii="Book Antiqua" w:hAnsi="Book Antiqua"/>
          <w:sz w:val="24"/>
          <w:szCs w:val="24"/>
        </w:rPr>
        <w:t xml:space="preserve"> suppress hepcidin expression</w:t>
      </w:r>
      <w:r w:rsidR="00E70631" w:rsidRPr="00E607BC">
        <w:rPr>
          <w:rFonts w:ascii="Book Antiqua" w:hAnsi="Book Antiqua"/>
          <w:sz w:val="24"/>
          <w:szCs w:val="24"/>
          <w:vertAlign w:val="superscript"/>
        </w:rPr>
        <w:t>[10]</w:t>
      </w:r>
      <w:r w:rsidRPr="00E607BC">
        <w:rPr>
          <w:rFonts w:ascii="Book Antiqua" w:hAnsi="Book Antiqua"/>
          <w:sz w:val="24"/>
          <w:szCs w:val="24"/>
        </w:rPr>
        <w:t>.</w:t>
      </w:r>
      <w:r w:rsidR="00486697" w:rsidRPr="00E607BC">
        <w:rPr>
          <w:rFonts w:ascii="Book Antiqua" w:hAnsi="Book Antiqua"/>
          <w:sz w:val="24"/>
          <w:szCs w:val="24"/>
        </w:rPr>
        <w:t xml:space="preserve"> </w:t>
      </w:r>
      <w:r w:rsidR="00214290" w:rsidRPr="00E607BC">
        <w:rPr>
          <w:rFonts w:ascii="Book Antiqua" w:hAnsi="Book Antiqua"/>
          <w:sz w:val="24"/>
          <w:szCs w:val="24"/>
        </w:rPr>
        <w:t>By transcriptome analyses of erythropoiesis, TWSG1 was identified as being up-regulated in early stages and again being able to (indirectly) suppress hepcidin expression</w:t>
      </w:r>
      <w:r w:rsidR="00E70631" w:rsidRPr="00E607BC">
        <w:rPr>
          <w:rFonts w:ascii="Book Antiqua" w:hAnsi="Book Antiqua"/>
          <w:sz w:val="24"/>
          <w:szCs w:val="24"/>
          <w:vertAlign w:val="superscript"/>
        </w:rPr>
        <w:t>[11]</w:t>
      </w:r>
      <w:r w:rsidR="00214290" w:rsidRPr="00E607BC">
        <w:rPr>
          <w:rFonts w:ascii="Book Antiqua" w:hAnsi="Book Antiqua"/>
          <w:sz w:val="24"/>
          <w:szCs w:val="24"/>
        </w:rPr>
        <w:t>.</w:t>
      </w:r>
      <w:r w:rsidR="00486697" w:rsidRPr="00E607BC">
        <w:rPr>
          <w:rFonts w:ascii="Book Antiqua" w:hAnsi="Book Antiqua"/>
          <w:sz w:val="24"/>
          <w:szCs w:val="24"/>
        </w:rPr>
        <w:t xml:space="preserve"> </w:t>
      </w:r>
      <w:r w:rsidR="008B27AE" w:rsidRPr="00E607BC">
        <w:rPr>
          <w:rFonts w:ascii="Book Antiqua" w:hAnsi="Book Antiqua"/>
          <w:sz w:val="24"/>
          <w:szCs w:val="24"/>
        </w:rPr>
        <w:t>For both these factors, however, evidence that they would constitute the erythroid regulator remained weak.</w:t>
      </w:r>
      <w:r w:rsidR="00486697" w:rsidRPr="00E607BC">
        <w:rPr>
          <w:rFonts w:ascii="Book Antiqua" w:hAnsi="Book Antiqua"/>
          <w:sz w:val="24"/>
          <w:szCs w:val="24"/>
        </w:rPr>
        <w:t xml:space="preserve"> </w:t>
      </w:r>
      <w:r w:rsidR="008B7369" w:rsidRPr="00E607BC">
        <w:rPr>
          <w:rFonts w:ascii="Book Antiqua" w:hAnsi="Book Antiqua"/>
          <w:sz w:val="24"/>
          <w:szCs w:val="24"/>
        </w:rPr>
        <w:t>Such, GDF15 levels are not correlated to hepcidin levels</w:t>
      </w:r>
      <w:r w:rsidR="00E70631" w:rsidRPr="00E607BC">
        <w:rPr>
          <w:rFonts w:ascii="Book Antiqua" w:hAnsi="Book Antiqua"/>
          <w:sz w:val="24"/>
          <w:szCs w:val="24"/>
          <w:vertAlign w:val="superscript"/>
        </w:rPr>
        <w:t>[12]</w:t>
      </w:r>
      <w:r w:rsidR="008B7369" w:rsidRPr="00E607BC">
        <w:rPr>
          <w:rFonts w:ascii="Book Antiqua" w:hAnsi="Book Antiqua"/>
          <w:sz w:val="24"/>
          <w:szCs w:val="24"/>
        </w:rPr>
        <w:t>.</w:t>
      </w:r>
      <w:r w:rsidR="00486697" w:rsidRPr="00E607BC">
        <w:rPr>
          <w:rFonts w:ascii="Book Antiqua" w:hAnsi="Book Antiqua"/>
          <w:sz w:val="24"/>
          <w:szCs w:val="24"/>
        </w:rPr>
        <w:t xml:space="preserve"> </w:t>
      </w:r>
      <w:r w:rsidR="003061DE" w:rsidRPr="00E607BC">
        <w:rPr>
          <w:rFonts w:ascii="Book Antiqua" w:hAnsi="Book Antiqua"/>
          <w:sz w:val="24"/>
          <w:szCs w:val="24"/>
        </w:rPr>
        <w:t xml:space="preserve">Even soluble transferrin receptor 1 was proposed to play the role of the erythroid regulator </w:t>
      </w:r>
      <w:r w:rsidR="00E64650" w:rsidRPr="00E607BC">
        <w:rPr>
          <w:rFonts w:ascii="Book Antiqua" w:hAnsi="Book Antiqua"/>
          <w:sz w:val="24"/>
          <w:szCs w:val="24"/>
        </w:rPr>
        <w:t>as it increases in iron deficiency and during increased erythropoiesis</w:t>
      </w:r>
      <w:r w:rsidR="00E70631" w:rsidRPr="00E607BC">
        <w:rPr>
          <w:rFonts w:ascii="Book Antiqua" w:hAnsi="Book Antiqua"/>
          <w:sz w:val="24"/>
          <w:szCs w:val="24"/>
          <w:vertAlign w:val="superscript"/>
        </w:rPr>
        <w:t>[13,14]</w:t>
      </w:r>
      <w:r w:rsidR="003061DE" w:rsidRPr="00E607BC">
        <w:rPr>
          <w:rFonts w:ascii="Book Antiqua" w:hAnsi="Book Antiqua"/>
          <w:sz w:val="24"/>
          <w:szCs w:val="24"/>
        </w:rPr>
        <w:t xml:space="preserve">, </w:t>
      </w:r>
      <w:r w:rsidR="00624B32" w:rsidRPr="00E607BC">
        <w:rPr>
          <w:rFonts w:ascii="Book Antiqua" w:hAnsi="Book Antiqua"/>
          <w:sz w:val="24"/>
          <w:szCs w:val="24"/>
        </w:rPr>
        <w:t>however, this proposal also had to be dismissed</w:t>
      </w:r>
      <w:r w:rsidR="00E64650" w:rsidRPr="00E607BC">
        <w:rPr>
          <w:rFonts w:ascii="Book Antiqua" w:hAnsi="Book Antiqua"/>
          <w:sz w:val="24"/>
          <w:szCs w:val="24"/>
        </w:rPr>
        <w:t>, as it has no effect on iron absorption or hepcidin expression</w:t>
      </w:r>
      <w:r w:rsidR="00E70631" w:rsidRPr="00E607BC">
        <w:rPr>
          <w:rFonts w:ascii="Book Antiqua" w:hAnsi="Book Antiqua"/>
          <w:sz w:val="24"/>
          <w:szCs w:val="24"/>
          <w:vertAlign w:val="superscript"/>
        </w:rPr>
        <w:t>[14]</w:t>
      </w:r>
      <w:r w:rsidR="00624B32" w:rsidRPr="00E607BC">
        <w:rPr>
          <w:rFonts w:ascii="Book Antiqua" w:hAnsi="Book Antiqua"/>
          <w:sz w:val="24"/>
          <w:szCs w:val="24"/>
        </w:rPr>
        <w:t>.</w:t>
      </w:r>
      <w:r w:rsidR="00486697" w:rsidRPr="00E607BC">
        <w:rPr>
          <w:rFonts w:ascii="Book Antiqua" w:hAnsi="Book Antiqua"/>
          <w:sz w:val="24"/>
          <w:szCs w:val="24"/>
        </w:rPr>
        <w:t xml:space="preserve"> </w:t>
      </w:r>
    </w:p>
    <w:p w:rsidR="00486697" w:rsidRPr="00E607BC" w:rsidRDefault="00486697" w:rsidP="00E607BC">
      <w:pPr>
        <w:spacing w:after="0" w:line="360" w:lineRule="auto"/>
        <w:jc w:val="both"/>
        <w:rPr>
          <w:rFonts w:ascii="Book Antiqua" w:hAnsi="Book Antiqua"/>
          <w:sz w:val="24"/>
          <w:szCs w:val="24"/>
        </w:rPr>
      </w:pPr>
    </w:p>
    <w:p w:rsidR="006E288B" w:rsidRPr="00E607BC" w:rsidRDefault="006E288B" w:rsidP="00E607BC">
      <w:pPr>
        <w:spacing w:after="0" w:line="360" w:lineRule="auto"/>
        <w:jc w:val="both"/>
        <w:rPr>
          <w:rFonts w:ascii="Book Antiqua" w:hAnsi="Book Antiqua"/>
          <w:b/>
          <w:bCs/>
          <w:caps/>
          <w:sz w:val="24"/>
          <w:szCs w:val="24"/>
        </w:rPr>
      </w:pPr>
      <w:r w:rsidRPr="00E607BC">
        <w:rPr>
          <w:rFonts w:ascii="Book Antiqua" w:hAnsi="Book Antiqua"/>
          <w:b/>
          <w:bCs/>
          <w:caps/>
          <w:sz w:val="24"/>
          <w:szCs w:val="24"/>
        </w:rPr>
        <w:t>Erythroferrone – the erythroid regulator?</w:t>
      </w:r>
    </w:p>
    <w:p w:rsidR="006A0D13" w:rsidRPr="00E607BC" w:rsidRDefault="00280C40" w:rsidP="00E607BC">
      <w:pPr>
        <w:spacing w:after="0" w:line="360" w:lineRule="auto"/>
        <w:jc w:val="both"/>
        <w:rPr>
          <w:rFonts w:ascii="Book Antiqua" w:hAnsi="Book Antiqua"/>
          <w:sz w:val="24"/>
          <w:szCs w:val="24"/>
        </w:rPr>
      </w:pPr>
      <w:r w:rsidRPr="00E607BC">
        <w:rPr>
          <w:rFonts w:ascii="Book Antiqua" w:hAnsi="Book Antiqua"/>
          <w:sz w:val="24"/>
          <w:szCs w:val="24"/>
        </w:rPr>
        <w:t>E</w:t>
      </w:r>
      <w:r w:rsidR="006A0D13" w:rsidRPr="00E607BC">
        <w:rPr>
          <w:rFonts w:ascii="Book Antiqua" w:hAnsi="Book Antiqua"/>
          <w:sz w:val="24"/>
          <w:szCs w:val="24"/>
        </w:rPr>
        <w:t>arlier this year erythroferrone</w:t>
      </w:r>
      <w:r w:rsidR="00A80347" w:rsidRPr="00E607BC">
        <w:rPr>
          <w:rFonts w:ascii="Book Antiqua" w:hAnsi="Book Antiqua"/>
          <w:sz w:val="24"/>
          <w:szCs w:val="24"/>
        </w:rPr>
        <w:t xml:space="preserve">, </w:t>
      </w:r>
      <w:r w:rsidR="00DD4AF8" w:rsidRPr="00E607BC">
        <w:rPr>
          <w:rFonts w:ascii="Book Antiqua" w:hAnsi="Book Antiqua"/>
          <w:sz w:val="24"/>
          <w:szCs w:val="24"/>
        </w:rPr>
        <w:t>340</w:t>
      </w:r>
      <w:r w:rsidR="00A80347" w:rsidRPr="00E607BC">
        <w:rPr>
          <w:rFonts w:ascii="Book Antiqua" w:hAnsi="Book Antiqua"/>
          <w:sz w:val="24"/>
          <w:szCs w:val="24"/>
        </w:rPr>
        <w:t>-amino acid soluble protein,</w:t>
      </w:r>
      <w:r w:rsidR="006A0D13" w:rsidRPr="00E607BC">
        <w:rPr>
          <w:rFonts w:ascii="Book Antiqua" w:hAnsi="Book Antiqua"/>
          <w:sz w:val="24"/>
          <w:szCs w:val="24"/>
        </w:rPr>
        <w:t xml:space="preserve"> was suggested for this role</w:t>
      </w:r>
      <w:r w:rsidR="00E70631" w:rsidRPr="00E607BC">
        <w:rPr>
          <w:rFonts w:ascii="Book Antiqua" w:hAnsi="Book Antiqua"/>
          <w:sz w:val="24"/>
          <w:szCs w:val="24"/>
          <w:vertAlign w:val="superscript"/>
        </w:rPr>
        <w:t>[15]</w:t>
      </w:r>
      <w:r w:rsidR="00F061DA" w:rsidRPr="00E607BC">
        <w:rPr>
          <w:rFonts w:ascii="Book Antiqua" w:hAnsi="Book Antiqua"/>
          <w:sz w:val="24"/>
          <w:szCs w:val="24"/>
        </w:rPr>
        <w:t>.</w:t>
      </w:r>
      <w:r w:rsidR="00486697" w:rsidRPr="00E607BC">
        <w:rPr>
          <w:rFonts w:ascii="Book Antiqua" w:hAnsi="Book Antiqua"/>
          <w:sz w:val="24"/>
          <w:szCs w:val="24"/>
        </w:rPr>
        <w:t xml:space="preserve"> </w:t>
      </w:r>
      <w:r w:rsidR="00A15B34" w:rsidRPr="00E607BC">
        <w:rPr>
          <w:rFonts w:ascii="Book Antiqua" w:hAnsi="Book Antiqua"/>
          <w:sz w:val="24"/>
          <w:szCs w:val="24"/>
        </w:rPr>
        <w:t>In response to eryth</w:t>
      </w:r>
      <w:r w:rsidR="00D23425" w:rsidRPr="00E607BC">
        <w:rPr>
          <w:rFonts w:ascii="Book Antiqua" w:hAnsi="Book Antiqua"/>
          <w:sz w:val="24"/>
          <w:szCs w:val="24"/>
        </w:rPr>
        <w:t>r</w:t>
      </w:r>
      <w:r w:rsidR="00A15B34" w:rsidRPr="00E607BC">
        <w:rPr>
          <w:rFonts w:ascii="Book Antiqua" w:hAnsi="Book Antiqua"/>
          <w:sz w:val="24"/>
          <w:szCs w:val="24"/>
        </w:rPr>
        <w:t>op</w:t>
      </w:r>
      <w:r w:rsidR="00D23425" w:rsidRPr="00E607BC">
        <w:rPr>
          <w:rFonts w:ascii="Book Antiqua" w:hAnsi="Book Antiqua"/>
          <w:sz w:val="24"/>
          <w:szCs w:val="24"/>
        </w:rPr>
        <w:t>o</w:t>
      </w:r>
      <w:r w:rsidR="00A15B34" w:rsidRPr="00E607BC">
        <w:rPr>
          <w:rFonts w:ascii="Book Antiqua" w:hAnsi="Book Antiqua"/>
          <w:sz w:val="24"/>
          <w:szCs w:val="24"/>
        </w:rPr>
        <w:t>ietin, erythroblasts produce e</w:t>
      </w:r>
      <w:r w:rsidR="00F061DA" w:rsidRPr="00E607BC">
        <w:rPr>
          <w:rFonts w:ascii="Book Antiqua" w:hAnsi="Book Antiqua"/>
          <w:sz w:val="24"/>
          <w:szCs w:val="24"/>
        </w:rPr>
        <w:t>ryth</w:t>
      </w:r>
      <w:r w:rsidR="002F4D8A" w:rsidRPr="00E607BC">
        <w:rPr>
          <w:rFonts w:ascii="Book Antiqua" w:hAnsi="Book Antiqua"/>
          <w:sz w:val="24"/>
          <w:szCs w:val="24"/>
        </w:rPr>
        <w:t>r</w:t>
      </w:r>
      <w:r w:rsidR="00F061DA" w:rsidRPr="00E607BC">
        <w:rPr>
          <w:rFonts w:ascii="Book Antiqua" w:hAnsi="Book Antiqua"/>
          <w:sz w:val="24"/>
          <w:szCs w:val="24"/>
        </w:rPr>
        <w:t>oferrone</w:t>
      </w:r>
      <w:r w:rsidR="00A15B34" w:rsidRPr="00E607BC">
        <w:rPr>
          <w:rFonts w:ascii="Book Antiqua" w:hAnsi="Book Antiqua"/>
          <w:sz w:val="24"/>
          <w:szCs w:val="24"/>
        </w:rPr>
        <w:t>, which in turn suppresses hepcidin expression, resulting in increased release of iron from cellular iron stores</w:t>
      </w:r>
      <w:r w:rsidR="00C41444" w:rsidRPr="00E607BC">
        <w:rPr>
          <w:rFonts w:ascii="Book Antiqua" w:hAnsi="Book Antiqua"/>
          <w:sz w:val="24"/>
          <w:szCs w:val="24"/>
          <w:vertAlign w:val="superscript"/>
        </w:rPr>
        <w:t>[15]</w:t>
      </w:r>
      <w:r w:rsidR="00A15B34" w:rsidRPr="00E607BC">
        <w:rPr>
          <w:rFonts w:ascii="Book Antiqua" w:hAnsi="Book Antiqua"/>
          <w:sz w:val="24"/>
          <w:szCs w:val="24"/>
        </w:rPr>
        <w:t>.</w:t>
      </w:r>
      <w:r w:rsidR="00486697" w:rsidRPr="00E607BC">
        <w:rPr>
          <w:rFonts w:ascii="Book Antiqua" w:hAnsi="Book Antiqua"/>
          <w:sz w:val="24"/>
          <w:szCs w:val="24"/>
        </w:rPr>
        <w:t xml:space="preserve"> </w:t>
      </w:r>
      <w:r w:rsidR="008B27AE" w:rsidRPr="00E607BC">
        <w:rPr>
          <w:rFonts w:ascii="Book Antiqua" w:hAnsi="Book Antiqua"/>
          <w:sz w:val="24"/>
          <w:szCs w:val="24"/>
        </w:rPr>
        <w:t>Knockout mice for erythroferrone fail to rapidly suppress hepcidin expression in response to haemorrhage</w:t>
      </w:r>
      <w:r w:rsidR="00C41444" w:rsidRPr="00E607BC">
        <w:rPr>
          <w:rFonts w:ascii="Book Antiqua" w:hAnsi="Book Antiqua"/>
          <w:sz w:val="24"/>
          <w:szCs w:val="24"/>
          <w:vertAlign w:val="superscript"/>
        </w:rPr>
        <w:t>[15]</w:t>
      </w:r>
      <w:r w:rsidR="008B27AE" w:rsidRPr="00E607BC">
        <w:rPr>
          <w:rFonts w:ascii="Book Antiqua" w:hAnsi="Book Antiqua"/>
          <w:sz w:val="24"/>
          <w:szCs w:val="24"/>
        </w:rPr>
        <w:t>.</w:t>
      </w:r>
      <w:r w:rsidR="00486697" w:rsidRPr="00E607BC">
        <w:rPr>
          <w:rFonts w:ascii="Book Antiqua" w:hAnsi="Book Antiqua"/>
          <w:sz w:val="24"/>
          <w:szCs w:val="24"/>
        </w:rPr>
        <w:t xml:space="preserve"> </w:t>
      </w:r>
      <w:r w:rsidR="005013F9" w:rsidRPr="00E607BC">
        <w:rPr>
          <w:rFonts w:ascii="Book Antiqua" w:hAnsi="Book Antiqua"/>
          <w:sz w:val="24"/>
          <w:szCs w:val="24"/>
        </w:rPr>
        <w:t>They also show a haemoglobin deficit, indicative of an impediment of erythropoiesis</w:t>
      </w:r>
      <w:r w:rsidR="00C41444" w:rsidRPr="00E607BC">
        <w:rPr>
          <w:rFonts w:ascii="Book Antiqua" w:hAnsi="Book Antiqua"/>
          <w:sz w:val="24"/>
          <w:szCs w:val="24"/>
          <w:vertAlign w:val="superscript"/>
        </w:rPr>
        <w:t>[15]</w:t>
      </w:r>
      <w:r w:rsidR="005013F9" w:rsidRPr="00E607BC">
        <w:rPr>
          <w:rFonts w:ascii="Book Antiqua" w:hAnsi="Book Antiqua"/>
          <w:sz w:val="24"/>
          <w:szCs w:val="24"/>
        </w:rPr>
        <w:t>.</w:t>
      </w:r>
      <w:r w:rsidR="00486697" w:rsidRPr="00E607BC">
        <w:rPr>
          <w:rFonts w:ascii="Book Antiqua" w:hAnsi="Book Antiqua"/>
          <w:sz w:val="24"/>
          <w:szCs w:val="24"/>
        </w:rPr>
        <w:t xml:space="preserve"> </w:t>
      </w:r>
      <w:r w:rsidR="00A15B34" w:rsidRPr="00E607BC">
        <w:rPr>
          <w:rFonts w:ascii="Book Antiqua" w:hAnsi="Book Antiqua"/>
          <w:sz w:val="24"/>
          <w:szCs w:val="24"/>
        </w:rPr>
        <w:t>Erythroferrone expression in spleen and bone marrow increases during anaemia of inflammation and this contributes to iron mobilisation and recovery from anaemia</w:t>
      </w:r>
      <w:r w:rsidR="00C41444" w:rsidRPr="00E607BC">
        <w:rPr>
          <w:rFonts w:ascii="Book Antiqua" w:hAnsi="Book Antiqua"/>
          <w:sz w:val="24"/>
          <w:szCs w:val="24"/>
          <w:vertAlign w:val="superscript"/>
        </w:rPr>
        <w:t>[16]</w:t>
      </w:r>
      <w:r w:rsidR="00A15B34" w:rsidRPr="00E607BC">
        <w:rPr>
          <w:rFonts w:ascii="Book Antiqua" w:hAnsi="Book Antiqua"/>
          <w:sz w:val="24"/>
          <w:szCs w:val="24"/>
        </w:rPr>
        <w:t>.</w:t>
      </w:r>
    </w:p>
    <w:p w:rsidR="00486697" w:rsidRPr="00E607BC" w:rsidRDefault="00486697" w:rsidP="00E607BC">
      <w:pPr>
        <w:spacing w:after="0" w:line="360" w:lineRule="auto"/>
        <w:jc w:val="both"/>
        <w:rPr>
          <w:rFonts w:ascii="Book Antiqua" w:hAnsi="Book Antiqua"/>
          <w:sz w:val="24"/>
          <w:szCs w:val="24"/>
        </w:rPr>
      </w:pPr>
    </w:p>
    <w:p w:rsidR="006E288B" w:rsidRPr="00E607BC" w:rsidRDefault="006E288B" w:rsidP="00E607BC">
      <w:pPr>
        <w:spacing w:after="0" w:line="360" w:lineRule="auto"/>
        <w:jc w:val="both"/>
        <w:rPr>
          <w:rFonts w:ascii="Book Antiqua" w:hAnsi="Book Antiqua"/>
          <w:b/>
          <w:bCs/>
          <w:caps/>
          <w:sz w:val="24"/>
          <w:szCs w:val="24"/>
        </w:rPr>
      </w:pPr>
      <w:r w:rsidRPr="00E607BC">
        <w:rPr>
          <w:rFonts w:ascii="Book Antiqua" w:hAnsi="Book Antiqua"/>
          <w:b/>
          <w:bCs/>
          <w:caps/>
          <w:sz w:val="24"/>
          <w:szCs w:val="24"/>
        </w:rPr>
        <w:t>Myo</w:t>
      </w:r>
      <w:r w:rsidR="00145375" w:rsidRPr="00E607BC">
        <w:rPr>
          <w:rFonts w:ascii="Book Antiqua" w:hAnsi="Book Antiqua"/>
          <w:b/>
          <w:bCs/>
          <w:caps/>
          <w:sz w:val="24"/>
          <w:szCs w:val="24"/>
        </w:rPr>
        <w:t>nec</w:t>
      </w:r>
      <w:r w:rsidRPr="00E607BC">
        <w:rPr>
          <w:rFonts w:ascii="Book Antiqua" w:hAnsi="Book Antiqua"/>
          <w:b/>
          <w:bCs/>
          <w:caps/>
          <w:sz w:val="24"/>
          <w:szCs w:val="24"/>
        </w:rPr>
        <w:t>tin – a myokine</w:t>
      </w:r>
    </w:p>
    <w:p w:rsidR="006E288B" w:rsidRPr="00E607BC" w:rsidRDefault="008B27AE" w:rsidP="00E607BC">
      <w:pPr>
        <w:spacing w:after="0" w:line="360" w:lineRule="auto"/>
        <w:jc w:val="both"/>
        <w:rPr>
          <w:rFonts w:ascii="Book Antiqua" w:hAnsi="Book Antiqua"/>
          <w:sz w:val="24"/>
          <w:szCs w:val="24"/>
        </w:rPr>
      </w:pPr>
      <w:r w:rsidRPr="00E607BC">
        <w:rPr>
          <w:rFonts w:ascii="Book Antiqua" w:hAnsi="Book Antiqua"/>
          <w:sz w:val="24"/>
          <w:szCs w:val="24"/>
        </w:rPr>
        <w:t>These data provide strong evidence for erythroferrone finally being the (or at least an) erythroid regulator of iron metabolism.</w:t>
      </w:r>
      <w:r w:rsidR="00486697" w:rsidRPr="00E607BC">
        <w:rPr>
          <w:rFonts w:ascii="Book Antiqua" w:hAnsi="Book Antiqua"/>
          <w:sz w:val="24"/>
          <w:szCs w:val="24"/>
        </w:rPr>
        <w:t xml:space="preserve"> </w:t>
      </w:r>
      <w:r w:rsidR="00BF23B1" w:rsidRPr="00E607BC">
        <w:rPr>
          <w:rFonts w:ascii="Book Antiqua" w:hAnsi="Book Antiqua"/>
          <w:sz w:val="24"/>
          <w:szCs w:val="24"/>
        </w:rPr>
        <w:t>However, erythroferrone had earlier been described as</w:t>
      </w:r>
      <w:r w:rsidR="000A773C" w:rsidRPr="00E607BC">
        <w:rPr>
          <w:rFonts w:ascii="Book Antiqua" w:hAnsi="Book Antiqua"/>
          <w:sz w:val="24"/>
          <w:szCs w:val="24"/>
        </w:rPr>
        <w:t xml:space="preserve"> </w:t>
      </w:r>
      <w:r w:rsidR="00345489" w:rsidRPr="00E607BC">
        <w:rPr>
          <w:rFonts w:ascii="Book Antiqua" w:hAnsi="Book Antiqua"/>
          <w:sz w:val="24"/>
          <w:szCs w:val="24"/>
        </w:rPr>
        <w:t>“myonectin”</w:t>
      </w:r>
      <w:r w:rsidR="00DD4AF8" w:rsidRPr="00E607BC">
        <w:rPr>
          <w:rFonts w:ascii="Book Antiqua" w:hAnsi="Book Antiqua"/>
          <w:sz w:val="24"/>
          <w:szCs w:val="24"/>
        </w:rPr>
        <w:t xml:space="preserve"> or “C1q tumor necrosis factor α-related protein isoform 15”</w:t>
      </w:r>
      <w:r w:rsidR="00345489" w:rsidRPr="00E607BC">
        <w:rPr>
          <w:rFonts w:ascii="Book Antiqua" w:hAnsi="Book Antiqua"/>
          <w:sz w:val="24"/>
          <w:szCs w:val="24"/>
        </w:rPr>
        <w:t xml:space="preserve"> (</w:t>
      </w:r>
      <w:r w:rsidR="00DD4AF8" w:rsidRPr="00E607BC">
        <w:rPr>
          <w:rFonts w:ascii="Book Antiqua" w:hAnsi="Book Antiqua"/>
          <w:sz w:val="24"/>
          <w:szCs w:val="24"/>
        </w:rPr>
        <w:t>CTRP15</w:t>
      </w:r>
      <w:r w:rsidR="00345489" w:rsidRPr="00E607BC">
        <w:rPr>
          <w:rFonts w:ascii="Book Antiqua" w:hAnsi="Book Antiqua"/>
          <w:sz w:val="24"/>
          <w:szCs w:val="24"/>
        </w:rPr>
        <w:t>)</w:t>
      </w:r>
      <w:r w:rsidR="00C41444" w:rsidRPr="00E607BC">
        <w:rPr>
          <w:rFonts w:ascii="Book Antiqua" w:hAnsi="Book Antiqua"/>
          <w:sz w:val="24"/>
          <w:szCs w:val="24"/>
          <w:vertAlign w:val="superscript"/>
        </w:rPr>
        <w:t>[17]</w:t>
      </w:r>
      <w:r w:rsidR="00345489" w:rsidRPr="00E607BC">
        <w:rPr>
          <w:rFonts w:ascii="Book Antiqua" w:hAnsi="Book Antiqua"/>
          <w:sz w:val="24"/>
          <w:szCs w:val="24"/>
        </w:rPr>
        <w:t>.</w:t>
      </w:r>
      <w:r w:rsidR="00486697" w:rsidRPr="00E607BC">
        <w:rPr>
          <w:rFonts w:ascii="Book Antiqua" w:hAnsi="Book Antiqua"/>
          <w:sz w:val="24"/>
          <w:szCs w:val="24"/>
        </w:rPr>
        <w:t xml:space="preserve"> </w:t>
      </w:r>
      <w:r w:rsidR="00DD4AF8" w:rsidRPr="00E607BC">
        <w:rPr>
          <w:rFonts w:ascii="Book Antiqua" w:hAnsi="Book Antiqua"/>
          <w:sz w:val="24"/>
          <w:szCs w:val="24"/>
        </w:rPr>
        <w:t>[Unfortunately the same name “myonectin” was used in the same year for</w:t>
      </w:r>
      <w:r w:rsidR="00AC70D9" w:rsidRPr="00E607BC">
        <w:rPr>
          <w:rFonts w:ascii="Book Antiqua" w:hAnsi="Book Antiqua"/>
          <w:sz w:val="24"/>
          <w:szCs w:val="24"/>
        </w:rPr>
        <w:t xml:space="preserve"> the related, but not identical</w:t>
      </w:r>
      <w:r w:rsidR="00DD4AF8" w:rsidRPr="00E607BC">
        <w:rPr>
          <w:rFonts w:ascii="Book Antiqua" w:hAnsi="Book Antiqua"/>
          <w:sz w:val="24"/>
          <w:szCs w:val="24"/>
        </w:rPr>
        <w:t xml:space="preserve"> </w:t>
      </w:r>
      <w:r w:rsidR="000A773C" w:rsidRPr="00E607BC">
        <w:rPr>
          <w:rFonts w:ascii="Book Antiqua" w:hAnsi="Book Antiqua"/>
          <w:sz w:val="24"/>
          <w:szCs w:val="24"/>
        </w:rPr>
        <w:t>“C1q tumor necrosis factor α-related protein isoform 5 (C1QTNF5)”</w:t>
      </w:r>
      <w:r w:rsidR="00C41444" w:rsidRPr="00E607BC">
        <w:rPr>
          <w:rFonts w:ascii="Book Antiqua" w:hAnsi="Book Antiqua"/>
          <w:sz w:val="24"/>
          <w:szCs w:val="24"/>
          <w:vertAlign w:val="superscript"/>
        </w:rPr>
        <w:t>[18]</w:t>
      </w:r>
      <w:r w:rsidR="000A773C" w:rsidRPr="00E607BC">
        <w:rPr>
          <w:rFonts w:ascii="Book Antiqua" w:hAnsi="Book Antiqua"/>
          <w:sz w:val="24"/>
          <w:szCs w:val="24"/>
        </w:rPr>
        <w:t xml:space="preserve"> </w:t>
      </w:r>
      <w:r w:rsidR="00DD4AF8" w:rsidRPr="00E607BC">
        <w:rPr>
          <w:rFonts w:ascii="Book Antiqua" w:hAnsi="Book Antiqua"/>
          <w:sz w:val="24"/>
          <w:szCs w:val="24"/>
        </w:rPr>
        <w:t>by</w:t>
      </w:r>
      <w:r w:rsidR="00345489" w:rsidRPr="00E607BC">
        <w:rPr>
          <w:rFonts w:ascii="Book Antiqua" w:hAnsi="Book Antiqua"/>
          <w:sz w:val="24"/>
          <w:szCs w:val="24"/>
        </w:rPr>
        <w:t xml:space="preserve"> Lim </w:t>
      </w:r>
      <w:r w:rsidR="00345489" w:rsidRPr="00E607BC">
        <w:rPr>
          <w:rFonts w:ascii="Book Antiqua" w:hAnsi="Book Antiqua"/>
          <w:i/>
          <w:iCs/>
          <w:sz w:val="24"/>
          <w:szCs w:val="24"/>
        </w:rPr>
        <w:t>et al</w:t>
      </w:r>
      <w:r w:rsidR="00486697" w:rsidRPr="00E607BC">
        <w:rPr>
          <w:rFonts w:ascii="Book Antiqua" w:hAnsi="Book Antiqua"/>
          <w:sz w:val="24"/>
          <w:szCs w:val="24"/>
          <w:vertAlign w:val="superscript"/>
        </w:rPr>
        <w:t>[19]</w:t>
      </w:r>
      <w:r w:rsidR="00345489" w:rsidRPr="00E607BC">
        <w:rPr>
          <w:rFonts w:ascii="Book Antiqua" w:hAnsi="Book Antiqua"/>
          <w:sz w:val="24"/>
          <w:szCs w:val="24"/>
        </w:rPr>
        <w:t xml:space="preserve"> </w:t>
      </w:r>
      <w:r w:rsidR="00DD4AF8" w:rsidRPr="00E607BC">
        <w:rPr>
          <w:rFonts w:ascii="Book Antiqua" w:hAnsi="Book Antiqua"/>
          <w:sz w:val="24"/>
          <w:szCs w:val="24"/>
        </w:rPr>
        <w:t>for</w:t>
      </w:r>
      <w:r w:rsidR="00BF23B1" w:rsidRPr="00E607BC">
        <w:rPr>
          <w:rFonts w:ascii="Book Antiqua" w:hAnsi="Book Antiqua"/>
          <w:sz w:val="24"/>
          <w:szCs w:val="24"/>
        </w:rPr>
        <w:t xml:space="preserve"> a myokine</w:t>
      </w:r>
      <w:r w:rsidR="0055333F" w:rsidRPr="00E607BC">
        <w:rPr>
          <w:rFonts w:ascii="Book Antiqua" w:hAnsi="Book Antiqua"/>
          <w:sz w:val="24"/>
          <w:szCs w:val="24"/>
        </w:rPr>
        <w:t xml:space="preserve">, the level of which is increased in insulin-resistant </w:t>
      </w:r>
      <w:r w:rsidR="000A773C" w:rsidRPr="00E607BC">
        <w:rPr>
          <w:rFonts w:ascii="Book Antiqua" w:hAnsi="Book Antiqua"/>
          <w:sz w:val="24"/>
          <w:szCs w:val="24"/>
        </w:rPr>
        <w:t xml:space="preserve">rats and </w:t>
      </w:r>
      <w:r w:rsidR="0055333F" w:rsidRPr="00E607BC">
        <w:rPr>
          <w:rFonts w:ascii="Book Antiqua" w:hAnsi="Book Antiqua"/>
          <w:sz w:val="24"/>
          <w:szCs w:val="24"/>
        </w:rPr>
        <w:t>mice</w:t>
      </w:r>
      <w:r w:rsidR="00414A81" w:rsidRPr="00E607BC">
        <w:rPr>
          <w:rFonts w:ascii="Book Antiqua" w:hAnsi="Book Antiqua"/>
          <w:sz w:val="24"/>
          <w:szCs w:val="24"/>
        </w:rPr>
        <w:t xml:space="preserve"> </w:t>
      </w:r>
      <w:r w:rsidR="00C76C4D" w:rsidRPr="00E607BC">
        <w:rPr>
          <w:rFonts w:ascii="Book Antiqua" w:hAnsi="Book Antiqua"/>
          <w:sz w:val="24"/>
          <w:szCs w:val="24"/>
        </w:rPr>
        <w:t>and</w:t>
      </w:r>
      <w:r w:rsidR="000A773C" w:rsidRPr="00E607BC">
        <w:rPr>
          <w:rFonts w:ascii="Book Antiqua" w:hAnsi="Book Antiqua"/>
          <w:sz w:val="24"/>
          <w:szCs w:val="24"/>
        </w:rPr>
        <w:t xml:space="preserve"> in</w:t>
      </w:r>
      <w:r w:rsidR="00C76C4D" w:rsidRPr="00E607BC">
        <w:rPr>
          <w:rFonts w:ascii="Book Antiqua" w:hAnsi="Book Antiqua"/>
          <w:sz w:val="24"/>
          <w:szCs w:val="24"/>
        </w:rPr>
        <w:t xml:space="preserve"> myocytes depleted of mitochondrial DNA</w:t>
      </w:r>
      <w:r w:rsidR="000A773C" w:rsidRPr="00E607BC">
        <w:rPr>
          <w:rFonts w:ascii="Book Antiqua" w:hAnsi="Book Antiqua"/>
          <w:sz w:val="24"/>
          <w:szCs w:val="24"/>
        </w:rPr>
        <w:t>.</w:t>
      </w:r>
      <w:r w:rsidR="00486697" w:rsidRPr="00E607BC">
        <w:rPr>
          <w:rFonts w:ascii="Book Antiqua" w:hAnsi="Book Antiqua"/>
          <w:sz w:val="24"/>
          <w:szCs w:val="24"/>
        </w:rPr>
        <w:t xml:space="preserve"> </w:t>
      </w:r>
      <w:r w:rsidR="00DD4AF8" w:rsidRPr="00E607BC">
        <w:rPr>
          <w:rFonts w:ascii="Book Antiqua" w:hAnsi="Book Antiqua"/>
          <w:sz w:val="24"/>
          <w:szCs w:val="24"/>
        </w:rPr>
        <w:t>This 243-amino acid soluble protein</w:t>
      </w:r>
      <w:r w:rsidR="00B425EB" w:rsidRPr="00E607BC">
        <w:rPr>
          <w:rFonts w:ascii="Book Antiqua" w:hAnsi="Book Antiqua"/>
          <w:sz w:val="24"/>
          <w:szCs w:val="24"/>
        </w:rPr>
        <w:t xml:space="preserve"> induces the phosphorylation on AMP-dependent protein kinase and</w:t>
      </w:r>
      <w:r w:rsidR="000A773C" w:rsidRPr="00E607BC">
        <w:rPr>
          <w:rFonts w:ascii="Book Antiqua" w:hAnsi="Book Antiqua"/>
          <w:sz w:val="24"/>
          <w:szCs w:val="24"/>
        </w:rPr>
        <w:t xml:space="preserve"> </w:t>
      </w:r>
      <w:r w:rsidR="00B425EB" w:rsidRPr="00E607BC">
        <w:rPr>
          <w:rFonts w:ascii="Book Antiqua" w:hAnsi="Book Antiqua"/>
          <w:sz w:val="24"/>
          <w:szCs w:val="24"/>
        </w:rPr>
        <w:t>acetyl-CoA</w:t>
      </w:r>
      <w:r w:rsidR="000A773C" w:rsidRPr="00E607BC">
        <w:rPr>
          <w:rFonts w:ascii="Book Antiqua" w:hAnsi="Book Antiqua"/>
          <w:sz w:val="24"/>
          <w:szCs w:val="24"/>
        </w:rPr>
        <w:t xml:space="preserve"> </w:t>
      </w:r>
      <w:r w:rsidR="00B425EB" w:rsidRPr="00E607BC">
        <w:rPr>
          <w:rFonts w:ascii="Book Antiqua" w:hAnsi="Book Antiqua"/>
          <w:sz w:val="24"/>
          <w:szCs w:val="24"/>
        </w:rPr>
        <w:t>carboxylase</w:t>
      </w:r>
      <w:r w:rsidR="00C41444" w:rsidRPr="00E607BC">
        <w:rPr>
          <w:rFonts w:ascii="Book Antiqua" w:hAnsi="Book Antiqua"/>
          <w:sz w:val="24"/>
          <w:szCs w:val="24"/>
          <w:vertAlign w:val="superscript"/>
        </w:rPr>
        <w:t>[20]</w:t>
      </w:r>
      <w:r w:rsidR="00486697" w:rsidRPr="00E607BC">
        <w:rPr>
          <w:rFonts w:ascii="Book Antiqua" w:hAnsi="Book Antiqua"/>
          <w:sz w:val="24"/>
          <w:szCs w:val="24"/>
        </w:rPr>
        <w:t xml:space="preserve"> ]</w:t>
      </w:r>
      <w:r w:rsidR="000A773C" w:rsidRPr="00E607BC">
        <w:rPr>
          <w:rFonts w:ascii="Book Antiqua" w:hAnsi="Book Antiqua"/>
          <w:sz w:val="24"/>
          <w:szCs w:val="24"/>
        </w:rPr>
        <w:t>.</w:t>
      </w:r>
      <w:r w:rsidR="00486697" w:rsidRPr="00E607BC">
        <w:rPr>
          <w:rFonts w:ascii="Book Antiqua" w:hAnsi="Book Antiqua"/>
          <w:sz w:val="24"/>
          <w:szCs w:val="24"/>
        </w:rPr>
        <w:t xml:space="preserve"> </w:t>
      </w:r>
      <w:r w:rsidR="00DD4AF8" w:rsidRPr="00E607BC">
        <w:rPr>
          <w:rFonts w:ascii="Book Antiqua" w:hAnsi="Book Antiqua"/>
          <w:sz w:val="24"/>
          <w:szCs w:val="24"/>
        </w:rPr>
        <w:t>CTRP15/myokine’s</w:t>
      </w:r>
      <w:r w:rsidR="00345489" w:rsidRPr="00E607BC">
        <w:rPr>
          <w:rFonts w:ascii="Book Antiqua" w:hAnsi="Book Antiqua"/>
          <w:sz w:val="24"/>
          <w:szCs w:val="24"/>
        </w:rPr>
        <w:t xml:space="preserve"> circulating level was described to be tightly regulated by the metabolic state (suppressed during fasting and up-regulated after re-feeding) </w:t>
      </w:r>
      <w:r w:rsidR="00DD4AF8" w:rsidRPr="00E607BC">
        <w:rPr>
          <w:rFonts w:ascii="Book Antiqua" w:hAnsi="Book Antiqua"/>
          <w:sz w:val="24"/>
          <w:szCs w:val="24"/>
        </w:rPr>
        <w:t>and predominantly expressed in skeletal muscle</w:t>
      </w:r>
      <w:r w:rsidR="00C41444" w:rsidRPr="00E607BC">
        <w:rPr>
          <w:rFonts w:ascii="Book Antiqua" w:hAnsi="Book Antiqua"/>
          <w:sz w:val="24"/>
          <w:szCs w:val="24"/>
          <w:vertAlign w:val="superscript"/>
        </w:rPr>
        <w:t>[17]</w:t>
      </w:r>
      <w:r w:rsidR="00414A81" w:rsidRPr="00E607BC">
        <w:rPr>
          <w:rFonts w:ascii="Book Antiqua" w:hAnsi="Book Antiqua"/>
          <w:sz w:val="24"/>
          <w:szCs w:val="24"/>
        </w:rPr>
        <w:t>.</w:t>
      </w:r>
      <w:r w:rsidR="00486697" w:rsidRPr="00E607BC">
        <w:rPr>
          <w:rFonts w:ascii="Book Antiqua" w:hAnsi="Book Antiqua"/>
          <w:sz w:val="24"/>
          <w:szCs w:val="24"/>
        </w:rPr>
        <w:t xml:space="preserve"> </w:t>
      </w:r>
    </w:p>
    <w:p w:rsidR="00486697" w:rsidRPr="00E607BC" w:rsidRDefault="00486697" w:rsidP="00E607BC">
      <w:pPr>
        <w:spacing w:after="0" w:line="360" w:lineRule="auto"/>
        <w:jc w:val="both"/>
        <w:rPr>
          <w:rFonts w:ascii="Book Antiqua" w:hAnsi="Book Antiqua"/>
          <w:sz w:val="24"/>
          <w:szCs w:val="24"/>
        </w:rPr>
      </w:pPr>
    </w:p>
    <w:p w:rsidR="008B27AE" w:rsidRPr="00E607BC" w:rsidRDefault="006E288B" w:rsidP="00E607BC">
      <w:pPr>
        <w:spacing w:after="0" w:line="360" w:lineRule="auto"/>
        <w:jc w:val="both"/>
        <w:rPr>
          <w:rFonts w:ascii="Book Antiqua" w:hAnsi="Book Antiqua"/>
          <w:b/>
          <w:bCs/>
          <w:caps/>
          <w:sz w:val="24"/>
          <w:szCs w:val="24"/>
        </w:rPr>
      </w:pPr>
      <w:r w:rsidRPr="00E607BC">
        <w:rPr>
          <w:rFonts w:ascii="Book Antiqua" w:hAnsi="Book Antiqua"/>
          <w:b/>
          <w:bCs/>
          <w:caps/>
          <w:sz w:val="24"/>
          <w:szCs w:val="24"/>
        </w:rPr>
        <w:t>A myokine as erythroid regulator</w:t>
      </w:r>
      <w:r w:rsidR="00AE1640" w:rsidRPr="00E607BC">
        <w:rPr>
          <w:rFonts w:ascii="Book Antiqua" w:hAnsi="Book Antiqua"/>
          <w:b/>
          <w:bCs/>
          <w:caps/>
          <w:sz w:val="24"/>
          <w:szCs w:val="24"/>
        </w:rPr>
        <w:t xml:space="preserve"> of iron</w:t>
      </w:r>
      <w:r w:rsidRPr="00E607BC">
        <w:rPr>
          <w:rFonts w:ascii="Book Antiqua" w:hAnsi="Book Antiqua"/>
          <w:b/>
          <w:bCs/>
          <w:caps/>
          <w:sz w:val="24"/>
          <w:szCs w:val="24"/>
        </w:rPr>
        <w:t>?</w:t>
      </w:r>
    </w:p>
    <w:p w:rsidR="006E288B" w:rsidRPr="00E607BC" w:rsidRDefault="005013F9" w:rsidP="00E607BC">
      <w:pPr>
        <w:spacing w:after="0" w:line="360" w:lineRule="auto"/>
        <w:jc w:val="both"/>
        <w:rPr>
          <w:rFonts w:ascii="Book Antiqua" w:hAnsi="Book Antiqua"/>
          <w:sz w:val="24"/>
          <w:szCs w:val="24"/>
        </w:rPr>
      </w:pPr>
      <w:r w:rsidRPr="00E607BC">
        <w:rPr>
          <w:rFonts w:ascii="Book Antiqua" w:hAnsi="Book Antiqua"/>
          <w:sz w:val="24"/>
          <w:szCs w:val="24"/>
        </w:rPr>
        <w:t>T</w:t>
      </w:r>
      <w:r w:rsidR="00AE1640" w:rsidRPr="00E607BC">
        <w:rPr>
          <w:rFonts w:ascii="Book Antiqua" w:hAnsi="Book Antiqua"/>
          <w:sz w:val="24"/>
          <w:szCs w:val="24"/>
        </w:rPr>
        <w:t xml:space="preserve">hese authors did not include bone marrow or spleen in their expression analysis </w:t>
      </w:r>
      <w:r w:rsidR="00486697" w:rsidRPr="00E607BC">
        <w:rPr>
          <w:rFonts w:ascii="Book Antiqua" w:hAnsi="Book Antiqua"/>
          <w:sz w:val="24"/>
          <w:szCs w:val="24"/>
        </w:rPr>
        <w:t>(</w:t>
      </w:r>
      <w:r w:rsidR="00AE1640" w:rsidRPr="00E607BC">
        <w:rPr>
          <w:rFonts w:ascii="Book Antiqua" w:hAnsi="Book Antiqua"/>
          <w:sz w:val="24"/>
          <w:szCs w:val="24"/>
        </w:rPr>
        <w:t>the two tissues where erythropoietin significantly stimulated erythroferrone expression</w:t>
      </w:r>
      <w:r w:rsidR="00C41444" w:rsidRPr="00E607BC">
        <w:rPr>
          <w:rFonts w:ascii="Book Antiqua" w:hAnsi="Book Antiqua"/>
          <w:sz w:val="24"/>
          <w:szCs w:val="24"/>
          <w:vertAlign w:val="superscript"/>
        </w:rPr>
        <w:t>[15]</w:t>
      </w:r>
      <w:r w:rsidR="00486697" w:rsidRPr="00E607BC">
        <w:rPr>
          <w:rFonts w:ascii="Book Antiqua" w:hAnsi="Book Antiqua"/>
          <w:sz w:val="24"/>
          <w:szCs w:val="24"/>
        </w:rPr>
        <w:t>)</w:t>
      </w:r>
      <w:r w:rsidRPr="00E607BC">
        <w:rPr>
          <w:rFonts w:ascii="Book Antiqua" w:hAnsi="Book Antiqua"/>
          <w:sz w:val="24"/>
          <w:szCs w:val="24"/>
        </w:rPr>
        <w:t xml:space="preserve"> and neither analysed a knockout mouse of myonectin for a muscle phenotype </w:t>
      </w:r>
      <w:r w:rsidR="00486697" w:rsidRPr="00E607BC">
        <w:rPr>
          <w:rFonts w:ascii="Book Antiqua" w:hAnsi="Book Antiqua"/>
          <w:sz w:val="24"/>
          <w:szCs w:val="24"/>
        </w:rPr>
        <w:t>(</w:t>
      </w:r>
      <w:r w:rsidRPr="00E607BC">
        <w:rPr>
          <w:rFonts w:ascii="Book Antiqua" w:hAnsi="Book Antiqua"/>
          <w:sz w:val="24"/>
          <w:szCs w:val="24"/>
        </w:rPr>
        <w:t>which was not reported for the erythroferrone knockout mouse</w:t>
      </w:r>
      <w:r w:rsidR="00C41444" w:rsidRPr="00E607BC">
        <w:rPr>
          <w:rFonts w:ascii="Book Antiqua" w:hAnsi="Book Antiqua"/>
          <w:sz w:val="24"/>
          <w:szCs w:val="24"/>
          <w:vertAlign w:val="superscript"/>
        </w:rPr>
        <w:t>[15]</w:t>
      </w:r>
      <w:r w:rsidR="00486697" w:rsidRPr="00E607BC">
        <w:rPr>
          <w:rFonts w:ascii="Book Antiqua" w:hAnsi="Book Antiqua"/>
          <w:sz w:val="24"/>
          <w:szCs w:val="24"/>
        </w:rPr>
        <w:t>)</w:t>
      </w:r>
      <w:r w:rsidRPr="00E607BC">
        <w:rPr>
          <w:rFonts w:ascii="Book Antiqua" w:hAnsi="Book Antiqua"/>
          <w:sz w:val="24"/>
          <w:szCs w:val="24"/>
        </w:rPr>
        <w:t>.</w:t>
      </w:r>
      <w:r w:rsidR="00486697" w:rsidRPr="00E607BC">
        <w:rPr>
          <w:rFonts w:ascii="Book Antiqua" w:hAnsi="Book Antiqua"/>
          <w:sz w:val="24"/>
          <w:szCs w:val="24"/>
        </w:rPr>
        <w:t xml:space="preserve"> </w:t>
      </w:r>
      <w:r w:rsidRPr="00E607BC">
        <w:rPr>
          <w:rFonts w:ascii="Book Antiqua" w:hAnsi="Book Antiqua"/>
          <w:sz w:val="24"/>
          <w:szCs w:val="24"/>
        </w:rPr>
        <w:t xml:space="preserve">Thus, </w:t>
      </w:r>
      <w:r w:rsidR="00AE1640" w:rsidRPr="00E607BC">
        <w:rPr>
          <w:rFonts w:ascii="Book Antiqua" w:hAnsi="Book Antiqua"/>
          <w:sz w:val="24"/>
          <w:szCs w:val="24"/>
        </w:rPr>
        <w:t>it appears at first glance difficult to reconcile the two proposed functions of erythroferrone/myokine as those of a factor released into the circulation.</w:t>
      </w:r>
      <w:r w:rsidR="00486697" w:rsidRPr="00E607BC">
        <w:rPr>
          <w:rFonts w:ascii="Book Antiqua" w:hAnsi="Book Antiqua"/>
          <w:sz w:val="24"/>
          <w:szCs w:val="24"/>
        </w:rPr>
        <w:t xml:space="preserve"> </w:t>
      </w:r>
      <w:r w:rsidR="00AE1640" w:rsidRPr="00E607BC">
        <w:rPr>
          <w:rFonts w:ascii="Book Antiqua" w:hAnsi="Book Antiqua"/>
          <w:sz w:val="24"/>
          <w:szCs w:val="24"/>
        </w:rPr>
        <w:t>Exercise, unless performed at high altitude, is not usually considered to stimulate erythropoiesis</w:t>
      </w:r>
      <w:r w:rsidR="002950D7" w:rsidRPr="00E607BC">
        <w:rPr>
          <w:rFonts w:ascii="Book Antiqua" w:hAnsi="Book Antiqua"/>
          <w:sz w:val="24"/>
          <w:szCs w:val="24"/>
          <w:vertAlign w:val="superscript"/>
        </w:rPr>
        <w:t>[21]</w:t>
      </w:r>
      <w:r w:rsidR="00AE1640" w:rsidRPr="00E607BC">
        <w:rPr>
          <w:rFonts w:ascii="Book Antiqua" w:hAnsi="Book Antiqua"/>
          <w:sz w:val="24"/>
          <w:szCs w:val="24"/>
        </w:rPr>
        <w:t>, neither is feeding.</w:t>
      </w:r>
      <w:r w:rsidR="00486697" w:rsidRPr="00E607BC">
        <w:rPr>
          <w:rFonts w:ascii="Book Antiqua" w:hAnsi="Book Antiqua"/>
          <w:sz w:val="24"/>
          <w:szCs w:val="24"/>
        </w:rPr>
        <w:t xml:space="preserve"> </w:t>
      </w:r>
      <w:r w:rsidR="00AE1640" w:rsidRPr="00E607BC">
        <w:rPr>
          <w:rFonts w:ascii="Book Antiqua" w:hAnsi="Book Antiqua"/>
          <w:sz w:val="24"/>
          <w:szCs w:val="24"/>
        </w:rPr>
        <w:t>Thus, how can the apparent conundrum be solved that a myokine, that produced during exercise and feeding, enhancing fatty acid uptake by myocytes and hepatocytes</w:t>
      </w:r>
      <w:r w:rsidR="002950D7" w:rsidRPr="00E607BC">
        <w:rPr>
          <w:rFonts w:ascii="Book Antiqua" w:hAnsi="Book Antiqua"/>
          <w:sz w:val="24"/>
          <w:szCs w:val="24"/>
          <w:vertAlign w:val="superscript"/>
        </w:rPr>
        <w:t>[17]</w:t>
      </w:r>
      <w:r w:rsidR="00AE1640" w:rsidRPr="00E607BC">
        <w:rPr>
          <w:rFonts w:ascii="Book Antiqua" w:hAnsi="Book Antiqua"/>
          <w:sz w:val="24"/>
          <w:szCs w:val="24"/>
        </w:rPr>
        <w:t xml:space="preserve"> should be a master regulator of iron metabolism in erythropoiesis</w:t>
      </w:r>
      <w:r w:rsidR="002950D7" w:rsidRPr="00E607BC">
        <w:rPr>
          <w:rFonts w:ascii="Book Antiqua" w:hAnsi="Book Antiqua"/>
          <w:sz w:val="24"/>
          <w:szCs w:val="24"/>
          <w:vertAlign w:val="superscript"/>
        </w:rPr>
        <w:t>[15]</w:t>
      </w:r>
      <w:r w:rsidR="00AE1640" w:rsidRPr="00E607BC">
        <w:rPr>
          <w:rFonts w:ascii="Book Antiqua" w:hAnsi="Book Antiqua"/>
          <w:sz w:val="24"/>
          <w:szCs w:val="24"/>
        </w:rPr>
        <w:t>?</w:t>
      </w:r>
      <w:r w:rsidR="00486697" w:rsidRPr="00E607BC">
        <w:rPr>
          <w:rFonts w:ascii="Book Antiqua" w:hAnsi="Book Antiqua"/>
          <w:sz w:val="24"/>
          <w:szCs w:val="24"/>
        </w:rPr>
        <w:t xml:space="preserve"> </w:t>
      </w:r>
      <w:r w:rsidR="00AE1640" w:rsidRPr="00E607BC">
        <w:rPr>
          <w:rFonts w:ascii="Book Antiqua" w:hAnsi="Book Antiqua"/>
          <w:sz w:val="24"/>
          <w:szCs w:val="24"/>
        </w:rPr>
        <w:t>There appears to be discussion on whether continuous exercise (on sea level) can raise the erythropoietin levels and therefore erythropoiesis</w:t>
      </w:r>
      <w:r w:rsidR="002950D7" w:rsidRPr="00E607BC">
        <w:rPr>
          <w:rFonts w:ascii="Book Antiqua" w:hAnsi="Book Antiqua"/>
          <w:sz w:val="24"/>
          <w:szCs w:val="24"/>
          <w:vertAlign w:val="superscript"/>
        </w:rPr>
        <w:t>[2</w:t>
      </w:r>
      <w:r w:rsidR="009B0B01" w:rsidRPr="00E607BC">
        <w:rPr>
          <w:rFonts w:ascii="Book Antiqua" w:hAnsi="Book Antiqua"/>
          <w:sz w:val="24"/>
          <w:szCs w:val="24"/>
          <w:vertAlign w:val="superscript"/>
        </w:rPr>
        <w:t>2</w:t>
      </w:r>
      <w:r w:rsidR="002950D7" w:rsidRPr="00E607BC">
        <w:rPr>
          <w:rFonts w:ascii="Book Antiqua" w:hAnsi="Book Antiqua"/>
          <w:sz w:val="24"/>
          <w:szCs w:val="24"/>
          <w:vertAlign w:val="superscript"/>
        </w:rPr>
        <w:t>]</w:t>
      </w:r>
      <w:r w:rsidR="00AE1640" w:rsidRPr="00E607BC">
        <w:rPr>
          <w:rFonts w:ascii="Book Antiqua" w:hAnsi="Book Antiqua"/>
          <w:sz w:val="24"/>
          <w:szCs w:val="24"/>
        </w:rPr>
        <w:t>, thus there may be a way of reconciling the two functions of erythroferrone now described in the literature.</w:t>
      </w:r>
      <w:r w:rsidR="00486697" w:rsidRPr="00E607BC">
        <w:rPr>
          <w:rFonts w:ascii="Book Antiqua" w:hAnsi="Book Antiqua"/>
          <w:sz w:val="24"/>
          <w:szCs w:val="24"/>
        </w:rPr>
        <w:t xml:space="preserve"> </w:t>
      </w:r>
      <w:r w:rsidR="00C673C0" w:rsidRPr="00E607BC">
        <w:rPr>
          <w:rFonts w:ascii="Book Antiqua" w:hAnsi="Book Antiqua"/>
          <w:sz w:val="24"/>
          <w:szCs w:val="24"/>
        </w:rPr>
        <w:t>Furthermore, a peptide stimulating haemoglobin formation in erythropoiesis may also have a role in myosin formation in the muscl</w:t>
      </w:r>
      <w:r w:rsidR="00850774" w:rsidRPr="00E607BC">
        <w:rPr>
          <w:rFonts w:ascii="Book Antiqua" w:hAnsi="Book Antiqua"/>
          <w:sz w:val="24"/>
          <w:szCs w:val="24"/>
        </w:rPr>
        <w:t>e (Figure 2)</w:t>
      </w:r>
      <w:r w:rsidR="00486697" w:rsidRPr="00E607BC">
        <w:rPr>
          <w:rFonts w:ascii="Book Antiqua" w:hAnsi="Book Antiqua"/>
          <w:sz w:val="24"/>
          <w:szCs w:val="24"/>
        </w:rPr>
        <w:t>.</w:t>
      </w:r>
    </w:p>
    <w:p w:rsidR="00486697" w:rsidRPr="00E607BC" w:rsidRDefault="00486697" w:rsidP="00E607BC">
      <w:pPr>
        <w:spacing w:after="0" w:line="360" w:lineRule="auto"/>
        <w:jc w:val="both"/>
        <w:rPr>
          <w:rFonts w:ascii="Book Antiqua" w:hAnsi="Book Antiqua"/>
          <w:sz w:val="24"/>
          <w:szCs w:val="24"/>
        </w:rPr>
      </w:pPr>
    </w:p>
    <w:p w:rsidR="00AE1640" w:rsidRPr="00E607BC" w:rsidRDefault="005C2265" w:rsidP="00E607BC">
      <w:pPr>
        <w:spacing w:after="0" w:line="360" w:lineRule="auto"/>
        <w:jc w:val="both"/>
        <w:rPr>
          <w:rFonts w:ascii="Book Antiqua" w:hAnsi="Book Antiqua"/>
          <w:b/>
          <w:bCs/>
          <w:caps/>
          <w:sz w:val="24"/>
          <w:szCs w:val="24"/>
        </w:rPr>
      </w:pPr>
      <w:r w:rsidRPr="00E607BC">
        <w:rPr>
          <w:rFonts w:ascii="Book Antiqua" w:hAnsi="Book Antiqua"/>
          <w:b/>
          <w:bCs/>
          <w:caps/>
          <w:sz w:val="24"/>
          <w:szCs w:val="24"/>
        </w:rPr>
        <w:t>Regulation of</w:t>
      </w:r>
      <w:r w:rsidR="00AE1640" w:rsidRPr="00E607BC">
        <w:rPr>
          <w:rFonts w:ascii="Book Antiqua" w:hAnsi="Book Antiqua"/>
          <w:b/>
          <w:bCs/>
          <w:caps/>
          <w:sz w:val="24"/>
          <w:szCs w:val="24"/>
        </w:rPr>
        <w:t xml:space="preserve"> erythroferrone </w:t>
      </w:r>
      <w:r w:rsidRPr="00E607BC">
        <w:rPr>
          <w:rFonts w:ascii="Book Antiqua" w:hAnsi="Book Antiqua"/>
          <w:b/>
          <w:bCs/>
          <w:caps/>
          <w:sz w:val="24"/>
          <w:szCs w:val="24"/>
        </w:rPr>
        <w:t>by transferrin receptor 2</w:t>
      </w:r>
    </w:p>
    <w:p w:rsidR="00AE1640" w:rsidRPr="00E607BC" w:rsidRDefault="00AE1640" w:rsidP="00E607BC">
      <w:pPr>
        <w:spacing w:after="0" w:line="360" w:lineRule="auto"/>
        <w:jc w:val="both"/>
        <w:rPr>
          <w:rFonts w:ascii="Book Antiqua" w:hAnsi="Book Antiqua"/>
          <w:sz w:val="24"/>
          <w:szCs w:val="24"/>
        </w:rPr>
      </w:pPr>
      <w:r w:rsidRPr="00E607BC">
        <w:rPr>
          <w:rFonts w:ascii="Book Antiqua" w:hAnsi="Book Antiqua"/>
          <w:sz w:val="24"/>
          <w:szCs w:val="24"/>
        </w:rPr>
        <w:t xml:space="preserve">While preparing this short editorial, </w:t>
      </w:r>
      <w:r w:rsidR="00A6141D" w:rsidRPr="00E607BC">
        <w:rPr>
          <w:rFonts w:ascii="Book Antiqua" w:hAnsi="Book Antiqua"/>
          <w:sz w:val="24"/>
          <w:szCs w:val="24"/>
        </w:rPr>
        <w:t>several</w:t>
      </w:r>
      <w:r w:rsidRPr="00E607BC">
        <w:rPr>
          <w:rFonts w:ascii="Book Antiqua" w:hAnsi="Book Antiqua"/>
          <w:sz w:val="24"/>
          <w:szCs w:val="24"/>
        </w:rPr>
        <w:t xml:space="preserve"> papers were published that provided evidence for a role of transferrin receptor 2</w:t>
      </w:r>
      <w:r w:rsidR="005E3B6D" w:rsidRPr="00E607BC">
        <w:rPr>
          <w:rFonts w:ascii="Book Antiqua" w:hAnsi="Book Antiqua"/>
          <w:sz w:val="24"/>
          <w:szCs w:val="24"/>
        </w:rPr>
        <w:t xml:space="preserve"> </w:t>
      </w:r>
      <w:r w:rsidRPr="00E607BC">
        <w:rPr>
          <w:rFonts w:ascii="Book Antiqua" w:hAnsi="Book Antiqua"/>
          <w:sz w:val="24"/>
          <w:szCs w:val="24"/>
        </w:rPr>
        <w:t xml:space="preserve">in </w:t>
      </w:r>
      <w:r w:rsidR="005C2265" w:rsidRPr="00E607BC">
        <w:rPr>
          <w:rFonts w:ascii="Book Antiqua" w:hAnsi="Book Antiqua"/>
          <w:sz w:val="24"/>
          <w:szCs w:val="24"/>
        </w:rPr>
        <w:t xml:space="preserve">the regulation of </w:t>
      </w:r>
      <w:r w:rsidRPr="00E607BC">
        <w:rPr>
          <w:rFonts w:ascii="Book Antiqua" w:hAnsi="Book Antiqua"/>
          <w:sz w:val="24"/>
          <w:szCs w:val="24"/>
        </w:rPr>
        <w:t>erythropoiesis.</w:t>
      </w:r>
      <w:r w:rsidR="00486697" w:rsidRPr="00E607BC">
        <w:rPr>
          <w:rFonts w:ascii="Book Antiqua" w:hAnsi="Book Antiqua"/>
          <w:sz w:val="24"/>
          <w:szCs w:val="24"/>
        </w:rPr>
        <w:t xml:space="preserve"> </w:t>
      </w:r>
      <w:r w:rsidR="005C2265" w:rsidRPr="00E607BC">
        <w:rPr>
          <w:rFonts w:ascii="Book Antiqua" w:hAnsi="Book Antiqua"/>
          <w:sz w:val="24"/>
          <w:szCs w:val="24"/>
        </w:rPr>
        <w:t xml:space="preserve">Wallace </w:t>
      </w:r>
      <w:r w:rsidR="005C2265" w:rsidRPr="00E607BC">
        <w:rPr>
          <w:rFonts w:ascii="Book Antiqua" w:hAnsi="Book Antiqua"/>
          <w:i/>
          <w:iCs/>
          <w:sz w:val="24"/>
          <w:szCs w:val="24"/>
        </w:rPr>
        <w:t>et al</w:t>
      </w:r>
      <w:r w:rsidR="00486697" w:rsidRPr="00E607BC">
        <w:rPr>
          <w:rFonts w:ascii="Book Antiqua" w:hAnsi="Book Antiqua"/>
          <w:sz w:val="24"/>
          <w:szCs w:val="24"/>
          <w:vertAlign w:val="superscript"/>
        </w:rPr>
        <w:t>[23]</w:t>
      </w:r>
      <w:r w:rsidR="00486697" w:rsidRPr="00E607BC">
        <w:rPr>
          <w:rFonts w:ascii="Book Antiqua" w:hAnsi="Book Antiqua"/>
          <w:sz w:val="24"/>
          <w:szCs w:val="24"/>
        </w:rPr>
        <w:t xml:space="preserve"> </w:t>
      </w:r>
      <w:r w:rsidR="005E3B6D" w:rsidRPr="00E607BC">
        <w:rPr>
          <w:rFonts w:ascii="Book Antiqua" w:hAnsi="Book Antiqua"/>
          <w:sz w:val="24"/>
          <w:szCs w:val="24"/>
        </w:rPr>
        <w:t>reported that mice lacking matriptase-2 and transferrin receptor 2</w:t>
      </w:r>
      <w:r w:rsidR="00360566" w:rsidRPr="00E607BC">
        <w:rPr>
          <w:rFonts w:ascii="Book Antiqua" w:hAnsi="Book Antiqua"/>
          <w:sz w:val="24"/>
          <w:szCs w:val="24"/>
        </w:rPr>
        <w:t xml:space="preserve"> are characterised by severe anaemia.</w:t>
      </w:r>
      <w:r w:rsidR="00486697" w:rsidRPr="00E607BC">
        <w:rPr>
          <w:rFonts w:ascii="Book Antiqua" w:hAnsi="Book Antiqua"/>
          <w:sz w:val="24"/>
          <w:szCs w:val="24"/>
        </w:rPr>
        <w:t xml:space="preserve"> </w:t>
      </w:r>
      <w:r w:rsidR="00360566" w:rsidRPr="00E607BC">
        <w:rPr>
          <w:rFonts w:ascii="Book Antiqua" w:hAnsi="Book Antiqua"/>
          <w:sz w:val="24"/>
          <w:szCs w:val="24"/>
        </w:rPr>
        <w:t>These mice have a significantly increased erythroferrone expression when compared to their wild type litter mates during stress erythropoiesis.</w:t>
      </w:r>
      <w:r w:rsidR="00486697" w:rsidRPr="00E607BC">
        <w:rPr>
          <w:rFonts w:ascii="Book Antiqua" w:hAnsi="Book Antiqua"/>
          <w:sz w:val="24"/>
          <w:szCs w:val="24"/>
        </w:rPr>
        <w:t xml:space="preserve"> </w:t>
      </w:r>
      <w:r w:rsidR="00360566" w:rsidRPr="00E607BC">
        <w:rPr>
          <w:rFonts w:ascii="Book Antiqua" w:hAnsi="Book Antiqua"/>
          <w:sz w:val="24"/>
          <w:szCs w:val="24"/>
        </w:rPr>
        <w:t xml:space="preserve">Similar results were presented by Nai </w:t>
      </w:r>
      <w:r w:rsidR="00360566" w:rsidRPr="00E607BC">
        <w:rPr>
          <w:rFonts w:ascii="Book Antiqua" w:hAnsi="Book Antiqua"/>
          <w:i/>
          <w:iCs/>
          <w:sz w:val="24"/>
          <w:szCs w:val="24"/>
        </w:rPr>
        <w:t>et al</w:t>
      </w:r>
      <w:r w:rsidR="00486697" w:rsidRPr="00E607BC">
        <w:rPr>
          <w:rFonts w:ascii="Book Antiqua" w:hAnsi="Book Antiqua"/>
          <w:sz w:val="24"/>
          <w:szCs w:val="24"/>
          <w:vertAlign w:val="superscript"/>
        </w:rPr>
        <w:t>[24]</w:t>
      </w:r>
      <w:r w:rsidR="00A6141D" w:rsidRPr="00E607BC">
        <w:rPr>
          <w:rFonts w:ascii="Book Antiqua" w:hAnsi="Book Antiqua"/>
          <w:sz w:val="24"/>
          <w:szCs w:val="24"/>
        </w:rPr>
        <w:t xml:space="preserve"> </w:t>
      </w:r>
      <w:r w:rsidR="00C30333" w:rsidRPr="00E607BC">
        <w:rPr>
          <w:rFonts w:ascii="Book Antiqua" w:hAnsi="Book Antiqua"/>
          <w:sz w:val="24"/>
          <w:szCs w:val="24"/>
        </w:rPr>
        <w:t xml:space="preserve">showing that mice lacking both matriptase-2 and transferrin receptor 2 </w:t>
      </w:r>
      <w:r w:rsidR="00837DED" w:rsidRPr="00E607BC">
        <w:rPr>
          <w:rFonts w:ascii="Book Antiqua" w:hAnsi="Book Antiqua"/>
          <w:sz w:val="24"/>
          <w:szCs w:val="24"/>
        </w:rPr>
        <w:t>have increased erythrocyte counts when compared to littermates only lacking matriptase-2.</w:t>
      </w:r>
      <w:r w:rsidR="00486697" w:rsidRPr="00E607BC">
        <w:rPr>
          <w:rFonts w:ascii="Book Antiqua" w:hAnsi="Book Antiqua"/>
          <w:sz w:val="24"/>
          <w:szCs w:val="24"/>
        </w:rPr>
        <w:t xml:space="preserve"> </w:t>
      </w:r>
      <w:r w:rsidR="00837DED" w:rsidRPr="00E607BC">
        <w:rPr>
          <w:rFonts w:ascii="Book Antiqua" w:hAnsi="Book Antiqua"/>
          <w:sz w:val="24"/>
          <w:szCs w:val="24"/>
        </w:rPr>
        <w:t xml:space="preserve">When analysing </w:t>
      </w:r>
      <w:r w:rsidR="00A6141D" w:rsidRPr="00E607BC">
        <w:rPr>
          <w:rFonts w:ascii="Book Antiqua" w:hAnsi="Book Antiqua"/>
          <w:sz w:val="24"/>
          <w:szCs w:val="24"/>
        </w:rPr>
        <w:t>mice</w:t>
      </w:r>
      <w:r w:rsidR="00C005E5" w:rsidRPr="00E607BC">
        <w:rPr>
          <w:rFonts w:ascii="Book Antiqua" w:hAnsi="Book Antiqua"/>
          <w:sz w:val="24"/>
          <w:szCs w:val="24"/>
        </w:rPr>
        <w:t>,</w:t>
      </w:r>
      <w:r w:rsidR="00A6141D" w:rsidRPr="00E607BC">
        <w:rPr>
          <w:rFonts w:ascii="Book Antiqua" w:hAnsi="Book Antiqua"/>
          <w:sz w:val="24"/>
          <w:szCs w:val="24"/>
        </w:rPr>
        <w:t xml:space="preserve"> lacking transferrin receptor 2 in the bone marrow</w:t>
      </w:r>
      <w:r w:rsidR="00837DED" w:rsidRPr="00E607BC">
        <w:rPr>
          <w:rFonts w:ascii="Book Antiqua" w:hAnsi="Book Antiqua"/>
          <w:sz w:val="24"/>
          <w:szCs w:val="24"/>
        </w:rPr>
        <w:t xml:space="preserve"> only, Nai </w:t>
      </w:r>
      <w:r w:rsidR="00837DED" w:rsidRPr="00E607BC">
        <w:rPr>
          <w:rFonts w:ascii="Book Antiqua" w:hAnsi="Book Antiqua"/>
          <w:i/>
          <w:iCs/>
          <w:sz w:val="24"/>
          <w:szCs w:val="24"/>
        </w:rPr>
        <w:t>et al</w:t>
      </w:r>
      <w:r w:rsidR="00486697" w:rsidRPr="00E607BC">
        <w:rPr>
          <w:rFonts w:ascii="Book Antiqua" w:hAnsi="Book Antiqua"/>
          <w:sz w:val="24"/>
          <w:szCs w:val="24"/>
          <w:vertAlign w:val="superscript"/>
        </w:rPr>
        <w:t>[25]</w:t>
      </w:r>
      <w:r w:rsidR="00486697" w:rsidRPr="00E607BC">
        <w:rPr>
          <w:rFonts w:ascii="Book Antiqua" w:hAnsi="Book Antiqua"/>
          <w:sz w:val="24"/>
          <w:szCs w:val="24"/>
        </w:rPr>
        <w:t xml:space="preserve"> </w:t>
      </w:r>
      <w:r w:rsidR="00837DED" w:rsidRPr="00E607BC">
        <w:rPr>
          <w:rFonts w:ascii="Book Antiqua" w:hAnsi="Book Antiqua"/>
          <w:sz w:val="24"/>
          <w:szCs w:val="24"/>
        </w:rPr>
        <w:t>reported that these mice exhibit increased numbers of nucleated erythroid cells in the bone marrow and increased erythroferrone levels</w:t>
      </w:r>
      <w:r w:rsidR="00C005E5" w:rsidRPr="00E607BC">
        <w:rPr>
          <w:rFonts w:ascii="Book Antiqua" w:hAnsi="Book Antiqua"/>
          <w:sz w:val="24"/>
          <w:szCs w:val="24"/>
        </w:rPr>
        <w:t xml:space="preserve"> in the spleen and in erythroid precursors</w:t>
      </w:r>
      <w:r w:rsidR="00837DED" w:rsidRPr="00E607BC">
        <w:rPr>
          <w:rFonts w:ascii="Book Antiqua" w:hAnsi="Book Antiqua"/>
          <w:sz w:val="24"/>
          <w:szCs w:val="24"/>
        </w:rPr>
        <w:t>.</w:t>
      </w:r>
    </w:p>
    <w:p w:rsidR="00486697" w:rsidRPr="00E607BC" w:rsidRDefault="00486697" w:rsidP="00E607BC">
      <w:pPr>
        <w:spacing w:after="0" w:line="360" w:lineRule="auto"/>
        <w:jc w:val="both"/>
        <w:rPr>
          <w:rFonts w:ascii="Book Antiqua" w:hAnsi="Book Antiqua"/>
          <w:sz w:val="24"/>
          <w:szCs w:val="24"/>
        </w:rPr>
      </w:pPr>
    </w:p>
    <w:p w:rsidR="006E288B" w:rsidRPr="00E607BC" w:rsidRDefault="00C005E5" w:rsidP="00E607BC">
      <w:pPr>
        <w:spacing w:after="0" w:line="360" w:lineRule="auto"/>
        <w:jc w:val="both"/>
        <w:rPr>
          <w:rFonts w:ascii="Book Antiqua" w:hAnsi="Book Antiqua"/>
          <w:b/>
          <w:bCs/>
          <w:caps/>
          <w:sz w:val="24"/>
          <w:szCs w:val="24"/>
        </w:rPr>
      </w:pPr>
      <w:r w:rsidRPr="00E607BC">
        <w:rPr>
          <w:rFonts w:ascii="Book Antiqua" w:hAnsi="Book Antiqua"/>
          <w:b/>
          <w:bCs/>
          <w:caps/>
          <w:sz w:val="24"/>
          <w:szCs w:val="24"/>
        </w:rPr>
        <w:t>Conclusion</w:t>
      </w:r>
    </w:p>
    <w:p w:rsidR="00C005E5" w:rsidRPr="00E607BC" w:rsidRDefault="00C005E5" w:rsidP="00E607BC">
      <w:pPr>
        <w:spacing w:after="0" w:line="360" w:lineRule="auto"/>
        <w:jc w:val="both"/>
        <w:rPr>
          <w:rFonts w:ascii="Book Antiqua" w:hAnsi="Book Antiqua"/>
          <w:sz w:val="24"/>
          <w:szCs w:val="24"/>
        </w:rPr>
      </w:pPr>
      <w:r w:rsidRPr="00E607BC">
        <w:rPr>
          <w:rFonts w:ascii="Book Antiqua" w:hAnsi="Book Antiqua"/>
          <w:sz w:val="24"/>
          <w:szCs w:val="24"/>
        </w:rPr>
        <w:t xml:space="preserve">C1q </w:t>
      </w:r>
      <w:r w:rsidR="0077007A" w:rsidRPr="00E607BC">
        <w:rPr>
          <w:rFonts w:ascii="Book Antiqua" w:hAnsi="Book Antiqua"/>
          <w:sz w:val="24"/>
          <w:szCs w:val="24"/>
        </w:rPr>
        <w:t>tumour</w:t>
      </w:r>
      <w:r w:rsidRPr="00E607BC">
        <w:rPr>
          <w:rFonts w:ascii="Book Antiqua" w:hAnsi="Book Antiqua"/>
          <w:sz w:val="24"/>
          <w:szCs w:val="24"/>
        </w:rPr>
        <w:t xml:space="preserve"> necrosis factor α-related protein isoform 15, originally called myonectin and now referred to as erythrofer</w:t>
      </w:r>
      <w:r w:rsidR="0077007A" w:rsidRPr="00E607BC">
        <w:rPr>
          <w:rFonts w:ascii="Book Antiqua" w:hAnsi="Book Antiqua"/>
          <w:sz w:val="24"/>
          <w:szCs w:val="24"/>
        </w:rPr>
        <w:t>r</w:t>
      </w:r>
      <w:r w:rsidRPr="00E607BC">
        <w:rPr>
          <w:rFonts w:ascii="Book Antiqua" w:hAnsi="Book Antiqua"/>
          <w:sz w:val="24"/>
          <w:szCs w:val="24"/>
        </w:rPr>
        <w:t xml:space="preserve">one, appears to play two different regulatory roles; that of a myokine and that of an </w:t>
      </w:r>
      <w:r w:rsidR="00461E44" w:rsidRPr="00E607BC">
        <w:rPr>
          <w:rFonts w:ascii="Book Antiqua" w:hAnsi="Book Antiqua"/>
          <w:sz w:val="24"/>
          <w:szCs w:val="24"/>
        </w:rPr>
        <w:t xml:space="preserve">erythroid </w:t>
      </w:r>
      <w:r w:rsidRPr="00E607BC">
        <w:rPr>
          <w:rFonts w:ascii="Book Antiqua" w:hAnsi="Book Antiqua"/>
          <w:sz w:val="24"/>
          <w:szCs w:val="24"/>
        </w:rPr>
        <w:t>regulator of iron.</w:t>
      </w:r>
      <w:r w:rsidR="00486697" w:rsidRPr="00E607BC">
        <w:rPr>
          <w:rFonts w:ascii="Book Antiqua" w:hAnsi="Book Antiqua"/>
          <w:sz w:val="24"/>
          <w:szCs w:val="24"/>
        </w:rPr>
        <w:t xml:space="preserve"> </w:t>
      </w:r>
      <w:r w:rsidR="00850774" w:rsidRPr="00E607BC">
        <w:rPr>
          <w:rFonts w:ascii="Book Antiqua" w:hAnsi="Book Antiqua"/>
          <w:sz w:val="24"/>
          <w:szCs w:val="24"/>
        </w:rPr>
        <w:t>On the whole, evidence for its function as erythroid regulator of iron appears to be stronger than that of its function as myonectin.</w:t>
      </w:r>
      <w:r w:rsidR="00486697" w:rsidRPr="00E607BC">
        <w:rPr>
          <w:rFonts w:ascii="Book Antiqua" w:hAnsi="Book Antiqua"/>
          <w:sz w:val="24"/>
          <w:szCs w:val="24"/>
        </w:rPr>
        <w:t xml:space="preserve"> </w:t>
      </w:r>
      <w:r w:rsidR="00461E44" w:rsidRPr="00E607BC">
        <w:rPr>
          <w:rFonts w:ascii="Book Antiqua" w:hAnsi="Book Antiqua"/>
          <w:sz w:val="24"/>
          <w:szCs w:val="24"/>
        </w:rPr>
        <w:t>Tran</w:t>
      </w:r>
      <w:r w:rsidR="0077007A" w:rsidRPr="00E607BC">
        <w:rPr>
          <w:rFonts w:ascii="Book Antiqua" w:hAnsi="Book Antiqua"/>
          <w:sz w:val="24"/>
          <w:szCs w:val="24"/>
        </w:rPr>
        <w:t>s</w:t>
      </w:r>
      <w:r w:rsidR="00461E44" w:rsidRPr="00E607BC">
        <w:rPr>
          <w:rFonts w:ascii="Book Antiqua" w:hAnsi="Book Antiqua"/>
          <w:sz w:val="24"/>
          <w:szCs w:val="24"/>
        </w:rPr>
        <w:t xml:space="preserve">ferrin receptor 2 </w:t>
      </w:r>
      <w:r w:rsidR="0077007A" w:rsidRPr="00E607BC">
        <w:rPr>
          <w:rFonts w:ascii="Book Antiqua" w:hAnsi="Book Antiqua"/>
          <w:sz w:val="24"/>
          <w:szCs w:val="24"/>
        </w:rPr>
        <w:t>also plays a regulatory role in erythropoiesis, down-regulating erythroferrone and thereby erythropoiesis.</w:t>
      </w:r>
      <w:r w:rsidR="00486697" w:rsidRPr="00E607BC">
        <w:rPr>
          <w:rFonts w:ascii="Book Antiqua" w:hAnsi="Book Antiqua"/>
          <w:sz w:val="24"/>
          <w:szCs w:val="24"/>
        </w:rPr>
        <w:t xml:space="preserve"> </w:t>
      </w:r>
      <w:r w:rsidR="0077007A" w:rsidRPr="00E607BC">
        <w:rPr>
          <w:rFonts w:ascii="Book Antiqua" w:hAnsi="Book Antiqua"/>
          <w:sz w:val="24"/>
          <w:szCs w:val="24"/>
        </w:rPr>
        <w:t>Transferrin receptor 2 may be involved in the iron sensing that results in the regulation of red blood cell formation.</w:t>
      </w:r>
    </w:p>
    <w:p w:rsidR="00486697" w:rsidRPr="00E607BC" w:rsidRDefault="00486697" w:rsidP="00E607BC">
      <w:pPr>
        <w:spacing w:after="0" w:line="360" w:lineRule="auto"/>
        <w:jc w:val="both"/>
        <w:rPr>
          <w:rFonts w:ascii="Book Antiqua" w:hAnsi="Book Antiqua"/>
          <w:sz w:val="24"/>
          <w:szCs w:val="24"/>
        </w:rPr>
      </w:pPr>
    </w:p>
    <w:p w:rsidR="006D4365" w:rsidRPr="00E607BC" w:rsidRDefault="00486697" w:rsidP="00E607BC">
      <w:pPr>
        <w:spacing w:after="0" w:line="360" w:lineRule="auto"/>
        <w:jc w:val="both"/>
        <w:rPr>
          <w:rFonts w:ascii="Book Antiqua" w:hAnsi="Book Antiqua"/>
          <w:b/>
          <w:sz w:val="24"/>
          <w:szCs w:val="24"/>
        </w:rPr>
      </w:pPr>
      <w:r w:rsidRPr="00E607BC">
        <w:rPr>
          <w:rFonts w:ascii="Book Antiqua" w:hAnsi="Book Antiqua"/>
          <w:b/>
          <w:sz w:val="24"/>
          <w:szCs w:val="24"/>
        </w:rPr>
        <w:t>REFERENCES</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 </w:t>
      </w:r>
      <w:r w:rsidRPr="008F27F5">
        <w:rPr>
          <w:rFonts w:ascii="Book Antiqua" w:eastAsia="宋体" w:hAnsi="Book Antiqua" w:cs="宋体"/>
          <w:b/>
          <w:bCs/>
          <w:sz w:val="24"/>
          <w:szCs w:val="24"/>
        </w:rPr>
        <w:t>Lawen A</w:t>
      </w:r>
      <w:r w:rsidRPr="008F27F5">
        <w:rPr>
          <w:rFonts w:ascii="Book Antiqua" w:eastAsia="宋体" w:hAnsi="Book Antiqua" w:cs="宋体"/>
          <w:sz w:val="24"/>
          <w:szCs w:val="24"/>
        </w:rPr>
        <w:t xml:space="preserve">, Lane DJ. Mammalian iron homeostasis in health and disease: uptake, storage, transport, and molecular mechanisms of action. </w:t>
      </w:r>
      <w:r w:rsidRPr="008F27F5">
        <w:rPr>
          <w:rFonts w:ascii="Book Antiqua" w:eastAsia="宋体" w:hAnsi="Book Antiqua" w:cs="宋体"/>
          <w:i/>
          <w:iCs/>
          <w:sz w:val="24"/>
          <w:szCs w:val="24"/>
        </w:rPr>
        <w:t>Antioxid Redox Signal</w:t>
      </w:r>
      <w:r w:rsidRPr="008F27F5">
        <w:rPr>
          <w:rFonts w:ascii="Book Antiqua" w:eastAsia="宋体" w:hAnsi="Book Antiqua" w:cs="宋体"/>
          <w:sz w:val="24"/>
          <w:szCs w:val="24"/>
        </w:rPr>
        <w:t xml:space="preserve"> 2013; </w:t>
      </w:r>
      <w:r w:rsidRPr="008F27F5">
        <w:rPr>
          <w:rFonts w:ascii="Book Antiqua" w:eastAsia="宋体" w:hAnsi="Book Antiqua" w:cs="宋体"/>
          <w:b/>
          <w:bCs/>
          <w:sz w:val="24"/>
          <w:szCs w:val="24"/>
        </w:rPr>
        <w:t>18</w:t>
      </w:r>
      <w:r w:rsidRPr="008F27F5">
        <w:rPr>
          <w:rFonts w:ascii="Book Antiqua" w:eastAsia="宋体" w:hAnsi="Book Antiqua" w:cs="宋体"/>
          <w:sz w:val="24"/>
          <w:szCs w:val="24"/>
        </w:rPr>
        <w:t>: 2473-2507 [PMID: 2319</w:t>
      </w:r>
      <w:r w:rsidRPr="00E607BC">
        <w:rPr>
          <w:rFonts w:ascii="Book Antiqua" w:eastAsia="宋体" w:hAnsi="Book Antiqua" w:cs="宋体"/>
          <w:sz w:val="24"/>
          <w:szCs w:val="24"/>
        </w:rPr>
        <w:t>9217 DOI: 10.1089/ars.2011.4271</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2 </w:t>
      </w:r>
      <w:r w:rsidRPr="008F27F5">
        <w:rPr>
          <w:rFonts w:ascii="Book Antiqua" w:eastAsia="宋体" w:hAnsi="Book Antiqua" w:cs="宋体"/>
          <w:b/>
          <w:bCs/>
          <w:sz w:val="24"/>
          <w:szCs w:val="24"/>
        </w:rPr>
        <w:t>Chua AC</w:t>
      </w:r>
      <w:r w:rsidRPr="008F27F5">
        <w:rPr>
          <w:rFonts w:ascii="Book Antiqua" w:eastAsia="宋体" w:hAnsi="Book Antiqua" w:cs="宋体"/>
          <w:sz w:val="24"/>
          <w:szCs w:val="24"/>
        </w:rPr>
        <w:t xml:space="preserve">, Graham RM, Trinder D, Olynyk JK. The regulation of cellular iron metabolism. </w:t>
      </w:r>
      <w:r w:rsidRPr="008F27F5">
        <w:rPr>
          <w:rFonts w:ascii="Book Antiqua" w:eastAsia="宋体" w:hAnsi="Book Antiqua" w:cs="宋体"/>
          <w:i/>
          <w:iCs/>
          <w:sz w:val="24"/>
          <w:szCs w:val="24"/>
        </w:rPr>
        <w:t>Crit Rev Clin Lab Sci</w:t>
      </w:r>
      <w:r w:rsidRPr="008F27F5">
        <w:rPr>
          <w:rFonts w:ascii="Book Antiqua" w:eastAsia="宋体" w:hAnsi="Book Antiqua" w:cs="宋体"/>
          <w:sz w:val="24"/>
          <w:szCs w:val="24"/>
        </w:rPr>
        <w:t xml:space="preserve"> 2007; </w:t>
      </w:r>
      <w:r w:rsidRPr="008F27F5">
        <w:rPr>
          <w:rFonts w:ascii="Book Antiqua" w:eastAsia="宋体" w:hAnsi="Book Antiqua" w:cs="宋体"/>
          <w:b/>
          <w:bCs/>
          <w:sz w:val="24"/>
          <w:szCs w:val="24"/>
        </w:rPr>
        <w:t>44</w:t>
      </w:r>
      <w:r w:rsidRPr="008F27F5">
        <w:rPr>
          <w:rFonts w:ascii="Book Antiqua" w:eastAsia="宋体" w:hAnsi="Book Antiqua" w:cs="宋体"/>
          <w:sz w:val="24"/>
          <w:szCs w:val="24"/>
        </w:rPr>
        <w:t>: 413-459 [PMID: 17943492 DOI: 10.1080/104083607014</w:t>
      </w:r>
      <w:r w:rsidRPr="00E607BC">
        <w:rPr>
          <w:rFonts w:ascii="Book Antiqua" w:eastAsia="宋体" w:hAnsi="Book Antiqua" w:cs="宋体"/>
          <w:sz w:val="24"/>
          <w:szCs w:val="24"/>
        </w:rPr>
        <w:t>28257</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3 </w:t>
      </w:r>
      <w:r w:rsidRPr="008F27F5">
        <w:rPr>
          <w:rFonts w:ascii="Book Antiqua" w:eastAsia="宋体" w:hAnsi="Book Antiqua" w:cs="宋体"/>
          <w:b/>
          <w:bCs/>
          <w:sz w:val="24"/>
          <w:szCs w:val="24"/>
        </w:rPr>
        <w:t>Finch C</w:t>
      </w:r>
      <w:r w:rsidRPr="008F27F5">
        <w:rPr>
          <w:rFonts w:ascii="Book Antiqua" w:eastAsia="宋体" w:hAnsi="Book Antiqua" w:cs="宋体"/>
          <w:sz w:val="24"/>
          <w:szCs w:val="24"/>
        </w:rPr>
        <w:t xml:space="preserve">. Regulators of iron balance in humans. </w:t>
      </w:r>
      <w:r w:rsidRPr="008F27F5">
        <w:rPr>
          <w:rFonts w:ascii="Book Antiqua" w:eastAsia="宋体" w:hAnsi="Book Antiqua" w:cs="宋体"/>
          <w:i/>
          <w:iCs/>
          <w:sz w:val="24"/>
          <w:szCs w:val="24"/>
        </w:rPr>
        <w:t>Blood</w:t>
      </w:r>
      <w:r w:rsidRPr="008F27F5">
        <w:rPr>
          <w:rFonts w:ascii="Book Antiqua" w:eastAsia="宋体" w:hAnsi="Book Antiqua" w:cs="宋体"/>
          <w:sz w:val="24"/>
          <w:szCs w:val="24"/>
        </w:rPr>
        <w:t xml:space="preserve"> 1994; </w:t>
      </w:r>
      <w:r w:rsidRPr="008F27F5">
        <w:rPr>
          <w:rFonts w:ascii="Book Antiqua" w:eastAsia="宋体" w:hAnsi="Book Antiqua" w:cs="宋体"/>
          <w:b/>
          <w:bCs/>
          <w:sz w:val="24"/>
          <w:szCs w:val="24"/>
        </w:rPr>
        <w:t>84</w:t>
      </w:r>
      <w:r w:rsidRPr="008F27F5">
        <w:rPr>
          <w:rFonts w:ascii="Book Antiqua" w:eastAsia="宋体" w:hAnsi="Book Antiqua" w:cs="宋体"/>
          <w:sz w:val="24"/>
          <w:szCs w:val="24"/>
        </w:rPr>
        <w:t>: 1697-1702 [PMID: 8080980]</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4 </w:t>
      </w:r>
      <w:r w:rsidRPr="00E607BC">
        <w:rPr>
          <w:rFonts w:ascii="Book Antiqua" w:eastAsia="宋体" w:hAnsi="Book Antiqua" w:cs="宋体"/>
          <w:b/>
          <w:bCs/>
          <w:sz w:val="24"/>
          <w:szCs w:val="24"/>
        </w:rPr>
        <w:t xml:space="preserve">Bothwell </w:t>
      </w:r>
      <w:r w:rsidRPr="008F27F5">
        <w:rPr>
          <w:rFonts w:ascii="Book Antiqua" w:eastAsia="宋体" w:hAnsi="Book Antiqua" w:cs="宋体"/>
          <w:b/>
          <w:bCs/>
          <w:sz w:val="24"/>
          <w:szCs w:val="24"/>
        </w:rPr>
        <w:t>TH</w:t>
      </w:r>
      <w:r w:rsidRPr="008F27F5">
        <w:rPr>
          <w:rFonts w:ascii="Book Antiqua" w:eastAsia="宋体" w:hAnsi="Book Antiqua" w:cs="宋体"/>
          <w:sz w:val="24"/>
          <w:szCs w:val="24"/>
        </w:rPr>
        <w:t xml:space="preserve">, </w:t>
      </w:r>
      <w:r w:rsidRPr="00E607BC">
        <w:rPr>
          <w:rFonts w:ascii="Book Antiqua" w:eastAsia="宋体" w:hAnsi="Book Antiqua" w:cs="宋体"/>
          <w:sz w:val="24"/>
          <w:szCs w:val="24"/>
        </w:rPr>
        <w:t>Pirzio</w:t>
      </w:r>
      <w:r w:rsidRPr="008F27F5">
        <w:rPr>
          <w:rFonts w:ascii="Book Antiqua" w:eastAsia="宋体" w:hAnsi="Book Antiqua" w:cs="宋体"/>
          <w:sz w:val="24"/>
          <w:szCs w:val="24"/>
        </w:rPr>
        <w:t>-</w:t>
      </w:r>
      <w:r w:rsidRPr="00E607BC">
        <w:rPr>
          <w:rFonts w:ascii="Book Antiqua" w:eastAsia="宋体" w:hAnsi="Book Antiqua" w:cs="宋体"/>
          <w:sz w:val="24"/>
          <w:szCs w:val="24"/>
        </w:rPr>
        <w:t xml:space="preserve">Biroli </w:t>
      </w:r>
      <w:r w:rsidRPr="008F27F5">
        <w:rPr>
          <w:rFonts w:ascii="Book Antiqua" w:eastAsia="宋体" w:hAnsi="Book Antiqua" w:cs="宋体"/>
          <w:sz w:val="24"/>
          <w:szCs w:val="24"/>
        </w:rPr>
        <w:t xml:space="preserve">G, </w:t>
      </w:r>
      <w:r w:rsidRPr="00E607BC">
        <w:rPr>
          <w:rFonts w:ascii="Book Antiqua" w:eastAsia="宋体" w:hAnsi="Book Antiqua" w:cs="宋体"/>
          <w:sz w:val="24"/>
          <w:szCs w:val="24"/>
        </w:rPr>
        <w:t xml:space="preserve">Finch </w:t>
      </w:r>
      <w:r w:rsidRPr="008F27F5">
        <w:rPr>
          <w:rFonts w:ascii="Book Antiqua" w:eastAsia="宋体" w:hAnsi="Book Antiqua" w:cs="宋体"/>
          <w:sz w:val="24"/>
          <w:szCs w:val="24"/>
        </w:rPr>
        <w:t xml:space="preserve">CA. Iron absorption. I. Factors influencing absorption. </w:t>
      </w:r>
      <w:r w:rsidRPr="008F27F5">
        <w:rPr>
          <w:rFonts w:ascii="Book Antiqua" w:eastAsia="宋体" w:hAnsi="Book Antiqua" w:cs="宋体"/>
          <w:i/>
          <w:iCs/>
          <w:sz w:val="24"/>
          <w:szCs w:val="24"/>
        </w:rPr>
        <w:t>J Lab Clin Med</w:t>
      </w:r>
      <w:r w:rsidRPr="008F27F5">
        <w:rPr>
          <w:rFonts w:ascii="Book Antiqua" w:eastAsia="宋体" w:hAnsi="Book Antiqua" w:cs="宋体"/>
          <w:sz w:val="24"/>
          <w:szCs w:val="24"/>
        </w:rPr>
        <w:t xml:space="preserve"> 1958; </w:t>
      </w:r>
      <w:r w:rsidRPr="008F27F5">
        <w:rPr>
          <w:rFonts w:ascii="Book Antiqua" w:eastAsia="宋体" w:hAnsi="Book Antiqua" w:cs="宋体"/>
          <w:b/>
          <w:bCs/>
          <w:sz w:val="24"/>
          <w:szCs w:val="24"/>
        </w:rPr>
        <w:t>51</w:t>
      </w:r>
      <w:r w:rsidRPr="008F27F5">
        <w:rPr>
          <w:rFonts w:ascii="Book Antiqua" w:eastAsia="宋体" w:hAnsi="Book Antiqua" w:cs="宋体"/>
          <w:sz w:val="24"/>
          <w:szCs w:val="24"/>
        </w:rPr>
        <w:t>: 24-36 [PMID: 13514204]</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5 </w:t>
      </w:r>
      <w:r w:rsidRPr="008F27F5">
        <w:rPr>
          <w:rFonts w:ascii="Book Antiqua" w:eastAsia="宋体" w:hAnsi="Book Antiqua" w:cs="宋体"/>
          <w:b/>
          <w:bCs/>
          <w:sz w:val="24"/>
          <w:szCs w:val="24"/>
        </w:rPr>
        <w:t>Ganz T</w:t>
      </w:r>
      <w:r w:rsidRPr="008F27F5">
        <w:rPr>
          <w:rFonts w:ascii="Book Antiqua" w:eastAsia="宋体" w:hAnsi="Book Antiqua" w:cs="宋体"/>
          <w:sz w:val="24"/>
          <w:szCs w:val="24"/>
        </w:rPr>
        <w:t xml:space="preserve">. Hepcidin and iron regulation, 10 years later. </w:t>
      </w:r>
      <w:r w:rsidRPr="008F27F5">
        <w:rPr>
          <w:rFonts w:ascii="Book Antiqua" w:eastAsia="宋体" w:hAnsi="Book Antiqua" w:cs="宋体"/>
          <w:i/>
          <w:iCs/>
          <w:sz w:val="24"/>
          <w:szCs w:val="24"/>
        </w:rPr>
        <w:t>Blood</w:t>
      </w:r>
      <w:r w:rsidRPr="008F27F5">
        <w:rPr>
          <w:rFonts w:ascii="Book Antiqua" w:eastAsia="宋体" w:hAnsi="Book Antiqua" w:cs="宋体"/>
          <w:sz w:val="24"/>
          <w:szCs w:val="24"/>
        </w:rPr>
        <w:t xml:space="preserve"> 2011; </w:t>
      </w:r>
      <w:r w:rsidRPr="008F27F5">
        <w:rPr>
          <w:rFonts w:ascii="Book Antiqua" w:eastAsia="宋体" w:hAnsi="Book Antiqua" w:cs="宋体"/>
          <w:b/>
          <w:bCs/>
          <w:sz w:val="24"/>
          <w:szCs w:val="24"/>
        </w:rPr>
        <w:t>117</w:t>
      </w:r>
      <w:r w:rsidRPr="008F27F5">
        <w:rPr>
          <w:rFonts w:ascii="Book Antiqua" w:eastAsia="宋体" w:hAnsi="Book Antiqua" w:cs="宋体"/>
          <w:sz w:val="24"/>
          <w:szCs w:val="24"/>
        </w:rPr>
        <w:t>: 4425-4433 [PMID: 21346250 DO</w:t>
      </w:r>
      <w:r w:rsidRPr="00E607BC">
        <w:rPr>
          <w:rFonts w:ascii="Book Antiqua" w:eastAsia="宋体" w:hAnsi="Book Antiqua" w:cs="宋体"/>
          <w:sz w:val="24"/>
          <w:szCs w:val="24"/>
        </w:rPr>
        <w:t>I: 10.1182/blood-2011-01-258467</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6 </w:t>
      </w:r>
      <w:r w:rsidRPr="008F27F5">
        <w:rPr>
          <w:rFonts w:ascii="Book Antiqua" w:eastAsia="宋体" w:hAnsi="Book Antiqua" w:cs="宋体"/>
          <w:b/>
          <w:bCs/>
          <w:sz w:val="24"/>
          <w:szCs w:val="24"/>
        </w:rPr>
        <w:t>Krause A</w:t>
      </w:r>
      <w:r w:rsidRPr="008F27F5">
        <w:rPr>
          <w:rFonts w:ascii="Book Antiqua" w:eastAsia="宋体" w:hAnsi="Book Antiqua" w:cs="宋体"/>
          <w:sz w:val="24"/>
          <w:szCs w:val="24"/>
        </w:rPr>
        <w:t xml:space="preserve">, Neitz S, Mägert HJ, Schulz A, Forssmann WG, Schulz-Knappe P, Adermann K. LEAP-1, a novel highly disulfide-bonded human peptide, exhibits antimicrobial activity. </w:t>
      </w:r>
      <w:r w:rsidRPr="008F27F5">
        <w:rPr>
          <w:rFonts w:ascii="Book Antiqua" w:eastAsia="宋体" w:hAnsi="Book Antiqua" w:cs="宋体"/>
          <w:i/>
          <w:iCs/>
          <w:sz w:val="24"/>
          <w:szCs w:val="24"/>
        </w:rPr>
        <w:t>FEBS Lett</w:t>
      </w:r>
      <w:r w:rsidRPr="008F27F5">
        <w:rPr>
          <w:rFonts w:ascii="Book Antiqua" w:eastAsia="宋体" w:hAnsi="Book Antiqua" w:cs="宋体"/>
          <w:sz w:val="24"/>
          <w:szCs w:val="24"/>
        </w:rPr>
        <w:t xml:space="preserve"> 2000; </w:t>
      </w:r>
      <w:r w:rsidRPr="008F27F5">
        <w:rPr>
          <w:rFonts w:ascii="Book Antiqua" w:eastAsia="宋体" w:hAnsi="Book Antiqua" w:cs="宋体"/>
          <w:b/>
          <w:bCs/>
          <w:sz w:val="24"/>
          <w:szCs w:val="24"/>
        </w:rPr>
        <w:t>480</w:t>
      </w:r>
      <w:r w:rsidRPr="008F27F5">
        <w:rPr>
          <w:rFonts w:ascii="Book Antiqua" w:eastAsia="宋体" w:hAnsi="Book Antiqua" w:cs="宋体"/>
          <w:sz w:val="24"/>
          <w:szCs w:val="24"/>
        </w:rPr>
        <w:t>: 147-150 [PMID: 11034317 DOI</w:t>
      </w:r>
      <w:r w:rsidRPr="00E607BC">
        <w:rPr>
          <w:rFonts w:ascii="Book Antiqua" w:eastAsia="宋体" w:hAnsi="Book Antiqua" w:cs="宋体"/>
          <w:sz w:val="24"/>
          <w:szCs w:val="24"/>
        </w:rPr>
        <w:t>: 10.1016/S0014-5793(00)01920-7</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7 </w:t>
      </w:r>
      <w:r w:rsidRPr="008F27F5">
        <w:rPr>
          <w:rFonts w:ascii="Book Antiqua" w:eastAsia="宋体" w:hAnsi="Book Antiqua" w:cs="宋体"/>
          <w:b/>
          <w:bCs/>
          <w:sz w:val="24"/>
          <w:szCs w:val="24"/>
        </w:rPr>
        <w:t>Park CH</w:t>
      </w:r>
      <w:r w:rsidRPr="008F27F5">
        <w:rPr>
          <w:rFonts w:ascii="Book Antiqua" w:eastAsia="宋体" w:hAnsi="Book Antiqua" w:cs="宋体"/>
          <w:sz w:val="24"/>
          <w:szCs w:val="24"/>
        </w:rPr>
        <w:t xml:space="preserve">, Valore EV, Waring AJ, Ganz T. Hepcidin, a urinary antimicrobial peptide synthesized in the liver. </w:t>
      </w:r>
      <w:r w:rsidRPr="008F27F5">
        <w:rPr>
          <w:rFonts w:ascii="Book Antiqua" w:eastAsia="宋体" w:hAnsi="Book Antiqua" w:cs="宋体"/>
          <w:i/>
          <w:iCs/>
          <w:sz w:val="24"/>
          <w:szCs w:val="24"/>
        </w:rPr>
        <w:t>J Biol Chem</w:t>
      </w:r>
      <w:r w:rsidRPr="008F27F5">
        <w:rPr>
          <w:rFonts w:ascii="Book Antiqua" w:eastAsia="宋体" w:hAnsi="Book Antiqua" w:cs="宋体"/>
          <w:sz w:val="24"/>
          <w:szCs w:val="24"/>
        </w:rPr>
        <w:t xml:space="preserve"> 2001; </w:t>
      </w:r>
      <w:r w:rsidRPr="008F27F5">
        <w:rPr>
          <w:rFonts w:ascii="Book Antiqua" w:eastAsia="宋体" w:hAnsi="Book Antiqua" w:cs="宋体"/>
          <w:b/>
          <w:bCs/>
          <w:sz w:val="24"/>
          <w:szCs w:val="24"/>
        </w:rPr>
        <w:t>276</w:t>
      </w:r>
      <w:r w:rsidRPr="008F27F5">
        <w:rPr>
          <w:rFonts w:ascii="Book Antiqua" w:eastAsia="宋体" w:hAnsi="Book Antiqua" w:cs="宋体"/>
          <w:sz w:val="24"/>
          <w:szCs w:val="24"/>
        </w:rPr>
        <w:t>: 7806-7810 [PMID: 11113</w:t>
      </w:r>
      <w:r w:rsidRPr="00E607BC">
        <w:rPr>
          <w:rFonts w:ascii="Book Antiqua" w:eastAsia="宋体" w:hAnsi="Book Antiqua" w:cs="宋体"/>
          <w:sz w:val="24"/>
          <w:szCs w:val="24"/>
        </w:rPr>
        <w:t>131 DOI: 10.1074/jbc.M008922200</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8 </w:t>
      </w:r>
      <w:r w:rsidRPr="008F27F5">
        <w:rPr>
          <w:rFonts w:ascii="Book Antiqua" w:eastAsia="宋体" w:hAnsi="Book Antiqua" w:cs="宋体"/>
          <w:b/>
          <w:bCs/>
          <w:sz w:val="24"/>
          <w:szCs w:val="24"/>
        </w:rPr>
        <w:t>Pigeon C</w:t>
      </w:r>
      <w:r w:rsidRPr="008F27F5">
        <w:rPr>
          <w:rFonts w:ascii="Book Antiqua" w:eastAsia="宋体" w:hAnsi="Book Antiqua" w:cs="宋体"/>
          <w:sz w:val="24"/>
          <w:szCs w:val="24"/>
        </w:rPr>
        <w:t xml:space="preserve">, Ilyin G, Courselaud B, Leroyer P, Turlin B, Brissot P, Loréal O. A new mouse liver-specific gene, encoding a protein homologous to human antimicrobial peptide hepcidin, is overexpressed during iron overload. </w:t>
      </w:r>
      <w:r w:rsidRPr="008F27F5">
        <w:rPr>
          <w:rFonts w:ascii="Book Antiqua" w:eastAsia="宋体" w:hAnsi="Book Antiqua" w:cs="宋体"/>
          <w:i/>
          <w:iCs/>
          <w:sz w:val="24"/>
          <w:szCs w:val="24"/>
        </w:rPr>
        <w:t>J Biol Chem</w:t>
      </w:r>
      <w:r w:rsidRPr="008F27F5">
        <w:rPr>
          <w:rFonts w:ascii="Book Antiqua" w:eastAsia="宋体" w:hAnsi="Book Antiqua" w:cs="宋体"/>
          <w:sz w:val="24"/>
          <w:szCs w:val="24"/>
        </w:rPr>
        <w:t xml:space="preserve"> 2001; </w:t>
      </w:r>
      <w:r w:rsidRPr="008F27F5">
        <w:rPr>
          <w:rFonts w:ascii="Book Antiqua" w:eastAsia="宋体" w:hAnsi="Book Antiqua" w:cs="宋体"/>
          <w:b/>
          <w:bCs/>
          <w:sz w:val="24"/>
          <w:szCs w:val="24"/>
        </w:rPr>
        <w:t>276</w:t>
      </w:r>
      <w:r w:rsidRPr="008F27F5">
        <w:rPr>
          <w:rFonts w:ascii="Book Antiqua" w:eastAsia="宋体" w:hAnsi="Book Antiqua" w:cs="宋体"/>
          <w:sz w:val="24"/>
          <w:szCs w:val="24"/>
        </w:rPr>
        <w:t>: 7811-7819 [PMID: 11113132 DOI: 10.1074/jbc.M008923200]</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9 </w:t>
      </w:r>
      <w:r w:rsidRPr="008F27F5">
        <w:rPr>
          <w:rFonts w:ascii="Book Antiqua" w:eastAsia="宋体" w:hAnsi="Book Antiqua" w:cs="宋体"/>
          <w:b/>
          <w:bCs/>
          <w:sz w:val="24"/>
          <w:szCs w:val="24"/>
        </w:rPr>
        <w:t>Peslova G</w:t>
      </w:r>
      <w:r w:rsidRPr="008F27F5">
        <w:rPr>
          <w:rFonts w:ascii="Book Antiqua" w:eastAsia="宋体" w:hAnsi="Book Antiqua" w:cs="宋体"/>
          <w:sz w:val="24"/>
          <w:szCs w:val="24"/>
        </w:rPr>
        <w:t xml:space="preserve">, Petrak J, Kuzelova K, Hrdy I, Halada P, Kuchel PW, Soe-Lin S, Ponka P, Sutak R, Becker E, Huang ML, Suryo Rahmanto Y, Richardson DR, Vyoral D. Hepcidin, the hormone of iron metabolism, is bound specifically to alpha-2-macroglobulin in blood. </w:t>
      </w:r>
      <w:r w:rsidRPr="008F27F5">
        <w:rPr>
          <w:rFonts w:ascii="Book Antiqua" w:eastAsia="宋体" w:hAnsi="Book Antiqua" w:cs="宋体"/>
          <w:i/>
          <w:iCs/>
          <w:sz w:val="24"/>
          <w:szCs w:val="24"/>
        </w:rPr>
        <w:t>Blood</w:t>
      </w:r>
      <w:r w:rsidRPr="008F27F5">
        <w:rPr>
          <w:rFonts w:ascii="Book Antiqua" w:eastAsia="宋体" w:hAnsi="Book Antiqua" w:cs="宋体"/>
          <w:sz w:val="24"/>
          <w:szCs w:val="24"/>
        </w:rPr>
        <w:t xml:space="preserve"> 2009; </w:t>
      </w:r>
      <w:r w:rsidRPr="008F27F5">
        <w:rPr>
          <w:rFonts w:ascii="Book Antiqua" w:eastAsia="宋体" w:hAnsi="Book Antiqua" w:cs="宋体"/>
          <w:b/>
          <w:bCs/>
          <w:sz w:val="24"/>
          <w:szCs w:val="24"/>
        </w:rPr>
        <w:t>113</w:t>
      </w:r>
      <w:r w:rsidRPr="008F27F5">
        <w:rPr>
          <w:rFonts w:ascii="Book Antiqua" w:eastAsia="宋体" w:hAnsi="Book Antiqua" w:cs="宋体"/>
          <w:sz w:val="24"/>
          <w:szCs w:val="24"/>
        </w:rPr>
        <w:t>: 6225-6236 [PMID: 19380872 DO</w:t>
      </w:r>
      <w:r w:rsidRPr="00E607BC">
        <w:rPr>
          <w:rFonts w:ascii="Book Antiqua" w:eastAsia="宋体" w:hAnsi="Book Antiqua" w:cs="宋体"/>
          <w:sz w:val="24"/>
          <w:szCs w:val="24"/>
        </w:rPr>
        <w:t>I: 10.1182/blood-2009-01-201590</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10 </w:t>
      </w:r>
      <w:r w:rsidRPr="008F27F5">
        <w:rPr>
          <w:rFonts w:ascii="Book Antiqua" w:eastAsia="宋体" w:hAnsi="Book Antiqua" w:cs="宋体"/>
          <w:b/>
          <w:bCs/>
          <w:sz w:val="24"/>
          <w:szCs w:val="24"/>
        </w:rPr>
        <w:t>Tanno T</w:t>
      </w:r>
      <w:r w:rsidRPr="008F27F5">
        <w:rPr>
          <w:rFonts w:ascii="Book Antiqua" w:eastAsia="宋体" w:hAnsi="Book Antiqua" w:cs="宋体"/>
          <w:sz w:val="24"/>
          <w:szCs w:val="24"/>
        </w:rPr>
        <w:t xml:space="preserve">, Bhanu NV, Oneal PA, Goh SH, Staker P, Lee YT, Moroney JW, Reed CH, Luban NL, Wang RH, Eling TE, Childs R, Ganz T, Leitman SF, Fucharoen S, Miller JL. High levels of GDF15 in thalassemia suppress expression of the iron regulatory protein hepcidin. </w:t>
      </w:r>
      <w:r w:rsidRPr="008F27F5">
        <w:rPr>
          <w:rFonts w:ascii="Book Antiqua" w:eastAsia="宋体" w:hAnsi="Book Antiqua" w:cs="宋体"/>
          <w:i/>
          <w:iCs/>
          <w:sz w:val="24"/>
          <w:szCs w:val="24"/>
        </w:rPr>
        <w:t>Nat Med</w:t>
      </w:r>
      <w:r w:rsidRPr="008F27F5">
        <w:rPr>
          <w:rFonts w:ascii="Book Antiqua" w:eastAsia="宋体" w:hAnsi="Book Antiqua" w:cs="宋体"/>
          <w:sz w:val="24"/>
          <w:szCs w:val="24"/>
        </w:rPr>
        <w:t xml:space="preserve"> 2007; </w:t>
      </w:r>
      <w:r w:rsidRPr="008F27F5">
        <w:rPr>
          <w:rFonts w:ascii="Book Antiqua" w:eastAsia="宋体" w:hAnsi="Book Antiqua" w:cs="宋体"/>
          <w:b/>
          <w:bCs/>
          <w:sz w:val="24"/>
          <w:szCs w:val="24"/>
        </w:rPr>
        <w:t>13</w:t>
      </w:r>
      <w:r w:rsidRPr="008F27F5">
        <w:rPr>
          <w:rFonts w:ascii="Book Antiqua" w:eastAsia="宋体" w:hAnsi="Book Antiqua" w:cs="宋体"/>
          <w:sz w:val="24"/>
          <w:szCs w:val="24"/>
        </w:rPr>
        <w:t>: 1096-1101 [PMI</w:t>
      </w:r>
      <w:r w:rsidRPr="00E607BC">
        <w:rPr>
          <w:rFonts w:ascii="Book Antiqua" w:eastAsia="宋体" w:hAnsi="Book Antiqua" w:cs="宋体"/>
          <w:sz w:val="24"/>
          <w:szCs w:val="24"/>
        </w:rPr>
        <w:t>D: 17721544 DOI: 10.1038/nm1629</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11 </w:t>
      </w:r>
      <w:r w:rsidRPr="008F27F5">
        <w:rPr>
          <w:rFonts w:ascii="Book Antiqua" w:eastAsia="宋体" w:hAnsi="Book Antiqua" w:cs="宋体"/>
          <w:b/>
          <w:bCs/>
          <w:sz w:val="24"/>
          <w:szCs w:val="24"/>
        </w:rPr>
        <w:t>Tanno T</w:t>
      </w:r>
      <w:r w:rsidRPr="008F27F5">
        <w:rPr>
          <w:rFonts w:ascii="Book Antiqua" w:eastAsia="宋体" w:hAnsi="Book Antiqua" w:cs="宋体"/>
          <w:sz w:val="24"/>
          <w:szCs w:val="24"/>
        </w:rPr>
        <w:t xml:space="preserve">, Porayette P, Sripichai O, Noh SJ, Byrnes C, Bhupatiraju A, Lee YT, Goodnough JB, Harandi O, Ganz T, Paulson RF, Miller JL. Identification of TWSG1 as a second novel erythroid regulator of hepcidin expression in murine and human cells. </w:t>
      </w:r>
      <w:r w:rsidRPr="008F27F5">
        <w:rPr>
          <w:rFonts w:ascii="Book Antiqua" w:eastAsia="宋体" w:hAnsi="Book Antiqua" w:cs="宋体"/>
          <w:i/>
          <w:iCs/>
          <w:sz w:val="24"/>
          <w:szCs w:val="24"/>
        </w:rPr>
        <w:t>Blood</w:t>
      </w:r>
      <w:r w:rsidRPr="008F27F5">
        <w:rPr>
          <w:rFonts w:ascii="Book Antiqua" w:eastAsia="宋体" w:hAnsi="Book Antiqua" w:cs="宋体"/>
          <w:sz w:val="24"/>
          <w:szCs w:val="24"/>
        </w:rPr>
        <w:t xml:space="preserve"> 2009; </w:t>
      </w:r>
      <w:r w:rsidRPr="008F27F5">
        <w:rPr>
          <w:rFonts w:ascii="Book Antiqua" w:eastAsia="宋体" w:hAnsi="Book Antiqua" w:cs="宋体"/>
          <w:b/>
          <w:bCs/>
          <w:sz w:val="24"/>
          <w:szCs w:val="24"/>
        </w:rPr>
        <w:t>114</w:t>
      </w:r>
      <w:r w:rsidRPr="008F27F5">
        <w:rPr>
          <w:rFonts w:ascii="Book Antiqua" w:eastAsia="宋体" w:hAnsi="Book Antiqua" w:cs="宋体"/>
          <w:sz w:val="24"/>
          <w:szCs w:val="24"/>
        </w:rPr>
        <w:t>: 181-186 [PMID: 19414861 DO</w:t>
      </w:r>
      <w:r w:rsidRPr="00E607BC">
        <w:rPr>
          <w:rFonts w:ascii="Book Antiqua" w:eastAsia="宋体" w:hAnsi="Book Antiqua" w:cs="宋体"/>
          <w:sz w:val="24"/>
          <w:szCs w:val="24"/>
        </w:rPr>
        <w:t>I: 10.1182/blood-2008-12-195503</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12 </w:t>
      </w:r>
      <w:r w:rsidRPr="008F27F5">
        <w:rPr>
          <w:rFonts w:ascii="Book Antiqua" w:eastAsia="宋体" w:hAnsi="Book Antiqua" w:cs="宋体"/>
          <w:b/>
          <w:bCs/>
          <w:sz w:val="24"/>
          <w:szCs w:val="24"/>
        </w:rPr>
        <w:t>Santini V</w:t>
      </w:r>
      <w:r w:rsidRPr="008F27F5">
        <w:rPr>
          <w:rFonts w:ascii="Book Antiqua" w:eastAsia="宋体" w:hAnsi="Book Antiqua" w:cs="宋体"/>
          <w:sz w:val="24"/>
          <w:szCs w:val="24"/>
        </w:rPr>
        <w:t xml:space="preserve">, Girelli D, Sanna A, Martinelli N, Duca L, Campostrini N, Cortelezzi A, Corbella M, Bosi A, Reda G, Olivieri O, Cappellini MD. Hepcidin levels and their determinants in different types of myelodysplastic syndromes. </w:t>
      </w:r>
      <w:r w:rsidRPr="008F27F5">
        <w:rPr>
          <w:rFonts w:ascii="Book Antiqua" w:eastAsia="宋体" w:hAnsi="Book Antiqua" w:cs="宋体"/>
          <w:i/>
          <w:iCs/>
          <w:sz w:val="24"/>
          <w:szCs w:val="24"/>
        </w:rPr>
        <w:t>PLoS One</w:t>
      </w:r>
      <w:r w:rsidRPr="008F27F5">
        <w:rPr>
          <w:rFonts w:ascii="Book Antiqua" w:eastAsia="宋体" w:hAnsi="Book Antiqua" w:cs="宋体"/>
          <w:sz w:val="24"/>
          <w:szCs w:val="24"/>
        </w:rPr>
        <w:t xml:space="preserve"> 2011; </w:t>
      </w:r>
      <w:r w:rsidRPr="008F27F5">
        <w:rPr>
          <w:rFonts w:ascii="Book Antiqua" w:eastAsia="宋体" w:hAnsi="Book Antiqua" w:cs="宋体"/>
          <w:b/>
          <w:bCs/>
          <w:sz w:val="24"/>
          <w:szCs w:val="24"/>
        </w:rPr>
        <w:t>6</w:t>
      </w:r>
      <w:r w:rsidRPr="008F27F5">
        <w:rPr>
          <w:rFonts w:ascii="Book Antiqua" w:eastAsia="宋体" w:hAnsi="Book Antiqua" w:cs="宋体"/>
          <w:sz w:val="24"/>
          <w:szCs w:val="24"/>
        </w:rPr>
        <w:t>: e23109 [PMID: 21886780 DO</w:t>
      </w:r>
      <w:r w:rsidRPr="00E607BC">
        <w:rPr>
          <w:rFonts w:ascii="Book Antiqua" w:eastAsia="宋体" w:hAnsi="Book Antiqua" w:cs="宋体"/>
          <w:sz w:val="24"/>
          <w:szCs w:val="24"/>
        </w:rPr>
        <w:t>I: 10.1371/journal.pone.0023109</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13 </w:t>
      </w:r>
      <w:r w:rsidRPr="008F27F5">
        <w:rPr>
          <w:rFonts w:ascii="Book Antiqua" w:eastAsia="宋体" w:hAnsi="Book Antiqua" w:cs="宋体"/>
          <w:b/>
          <w:bCs/>
          <w:sz w:val="24"/>
          <w:szCs w:val="24"/>
        </w:rPr>
        <w:t>Cazzola M</w:t>
      </w:r>
      <w:r w:rsidRPr="008F27F5">
        <w:rPr>
          <w:rFonts w:ascii="Book Antiqua" w:eastAsia="宋体" w:hAnsi="Book Antiqua" w:cs="宋体"/>
          <w:sz w:val="24"/>
          <w:szCs w:val="24"/>
        </w:rPr>
        <w:t xml:space="preserve">, Beguin Y, Bergamaschi G, Guarnone R, Cerani P, Barella S, Cao A, Galanello R. Soluble transferrin receptor as a potential determinant of iron loading in congenital anaemias due to ineffective erythropoiesis. </w:t>
      </w:r>
      <w:r w:rsidRPr="008F27F5">
        <w:rPr>
          <w:rFonts w:ascii="Book Antiqua" w:eastAsia="宋体" w:hAnsi="Book Antiqua" w:cs="宋体"/>
          <w:i/>
          <w:iCs/>
          <w:sz w:val="24"/>
          <w:szCs w:val="24"/>
        </w:rPr>
        <w:t>Br J Haematol</w:t>
      </w:r>
      <w:r w:rsidRPr="008F27F5">
        <w:rPr>
          <w:rFonts w:ascii="Book Antiqua" w:eastAsia="宋体" w:hAnsi="Book Antiqua" w:cs="宋体"/>
          <w:sz w:val="24"/>
          <w:szCs w:val="24"/>
        </w:rPr>
        <w:t xml:space="preserve"> 1999; </w:t>
      </w:r>
      <w:r w:rsidRPr="008F27F5">
        <w:rPr>
          <w:rFonts w:ascii="Book Antiqua" w:eastAsia="宋体" w:hAnsi="Book Antiqua" w:cs="宋体"/>
          <w:b/>
          <w:bCs/>
          <w:sz w:val="24"/>
          <w:szCs w:val="24"/>
        </w:rPr>
        <w:t>106</w:t>
      </w:r>
      <w:r w:rsidRPr="008F27F5">
        <w:rPr>
          <w:rFonts w:ascii="Book Antiqua" w:eastAsia="宋体" w:hAnsi="Book Antiqua" w:cs="宋体"/>
          <w:sz w:val="24"/>
          <w:szCs w:val="24"/>
        </w:rPr>
        <w:t>: 752-755 [PMID: 10468869 DOI: 1</w:t>
      </w:r>
      <w:r w:rsidRPr="00E607BC">
        <w:rPr>
          <w:rFonts w:ascii="Book Antiqua" w:eastAsia="宋体" w:hAnsi="Book Antiqua" w:cs="宋体"/>
          <w:sz w:val="24"/>
          <w:szCs w:val="24"/>
        </w:rPr>
        <w:t>0.1046/j.1365-2141.1999.01600.x</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14 </w:t>
      </w:r>
      <w:r w:rsidRPr="008F27F5">
        <w:rPr>
          <w:rFonts w:ascii="Book Antiqua" w:eastAsia="宋体" w:hAnsi="Book Antiqua" w:cs="宋体"/>
          <w:b/>
          <w:bCs/>
          <w:sz w:val="24"/>
          <w:szCs w:val="24"/>
        </w:rPr>
        <w:t>Flanagan JM</w:t>
      </w:r>
      <w:r w:rsidRPr="008F27F5">
        <w:rPr>
          <w:rFonts w:ascii="Book Antiqua" w:eastAsia="宋体" w:hAnsi="Book Antiqua" w:cs="宋体"/>
          <w:sz w:val="24"/>
          <w:szCs w:val="24"/>
        </w:rPr>
        <w:t xml:space="preserve">, Peng H, Wang L, Gelbart T, Lee P, Johnson Sasu B, Beutler E. Soluble transferrin receptor-1 levels in mice do not affect iron absorption. </w:t>
      </w:r>
      <w:r w:rsidRPr="008F27F5">
        <w:rPr>
          <w:rFonts w:ascii="Book Antiqua" w:eastAsia="宋体" w:hAnsi="Book Antiqua" w:cs="宋体"/>
          <w:i/>
          <w:iCs/>
          <w:sz w:val="24"/>
          <w:szCs w:val="24"/>
        </w:rPr>
        <w:t>Acta Haematol</w:t>
      </w:r>
      <w:r w:rsidRPr="008F27F5">
        <w:rPr>
          <w:rFonts w:ascii="Book Antiqua" w:eastAsia="宋体" w:hAnsi="Book Antiqua" w:cs="宋体"/>
          <w:sz w:val="24"/>
          <w:szCs w:val="24"/>
        </w:rPr>
        <w:t xml:space="preserve"> 2006; </w:t>
      </w:r>
      <w:r w:rsidRPr="008F27F5">
        <w:rPr>
          <w:rFonts w:ascii="Book Antiqua" w:eastAsia="宋体" w:hAnsi="Book Antiqua" w:cs="宋体"/>
          <w:b/>
          <w:bCs/>
          <w:sz w:val="24"/>
          <w:szCs w:val="24"/>
        </w:rPr>
        <w:t>116</w:t>
      </w:r>
      <w:r w:rsidRPr="008F27F5">
        <w:rPr>
          <w:rFonts w:ascii="Book Antiqua" w:eastAsia="宋体" w:hAnsi="Book Antiqua" w:cs="宋体"/>
          <w:sz w:val="24"/>
          <w:szCs w:val="24"/>
        </w:rPr>
        <w:t>: 249-254 [PMID: 17119325 DOI: 10.11</w:t>
      </w:r>
      <w:r w:rsidRPr="00E607BC">
        <w:rPr>
          <w:rFonts w:ascii="Book Antiqua" w:eastAsia="宋体" w:hAnsi="Book Antiqua" w:cs="宋体"/>
          <w:sz w:val="24"/>
          <w:szCs w:val="24"/>
        </w:rPr>
        <w:t>59/000095875</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15 </w:t>
      </w:r>
      <w:r w:rsidRPr="008F27F5">
        <w:rPr>
          <w:rFonts w:ascii="Book Antiqua" w:eastAsia="宋体" w:hAnsi="Book Antiqua" w:cs="宋体"/>
          <w:b/>
          <w:bCs/>
          <w:sz w:val="24"/>
          <w:szCs w:val="24"/>
        </w:rPr>
        <w:t>Kautz L</w:t>
      </w:r>
      <w:r w:rsidRPr="008F27F5">
        <w:rPr>
          <w:rFonts w:ascii="Book Antiqua" w:eastAsia="宋体" w:hAnsi="Book Antiqua" w:cs="宋体"/>
          <w:sz w:val="24"/>
          <w:szCs w:val="24"/>
        </w:rPr>
        <w:t xml:space="preserve">, Jung G, Valore EV, Rivella S, Nemeth E, Ganz T. Identification of erythroferrone as an erythroid regulator of iron metabolism. </w:t>
      </w:r>
      <w:r w:rsidRPr="008F27F5">
        <w:rPr>
          <w:rFonts w:ascii="Book Antiqua" w:eastAsia="宋体" w:hAnsi="Book Antiqua" w:cs="宋体"/>
          <w:i/>
          <w:iCs/>
          <w:sz w:val="24"/>
          <w:szCs w:val="24"/>
        </w:rPr>
        <w:t>Nat Genet</w:t>
      </w:r>
      <w:r w:rsidRPr="008F27F5">
        <w:rPr>
          <w:rFonts w:ascii="Book Antiqua" w:eastAsia="宋体" w:hAnsi="Book Antiqua" w:cs="宋体"/>
          <w:sz w:val="24"/>
          <w:szCs w:val="24"/>
        </w:rPr>
        <w:t xml:space="preserve"> 2014; </w:t>
      </w:r>
      <w:r w:rsidRPr="008F27F5">
        <w:rPr>
          <w:rFonts w:ascii="Book Antiqua" w:eastAsia="宋体" w:hAnsi="Book Antiqua" w:cs="宋体"/>
          <w:b/>
          <w:bCs/>
          <w:sz w:val="24"/>
          <w:szCs w:val="24"/>
        </w:rPr>
        <w:t>46</w:t>
      </w:r>
      <w:r w:rsidRPr="008F27F5">
        <w:rPr>
          <w:rFonts w:ascii="Book Antiqua" w:eastAsia="宋体" w:hAnsi="Book Antiqua" w:cs="宋体"/>
          <w:sz w:val="24"/>
          <w:szCs w:val="24"/>
        </w:rPr>
        <w:t>: 678-684 [PMID</w:t>
      </w:r>
      <w:r w:rsidRPr="00E607BC">
        <w:rPr>
          <w:rFonts w:ascii="Book Antiqua" w:eastAsia="宋体" w:hAnsi="Book Antiqua" w:cs="宋体"/>
          <w:sz w:val="24"/>
          <w:szCs w:val="24"/>
        </w:rPr>
        <w:t>: 24880340 DOI: 10.1038/ng.2996</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16 </w:t>
      </w:r>
      <w:r w:rsidRPr="008F27F5">
        <w:rPr>
          <w:rFonts w:ascii="Book Antiqua" w:eastAsia="宋体" w:hAnsi="Book Antiqua" w:cs="宋体"/>
          <w:b/>
          <w:bCs/>
          <w:sz w:val="24"/>
          <w:szCs w:val="24"/>
        </w:rPr>
        <w:t>Kautz L</w:t>
      </w:r>
      <w:r w:rsidRPr="008F27F5">
        <w:rPr>
          <w:rFonts w:ascii="Book Antiqua" w:eastAsia="宋体" w:hAnsi="Book Antiqua" w:cs="宋体"/>
          <w:sz w:val="24"/>
          <w:szCs w:val="24"/>
        </w:rPr>
        <w:t xml:space="preserve">, Jung G, Nemeth E, Ganz T. Erythroferrone contributes to recovery from anemia of inflammation. </w:t>
      </w:r>
      <w:r w:rsidRPr="008F27F5">
        <w:rPr>
          <w:rFonts w:ascii="Book Antiqua" w:eastAsia="宋体" w:hAnsi="Book Antiqua" w:cs="宋体"/>
          <w:i/>
          <w:iCs/>
          <w:sz w:val="24"/>
          <w:szCs w:val="24"/>
        </w:rPr>
        <w:t>Blood</w:t>
      </w:r>
      <w:r w:rsidRPr="008F27F5">
        <w:rPr>
          <w:rFonts w:ascii="Book Antiqua" w:eastAsia="宋体" w:hAnsi="Book Antiqua" w:cs="宋体"/>
          <w:sz w:val="24"/>
          <w:szCs w:val="24"/>
        </w:rPr>
        <w:t xml:space="preserve"> 2014; </w:t>
      </w:r>
      <w:r w:rsidRPr="008F27F5">
        <w:rPr>
          <w:rFonts w:ascii="Book Antiqua" w:eastAsia="宋体" w:hAnsi="Book Antiqua" w:cs="宋体"/>
          <w:b/>
          <w:bCs/>
          <w:sz w:val="24"/>
          <w:szCs w:val="24"/>
        </w:rPr>
        <w:t>124</w:t>
      </w:r>
      <w:r w:rsidRPr="008F27F5">
        <w:rPr>
          <w:rFonts w:ascii="Book Antiqua" w:eastAsia="宋体" w:hAnsi="Book Antiqua" w:cs="宋体"/>
          <w:sz w:val="24"/>
          <w:szCs w:val="24"/>
        </w:rPr>
        <w:t>: 2569-2574 [PMID: 25193872 DO</w:t>
      </w:r>
      <w:r w:rsidRPr="00E607BC">
        <w:rPr>
          <w:rFonts w:ascii="Book Antiqua" w:eastAsia="宋体" w:hAnsi="Book Antiqua" w:cs="宋体"/>
          <w:sz w:val="24"/>
          <w:szCs w:val="24"/>
        </w:rPr>
        <w:t>I: 10.1182/blood-2014-06-584607</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17 </w:t>
      </w:r>
      <w:r w:rsidRPr="008F27F5">
        <w:rPr>
          <w:rFonts w:ascii="Book Antiqua" w:eastAsia="宋体" w:hAnsi="Book Antiqua" w:cs="宋体"/>
          <w:b/>
          <w:bCs/>
          <w:sz w:val="24"/>
          <w:szCs w:val="24"/>
        </w:rPr>
        <w:t>Seldin MM</w:t>
      </w:r>
      <w:r w:rsidRPr="008F27F5">
        <w:rPr>
          <w:rFonts w:ascii="Book Antiqua" w:eastAsia="宋体" w:hAnsi="Book Antiqua" w:cs="宋体"/>
          <w:sz w:val="24"/>
          <w:szCs w:val="24"/>
        </w:rPr>
        <w:t xml:space="preserve">, Peterson JM, Byerly MS, Wei Z, Wong GW. Myonectin (CTRP15), a novel myokine that links skeletal muscle to systemic lipid homeostasis. </w:t>
      </w:r>
      <w:r w:rsidRPr="008F27F5">
        <w:rPr>
          <w:rFonts w:ascii="Book Antiqua" w:eastAsia="宋体" w:hAnsi="Book Antiqua" w:cs="宋体"/>
          <w:i/>
          <w:iCs/>
          <w:sz w:val="24"/>
          <w:szCs w:val="24"/>
        </w:rPr>
        <w:t>J Biol Chem</w:t>
      </w:r>
      <w:r w:rsidRPr="008F27F5">
        <w:rPr>
          <w:rFonts w:ascii="Book Antiqua" w:eastAsia="宋体" w:hAnsi="Book Antiqua" w:cs="宋体"/>
          <w:sz w:val="24"/>
          <w:szCs w:val="24"/>
        </w:rPr>
        <w:t xml:space="preserve"> 2012; </w:t>
      </w:r>
      <w:r w:rsidRPr="008F27F5">
        <w:rPr>
          <w:rFonts w:ascii="Book Antiqua" w:eastAsia="宋体" w:hAnsi="Book Antiqua" w:cs="宋体"/>
          <w:b/>
          <w:bCs/>
          <w:sz w:val="24"/>
          <w:szCs w:val="24"/>
        </w:rPr>
        <w:t>287</w:t>
      </w:r>
      <w:r w:rsidRPr="008F27F5">
        <w:rPr>
          <w:rFonts w:ascii="Book Antiqua" w:eastAsia="宋体" w:hAnsi="Book Antiqua" w:cs="宋体"/>
          <w:sz w:val="24"/>
          <w:szCs w:val="24"/>
        </w:rPr>
        <w:t>: 11968-11980 [PMID: 223517</w:t>
      </w:r>
      <w:r w:rsidRPr="00E607BC">
        <w:rPr>
          <w:rFonts w:ascii="Book Antiqua" w:eastAsia="宋体" w:hAnsi="Book Antiqua" w:cs="宋体"/>
          <w:sz w:val="24"/>
          <w:szCs w:val="24"/>
        </w:rPr>
        <w:t>73 DOI: 10.1074/jbc.M111.336834</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18 </w:t>
      </w:r>
      <w:r w:rsidRPr="008F27F5">
        <w:rPr>
          <w:rFonts w:ascii="Book Antiqua" w:eastAsia="宋体" w:hAnsi="Book Antiqua" w:cs="宋体"/>
          <w:b/>
          <w:bCs/>
          <w:sz w:val="24"/>
          <w:szCs w:val="24"/>
        </w:rPr>
        <w:t>Hayward C</w:t>
      </w:r>
      <w:r w:rsidRPr="008F27F5">
        <w:rPr>
          <w:rFonts w:ascii="Book Antiqua" w:eastAsia="宋体" w:hAnsi="Book Antiqua" w:cs="宋体"/>
          <w:sz w:val="24"/>
          <w:szCs w:val="24"/>
        </w:rPr>
        <w:t xml:space="preserve">, Shu X, Cideciyan AV, Lennon A, Barran P, Zareparsi S, Sawyer L, Hendry G, Dhillon B, Milam AH, Luthert PJ, Swaroop A, Hastie ND, Jacobson SG, Wright AF. Mutation in a short-chain collagen gene, CTRP5, results in extracellular deposit formation in late-onset retinal degeneration: a genetic model for age-related macular degeneration. </w:t>
      </w:r>
      <w:r w:rsidRPr="008F27F5">
        <w:rPr>
          <w:rFonts w:ascii="Book Antiqua" w:eastAsia="宋体" w:hAnsi="Book Antiqua" w:cs="宋体"/>
          <w:i/>
          <w:iCs/>
          <w:sz w:val="24"/>
          <w:szCs w:val="24"/>
        </w:rPr>
        <w:t>Hum Mol Genet</w:t>
      </w:r>
      <w:r w:rsidRPr="008F27F5">
        <w:rPr>
          <w:rFonts w:ascii="Book Antiqua" w:eastAsia="宋体" w:hAnsi="Book Antiqua" w:cs="宋体"/>
          <w:sz w:val="24"/>
          <w:szCs w:val="24"/>
        </w:rPr>
        <w:t xml:space="preserve"> 2003; </w:t>
      </w:r>
      <w:r w:rsidRPr="008F27F5">
        <w:rPr>
          <w:rFonts w:ascii="Book Antiqua" w:eastAsia="宋体" w:hAnsi="Book Antiqua" w:cs="宋体"/>
          <w:b/>
          <w:bCs/>
          <w:sz w:val="24"/>
          <w:szCs w:val="24"/>
        </w:rPr>
        <w:t>12</w:t>
      </w:r>
      <w:r w:rsidRPr="008F27F5">
        <w:rPr>
          <w:rFonts w:ascii="Book Antiqua" w:eastAsia="宋体" w:hAnsi="Book Antiqua" w:cs="宋体"/>
          <w:sz w:val="24"/>
          <w:szCs w:val="24"/>
        </w:rPr>
        <w:t>: 2657-2667 [PMID: 1</w:t>
      </w:r>
      <w:r w:rsidRPr="00E607BC">
        <w:rPr>
          <w:rFonts w:ascii="Book Antiqua" w:eastAsia="宋体" w:hAnsi="Book Antiqua" w:cs="宋体"/>
          <w:sz w:val="24"/>
          <w:szCs w:val="24"/>
        </w:rPr>
        <w:t>2944416 DOI: 10.1093/hmg/ddg289</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19 </w:t>
      </w:r>
      <w:r w:rsidRPr="008F27F5">
        <w:rPr>
          <w:rFonts w:ascii="Book Antiqua" w:eastAsia="宋体" w:hAnsi="Book Antiqua" w:cs="宋体"/>
          <w:b/>
          <w:bCs/>
          <w:sz w:val="24"/>
          <w:szCs w:val="24"/>
        </w:rPr>
        <w:t>Lim S</w:t>
      </w:r>
      <w:r w:rsidRPr="008F27F5">
        <w:rPr>
          <w:rFonts w:ascii="Book Antiqua" w:eastAsia="宋体" w:hAnsi="Book Antiqua" w:cs="宋体"/>
          <w:sz w:val="24"/>
          <w:szCs w:val="24"/>
        </w:rPr>
        <w:t xml:space="preserve">, Choi SH, Koo BK, Kang SM, Yoon JW, Jang HC, Choi SM, Lee MG, Lee W, Shin H, Kim YB, Lee HK, Park KS. Effects of aerobic exercise training on C1q tumor necrosis factor α-related protein isoform 5 (myonectin): association with insulin resistance and mitochondrial DNA density in women. </w:t>
      </w:r>
      <w:r w:rsidRPr="008F27F5">
        <w:rPr>
          <w:rFonts w:ascii="Book Antiqua" w:eastAsia="宋体" w:hAnsi="Book Antiqua" w:cs="宋体"/>
          <w:i/>
          <w:iCs/>
          <w:sz w:val="24"/>
          <w:szCs w:val="24"/>
        </w:rPr>
        <w:t>J Clin Endocrinol Metab</w:t>
      </w:r>
      <w:r w:rsidRPr="008F27F5">
        <w:rPr>
          <w:rFonts w:ascii="Book Antiqua" w:eastAsia="宋体" w:hAnsi="Book Antiqua" w:cs="宋体"/>
          <w:sz w:val="24"/>
          <w:szCs w:val="24"/>
        </w:rPr>
        <w:t xml:space="preserve"> 2012; </w:t>
      </w:r>
      <w:r w:rsidRPr="008F27F5">
        <w:rPr>
          <w:rFonts w:ascii="Book Antiqua" w:eastAsia="宋体" w:hAnsi="Book Antiqua" w:cs="宋体"/>
          <w:b/>
          <w:bCs/>
          <w:sz w:val="24"/>
          <w:szCs w:val="24"/>
        </w:rPr>
        <w:t>97</w:t>
      </w:r>
      <w:r w:rsidRPr="008F27F5">
        <w:rPr>
          <w:rFonts w:ascii="Book Antiqua" w:eastAsia="宋体" w:hAnsi="Book Antiqua" w:cs="宋体"/>
          <w:sz w:val="24"/>
          <w:szCs w:val="24"/>
        </w:rPr>
        <w:t>: E88-E93 [PMID: 220</w:t>
      </w:r>
      <w:r w:rsidRPr="00E607BC">
        <w:rPr>
          <w:rFonts w:ascii="Book Antiqua" w:eastAsia="宋体" w:hAnsi="Book Antiqua" w:cs="宋体"/>
          <w:sz w:val="24"/>
          <w:szCs w:val="24"/>
        </w:rPr>
        <w:t>31510 DOI: 10.1210/jc.2011-1743</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20 </w:t>
      </w:r>
      <w:r w:rsidRPr="008F27F5">
        <w:rPr>
          <w:rFonts w:ascii="Book Antiqua" w:eastAsia="宋体" w:hAnsi="Book Antiqua" w:cs="宋体"/>
          <w:b/>
          <w:bCs/>
          <w:sz w:val="24"/>
          <w:szCs w:val="24"/>
        </w:rPr>
        <w:t>Park SY</w:t>
      </w:r>
      <w:r w:rsidRPr="008F27F5">
        <w:rPr>
          <w:rFonts w:ascii="Book Antiqua" w:eastAsia="宋体" w:hAnsi="Book Antiqua" w:cs="宋体"/>
          <w:sz w:val="24"/>
          <w:szCs w:val="24"/>
        </w:rPr>
        <w:t xml:space="preserve">, Choi JH, Ryu HS, Pak YK, Park KS, Lee HK, Lee W. C1q tumor necrosis factor alpha-related protein isoform 5 is increased in mitochondrial DNA-depleted myocytes and activates AMP-activated protein kinase. </w:t>
      </w:r>
      <w:r w:rsidRPr="008F27F5">
        <w:rPr>
          <w:rFonts w:ascii="Book Antiqua" w:eastAsia="宋体" w:hAnsi="Book Antiqua" w:cs="宋体"/>
          <w:i/>
          <w:iCs/>
          <w:sz w:val="24"/>
          <w:szCs w:val="24"/>
        </w:rPr>
        <w:t>J Biol Chem</w:t>
      </w:r>
      <w:r w:rsidRPr="008F27F5">
        <w:rPr>
          <w:rFonts w:ascii="Book Antiqua" w:eastAsia="宋体" w:hAnsi="Book Antiqua" w:cs="宋体"/>
          <w:sz w:val="24"/>
          <w:szCs w:val="24"/>
        </w:rPr>
        <w:t xml:space="preserve"> 2009; </w:t>
      </w:r>
      <w:r w:rsidRPr="008F27F5">
        <w:rPr>
          <w:rFonts w:ascii="Book Antiqua" w:eastAsia="宋体" w:hAnsi="Book Antiqua" w:cs="宋体"/>
          <w:b/>
          <w:bCs/>
          <w:sz w:val="24"/>
          <w:szCs w:val="24"/>
        </w:rPr>
        <w:t>284</w:t>
      </w:r>
      <w:r w:rsidRPr="008F27F5">
        <w:rPr>
          <w:rFonts w:ascii="Book Antiqua" w:eastAsia="宋体" w:hAnsi="Book Antiqua" w:cs="宋体"/>
          <w:sz w:val="24"/>
          <w:szCs w:val="24"/>
        </w:rPr>
        <w:t>: 27780-27789 [PMID: 196517</w:t>
      </w:r>
      <w:r w:rsidRPr="00E607BC">
        <w:rPr>
          <w:rFonts w:ascii="Book Antiqua" w:eastAsia="宋体" w:hAnsi="Book Antiqua" w:cs="宋体"/>
          <w:sz w:val="24"/>
          <w:szCs w:val="24"/>
        </w:rPr>
        <w:t>84 DOI: 10.1074/jbc.M109.005611</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21 </w:t>
      </w:r>
      <w:r w:rsidRPr="008F27F5">
        <w:rPr>
          <w:rFonts w:ascii="Book Antiqua" w:eastAsia="宋体" w:hAnsi="Book Antiqua" w:cs="宋体"/>
          <w:b/>
          <w:bCs/>
          <w:sz w:val="24"/>
          <w:szCs w:val="24"/>
        </w:rPr>
        <w:t>Gunga HC</w:t>
      </w:r>
      <w:r w:rsidRPr="008F27F5">
        <w:rPr>
          <w:rFonts w:ascii="Book Antiqua" w:eastAsia="宋体" w:hAnsi="Book Antiqua" w:cs="宋体"/>
          <w:sz w:val="24"/>
          <w:szCs w:val="24"/>
        </w:rPr>
        <w:t xml:space="preserve">, Kirsch KA, Roecker L, Kohlberg E, Tiedemann J, Steinach M, Schobersberger W. Erythropoietin regulations in humans under different environmental and experimental conditions. </w:t>
      </w:r>
      <w:r w:rsidRPr="008F27F5">
        <w:rPr>
          <w:rFonts w:ascii="Book Antiqua" w:eastAsia="宋体" w:hAnsi="Book Antiqua" w:cs="宋体"/>
          <w:i/>
          <w:iCs/>
          <w:sz w:val="24"/>
          <w:szCs w:val="24"/>
        </w:rPr>
        <w:t>Respir Physiol Neurobiol</w:t>
      </w:r>
      <w:r w:rsidRPr="008F27F5">
        <w:rPr>
          <w:rFonts w:ascii="Book Antiqua" w:eastAsia="宋体" w:hAnsi="Book Antiqua" w:cs="宋体"/>
          <w:sz w:val="24"/>
          <w:szCs w:val="24"/>
        </w:rPr>
        <w:t xml:space="preserve"> 2007; </w:t>
      </w:r>
      <w:r w:rsidRPr="008F27F5">
        <w:rPr>
          <w:rFonts w:ascii="Book Antiqua" w:eastAsia="宋体" w:hAnsi="Book Antiqua" w:cs="宋体"/>
          <w:b/>
          <w:bCs/>
          <w:sz w:val="24"/>
          <w:szCs w:val="24"/>
        </w:rPr>
        <w:t>158</w:t>
      </w:r>
      <w:r w:rsidRPr="008F27F5">
        <w:rPr>
          <w:rFonts w:ascii="Book Antiqua" w:eastAsia="宋体" w:hAnsi="Book Antiqua" w:cs="宋体"/>
          <w:sz w:val="24"/>
          <w:szCs w:val="24"/>
        </w:rPr>
        <w:t xml:space="preserve">: 287-297 [PMID: 17467346 </w:t>
      </w:r>
      <w:r w:rsidRPr="00E607BC">
        <w:rPr>
          <w:rFonts w:ascii="Book Antiqua" w:eastAsia="宋体" w:hAnsi="Book Antiqua" w:cs="宋体"/>
          <w:sz w:val="24"/>
          <w:szCs w:val="24"/>
        </w:rPr>
        <w:t>DOI: 10.1016/j.resp.2007.03.006</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22 </w:t>
      </w:r>
      <w:r w:rsidRPr="008F27F5">
        <w:rPr>
          <w:rFonts w:ascii="Book Antiqua" w:eastAsia="宋体" w:hAnsi="Book Antiqua" w:cs="宋体"/>
          <w:b/>
          <w:bCs/>
          <w:sz w:val="24"/>
          <w:szCs w:val="24"/>
        </w:rPr>
        <w:t>Gunga HC</w:t>
      </w:r>
      <w:r w:rsidRPr="008F27F5">
        <w:rPr>
          <w:rFonts w:ascii="Book Antiqua" w:eastAsia="宋体" w:hAnsi="Book Antiqua" w:cs="宋体"/>
          <w:sz w:val="24"/>
          <w:szCs w:val="24"/>
        </w:rPr>
        <w:t xml:space="preserve">, Wittels P, Günther T, Kanduth B, Vormann J, Röcker L, Kirsch K. Erythropoietin in 29 men during and after prolonged physical stress combined with food and fluid deprivation. </w:t>
      </w:r>
      <w:r w:rsidRPr="008F27F5">
        <w:rPr>
          <w:rFonts w:ascii="Book Antiqua" w:eastAsia="宋体" w:hAnsi="Book Antiqua" w:cs="宋体"/>
          <w:i/>
          <w:iCs/>
          <w:sz w:val="24"/>
          <w:szCs w:val="24"/>
        </w:rPr>
        <w:t>Eur J Appl Physiol Occup Physiol</w:t>
      </w:r>
      <w:r w:rsidRPr="008F27F5">
        <w:rPr>
          <w:rFonts w:ascii="Book Antiqua" w:eastAsia="宋体" w:hAnsi="Book Antiqua" w:cs="宋体"/>
          <w:sz w:val="24"/>
          <w:szCs w:val="24"/>
        </w:rPr>
        <w:t xml:space="preserve"> 1996; </w:t>
      </w:r>
      <w:r w:rsidRPr="008F27F5">
        <w:rPr>
          <w:rFonts w:ascii="Book Antiqua" w:eastAsia="宋体" w:hAnsi="Book Antiqua" w:cs="宋体"/>
          <w:b/>
          <w:bCs/>
          <w:sz w:val="24"/>
          <w:szCs w:val="24"/>
        </w:rPr>
        <w:t>73</w:t>
      </w:r>
      <w:r w:rsidRPr="008F27F5">
        <w:rPr>
          <w:rFonts w:ascii="Book Antiqua" w:eastAsia="宋体" w:hAnsi="Book Antiqua" w:cs="宋体"/>
          <w:sz w:val="24"/>
          <w:szCs w:val="24"/>
        </w:rPr>
        <w:t>: 11-16 [PMID: 8861664 DOI: 10.1007/BF00262804]</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23 </w:t>
      </w:r>
      <w:r w:rsidRPr="008F27F5">
        <w:rPr>
          <w:rFonts w:ascii="Book Antiqua" w:eastAsia="宋体" w:hAnsi="Book Antiqua" w:cs="宋体"/>
          <w:b/>
          <w:bCs/>
          <w:sz w:val="24"/>
          <w:szCs w:val="24"/>
        </w:rPr>
        <w:t>Wallace DF</w:t>
      </w:r>
      <w:r w:rsidRPr="008F27F5">
        <w:rPr>
          <w:rFonts w:ascii="Book Antiqua" w:eastAsia="宋体" w:hAnsi="Book Antiqua" w:cs="宋体"/>
          <w:sz w:val="24"/>
          <w:szCs w:val="24"/>
        </w:rPr>
        <w:t xml:space="preserve">, Secondes ES, Rishi G, Ostini L, McDonald CJ, Lane SW, Vu T, Hooper JD, Velasco G, Ramsay AJ, Lopez-Otin C, Subramaniam VN. A critical role for murine transferrin receptor 2 in erythropoiesis during iron restriction. </w:t>
      </w:r>
      <w:r w:rsidRPr="008F27F5">
        <w:rPr>
          <w:rFonts w:ascii="Book Antiqua" w:eastAsia="宋体" w:hAnsi="Book Antiqua" w:cs="宋体"/>
          <w:i/>
          <w:iCs/>
          <w:sz w:val="24"/>
          <w:szCs w:val="24"/>
        </w:rPr>
        <w:t>Br J Haematol</w:t>
      </w:r>
      <w:r w:rsidRPr="008F27F5">
        <w:rPr>
          <w:rFonts w:ascii="Book Antiqua" w:eastAsia="宋体" w:hAnsi="Book Antiqua" w:cs="宋体"/>
          <w:sz w:val="24"/>
          <w:szCs w:val="24"/>
        </w:rPr>
        <w:t xml:space="preserve"> 2015; </w:t>
      </w:r>
      <w:r w:rsidRPr="008F27F5">
        <w:rPr>
          <w:rFonts w:ascii="Book Antiqua" w:eastAsia="宋体" w:hAnsi="Book Antiqua" w:cs="宋体"/>
          <w:b/>
          <w:bCs/>
          <w:sz w:val="24"/>
          <w:szCs w:val="24"/>
        </w:rPr>
        <w:t>168</w:t>
      </w:r>
      <w:r w:rsidRPr="008F27F5">
        <w:rPr>
          <w:rFonts w:ascii="Book Antiqua" w:eastAsia="宋体" w:hAnsi="Book Antiqua" w:cs="宋体"/>
          <w:sz w:val="24"/>
          <w:szCs w:val="24"/>
        </w:rPr>
        <w:t xml:space="preserve">: 891-901 [PMID: </w:t>
      </w:r>
      <w:r w:rsidRPr="00E607BC">
        <w:rPr>
          <w:rFonts w:ascii="Book Antiqua" w:eastAsia="宋体" w:hAnsi="Book Antiqua" w:cs="宋体"/>
          <w:sz w:val="24"/>
          <w:szCs w:val="24"/>
        </w:rPr>
        <w:t>25403101 DOI: 10.1111/bjh.13225</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24 </w:t>
      </w:r>
      <w:r w:rsidRPr="008F27F5">
        <w:rPr>
          <w:rFonts w:ascii="Book Antiqua" w:eastAsia="宋体" w:hAnsi="Book Antiqua" w:cs="宋体"/>
          <w:b/>
          <w:bCs/>
          <w:sz w:val="24"/>
          <w:szCs w:val="24"/>
        </w:rPr>
        <w:t>Nai A</w:t>
      </w:r>
      <w:r w:rsidRPr="008F27F5">
        <w:rPr>
          <w:rFonts w:ascii="Book Antiqua" w:eastAsia="宋体" w:hAnsi="Book Antiqua" w:cs="宋体"/>
          <w:sz w:val="24"/>
          <w:szCs w:val="24"/>
        </w:rPr>
        <w:t xml:space="preserve">, Pellegrino RM, Rausa M, Pagani A, Boero M, Silvestri L, Saglio G, Roetto A, Camaschella C. The erythroid function of transferrin receptor 2 revealed by Tmprss6 inactivation in different models of transferrin receptor 2 knockout mice. </w:t>
      </w:r>
      <w:r w:rsidRPr="008F27F5">
        <w:rPr>
          <w:rFonts w:ascii="Book Antiqua" w:eastAsia="宋体" w:hAnsi="Book Antiqua" w:cs="宋体"/>
          <w:i/>
          <w:iCs/>
          <w:sz w:val="24"/>
          <w:szCs w:val="24"/>
        </w:rPr>
        <w:t>Haematologica</w:t>
      </w:r>
      <w:r w:rsidRPr="008F27F5">
        <w:rPr>
          <w:rFonts w:ascii="Book Antiqua" w:eastAsia="宋体" w:hAnsi="Book Antiqua" w:cs="宋体"/>
          <w:sz w:val="24"/>
          <w:szCs w:val="24"/>
        </w:rPr>
        <w:t xml:space="preserve"> 2014; </w:t>
      </w:r>
      <w:r w:rsidRPr="008F27F5">
        <w:rPr>
          <w:rFonts w:ascii="Book Antiqua" w:eastAsia="宋体" w:hAnsi="Book Antiqua" w:cs="宋体"/>
          <w:b/>
          <w:bCs/>
          <w:sz w:val="24"/>
          <w:szCs w:val="24"/>
        </w:rPr>
        <w:t>99</w:t>
      </w:r>
      <w:r w:rsidRPr="008F27F5">
        <w:rPr>
          <w:rFonts w:ascii="Book Antiqua" w:eastAsia="宋体" w:hAnsi="Book Antiqua" w:cs="宋体"/>
          <w:sz w:val="24"/>
          <w:szCs w:val="24"/>
        </w:rPr>
        <w:t>: 1016-1021 [PMID: 24658816 DO</w:t>
      </w:r>
      <w:r w:rsidRPr="00E607BC">
        <w:rPr>
          <w:rFonts w:ascii="Book Antiqua" w:eastAsia="宋体" w:hAnsi="Book Antiqua" w:cs="宋体"/>
          <w:sz w:val="24"/>
          <w:szCs w:val="24"/>
        </w:rPr>
        <w:t>I: 10.3324/haematol.2013.103143</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25 </w:t>
      </w:r>
      <w:r w:rsidRPr="008F27F5">
        <w:rPr>
          <w:rFonts w:ascii="Book Antiqua" w:eastAsia="宋体" w:hAnsi="Book Antiqua" w:cs="宋体"/>
          <w:b/>
          <w:bCs/>
          <w:sz w:val="24"/>
          <w:szCs w:val="24"/>
        </w:rPr>
        <w:t>Nai A</w:t>
      </w:r>
      <w:r w:rsidRPr="008F27F5">
        <w:rPr>
          <w:rFonts w:ascii="Book Antiqua" w:eastAsia="宋体" w:hAnsi="Book Antiqua" w:cs="宋体"/>
          <w:sz w:val="24"/>
          <w:szCs w:val="24"/>
        </w:rPr>
        <w:t xml:space="preserve">, Lidonnici MR, Rausa M, Mandelli G, Pagani A, Silvestri L, Ferrari G, Camaschella C. The second transferrin receptor regulates red blood cell production in mice. </w:t>
      </w:r>
      <w:r w:rsidRPr="008F27F5">
        <w:rPr>
          <w:rFonts w:ascii="Book Antiqua" w:eastAsia="宋体" w:hAnsi="Book Antiqua" w:cs="宋体"/>
          <w:i/>
          <w:iCs/>
          <w:sz w:val="24"/>
          <w:szCs w:val="24"/>
        </w:rPr>
        <w:t>Blood</w:t>
      </w:r>
      <w:r w:rsidRPr="008F27F5">
        <w:rPr>
          <w:rFonts w:ascii="Book Antiqua" w:eastAsia="宋体" w:hAnsi="Book Antiqua" w:cs="宋体"/>
          <w:sz w:val="24"/>
          <w:szCs w:val="24"/>
        </w:rPr>
        <w:t xml:space="preserve"> 2015; </w:t>
      </w:r>
      <w:r w:rsidRPr="008F27F5">
        <w:rPr>
          <w:rFonts w:ascii="Book Antiqua" w:eastAsia="宋体" w:hAnsi="Book Antiqua" w:cs="宋体"/>
          <w:b/>
          <w:bCs/>
          <w:sz w:val="24"/>
          <w:szCs w:val="24"/>
        </w:rPr>
        <w:t>125</w:t>
      </w:r>
      <w:r w:rsidRPr="008F27F5">
        <w:rPr>
          <w:rFonts w:ascii="Book Antiqua" w:eastAsia="宋体" w:hAnsi="Book Antiqua" w:cs="宋体"/>
          <w:sz w:val="24"/>
          <w:szCs w:val="24"/>
        </w:rPr>
        <w:t>: 1170-1179 [PMID: 25499454 DO</w:t>
      </w:r>
      <w:r w:rsidRPr="00E607BC">
        <w:rPr>
          <w:rFonts w:ascii="Book Antiqua" w:eastAsia="宋体" w:hAnsi="Book Antiqua" w:cs="宋体"/>
          <w:sz w:val="24"/>
          <w:szCs w:val="24"/>
        </w:rPr>
        <w:t>I: 10.1182/blood-2014-08-596254</w:t>
      </w:r>
      <w:r w:rsidRPr="008F27F5">
        <w:rPr>
          <w:rFonts w:ascii="Book Antiqua" w:eastAsia="宋体" w:hAnsi="Book Antiqua" w:cs="宋体"/>
          <w:sz w:val="24"/>
          <w:szCs w:val="24"/>
        </w:rPr>
        <w:t>]</w:t>
      </w:r>
    </w:p>
    <w:p w:rsidR="00486697" w:rsidRPr="008F27F5"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26 </w:t>
      </w:r>
      <w:r w:rsidRPr="008F27F5">
        <w:rPr>
          <w:rFonts w:ascii="Book Antiqua" w:eastAsia="宋体" w:hAnsi="Book Antiqua" w:cs="宋体"/>
          <w:b/>
          <w:bCs/>
          <w:sz w:val="24"/>
          <w:szCs w:val="24"/>
        </w:rPr>
        <w:t>Lane DJ</w:t>
      </w:r>
      <w:r w:rsidRPr="008F27F5">
        <w:rPr>
          <w:rFonts w:ascii="Book Antiqua" w:eastAsia="宋体" w:hAnsi="Book Antiqua" w:cs="宋体"/>
          <w:sz w:val="24"/>
          <w:szCs w:val="24"/>
        </w:rPr>
        <w:t xml:space="preserve">, Lawen A. Non-transferrin iron reduction and uptake are regulated by transmembrane ascorbate cycling in K562 cells. </w:t>
      </w:r>
      <w:r w:rsidRPr="008F27F5">
        <w:rPr>
          <w:rFonts w:ascii="Book Antiqua" w:eastAsia="宋体" w:hAnsi="Book Antiqua" w:cs="宋体"/>
          <w:i/>
          <w:iCs/>
          <w:sz w:val="24"/>
          <w:szCs w:val="24"/>
        </w:rPr>
        <w:t>J Biol Chem</w:t>
      </w:r>
      <w:r w:rsidRPr="008F27F5">
        <w:rPr>
          <w:rFonts w:ascii="Book Antiqua" w:eastAsia="宋体" w:hAnsi="Book Antiqua" w:cs="宋体"/>
          <w:sz w:val="24"/>
          <w:szCs w:val="24"/>
        </w:rPr>
        <w:t xml:space="preserve"> 2008; </w:t>
      </w:r>
      <w:r w:rsidRPr="008F27F5">
        <w:rPr>
          <w:rFonts w:ascii="Book Antiqua" w:eastAsia="宋体" w:hAnsi="Book Antiqua" w:cs="宋体"/>
          <w:b/>
          <w:bCs/>
          <w:sz w:val="24"/>
          <w:szCs w:val="24"/>
        </w:rPr>
        <w:t>283</w:t>
      </w:r>
      <w:r w:rsidRPr="008F27F5">
        <w:rPr>
          <w:rFonts w:ascii="Book Antiqua" w:eastAsia="宋体" w:hAnsi="Book Antiqua" w:cs="宋体"/>
          <w:sz w:val="24"/>
          <w:szCs w:val="24"/>
        </w:rPr>
        <w:t>: 12701-12708 [PMID: 18347019 DOI: 10.1074/jbc.M</w:t>
      </w:r>
      <w:r w:rsidRPr="00E607BC">
        <w:rPr>
          <w:rFonts w:ascii="Book Antiqua" w:eastAsia="宋体" w:hAnsi="Book Antiqua" w:cs="宋体"/>
          <w:sz w:val="24"/>
          <w:szCs w:val="24"/>
        </w:rPr>
        <w:t>800713200</w:t>
      </w:r>
      <w:r w:rsidRPr="008F27F5">
        <w:rPr>
          <w:rFonts w:ascii="Book Antiqua" w:eastAsia="宋体" w:hAnsi="Book Antiqua" w:cs="宋体"/>
          <w:sz w:val="24"/>
          <w:szCs w:val="24"/>
        </w:rPr>
        <w:t>]</w:t>
      </w:r>
    </w:p>
    <w:p w:rsidR="00486697" w:rsidRPr="00E607BC" w:rsidRDefault="00486697" w:rsidP="00E607BC">
      <w:pPr>
        <w:spacing w:after="0" w:line="360" w:lineRule="auto"/>
        <w:jc w:val="both"/>
        <w:rPr>
          <w:rFonts w:ascii="Book Antiqua" w:eastAsia="宋体" w:hAnsi="Book Antiqua" w:cs="宋体"/>
          <w:sz w:val="24"/>
          <w:szCs w:val="24"/>
        </w:rPr>
      </w:pPr>
      <w:r w:rsidRPr="008F27F5">
        <w:rPr>
          <w:rFonts w:ascii="Book Antiqua" w:eastAsia="宋体" w:hAnsi="Book Antiqua" w:cs="宋体"/>
          <w:sz w:val="24"/>
          <w:szCs w:val="24"/>
        </w:rPr>
        <w:t xml:space="preserve">27 </w:t>
      </w:r>
      <w:r w:rsidRPr="008F27F5">
        <w:rPr>
          <w:rFonts w:ascii="Book Antiqua" w:eastAsia="宋体" w:hAnsi="Book Antiqua" w:cs="宋体"/>
          <w:b/>
          <w:bCs/>
          <w:sz w:val="24"/>
          <w:szCs w:val="24"/>
        </w:rPr>
        <w:t>Lane DJ</w:t>
      </w:r>
      <w:r w:rsidRPr="008F27F5">
        <w:rPr>
          <w:rFonts w:ascii="Book Antiqua" w:eastAsia="宋体" w:hAnsi="Book Antiqua" w:cs="宋体"/>
          <w:sz w:val="24"/>
          <w:szCs w:val="24"/>
        </w:rPr>
        <w:t xml:space="preserve">, Robinson SR, Czerwinska H, Bishop GM, Lawen A. Two routes of iron accumulation in astrocytes: ascorbate-dependent ferrous iron uptake via the divalent metal transporter (DMT1) plus an independent route for ferric iron. </w:t>
      </w:r>
      <w:r w:rsidRPr="008F27F5">
        <w:rPr>
          <w:rFonts w:ascii="Book Antiqua" w:eastAsia="宋体" w:hAnsi="Book Antiqua" w:cs="宋体"/>
          <w:i/>
          <w:iCs/>
          <w:sz w:val="24"/>
          <w:szCs w:val="24"/>
        </w:rPr>
        <w:t>Biochem J</w:t>
      </w:r>
      <w:r w:rsidRPr="008F27F5">
        <w:rPr>
          <w:rFonts w:ascii="Book Antiqua" w:eastAsia="宋体" w:hAnsi="Book Antiqua" w:cs="宋体"/>
          <w:sz w:val="24"/>
          <w:szCs w:val="24"/>
        </w:rPr>
        <w:t xml:space="preserve"> 2010; </w:t>
      </w:r>
      <w:r w:rsidRPr="008F27F5">
        <w:rPr>
          <w:rFonts w:ascii="Book Antiqua" w:eastAsia="宋体" w:hAnsi="Book Antiqua" w:cs="宋体"/>
          <w:b/>
          <w:bCs/>
          <w:sz w:val="24"/>
          <w:szCs w:val="24"/>
        </w:rPr>
        <w:t>432</w:t>
      </w:r>
      <w:r w:rsidRPr="008F27F5">
        <w:rPr>
          <w:rFonts w:ascii="Book Antiqua" w:eastAsia="宋体" w:hAnsi="Book Antiqua" w:cs="宋体"/>
          <w:sz w:val="24"/>
          <w:szCs w:val="24"/>
        </w:rPr>
        <w:t>: 123-132 [PMID: 2</w:t>
      </w:r>
      <w:r w:rsidRPr="00E607BC">
        <w:rPr>
          <w:rFonts w:ascii="Book Antiqua" w:eastAsia="宋体" w:hAnsi="Book Antiqua" w:cs="宋体"/>
          <w:sz w:val="24"/>
          <w:szCs w:val="24"/>
        </w:rPr>
        <w:t>0819077 DOI: 10.1042/BJ20101317</w:t>
      </w:r>
      <w:r w:rsidRPr="008F27F5">
        <w:rPr>
          <w:rFonts w:ascii="Book Antiqua" w:eastAsia="宋体" w:hAnsi="Book Antiqua" w:cs="宋体"/>
          <w:sz w:val="24"/>
          <w:szCs w:val="24"/>
        </w:rPr>
        <w:t>]</w:t>
      </w:r>
    </w:p>
    <w:p w:rsidR="00E607BC" w:rsidRPr="00E607BC" w:rsidRDefault="00E607BC" w:rsidP="00E607BC">
      <w:pPr>
        <w:adjustRightInd w:val="0"/>
        <w:snapToGrid w:val="0"/>
        <w:spacing w:after="0" w:line="360" w:lineRule="auto"/>
        <w:ind w:right="239"/>
        <w:jc w:val="right"/>
        <w:rPr>
          <w:rFonts w:ascii="Book Antiqua" w:hAnsi="Book Antiqua"/>
          <w:b/>
          <w:bCs/>
          <w:sz w:val="24"/>
          <w:szCs w:val="24"/>
          <w:lang w:val="en-GB"/>
        </w:rPr>
      </w:pPr>
      <w:r w:rsidRPr="00E607BC">
        <w:rPr>
          <w:rStyle w:val="Strong"/>
          <w:rFonts w:ascii="Book Antiqua" w:hAnsi="Book Antiqua" w:cs="Arial"/>
          <w:noProof/>
          <w:sz w:val="24"/>
          <w:szCs w:val="24"/>
          <w:lang w:val="en-GB"/>
        </w:rPr>
        <w:t>P-Reviewer:</w:t>
      </w:r>
      <w:r w:rsidRPr="00E607BC">
        <w:rPr>
          <w:rFonts w:ascii="Book Antiqua" w:hAnsi="Book Antiqua"/>
          <w:color w:val="000000"/>
          <w:sz w:val="24"/>
          <w:szCs w:val="24"/>
          <w:lang w:val="en-GB"/>
        </w:rPr>
        <w:t xml:space="preserve"> Cairo G, Carter WG, Fujiwara N, Kan L</w:t>
      </w:r>
      <w:r w:rsidRPr="00E607BC">
        <w:rPr>
          <w:rFonts w:ascii="Book Antiqua" w:hAnsi="Book Antiqua"/>
          <w:bCs/>
          <w:sz w:val="24"/>
          <w:szCs w:val="24"/>
          <w:lang w:val="en-GB"/>
        </w:rPr>
        <w:t xml:space="preserve"> </w:t>
      </w:r>
      <w:r w:rsidRPr="00E607BC">
        <w:rPr>
          <w:rFonts w:ascii="Book Antiqua" w:hAnsi="Book Antiqua"/>
          <w:b/>
          <w:bCs/>
          <w:sz w:val="24"/>
          <w:szCs w:val="24"/>
          <w:lang w:val="en-GB"/>
        </w:rPr>
        <w:t>S-Editor:</w:t>
      </w:r>
      <w:r w:rsidRPr="00E607BC">
        <w:rPr>
          <w:rFonts w:ascii="Book Antiqua" w:hAnsi="Book Antiqua"/>
          <w:bCs/>
          <w:sz w:val="24"/>
          <w:szCs w:val="24"/>
          <w:lang w:val="en-GB"/>
        </w:rPr>
        <w:t xml:space="preserve"> Tian YL</w:t>
      </w:r>
    </w:p>
    <w:p w:rsidR="00E607BC" w:rsidRPr="00E607BC" w:rsidRDefault="00E607BC" w:rsidP="00E607BC">
      <w:pPr>
        <w:adjustRightInd w:val="0"/>
        <w:snapToGrid w:val="0"/>
        <w:spacing w:after="0" w:line="360" w:lineRule="auto"/>
        <w:ind w:right="239"/>
        <w:jc w:val="right"/>
        <w:rPr>
          <w:rFonts w:ascii="Book Antiqua" w:hAnsi="Book Antiqua"/>
          <w:bCs/>
          <w:sz w:val="24"/>
          <w:szCs w:val="24"/>
        </w:rPr>
      </w:pPr>
      <w:r w:rsidRPr="00E607BC">
        <w:rPr>
          <w:rFonts w:ascii="Book Antiqua" w:hAnsi="Book Antiqua"/>
          <w:b/>
          <w:bCs/>
          <w:sz w:val="24"/>
          <w:szCs w:val="24"/>
        </w:rPr>
        <w:t>L-Editor:   E-Editor:</w:t>
      </w:r>
    </w:p>
    <w:p w:rsidR="00E607BC" w:rsidRPr="00E607BC" w:rsidRDefault="00E607BC" w:rsidP="00E607BC">
      <w:pPr>
        <w:spacing w:after="0" w:line="360" w:lineRule="auto"/>
        <w:jc w:val="both"/>
        <w:rPr>
          <w:rFonts w:ascii="Book Antiqua" w:eastAsia="宋体" w:hAnsi="Book Antiqua" w:cs="宋体"/>
          <w:sz w:val="24"/>
          <w:szCs w:val="24"/>
        </w:rPr>
      </w:pPr>
    </w:p>
    <w:p w:rsidR="00834596" w:rsidRPr="00E607BC" w:rsidRDefault="00834596" w:rsidP="00E607BC">
      <w:pPr>
        <w:spacing w:after="0" w:line="360" w:lineRule="auto"/>
        <w:jc w:val="both"/>
        <w:rPr>
          <w:rFonts w:ascii="Book Antiqua" w:hAnsi="Book Antiqua"/>
          <w:sz w:val="24"/>
          <w:szCs w:val="24"/>
        </w:rPr>
      </w:pPr>
      <w:r w:rsidRPr="00E607BC">
        <w:rPr>
          <w:rFonts w:ascii="Book Antiqua" w:hAnsi="Book Antiqua"/>
          <w:sz w:val="24"/>
          <w:szCs w:val="24"/>
        </w:rPr>
        <w:br w:type="page"/>
      </w:r>
    </w:p>
    <w:p w:rsidR="00E122F5" w:rsidRPr="00E607BC" w:rsidRDefault="00E122F5" w:rsidP="00E607BC">
      <w:pPr>
        <w:spacing w:after="0" w:line="360" w:lineRule="auto"/>
        <w:jc w:val="both"/>
        <w:rPr>
          <w:rFonts w:ascii="Book Antiqua" w:hAnsi="Book Antiqua"/>
          <w:b/>
          <w:sz w:val="24"/>
          <w:szCs w:val="24"/>
          <w:lang w:val="en-US"/>
        </w:rPr>
      </w:pPr>
      <w:r w:rsidRPr="00E607BC">
        <w:rPr>
          <w:rFonts w:ascii="Book Antiqua" w:hAnsi="Book Antiqua"/>
          <w:b/>
          <w:noProof/>
          <w:sz w:val="24"/>
          <w:szCs w:val="24"/>
          <w:lang w:val="en-US" w:eastAsia="en-US"/>
        </w:rPr>
        <w:drawing>
          <wp:inline distT="0" distB="0" distL="0" distR="0" wp14:anchorId="2EF2FF2B" wp14:editId="3B33ED90">
            <wp:extent cx="3633719" cy="3670757"/>
            <wp:effectExtent l="0" t="0" r="508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cidin.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4298" cy="3671342"/>
                    </a:xfrm>
                    <a:prstGeom prst="rect">
                      <a:avLst/>
                    </a:prstGeom>
                  </pic:spPr>
                </pic:pic>
              </a:graphicData>
            </a:graphic>
          </wp:inline>
        </w:drawing>
      </w:r>
    </w:p>
    <w:p w:rsidR="00E122F5" w:rsidRPr="00E607BC" w:rsidRDefault="00486697" w:rsidP="00E607BC">
      <w:pPr>
        <w:spacing w:after="0" w:line="360" w:lineRule="auto"/>
        <w:jc w:val="both"/>
        <w:rPr>
          <w:rFonts w:ascii="Book Antiqua" w:hAnsi="Book Antiqua"/>
          <w:sz w:val="24"/>
          <w:szCs w:val="24"/>
          <w:lang w:val="en-US"/>
        </w:rPr>
      </w:pPr>
      <w:r w:rsidRPr="00E607BC">
        <w:rPr>
          <w:rFonts w:ascii="Book Antiqua" w:eastAsia="Times New Roman" w:hAnsi="Book Antiqua"/>
          <w:b/>
          <w:sz w:val="24"/>
          <w:szCs w:val="24"/>
          <w:lang w:val="en-US" w:eastAsia="en-AU"/>
        </w:rPr>
        <w:t>Figure 1</w:t>
      </w:r>
      <w:r w:rsidR="00834596" w:rsidRPr="00E607BC">
        <w:rPr>
          <w:rFonts w:ascii="Book Antiqua" w:eastAsia="Times New Roman" w:hAnsi="Book Antiqua"/>
          <w:b/>
          <w:sz w:val="24"/>
          <w:szCs w:val="24"/>
          <w:lang w:val="en-US" w:eastAsia="en-AU"/>
        </w:rPr>
        <w:t xml:space="preserve"> Hepcidin in the regulation of systemic iron homeostasis.</w:t>
      </w:r>
      <w:r w:rsidRPr="00E607BC">
        <w:rPr>
          <w:rFonts w:ascii="Book Antiqua" w:hAnsi="Book Antiqua"/>
          <w:b/>
          <w:sz w:val="24"/>
          <w:szCs w:val="24"/>
          <w:lang w:val="en-US"/>
        </w:rPr>
        <w:t xml:space="preserve"> </w:t>
      </w:r>
      <w:r w:rsidR="00834596" w:rsidRPr="00E607BC">
        <w:rPr>
          <w:rFonts w:ascii="Book Antiqua" w:hAnsi="Book Antiqua"/>
          <w:sz w:val="24"/>
          <w:szCs w:val="24"/>
          <w:lang w:val="en-US"/>
        </w:rPr>
        <w:t>Systemic iron (Fe) homeostasis is primarily regulated by the hepcidin-ferroportin (FPN1) axis.</w:t>
      </w:r>
      <w:r w:rsidRPr="00E607BC">
        <w:rPr>
          <w:rFonts w:ascii="Book Antiqua" w:hAnsi="Book Antiqua"/>
          <w:sz w:val="24"/>
          <w:szCs w:val="24"/>
          <w:lang w:val="en-US"/>
        </w:rPr>
        <w:t xml:space="preserve"> </w:t>
      </w:r>
      <w:r w:rsidR="00834596" w:rsidRPr="00E607BC">
        <w:rPr>
          <w:rFonts w:ascii="Book Antiqua" w:hAnsi="Book Antiqua"/>
          <w:sz w:val="24"/>
          <w:szCs w:val="24"/>
          <w:lang w:val="en-US"/>
        </w:rPr>
        <w:t>Duodenal enterocytes import dietary Fe from several sources including heme Fe and non-heme Fe, which typically must be reduced at the level of the apical membrane by chemical reductants such as ascorbate</w:t>
      </w:r>
      <w:r w:rsidR="002950D7" w:rsidRPr="00E607BC">
        <w:rPr>
          <w:rFonts w:ascii="Book Antiqua" w:hAnsi="Book Antiqua"/>
          <w:sz w:val="24"/>
          <w:szCs w:val="24"/>
          <w:vertAlign w:val="superscript"/>
        </w:rPr>
        <w:t>[2</w:t>
      </w:r>
      <w:r w:rsidR="009B0B01" w:rsidRPr="00E607BC">
        <w:rPr>
          <w:rFonts w:ascii="Book Antiqua" w:hAnsi="Book Antiqua"/>
          <w:sz w:val="24"/>
          <w:szCs w:val="24"/>
          <w:vertAlign w:val="superscript"/>
        </w:rPr>
        <w:t>6,27</w:t>
      </w:r>
      <w:r w:rsidR="002950D7" w:rsidRPr="00E607BC">
        <w:rPr>
          <w:rFonts w:ascii="Book Antiqua" w:hAnsi="Book Antiqua"/>
          <w:sz w:val="24"/>
          <w:szCs w:val="24"/>
          <w:vertAlign w:val="superscript"/>
        </w:rPr>
        <w:t>]</w:t>
      </w:r>
      <w:r w:rsidR="00834596" w:rsidRPr="00E607BC">
        <w:rPr>
          <w:rFonts w:ascii="Book Antiqua" w:hAnsi="Book Antiqua"/>
          <w:sz w:val="24"/>
          <w:szCs w:val="24"/>
          <w:lang w:val="en-US"/>
        </w:rPr>
        <w:t xml:space="preserve"> or by plasma membrane oxidoreductases (</w:t>
      </w:r>
      <w:r w:rsidR="00834596" w:rsidRPr="00E607BC">
        <w:rPr>
          <w:rFonts w:ascii="Book Antiqua" w:hAnsi="Book Antiqua"/>
          <w:i/>
          <w:sz w:val="24"/>
          <w:szCs w:val="24"/>
          <w:lang w:val="en-US"/>
        </w:rPr>
        <w:t>e.g.</w:t>
      </w:r>
      <w:r w:rsidR="00834596" w:rsidRPr="00E607BC">
        <w:rPr>
          <w:rFonts w:ascii="Book Antiqua" w:hAnsi="Book Antiqua"/>
          <w:sz w:val="24"/>
          <w:szCs w:val="24"/>
          <w:lang w:val="en-US"/>
        </w:rPr>
        <w:t>, Dcytb),</w:t>
      </w:r>
      <w:r w:rsidRPr="00E607BC">
        <w:rPr>
          <w:rFonts w:ascii="Book Antiqua" w:hAnsi="Book Antiqua"/>
          <w:sz w:val="24"/>
          <w:szCs w:val="24"/>
          <w:lang w:val="en-US"/>
        </w:rPr>
        <w:t xml:space="preserve"> </w:t>
      </w:r>
      <w:r w:rsidR="00834596" w:rsidRPr="00E607BC">
        <w:rPr>
          <w:rFonts w:ascii="Book Antiqua" w:hAnsi="Book Antiqua"/>
          <w:sz w:val="24"/>
          <w:szCs w:val="24"/>
          <w:lang w:val="en-US"/>
        </w:rPr>
        <w:t>The reduced Fe then enters a common intracellular pool of Fe.</w:t>
      </w:r>
      <w:r w:rsidRPr="00E607BC">
        <w:rPr>
          <w:rFonts w:ascii="Book Antiqua" w:hAnsi="Book Antiqua"/>
          <w:sz w:val="24"/>
          <w:szCs w:val="24"/>
          <w:lang w:val="en-US"/>
        </w:rPr>
        <w:t xml:space="preserve"> </w:t>
      </w:r>
      <w:r w:rsidR="00834596" w:rsidRPr="00E607BC">
        <w:rPr>
          <w:rFonts w:ascii="Book Antiqua" w:hAnsi="Book Antiqua"/>
          <w:sz w:val="24"/>
          <w:szCs w:val="24"/>
          <w:lang w:val="en-US"/>
        </w:rPr>
        <w:t>“Sensing” the level of transferrin (T</w:t>
      </w:r>
      <w:r w:rsidR="00E122F5" w:rsidRPr="00E607BC">
        <w:rPr>
          <w:rFonts w:ascii="Book Antiqua" w:hAnsi="Book Antiqua"/>
          <w:sz w:val="24"/>
          <w:szCs w:val="24"/>
          <w:lang w:val="en-US"/>
        </w:rPr>
        <w:t>F</w:t>
      </w:r>
      <w:r w:rsidR="00834596" w:rsidRPr="00E607BC">
        <w:rPr>
          <w:rFonts w:ascii="Book Antiqua" w:hAnsi="Book Antiqua"/>
          <w:sz w:val="24"/>
          <w:szCs w:val="24"/>
          <w:lang w:val="en-US"/>
        </w:rPr>
        <w:t>) saturation and levels of Fe stores under conditions of Fe overload, hepatocytes up-regulate the expression of hepcidin, which is then released into the plasma where it can then bind to ferroportin (FPN1), thereby triggering FPN1 internalization and proteosomal degradation</w:t>
      </w:r>
      <w:r w:rsidR="00E122F5" w:rsidRPr="00E607BC">
        <w:rPr>
          <w:rFonts w:ascii="Book Antiqua" w:hAnsi="Book Antiqua"/>
          <w:sz w:val="24"/>
          <w:szCs w:val="24"/>
          <w:vertAlign w:val="superscript"/>
          <w:lang w:val="en-US"/>
        </w:rPr>
        <w:t>[1]</w:t>
      </w:r>
      <w:r w:rsidR="00834596" w:rsidRPr="00E607BC">
        <w:rPr>
          <w:rFonts w:ascii="Book Antiqua" w:hAnsi="Book Antiqua"/>
          <w:sz w:val="24"/>
          <w:szCs w:val="24"/>
          <w:lang w:val="en-US"/>
        </w:rPr>
        <w:t>.</w:t>
      </w:r>
    </w:p>
    <w:p w:rsidR="00834596" w:rsidRPr="00E607BC" w:rsidRDefault="00E122F5" w:rsidP="00E607BC">
      <w:pPr>
        <w:spacing w:after="0" w:line="360" w:lineRule="auto"/>
        <w:jc w:val="both"/>
        <w:rPr>
          <w:rFonts w:ascii="Book Antiqua" w:hAnsi="Book Antiqua"/>
          <w:sz w:val="24"/>
          <w:szCs w:val="24"/>
          <w:lang w:val="en-US"/>
        </w:rPr>
      </w:pPr>
      <w:r w:rsidRPr="00E607BC">
        <w:rPr>
          <w:rFonts w:ascii="Book Antiqua" w:hAnsi="Book Antiqua"/>
          <w:noProof/>
          <w:sz w:val="24"/>
          <w:szCs w:val="24"/>
          <w:lang w:val="en-US" w:eastAsia="en-US"/>
        </w:rPr>
        <w:drawing>
          <wp:inline distT="0" distB="0" distL="0" distR="0" wp14:anchorId="522D7817" wp14:editId="3564EED6">
            <wp:extent cx="2341744" cy="1756438"/>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512" cy="1757764"/>
                    </a:xfrm>
                    <a:prstGeom prst="rect">
                      <a:avLst/>
                    </a:prstGeom>
                  </pic:spPr>
                </pic:pic>
              </a:graphicData>
            </a:graphic>
          </wp:inline>
        </w:drawing>
      </w:r>
      <w:r w:rsidRPr="00E607BC">
        <w:rPr>
          <w:rFonts w:ascii="Book Antiqua" w:hAnsi="Book Antiqua"/>
          <w:sz w:val="24"/>
          <w:szCs w:val="24"/>
          <w:lang w:val="en-US"/>
        </w:rPr>
        <w:t xml:space="preserve"> </w:t>
      </w:r>
    </w:p>
    <w:p w:rsidR="00850774" w:rsidRPr="00E607BC" w:rsidRDefault="00486697" w:rsidP="00E607BC">
      <w:pPr>
        <w:spacing w:after="0" w:line="360" w:lineRule="auto"/>
        <w:jc w:val="both"/>
        <w:rPr>
          <w:rFonts w:ascii="Book Antiqua" w:hAnsi="Book Antiqua"/>
          <w:sz w:val="24"/>
          <w:szCs w:val="24"/>
          <w:lang w:val="en-US"/>
        </w:rPr>
      </w:pPr>
      <w:r w:rsidRPr="00E607BC">
        <w:rPr>
          <w:rFonts w:ascii="Book Antiqua" w:eastAsia="Times New Roman" w:hAnsi="Book Antiqua"/>
          <w:b/>
          <w:sz w:val="24"/>
          <w:szCs w:val="24"/>
          <w:lang w:val="en-US" w:eastAsia="en-AU"/>
        </w:rPr>
        <w:t>Figure 2</w:t>
      </w:r>
      <w:r w:rsidR="00850774" w:rsidRPr="00E607BC">
        <w:rPr>
          <w:rFonts w:ascii="Book Antiqua" w:eastAsia="Times New Roman" w:hAnsi="Book Antiqua"/>
          <w:b/>
          <w:sz w:val="24"/>
          <w:szCs w:val="24"/>
          <w:lang w:val="en-US" w:eastAsia="en-AU"/>
        </w:rPr>
        <w:t xml:space="preserve"> </w:t>
      </w:r>
      <w:r w:rsidRPr="00E607BC">
        <w:rPr>
          <w:rFonts w:ascii="Book Antiqua" w:eastAsia="Times New Roman" w:hAnsi="Book Antiqua"/>
          <w:b/>
          <w:sz w:val="24"/>
          <w:szCs w:val="24"/>
          <w:lang w:val="en-US" w:eastAsia="en-AU"/>
        </w:rPr>
        <w:t xml:space="preserve">Two </w:t>
      </w:r>
      <w:r w:rsidR="00850774" w:rsidRPr="00E607BC">
        <w:rPr>
          <w:rFonts w:ascii="Book Antiqua" w:eastAsia="Times New Roman" w:hAnsi="Book Antiqua"/>
          <w:b/>
          <w:sz w:val="24"/>
          <w:szCs w:val="24"/>
          <w:lang w:val="en-US" w:eastAsia="en-AU"/>
        </w:rPr>
        <w:t>potential actions of erythroferrone</w:t>
      </w:r>
      <w:r w:rsidRPr="00E607BC">
        <w:rPr>
          <w:rFonts w:ascii="Book Antiqua" w:hAnsi="Book Antiqua"/>
          <w:b/>
          <w:sz w:val="24"/>
          <w:szCs w:val="24"/>
          <w:lang w:val="en-US"/>
        </w:rPr>
        <w:t xml:space="preserve">. </w:t>
      </w:r>
      <w:r w:rsidR="00850774" w:rsidRPr="00E607BC">
        <w:rPr>
          <w:rFonts w:ascii="Book Antiqua" w:hAnsi="Book Antiqua"/>
          <w:sz w:val="24"/>
          <w:szCs w:val="24"/>
          <w:lang w:val="en-US"/>
        </w:rPr>
        <w:t>After blood loss, stress erythropoiesis is triggered by erythropoietin.</w:t>
      </w:r>
      <w:r w:rsidRPr="00E607BC">
        <w:rPr>
          <w:rFonts w:ascii="Book Antiqua" w:hAnsi="Book Antiqua"/>
          <w:sz w:val="24"/>
          <w:szCs w:val="24"/>
          <w:lang w:val="en-US"/>
        </w:rPr>
        <w:t xml:space="preserve"> </w:t>
      </w:r>
      <w:r w:rsidR="00850774" w:rsidRPr="00E607BC">
        <w:rPr>
          <w:rFonts w:ascii="Book Antiqua" w:hAnsi="Book Antiqua"/>
          <w:sz w:val="24"/>
          <w:szCs w:val="24"/>
          <w:lang w:val="en-US"/>
        </w:rPr>
        <w:t>This results in erythroferrone release from erythroblasts and in turn down-regulation of hepcidin.</w:t>
      </w:r>
      <w:r w:rsidRPr="00E607BC">
        <w:rPr>
          <w:rFonts w:ascii="Book Antiqua" w:hAnsi="Book Antiqua"/>
          <w:sz w:val="24"/>
          <w:szCs w:val="24"/>
          <w:lang w:val="en-US"/>
        </w:rPr>
        <w:t xml:space="preserve"> </w:t>
      </w:r>
      <w:r w:rsidR="00850774" w:rsidRPr="00E607BC">
        <w:rPr>
          <w:rFonts w:ascii="Book Antiqua" w:hAnsi="Book Antiqua"/>
          <w:sz w:val="24"/>
          <w:szCs w:val="24"/>
          <w:lang w:val="en-US"/>
        </w:rPr>
        <w:t>As a result, iron absorption and hemoglobin synthesis and erythropoiesis are increased (left).</w:t>
      </w:r>
      <w:r w:rsidRPr="00E607BC">
        <w:rPr>
          <w:rFonts w:ascii="Book Antiqua" w:hAnsi="Book Antiqua"/>
          <w:sz w:val="24"/>
          <w:szCs w:val="24"/>
          <w:lang w:val="en-US"/>
        </w:rPr>
        <w:t xml:space="preserve"> </w:t>
      </w:r>
      <w:r w:rsidR="00850774" w:rsidRPr="00E607BC">
        <w:rPr>
          <w:rFonts w:ascii="Book Antiqua" w:hAnsi="Book Antiqua"/>
          <w:sz w:val="24"/>
          <w:szCs w:val="24"/>
          <w:lang w:val="en-US"/>
        </w:rPr>
        <w:t>In response to feeding and exercise, myonectin (erythroferrone) produced by myotubes triggers fatty acid uptake by adipocytes and hepatocytes (right).</w:t>
      </w:r>
      <w:r w:rsidRPr="00E607BC">
        <w:rPr>
          <w:rFonts w:ascii="Book Antiqua" w:hAnsi="Book Antiqua"/>
          <w:sz w:val="24"/>
          <w:szCs w:val="24"/>
          <w:lang w:val="en-US"/>
        </w:rPr>
        <w:t xml:space="preserve"> </w:t>
      </w:r>
      <w:r w:rsidR="00850774" w:rsidRPr="00E607BC">
        <w:rPr>
          <w:rFonts w:ascii="Book Antiqua" w:hAnsi="Book Antiqua"/>
          <w:sz w:val="24"/>
          <w:szCs w:val="24"/>
          <w:lang w:val="en-US"/>
        </w:rPr>
        <w:t xml:space="preserve">Considering the function of erythroferrone in erythropoiesis, regulation of myoglobin is suggested to be a likely consequence of myonectin release (far right). </w:t>
      </w:r>
    </w:p>
    <w:sectPr w:rsidR="00850774" w:rsidRPr="00E607BC" w:rsidSect="00190889">
      <w:footerReference w:type="defaul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30" w:rsidRDefault="00F06E30" w:rsidP="00BA3D70">
      <w:pPr>
        <w:spacing w:after="0" w:line="240" w:lineRule="auto"/>
      </w:pPr>
      <w:r>
        <w:separator/>
      </w:r>
    </w:p>
  </w:endnote>
  <w:endnote w:type="continuationSeparator" w:id="0">
    <w:p w:rsidR="00F06E30" w:rsidRDefault="00F06E30" w:rsidP="00BA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1855"/>
      <w:docPartObj>
        <w:docPartGallery w:val="Page Numbers (Bottom of Page)"/>
        <w:docPartUnique/>
      </w:docPartObj>
    </w:sdtPr>
    <w:sdtEndPr>
      <w:rPr>
        <w:noProof/>
      </w:rPr>
    </w:sdtEndPr>
    <w:sdtContent>
      <w:p w:rsidR="00BA3D70" w:rsidRDefault="00BA3D70">
        <w:pPr>
          <w:pStyle w:val="Footer"/>
          <w:jc w:val="right"/>
        </w:pPr>
        <w:r>
          <w:fldChar w:fldCharType="begin"/>
        </w:r>
        <w:r>
          <w:instrText xml:space="preserve"> PAGE   \* MERGEFORMAT </w:instrText>
        </w:r>
        <w:r>
          <w:fldChar w:fldCharType="separate"/>
        </w:r>
        <w:r w:rsidR="00113F90">
          <w:rPr>
            <w:noProof/>
          </w:rPr>
          <w:t>1</w:t>
        </w:r>
        <w:r>
          <w:rPr>
            <w:noProof/>
          </w:rPr>
          <w:fldChar w:fldCharType="end"/>
        </w:r>
      </w:p>
    </w:sdtContent>
  </w:sdt>
  <w:p w:rsidR="00BA3D70" w:rsidRDefault="00BA3D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30" w:rsidRDefault="00F06E30" w:rsidP="00BA3D70">
      <w:pPr>
        <w:spacing w:after="0" w:line="240" w:lineRule="auto"/>
      </w:pPr>
      <w:r>
        <w:separator/>
      </w:r>
    </w:p>
  </w:footnote>
  <w:footnote w:type="continuationSeparator" w:id="0">
    <w:p w:rsidR="00F06E30" w:rsidRDefault="00F06E30" w:rsidP="00BA3D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A45"/>
    <w:multiLevelType w:val="hybridMultilevel"/>
    <w:tmpl w:val="3EBE9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9B01E6A"/>
    <w:multiLevelType w:val="hybridMultilevel"/>
    <w:tmpl w:val="1EAAAD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22"/>
    <w:rsid w:val="000432F9"/>
    <w:rsid w:val="0005574B"/>
    <w:rsid w:val="0006628E"/>
    <w:rsid w:val="000A773C"/>
    <w:rsid w:val="00113F90"/>
    <w:rsid w:val="0013737A"/>
    <w:rsid w:val="00145375"/>
    <w:rsid w:val="0015751B"/>
    <w:rsid w:val="00185C55"/>
    <w:rsid w:val="00190889"/>
    <w:rsid w:val="001B1634"/>
    <w:rsid w:val="001D715C"/>
    <w:rsid w:val="002020BE"/>
    <w:rsid w:val="00202642"/>
    <w:rsid w:val="00214290"/>
    <w:rsid w:val="00261BC9"/>
    <w:rsid w:val="00280C40"/>
    <w:rsid w:val="002950D7"/>
    <w:rsid w:val="002A24E1"/>
    <w:rsid w:val="002F4D8A"/>
    <w:rsid w:val="003061DE"/>
    <w:rsid w:val="00323CE2"/>
    <w:rsid w:val="00330CC7"/>
    <w:rsid w:val="00345489"/>
    <w:rsid w:val="00360566"/>
    <w:rsid w:val="003C2985"/>
    <w:rsid w:val="00414A81"/>
    <w:rsid w:val="00461E44"/>
    <w:rsid w:val="00467E30"/>
    <w:rsid w:val="00476EF2"/>
    <w:rsid w:val="0048085B"/>
    <w:rsid w:val="0048335A"/>
    <w:rsid w:val="00486697"/>
    <w:rsid w:val="004B74BE"/>
    <w:rsid w:val="004C75E3"/>
    <w:rsid w:val="004F6507"/>
    <w:rsid w:val="005013F9"/>
    <w:rsid w:val="005417D3"/>
    <w:rsid w:val="0055333F"/>
    <w:rsid w:val="00567AA0"/>
    <w:rsid w:val="005C2265"/>
    <w:rsid w:val="005D68DC"/>
    <w:rsid w:val="005E3B6D"/>
    <w:rsid w:val="00616C7E"/>
    <w:rsid w:val="00624B32"/>
    <w:rsid w:val="00664992"/>
    <w:rsid w:val="00672486"/>
    <w:rsid w:val="006A0D13"/>
    <w:rsid w:val="006B547D"/>
    <w:rsid w:val="006D4365"/>
    <w:rsid w:val="006E288B"/>
    <w:rsid w:val="00757632"/>
    <w:rsid w:val="0077007A"/>
    <w:rsid w:val="00795A96"/>
    <w:rsid w:val="007A2419"/>
    <w:rsid w:val="007F1770"/>
    <w:rsid w:val="007F4D87"/>
    <w:rsid w:val="007F5727"/>
    <w:rsid w:val="00834596"/>
    <w:rsid w:val="00837DED"/>
    <w:rsid w:val="00850774"/>
    <w:rsid w:val="008852C4"/>
    <w:rsid w:val="008B27AE"/>
    <w:rsid w:val="008B7369"/>
    <w:rsid w:val="008D2844"/>
    <w:rsid w:val="0099206B"/>
    <w:rsid w:val="009B0B01"/>
    <w:rsid w:val="009B57EE"/>
    <w:rsid w:val="009D583A"/>
    <w:rsid w:val="00A15B34"/>
    <w:rsid w:val="00A40E54"/>
    <w:rsid w:val="00A56630"/>
    <w:rsid w:val="00A6141D"/>
    <w:rsid w:val="00A80347"/>
    <w:rsid w:val="00AA2EE3"/>
    <w:rsid w:val="00AC70D9"/>
    <w:rsid w:val="00AE1640"/>
    <w:rsid w:val="00AE47E3"/>
    <w:rsid w:val="00AE73B6"/>
    <w:rsid w:val="00B20476"/>
    <w:rsid w:val="00B27FD4"/>
    <w:rsid w:val="00B40228"/>
    <w:rsid w:val="00B425EB"/>
    <w:rsid w:val="00B7275C"/>
    <w:rsid w:val="00BA3D70"/>
    <w:rsid w:val="00BC357F"/>
    <w:rsid w:val="00BF23B1"/>
    <w:rsid w:val="00C005E5"/>
    <w:rsid w:val="00C30333"/>
    <w:rsid w:val="00C41444"/>
    <w:rsid w:val="00C673C0"/>
    <w:rsid w:val="00C76C4D"/>
    <w:rsid w:val="00CE47DD"/>
    <w:rsid w:val="00D17136"/>
    <w:rsid w:val="00D23425"/>
    <w:rsid w:val="00D23B2D"/>
    <w:rsid w:val="00D31077"/>
    <w:rsid w:val="00D461D0"/>
    <w:rsid w:val="00D52371"/>
    <w:rsid w:val="00D52E22"/>
    <w:rsid w:val="00D5372E"/>
    <w:rsid w:val="00D56FF9"/>
    <w:rsid w:val="00D76C97"/>
    <w:rsid w:val="00D91D3D"/>
    <w:rsid w:val="00DA567F"/>
    <w:rsid w:val="00DD4AF8"/>
    <w:rsid w:val="00E122F5"/>
    <w:rsid w:val="00E3299A"/>
    <w:rsid w:val="00E607BC"/>
    <w:rsid w:val="00E6201F"/>
    <w:rsid w:val="00E64650"/>
    <w:rsid w:val="00E673E0"/>
    <w:rsid w:val="00E70631"/>
    <w:rsid w:val="00EA2874"/>
    <w:rsid w:val="00F061DA"/>
    <w:rsid w:val="00F06E30"/>
    <w:rsid w:val="00F14545"/>
    <w:rsid w:val="00F151AC"/>
    <w:rsid w:val="00F21CCF"/>
    <w:rsid w:val="00F47BA9"/>
    <w:rsid w:val="00F60D33"/>
    <w:rsid w:val="00F64672"/>
    <w:rsid w:val="00FD6BD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874"/>
    <w:rPr>
      <w:color w:val="0000FF" w:themeColor="hyperlink"/>
      <w:u w:val="single"/>
    </w:rPr>
  </w:style>
  <w:style w:type="paragraph" w:styleId="BalloonText">
    <w:name w:val="Balloon Text"/>
    <w:basedOn w:val="Normal"/>
    <w:link w:val="BalloonTextChar"/>
    <w:uiPriority w:val="99"/>
    <w:semiHidden/>
    <w:unhideWhenUsed/>
    <w:rsid w:val="00202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BE"/>
    <w:rPr>
      <w:rFonts w:ascii="Tahoma" w:hAnsi="Tahoma" w:cs="Tahoma"/>
      <w:sz w:val="16"/>
      <w:szCs w:val="16"/>
    </w:rPr>
  </w:style>
  <w:style w:type="paragraph" w:styleId="Header">
    <w:name w:val="header"/>
    <w:basedOn w:val="Normal"/>
    <w:link w:val="HeaderChar"/>
    <w:uiPriority w:val="99"/>
    <w:unhideWhenUsed/>
    <w:rsid w:val="00BA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70"/>
  </w:style>
  <w:style w:type="paragraph" w:styleId="Footer">
    <w:name w:val="footer"/>
    <w:basedOn w:val="Normal"/>
    <w:link w:val="FooterChar"/>
    <w:uiPriority w:val="99"/>
    <w:unhideWhenUsed/>
    <w:rsid w:val="00BA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70"/>
  </w:style>
  <w:style w:type="character" w:styleId="LineNumber">
    <w:name w:val="line number"/>
    <w:basedOn w:val="DefaultParagraphFont"/>
    <w:uiPriority w:val="99"/>
    <w:semiHidden/>
    <w:unhideWhenUsed/>
    <w:rsid w:val="00BA3D70"/>
  </w:style>
  <w:style w:type="character" w:styleId="CommentReference">
    <w:name w:val="annotation reference"/>
    <w:basedOn w:val="DefaultParagraphFont"/>
    <w:uiPriority w:val="99"/>
    <w:semiHidden/>
    <w:unhideWhenUsed/>
    <w:rsid w:val="00D56FF9"/>
    <w:rPr>
      <w:sz w:val="21"/>
      <w:szCs w:val="21"/>
    </w:rPr>
  </w:style>
  <w:style w:type="paragraph" w:styleId="CommentText">
    <w:name w:val="annotation text"/>
    <w:basedOn w:val="Normal"/>
    <w:link w:val="CommentTextChar"/>
    <w:unhideWhenUsed/>
    <w:rsid w:val="00D56FF9"/>
  </w:style>
  <w:style w:type="character" w:customStyle="1" w:styleId="CommentTextChar">
    <w:name w:val="Comment Text Char"/>
    <w:basedOn w:val="DefaultParagraphFont"/>
    <w:link w:val="CommentText"/>
    <w:rsid w:val="00D56FF9"/>
  </w:style>
  <w:style w:type="paragraph" w:styleId="CommentSubject">
    <w:name w:val="annotation subject"/>
    <w:basedOn w:val="CommentText"/>
    <w:next w:val="CommentText"/>
    <w:link w:val="CommentSubjectChar"/>
    <w:uiPriority w:val="99"/>
    <w:semiHidden/>
    <w:unhideWhenUsed/>
    <w:rsid w:val="00D56FF9"/>
    <w:rPr>
      <w:b/>
      <w:bCs/>
    </w:rPr>
  </w:style>
  <w:style w:type="character" w:customStyle="1" w:styleId="CommentSubjectChar">
    <w:name w:val="Comment Subject Char"/>
    <w:basedOn w:val="CommentTextChar"/>
    <w:link w:val="CommentSubject"/>
    <w:uiPriority w:val="99"/>
    <w:semiHidden/>
    <w:rsid w:val="00D56FF9"/>
    <w:rPr>
      <w:b/>
      <w:bCs/>
    </w:rPr>
  </w:style>
  <w:style w:type="character" w:customStyle="1" w:styleId="highlight1">
    <w:name w:val="highlight1"/>
    <w:rsid w:val="00D56FF9"/>
    <w:rPr>
      <w:shd w:val="clear" w:color="auto" w:fill="F1BFE0"/>
    </w:rPr>
  </w:style>
  <w:style w:type="paragraph" w:styleId="ListParagraph">
    <w:name w:val="List Paragraph"/>
    <w:basedOn w:val="Normal"/>
    <w:uiPriority w:val="34"/>
    <w:qFormat/>
    <w:rsid w:val="00795A96"/>
    <w:pPr>
      <w:ind w:left="720"/>
      <w:contextualSpacing/>
    </w:pPr>
  </w:style>
  <w:style w:type="paragraph" w:styleId="BodyTextIndent">
    <w:name w:val="Body Text Indent"/>
    <w:basedOn w:val="Normal"/>
    <w:link w:val="BodyTextIndentChar"/>
    <w:uiPriority w:val="99"/>
    <w:unhideWhenUsed/>
    <w:rsid w:val="00486697"/>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486697"/>
    <w:rPr>
      <w:rFonts w:ascii="Book Antiqua" w:hAnsi="Book Antiqua" w:cs="Times New Roman"/>
      <w:sz w:val="20"/>
      <w:szCs w:val="20"/>
      <w:lang w:val="en-US" w:eastAsia="ja-JP"/>
    </w:rPr>
  </w:style>
  <w:style w:type="character" w:styleId="Strong">
    <w:name w:val="Strong"/>
    <w:qFormat/>
    <w:rsid w:val="00E607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874"/>
    <w:rPr>
      <w:color w:val="0000FF" w:themeColor="hyperlink"/>
      <w:u w:val="single"/>
    </w:rPr>
  </w:style>
  <w:style w:type="paragraph" w:styleId="BalloonText">
    <w:name w:val="Balloon Text"/>
    <w:basedOn w:val="Normal"/>
    <w:link w:val="BalloonTextChar"/>
    <w:uiPriority w:val="99"/>
    <w:semiHidden/>
    <w:unhideWhenUsed/>
    <w:rsid w:val="00202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BE"/>
    <w:rPr>
      <w:rFonts w:ascii="Tahoma" w:hAnsi="Tahoma" w:cs="Tahoma"/>
      <w:sz w:val="16"/>
      <w:szCs w:val="16"/>
    </w:rPr>
  </w:style>
  <w:style w:type="paragraph" w:styleId="Header">
    <w:name w:val="header"/>
    <w:basedOn w:val="Normal"/>
    <w:link w:val="HeaderChar"/>
    <w:uiPriority w:val="99"/>
    <w:unhideWhenUsed/>
    <w:rsid w:val="00BA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70"/>
  </w:style>
  <w:style w:type="paragraph" w:styleId="Footer">
    <w:name w:val="footer"/>
    <w:basedOn w:val="Normal"/>
    <w:link w:val="FooterChar"/>
    <w:uiPriority w:val="99"/>
    <w:unhideWhenUsed/>
    <w:rsid w:val="00BA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70"/>
  </w:style>
  <w:style w:type="character" w:styleId="LineNumber">
    <w:name w:val="line number"/>
    <w:basedOn w:val="DefaultParagraphFont"/>
    <w:uiPriority w:val="99"/>
    <w:semiHidden/>
    <w:unhideWhenUsed/>
    <w:rsid w:val="00BA3D70"/>
  </w:style>
  <w:style w:type="character" w:styleId="CommentReference">
    <w:name w:val="annotation reference"/>
    <w:basedOn w:val="DefaultParagraphFont"/>
    <w:uiPriority w:val="99"/>
    <w:semiHidden/>
    <w:unhideWhenUsed/>
    <w:rsid w:val="00D56FF9"/>
    <w:rPr>
      <w:sz w:val="21"/>
      <w:szCs w:val="21"/>
    </w:rPr>
  </w:style>
  <w:style w:type="paragraph" w:styleId="CommentText">
    <w:name w:val="annotation text"/>
    <w:basedOn w:val="Normal"/>
    <w:link w:val="CommentTextChar"/>
    <w:unhideWhenUsed/>
    <w:rsid w:val="00D56FF9"/>
  </w:style>
  <w:style w:type="character" w:customStyle="1" w:styleId="CommentTextChar">
    <w:name w:val="Comment Text Char"/>
    <w:basedOn w:val="DefaultParagraphFont"/>
    <w:link w:val="CommentText"/>
    <w:rsid w:val="00D56FF9"/>
  </w:style>
  <w:style w:type="paragraph" w:styleId="CommentSubject">
    <w:name w:val="annotation subject"/>
    <w:basedOn w:val="CommentText"/>
    <w:next w:val="CommentText"/>
    <w:link w:val="CommentSubjectChar"/>
    <w:uiPriority w:val="99"/>
    <w:semiHidden/>
    <w:unhideWhenUsed/>
    <w:rsid w:val="00D56FF9"/>
    <w:rPr>
      <w:b/>
      <w:bCs/>
    </w:rPr>
  </w:style>
  <w:style w:type="character" w:customStyle="1" w:styleId="CommentSubjectChar">
    <w:name w:val="Comment Subject Char"/>
    <w:basedOn w:val="CommentTextChar"/>
    <w:link w:val="CommentSubject"/>
    <w:uiPriority w:val="99"/>
    <w:semiHidden/>
    <w:rsid w:val="00D56FF9"/>
    <w:rPr>
      <w:b/>
      <w:bCs/>
    </w:rPr>
  </w:style>
  <w:style w:type="character" w:customStyle="1" w:styleId="highlight1">
    <w:name w:val="highlight1"/>
    <w:rsid w:val="00D56FF9"/>
    <w:rPr>
      <w:shd w:val="clear" w:color="auto" w:fill="F1BFE0"/>
    </w:rPr>
  </w:style>
  <w:style w:type="paragraph" w:styleId="ListParagraph">
    <w:name w:val="List Paragraph"/>
    <w:basedOn w:val="Normal"/>
    <w:uiPriority w:val="34"/>
    <w:qFormat/>
    <w:rsid w:val="00795A96"/>
    <w:pPr>
      <w:ind w:left="720"/>
      <w:contextualSpacing/>
    </w:pPr>
  </w:style>
  <w:style w:type="paragraph" w:styleId="BodyTextIndent">
    <w:name w:val="Body Text Indent"/>
    <w:basedOn w:val="Normal"/>
    <w:link w:val="BodyTextIndentChar"/>
    <w:uiPriority w:val="99"/>
    <w:unhideWhenUsed/>
    <w:rsid w:val="00486697"/>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486697"/>
    <w:rPr>
      <w:rFonts w:ascii="Book Antiqua" w:hAnsi="Book Antiqua" w:cs="Times New Roman"/>
      <w:sz w:val="20"/>
      <w:szCs w:val="20"/>
      <w:lang w:val="en-US" w:eastAsia="ja-JP"/>
    </w:rPr>
  </w:style>
  <w:style w:type="character" w:styleId="Strong">
    <w:name w:val="Strong"/>
    <w:qFormat/>
    <w:rsid w:val="00E60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2561">
      <w:bodyDiv w:val="1"/>
      <w:marLeft w:val="0"/>
      <w:marRight w:val="0"/>
      <w:marTop w:val="0"/>
      <w:marBottom w:val="0"/>
      <w:divBdr>
        <w:top w:val="none" w:sz="0" w:space="0" w:color="auto"/>
        <w:left w:val="none" w:sz="0" w:space="0" w:color="auto"/>
        <w:bottom w:val="none" w:sz="0" w:space="0" w:color="auto"/>
        <w:right w:val="none" w:sz="0" w:space="0" w:color="auto"/>
      </w:divBdr>
    </w:div>
    <w:div w:id="14110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lfons.lawen@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CDDC-2431-1540-9F9E-4AC83892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2860</Words>
  <Characters>16305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 Lawen</dc:creator>
  <cp:lastModifiedBy>Na Ma</cp:lastModifiedBy>
  <cp:revision>2</cp:revision>
  <cp:lastPrinted>2015-04-19T21:46:00Z</cp:lastPrinted>
  <dcterms:created xsi:type="dcterms:W3CDTF">2015-05-17T17:53:00Z</dcterms:created>
  <dcterms:modified xsi:type="dcterms:W3CDTF">2015-05-17T17:53:00Z</dcterms:modified>
</cp:coreProperties>
</file>