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C39" w:rsidRPr="007820B2" w:rsidRDefault="00D93C39" w:rsidP="00087AC8">
      <w:pPr>
        <w:adjustRightInd w:val="0"/>
        <w:snapToGrid w:val="0"/>
        <w:spacing w:after="0" w:line="360" w:lineRule="auto"/>
        <w:jc w:val="both"/>
        <w:rPr>
          <w:rFonts w:ascii="Book Antiqua" w:hAnsi="Book Antiqua" w:cs="SimSun"/>
          <w:b/>
          <w:sz w:val="24"/>
          <w:szCs w:val="24"/>
        </w:rPr>
      </w:pPr>
      <w:r w:rsidRPr="007820B2">
        <w:rPr>
          <w:rFonts w:ascii="Book Antiqua" w:hAnsi="Book Antiqua" w:cs="SimSun"/>
          <w:b/>
          <w:sz w:val="24"/>
          <w:szCs w:val="24"/>
        </w:rPr>
        <w:t>Name</w:t>
      </w:r>
      <w:r w:rsidRPr="007820B2">
        <w:rPr>
          <w:rFonts w:ascii="Book Antiqua" w:hAnsi="Book Antiqua" w:cs="SimSun" w:hint="eastAsia"/>
          <w:b/>
          <w:sz w:val="24"/>
          <w:szCs w:val="24"/>
        </w:rPr>
        <w:t xml:space="preserve"> </w:t>
      </w:r>
      <w:r w:rsidRPr="007820B2">
        <w:rPr>
          <w:rFonts w:ascii="Book Antiqua" w:hAnsi="Book Antiqua" w:cs="SimSun"/>
          <w:b/>
          <w:sz w:val="24"/>
          <w:szCs w:val="24"/>
        </w:rPr>
        <w:t>of</w:t>
      </w:r>
      <w:r w:rsidRPr="007820B2">
        <w:rPr>
          <w:rFonts w:ascii="Book Antiqua" w:hAnsi="Book Antiqua" w:cs="SimSun" w:hint="eastAsia"/>
          <w:b/>
          <w:sz w:val="24"/>
          <w:szCs w:val="24"/>
        </w:rPr>
        <w:t xml:space="preserve"> </w:t>
      </w:r>
      <w:r w:rsidRPr="007820B2">
        <w:rPr>
          <w:rFonts w:ascii="Book Antiqua" w:hAnsi="Book Antiqua" w:cs="SimSun"/>
          <w:b/>
          <w:sz w:val="24"/>
          <w:szCs w:val="24"/>
        </w:rPr>
        <w:t>Journal:</w:t>
      </w:r>
      <w:r>
        <w:rPr>
          <w:rFonts w:ascii="Book Antiqua" w:hAnsi="Book Antiqua" w:cs="SimSun" w:hint="eastAsia"/>
          <w:b/>
          <w:sz w:val="24"/>
          <w:szCs w:val="24"/>
        </w:rPr>
        <w:t xml:space="preserve"> </w:t>
      </w:r>
      <w:r w:rsidRPr="007820B2">
        <w:rPr>
          <w:rFonts w:ascii="Book Antiqua" w:hAnsi="Book Antiqua" w:cs="SimSun"/>
          <w:b/>
          <w:sz w:val="24"/>
          <w:szCs w:val="24"/>
        </w:rPr>
        <w:t>World Journal of Gastroenterology</w:t>
      </w:r>
    </w:p>
    <w:p w:rsidR="00D93C39" w:rsidRPr="007820B2" w:rsidRDefault="00D93C39" w:rsidP="00087AC8">
      <w:pPr>
        <w:adjustRightInd w:val="0"/>
        <w:snapToGrid w:val="0"/>
        <w:spacing w:after="0" w:line="360" w:lineRule="auto"/>
        <w:jc w:val="both"/>
        <w:rPr>
          <w:rFonts w:ascii="Book Antiqua" w:hAnsi="Book Antiqua" w:cs="SimSun"/>
          <w:b/>
          <w:sz w:val="24"/>
          <w:szCs w:val="24"/>
          <w:lang w:eastAsia="zh-CN"/>
        </w:rPr>
      </w:pPr>
      <w:r>
        <w:rPr>
          <w:rFonts w:ascii="Book Antiqua" w:hAnsi="Book Antiqua" w:cs="SimSun"/>
          <w:b/>
          <w:sz w:val="24"/>
          <w:szCs w:val="24"/>
        </w:rPr>
        <w:t>ESPS</w:t>
      </w:r>
      <w:r>
        <w:rPr>
          <w:rFonts w:ascii="Book Antiqua" w:hAnsi="Book Antiqua" w:cs="SimSun" w:hint="eastAsia"/>
          <w:b/>
          <w:sz w:val="24"/>
          <w:szCs w:val="24"/>
        </w:rPr>
        <w:t xml:space="preserve"> </w:t>
      </w:r>
      <w:r>
        <w:rPr>
          <w:rFonts w:ascii="Book Antiqua" w:hAnsi="Book Antiqua" w:cs="SimSun"/>
          <w:b/>
          <w:sz w:val="24"/>
          <w:szCs w:val="24"/>
        </w:rPr>
        <w:t>Manuscript</w:t>
      </w:r>
      <w:r>
        <w:rPr>
          <w:rFonts w:ascii="Book Antiqua" w:hAnsi="Book Antiqua" w:cs="SimSun" w:hint="eastAsia"/>
          <w:b/>
          <w:sz w:val="24"/>
          <w:szCs w:val="24"/>
        </w:rPr>
        <w:t xml:space="preserve"> </w:t>
      </w:r>
      <w:r w:rsidRPr="007820B2">
        <w:rPr>
          <w:rFonts w:ascii="Book Antiqua" w:hAnsi="Book Antiqua" w:cs="SimSun"/>
          <w:b/>
          <w:sz w:val="24"/>
          <w:szCs w:val="24"/>
        </w:rPr>
        <w:t>NO:</w:t>
      </w:r>
      <w:r>
        <w:rPr>
          <w:rFonts w:ascii="Book Antiqua" w:hAnsi="Book Antiqua" w:cs="SimSun" w:hint="eastAsia"/>
          <w:b/>
          <w:sz w:val="24"/>
          <w:szCs w:val="24"/>
          <w:lang w:eastAsia="zh-CN"/>
        </w:rPr>
        <w:t xml:space="preserve"> 16896</w:t>
      </w:r>
    </w:p>
    <w:p w:rsidR="007D28C5" w:rsidRDefault="00D93C39" w:rsidP="00087AC8">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SimSun"/>
          <w:b/>
          <w:sz w:val="24"/>
          <w:szCs w:val="24"/>
        </w:rPr>
        <w:t>Manuscript</w:t>
      </w:r>
      <w:r>
        <w:rPr>
          <w:rFonts w:ascii="Book Antiqua" w:hAnsi="Book Antiqua" w:cs="SimSun" w:hint="eastAsia"/>
          <w:b/>
          <w:sz w:val="24"/>
          <w:szCs w:val="24"/>
        </w:rPr>
        <w:t xml:space="preserve"> </w:t>
      </w:r>
      <w:r w:rsidRPr="007820B2">
        <w:rPr>
          <w:rFonts w:ascii="Book Antiqua" w:hAnsi="Book Antiqua" w:cs="SimSun"/>
          <w:b/>
          <w:sz w:val="24"/>
          <w:szCs w:val="24"/>
        </w:rPr>
        <w:t>Type:</w:t>
      </w:r>
      <w:r>
        <w:rPr>
          <w:rFonts w:ascii="Book Antiqua" w:hAnsi="Book Antiqua" w:cs="SimSun" w:hint="eastAsia"/>
          <w:b/>
          <w:sz w:val="24"/>
          <w:szCs w:val="24"/>
          <w:lang w:eastAsia="zh-CN"/>
        </w:rPr>
        <w:t xml:space="preserve"> </w:t>
      </w:r>
      <w:r w:rsidR="007D28C5" w:rsidRPr="00087AC8">
        <w:rPr>
          <w:rFonts w:ascii="Book Antiqua" w:hAnsi="Book Antiqua" w:cs="Times New Roman"/>
          <w:b/>
          <w:caps/>
          <w:sz w:val="24"/>
          <w:szCs w:val="24"/>
        </w:rPr>
        <w:t>Case Report</w:t>
      </w:r>
    </w:p>
    <w:p w:rsidR="00D93C39" w:rsidRPr="00D93C39" w:rsidRDefault="00D93C39" w:rsidP="00087AC8">
      <w:pPr>
        <w:adjustRightInd w:val="0"/>
        <w:snapToGrid w:val="0"/>
        <w:spacing w:after="0" w:line="360" w:lineRule="auto"/>
        <w:jc w:val="both"/>
        <w:rPr>
          <w:rFonts w:ascii="Book Antiqua" w:hAnsi="Book Antiqua" w:cs="Times New Roman"/>
          <w:b/>
          <w:sz w:val="24"/>
          <w:szCs w:val="24"/>
          <w:lang w:eastAsia="zh-CN"/>
        </w:rPr>
      </w:pPr>
    </w:p>
    <w:p w:rsidR="00B50B7A" w:rsidRDefault="003C117B" w:rsidP="00087AC8">
      <w:pPr>
        <w:adjustRightInd w:val="0"/>
        <w:snapToGrid w:val="0"/>
        <w:spacing w:after="0" w:line="360" w:lineRule="auto"/>
        <w:jc w:val="both"/>
        <w:rPr>
          <w:rFonts w:ascii="Book Antiqua" w:hAnsi="Book Antiqua" w:cs="Times New Roman"/>
          <w:b/>
          <w:sz w:val="24"/>
          <w:szCs w:val="24"/>
          <w:lang w:eastAsia="zh-CN"/>
        </w:rPr>
      </w:pPr>
      <w:r w:rsidRPr="00D93C39">
        <w:rPr>
          <w:rFonts w:ascii="Book Antiqua" w:hAnsi="Book Antiqua" w:cs="Times New Roman"/>
          <w:b/>
          <w:sz w:val="24"/>
          <w:szCs w:val="24"/>
        </w:rPr>
        <w:t>Extraortdinar</w:t>
      </w:r>
      <w:r w:rsidR="00D93C39" w:rsidRPr="00D93C39">
        <w:rPr>
          <w:rFonts w:ascii="Book Antiqua" w:hAnsi="Book Antiqua" w:cs="Times New Roman"/>
          <w:b/>
          <w:sz w:val="24"/>
          <w:szCs w:val="24"/>
        </w:rPr>
        <w:t>y cause of acute-gastric-dilatation and hepatic-portal-venous-ga</w:t>
      </w:r>
      <w:r w:rsidRPr="00D93C39">
        <w:rPr>
          <w:rFonts w:ascii="Book Antiqua" w:hAnsi="Book Antiqua" w:cs="Times New Roman"/>
          <w:b/>
          <w:sz w:val="24"/>
          <w:szCs w:val="24"/>
        </w:rPr>
        <w:t xml:space="preserve">s: Chronic use of </w:t>
      </w:r>
      <w:r w:rsidR="00D93C39" w:rsidRPr="00D93C39">
        <w:rPr>
          <w:rFonts w:ascii="Book Antiqua" w:hAnsi="Book Antiqua" w:cs="Times New Roman"/>
          <w:b/>
          <w:sz w:val="24"/>
          <w:szCs w:val="24"/>
        </w:rPr>
        <w:t>synthetic c</w:t>
      </w:r>
      <w:r w:rsidRPr="00D93C39">
        <w:rPr>
          <w:rFonts w:ascii="Book Antiqua" w:hAnsi="Book Antiqua" w:cs="Times New Roman"/>
          <w:b/>
          <w:sz w:val="24"/>
          <w:szCs w:val="24"/>
        </w:rPr>
        <w:t>annabinoid</w:t>
      </w:r>
    </w:p>
    <w:p w:rsidR="00D93C39" w:rsidRPr="00D93C39" w:rsidRDefault="00D93C39" w:rsidP="00087AC8">
      <w:pPr>
        <w:adjustRightInd w:val="0"/>
        <w:snapToGrid w:val="0"/>
        <w:spacing w:after="0" w:line="360" w:lineRule="auto"/>
        <w:jc w:val="both"/>
        <w:rPr>
          <w:rFonts w:ascii="Book Antiqua" w:hAnsi="Book Antiqua" w:cs="Times New Roman"/>
          <w:b/>
          <w:sz w:val="24"/>
          <w:szCs w:val="24"/>
          <w:lang w:eastAsia="zh-CN"/>
        </w:rPr>
      </w:pPr>
    </w:p>
    <w:p w:rsidR="00B50B7A" w:rsidRDefault="00E34FC5" w:rsidP="00087AC8">
      <w:pPr>
        <w:adjustRightInd w:val="0"/>
        <w:snapToGrid w:val="0"/>
        <w:spacing w:after="0" w:line="360" w:lineRule="auto"/>
        <w:jc w:val="both"/>
        <w:rPr>
          <w:rFonts w:ascii="Book Antiqua" w:hAnsi="Book Antiqua" w:cs="Times New Roman"/>
          <w:sz w:val="24"/>
          <w:szCs w:val="24"/>
          <w:lang w:eastAsia="zh-CN"/>
        </w:rPr>
      </w:pPr>
      <w:r w:rsidRPr="00D93C39">
        <w:rPr>
          <w:rFonts w:ascii="Book Antiqua" w:hAnsi="Book Antiqua" w:cs="Times New Roman"/>
          <w:sz w:val="24"/>
          <w:szCs w:val="24"/>
        </w:rPr>
        <w:t>Sevinc MM</w:t>
      </w:r>
      <w:r w:rsidR="007D28C5" w:rsidRPr="00D93C39">
        <w:rPr>
          <w:rFonts w:ascii="Book Antiqua" w:hAnsi="Book Antiqua" w:cs="Times New Roman"/>
          <w:sz w:val="24"/>
          <w:szCs w:val="24"/>
        </w:rPr>
        <w:t xml:space="preserve"> </w:t>
      </w:r>
      <w:r w:rsidR="007D28C5" w:rsidRPr="00D93C39">
        <w:rPr>
          <w:rFonts w:ascii="Book Antiqua" w:hAnsi="Book Antiqua" w:cs="Times New Roman"/>
          <w:i/>
          <w:sz w:val="24"/>
          <w:szCs w:val="24"/>
        </w:rPr>
        <w:t>et al.</w:t>
      </w:r>
      <w:r w:rsidR="00B50B7A" w:rsidRPr="00D93C39">
        <w:rPr>
          <w:rFonts w:ascii="Book Antiqua" w:hAnsi="Book Antiqua" w:cs="Times New Roman"/>
          <w:b/>
          <w:sz w:val="24"/>
          <w:szCs w:val="24"/>
        </w:rPr>
        <w:t xml:space="preserve"> </w:t>
      </w:r>
      <w:r w:rsidR="004A6F55" w:rsidRPr="00D93C39">
        <w:rPr>
          <w:rFonts w:ascii="Book Antiqua" w:hAnsi="Book Antiqua" w:cs="Times New Roman"/>
          <w:sz w:val="24"/>
          <w:szCs w:val="24"/>
        </w:rPr>
        <w:t xml:space="preserve">AGD-HPVG in </w:t>
      </w:r>
      <w:r w:rsidR="007D05F0" w:rsidRPr="00D93C39">
        <w:rPr>
          <w:rFonts w:ascii="Book Antiqua" w:hAnsi="Book Antiqua" w:cs="Times New Roman"/>
          <w:sz w:val="24"/>
          <w:szCs w:val="24"/>
        </w:rPr>
        <w:t>chronic use of synthetic cannabinoid</w:t>
      </w:r>
    </w:p>
    <w:p w:rsidR="00D93C39" w:rsidRPr="00D93C39" w:rsidRDefault="00D93C39" w:rsidP="00087AC8">
      <w:pPr>
        <w:adjustRightInd w:val="0"/>
        <w:snapToGrid w:val="0"/>
        <w:spacing w:after="0" w:line="360" w:lineRule="auto"/>
        <w:jc w:val="both"/>
        <w:rPr>
          <w:rFonts w:ascii="Book Antiqua" w:hAnsi="Book Antiqua" w:cs="Times New Roman"/>
          <w:sz w:val="24"/>
          <w:szCs w:val="24"/>
          <w:lang w:eastAsia="zh-CN"/>
        </w:rPr>
      </w:pPr>
    </w:p>
    <w:p w:rsidR="00E34FC5" w:rsidRPr="00D93C39" w:rsidRDefault="00E34FC5" w:rsidP="00087AC8">
      <w:pPr>
        <w:adjustRightInd w:val="0"/>
        <w:snapToGrid w:val="0"/>
        <w:spacing w:after="0" w:line="360" w:lineRule="auto"/>
        <w:jc w:val="both"/>
        <w:rPr>
          <w:rFonts w:ascii="Book Antiqua" w:hAnsi="Book Antiqua" w:cs="Times New Roman"/>
          <w:sz w:val="24"/>
          <w:szCs w:val="24"/>
          <w:lang w:eastAsia="zh-CN"/>
        </w:rPr>
      </w:pPr>
      <w:r w:rsidRPr="00D93C39">
        <w:rPr>
          <w:rFonts w:ascii="Book Antiqua" w:hAnsi="Book Antiqua" w:cs="Times New Roman"/>
          <w:sz w:val="24"/>
          <w:szCs w:val="24"/>
        </w:rPr>
        <w:t>Mert Mahsuni Sevinc, Erdem Kinaci, Savas Bayrak, Aytül Hande Yard</w:t>
      </w:r>
      <w:r w:rsidR="00D93C39">
        <w:rPr>
          <w:rFonts w:ascii="Book Antiqua" w:hAnsi="Book Antiqua" w:cs="Times New Roman"/>
          <w:sz w:val="24"/>
          <w:szCs w:val="24"/>
        </w:rPr>
        <w:t>imci, Ekrem Cakar, Hasan Bektas</w:t>
      </w:r>
    </w:p>
    <w:p w:rsidR="00F57B5D" w:rsidRDefault="00F57B5D" w:rsidP="00087AC8">
      <w:pPr>
        <w:adjustRightInd w:val="0"/>
        <w:snapToGrid w:val="0"/>
        <w:spacing w:after="0" w:line="360" w:lineRule="auto"/>
        <w:jc w:val="both"/>
        <w:rPr>
          <w:rFonts w:ascii="Book Antiqua" w:hAnsi="Book Antiqua" w:cs="Times New Roman"/>
          <w:sz w:val="24"/>
          <w:szCs w:val="24"/>
          <w:lang w:eastAsia="zh-CN"/>
        </w:rPr>
      </w:pPr>
    </w:p>
    <w:p w:rsidR="00B50B7A" w:rsidRDefault="00E34FC5" w:rsidP="00087AC8">
      <w:pPr>
        <w:adjustRightInd w:val="0"/>
        <w:snapToGrid w:val="0"/>
        <w:spacing w:after="0" w:line="360" w:lineRule="auto"/>
        <w:jc w:val="both"/>
        <w:rPr>
          <w:rFonts w:ascii="Book Antiqua" w:hAnsi="Book Antiqua" w:cs="Times New Roman"/>
          <w:sz w:val="24"/>
          <w:szCs w:val="24"/>
          <w:lang w:eastAsia="zh-CN"/>
        </w:rPr>
      </w:pPr>
      <w:r w:rsidRPr="00D93C39">
        <w:rPr>
          <w:rFonts w:ascii="Book Antiqua" w:hAnsi="Book Antiqua" w:cs="Times New Roman"/>
          <w:b/>
          <w:sz w:val="24"/>
          <w:szCs w:val="24"/>
        </w:rPr>
        <w:t>Mert Mahsuni Sevinc</w:t>
      </w:r>
      <w:r w:rsidR="00B50B7A" w:rsidRPr="00D93C39">
        <w:rPr>
          <w:rFonts w:ascii="Book Antiqua" w:hAnsi="Book Antiqua" w:cs="Times New Roman"/>
          <w:b/>
          <w:sz w:val="24"/>
          <w:szCs w:val="24"/>
        </w:rPr>
        <w:t>,</w:t>
      </w:r>
      <w:r w:rsidRPr="00D93C39">
        <w:rPr>
          <w:rFonts w:ascii="Book Antiqua" w:hAnsi="Book Antiqua" w:cs="Times New Roman"/>
          <w:b/>
          <w:sz w:val="24"/>
          <w:szCs w:val="24"/>
        </w:rPr>
        <w:t xml:space="preserve"> Erdem Kinaci, Savas Bayrak, Ekrem Cakar, Hasan Bektas,</w:t>
      </w:r>
      <w:r w:rsidR="00B50B7A" w:rsidRPr="00D93C39">
        <w:rPr>
          <w:rFonts w:ascii="Book Antiqua" w:hAnsi="Book Antiqua" w:cs="Times New Roman"/>
          <w:sz w:val="24"/>
          <w:szCs w:val="24"/>
        </w:rPr>
        <w:t xml:space="preserve"> </w:t>
      </w:r>
      <w:r w:rsidR="00F57B5D" w:rsidRPr="00D93C39">
        <w:rPr>
          <w:rFonts w:ascii="Book Antiqua" w:hAnsi="Book Antiqua" w:cs="Times New Roman"/>
          <w:sz w:val="24"/>
          <w:szCs w:val="24"/>
        </w:rPr>
        <w:t>Departme</w:t>
      </w:r>
      <w:r w:rsidR="00F57B5D">
        <w:rPr>
          <w:rFonts w:ascii="Book Antiqua" w:hAnsi="Book Antiqua" w:cs="Times New Roman"/>
          <w:sz w:val="24"/>
          <w:szCs w:val="24"/>
        </w:rPr>
        <w:t>nt of General Surgery,</w:t>
      </w:r>
      <w:r w:rsidR="00F57B5D">
        <w:rPr>
          <w:rFonts w:ascii="Book Antiqua" w:hAnsi="Book Antiqua" w:cs="Times New Roman" w:hint="eastAsia"/>
          <w:sz w:val="24"/>
          <w:szCs w:val="24"/>
          <w:lang w:eastAsia="zh-CN"/>
        </w:rPr>
        <w:t xml:space="preserve"> </w:t>
      </w:r>
      <w:r w:rsidR="00B50B7A" w:rsidRPr="00D93C39">
        <w:rPr>
          <w:rFonts w:ascii="Book Antiqua" w:hAnsi="Book Antiqua" w:cs="Times New Roman"/>
          <w:sz w:val="24"/>
          <w:szCs w:val="24"/>
        </w:rPr>
        <w:t xml:space="preserve">Istanbul Training and Research Hospital, </w:t>
      </w:r>
      <w:r w:rsidR="00F57B5D">
        <w:rPr>
          <w:rFonts w:ascii="Book Antiqua" w:hAnsi="Book Antiqua" w:cs="Times New Roman"/>
          <w:sz w:val="24"/>
          <w:szCs w:val="24"/>
        </w:rPr>
        <w:t>Istanbul</w:t>
      </w:r>
      <w:r w:rsidR="00B50B7A" w:rsidRPr="00D93C39">
        <w:rPr>
          <w:rFonts w:ascii="Book Antiqua" w:hAnsi="Book Antiqua" w:cs="Times New Roman"/>
          <w:sz w:val="24"/>
          <w:szCs w:val="24"/>
        </w:rPr>
        <w:t xml:space="preserve"> 34098, Turkey</w:t>
      </w:r>
    </w:p>
    <w:p w:rsidR="00F57B5D" w:rsidRDefault="00F57B5D" w:rsidP="00087AC8">
      <w:pPr>
        <w:adjustRightInd w:val="0"/>
        <w:snapToGrid w:val="0"/>
        <w:spacing w:after="0" w:line="360" w:lineRule="auto"/>
        <w:jc w:val="both"/>
        <w:rPr>
          <w:rFonts w:ascii="Book Antiqua" w:hAnsi="Book Antiqua" w:cs="Times New Roman"/>
          <w:sz w:val="24"/>
          <w:szCs w:val="24"/>
          <w:lang w:eastAsia="zh-CN"/>
        </w:rPr>
      </w:pPr>
    </w:p>
    <w:p w:rsidR="00F57B5D" w:rsidRDefault="00F57B5D" w:rsidP="00087AC8">
      <w:pPr>
        <w:adjustRightInd w:val="0"/>
        <w:snapToGrid w:val="0"/>
        <w:spacing w:after="0" w:line="360" w:lineRule="auto"/>
        <w:jc w:val="both"/>
        <w:rPr>
          <w:rFonts w:ascii="Book Antiqua" w:hAnsi="Book Antiqua" w:cs="Times New Roman"/>
          <w:sz w:val="24"/>
          <w:szCs w:val="24"/>
          <w:lang w:eastAsia="zh-CN"/>
        </w:rPr>
      </w:pPr>
      <w:r w:rsidRPr="00D93C39">
        <w:rPr>
          <w:rFonts w:ascii="Book Antiqua" w:hAnsi="Book Antiqua" w:cs="Times New Roman"/>
          <w:b/>
          <w:sz w:val="24"/>
          <w:szCs w:val="24"/>
        </w:rPr>
        <w:t>Erdem Kinaci, MD</w:t>
      </w:r>
      <w:r>
        <w:rPr>
          <w:rFonts w:ascii="Book Antiqua" w:hAnsi="Book Antiqua" w:cs="Times New Roman" w:hint="eastAsia"/>
          <w:sz w:val="24"/>
          <w:szCs w:val="24"/>
          <w:lang w:eastAsia="zh-CN"/>
        </w:rPr>
        <w:t>,</w:t>
      </w:r>
      <w:r w:rsidRPr="00D93C39">
        <w:rPr>
          <w:rFonts w:ascii="Book Antiqua" w:hAnsi="Book Antiqua" w:cs="Times New Roman"/>
          <w:sz w:val="24"/>
          <w:szCs w:val="24"/>
        </w:rPr>
        <w:t xml:space="preserve"> Org. Nafiz Gurman Cad. Istanbul Egitim ve Arastirma Hastanesi, Genel Cerrahi Klinigi</w:t>
      </w:r>
      <w:r>
        <w:rPr>
          <w:rFonts w:ascii="Book Antiqua" w:hAnsi="Book Antiqua" w:cs="Times New Roman"/>
          <w:sz w:val="24"/>
          <w:szCs w:val="24"/>
        </w:rPr>
        <w:t>, Istanbul 34098, Turkey</w:t>
      </w:r>
    </w:p>
    <w:p w:rsidR="00F57B5D" w:rsidRPr="00F57B5D" w:rsidRDefault="00F57B5D" w:rsidP="00087AC8">
      <w:pPr>
        <w:adjustRightInd w:val="0"/>
        <w:snapToGrid w:val="0"/>
        <w:spacing w:after="0" w:line="360" w:lineRule="auto"/>
        <w:jc w:val="both"/>
        <w:rPr>
          <w:rFonts w:ascii="Book Antiqua" w:hAnsi="Book Antiqua" w:cs="Times New Roman"/>
          <w:sz w:val="24"/>
          <w:szCs w:val="24"/>
          <w:lang w:eastAsia="zh-CN"/>
        </w:rPr>
      </w:pPr>
    </w:p>
    <w:p w:rsidR="00B50B7A" w:rsidRDefault="00F67C8E" w:rsidP="00087AC8">
      <w:pPr>
        <w:adjustRightInd w:val="0"/>
        <w:snapToGrid w:val="0"/>
        <w:spacing w:after="0" w:line="360" w:lineRule="auto"/>
        <w:jc w:val="both"/>
        <w:rPr>
          <w:rFonts w:ascii="Book Antiqua" w:hAnsi="Book Antiqua" w:cs="Times New Roman"/>
          <w:sz w:val="24"/>
          <w:szCs w:val="24"/>
          <w:lang w:eastAsia="zh-CN"/>
        </w:rPr>
      </w:pPr>
      <w:r w:rsidRPr="00D93C39">
        <w:rPr>
          <w:rFonts w:ascii="Book Antiqua" w:hAnsi="Book Antiqua" w:cs="Times New Roman"/>
          <w:b/>
          <w:sz w:val="24"/>
          <w:szCs w:val="24"/>
        </w:rPr>
        <w:t>Aytul</w:t>
      </w:r>
      <w:r w:rsidR="00E34FC5" w:rsidRPr="00D93C39">
        <w:rPr>
          <w:rFonts w:ascii="Book Antiqua" w:hAnsi="Book Antiqua" w:cs="Times New Roman"/>
          <w:b/>
          <w:sz w:val="24"/>
          <w:szCs w:val="24"/>
        </w:rPr>
        <w:t xml:space="preserve"> Hande Yardimci</w:t>
      </w:r>
      <w:r w:rsidR="00B50B7A" w:rsidRPr="00D93C39">
        <w:rPr>
          <w:rFonts w:ascii="Book Antiqua" w:hAnsi="Book Antiqua" w:cs="Times New Roman"/>
          <w:sz w:val="24"/>
          <w:szCs w:val="24"/>
        </w:rPr>
        <w:t xml:space="preserve">, </w:t>
      </w:r>
      <w:r w:rsidR="00F57B5D" w:rsidRPr="00D93C39">
        <w:rPr>
          <w:rFonts w:ascii="Book Antiqua" w:hAnsi="Book Antiqua" w:cs="Times New Roman"/>
          <w:sz w:val="24"/>
          <w:szCs w:val="24"/>
        </w:rPr>
        <w:t>De</w:t>
      </w:r>
      <w:r w:rsidR="00F57B5D">
        <w:rPr>
          <w:rFonts w:ascii="Book Antiqua" w:hAnsi="Book Antiqua" w:cs="Times New Roman"/>
          <w:sz w:val="24"/>
          <w:szCs w:val="24"/>
        </w:rPr>
        <w:t>partment of Radiology,</w:t>
      </w:r>
      <w:r w:rsidR="00F57B5D">
        <w:rPr>
          <w:rFonts w:ascii="Book Antiqua" w:hAnsi="Book Antiqua" w:cs="Times New Roman" w:hint="eastAsia"/>
          <w:sz w:val="24"/>
          <w:szCs w:val="24"/>
          <w:lang w:eastAsia="zh-CN"/>
        </w:rPr>
        <w:t xml:space="preserve"> </w:t>
      </w:r>
      <w:r w:rsidR="00B50B7A" w:rsidRPr="00D93C39">
        <w:rPr>
          <w:rFonts w:ascii="Book Antiqua" w:hAnsi="Book Antiqua" w:cs="Times New Roman"/>
          <w:sz w:val="24"/>
          <w:szCs w:val="24"/>
        </w:rPr>
        <w:t xml:space="preserve">Istanbul Training and Research Hospital, </w:t>
      </w:r>
      <w:r w:rsidR="00F57B5D">
        <w:rPr>
          <w:rFonts w:ascii="Book Antiqua" w:hAnsi="Book Antiqua" w:cs="Times New Roman"/>
          <w:sz w:val="24"/>
          <w:szCs w:val="24"/>
        </w:rPr>
        <w:t>Istanbul</w:t>
      </w:r>
      <w:r w:rsidR="00B50B7A" w:rsidRPr="00D93C39">
        <w:rPr>
          <w:rFonts w:ascii="Book Antiqua" w:hAnsi="Book Antiqua" w:cs="Times New Roman"/>
          <w:sz w:val="24"/>
          <w:szCs w:val="24"/>
        </w:rPr>
        <w:t xml:space="preserve"> 34098, Turkey</w:t>
      </w:r>
    </w:p>
    <w:p w:rsidR="00F57B5D" w:rsidRPr="00D93C39" w:rsidRDefault="00F57B5D" w:rsidP="00087AC8">
      <w:pPr>
        <w:adjustRightInd w:val="0"/>
        <w:snapToGrid w:val="0"/>
        <w:spacing w:after="0" w:line="360" w:lineRule="auto"/>
        <w:jc w:val="both"/>
        <w:rPr>
          <w:rFonts w:ascii="Book Antiqua" w:hAnsi="Book Antiqua" w:cs="Times New Roman"/>
          <w:sz w:val="24"/>
          <w:szCs w:val="24"/>
          <w:lang w:eastAsia="zh-CN"/>
        </w:rPr>
      </w:pPr>
    </w:p>
    <w:p w:rsidR="00B50B7A" w:rsidRDefault="00F57B5D" w:rsidP="00087AC8">
      <w:pPr>
        <w:adjustRightInd w:val="0"/>
        <w:snapToGrid w:val="0"/>
        <w:spacing w:after="0" w:line="360" w:lineRule="auto"/>
        <w:jc w:val="both"/>
        <w:rPr>
          <w:rFonts w:ascii="Book Antiqua" w:hAnsi="Book Antiqua" w:cs="Times New Roman"/>
          <w:sz w:val="24"/>
          <w:szCs w:val="24"/>
          <w:lang w:eastAsia="zh-CN"/>
        </w:rPr>
      </w:pPr>
      <w:r w:rsidRPr="00F57B5D">
        <w:rPr>
          <w:rFonts w:ascii="Book Antiqua" w:hAnsi="Book Antiqua" w:cs="Times New Roman"/>
          <w:b/>
          <w:caps/>
          <w:sz w:val="24"/>
          <w:szCs w:val="24"/>
        </w:rPr>
        <w:t>a</w:t>
      </w:r>
      <w:r w:rsidRPr="00D93C39">
        <w:rPr>
          <w:rFonts w:ascii="Book Antiqua" w:hAnsi="Book Antiqua" w:cs="Times New Roman"/>
          <w:b/>
          <w:sz w:val="24"/>
          <w:szCs w:val="24"/>
        </w:rPr>
        <w:t>uthor co</w:t>
      </w:r>
      <w:r w:rsidR="00B50B7A" w:rsidRPr="00D93C39">
        <w:rPr>
          <w:rFonts w:ascii="Book Antiqua" w:hAnsi="Book Antiqua" w:cs="Times New Roman"/>
          <w:b/>
          <w:sz w:val="24"/>
          <w:szCs w:val="24"/>
        </w:rPr>
        <w:t xml:space="preserve">ntributions: </w:t>
      </w:r>
      <w:r w:rsidR="00B50B7A" w:rsidRPr="00D93C39">
        <w:rPr>
          <w:rFonts w:ascii="Book Antiqua" w:hAnsi="Book Antiqua" w:cs="Times New Roman"/>
          <w:sz w:val="24"/>
          <w:szCs w:val="24"/>
        </w:rPr>
        <w:t>Sevinc</w:t>
      </w:r>
      <w:r>
        <w:rPr>
          <w:rFonts w:ascii="Book Antiqua" w:hAnsi="Book Antiqua" w:cs="Times New Roman" w:hint="eastAsia"/>
          <w:sz w:val="24"/>
          <w:szCs w:val="24"/>
          <w:lang w:eastAsia="zh-CN"/>
        </w:rPr>
        <w:t xml:space="preserve"> MM</w:t>
      </w:r>
      <w:r w:rsidR="00B50B7A" w:rsidRPr="00D93C39">
        <w:rPr>
          <w:rFonts w:ascii="Book Antiqua" w:hAnsi="Book Antiqua" w:cs="Times New Roman"/>
          <w:sz w:val="24"/>
          <w:szCs w:val="24"/>
        </w:rPr>
        <w:t>, Kinaci</w:t>
      </w:r>
      <w:r>
        <w:rPr>
          <w:rFonts w:ascii="Book Antiqua" w:hAnsi="Book Antiqua" w:cs="Times New Roman" w:hint="eastAsia"/>
          <w:sz w:val="24"/>
          <w:szCs w:val="24"/>
          <w:lang w:eastAsia="zh-CN"/>
        </w:rPr>
        <w:t xml:space="preserve"> E and</w:t>
      </w:r>
      <w:r w:rsidR="00B50B7A" w:rsidRPr="00D93C39">
        <w:rPr>
          <w:rFonts w:ascii="Book Antiqua" w:hAnsi="Book Antiqua" w:cs="Times New Roman"/>
          <w:sz w:val="24"/>
          <w:szCs w:val="24"/>
        </w:rPr>
        <w:t xml:space="preserve"> Bektas </w:t>
      </w:r>
      <w:r>
        <w:rPr>
          <w:rFonts w:ascii="Book Antiqua" w:hAnsi="Book Antiqua" w:cs="Times New Roman" w:hint="eastAsia"/>
          <w:sz w:val="24"/>
          <w:szCs w:val="24"/>
          <w:lang w:eastAsia="zh-CN"/>
        </w:rPr>
        <w:t xml:space="preserve">H </w:t>
      </w:r>
      <w:r w:rsidR="00B50B7A" w:rsidRPr="00D93C39">
        <w:rPr>
          <w:rFonts w:ascii="Book Antiqua" w:hAnsi="Book Antiqua" w:cs="Times New Roman"/>
          <w:sz w:val="24"/>
          <w:szCs w:val="24"/>
        </w:rPr>
        <w:t>designed the study</w:t>
      </w:r>
      <w:r>
        <w:rPr>
          <w:rFonts w:ascii="Book Antiqua" w:hAnsi="Book Antiqua" w:cs="Times New Roman" w:hint="eastAsia"/>
          <w:sz w:val="24"/>
          <w:szCs w:val="24"/>
          <w:lang w:eastAsia="zh-CN"/>
        </w:rPr>
        <w:t xml:space="preserve">; </w:t>
      </w:r>
      <w:r w:rsidR="00100C10" w:rsidRPr="00D93C39">
        <w:rPr>
          <w:rFonts w:ascii="Book Antiqua" w:hAnsi="Book Antiqua" w:cs="Times New Roman"/>
          <w:sz w:val="24"/>
          <w:szCs w:val="24"/>
        </w:rPr>
        <w:t>Sevinc</w:t>
      </w:r>
      <w:r>
        <w:rPr>
          <w:rFonts w:ascii="Book Antiqua" w:hAnsi="Book Antiqua" w:cs="Times New Roman" w:hint="eastAsia"/>
          <w:sz w:val="24"/>
          <w:szCs w:val="24"/>
          <w:lang w:eastAsia="zh-CN"/>
        </w:rPr>
        <w:t xml:space="preserve"> </w:t>
      </w:r>
      <w:r w:rsidRPr="00F57B5D">
        <w:rPr>
          <w:rFonts w:ascii="Book Antiqua" w:hAnsi="Book Antiqua" w:cs="Times New Roman" w:hint="eastAsia"/>
          <w:caps/>
          <w:sz w:val="24"/>
          <w:szCs w:val="24"/>
          <w:lang w:eastAsia="zh-CN"/>
        </w:rPr>
        <w:t>mm</w:t>
      </w:r>
      <w:r w:rsidR="00100C10" w:rsidRPr="00D93C39">
        <w:rPr>
          <w:rFonts w:ascii="Book Antiqua" w:hAnsi="Book Antiqua" w:cs="Times New Roman"/>
          <w:sz w:val="24"/>
          <w:szCs w:val="24"/>
        </w:rPr>
        <w:t>, Kinaci</w:t>
      </w:r>
      <w:r>
        <w:rPr>
          <w:rFonts w:ascii="Book Antiqua" w:hAnsi="Book Antiqua" w:cs="Times New Roman" w:hint="eastAsia"/>
          <w:sz w:val="24"/>
          <w:szCs w:val="24"/>
          <w:lang w:eastAsia="zh-CN"/>
        </w:rPr>
        <w:t xml:space="preserve"> E</w:t>
      </w:r>
      <w:r w:rsidR="00100C10" w:rsidRPr="00D93C39">
        <w:rPr>
          <w:rFonts w:ascii="Book Antiqua" w:hAnsi="Book Antiqua" w:cs="Times New Roman"/>
          <w:sz w:val="24"/>
          <w:szCs w:val="24"/>
        </w:rPr>
        <w:t xml:space="preserve">, </w:t>
      </w:r>
      <w:r w:rsidR="00B50B7A" w:rsidRPr="00D93C39">
        <w:rPr>
          <w:rFonts w:ascii="Book Antiqua" w:hAnsi="Book Antiqua" w:cs="Times New Roman"/>
          <w:sz w:val="24"/>
          <w:szCs w:val="24"/>
        </w:rPr>
        <w:t>Yardimci</w:t>
      </w:r>
      <w:r>
        <w:rPr>
          <w:rFonts w:ascii="Book Antiqua" w:hAnsi="Book Antiqua" w:cs="Times New Roman" w:hint="eastAsia"/>
          <w:sz w:val="24"/>
          <w:szCs w:val="24"/>
          <w:lang w:eastAsia="zh-CN"/>
        </w:rPr>
        <w:t xml:space="preserve"> AH</w:t>
      </w:r>
      <w:r w:rsidR="00B50B7A" w:rsidRPr="00D93C39">
        <w:rPr>
          <w:rFonts w:ascii="Book Antiqua" w:hAnsi="Book Antiqua" w:cs="Times New Roman"/>
          <w:sz w:val="24"/>
          <w:szCs w:val="24"/>
        </w:rPr>
        <w:t>, Cakar</w:t>
      </w:r>
      <w:r>
        <w:rPr>
          <w:rFonts w:ascii="Book Antiqua" w:hAnsi="Book Antiqua" w:cs="Times New Roman" w:hint="eastAsia"/>
          <w:sz w:val="24"/>
          <w:szCs w:val="24"/>
          <w:lang w:eastAsia="zh-CN"/>
        </w:rPr>
        <w:t xml:space="preserve"> E </w:t>
      </w:r>
      <w:r>
        <w:rPr>
          <w:rFonts w:ascii="Book Antiqua" w:hAnsi="Book Antiqua" w:cs="Times New Roman"/>
          <w:sz w:val="24"/>
          <w:szCs w:val="24"/>
          <w:lang w:eastAsia="zh-CN"/>
        </w:rPr>
        <w:t>and</w:t>
      </w:r>
      <w:r w:rsidRPr="00D93C39">
        <w:rPr>
          <w:rFonts w:ascii="Book Antiqua" w:hAnsi="Book Antiqua" w:cs="Times New Roman"/>
          <w:sz w:val="24"/>
          <w:szCs w:val="24"/>
        </w:rPr>
        <w:t xml:space="preserve"> </w:t>
      </w:r>
      <w:r w:rsidR="00B50B7A" w:rsidRPr="00D93C39">
        <w:rPr>
          <w:rFonts w:ascii="Book Antiqua" w:hAnsi="Book Antiqua" w:cs="Times New Roman"/>
          <w:sz w:val="24"/>
          <w:szCs w:val="24"/>
        </w:rPr>
        <w:t xml:space="preserve">Bayrak </w:t>
      </w:r>
      <w:r>
        <w:rPr>
          <w:rFonts w:ascii="Book Antiqua" w:hAnsi="Book Antiqua" w:cs="Times New Roman" w:hint="eastAsia"/>
          <w:sz w:val="24"/>
          <w:szCs w:val="24"/>
          <w:lang w:eastAsia="zh-CN"/>
        </w:rPr>
        <w:t xml:space="preserve">S </w:t>
      </w:r>
      <w:r w:rsidR="00B50B7A" w:rsidRPr="00D93C39">
        <w:rPr>
          <w:rFonts w:ascii="Book Antiqua" w:hAnsi="Book Antiqua" w:cs="Times New Roman"/>
          <w:sz w:val="24"/>
          <w:szCs w:val="24"/>
        </w:rPr>
        <w:t>analyzed the literature and wrote the study.</w:t>
      </w:r>
    </w:p>
    <w:p w:rsidR="00F57B5D" w:rsidRPr="00D93C39" w:rsidRDefault="00F57B5D" w:rsidP="00087AC8">
      <w:pPr>
        <w:adjustRightInd w:val="0"/>
        <w:snapToGrid w:val="0"/>
        <w:spacing w:after="0" w:line="360" w:lineRule="auto"/>
        <w:jc w:val="both"/>
        <w:rPr>
          <w:rFonts w:ascii="Book Antiqua" w:hAnsi="Book Antiqua" w:cs="Times New Roman"/>
          <w:sz w:val="24"/>
          <w:szCs w:val="24"/>
          <w:lang w:eastAsia="zh-CN"/>
        </w:rPr>
      </w:pPr>
    </w:p>
    <w:p w:rsidR="00B83A33" w:rsidRPr="00D93C39" w:rsidRDefault="00F57B5D" w:rsidP="00087AC8">
      <w:pPr>
        <w:adjustRightInd w:val="0"/>
        <w:snapToGrid w:val="0"/>
        <w:spacing w:after="0" w:line="360" w:lineRule="auto"/>
        <w:jc w:val="both"/>
        <w:rPr>
          <w:rFonts w:ascii="Book Antiqua" w:hAnsi="Book Antiqua"/>
          <w:sz w:val="24"/>
          <w:szCs w:val="24"/>
        </w:rPr>
      </w:pPr>
      <w:r w:rsidRPr="00F57B5D">
        <w:rPr>
          <w:rFonts w:ascii="Book Antiqua" w:hAnsi="Book Antiqua"/>
          <w:b/>
          <w:sz w:val="24"/>
          <w:szCs w:val="24"/>
        </w:rPr>
        <w:t>Informed consent statement</w:t>
      </w:r>
      <w:r w:rsidR="00B83A33" w:rsidRPr="00D93C39">
        <w:rPr>
          <w:rFonts w:ascii="Book Antiqua" w:hAnsi="Book Antiqua"/>
          <w:b/>
          <w:sz w:val="24"/>
          <w:szCs w:val="24"/>
        </w:rPr>
        <w:t xml:space="preserve">: </w:t>
      </w:r>
      <w:r w:rsidR="00B83A33" w:rsidRPr="00D93C39">
        <w:rPr>
          <w:rFonts w:ascii="Book Antiqua" w:hAnsi="Book Antiqua"/>
          <w:sz w:val="24"/>
          <w:szCs w:val="24"/>
        </w:rPr>
        <w:t>Written informed consent was obtained for all interventions and follow up.</w:t>
      </w:r>
    </w:p>
    <w:p w:rsidR="009E07EC" w:rsidRDefault="009E07EC" w:rsidP="00087AC8">
      <w:pPr>
        <w:adjustRightInd w:val="0"/>
        <w:snapToGrid w:val="0"/>
        <w:spacing w:after="0" w:line="360" w:lineRule="auto"/>
        <w:jc w:val="both"/>
        <w:rPr>
          <w:rFonts w:ascii="Book Antiqua" w:hAnsi="Book Antiqua" w:cs="Times New Roman"/>
          <w:b/>
          <w:sz w:val="24"/>
          <w:szCs w:val="24"/>
          <w:lang w:val="en-US" w:eastAsia="zh-CN"/>
        </w:rPr>
      </w:pPr>
    </w:p>
    <w:p w:rsidR="00B83A33" w:rsidRDefault="00F57B5D" w:rsidP="00087AC8">
      <w:pPr>
        <w:adjustRightInd w:val="0"/>
        <w:snapToGrid w:val="0"/>
        <w:spacing w:after="0" w:line="360" w:lineRule="auto"/>
        <w:jc w:val="both"/>
        <w:rPr>
          <w:rFonts w:ascii="Book Antiqua" w:hAnsi="Book Antiqua" w:cs="Times New Roman"/>
          <w:sz w:val="24"/>
          <w:szCs w:val="24"/>
          <w:lang w:val="en-US" w:eastAsia="zh-CN"/>
        </w:rPr>
      </w:pPr>
      <w:r w:rsidRPr="00F57B5D">
        <w:rPr>
          <w:rFonts w:ascii="Book Antiqua" w:hAnsi="Book Antiqua" w:cs="Times New Roman"/>
          <w:b/>
          <w:sz w:val="24"/>
          <w:szCs w:val="24"/>
          <w:lang w:val="en-US"/>
        </w:rPr>
        <w:t>Conflict-of-interest statement</w:t>
      </w:r>
      <w:r w:rsidR="00B83A33" w:rsidRPr="00D93C39">
        <w:rPr>
          <w:rFonts w:ascii="Book Antiqua" w:hAnsi="Book Antiqua" w:cs="Times New Roman"/>
          <w:b/>
          <w:sz w:val="24"/>
          <w:szCs w:val="24"/>
          <w:lang w:val="en-US"/>
        </w:rPr>
        <w:t xml:space="preserve">: </w:t>
      </w:r>
      <w:r w:rsidR="00B83A33" w:rsidRPr="00D93C39">
        <w:rPr>
          <w:rFonts w:ascii="Book Antiqua" w:hAnsi="Book Antiqua" w:cs="Times New Roman"/>
          <w:sz w:val="24"/>
          <w:szCs w:val="24"/>
          <w:lang w:val="en-US"/>
        </w:rPr>
        <w:t>The authors declare that there is no conflict of interests.</w:t>
      </w:r>
    </w:p>
    <w:p w:rsidR="00F57B5D" w:rsidRDefault="00F57B5D" w:rsidP="00087AC8">
      <w:pPr>
        <w:adjustRightInd w:val="0"/>
        <w:snapToGrid w:val="0"/>
        <w:spacing w:after="0" w:line="360" w:lineRule="auto"/>
        <w:jc w:val="both"/>
        <w:rPr>
          <w:rFonts w:ascii="Book Antiqua" w:hAnsi="Book Antiqua" w:cs="Times New Roman"/>
          <w:sz w:val="24"/>
          <w:szCs w:val="24"/>
          <w:lang w:val="en-US" w:eastAsia="zh-CN"/>
        </w:rPr>
      </w:pPr>
    </w:p>
    <w:p w:rsidR="00F57B5D" w:rsidRPr="009652B7" w:rsidRDefault="00F57B5D" w:rsidP="00087AC8">
      <w:pPr>
        <w:adjustRightInd w:val="0"/>
        <w:snapToGrid w:val="0"/>
        <w:spacing w:after="0" w:line="360" w:lineRule="auto"/>
        <w:jc w:val="both"/>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F57B5D" w:rsidRPr="00D93C39" w:rsidRDefault="00F57B5D" w:rsidP="00087AC8">
      <w:pPr>
        <w:adjustRightInd w:val="0"/>
        <w:snapToGrid w:val="0"/>
        <w:spacing w:after="0" w:line="360" w:lineRule="auto"/>
        <w:jc w:val="both"/>
        <w:rPr>
          <w:rFonts w:ascii="Book Antiqua" w:hAnsi="Book Antiqua" w:cs="Times New Roman"/>
          <w:sz w:val="24"/>
          <w:szCs w:val="24"/>
          <w:lang w:val="en-US" w:eastAsia="zh-CN"/>
        </w:rPr>
      </w:pPr>
    </w:p>
    <w:p w:rsidR="00C5342F" w:rsidRPr="00D93C39" w:rsidRDefault="00B50B7A" w:rsidP="00087AC8">
      <w:pPr>
        <w:adjustRightInd w:val="0"/>
        <w:snapToGrid w:val="0"/>
        <w:spacing w:after="0" w:line="360" w:lineRule="auto"/>
        <w:jc w:val="both"/>
        <w:rPr>
          <w:rFonts w:ascii="Book Antiqua" w:hAnsi="Book Antiqua" w:cs="Times New Roman"/>
          <w:sz w:val="24"/>
          <w:szCs w:val="24"/>
        </w:rPr>
      </w:pPr>
      <w:r w:rsidRPr="00D93C39">
        <w:rPr>
          <w:rFonts w:ascii="Book Antiqua" w:hAnsi="Book Antiqua" w:cs="Times New Roman"/>
          <w:b/>
          <w:sz w:val="24"/>
          <w:szCs w:val="24"/>
        </w:rPr>
        <w:t xml:space="preserve">Corresponding </w:t>
      </w:r>
      <w:r w:rsidR="0069231E" w:rsidRPr="00D93C39">
        <w:rPr>
          <w:rFonts w:ascii="Book Antiqua" w:hAnsi="Book Antiqua" w:cs="Times New Roman"/>
          <w:b/>
          <w:sz w:val="24"/>
          <w:szCs w:val="24"/>
        </w:rPr>
        <w:t>to</w:t>
      </w:r>
      <w:r w:rsidR="00F57B5D">
        <w:rPr>
          <w:rFonts w:ascii="Book Antiqua" w:hAnsi="Book Antiqua" w:cs="Times New Roman" w:hint="eastAsia"/>
          <w:b/>
          <w:sz w:val="24"/>
          <w:szCs w:val="24"/>
          <w:lang w:eastAsia="zh-CN"/>
        </w:rPr>
        <w:t>:</w:t>
      </w:r>
      <w:r w:rsidRPr="00D93C39">
        <w:rPr>
          <w:rFonts w:ascii="Book Antiqua" w:hAnsi="Book Antiqua" w:cs="Times New Roman"/>
          <w:b/>
          <w:sz w:val="24"/>
          <w:szCs w:val="24"/>
        </w:rPr>
        <w:t xml:space="preserve"> Erdem Kinaci, MD</w:t>
      </w:r>
      <w:r w:rsidR="00F57B5D">
        <w:rPr>
          <w:rFonts w:ascii="Book Antiqua" w:hAnsi="Book Antiqua" w:cs="Times New Roman" w:hint="eastAsia"/>
          <w:sz w:val="24"/>
          <w:szCs w:val="24"/>
          <w:lang w:eastAsia="zh-CN"/>
        </w:rPr>
        <w:t>,</w:t>
      </w:r>
      <w:r w:rsidRPr="00D93C39">
        <w:rPr>
          <w:rFonts w:ascii="Book Antiqua" w:hAnsi="Book Antiqua" w:cs="Times New Roman"/>
          <w:sz w:val="24"/>
          <w:szCs w:val="24"/>
        </w:rPr>
        <w:t xml:space="preserve"> Org. Nafiz Gurman Cad. Istanbul Egitim ve Arastirma Hastanesi, Genel C</w:t>
      </w:r>
      <w:r w:rsidR="00F57B5D">
        <w:rPr>
          <w:rFonts w:ascii="Book Antiqua" w:hAnsi="Book Antiqua" w:cs="Times New Roman"/>
          <w:sz w:val="24"/>
          <w:szCs w:val="24"/>
        </w:rPr>
        <w:t>errahi Klinigi, Fatih, Istanbul 34098, Turkey.</w:t>
      </w:r>
      <w:r w:rsidR="00F57B5D">
        <w:rPr>
          <w:rFonts w:ascii="Book Antiqua" w:hAnsi="Book Antiqua" w:cs="Times New Roman" w:hint="eastAsia"/>
          <w:sz w:val="24"/>
          <w:szCs w:val="24"/>
          <w:lang w:eastAsia="zh-CN"/>
        </w:rPr>
        <w:t xml:space="preserve"> </w:t>
      </w:r>
      <w:r w:rsidRPr="00D93C39">
        <w:rPr>
          <w:rFonts w:ascii="Book Antiqua" w:hAnsi="Book Antiqua" w:cs="Times New Roman"/>
          <w:sz w:val="24"/>
          <w:szCs w:val="24"/>
        </w:rPr>
        <w:t xml:space="preserve">erdemkinaci@gmail.com </w:t>
      </w:r>
    </w:p>
    <w:p w:rsidR="006E3265" w:rsidRDefault="00B50B7A" w:rsidP="00087AC8">
      <w:pPr>
        <w:adjustRightInd w:val="0"/>
        <w:snapToGrid w:val="0"/>
        <w:spacing w:after="0" w:line="360" w:lineRule="auto"/>
        <w:jc w:val="both"/>
        <w:rPr>
          <w:rFonts w:ascii="Book Antiqua" w:hAnsi="Book Antiqua" w:cs="Times New Roman"/>
          <w:sz w:val="24"/>
          <w:szCs w:val="24"/>
          <w:lang w:eastAsia="zh-CN"/>
        </w:rPr>
      </w:pPr>
      <w:r w:rsidRPr="00D93C39">
        <w:rPr>
          <w:rFonts w:ascii="Book Antiqua" w:hAnsi="Book Antiqua" w:cs="Times New Roman"/>
          <w:b/>
          <w:sz w:val="24"/>
          <w:szCs w:val="24"/>
        </w:rPr>
        <w:t>Telephone</w:t>
      </w:r>
      <w:r w:rsidRPr="00D93C39">
        <w:rPr>
          <w:rFonts w:ascii="Book Antiqua" w:hAnsi="Book Antiqua" w:cs="Times New Roman"/>
          <w:sz w:val="24"/>
          <w:szCs w:val="24"/>
        </w:rPr>
        <w:t>: +90</w:t>
      </w:r>
      <w:r w:rsidR="00F57B5D">
        <w:rPr>
          <w:rFonts w:ascii="Book Antiqua" w:hAnsi="Book Antiqua" w:cs="Times New Roman" w:hint="eastAsia"/>
          <w:sz w:val="24"/>
          <w:szCs w:val="24"/>
          <w:lang w:eastAsia="zh-CN"/>
        </w:rPr>
        <w:t>-</w:t>
      </w:r>
      <w:r w:rsidRPr="00D93C39">
        <w:rPr>
          <w:rFonts w:ascii="Book Antiqua" w:hAnsi="Book Antiqua" w:cs="Times New Roman"/>
          <w:sz w:val="24"/>
          <w:szCs w:val="24"/>
        </w:rPr>
        <w:t>506</w:t>
      </w:r>
      <w:r w:rsidR="00F57B5D">
        <w:rPr>
          <w:rFonts w:ascii="Book Antiqua" w:hAnsi="Book Antiqua" w:cs="Times New Roman" w:hint="eastAsia"/>
          <w:sz w:val="24"/>
          <w:szCs w:val="24"/>
          <w:lang w:eastAsia="zh-CN"/>
        </w:rPr>
        <w:t>-</w:t>
      </w:r>
      <w:r w:rsidR="00F57B5D">
        <w:rPr>
          <w:rFonts w:ascii="Book Antiqua" w:hAnsi="Book Antiqua" w:cs="Times New Roman"/>
          <w:sz w:val="24"/>
          <w:szCs w:val="24"/>
        </w:rPr>
        <w:t>50879</w:t>
      </w:r>
      <w:r w:rsidR="00CD006F" w:rsidRPr="00D93C39">
        <w:rPr>
          <w:rFonts w:ascii="Book Antiqua" w:hAnsi="Book Antiqua" w:cs="Times New Roman"/>
          <w:sz w:val="24"/>
          <w:szCs w:val="24"/>
        </w:rPr>
        <w:t>30</w:t>
      </w:r>
    </w:p>
    <w:p w:rsidR="00F57B5D" w:rsidRDefault="00F57B5D" w:rsidP="00087AC8">
      <w:pPr>
        <w:adjustRightInd w:val="0"/>
        <w:snapToGrid w:val="0"/>
        <w:spacing w:after="0" w:line="360" w:lineRule="auto"/>
        <w:jc w:val="both"/>
        <w:rPr>
          <w:rFonts w:ascii="Book Antiqua" w:hAnsi="Book Antiqua"/>
          <w:b/>
          <w:sz w:val="24"/>
          <w:lang w:eastAsia="zh-CN"/>
        </w:rPr>
      </w:pPr>
    </w:p>
    <w:p w:rsidR="00F57B5D" w:rsidRPr="00867A3A" w:rsidRDefault="00F57B5D" w:rsidP="00087AC8">
      <w:pPr>
        <w:adjustRightInd w:val="0"/>
        <w:snapToGrid w:val="0"/>
        <w:spacing w:after="0" w:line="360" w:lineRule="auto"/>
        <w:jc w:val="both"/>
        <w:rPr>
          <w:rFonts w:ascii="Book Antiqua" w:hAnsi="Book Antiqua"/>
          <w:b/>
          <w:sz w:val="24"/>
        </w:rPr>
      </w:pPr>
      <w:r w:rsidRPr="00867A3A">
        <w:rPr>
          <w:rFonts w:ascii="Book Antiqua" w:hAnsi="Book Antiqua"/>
          <w:b/>
          <w:sz w:val="24"/>
        </w:rPr>
        <w:t xml:space="preserve">Received: </w:t>
      </w:r>
      <w:r w:rsidR="002E70DF" w:rsidRPr="00A11C75">
        <w:rPr>
          <w:rFonts w:ascii="Book Antiqua" w:hAnsi="Book Antiqua"/>
          <w:sz w:val="24"/>
        </w:rPr>
        <w:t>February</w:t>
      </w:r>
      <w:r w:rsidR="002E70DF">
        <w:rPr>
          <w:rFonts w:ascii="Book Antiqua" w:hAnsi="Book Antiqua" w:hint="eastAsia"/>
          <w:sz w:val="24"/>
          <w:lang w:eastAsia="zh-CN"/>
        </w:rPr>
        <w:t xml:space="preserve"> 2, 2015</w:t>
      </w:r>
      <w:r w:rsidR="009E07EC">
        <w:rPr>
          <w:rFonts w:ascii="Book Antiqua" w:hAnsi="Book Antiqua"/>
          <w:b/>
          <w:sz w:val="24"/>
        </w:rPr>
        <w:t xml:space="preserve"> </w:t>
      </w:r>
    </w:p>
    <w:p w:rsidR="00F57B5D" w:rsidRPr="00867A3A" w:rsidRDefault="00F57B5D" w:rsidP="00087AC8">
      <w:pPr>
        <w:adjustRightInd w:val="0"/>
        <w:snapToGrid w:val="0"/>
        <w:spacing w:after="0" w:line="360" w:lineRule="auto"/>
        <w:jc w:val="both"/>
        <w:rPr>
          <w:rFonts w:ascii="Book Antiqua" w:hAnsi="Book Antiqua"/>
          <w:b/>
          <w:sz w:val="24"/>
          <w:lang w:eastAsia="zh-CN"/>
        </w:rPr>
      </w:pPr>
      <w:r w:rsidRPr="00867A3A">
        <w:rPr>
          <w:rFonts w:ascii="Book Antiqua" w:hAnsi="Book Antiqua"/>
          <w:b/>
          <w:sz w:val="24"/>
        </w:rPr>
        <w:t>Peer-review started:</w:t>
      </w:r>
      <w:r w:rsidR="002E70DF">
        <w:rPr>
          <w:rFonts w:ascii="Book Antiqua" w:hAnsi="Book Antiqua" w:hint="eastAsia"/>
          <w:b/>
          <w:sz w:val="24"/>
          <w:lang w:eastAsia="zh-CN"/>
        </w:rPr>
        <w:t xml:space="preserve"> </w:t>
      </w:r>
      <w:r w:rsidR="002E70DF" w:rsidRPr="00A11C75">
        <w:rPr>
          <w:rFonts w:ascii="Book Antiqua" w:hAnsi="Book Antiqua"/>
          <w:sz w:val="24"/>
        </w:rPr>
        <w:t>February</w:t>
      </w:r>
      <w:r w:rsidR="002E70DF">
        <w:rPr>
          <w:rFonts w:ascii="Book Antiqua" w:hAnsi="Book Antiqua" w:hint="eastAsia"/>
          <w:sz w:val="24"/>
          <w:lang w:eastAsia="zh-CN"/>
        </w:rPr>
        <w:t xml:space="preserve"> 3, 2015</w:t>
      </w:r>
    </w:p>
    <w:p w:rsidR="00F57B5D" w:rsidRPr="00867A3A" w:rsidRDefault="00F57B5D" w:rsidP="00087AC8">
      <w:pPr>
        <w:adjustRightInd w:val="0"/>
        <w:snapToGrid w:val="0"/>
        <w:spacing w:after="0" w:line="360" w:lineRule="auto"/>
        <w:jc w:val="both"/>
        <w:rPr>
          <w:rFonts w:ascii="Book Antiqua" w:hAnsi="Book Antiqua"/>
          <w:b/>
          <w:sz w:val="24"/>
          <w:lang w:eastAsia="zh-CN"/>
        </w:rPr>
      </w:pPr>
      <w:r w:rsidRPr="00867A3A">
        <w:rPr>
          <w:rFonts w:ascii="Book Antiqua" w:hAnsi="Book Antiqua"/>
          <w:b/>
          <w:sz w:val="24"/>
        </w:rPr>
        <w:t>First decision:</w:t>
      </w:r>
      <w:r w:rsidR="002E70DF">
        <w:rPr>
          <w:rFonts w:ascii="Book Antiqua" w:hAnsi="Book Antiqua" w:hint="eastAsia"/>
          <w:b/>
          <w:sz w:val="24"/>
          <w:lang w:eastAsia="zh-CN"/>
        </w:rPr>
        <w:t xml:space="preserve"> </w:t>
      </w:r>
      <w:r w:rsidR="002E70DF" w:rsidRPr="00A11C75">
        <w:rPr>
          <w:rFonts w:ascii="Book Antiqua" w:hAnsi="Book Antiqua"/>
          <w:sz w:val="24"/>
        </w:rPr>
        <w:t>May</w:t>
      </w:r>
      <w:r w:rsidR="002E70DF">
        <w:rPr>
          <w:rFonts w:ascii="Book Antiqua" w:hAnsi="Book Antiqua" w:hint="eastAsia"/>
          <w:sz w:val="24"/>
          <w:lang w:eastAsia="zh-CN"/>
        </w:rPr>
        <w:t xml:space="preserve"> 18, 2015</w:t>
      </w:r>
    </w:p>
    <w:p w:rsidR="00F57B5D" w:rsidRPr="00867A3A" w:rsidRDefault="002E70DF" w:rsidP="00087AC8">
      <w:pPr>
        <w:adjustRightInd w:val="0"/>
        <w:snapToGrid w:val="0"/>
        <w:spacing w:after="0" w:line="360" w:lineRule="auto"/>
        <w:jc w:val="both"/>
        <w:rPr>
          <w:rFonts w:ascii="Book Antiqua" w:hAnsi="Book Antiqua"/>
          <w:b/>
          <w:sz w:val="24"/>
          <w:lang w:eastAsia="zh-CN"/>
        </w:rPr>
      </w:pPr>
      <w:r>
        <w:rPr>
          <w:rFonts w:ascii="Book Antiqua" w:hAnsi="Book Antiqua"/>
          <w:b/>
          <w:sz w:val="24"/>
        </w:rPr>
        <w:t xml:space="preserve">Revised: </w:t>
      </w:r>
      <w:r w:rsidRPr="00A11C75">
        <w:rPr>
          <w:rFonts w:ascii="Book Antiqua" w:hAnsi="Book Antiqua"/>
          <w:sz w:val="24"/>
        </w:rPr>
        <w:t>June</w:t>
      </w:r>
      <w:r>
        <w:rPr>
          <w:rFonts w:ascii="Book Antiqua" w:hAnsi="Book Antiqua" w:hint="eastAsia"/>
          <w:sz w:val="24"/>
          <w:lang w:eastAsia="zh-CN"/>
        </w:rPr>
        <w:t xml:space="preserve"> 19, 2015</w:t>
      </w:r>
    </w:p>
    <w:p w:rsidR="00F57B5D" w:rsidRPr="00976E26" w:rsidRDefault="00F57B5D" w:rsidP="00976E26">
      <w:pPr>
        <w:spacing w:line="360" w:lineRule="auto"/>
        <w:rPr>
          <w:rFonts w:ascii="Book Antiqua" w:hAnsi="Book Antiqua"/>
          <w:color w:val="000000" w:themeColor="text1"/>
          <w:sz w:val="24"/>
        </w:rPr>
      </w:pPr>
      <w:r w:rsidRPr="00867A3A">
        <w:rPr>
          <w:rFonts w:ascii="Book Antiqua" w:hAnsi="Book Antiqua"/>
          <w:b/>
          <w:sz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r w:rsidR="00976E26" w:rsidRPr="00976E26">
        <w:rPr>
          <w:rFonts w:ascii="Book Antiqua" w:hAnsi="Book Antiqua"/>
          <w:color w:val="000000" w:themeColor="text1"/>
          <w:sz w:val="24"/>
        </w:rPr>
        <w:t xml:space="preserve"> </w:t>
      </w:r>
      <w:r w:rsidR="00976E26" w:rsidRPr="00255F35">
        <w:rPr>
          <w:rFonts w:ascii="Book Antiqua" w:hAnsi="Book Antiqua"/>
          <w:color w:val="000000" w:themeColor="text1"/>
          <w:sz w:val="24"/>
        </w:rPr>
        <w:t>August 25, 2015</w:t>
      </w:r>
      <w:bookmarkStart w:id="16" w:name="_GoBack"/>
      <w:bookmarkEnd w:id="4"/>
      <w:bookmarkEnd w:id="5"/>
      <w:bookmarkEnd w:id="6"/>
      <w:bookmarkEnd w:id="7"/>
      <w:bookmarkEnd w:id="8"/>
      <w:bookmarkEnd w:id="9"/>
      <w:bookmarkEnd w:id="10"/>
      <w:bookmarkEnd w:id="11"/>
      <w:bookmarkEnd w:id="12"/>
      <w:bookmarkEnd w:id="13"/>
      <w:bookmarkEnd w:id="14"/>
      <w:bookmarkEnd w:id="15"/>
      <w:bookmarkEnd w:id="16"/>
      <w:r w:rsidR="009E07EC">
        <w:rPr>
          <w:rFonts w:ascii="Book Antiqua" w:hAnsi="Book Antiqua"/>
          <w:b/>
          <w:sz w:val="24"/>
        </w:rPr>
        <w:t xml:space="preserve"> </w:t>
      </w:r>
    </w:p>
    <w:p w:rsidR="00F57B5D" w:rsidRPr="00867A3A" w:rsidRDefault="00F57B5D" w:rsidP="00087AC8">
      <w:pPr>
        <w:adjustRightInd w:val="0"/>
        <w:snapToGrid w:val="0"/>
        <w:spacing w:after="0" w:line="360" w:lineRule="auto"/>
        <w:jc w:val="both"/>
        <w:rPr>
          <w:rFonts w:ascii="Book Antiqua" w:hAnsi="Book Antiqua"/>
          <w:b/>
          <w:sz w:val="24"/>
        </w:rPr>
      </w:pPr>
      <w:r w:rsidRPr="00867A3A">
        <w:rPr>
          <w:rFonts w:ascii="Book Antiqua" w:hAnsi="Book Antiqua"/>
          <w:b/>
          <w:sz w:val="24"/>
        </w:rPr>
        <w:t>Article in press:</w:t>
      </w:r>
    </w:p>
    <w:p w:rsidR="00F57B5D" w:rsidRPr="009E3692" w:rsidRDefault="00F57B5D" w:rsidP="00087AC8">
      <w:pPr>
        <w:adjustRightInd w:val="0"/>
        <w:snapToGrid w:val="0"/>
        <w:spacing w:after="0" w:line="360" w:lineRule="auto"/>
        <w:jc w:val="both"/>
        <w:rPr>
          <w:rFonts w:ascii="Book Antiqua" w:hAnsi="Book Antiqua"/>
          <w:sz w:val="24"/>
        </w:rPr>
      </w:pPr>
      <w:r w:rsidRPr="00867A3A">
        <w:rPr>
          <w:rFonts w:ascii="Book Antiqua" w:hAnsi="Book Antiqua"/>
          <w:b/>
          <w:sz w:val="24"/>
        </w:rPr>
        <w:t>Published online:</w:t>
      </w:r>
    </w:p>
    <w:p w:rsidR="00F57B5D" w:rsidRPr="00D93C39" w:rsidRDefault="00F57B5D" w:rsidP="00087AC8">
      <w:pPr>
        <w:adjustRightInd w:val="0"/>
        <w:snapToGrid w:val="0"/>
        <w:spacing w:after="0" w:line="360" w:lineRule="auto"/>
        <w:jc w:val="both"/>
        <w:rPr>
          <w:rFonts w:ascii="Book Antiqua" w:hAnsi="Book Antiqua"/>
          <w:sz w:val="24"/>
          <w:szCs w:val="24"/>
          <w:lang w:eastAsia="zh-CN"/>
        </w:rPr>
      </w:pPr>
    </w:p>
    <w:p w:rsidR="00A12376" w:rsidRPr="00D93C39" w:rsidRDefault="00B50B7A" w:rsidP="00087AC8">
      <w:pPr>
        <w:adjustRightInd w:val="0"/>
        <w:snapToGrid w:val="0"/>
        <w:spacing w:after="0" w:line="360" w:lineRule="auto"/>
        <w:jc w:val="both"/>
        <w:rPr>
          <w:rFonts w:ascii="Book Antiqua" w:hAnsi="Book Antiqua" w:cs="Times New Roman"/>
          <w:b/>
          <w:sz w:val="24"/>
          <w:szCs w:val="24"/>
          <w:lang w:val="en-US"/>
        </w:rPr>
      </w:pPr>
      <w:r w:rsidRPr="00D93C39">
        <w:rPr>
          <w:rFonts w:ascii="Book Antiqua" w:hAnsi="Book Antiqua" w:cs="Times New Roman"/>
          <w:b/>
          <w:sz w:val="24"/>
          <w:szCs w:val="24"/>
          <w:lang w:val="en-US"/>
        </w:rPr>
        <w:br w:type="page"/>
      </w:r>
      <w:r w:rsidR="00A12376" w:rsidRPr="00D93C39">
        <w:rPr>
          <w:rFonts w:ascii="Book Antiqua" w:hAnsi="Book Antiqua" w:cs="Times New Roman"/>
          <w:b/>
          <w:sz w:val="24"/>
          <w:szCs w:val="24"/>
          <w:lang w:val="en-US"/>
        </w:rPr>
        <w:lastRenderedPageBreak/>
        <w:t>Abstract</w:t>
      </w:r>
    </w:p>
    <w:p w:rsidR="00A12376" w:rsidRPr="00D93C39" w:rsidRDefault="00A12376" w:rsidP="00087AC8">
      <w:pPr>
        <w:adjustRightInd w:val="0"/>
        <w:snapToGrid w:val="0"/>
        <w:spacing w:after="0" w:line="360" w:lineRule="auto"/>
        <w:jc w:val="both"/>
        <w:rPr>
          <w:rFonts w:ascii="Book Antiqua" w:hAnsi="Book Antiqua" w:cs="Times New Roman"/>
          <w:sz w:val="24"/>
          <w:szCs w:val="24"/>
          <w:lang w:val="en-US"/>
        </w:rPr>
      </w:pPr>
      <w:r w:rsidRPr="00D93C39">
        <w:rPr>
          <w:rFonts w:ascii="Book Antiqua" w:hAnsi="Book Antiqua" w:cs="Times New Roman"/>
          <w:sz w:val="24"/>
          <w:szCs w:val="24"/>
          <w:lang w:val="en-US"/>
        </w:rPr>
        <w:t xml:space="preserve">Addiction to synthetic cannabinoids (SC) is a growing social and health problem worldwide. Chronic use of SCs may cause side effects to the gastrointestinal system. We describe a very rare case of acute gastric dilatation (AGD) and hepatic portal venous gas (HPVG) with the findings of acute abdomen </w:t>
      </w:r>
      <w:r w:rsidR="00BF7428" w:rsidRPr="00D93C39">
        <w:rPr>
          <w:rFonts w:ascii="Book Antiqua" w:hAnsi="Book Antiqua" w:cs="Times New Roman"/>
          <w:sz w:val="24"/>
          <w:szCs w:val="24"/>
          <w:lang w:val="en-US"/>
        </w:rPr>
        <w:t>due to chronic use of a SC, Bonz</w:t>
      </w:r>
      <w:r w:rsidRPr="00D93C39">
        <w:rPr>
          <w:rFonts w:ascii="Book Antiqua" w:hAnsi="Book Antiqua" w:cs="Times New Roman"/>
          <w:sz w:val="24"/>
          <w:szCs w:val="24"/>
          <w:lang w:val="en-US"/>
        </w:rPr>
        <w:t>ai. AGD and HPVG were detected by</w:t>
      </w:r>
      <w:r w:rsidR="002E70DF" w:rsidRPr="002E70DF">
        <w:t xml:space="preserve"> </w:t>
      </w:r>
      <w:r w:rsidR="002E70DF" w:rsidRPr="002E70DF">
        <w:rPr>
          <w:rFonts w:ascii="Book Antiqua" w:hAnsi="Book Antiqua" w:cs="Times New Roman"/>
          <w:sz w:val="24"/>
          <w:szCs w:val="24"/>
          <w:lang w:val="en-US"/>
        </w:rPr>
        <w:t>computerized tomography</w:t>
      </w:r>
      <w:r w:rsidRPr="00D93C39">
        <w:rPr>
          <w:rFonts w:ascii="Book Antiqua" w:hAnsi="Book Antiqua" w:cs="Times New Roman"/>
          <w:sz w:val="24"/>
          <w:szCs w:val="24"/>
          <w:lang w:val="en-US"/>
        </w:rPr>
        <w:t xml:space="preserve"> examination. Patchy mucosal ischemia was seen in endoscopic examination. Despite the findings of acute abdomen, a non-surgical approach with nasogastric decompression, </w:t>
      </w:r>
      <w:r w:rsidR="00474C7A">
        <w:rPr>
          <w:rFonts w:ascii="Book Antiqua" w:hAnsi="Book Antiqua" w:cs="Times New Roman"/>
          <w:sz w:val="24"/>
          <w:szCs w:val="24"/>
          <w:lang w:val="en-US"/>
        </w:rPr>
        <w:t>antibiotic therapy</w:t>
      </w:r>
      <w:r w:rsidRPr="00D93C39">
        <w:rPr>
          <w:rFonts w:ascii="Book Antiqua" w:hAnsi="Book Antiqua" w:cs="Times New Roman"/>
          <w:sz w:val="24"/>
          <w:szCs w:val="24"/>
          <w:lang w:val="en-US"/>
        </w:rPr>
        <w:t xml:space="preserve"> and close radiologic and endoscopic follow-up was preferred in the presented case.</w:t>
      </w:r>
      <w:r w:rsidR="009E07EC">
        <w:rPr>
          <w:rFonts w:ascii="Book Antiqua" w:hAnsi="Book Antiqua" w:cs="Times New Roman"/>
          <w:sz w:val="24"/>
          <w:szCs w:val="24"/>
          <w:lang w:val="en-US"/>
        </w:rPr>
        <w:t xml:space="preserve"> </w:t>
      </w:r>
      <w:r w:rsidRPr="00D93C39">
        <w:rPr>
          <w:rFonts w:ascii="Book Antiqua" w:hAnsi="Book Antiqua" w:cs="Times New Roman"/>
          <w:sz w:val="24"/>
          <w:szCs w:val="24"/>
          <w:lang w:val="en-US"/>
        </w:rPr>
        <w:t>Clinical and radiologic findings decreased dramatically in first day, and endoscopic findings gradually disappeared over seven days. In conclusion, this case shows that chronic use of a SC may cause AGD and accompanying HPVG, which can be managed non-surgically despite the findings of acute abdomen.</w:t>
      </w:r>
    </w:p>
    <w:p w:rsidR="002E70DF" w:rsidRDefault="002E70DF" w:rsidP="00087AC8">
      <w:pPr>
        <w:adjustRightInd w:val="0"/>
        <w:snapToGrid w:val="0"/>
        <w:spacing w:after="0" w:line="360" w:lineRule="auto"/>
        <w:jc w:val="both"/>
        <w:rPr>
          <w:rFonts w:ascii="Book Antiqua" w:hAnsi="Book Antiqua" w:cs="Times New Roman"/>
          <w:b/>
          <w:sz w:val="24"/>
          <w:szCs w:val="24"/>
          <w:lang w:val="en-US" w:eastAsia="zh-CN"/>
        </w:rPr>
      </w:pPr>
    </w:p>
    <w:p w:rsidR="00A12376" w:rsidRDefault="00A12376" w:rsidP="00087AC8">
      <w:pPr>
        <w:adjustRightInd w:val="0"/>
        <w:snapToGrid w:val="0"/>
        <w:spacing w:after="0" w:line="360" w:lineRule="auto"/>
        <w:jc w:val="both"/>
        <w:rPr>
          <w:rFonts w:ascii="Book Antiqua" w:hAnsi="Book Antiqua" w:cs="Times New Roman"/>
          <w:sz w:val="24"/>
          <w:szCs w:val="24"/>
          <w:lang w:val="en-US" w:eastAsia="zh-CN"/>
        </w:rPr>
      </w:pPr>
      <w:r w:rsidRPr="00D93C39">
        <w:rPr>
          <w:rFonts w:ascii="Book Antiqua" w:hAnsi="Book Antiqua" w:cs="Times New Roman"/>
          <w:b/>
          <w:sz w:val="24"/>
          <w:szCs w:val="24"/>
          <w:lang w:val="en-US"/>
        </w:rPr>
        <w:t>Key</w:t>
      </w:r>
      <w:r w:rsidR="002E70DF">
        <w:rPr>
          <w:rFonts w:ascii="Book Antiqua" w:hAnsi="Book Antiqua" w:cs="Times New Roman" w:hint="eastAsia"/>
          <w:b/>
          <w:sz w:val="24"/>
          <w:szCs w:val="24"/>
          <w:lang w:val="en-US" w:eastAsia="zh-CN"/>
        </w:rPr>
        <w:t xml:space="preserve"> </w:t>
      </w:r>
      <w:r w:rsidRPr="00D93C39">
        <w:rPr>
          <w:rFonts w:ascii="Book Antiqua" w:hAnsi="Book Antiqua" w:cs="Times New Roman"/>
          <w:b/>
          <w:sz w:val="24"/>
          <w:szCs w:val="24"/>
          <w:lang w:val="en-US"/>
        </w:rPr>
        <w:t>words</w:t>
      </w:r>
      <w:r w:rsidR="002E70DF">
        <w:rPr>
          <w:rFonts w:ascii="Book Antiqua" w:hAnsi="Book Antiqua" w:cs="Times New Roman" w:hint="eastAsia"/>
          <w:b/>
          <w:sz w:val="24"/>
          <w:szCs w:val="24"/>
          <w:lang w:val="en-US" w:eastAsia="zh-CN"/>
        </w:rPr>
        <w:t xml:space="preserve">: </w:t>
      </w:r>
      <w:r w:rsidR="007910FA" w:rsidRPr="00D93C39">
        <w:rPr>
          <w:rFonts w:ascii="Book Antiqua" w:hAnsi="Book Antiqua" w:cs="Times New Roman"/>
          <w:sz w:val="24"/>
          <w:szCs w:val="24"/>
          <w:lang w:val="en-US"/>
        </w:rPr>
        <w:t xml:space="preserve">Acute </w:t>
      </w:r>
      <w:r w:rsidR="002E70DF" w:rsidRPr="00D93C39">
        <w:rPr>
          <w:rFonts w:ascii="Book Antiqua" w:hAnsi="Book Antiqua" w:cs="Times New Roman"/>
          <w:sz w:val="24"/>
          <w:szCs w:val="24"/>
          <w:lang w:val="en-US"/>
        </w:rPr>
        <w:t>ab</w:t>
      </w:r>
      <w:r w:rsidR="007910FA" w:rsidRPr="00D93C39">
        <w:rPr>
          <w:rFonts w:ascii="Book Antiqua" w:hAnsi="Book Antiqua" w:cs="Times New Roman"/>
          <w:sz w:val="24"/>
          <w:szCs w:val="24"/>
          <w:lang w:val="en-US"/>
        </w:rPr>
        <w:t>domen</w:t>
      </w:r>
      <w:r w:rsidR="002E70DF">
        <w:rPr>
          <w:rFonts w:ascii="Book Antiqua" w:hAnsi="Book Antiqua" w:cs="Times New Roman" w:hint="eastAsia"/>
          <w:sz w:val="24"/>
          <w:szCs w:val="24"/>
          <w:lang w:val="en-US" w:eastAsia="zh-CN"/>
        </w:rPr>
        <w:t>;</w:t>
      </w:r>
      <w:r w:rsidR="007910FA" w:rsidRPr="00D93C39">
        <w:rPr>
          <w:rFonts w:ascii="Book Antiqua" w:hAnsi="Book Antiqua" w:cs="Times New Roman"/>
          <w:sz w:val="24"/>
          <w:szCs w:val="24"/>
          <w:lang w:val="en-US"/>
        </w:rPr>
        <w:t xml:space="preserve"> </w:t>
      </w:r>
      <w:r w:rsidRPr="00D93C39">
        <w:rPr>
          <w:rFonts w:ascii="Book Antiqua" w:hAnsi="Book Antiqua" w:cs="Times New Roman"/>
          <w:sz w:val="24"/>
          <w:szCs w:val="24"/>
          <w:lang w:val="en-US"/>
        </w:rPr>
        <w:t xml:space="preserve">Acute </w:t>
      </w:r>
      <w:r w:rsidR="002E70DF" w:rsidRPr="00D93C39">
        <w:rPr>
          <w:rFonts w:ascii="Book Antiqua" w:hAnsi="Book Antiqua" w:cs="Times New Roman"/>
          <w:sz w:val="24"/>
          <w:szCs w:val="24"/>
          <w:lang w:val="en-US"/>
        </w:rPr>
        <w:t>gastric di</w:t>
      </w:r>
      <w:r w:rsidRPr="00D93C39">
        <w:rPr>
          <w:rFonts w:ascii="Book Antiqua" w:hAnsi="Book Antiqua" w:cs="Times New Roman"/>
          <w:sz w:val="24"/>
          <w:szCs w:val="24"/>
          <w:lang w:val="en-US"/>
        </w:rPr>
        <w:t>latation</w:t>
      </w:r>
      <w:r w:rsidR="002E70DF">
        <w:rPr>
          <w:rFonts w:ascii="Book Antiqua" w:hAnsi="Book Antiqua" w:cs="Times New Roman" w:hint="eastAsia"/>
          <w:sz w:val="24"/>
          <w:szCs w:val="24"/>
          <w:lang w:val="en-US" w:eastAsia="zh-CN"/>
        </w:rPr>
        <w:t>;</w:t>
      </w:r>
      <w:r w:rsidRPr="00D93C39">
        <w:rPr>
          <w:rFonts w:ascii="Book Antiqua" w:hAnsi="Book Antiqua" w:cs="Times New Roman"/>
          <w:sz w:val="24"/>
          <w:szCs w:val="24"/>
          <w:lang w:val="en-US"/>
        </w:rPr>
        <w:t xml:space="preserve"> </w:t>
      </w:r>
      <w:r w:rsidR="007910FA" w:rsidRPr="00D93C39">
        <w:rPr>
          <w:rFonts w:ascii="Book Antiqua" w:hAnsi="Book Antiqua" w:cs="Times New Roman"/>
          <w:sz w:val="24"/>
          <w:szCs w:val="24"/>
          <w:lang w:val="en-US"/>
        </w:rPr>
        <w:t>Bonzai</w:t>
      </w:r>
      <w:r w:rsidR="002E70DF">
        <w:rPr>
          <w:rFonts w:ascii="Book Antiqua" w:hAnsi="Book Antiqua" w:cs="Times New Roman" w:hint="eastAsia"/>
          <w:sz w:val="24"/>
          <w:szCs w:val="24"/>
          <w:lang w:val="en-US" w:eastAsia="zh-CN"/>
        </w:rPr>
        <w:t>;</w:t>
      </w:r>
      <w:r w:rsidR="007910FA" w:rsidRPr="00D93C39">
        <w:rPr>
          <w:rFonts w:ascii="Book Antiqua" w:hAnsi="Book Antiqua" w:cs="Times New Roman"/>
          <w:sz w:val="24"/>
          <w:szCs w:val="24"/>
          <w:lang w:val="en-US"/>
        </w:rPr>
        <w:t xml:space="preserve"> </w:t>
      </w:r>
      <w:r w:rsidR="001366D6" w:rsidRPr="00D93C39">
        <w:rPr>
          <w:rFonts w:ascii="Book Antiqua" w:hAnsi="Book Antiqua" w:cs="Times New Roman"/>
          <w:sz w:val="24"/>
          <w:szCs w:val="24"/>
          <w:lang w:val="en-US"/>
        </w:rPr>
        <w:t>Hepatic</w:t>
      </w:r>
      <w:r w:rsidR="002E70DF" w:rsidRPr="00D93C39">
        <w:rPr>
          <w:rFonts w:ascii="Book Antiqua" w:hAnsi="Book Antiqua" w:cs="Times New Roman"/>
          <w:sz w:val="24"/>
          <w:szCs w:val="24"/>
          <w:lang w:val="en-US"/>
        </w:rPr>
        <w:t xml:space="preserve"> portal venous ga</w:t>
      </w:r>
      <w:r w:rsidRPr="00D93C39">
        <w:rPr>
          <w:rFonts w:ascii="Book Antiqua" w:hAnsi="Book Antiqua" w:cs="Times New Roman"/>
          <w:sz w:val="24"/>
          <w:szCs w:val="24"/>
          <w:lang w:val="en-US"/>
        </w:rPr>
        <w:t>s</w:t>
      </w:r>
      <w:r w:rsidR="002E70DF">
        <w:rPr>
          <w:rFonts w:ascii="Book Antiqua" w:hAnsi="Book Antiqua" w:cs="Times New Roman" w:hint="eastAsia"/>
          <w:sz w:val="24"/>
          <w:szCs w:val="24"/>
          <w:lang w:val="en-US" w:eastAsia="zh-CN"/>
        </w:rPr>
        <w:t>;</w:t>
      </w:r>
      <w:r w:rsidRPr="00D93C39">
        <w:rPr>
          <w:rFonts w:ascii="Book Antiqua" w:hAnsi="Book Antiqua" w:cs="Times New Roman"/>
          <w:sz w:val="24"/>
          <w:szCs w:val="24"/>
          <w:lang w:val="en-US"/>
        </w:rPr>
        <w:t xml:space="preserve"> Synthetic </w:t>
      </w:r>
      <w:r w:rsidR="002E70DF" w:rsidRPr="00D93C39">
        <w:rPr>
          <w:rFonts w:ascii="Book Antiqua" w:hAnsi="Book Antiqua" w:cs="Times New Roman"/>
          <w:sz w:val="24"/>
          <w:szCs w:val="24"/>
          <w:lang w:val="en-US"/>
        </w:rPr>
        <w:t>ca</w:t>
      </w:r>
      <w:r w:rsidRPr="00D93C39">
        <w:rPr>
          <w:rFonts w:ascii="Book Antiqua" w:hAnsi="Book Antiqua" w:cs="Times New Roman"/>
          <w:sz w:val="24"/>
          <w:szCs w:val="24"/>
          <w:lang w:val="en-US"/>
        </w:rPr>
        <w:t>nnabinoid</w:t>
      </w:r>
    </w:p>
    <w:p w:rsidR="002E70DF" w:rsidRDefault="002E70DF" w:rsidP="00087AC8">
      <w:pPr>
        <w:adjustRightInd w:val="0"/>
        <w:snapToGrid w:val="0"/>
        <w:spacing w:after="0" w:line="360" w:lineRule="auto"/>
        <w:jc w:val="both"/>
        <w:rPr>
          <w:rFonts w:ascii="Book Antiqua" w:hAnsi="Book Antiqua" w:cs="Times New Roman"/>
          <w:b/>
          <w:sz w:val="24"/>
          <w:szCs w:val="24"/>
          <w:lang w:val="en-US" w:eastAsia="zh-CN"/>
        </w:rPr>
      </w:pPr>
    </w:p>
    <w:p w:rsidR="002E70DF" w:rsidRDefault="002E70DF" w:rsidP="00087AC8">
      <w:pPr>
        <w:autoSpaceDE w:val="0"/>
        <w:autoSpaceDN w:val="0"/>
        <w:adjustRightInd w:val="0"/>
        <w:snapToGrid w:val="0"/>
        <w:spacing w:after="0" w:line="360" w:lineRule="auto"/>
        <w:rPr>
          <w:rFonts w:ascii="Book Antiqua" w:hAnsi="Book Antiqua" w:cs="Arial Unicode MS"/>
          <w:sz w:val="24"/>
        </w:rPr>
      </w:pPr>
      <w:bookmarkStart w:id="17" w:name="OLE_LINK98"/>
      <w:bookmarkStart w:id="18" w:name="OLE_LINK156"/>
      <w:bookmarkStart w:id="19" w:name="OLE_LINK196"/>
      <w:bookmarkStart w:id="20" w:name="OLE_LINK217"/>
      <w:bookmarkStart w:id="21" w:name="OLE_LINK242"/>
      <w:bookmarkStart w:id="22" w:name="OLE_LINK247"/>
      <w:bookmarkStart w:id="23" w:name="OLE_LINK311"/>
      <w:bookmarkStart w:id="24" w:name="OLE_LINK312"/>
      <w:bookmarkStart w:id="25" w:name="OLE_LINK325"/>
      <w:bookmarkStart w:id="26" w:name="OLE_LINK330"/>
      <w:bookmarkStart w:id="27" w:name="OLE_LINK513"/>
      <w:bookmarkStart w:id="28" w:name="OLE_LINK514"/>
      <w:bookmarkStart w:id="29" w:name="OLE_LINK464"/>
      <w:bookmarkStart w:id="30" w:name="OLE_LINK465"/>
      <w:bookmarkStart w:id="31" w:name="OLE_LINK466"/>
      <w:bookmarkStart w:id="32" w:name="OLE_LINK470"/>
      <w:bookmarkStart w:id="33" w:name="OLE_LINK471"/>
      <w:bookmarkStart w:id="34" w:name="OLE_LINK472"/>
      <w:bookmarkStart w:id="35" w:name="OLE_LINK474"/>
      <w:bookmarkStart w:id="36" w:name="OLE_LINK512"/>
      <w:bookmarkStart w:id="37" w:name="OLE_LINK800"/>
      <w:bookmarkStart w:id="38" w:name="OLE_LINK982"/>
      <w:bookmarkStart w:id="39" w:name="OLE_LINK1027"/>
      <w:bookmarkStart w:id="40" w:name="OLE_LINK504"/>
      <w:bookmarkStart w:id="41" w:name="OLE_LINK546"/>
      <w:bookmarkStart w:id="42" w:name="OLE_LINK547"/>
      <w:bookmarkStart w:id="43" w:name="OLE_LINK575"/>
      <w:bookmarkStart w:id="44" w:name="OLE_LINK640"/>
      <w:bookmarkStart w:id="45" w:name="OLE_LINK672"/>
      <w:bookmarkStart w:id="46" w:name="OLE_LINK714"/>
      <w:bookmarkStart w:id="47" w:name="OLE_LINK651"/>
      <w:bookmarkStart w:id="48" w:name="OLE_LINK652"/>
      <w:bookmarkStart w:id="49" w:name="OLE_LINK744"/>
      <w:bookmarkStart w:id="50" w:name="OLE_LINK758"/>
      <w:bookmarkStart w:id="51" w:name="OLE_LINK787"/>
      <w:bookmarkStart w:id="52" w:name="OLE_LINK807"/>
      <w:bookmarkStart w:id="53" w:name="OLE_LINK820"/>
      <w:bookmarkStart w:id="54" w:name="OLE_LINK862"/>
      <w:bookmarkStart w:id="55" w:name="OLE_LINK879"/>
      <w:bookmarkStart w:id="56" w:name="OLE_LINK906"/>
      <w:bookmarkStart w:id="57" w:name="OLE_LINK928"/>
      <w:bookmarkStart w:id="58" w:name="OLE_LINK960"/>
      <w:bookmarkStart w:id="59" w:name="OLE_LINK861"/>
      <w:bookmarkStart w:id="60" w:name="OLE_LINK983"/>
      <w:bookmarkStart w:id="61" w:name="OLE_LINK1334"/>
      <w:bookmarkStart w:id="62" w:name="OLE_LINK1029"/>
      <w:bookmarkStart w:id="63" w:name="OLE_LINK1060"/>
      <w:bookmarkStart w:id="64" w:name="OLE_LINK1061"/>
      <w:bookmarkStart w:id="65" w:name="OLE_LINK1348"/>
      <w:bookmarkStart w:id="66" w:name="OLE_LINK1086"/>
      <w:bookmarkStart w:id="67" w:name="OLE_LINK1100"/>
      <w:bookmarkStart w:id="68" w:name="OLE_LINK1125"/>
      <w:bookmarkStart w:id="69" w:name="OLE_LINK1163"/>
      <w:bookmarkStart w:id="70" w:name="OLE_LINK1193"/>
      <w:bookmarkStart w:id="71" w:name="OLE_LINK1219"/>
      <w:bookmarkStart w:id="72" w:name="OLE_LINK1247"/>
      <w:bookmarkStart w:id="73" w:name="OLE_LINK1284"/>
      <w:bookmarkStart w:id="74" w:name="OLE_LINK1313"/>
      <w:bookmarkStart w:id="75" w:name="OLE_LINK1361"/>
      <w:bookmarkStart w:id="76" w:name="OLE_LINK1384"/>
      <w:bookmarkStart w:id="77" w:name="OLE_LINK1403"/>
      <w:bookmarkStart w:id="78" w:name="OLE_LINK1437"/>
      <w:bookmarkStart w:id="79" w:name="OLE_LINK1454"/>
      <w:bookmarkStart w:id="80" w:name="OLE_LINK1480"/>
      <w:bookmarkStart w:id="81" w:name="OLE_LINK1504"/>
      <w:bookmarkStart w:id="82" w:name="OLE_LINK1516"/>
      <w:bookmarkStart w:id="83" w:name="OLE_LINK135"/>
      <w:bookmarkStart w:id="84" w:name="OLE_LINK216"/>
      <w:bookmarkStart w:id="85" w:name="OLE_LINK259"/>
      <w:bookmarkStart w:id="86" w:name="OLE_LINK1186"/>
      <w:bookmarkStart w:id="87" w:name="OLE_LINK1265"/>
      <w:bookmarkStart w:id="88" w:name="OLE_LINK1373"/>
      <w:bookmarkStart w:id="89" w:name="OLE_LINK1478"/>
      <w:bookmarkStart w:id="90" w:name="OLE_LINK1644"/>
      <w:bookmarkStart w:id="91" w:name="OLE_LINK1884"/>
      <w:bookmarkStart w:id="92" w:name="OLE_LINK1885"/>
      <w:bookmarkStart w:id="93" w:name="OLE_LINK1538"/>
      <w:bookmarkStart w:id="94" w:name="OLE_LINK1539"/>
      <w:bookmarkStart w:id="95" w:name="OLE_LINK1543"/>
      <w:bookmarkStart w:id="96" w:name="OLE_LINK1549"/>
      <w:bookmarkStart w:id="97" w:name="OLE_LINK1778"/>
      <w:bookmarkStart w:id="98" w:name="OLE_LINK1756"/>
      <w:bookmarkStart w:id="99" w:name="OLE_LINK1776"/>
      <w:bookmarkStart w:id="100" w:name="OLE_LINK1777"/>
      <w:bookmarkStart w:id="101" w:name="OLE_LINK1868"/>
      <w:bookmarkStart w:id="102" w:name="OLE_LINK1744"/>
      <w:bookmarkStart w:id="103" w:name="OLE_LINK1817"/>
      <w:bookmarkStart w:id="104" w:name="OLE_LINK1835"/>
      <w:bookmarkStart w:id="105" w:name="OLE_LINK1866"/>
      <w:bookmarkStart w:id="106" w:name="OLE_LINK1882"/>
      <w:bookmarkStart w:id="107" w:name="OLE_LINK1901"/>
      <w:bookmarkStart w:id="108" w:name="OLE_LINK1902"/>
      <w:bookmarkStart w:id="109" w:name="OLE_LINK2013"/>
      <w:bookmarkStart w:id="110" w:name="OLE_LINK1894"/>
      <w:bookmarkStart w:id="111" w:name="OLE_LINK1929"/>
      <w:bookmarkStart w:id="112" w:name="OLE_LINK1941"/>
      <w:bookmarkStart w:id="113" w:name="OLE_LINK1995"/>
      <w:bookmarkStart w:id="114" w:name="OLE_LINK1938"/>
      <w:bookmarkStart w:id="115" w:name="OLE_LINK2081"/>
      <w:bookmarkStart w:id="116" w:name="OLE_LINK2082"/>
      <w:bookmarkStart w:id="117" w:name="OLE_LINK2292"/>
      <w:bookmarkStart w:id="118" w:name="OLE_LINK1931"/>
      <w:bookmarkStart w:id="119" w:name="OLE_LINK1964"/>
      <w:bookmarkStart w:id="120" w:name="OLE_LINK2020"/>
      <w:bookmarkStart w:id="121" w:name="OLE_LINK2071"/>
      <w:bookmarkStart w:id="122" w:name="OLE_LINK2134"/>
      <w:bookmarkStart w:id="123" w:name="OLE_LINK2265"/>
      <w:bookmarkStart w:id="124" w:name="OLE_LINK2562"/>
      <w:bookmarkStart w:id="125" w:name="OLE_LINK1923"/>
      <w:bookmarkStart w:id="126" w:name="OLE_LINK2192"/>
      <w:bookmarkStart w:id="127" w:name="OLE_LINK2110"/>
      <w:bookmarkStart w:id="128" w:name="OLE_LINK2445"/>
      <w:bookmarkStart w:id="129" w:name="OLE_LINK2446"/>
      <w:bookmarkStart w:id="130" w:name="OLE_LINK2169"/>
      <w:bookmarkStart w:id="131" w:name="OLE_LINK2190"/>
      <w:bookmarkStart w:id="132" w:name="OLE_LINK2331"/>
      <w:bookmarkStart w:id="133" w:name="OLE_LINK2345"/>
      <w:bookmarkStart w:id="134" w:name="OLE_LINK2467"/>
      <w:bookmarkStart w:id="135" w:name="OLE_LINK2484"/>
      <w:bookmarkStart w:id="136" w:name="OLE_LINK2157"/>
      <w:bookmarkStart w:id="137" w:name="OLE_LINK2221"/>
      <w:bookmarkStart w:id="138" w:name="OLE_LINK2252"/>
      <w:bookmarkStart w:id="139" w:name="OLE_LINK2348"/>
      <w:bookmarkStart w:id="140" w:name="OLE_LINK2451"/>
      <w:bookmarkStart w:id="141" w:name="OLE_LINK2627"/>
      <w:bookmarkStart w:id="142" w:name="OLE_LINK2482"/>
      <w:bookmarkStart w:id="143" w:name="OLE_LINK2663"/>
      <w:bookmarkStart w:id="144" w:name="OLE_LINK2761"/>
      <w:bookmarkStart w:id="145" w:name="OLE_LINK2856"/>
      <w:bookmarkStart w:id="146" w:name="OLE_LINK2993"/>
      <w:bookmarkStart w:id="147" w:name="OLE_LINK2643"/>
      <w:bookmarkStart w:id="148" w:name="OLE_LINK2583"/>
      <w:bookmarkStart w:id="149" w:name="OLE_LINK2762"/>
      <w:bookmarkStart w:id="150" w:name="OLE_LINK2962"/>
      <w:bookmarkStart w:id="151"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2E70DF" w:rsidRPr="002E70DF" w:rsidRDefault="002E70DF" w:rsidP="00087AC8">
      <w:pPr>
        <w:adjustRightInd w:val="0"/>
        <w:snapToGrid w:val="0"/>
        <w:spacing w:after="0" w:line="360" w:lineRule="auto"/>
        <w:jc w:val="both"/>
        <w:rPr>
          <w:rFonts w:ascii="Book Antiqua" w:hAnsi="Book Antiqua" w:cs="Times New Roman"/>
          <w:b/>
          <w:sz w:val="24"/>
          <w:szCs w:val="24"/>
          <w:lang w:val="en-US" w:eastAsia="zh-CN"/>
        </w:rPr>
      </w:pPr>
    </w:p>
    <w:p w:rsidR="002E70DF" w:rsidRDefault="002E70DF" w:rsidP="00087AC8">
      <w:pPr>
        <w:adjustRightInd w:val="0"/>
        <w:snapToGrid w:val="0"/>
        <w:spacing w:after="0" w:line="360" w:lineRule="auto"/>
        <w:jc w:val="both"/>
        <w:rPr>
          <w:rFonts w:ascii="Book Antiqua" w:hAnsi="Book Antiqua" w:cs="Times New Roman"/>
          <w:sz w:val="24"/>
          <w:szCs w:val="24"/>
          <w:lang w:val="en-US" w:eastAsia="zh-CN"/>
        </w:rPr>
      </w:pPr>
      <w:r w:rsidRPr="00D93C39">
        <w:rPr>
          <w:rFonts w:ascii="Book Antiqua" w:hAnsi="Book Antiqua" w:cs="Times New Roman"/>
          <w:b/>
          <w:sz w:val="24"/>
          <w:szCs w:val="24"/>
          <w:lang w:val="en-US"/>
        </w:rPr>
        <w:t>Core tip</w:t>
      </w:r>
      <w:r>
        <w:rPr>
          <w:rFonts w:ascii="Book Antiqua" w:hAnsi="Book Antiqua" w:cs="Times New Roman" w:hint="eastAsia"/>
          <w:b/>
          <w:sz w:val="24"/>
          <w:szCs w:val="24"/>
          <w:lang w:val="en-US" w:eastAsia="zh-CN"/>
        </w:rPr>
        <w:t xml:space="preserve">: </w:t>
      </w:r>
      <w:r w:rsidR="00A12376" w:rsidRPr="00D93C39">
        <w:rPr>
          <w:rFonts w:ascii="Book Antiqua" w:hAnsi="Book Antiqua" w:cs="Times New Roman"/>
          <w:sz w:val="24"/>
          <w:szCs w:val="24"/>
          <w:lang w:val="en-US"/>
        </w:rPr>
        <w:t xml:space="preserve">This is the first case of </w:t>
      </w:r>
      <w:r>
        <w:rPr>
          <w:rFonts w:ascii="Book Antiqua" w:hAnsi="Book Antiqua" w:cs="Times New Roman"/>
          <w:sz w:val="24"/>
          <w:szCs w:val="24"/>
          <w:lang w:val="en-US"/>
        </w:rPr>
        <w:t>acute gastric dilatation</w:t>
      </w:r>
      <w:r w:rsidRPr="00D93C39">
        <w:rPr>
          <w:rFonts w:ascii="Book Antiqua" w:hAnsi="Book Antiqua" w:cs="Times New Roman"/>
          <w:sz w:val="24"/>
          <w:szCs w:val="24"/>
          <w:lang w:val="en-US"/>
        </w:rPr>
        <w:t xml:space="preserve"> </w:t>
      </w:r>
      <w:r w:rsidR="00A12376" w:rsidRPr="00D93C39">
        <w:rPr>
          <w:rFonts w:ascii="Book Antiqua" w:hAnsi="Book Antiqua" w:cs="Times New Roman"/>
          <w:sz w:val="24"/>
          <w:szCs w:val="24"/>
          <w:lang w:val="en-US"/>
        </w:rPr>
        <w:t xml:space="preserve">and accompanying </w:t>
      </w:r>
      <w:r w:rsidR="009E07EC" w:rsidRPr="00D93C39">
        <w:rPr>
          <w:rFonts w:ascii="Book Antiqua" w:hAnsi="Book Antiqua" w:cs="Times New Roman"/>
          <w:sz w:val="24"/>
          <w:szCs w:val="24"/>
          <w:lang w:val="en-US"/>
        </w:rPr>
        <w:t xml:space="preserve">hepatic portal venous gas </w:t>
      </w:r>
      <w:r w:rsidR="00A12376" w:rsidRPr="00D93C39">
        <w:rPr>
          <w:rFonts w:ascii="Book Antiqua" w:hAnsi="Book Antiqua" w:cs="Times New Roman"/>
          <w:sz w:val="24"/>
          <w:szCs w:val="24"/>
          <w:lang w:val="en-US"/>
        </w:rPr>
        <w:t xml:space="preserve">presented as acute abdomen due to chronic use of a </w:t>
      </w:r>
      <w:r w:rsidRPr="00D93C39">
        <w:rPr>
          <w:rFonts w:ascii="Book Antiqua" w:hAnsi="Book Antiqua" w:cs="Times New Roman"/>
          <w:sz w:val="24"/>
          <w:szCs w:val="24"/>
          <w:lang w:val="en-US"/>
        </w:rPr>
        <w:t>synthetic cannabinoids</w:t>
      </w:r>
      <w:r w:rsidR="00A12376" w:rsidRPr="00D93C39">
        <w:rPr>
          <w:rFonts w:ascii="Book Antiqua" w:hAnsi="Book Antiqua" w:cs="Times New Roman"/>
          <w:sz w:val="24"/>
          <w:szCs w:val="24"/>
          <w:lang w:val="en-US"/>
        </w:rPr>
        <w:t>, Bon</w:t>
      </w:r>
      <w:r w:rsidR="00904F3E" w:rsidRPr="00D93C39">
        <w:rPr>
          <w:rFonts w:ascii="Book Antiqua" w:hAnsi="Book Antiqua" w:cs="Times New Roman"/>
          <w:sz w:val="24"/>
          <w:szCs w:val="24"/>
          <w:lang w:val="en-US"/>
        </w:rPr>
        <w:t>z</w:t>
      </w:r>
      <w:r w:rsidR="00A12376" w:rsidRPr="00D93C39">
        <w:rPr>
          <w:rFonts w:ascii="Book Antiqua" w:hAnsi="Book Antiqua" w:cs="Times New Roman"/>
          <w:sz w:val="24"/>
          <w:szCs w:val="24"/>
          <w:lang w:val="en-US"/>
        </w:rPr>
        <w:t xml:space="preserve">ai. Despite the findings of acute abdomen, this type of patient can be managed non-surgically with a wide spectrum </w:t>
      </w:r>
      <w:r w:rsidR="00474C7A">
        <w:rPr>
          <w:rFonts w:ascii="Book Antiqua" w:hAnsi="Book Antiqua" w:cs="Times New Roman"/>
          <w:sz w:val="24"/>
          <w:szCs w:val="24"/>
          <w:lang w:val="en-US"/>
        </w:rPr>
        <w:t>antibiotic therapy</w:t>
      </w:r>
      <w:r w:rsidR="00A12376" w:rsidRPr="00D93C39">
        <w:rPr>
          <w:rFonts w:ascii="Book Antiqua" w:hAnsi="Book Antiqua" w:cs="Times New Roman"/>
          <w:sz w:val="24"/>
          <w:szCs w:val="24"/>
          <w:lang w:val="en-US"/>
        </w:rPr>
        <w:t xml:space="preserve"> and close radi</w:t>
      </w:r>
      <w:r w:rsidR="009E43BD" w:rsidRPr="00D93C39">
        <w:rPr>
          <w:rFonts w:ascii="Book Antiqua" w:hAnsi="Book Antiqua" w:cs="Times New Roman"/>
          <w:sz w:val="24"/>
          <w:szCs w:val="24"/>
          <w:lang w:val="en-US"/>
        </w:rPr>
        <w:t>ologic and endoscopic follow-up</w:t>
      </w:r>
      <w:r w:rsidR="00A12376" w:rsidRPr="00D93C39">
        <w:rPr>
          <w:rFonts w:ascii="Book Antiqua" w:hAnsi="Book Antiqua" w:cs="Times New Roman"/>
          <w:sz w:val="24"/>
          <w:szCs w:val="24"/>
          <w:lang w:val="en-US"/>
        </w:rPr>
        <w:t>.</w:t>
      </w:r>
    </w:p>
    <w:p w:rsidR="002E70DF" w:rsidRDefault="002E70DF" w:rsidP="00087AC8">
      <w:pPr>
        <w:adjustRightInd w:val="0"/>
        <w:snapToGrid w:val="0"/>
        <w:spacing w:after="0" w:line="360" w:lineRule="auto"/>
        <w:jc w:val="both"/>
        <w:rPr>
          <w:rFonts w:ascii="Book Antiqua" w:hAnsi="Book Antiqua" w:cs="Times New Roman"/>
          <w:sz w:val="24"/>
          <w:szCs w:val="24"/>
          <w:lang w:val="en-US" w:eastAsia="zh-CN"/>
        </w:rPr>
      </w:pPr>
    </w:p>
    <w:p w:rsidR="009E07EC" w:rsidRPr="009E07EC" w:rsidRDefault="009E07EC" w:rsidP="00087AC8">
      <w:pPr>
        <w:adjustRightInd w:val="0"/>
        <w:snapToGrid w:val="0"/>
        <w:spacing w:after="0" w:line="360" w:lineRule="auto"/>
        <w:jc w:val="both"/>
        <w:rPr>
          <w:rFonts w:ascii="Book Antiqua" w:hAnsi="Book Antiqua" w:cs="Times New Roman"/>
          <w:sz w:val="24"/>
          <w:szCs w:val="24"/>
          <w:lang w:eastAsia="zh-CN"/>
        </w:rPr>
      </w:pPr>
      <w:r w:rsidRPr="00D93C39">
        <w:rPr>
          <w:rFonts w:ascii="Book Antiqua" w:hAnsi="Book Antiqua" w:cs="Times New Roman"/>
          <w:sz w:val="24"/>
          <w:szCs w:val="24"/>
        </w:rPr>
        <w:t>Sevinc</w:t>
      </w:r>
      <w:r>
        <w:rPr>
          <w:rFonts w:ascii="Book Antiqua" w:hAnsi="Book Antiqua" w:cs="Times New Roman" w:hint="eastAsia"/>
          <w:sz w:val="24"/>
          <w:szCs w:val="24"/>
          <w:lang w:eastAsia="zh-CN"/>
        </w:rPr>
        <w:t xml:space="preserve"> MM</w:t>
      </w:r>
      <w:r w:rsidRPr="00D93C39">
        <w:rPr>
          <w:rFonts w:ascii="Book Antiqua" w:hAnsi="Book Antiqua" w:cs="Times New Roman"/>
          <w:sz w:val="24"/>
          <w:szCs w:val="24"/>
        </w:rPr>
        <w:t>, Kinaci</w:t>
      </w:r>
      <w:r>
        <w:rPr>
          <w:rFonts w:ascii="Book Antiqua" w:hAnsi="Book Antiqua" w:cs="Times New Roman" w:hint="eastAsia"/>
          <w:sz w:val="24"/>
          <w:szCs w:val="24"/>
          <w:lang w:eastAsia="zh-CN"/>
        </w:rPr>
        <w:t xml:space="preserve"> E</w:t>
      </w:r>
      <w:r w:rsidRPr="00D93C39">
        <w:rPr>
          <w:rFonts w:ascii="Book Antiqua" w:hAnsi="Book Antiqua" w:cs="Times New Roman"/>
          <w:sz w:val="24"/>
          <w:szCs w:val="24"/>
        </w:rPr>
        <w:t>, Bayrak</w:t>
      </w:r>
      <w:r>
        <w:rPr>
          <w:rFonts w:ascii="Book Antiqua" w:hAnsi="Book Antiqua" w:cs="Times New Roman" w:hint="eastAsia"/>
          <w:sz w:val="24"/>
          <w:szCs w:val="24"/>
          <w:lang w:eastAsia="zh-CN"/>
        </w:rPr>
        <w:t xml:space="preserve"> S</w:t>
      </w:r>
      <w:r w:rsidRPr="00D93C39">
        <w:rPr>
          <w:rFonts w:ascii="Book Antiqua" w:hAnsi="Book Antiqua" w:cs="Times New Roman"/>
          <w:sz w:val="24"/>
          <w:szCs w:val="24"/>
        </w:rPr>
        <w:t>, Yard</w:t>
      </w:r>
      <w:r>
        <w:rPr>
          <w:rFonts w:ascii="Book Antiqua" w:hAnsi="Book Antiqua" w:cs="Times New Roman"/>
          <w:sz w:val="24"/>
          <w:szCs w:val="24"/>
        </w:rPr>
        <w:t>imci</w:t>
      </w:r>
      <w:r>
        <w:rPr>
          <w:rFonts w:ascii="Book Antiqua" w:hAnsi="Book Antiqua" w:cs="Times New Roman" w:hint="eastAsia"/>
          <w:sz w:val="24"/>
          <w:szCs w:val="24"/>
          <w:lang w:eastAsia="zh-CN"/>
        </w:rPr>
        <w:t xml:space="preserve"> AH</w:t>
      </w:r>
      <w:r>
        <w:rPr>
          <w:rFonts w:ascii="Book Antiqua" w:hAnsi="Book Antiqua" w:cs="Times New Roman"/>
          <w:sz w:val="24"/>
          <w:szCs w:val="24"/>
        </w:rPr>
        <w:t>, Cakar</w:t>
      </w:r>
      <w:r>
        <w:rPr>
          <w:rFonts w:ascii="Book Antiqua" w:hAnsi="Book Antiqua" w:cs="Times New Roman" w:hint="eastAsia"/>
          <w:sz w:val="24"/>
          <w:szCs w:val="24"/>
          <w:lang w:eastAsia="zh-CN"/>
        </w:rPr>
        <w:t xml:space="preserve"> E</w:t>
      </w:r>
      <w:r>
        <w:rPr>
          <w:rFonts w:ascii="Book Antiqua" w:hAnsi="Book Antiqua" w:cs="Times New Roman"/>
          <w:sz w:val="24"/>
          <w:szCs w:val="24"/>
        </w:rPr>
        <w:t>, Bektas</w:t>
      </w:r>
      <w:r>
        <w:rPr>
          <w:rFonts w:ascii="Book Antiqua" w:hAnsi="Book Antiqua" w:cs="Times New Roman" w:hint="eastAsia"/>
          <w:sz w:val="24"/>
          <w:szCs w:val="24"/>
          <w:lang w:eastAsia="zh-CN"/>
        </w:rPr>
        <w:t xml:space="preserve"> H. </w:t>
      </w:r>
      <w:r w:rsidRPr="009E07EC">
        <w:rPr>
          <w:rFonts w:ascii="Book Antiqua" w:hAnsi="Book Antiqua" w:cs="Times New Roman"/>
          <w:sz w:val="24"/>
          <w:szCs w:val="24"/>
        </w:rPr>
        <w:t>Extraortdinary cause of acute-gastric-dilatation and hepatic-portal-venous-gas: Chronic use of synthetic cannabinoid</w:t>
      </w:r>
      <w:r>
        <w:rPr>
          <w:rFonts w:ascii="Book Antiqua" w:hAnsi="Book Antiqua" w:cs="Times New Roman" w:hint="eastAsia"/>
          <w:sz w:val="24"/>
          <w:szCs w:val="24"/>
          <w:lang w:eastAsia="zh-CN"/>
        </w:rPr>
        <w:t xml:space="preserve">. </w:t>
      </w:r>
      <w:r w:rsidRPr="009E07EC">
        <w:rPr>
          <w:rFonts w:ascii="Book Antiqua" w:eastAsia="SimSun" w:hAnsi="Book Antiqua" w:cs="Times New Roman"/>
          <w:i/>
          <w:kern w:val="2"/>
          <w:sz w:val="24"/>
          <w:szCs w:val="20"/>
          <w:lang w:val="en-US" w:eastAsia="zh-CN"/>
        </w:rPr>
        <w:t>World J Gastroenterol</w:t>
      </w:r>
      <w:r w:rsidRPr="009E07EC">
        <w:rPr>
          <w:rFonts w:ascii="Book Antiqua" w:eastAsia="SimSun" w:hAnsi="Book Antiqua" w:cs="Times New Roman"/>
          <w:kern w:val="2"/>
          <w:sz w:val="24"/>
          <w:szCs w:val="20"/>
          <w:lang w:val="en-US" w:eastAsia="zh-CN"/>
        </w:rPr>
        <w:t xml:space="preserve"> 201</w:t>
      </w:r>
      <w:r w:rsidRPr="009E07EC">
        <w:rPr>
          <w:rFonts w:ascii="Book Antiqua" w:eastAsia="SimSun" w:hAnsi="Book Antiqua" w:cs="Times New Roman" w:hint="eastAsia"/>
          <w:kern w:val="2"/>
          <w:sz w:val="24"/>
          <w:szCs w:val="20"/>
          <w:lang w:val="en-US" w:eastAsia="zh-CN"/>
        </w:rPr>
        <w:t>5</w:t>
      </w:r>
      <w:r w:rsidRPr="009E07EC">
        <w:rPr>
          <w:rFonts w:ascii="Book Antiqua" w:eastAsia="SimSun" w:hAnsi="Book Antiqua" w:cs="Times New Roman"/>
          <w:kern w:val="2"/>
          <w:sz w:val="24"/>
          <w:szCs w:val="20"/>
          <w:lang w:val="en-US" w:eastAsia="zh-CN"/>
        </w:rPr>
        <w:t>; In press</w:t>
      </w:r>
    </w:p>
    <w:p w:rsidR="002E70DF" w:rsidRPr="009E07EC" w:rsidRDefault="002E70DF" w:rsidP="00087AC8">
      <w:pPr>
        <w:adjustRightInd w:val="0"/>
        <w:snapToGrid w:val="0"/>
        <w:spacing w:after="0" w:line="360" w:lineRule="auto"/>
        <w:jc w:val="both"/>
        <w:rPr>
          <w:rFonts w:ascii="Book Antiqua" w:hAnsi="Book Antiqua" w:cs="Times New Roman"/>
          <w:sz w:val="24"/>
          <w:szCs w:val="24"/>
          <w:lang w:eastAsia="zh-CN"/>
        </w:rPr>
      </w:pPr>
    </w:p>
    <w:p w:rsidR="00A12376" w:rsidRPr="002E70DF" w:rsidRDefault="00A12376" w:rsidP="00087AC8">
      <w:pPr>
        <w:adjustRightInd w:val="0"/>
        <w:snapToGrid w:val="0"/>
        <w:spacing w:after="0" w:line="360" w:lineRule="auto"/>
        <w:jc w:val="both"/>
        <w:rPr>
          <w:rFonts w:ascii="Book Antiqua" w:hAnsi="Book Antiqua" w:cs="Times New Roman"/>
          <w:b/>
          <w:sz w:val="24"/>
          <w:szCs w:val="24"/>
          <w:lang w:val="en-US" w:eastAsia="zh-CN"/>
        </w:rPr>
      </w:pPr>
      <w:r w:rsidRPr="00D93C39">
        <w:rPr>
          <w:rFonts w:ascii="Book Antiqua" w:hAnsi="Book Antiqua" w:cs="Times New Roman"/>
          <w:sz w:val="24"/>
          <w:szCs w:val="24"/>
          <w:lang w:val="en-US"/>
        </w:rPr>
        <w:br w:type="page"/>
      </w:r>
    </w:p>
    <w:p w:rsidR="00A12376" w:rsidRPr="00D93C39" w:rsidRDefault="00751829" w:rsidP="00087AC8">
      <w:pPr>
        <w:adjustRightInd w:val="0"/>
        <w:snapToGrid w:val="0"/>
        <w:spacing w:after="0" w:line="360" w:lineRule="auto"/>
        <w:jc w:val="both"/>
        <w:rPr>
          <w:rFonts w:ascii="Book Antiqua" w:hAnsi="Book Antiqua" w:cs="Times New Roman"/>
          <w:b/>
          <w:sz w:val="24"/>
          <w:szCs w:val="24"/>
          <w:lang w:val="en-US"/>
        </w:rPr>
      </w:pPr>
      <w:r w:rsidRPr="00D93C39">
        <w:rPr>
          <w:rFonts w:ascii="Book Antiqua" w:hAnsi="Book Antiqua" w:cs="Times New Roman"/>
          <w:b/>
          <w:sz w:val="24"/>
          <w:szCs w:val="24"/>
          <w:lang w:val="en-US"/>
        </w:rPr>
        <w:lastRenderedPageBreak/>
        <w:t>INTRODUCTION</w:t>
      </w:r>
    </w:p>
    <w:p w:rsidR="00A12376" w:rsidRPr="00D93C39" w:rsidRDefault="00A12376" w:rsidP="00087AC8">
      <w:pPr>
        <w:adjustRightInd w:val="0"/>
        <w:snapToGrid w:val="0"/>
        <w:spacing w:after="0" w:line="360" w:lineRule="auto"/>
        <w:jc w:val="both"/>
        <w:rPr>
          <w:rFonts w:ascii="Book Antiqua" w:hAnsi="Book Antiqua" w:cs="Times New Roman"/>
          <w:sz w:val="24"/>
          <w:szCs w:val="24"/>
          <w:lang w:val="en-US"/>
        </w:rPr>
      </w:pPr>
      <w:r w:rsidRPr="00D93C39">
        <w:rPr>
          <w:rFonts w:ascii="Book Antiqua" w:hAnsi="Book Antiqua" w:cs="Times New Roman"/>
          <w:sz w:val="24"/>
          <w:szCs w:val="24"/>
          <w:lang w:val="en-US"/>
        </w:rPr>
        <w:t>Despite the presence of some therapeutic effects of cannabinoids (also called cannabis), addiction to these substances has been known for many decades, and it is a common health pro</w:t>
      </w:r>
      <w:r w:rsidR="00775620" w:rsidRPr="00D93C39">
        <w:rPr>
          <w:rFonts w:ascii="Book Antiqua" w:hAnsi="Book Antiqua" w:cs="Times New Roman"/>
          <w:sz w:val="24"/>
          <w:szCs w:val="24"/>
          <w:lang w:val="en-US"/>
        </w:rPr>
        <w:t>blem worldwide</w:t>
      </w:r>
      <w:r w:rsidR="00F1223A" w:rsidRPr="00D93C39">
        <w:rPr>
          <w:rFonts w:ascii="Book Antiqua" w:hAnsi="Book Antiqua" w:cs="Times New Roman"/>
          <w:sz w:val="24"/>
          <w:szCs w:val="24"/>
          <w:vertAlign w:val="superscript"/>
          <w:lang w:val="en-US"/>
        </w:rPr>
        <w:t>[1]</w:t>
      </w:r>
      <w:r w:rsidRPr="00D93C39">
        <w:rPr>
          <w:rFonts w:ascii="Book Antiqua" w:hAnsi="Book Antiqua" w:cs="Times New Roman"/>
          <w:sz w:val="24"/>
          <w:szCs w:val="24"/>
          <w:lang w:val="en-US"/>
        </w:rPr>
        <w:t>. Chronic use of cannabinoids or synthetic derivatives have many negative effects on human health, such as pulmonary, endocrine and cardiovascular pathologies as well as cog</w:t>
      </w:r>
      <w:r w:rsidR="009E07EC">
        <w:rPr>
          <w:rFonts w:ascii="Book Antiqua" w:hAnsi="Book Antiqua" w:cs="Times New Roman"/>
          <w:sz w:val="24"/>
          <w:szCs w:val="24"/>
          <w:lang w:val="en-US"/>
        </w:rPr>
        <w:t>nitive and behavioral disorders</w:t>
      </w:r>
      <w:r w:rsidR="00F1223A" w:rsidRPr="00D93C39">
        <w:rPr>
          <w:rFonts w:ascii="Book Antiqua" w:hAnsi="Book Antiqua" w:cs="Times New Roman"/>
          <w:sz w:val="24"/>
          <w:szCs w:val="24"/>
          <w:vertAlign w:val="superscript"/>
          <w:lang w:val="en-US"/>
        </w:rPr>
        <w:t>[1,2]</w:t>
      </w:r>
      <w:r w:rsidRPr="00D93C39">
        <w:rPr>
          <w:rFonts w:ascii="Book Antiqua" w:hAnsi="Book Antiqua" w:cs="Times New Roman"/>
          <w:sz w:val="24"/>
          <w:szCs w:val="24"/>
          <w:lang w:val="en-US"/>
        </w:rPr>
        <w:t>. The gastrointestinal tract is another target of cannabinoids. The effects on the gastrointestinal system are mediated by specific receptors in th</w:t>
      </w:r>
      <w:r w:rsidR="009E07EC">
        <w:rPr>
          <w:rFonts w:ascii="Book Antiqua" w:hAnsi="Book Antiqua" w:cs="Times New Roman"/>
          <w:sz w:val="24"/>
          <w:szCs w:val="24"/>
          <w:lang w:val="en-US"/>
        </w:rPr>
        <w:t>e brain and intestinal tract</w:t>
      </w:r>
      <w:r w:rsidR="003165A1" w:rsidRPr="00D93C39">
        <w:rPr>
          <w:rFonts w:ascii="Book Antiqua" w:hAnsi="Book Antiqua" w:cs="Times New Roman"/>
          <w:sz w:val="24"/>
          <w:szCs w:val="24"/>
          <w:vertAlign w:val="superscript"/>
          <w:lang w:val="en-US"/>
        </w:rPr>
        <w:t>[3]</w:t>
      </w:r>
      <w:r w:rsidR="003165A1" w:rsidRPr="00D93C39">
        <w:rPr>
          <w:rFonts w:ascii="Book Antiqua" w:hAnsi="Book Antiqua" w:cs="Times New Roman"/>
          <w:sz w:val="24"/>
          <w:szCs w:val="24"/>
          <w:lang w:val="en-US"/>
        </w:rPr>
        <w:t xml:space="preserve">. </w:t>
      </w:r>
      <w:r w:rsidRPr="00D93C39">
        <w:rPr>
          <w:rFonts w:ascii="Book Antiqua" w:hAnsi="Book Antiqua" w:cs="Times New Roman"/>
          <w:sz w:val="24"/>
          <w:szCs w:val="24"/>
          <w:lang w:val="en-US"/>
        </w:rPr>
        <w:t>Delayed gastric emptying and hyperemesis are defined gastric pathologi</w:t>
      </w:r>
      <w:r w:rsidR="009E07EC">
        <w:rPr>
          <w:rFonts w:ascii="Book Antiqua" w:hAnsi="Book Antiqua" w:cs="Times New Roman"/>
          <w:sz w:val="24"/>
          <w:szCs w:val="24"/>
          <w:lang w:val="en-US"/>
        </w:rPr>
        <w:t>es of chronic cannabinoid use</w:t>
      </w:r>
      <w:r w:rsidR="003165A1" w:rsidRPr="00D93C39">
        <w:rPr>
          <w:rFonts w:ascii="Book Antiqua" w:hAnsi="Book Antiqua" w:cs="Times New Roman"/>
          <w:sz w:val="24"/>
          <w:szCs w:val="24"/>
          <w:vertAlign w:val="superscript"/>
          <w:lang w:val="en-US"/>
        </w:rPr>
        <w:t>[2</w:t>
      </w:r>
      <w:r w:rsidR="009E07EC">
        <w:rPr>
          <w:rFonts w:ascii="Book Antiqua" w:hAnsi="Book Antiqua" w:cs="Times New Roman"/>
          <w:sz w:val="24"/>
          <w:szCs w:val="24"/>
          <w:vertAlign w:val="superscript"/>
          <w:lang w:val="en-US"/>
        </w:rPr>
        <w:t>,</w:t>
      </w:r>
      <w:r w:rsidRPr="00D93C39">
        <w:rPr>
          <w:rFonts w:ascii="Book Antiqua" w:hAnsi="Book Antiqua" w:cs="Times New Roman"/>
          <w:sz w:val="24"/>
          <w:szCs w:val="24"/>
          <w:vertAlign w:val="superscript"/>
          <w:lang w:val="en-US"/>
        </w:rPr>
        <w:t>4</w:t>
      </w:r>
      <w:r w:rsidR="003165A1" w:rsidRPr="00D93C39">
        <w:rPr>
          <w:rFonts w:ascii="Book Antiqua" w:hAnsi="Book Antiqua" w:cs="Times New Roman"/>
          <w:sz w:val="24"/>
          <w:szCs w:val="24"/>
          <w:vertAlign w:val="superscript"/>
          <w:lang w:val="en-US"/>
        </w:rPr>
        <w:t>]</w:t>
      </w:r>
      <w:r w:rsidRPr="00D93C39">
        <w:rPr>
          <w:rFonts w:ascii="Book Antiqua" w:hAnsi="Book Antiqua" w:cs="Times New Roman"/>
          <w:sz w:val="24"/>
          <w:szCs w:val="24"/>
          <w:lang w:val="en-US"/>
        </w:rPr>
        <w:t>, but the extent of gastric effects of cannabinoids are not predictable. We describe an extraordinary case of a young man and his interesting clinical course after being admitted to emergency services with the signs of acute abdomen.</w:t>
      </w:r>
    </w:p>
    <w:p w:rsidR="009E07EC" w:rsidRDefault="009E07EC" w:rsidP="00087AC8">
      <w:pPr>
        <w:adjustRightInd w:val="0"/>
        <w:snapToGrid w:val="0"/>
        <w:spacing w:after="0" w:line="360" w:lineRule="auto"/>
        <w:jc w:val="both"/>
        <w:rPr>
          <w:rFonts w:ascii="Book Antiqua" w:hAnsi="Book Antiqua" w:cs="Times New Roman"/>
          <w:b/>
          <w:sz w:val="24"/>
          <w:szCs w:val="24"/>
          <w:lang w:val="en-US" w:eastAsia="zh-CN"/>
        </w:rPr>
      </w:pPr>
    </w:p>
    <w:p w:rsidR="00A12376" w:rsidRPr="00D93C39" w:rsidRDefault="00751829" w:rsidP="00087AC8">
      <w:pPr>
        <w:adjustRightInd w:val="0"/>
        <w:snapToGrid w:val="0"/>
        <w:spacing w:after="0" w:line="360" w:lineRule="auto"/>
        <w:jc w:val="both"/>
        <w:rPr>
          <w:rFonts w:ascii="Book Antiqua" w:hAnsi="Book Antiqua" w:cs="Times New Roman"/>
          <w:b/>
          <w:sz w:val="24"/>
          <w:szCs w:val="24"/>
          <w:lang w:val="en-US"/>
        </w:rPr>
      </w:pPr>
      <w:r w:rsidRPr="00D93C39">
        <w:rPr>
          <w:rFonts w:ascii="Book Antiqua" w:hAnsi="Book Antiqua" w:cs="Times New Roman"/>
          <w:b/>
          <w:sz w:val="24"/>
          <w:szCs w:val="24"/>
          <w:lang w:val="en-US"/>
        </w:rPr>
        <w:t>CASE REPORT</w:t>
      </w:r>
    </w:p>
    <w:p w:rsidR="00A12376" w:rsidRPr="00D93C39" w:rsidRDefault="00A12376" w:rsidP="00087AC8">
      <w:pPr>
        <w:adjustRightInd w:val="0"/>
        <w:snapToGrid w:val="0"/>
        <w:spacing w:after="0" w:line="360" w:lineRule="auto"/>
        <w:jc w:val="both"/>
        <w:rPr>
          <w:rFonts w:ascii="Book Antiqua" w:hAnsi="Book Antiqua" w:cs="Times New Roman"/>
          <w:sz w:val="24"/>
          <w:szCs w:val="24"/>
          <w:lang w:val="en-US"/>
        </w:rPr>
      </w:pPr>
      <w:r w:rsidRPr="00D93C39">
        <w:rPr>
          <w:rFonts w:ascii="Book Antiqua" w:hAnsi="Book Antiqua" w:cs="Times New Roman"/>
          <w:sz w:val="24"/>
          <w:szCs w:val="24"/>
          <w:lang w:val="en-US"/>
        </w:rPr>
        <w:t xml:space="preserve">A 29-year-old man was admitted to emergency services with the compliant of abdominal distension and </w:t>
      </w:r>
      <w:r w:rsidR="00CE43B5" w:rsidRPr="00D93C39">
        <w:rPr>
          <w:rFonts w:ascii="Book Antiqua" w:hAnsi="Book Antiqua" w:cs="Times New Roman"/>
          <w:sz w:val="24"/>
          <w:szCs w:val="24"/>
          <w:lang w:val="en-US"/>
        </w:rPr>
        <w:t>gradually increasing</w:t>
      </w:r>
      <w:r w:rsidR="00FE7C9A" w:rsidRPr="00D93C39">
        <w:rPr>
          <w:rFonts w:ascii="Book Antiqua" w:hAnsi="Book Antiqua" w:cs="Times New Roman"/>
          <w:sz w:val="24"/>
          <w:szCs w:val="24"/>
          <w:lang w:val="en-US"/>
        </w:rPr>
        <w:t xml:space="preserve"> </w:t>
      </w:r>
      <w:r w:rsidRPr="00D93C39">
        <w:rPr>
          <w:rFonts w:ascii="Book Antiqua" w:hAnsi="Book Antiqua" w:cs="Times New Roman"/>
          <w:sz w:val="24"/>
          <w:szCs w:val="24"/>
          <w:lang w:val="en-US"/>
        </w:rPr>
        <w:t>pain for the last two days. In his history, he had been using</w:t>
      </w:r>
      <w:r w:rsidR="00904F3E" w:rsidRPr="00D93C39">
        <w:rPr>
          <w:rFonts w:ascii="Book Antiqua" w:hAnsi="Book Antiqua" w:cs="Times New Roman"/>
          <w:sz w:val="24"/>
          <w:szCs w:val="24"/>
          <w:lang w:val="en-US"/>
        </w:rPr>
        <w:t xml:space="preserve"> Bonz</w:t>
      </w:r>
      <w:r w:rsidRPr="00D93C39">
        <w:rPr>
          <w:rFonts w:ascii="Book Antiqua" w:hAnsi="Book Antiqua" w:cs="Times New Roman"/>
          <w:sz w:val="24"/>
          <w:szCs w:val="24"/>
          <w:lang w:val="en-US"/>
        </w:rPr>
        <w:t>ai regularly over the last five years and undergoing treatment for addiction. Physical examination revealed abdominal distension, tenderness, defense, rebound, nausea and vomiting. At admission, the laboratory findings were as follows: white blood cell count of 18200/mm</w:t>
      </w:r>
      <w:r w:rsidRPr="00D93C39">
        <w:rPr>
          <w:rFonts w:ascii="Book Antiqua" w:hAnsi="Book Antiqua" w:cs="Times New Roman"/>
          <w:sz w:val="24"/>
          <w:szCs w:val="24"/>
          <w:vertAlign w:val="superscript"/>
          <w:lang w:val="en-US"/>
        </w:rPr>
        <w:t>3</w:t>
      </w:r>
      <w:r w:rsidRPr="00D93C39">
        <w:rPr>
          <w:rFonts w:ascii="Book Antiqua" w:hAnsi="Book Antiqua" w:cs="Times New Roman"/>
          <w:sz w:val="24"/>
          <w:szCs w:val="24"/>
          <w:lang w:val="en-US"/>
        </w:rPr>
        <w:t>, hemoglobin of 14.2 g/dL, platelet count of 208000/mm</w:t>
      </w:r>
      <w:r w:rsidRPr="00D93C39">
        <w:rPr>
          <w:rFonts w:ascii="Book Antiqua" w:hAnsi="Book Antiqua" w:cs="Times New Roman"/>
          <w:sz w:val="24"/>
          <w:szCs w:val="24"/>
          <w:vertAlign w:val="superscript"/>
          <w:lang w:val="en-US"/>
        </w:rPr>
        <w:t>3</w:t>
      </w:r>
      <w:r w:rsidRPr="00D93C39">
        <w:rPr>
          <w:rFonts w:ascii="Book Antiqua" w:hAnsi="Book Antiqua" w:cs="Times New Roman"/>
          <w:sz w:val="24"/>
          <w:szCs w:val="24"/>
          <w:lang w:val="en-US"/>
        </w:rPr>
        <w:t xml:space="preserve">, glucose of 240 mg/dL, amylase of 382 U/L, aspartate transaminase of 25 IU/L, alanine transaminase of 17 IU/L, lactate dehydrogenase of 224 U/L, C-reactive protein of 27.7 mg/L. Abdominal x-rays showed a very large amount of gas in the fundus. Nasogastric decompression was applied and approximately 6 L of brownish black fluid was discharged. </w:t>
      </w:r>
      <w:r w:rsidR="009E07EC" w:rsidRPr="009E07EC">
        <w:rPr>
          <w:rFonts w:ascii="Book Antiqua" w:hAnsi="Book Antiqua" w:cs="Times New Roman"/>
          <w:sz w:val="24"/>
          <w:szCs w:val="24"/>
          <w:lang w:val="en-US"/>
        </w:rPr>
        <w:t xml:space="preserve">Computerized tomography </w:t>
      </w:r>
      <w:r w:rsidR="009E07EC">
        <w:rPr>
          <w:rFonts w:ascii="Book Antiqua" w:hAnsi="Book Antiqua" w:cs="Times New Roman" w:hint="eastAsia"/>
          <w:sz w:val="24"/>
          <w:szCs w:val="24"/>
          <w:lang w:val="en-US" w:eastAsia="zh-CN"/>
        </w:rPr>
        <w:t>(</w:t>
      </w:r>
      <w:r w:rsidRPr="00D93C39">
        <w:rPr>
          <w:rFonts w:ascii="Book Antiqua" w:hAnsi="Book Antiqua" w:cs="Times New Roman"/>
          <w:sz w:val="24"/>
          <w:szCs w:val="24"/>
          <w:lang w:val="en-US"/>
        </w:rPr>
        <w:t>CT</w:t>
      </w:r>
      <w:r w:rsidR="009E07EC">
        <w:rPr>
          <w:rFonts w:ascii="Book Antiqua" w:hAnsi="Book Antiqua" w:cs="Times New Roman" w:hint="eastAsia"/>
          <w:sz w:val="24"/>
          <w:szCs w:val="24"/>
          <w:lang w:val="en-US" w:eastAsia="zh-CN"/>
        </w:rPr>
        <w:t>)</w:t>
      </w:r>
      <w:r w:rsidRPr="00D93C39">
        <w:rPr>
          <w:rFonts w:ascii="Book Antiqua" w:hAnsi="Book Antiqua" w:cs="Times New Roman"/>
          <w:sz w:val="24"/>
          <w:szCs w:val="24"/>
          <w:lang w:val="en-US"/>
        </w:rPr>
        <w:t xml:space="preserve"> examination revealed a huge stomach, elongated towards the pelvis and accompanying hepatic portal venous gas (HPVG) was detected (Figure</w:t>
      </w:r>
      <w:r w:rsidR="002C3EA4" w:rsidRPr="00D93C39">
        <w:rPr>
          <w:rFonts w:ascii="Book Antiqua" w:hAnsi="Book Antiqua" w:cs="Times New Roman"/>
          <w:sz w:val="24"/>
          <w:szCs w:val="24"/>
          <w:lang w:val="en-US"/>
        </w:rPr>
        <w:t xml:space="preserve"> 1</w:t>
      </w:r>
      <w:r w:rsidRPr="00D93C39">
        <w:rPr>
          <w:rFonts w:ascii="Book Antiqua" w:hAnsi="Book Antiqua" w:cs="Times New Roman"/>
          <w:sz w:val="24"/>
          <w:szCs w:val="24"/>
          <w:lang w:val="en-US"/>
        </w:rPr>
        <w:t xml:space="preserve">). There was no evidence of perforation of luminal organs. Emergency upper gastrointestinal endoscopy was performed immediately. Endoscopic examination showed severe mucosal edema and patchy ischemic areas </w:t>
      </w:r>
      <w:r w:rsidRPr="00D93C39">
        <w:rPr>
          <w:rFonts w:ascii="Book Antiqua" w:hAnsi="Book Antiqua" w:cs="Times New Roman"/>
          <w:sz w:val="24"/>
          <w:szCs w:val="24"/>
          <w:lang w:val="en-US"/>
        </w:rPr>
        <w:lastRenderedPageBreak/>
        <w:t>all around the stomach (Figure</w:t>
      </w:r>
      <w:r w:rsidR="002C3EA4" w:rsidRPr="00D93C39">
        <w:rPr>
          <w:rFonts w:ascii="Book Antiqua" w:hAnsi="Book Antiqua" w:cs="Times New Roman"/>
          <w:sz w:val="24"/>
          <w:szCs w:val="24"/>
          <w:lang w:val="en-US"/>
        </w:rPr>
        <w:t xml:space="preserve"> 2</w:t>
      </w:r>
      <w:r w:rsidRPr="00D93C39">
        <w:rPr>
          <w:rFonts w:ascii="Book Antiqua" w:hAnsi="Book Antiqua" w:cs="Times New Roman"/>
          <w:sz w:val="24"/>
          <w:szCs w:val="24"/>
          <w:lang w:val="en-US"/>
        </w:rPr>
        <w:t xml:space="preserve">). The patient was hospitalized and we decided to follow up with close radiologic and endoscopic surveillance under a wide spectrum </w:t>
      </w:r>
      <w:r w:rsidR="00474C7A">
        <w:rPr>
          <w:rFonts w:ascii="Book Antiqua" w:hAnsi="Book Antiqua" w:cs="Times New Roman"/>
          <w:sz w:val="24"/>
          <w:szCs w:val="24"/>
          <w:lang w:val="en-US"/>
        </w:rPr>
        <w:t>antibiotic therapy</w:t>
      </w:r>
      <w:r w:rsidRPr="00D93C39">
        <w:rPr>
          <w:rFonts w:ascii="Book Antiqua" w:hAnsi="Book Antiqua" w:cs="Times New Roman"/>
          <w:sz w:val="24"/>
          <w:szCs w:val="24"/>
          <w:lang w:val="en-US"/>
        </w:rPr>
        <w:t xml:space="preserve">, despite the presence of findings of acute abdomen. </w:t>
      </w:r>
    </w:p>
    <w:p w:rsidR="00A12376" w:rsidRPr="00D93C39" w:rsidRDefault="00A12376" w:rsidP="00087AC8">
      <w:pPr>
        <w:adjustRightInd w:val="0"/>
        <w:snapToGrid w:val="0"/>
        <w:spacing w:after="0" w:line="360" w:lineRule="auto"/>
        <w:ind w:firstLineChars="100" w:firstLine="240"/>
        <w:jc w:val="both"/>
        <w:rPr>
          <w:rFonts w:ascii="Book Antiqua" w:hAnsi="Book Antiqua" w:cs="Times New Roman"/>
          <w:sz w:val="24"/>
          <w:szCs w:val="24"/>
          <w:lang w:val="en-US"/>
        </w:rPr>
      </w:pPr>
      <w:r w:rsidRPr="00D93C39">
        <w:rPr>
          <w:rFonts w:ascii="Book Antiqua" w:hAnsi="Book Antiqua" w:cs="Times New Roman"/>
          <w:sz w:val="24"/>
          <w:szCs w:val="24"/>
          <w:lang w:val="en-US"/>
        </w:rPr>
        <w:t>After 24 h, endoscopic findings were nearly similar, but clinical findings and HPVG in CT examination were dramatically decreased</w:t>
      </w:r>
      <w:r w:rsidR="002C3EA4" w:rsidRPr="00D93C39">
        <w:rPr>
          <w:rFonts w:ascii="Book Antiqua" w:hAnsi="Book Antiqua" w:cs="Times New Roman"/>
          <w:sz w:val="24"/>
          <w:szCs w:val="24"/>
          <w:lang w:val="en-US"/>
        </w:rPr>
        <w:t xml:space="preserve"> (Figure 3)</w:t>
      </w:r>
      <w:r w:rsidRPr="00D93C39">
        <w:rPr>
          <w:rFonts w:ascii="Book Antiqua" w:hAnsi="Book Antiqua" w:cs="Times New Roman"/>
          <w:sz w:val="24"/>
          <w:szCs w:val="24"/>
          <w:lang w:val="en-US"/>
        </w:rPr>
        <w:t xml:space="preserve">. There was a small amount </w:t>
      </w:r>
      <w:r w:rsidR="002C3EA4" w:rsidRPr="00D93C39">
        <w:rPr>
          <w:rFonts w:ascii="Book Antiqua" w:hAnsi="Book Antiqua" w:cs="Times New Roman"/>
          <w:sz w:val="24"/>
          <w:szCs w:val="24"/>
          <w:lang w:val="en-US"/>
        </w:rPr>
        <w:t>of free peritoneal fluid</w:t>
      </w:r>
      <w:r w:rsidRPr="00D93C39">
        <w:rPr>
          <w:rFonts w:ascii="Book Antiqua" w:hAnsi="Book Antiqua" w:cs="Times New Roman"/>
          <w:sz w:val="24"/>
          <w:szCs w:val="24"/>
          <w:lang w:val="en-US"/>
        </w:rPr>
        <w:t>. A sample was taken from this fluid, with the guidance of ultrasonography, and there was no growth in culture.</w:t>
      </w:r>
    </w:p>
    <w:p w:rsidR="00A12376" w:rsidRDefault="00A12376" w:rsidP="00087AC8">
      <w:pPr>
        <w:adjustRightInd w:val="0"/>
        <w:snapToGrid w:val="0"/>
        <w:spacing w:after="0" w:line="360" w:lineRule="auto"/>
        <w:ind w:firstLineChars="100" w:firstLine="240"/>
        <w:jc w:val="both"/>
        <w:rPr>
          <w:rFonts w:ascii="Book Antiqua" w:hAnsi="Book Antiqua" w:cs="Times New Roman"/>
          <w:sz w:val="24"/>
          <w:szCs w:val="24"/>
          <w:lang w:val="en-US" w:eastAsia="zh-CN"/>
        </w:rPr>
      </w:pPr>
      <w:r w:rsidRPr="00D93C39">
        <w:rPr>
          <w:rFonts w:ascii="Book Antiqua" w:hAnsi="Book Antiqua" w:cs="Times New Roman"/>
          <w:sz w:val="24"/>
          <w:szCs w:val="24"/>
          <w:lang w:val="en-US"/>
        </w:rPr>
        <w:t xml:space="preserve">Nasogastric decompression, </w:t>
      </w:r>
      <w:r w:rsidR="00474C7A">
        <w:rPr>
          <w:rFonts w:ascii="Book Antiqua" w:hAnsi="Book Antiqua" w:cs="Times New Roman"/>
          <w:sz w:val="24"/>
          <w:szCs w:val="24"/>
          <w:lang w:val="en-US"/>
        </w:rPr>
        <w:t>antibiotic therapy</w:t>
      </w:r>
      <w:r w:rsidRPr="00D93C39">
        <w:rPr>
          <w:rFonts w:ascii="Book Antiqua" w:hAnsi="Book Antiqua" w:cs="Times New Roman"/>
          <w:sz w:val="24"/>
          <w:szCs w:val="24"/>
          <w:lang w:val="en-US"/>
        </w:rPr>
        <w:t xml:space="preserve"> and serial upper gastrointestinal endoscopy were continued, and all of the clinical, radiological and endoscopic findings were regressed completely by the seventh day. The patient was discharged on the eighth day.</w:t>
      </w:r>
    </w:p>
    <w:p w:rsidR="009E07EC" w:rsidRPr="00D93C39" w:rsidRDefault="009E07EC" w:rsidP="00087AC8">
      <w:pPr>
        <w:adjustRightInd w:val="0"/>
        <w:snapToGrid w:val="0"/>
        <w:spacing w:after="0" w:line="360" w:lineRule="auto"/>
        <w:ind w:firstLineChars="100" w:firstLine="240"/>
        <w:jc w:val="both"/>
        <w:rPr>
          <w:rFonts w:ascii="Book Antiqua" w:hAnsi="Book Antiqua" w:cs="Times New Roman"/>
          <w:sz w:val="24"/>
          <w:szCs w:val="24"/>
          <w:lang w:val="en-US" w:eastAsia="zh-CN"/>
        </w:rPr>
      </w:pPr>
    </w:p>
    <w:p w:rsidR="00A12376" w:rsidRPr="00D93C39" w:rsidRDefault="00A12376" w:rsidP="00087AC8">
      <w:pPr>
        <w:adjustRightInd w:val="0"/>
        <w:snapToGrid w:val="0"/>
        <w:spacing w:after="0" w:line="360" w:lineRule="auto"/>
        <w:jc w:val="both"/>
        <w:rPr>
          <w:rFonts w:ascii="Book Antiqua" w:hAnsi="Book Antiqua" w:cs="Times New Roman"/>
          <w:b/>
          <w:sz w:val="24"/>
          <w:szCs w:val="24"/>
          <w:lang w:val="en-US"/>
        </w:rPr>
      </w:pPr>
      <w:r w:rsidRPr="00D93C39">
        <w:rPr>
          <w:rFonts w:ascii="Book Antiqua" w:hAnsi="Book Antiqua" w:cs="Times New Roman"/>
          <w:b/>
          <w:sz w:val="24"/>
          <w:szCs w:val="24"/>
          <w:lang w:val="en-US"/>
        </w:rPr>
        <w:t>D</w:t>
      </w:r>
      <w:r w:rsidR="00751829" w:rsidRPr="00D93C39">
        <w:rPr>
          <w:rFonts w:ascii="Book Antiqua" w:hAnsi="Book Antiqua" w:cs="Times New Roman"/>
          <w:b/>
          <w:sz w:val="24"/>
          <w:szCs w:val="24"/>
          <w:lang w:val="en-US"/>
        </w:rPr>
        <w:t>ISCUSSION</w:t>
      </w:r>
    </w:p>
    <w:p w:rsidR="00A12376" w:rsidRPr="00D93C39" w:rsidRDefault="00A12376" w:rsidP="00087AC8">
      <w:pPr>
        <w:adjustRightInd w:val="0"/>
        <w:snapToGrid w:val="0"/>
        <w:spacing w:after="0" w:line="360" w:lineRule="auto"/>
        <w:jc w:val="both"/>
        <w:rPr>
          <w:rFonts w:ascii="Book Antiqua" w:hAnsi="Book Antiqua" w:cs="Times New Roman"/>
          <w:sz w:val="24"/>
          <w:szCs w:val="24"/>
          <w:lang w:val="en-US"/>
        </w:rPr>
      </w:pPr>
      <w:r w:rsidRPr="00D93C39">
        <w:rPr>
          <w:rFonts w:ascii="Book Antiqua" w:hAnsi="Book Antiqua" w:cs="Times New Roman"/>
          <w:sz w:val="24"/>
          <w:szCs w:val="24"/>
          <w:lang w:val="en-US"/>
        </w:rPr>
        <w:t xml:space="preserve">Although cannabinoids have some therapeutic features, chronic use of them can cause addiction </w:t>
      </w:r>
      <w:r w:rsidR="0026152D" w:rsidRPr="00D93C39">
        <w:rPr>
          <w:rFonts w:ascii="Book Antiqua" w:hAnsi="Book Antiqua" w:cs="Times New Roman"/>
          <w:sz w:val="24"/>
          <w:szCs w:val="24"/>
          <w:lang w:val="en-US"/>
        </w:rPr>
        <w:t xml:space="preserve">and many deleterious effects </w:t>
      </w:r>
      <w:r w:rsidR="00D9060D" w:rsidRPr="00D93C39">
        <w:rPr>
          <w:rFonts w:ascii="Book Antiqua" w:hAnsi="Book Antiqua" w:cs="Times New Roman"/>
          <w:sz w:val="24"/>
          <w:szCs w:val="24"/>
          <w:vertAlign w:val="superscript"/>
          <w:lang w:val="en-US"/>
        </w:rPr>
        <w:t>[1]</w:t>
      </w:r>
      <w:r w:rsidRPr="00D93C39">
        <w:rPr>
          <w:rFonts w:ascii="Book Antiqua" w:hAnsi="Book Antiqua" w:cs="Times New Roman"/>
          <w:sz w:val="24"/>
          <w:szCs w:val="24"/>
          <w:lang w:val="en-US"/>
        </w:rPr>
        <w:t>. More than ten different products are ava</w:t>
      </w:r>
      <w:r w:rsidR="00B50B7A" w:rsidRPr="00D93C39">
        <w:rPr>
          <w:rFonts w:ascii="Book Antiqua" w:hAnsi="Book Antiqua" w:cs="Times New Roman"/>
          <w:sz w:val="24"/>
          <w:szCs w:val="24"/>
          <w:lang w:val="en-US"/>
        </w:rPr>
        <w:t>ilable containing SCs, such as Bonzai aromatic potpourri, Bonzai plant growth regulator, B</w:t>
      </w:r>
      <w:r w:rsidRPr="00D93C39">
        <w:rPr>
          <w:rFonts w:ascii="Book Antiqua" w:hAnsi="Book Antiqua" w:cs="Times New Roman"/>
          <w:sz w:val="24"/>
          <w:szCs w:val="24"/>
          <w:lang w:val="en-US"/>
        </w:rPr>
        <w:t>onzai C</w:t>
      </w:r>
      <w:r w:rsidR="00B50B7A" w:rsidRPr="00D93C39">
        <w:rPr>
          <w:rFonts w:ascii="Book Antiqua" w:hAnsi="Book Antiqua" w:cs="Times New Roman"/>
          <w:sz w:val="24"/>
          <w:szCs w:val="24"/>
          <w:lang w:val="en-US"/>
        </w:rPr>
        <w:t>uba, B</w:t>
      </w:r>
      <w:r w:rsidRPr="00D93C39">
        <w:rPr>
          <w:rFonts w:ascii="Book Antiqua" w:hAnsi="Book Antiqua" w:cs="Times New Roman"/>
          <w:sz w:val="24"/>
          <w:szCs w:val="24"/>
          <w:lang w:val="en-US"/>
        </w:rPr>
        <w:t xml:space="preserve">onzai black diamond, </w:t>
      </w:r>
      <w:r w:rsidR="00B50B7A" w:rsidRPr="00D93C39">
        <w:rPr>
          <w:rFonts w:ascii="Book Antiqua" w:hAnsi="Book Antiqua" w:cs="Times New Roman"/>
          <w:sz w:val="24"/>
          <w:szCs w:val="24"/>
          <w:lang w:val="en-US"/>
        </w:rPr>
        <w:t>S</w:t>
      </w:r>
      <w:r w:rsidRPr="00D93C39">
        <w:rPr>
          <w:rFonts w:ascii="Book Antiqua" w:hAnsi="Book Antiqua" w:cs="Times New Roman"/>
          <w:sz w:val="24"/>
          <w:szCs w:val="24"/>
          <w:lang w:val="en-US"/>
        </w:rPr>
        <w:t>pice, K2, Jamaic</w:t>
      </w:r>
      <w:r w:rsidR="009E07EC">
        <w:rPr>
          <w:rFonts w:ascii="Book Antiqua" w:hAnsi="Book Antiqua" w:cs="Times New Roman"/>
          <w:sz w:val="24"/>
          <w:szCs w:val="24"/>
          <w:lang w:val="en-US"/>
        </w:rPr>
        <w:t>an gold, Yucatan fire and so on</w:t>
      </w:r>
      <w:r w:rsidR="00D9060D" w:rsidRPr="00D93C39">
        <w:rPr>
          <w:rFonts w:ascii="Book Antiqua" w:hAnsi="Book Antiqua" w:cs="Times New Roman"/>
          <w:sz w:val="24"/>
          <w:szCs w:val="24"/>
          <w:vertAlign w:val="superscript"/>
          <w:lang w:val="en-US"/>
        </w:rPr>
        <w:t>[5]</w:t>
      </w:r>
      <w:r w:rsidRPr="00D93C39">
        <w:rPr>
          <w:rFonts w:ascii="Book Antiqua" w:hAnsi="Book Antiqua" w:cs="Times New Roman"/>
          <w:sz w:val="24"/>
          <w:szCs w:val="24"/>
          <w:lang w:val="en-US"/>
        </w:rPr>
        <w:t xml:space="preserve">. Addiction to this type of product has been growing in young adults. According to the World Drug Report from the United Nations Office on Drugs and Crime, SCs have been leading new psychoactive substances </w:t>
      </w:r>
      <w:r w:rsidR="009E07EC">
        <w:rPr>
          <w:rFonts w:ascii="Book Antiqua" w:hAnsi="Book Antiqua" w:cs="Times New Roman"/>
          <w:sz w:val="24"/>
          <w:szCs w:val="24"/>
          <w:lang w:val="en-US"/>
        </w:rPr>
        <w:t>worldwide</w:t>
      </w:r>
      <w:r w:rsidR="00D9060D" w:rsidRPr="00D93C39">
        <w:rPr>
          <w:rFonts w:ascii="Book Antiqua" w:hAnsi="Book Antiqua" w:cs="Times New Roman"/>
          <w:sz w:val="24"/>
          <w:szCs w:val="24"/>
          <w:vertAlign w:val="superscript"/>
          <w:lang w:val="en-US"/>
        </w:rPr>
        <w:t>[6]</w:t>
      </w:r>
      <w:r w:rsidRPr="00D93C39">
        <w:rPr>
          <w:rFonts w:ascii="Book Antiqua" w:hAnsi="Book Antiqua" w:cs="Times New Roman"/>
          <w:sz w:val="24"/>
          <w:szCs w:val="24"/>
          <w:lang w:val="en-US"/>
        </w:rPr>
        <w:t xml:space="preserve">. Turkey was introduced with SCs in 2010, and after that these products have </w:t>
      </w:r>
      <w:r w:rsidR="0026152D" w:rsidRPr="00D93C39">
        <w:rPr>
          <w:rFonts w:ascii="Book Antiqua" w:hAnsi="Book Antiqua" w:cs="Times New Roman"/>
          <w:sz w:val="24"/>
          <w:szCs w:val="24"/>
          <w:lang w:val="en-US"/>
        </w:rPr>
        <w:t xml:space="preserve">becoming increasingly common </w:t>
      </w:r>
      <w:r w:rsidR="0026152D" w:rsidRPr="00D93C39">
        <w:rPr>
          <w:rFonts w:ascii="Book Antiqua" w:hAnsi="Book Antiqua" w:cs="Times New Roman"/>
          <w:sz w:val="24"/>
          <w:szCs w:val="24"/>
          <w:vertAlign w:val="superscript"/>
          <w:lang w:val="en-US"/>
        </w:rPr>
        <w:t>[5]</w:t>
      </w:r>
      <w:r w:rsidRPr="00D93C39">
        <w:rPr>
          <w:rFonts w:ascii="Book Antiqua" w:hAnsi="Book Antiqua" w:cs="Times New Roman"/>
          <w:sz w:val="24"/>
          <w:szCs w:val="24"/>
          <w:lang w:val="en-US"/>
        </w:rPr>
        <w:t>.</w:t>
      </w:r>
    </w:p>
    <w:p w:rsidR="00A12376" w:rsidRPr="00D93C39" w:rsidRDefault="00A12376" w:rsidP="00087AC8">
      <w:pPr>
        <w:adjustRightInd w:val="0"/>
        <w:snapToGrid w:val="0"/>
        <w:spacing w:after="0" w:line="360" w:lineRule="auto"/>
        <w:ind w:firstLineChars="100" w:firstLine="240"/>
        <w:jc w:val="both"/>
        <w:rPr>
          <w:rFonts w:ascii="Book Antiqua" w:hAnsi="Book Antiqua" w:cs="Times New Roman"/>
          <w:sz w:val="24"/>
          <w:szCs w:val="24"/>
          <w:lang w:val="en-US"/>
        </w:rPr>
      </w:pPr>
      <w:r w:rsidRPr="00D93C39">
        <w:rPr>
          <w:rFonts w:ascii="Book Antiqua" w:hAnsi="Book Antiqua" w:cs="Times New Roman"/>
          <w:sz w:val="24"/>
          <w:szCs w:val="24"/>
          <w:lang w:val="en-US"/>
        </w:rPr>
        <w:t>SCs mimic the effects of natural cannabinoids by binding to the cannabinoid binding (CB) receptors. Although CB1 and CB2 receptors are found mainly in neurons and immune cells, respectively, there is evidence for the presence of these receptors along the g</w:t>
      </w:r>
      <w:r w:rsidR="009E07EC">
        <w:rPr>
          <w:rFonts w:ascii="Book Antiqua" w:hAnsi="Book Antiqua" w:cs="Times New Roman"/>
          <w:sz w:val="24"/>
          <w:szCs w:val="24"/>
          <w:lang w:val="en-US"/>
        </w:rPr>
        <w:t>astrointestinal tract</w:t>
      </w:r>
      <w:r w:rsidR="00BD2E1D" w:rsidRPr="00D93C39">
        <w:rPr>
          <w:rFonts w:ascii="Book Antiqua" w:hAnsi="Book Antiqua" w:cs="Times New Roman"/>
          <w:sz w:val="24"/>
          <w:szCs w:val="24"/>
          <w:vertAlign w:val="superscript"/>
          <w:lang w:val="en-US"/>
        </w:rPr>
        <w:t>[3]</w:t>
      </w:r>
      <w:r w:rsidRPr="00D93C39">
        <w:rPr>
          <w:rFonts w:ascii="Book Antiqua" w:hAnsi="Book Antiqua" w:cs="Times New Roman"/>
          <w:sz w:val="24"/>
          <w:szCs w:val="24"/>
          <w:lang w:val="en-US"/>
        </w:rPr>
        <w:t>. The inhibitory effect of cannabinoids and CB1 receptor agonists on gastric motility and contractility has bee</w:t>
      </w:r>
      <w:r w:rsidR="009E07EC">
        <w:rPr>
          <w:rFonts w:ascii="Book Antiqua" w:hAnsi="Book Antiqua" w:cs="Times New Roman"/>
          <w:sz w:val="24"/>
          <w:szCs w:val="24"/>
          <w:lang w:val="en-US"/>
        </w:rPr>
        <w:t>n shown in animal studies</w:t>
      </w:r>
      <w:r w:rsidR="00BD2E1D" w:rsidRPr="00D93C39">
        <w:rPr>
          <w:rFonts w:ascii="Book Antiqua" w:hAnsi="Book Antiqua" w:cs="Times New Roman"/>
          <w:sz w:val="24"/>
          <w:szCs w:val="24"/>
          <w:vertAlign w:val="superscript"/>
          <w:lang w:val="en-US"/>
        </w:rPr>
        <w:t>[7,8]</w:t>
      </w:r>
      <w:r w:rsidRPr="00D93C39">
        <w:rPr>
          <w:rFonts w:ascii="Book Antiqua" w:hAnsi="Book Antiqua" w:cs="Times New Roman"/>
          <w:sz w:val="24"/>
          <w:szCs w:val="24"/>
          <w:lang w:val="en-US"/>
        </w:rPr>
        <w:t xml:space="preserve">. Clinically, cannabinoids have been used to treat hyperemesis in patient undergoing chemotherapy, and this effect </w:t>
      </w:r>
      <w:r w:rsidR="009E07EC">
        <w:rPr>
          <w:rFonts w:ascii="Book Antiqua" w:hAnsi="Book Antiqua" w:cs="Times New Roman"/>
          <w:sz w:val="24"/>
          <w:szCs w:val="24"/>
          <w:lang w:val="en-US"/>
        </w:rPr>
        <w:t>is mediated by CB1 receptors</w:t>
      </w:r>
      <w:r w:rsidR="00BD2E1D" w:rsidRPr="00D93C39">
        <w:rPr>
          <w:rFonts w:ascii="Book Antiqua" w:hAnsi="Book Antiqua" w:cs="Times New Roman"/>
          <w:sz w:val="24"/>
          <w:szCs w:val="24"/>
          <w:vertAlign w:val="superscript"/>
          <w:lang w:val="en-US"/>
        </w:rPr>
        <w:t>[9]</w:t>
      </w:r>
      <w:r w:rsidRPr="00D93C39">
        <w:rPr>
          <w:rFonts w:ascii="Book Antiqua" w:hAnsi="Book Antiqua" w:cs="Times New Roman"/>
          <w:sz w:val="24"/>
          <w:szCs w:val="24"/>
          <w:lang w:val="en-US"/>
        </w:rPr>
        <w:t>. P</w:t>
      </w:r>
      <w:r w:rsidR="009E07EC">
        <w:rPr>
          <w:rFonts w:ascii="Book Antiqua" w:hAnsi="Book Antiqua" w:cs="Times New Roman"/>
          <w:sz w:val="24"/>
          <w:szCs w:val="24"/>
          <w:lang w:val="en-US"/>
        </w:rPr>
        <w:t xml:space="preserve">aradoxically, Choung </w:t>
      </w:r>
      <w:r w:rsidR="009E07EC" w:rsidRPr="009E07EC">
        <w:rPr>
          <w:rFonts w:ascii="Book Antiqua" w:hAnsi="Book Antiqua" w:cs="Times New Roman"/>
          <w:i/>
          <w:sz w:val="24"/>
          <w:szCs w:val="24"/>
          <w:lang w:val="en-US"/>
        </w:rPr>
        <w:t>et al</w:t>
      </w:r>
      <w:r w:rsidR="00BD2E1D" w:rsidRPr="00D93C39">
        <w:rPr>
          <w:rFonts w:ascii="Book Antiqua" w:hAnsi="Book Antiqua" w:cs="Times New Roman"/>
          <w:sz w:val="24"/>
          <w:szCs w:val="24"/>
          <w:vertAlign w:val="superscript"/>
          <w:lang w:val="en-US"/>
        </w:rPr>
        <w:t>[10]</w:t>
      </w:r>
      <w:r w:rsidR="009E07EC">
        <w:rPr>
          <w:rFonts w:ascii="Book Antiqua" w:hAnsi="Book Antiqua" w:cs="Times New Roman"/>
          <w:sz w:val="24"/>
          <w:szCs w:val="24"/>
          <w:lang w:val="en-US"/>
        </w:rPr>
        <w:t xml:space="preserve"> and Allen </w:t>
      </w:r>
      <w:r w:rsidR="009E07EC" w:rsidRPr="009E07EC">
        <w:rPr>
          <w:rFonts w:ascii="Book Antiqua" w:hAnsi="Book Antiqua" w:cs="Times New Roman"/>
          <w:i/>
          <w:sz w:val="24"/>
          <w:szCs w:val="24"/>
          <w:lang w:val="en-US"/>
        </w:rPr>
        <w:t>et al</w:t>
      </w:r>
      <w:r w:rsidR="00BD2E1D" w:rsidRPr="00D93C39">
        <w:rPr>
          <w:rFonts w:ascii="Book Antiqua" w:hAnsi="Book Antiqua" w:cs="Times New Roman"/>
          <w:sz w:val="24"/>
          <w:szCs w:val="24"/>
          <w:vertAlign w:val="superscript"/>
          <w:lang w:val="en-US"/>
        </w:rPr>
        <w:t>[4]</w:t>
      </w:r>
      <w:r w:rsidRPr="00D93C39">
        <w:rPr>
          <w:rFonts w:ascii="Book Antiqua" w:hAnsi="Book Antiqua" w:cs="Times New Roman"/>
          <w:sz w:val="24"/>
          <w:szCs w:val="24"/>
          <w:vertAlign w:val="superscript"/>
          <w:lang w:val="en-US"/>
        </w:rPr>
        <w:t xml:space="preserve"> </w:t>
      </w:r>
      <w:r w:rsidRPr="00D93C39">
        <w:rPr>
          <w:rFonts w:ascii="Book Antiqua" w:hAnsi="Book Antiqua" w:cs="Times New Roman"/>
          <w:sz w:val="24"/>
          <w:szCs w:val="24"/>
          <w:lang w:val="en-US"/>
        </w:rPr>
        <w:t xml:space="preserve">have reported an association between chronic cannabinoid use and cyclical hyperemesis. </w:t>
      </w:r>
      <w:r w:rsidR="00904F3E" w:rsidRPr="00D93C39">
        <w:rPr>
          <w:rFonts w:ascii="Book Antiqua" w:hAnsi="Book Antiqua" w:cs="Times New Roman"/>
          <w:sz w:val="24"/>
          <w:szCs w:val="24"/>
          <w:lang w:val="en-US"/>
        </w:rPr>
        <w:t xml:space="preserve">Additionally, cannabinoids can </w:t>
      </w:r>
      <w:r w:rsidR="00904F3E" w:rsidRPr="00D93C39">
        <w:rPr>
          <w:rFonts w:ascii="Book Antiqua" w:hAnsi="Book Antiqua" w:cs="Times New Roman"/>
          <w:sz w:val="24"/>
          <w:szCs w:val="24"/>
          <w:lang w:val="en-US"/>
        </w:rPr>
        <w:lastRenderedPageBreak/>
        <w:t>a</w:t>
      </w:r>
      <w:r w:rsidRPr="00D93C39">
        <w:rPr>
          <w:rFonts w:ascii="Book Antiqua" w:hAnsi="Book Antiqua" w:cs="Times New Roman"/>
          <w:sz w:val="24"/>
          <w:szCs w:val="24"/>
          <w:lang w:val="en-US"/>
        </w:rPr>
        <w:t>ffect the lower esophageal sphincter by binding to CB1 receptors within the</w:t>
      </w:r>
      <w:r w:rsidR="009E07EC">
        <w:rPr>
          <w:rFonts w:ascii="Book Antiqua" w:hAnsi="Book Antiqua" w:cs="Times New Roman"/>
          <w:sz w:val="24"/>
          <w:szCs w:val="24"/>
          <w:lang w:val="en-US"/>
        </w:rPr>
        <w:t xml:space="preserve"> nucleus tractus solitarius</w:t>
      </w:r>
      <w:r w:rsidR="00BD2E1D" w:rsidRPr="00D93C39">
        <w:rPr>
          <w:rFonts w:ascii="Book Antiqua" w:hAnsi="Book Antiqua" w:cs="Times New Roman"/>
          <w:sz w:val="24"/>
          <w:szCs w:val="24"/>
          <w:vertAlign w:val="superscript"/>
          <w:lang w:val="en-US"/>
        </w:rPr>
        <w:t>[11]</w:t>
      </w:r>
      <w:r w:rsidRPr="00D93C39">
        <w:rPr>
          <w:rFonts w:ascii="Book Antiqua" w:hAnsi="Book Antiqua" w:cs="Times New Roman"/>
          <w:sz w:val="24"/>
          <w:szCs w:val="24"/>
          <w:lang w:val="en-US"/>
        </w:rPr>
        <w:t>. As shown, there are different aspects of the effects of cannabinoids on the stomach. In the present case, we saw an extraordinary presentation of chronic SC use. According to our knowledge, this is the first case of acute gastric dilatation and hepatic portal venous gas resulting from SC use. Although, the pathogenesis of AGD is generally not clear, we thought that, in our case, this process should be mediated by the binding of CB1 receptors.</w:t>
      </w:r>
    </w:p>
    <w:p w:rsidR="00A12376" w:rsidRPr="00D93C39" w:rsidRDefault="00100C10" w:rsidP="00087AC8">
      <w:pPr>
        <w:adjustRightInd w:val="0"/>
        <w:snapToGrid w:val="0"/>
        <w:spacing w:after="0" w:line="360" w:lineRule="auto"/>
        <w:ind w:firstLineChars="100" w:firstLine="240"/>
        <w:jc w:val="both"/>
        <w:rPr>
          <w:rFonts w:ascii="Book Antiqua" w:hAnsi="Book Antiqua" w:cs="Times New Roman"/>
          <w:sz w:val="24"/>
          <w:szCs w:val="24"/>
          <w:lang w:val="en-US"/>
        </w:rPr>
      </w:pPr>
      <w:r w:rsidRPr="00D93C39">
        <w:rPr>
          <w:rFonts w:ascii="Book Antiqua" w:hAnsi="Book Antiqua"/>
          <w:sz w:val="24"/>
          <w:szCs w:val="24"/>
        </w:rPr>
        <w:t>HPVG is recognized not as a specific disease entity but rather as a diagnostic clue in patients with underlying acute abdominal pathology. The diagnostic features of HPVG on CT imaging include: branching lucencies extending to within 2 cm of the liver capsule, predominantly in the anterior-superior aspect of the left lobe</w:t>
      </w:r>
      <w:r w:rsidR="00FB3684" w:rsidRPr="00D93C39">
        <w:rPr>
          <w:rFonts w:ascii="Book Antiqua" w:hAnsi="Book Antiqua"/>
          <w:sz w:val="24"/>
          <w:szCs w:val="24"/>
          <w:vertAlign w:val="superscript"/>
        </w:rPr>
        <w:t>[12,13]</w:t>
      </w:r>
      <w:r w:rsidRPr="00D93C39">
        <w:rPr>
          <w:rFonts w:ascii="Book Antiqua" w:hAnsi="Book Antiqua"/>
          <w:sz w:val="24"/>
          <w:szCs w:val="24"/>
        </w:rPr>
        <w:t xml:space="preserve">. </w:t>
      </w:r>
      <w:r w:rsidR="00A12376" w:rsidRPr="00D93C39">
        <w:rPr>
          <w:rFonts w:ascii="Book Antiqua" w:hAnsi="Book Antiqua" w:cs="Times New Roman"/>
          <w:sz w:val="24"/>
          <w:szCs w:val="24"/>
          <w:lang w:val="en-US"/>
        </w:rPr>
        <w:t>Association of AGD and HPVG is extremely rare; there are few cases reported in the li</w:t>
      </w:r>
      <w:r w:rsidR="009E07EC">
        <w:rPr>
          <w:rFonts w:ascii="Book Antiqua" w:hAnsi="Book Antiqua" w:cs="Times New Roman"/>
          <w:sz w:val="24"/>
          <w:szCs w:val="24"/>
          <w:lang w:val="en-US"/>
        </w:rPr>
        <w:t xml:space="preserve">terature. In 1985, Radin </w:t>
      </w:r>
      <w:r w:rsidR="009E07EC" w:rsidRPr="009E07EC">
        <w:rPr>
          <w:rFonts w:ascii="Book Antiqua" w:hAnsi="Book Antiqua" w:cs="Times New Roman"/>
          <w:i/>
          <w:sz w:val="24"/>
          <w:szCs w:val="24"/>
          <w:lang w:val="en-US"/>
        </w:rPr>
        <w:t>et al</w:t>
      </w:r>
      <w:r w:rsidR="00FB3684" w:rsidRPr="00D93C39">
        <w:rPr>
          <w:rFonts w:ascii="Book Antiqua" w:hAnsi="Book Antiqua" w:cs="Times New Roman"/>
          <w:sz w:val="24"/>
          <w:szCs w:val="24"/>
          <w:vertAlign w:val="superscript"/>
          <w:lang w:val="en-US"/>
        </w:rPr>
        <w:t>[13]</w:t>
      </w:r>
      <w:r w:rsidR="00A12376" w:rsidRPr="00D93C39">
        <w:rPr>
          <w:rFonts w:ascii="Book Antiqua" w:hAnsi="Book Antiqua" w:cs="Times New Roman"/>
          <w:sz w:val="24"/>
          <w:szCs w:val="24"/>
          <w:lang w:val="en-US"/>
        </w:rPr>
        <w:t xml:space="preserve"> reviewed very early reported three cases in their case report. Of these four AGD–HPVG cases, conservative treatment with nasogastric decompression w</w:t>
      </w:r>
      <w:r w:rsidR="00BF7428" w:rsidRPr="00D93C39">
        <w:rPr>
          <w:rFonts w:ascii="Book Antiqua" w:hAnsi="Book Antiqua" w:cs="Times New Roman"/>
          <w:sz w:val="24"/>
          <w:szCs w:val="24"/>
          <w:lang w:val="en-US"/>
        </w:rPr>
        <w:t>as</w:t>
      </w:r>
      <w:r w:rsidR="009E07EC">
        <w:rPr>
          <w:rFonts w:ascii="Book Antiqua" w:hAnsi="Book Antiqua" w:cs="Times New Roman"/>
          <w:sz w:val="24"/>
          <w:szCs w:val="24"/>
          <w:lang w:val="en-US"/>
        </w:rPr>
        <w:t xml:space="preserve"> successful in three cases</w:t>
      </w:r>
      <w:r w:rsidR="00FB3684" w:rsidRPr="00D93C39">
        <w:rPr>
          <w:rFonts w:ascii="Book Antiqua" w:hAnsi="Book Antiqua" w:cs="Times New Roman"/>
          <w:sz w:val="24"/>
          <w:szCs w:val="24"/>
          <w:vertAlign w:val="superscript"/>
          <w:lang w:val="en-US"/>
        </w:rPr>
        <w:t>[13]</w:t>
      </w:r>
      <w:r w:rsidR="00A12376" w:rsidRPr="00D93C39">
        <w:rPr>
          <w:rFonts w:ascii="Book Antiqua" w:hAnsi="Book Antiqua" w:cs="Times New Roman"/>
          <w:sz w:val="24"/>
          <w:szCs w:val="24"/>
          <w:lang w:val="en-US"/>
        </w:rPr>
        <w:t>. In the more recent reports, surgical exploration was associ</w:t>
      </w:r>
      <w:r w:rsidR="009E07EC">
        <w:rPr>
          <w:rFonts w:ascii="Book Antiqua" w:hAnsi="Book Antiqua" w:cs="Times New Roman"/>
          <w:sz w:val="24"/>
          <w:szCs w:val="24"/>
          <w:lang w:val="en-US"/>
        </w:rPr>
        <w:t>ated with successful results</w:t>
      </w:r>
      <w:r w:rsidR="00FB3684" w:rsidRPr="00D93C39">
        <w:rPr>
          <w:rFonts w:ascii="Book Antiqua" w:hAnsi="Book Antiqua" w:cs="Times New Roman"/>
          <w:sz w:val="24"/>
          <w:szCs w:val="24"/>
          <w:vertAlign w:val="superscript"/>
          <w:lang w:val="en-US"/>
        </w:rPr>
        <w:t>[14-16]</w:t>
      </w:r>
      <w:r w:rsidR="00A12376" w:rsidRPr="00D93C39">
        <w:rPr>
          <w:rFonts w:ascii="Book Antiqua" w:hAnsi="Book Antiqua" w:cs="Times New Roman"/>
          <w:sz w:val="24"/>
          <w:szCs w:val="24"/>
          <w:lang w:val="en-US"/>
        </w:rPr>
        <w:t xml:space="preserve">. The pathogenesis of HPVG is also not clear. There are two hypotheses regarding its cause, microbe-derived gas production </w:t>
      </w:r>
      <w:r w:rsidR="00B24407" w:rsidRPr="00D93C39">
        <w:rPr>
          <w:rFonts w:ascii="Book Antiqua" w:hAnsi="Book Antiqua" w:cs="Times New Roman"/>
          <w:sz w:val="24"/>
          <w:szCs w:val="24"/>
          <w:lang w:val="en-US"/>
        </w:rPr>
        <w:t>and</w:t>
      </w:r>
      <w:r w:rsidR="009E07EC">
        <w:rPr>
          <w:rFonts w:ascii="Book Antiqua" w:hAnsi="Book Antiqua" w:cs="Times New Roman"/>
          <w:sz w:val="24"/>
          <w:szCs w:val="24"/>
          <w:lang w:val="en-US"/>
        </w:rPr>
        <w:t xml:space="preserve"> absorbed intraluminal air</w:t>
      </w:r>
      <w:r w:rsidR="00951744" w:rsidRPr="00D93C39">
        <w:rPr>
          <w:rFonts w:ascii="Book Antiqua" w:hAnsi="Book Antiqua" w:cs="Times New Roman"/>
          <w:sz w:val="24"/>
          <w:szCs w:val="24"/>
          <w:vertAlign w:val="superscript"/>
          <w:lang w:val="en-US"/>
        </w:rPr>
        <w:t>[17]</w:t>
      </w:r>
      <w:r w:rsidR="008A3C40" w:rsidRPr="00D93C39">
        <w:rPr>
          <w:rFonts w:ascii="Book Antiqua" w:hAnsi="Book Antiqua" w:cs="Times New Roman"/>
          <w:sz w:val="24"/>
          <w:szCs w:val="24"/>
          <w:lang w:val="en-US"/>
        </w:rPr>
        <w:t>. We can</w:t>
      </w:r>
      <w:r w:rsidR="00A12376" w:rsidRPr="00D93C39">
        <w:rPr>
          <w:rFonts w:ascii="Book Antiqua" w:hAnsi="Book Antiqua" w:cs="Times New Roman"/>
          <w:sz w:val="24"/>
          <w:szCs w:val="24"/>
          <w:lang w:val="en-US"/>
        </w:rPr>
        <w:t>not understand the precise cause of the presence of HPVG in our case. In the literature, necrotizing enterocolitis, bowel necrosis, digestive tract dilatation, inflammatory bowel disease, gastric ulcer, cholangitis, pancreatitis and endoscopic interventions have been</w:t>
      </w:r>
      <w:r w:rsidR="009E07EC">
        <w:rPr>
          <w:rFonts w:ascii="Book Antiqua" w:hAnsi="Book Antiqua" w:cs="Times New Roman"/>
          <w:sz w:val="24"/>
          <w:szCs w:val="24"/>
          <w:lang w:val="en-US"/>
        </w:rPr>
        <w:t xml:space="preserve"> reported as a cause of HPVG</w:t>
      </w:r>
      <w:r w:rsidR="009E07EC">
        <w:rPr>
          <w:rFonts w:ascii="Book Antiqua" w:hAnsi="Book Antiqua" w:cs="Times New Roman"/>
          <w:sz w:val="24"/>
          <w:szCs w:val="24"/>
          <w:vertAlign w:val="superscript"/>
          <w:lang w:val="en-US"/>
        </w:rPr>
        <w:t>[18,</w:t>
      </w:r>
      <w:r w:rsidR="00951744" w:rsidRPr="00D93C39">
        <w:rPr>
          <w:rFonts w:ascii="Book Antiqua" w:hAnsi="Book Antiqua" w:cs="Times New Roman"/>
          <w:sz w:val="24"/>
          <w:szCs w:val="24"/>
          <w:vertAlign w:val="superscript"/>
          <w:lang w:val="en-US"/>
        </w:rPr>
        <w:t>19]</w:t>
      </w:r>
      <w:r w:rsidR="009E07EC">
        <w:rPr>
          <w:rFonts w:ascii="Book Antiqua" w:hAnsi="Book Antiqua" w:cs="Times New Roman"/>
          <w:sz w:val="24"/>
          <w:szCs w:val="24"/>
          <w:lang w:val="en-US"/>
        </w:rPr>
        <w:t xml:space="preserve">. </w:t>
      </w:r>
      <w:r w:rsidR="00A12376" w:rsidRPr="00D93C39">
        <w:rPr>
          <w:rFonts w:ascii="Book Antiqua" w:hAnsi="Book Antiqua" w:cs="Times New Roman"/>
          <w:sz w:val="24"/>
          <w:szCs w:val="24"/>
          <w:lang w:val="en-US"/>
        </w:rPr>
        <w:t>Whatever the mechanism, it is now clearly known that the prognosis is related to the primary pathology and is not influenced by the presenc</w:t>
      </w:r>
      <w:r w:rsidR="009E07EC">
        <w:rPr>
          <w:rFonts w:ascii="Book Antiqua" w:hAnsi="Book Antiqua" w:cs="Times New Roman"/>
          <w:sz w:val="24"/>
          <w:szCs w:val="24"/>
          <w:lang w:val="en-US"/>
        </w:rPr>
        <w:t>e of HPVG</w:t>
      </w:r>
      <w:r w:rsidR="00951744" w:rsidRPr="00D93C39">
        <w:rPr>
          <w:rFonts w:ascii="Book Antiqua" w:hAnsi="Book Antiqua" w:cs="Times New Roman"/>
          <w:sz w:val="24"/>
          <w:szCs w:val="24"/>
          <w:vertAlign w:val="superscript"/>
          <w:lang w:val="en-US"/>
        </w:rPr>
        <w:t>[19]</w:t>
      </w:r>
      <w:r w:rsidR="00A12376" w:rsidRPr="00D93C39">
        <w:rPr>
          <w:rFonts w:ascii="Book Antiqua" w:hAnsi="Book Antiqua" w:cs="Times New Roman"/>
          <w:sz w:val="24"/>
          <w:szCs w:val="24"/>
          <w:lang w:val="en-US"/>
        </w:rPr>
        <w:t xml:space="preserve">. </w:t>
      </w:r>
    </w:p>
    <w:p w:rsidR="00A12376" w:rsidRPr="00D93C39" w:rsidRDefault="00A12376" w:rsidP="00087AC8">
      <w:pPr>
        <w:adjustRightInd w:val="0"/>
        <w:snapToGrid w:val="0"/>
        <w:spacing w:after="0" w:line="360" w:lineRule="auto"/>
        <w:ind w:firstLineChars="100" w:firstLine="240"/>
        <w:jc w:val="both"/>
        <w:rPr>
          <w:rFonts w:ascii="Book Antiqua" w:hAnsi="Book Antiqua" w:cs="Times New Roman"/>
          <w:sz w:val="24"/>
          <w:szCs w:val="24"/>
          <w:lang w:val="en-US"/>
        </w:rPr>
      </w:pPr>
      <w:r w:rsidRPr="00D93C39">
        <w:rPr>
          <w:rFonts w:ascii="Book Antiqua" w:hAnsi="Book Antiqua" w:cs="Times New Roman"/>
          <w:sz w:val="24"/>
          <w:szCs w:val="24"/>
          <w:lang w:val="en-US"/>
        </w:rPr>
        <w:t>The stomach is resistant to ischemia and necrosis due to the rich collateral blood flow. However, if a sudden increase in gastric pressure occurs, gastric ischemia, necrosis and perforation can occur</w:t>
      </w:r>
      <w:r w:rsidR="00951744" w:rsidRPr="00D93C39">
        <w:rPr>
          <w:rFonts w:ascii="Book Antiqua" w:hAnsi="Book Antiqua" w:cs="Times New Roman"/>
          <w:sz w:val="24"/>
          <w:szCs w:val="24"/>
          <w:vertAlign w:val="superscript"/>
          <w:lang w:val="en-US"/>
        </w:rPr>
        <w:t>[20]</w:t>
      </w:r>
      <w:r w:rsidRPr="00D93C39">
        <w:rPr>
          <w:rFonts w:ascii="Book Antiqua" w:hAnsi="Book Antiqua" w:cs="Times New Roman"/>
          <w:sz w:val="24"/>
          <w:szCs w:val="24"/>
          <w:lang w:val="en-US"/>
        </w:rPr>
        <w:t>. In our case, we have endoscopically detected mucosal ischemia, which was an indicator of impaired perfusion of the stomach. However, there was no evidence of vascular pathology (thrombus or embolus) or obstruction of the tract. There are some challenges in deciding to perform surgery or follow-up due to the chronic use of SC, which has deleteri</w:t>
      </w:r>
      <w:r w:rsidR="009E07EC">
        <w:rPr>
          <w:rFonts w:ascii="Book Antiqua" w:hAnsi="Book Antiqua" w:cs="Times New Roman"/>
          <w:sz w:val="24"/>
          <w:szCs w:val="24"/>
          <w:lang w:val="en-US"/>
        </w:rPr>
        <w:t xml:space="preserve">ous effects on other </w:t>
      </w:r>
      <w:r w:rsidR="009E07EC">
        <w:rPr>
          <w:rFonts w:ascii="Book Antiqua" w:hAnsi="Book Antiqua" w:cs="Times New Roman"/>
          <w:sz w:val="24"/>
          <w:szCs w:val="24"/>
          <w:lang w:val="en-US"/>
        </w:rPr>
        <w:lastRenderedPageBreak/>
        <w:t>organs</w:t>
      </w:r>
      <w:r w:rsidR="00951744" w:rsidRPr="00D93C39">
        <w:rPr>
          <w:rFonts w:ascii="Book Antiqua" w:hAnsi="Book Antiqua" w:cs="Times New Roman"/>
          <w:sz w:val="24"/>
          <w:szCs w:val="24"/>
          <w:vertAlign w:val="superscript"/>
          <w:lang w:val="en-US"/>
        </w:rPr>
        <w:t>[1,21]</w:t>
      </w:r>
      <w:r w:rsidRPr="00D93C39">
        <w:rPr>
          <w:rFonts w:ascii="Book Antiqua" w:hAnsi="Book Antiqua" w:cs="Times New Roman"/>
          <w:sz w:val="24"/>
          <w:szCs w:val="24"/>
          <w:lang w:val="en-US"/>
        </w:rPr>
        <w:t>. Finally, we preferred the close clinical, radiologic and endoscopic follow-up.</w:t>
      </w:r>
    </w:p>
    <w:p w:rsidR="00751829" w:rsidRPr="00D93C39" w:rsidRDefault="00A12376" w:rsidP="00087AC8">
      <w:pPr>
        <w:adjustRightInd w:val="0"/>
        <w:snapToGrid w:val="0"/>
        <w:spacing w:after="0" w:line="360" w:lineRule="auto"/>
        <w:ind w:firstLineChars="100" w:firstLine="240"/>
        <w:jc w:val="both"/>
        <w:rPr>
          <w:rFonts w:ascii="Book Antiqua" w:hAnsi="Book Antiqua" w:cs="Times New Roman"/>
          <w:sz w:val="24"/>
          <w:szCs w:val="24"/>
          <w:lang w:val="en-US"/>
        </w:rPr>
      </w:pPr>
      <w:r w:rsidRPr="00D93C39">
        <w:rPr>
          <w:rFonts w:ascii="Book Antiqua" w:hAnsi="Book Antiqua" w:cs="Times New Roman"/>
          <w:sz w:val="24"/>
          <w:szCs w:val="24"/>
          <w:lang w:val="en-US"/>
        </w:rPr>
        <w:t xml:space="preserve">In conclusion, this is an extraordinary case of AGD with gastric mucosal ischemia and HPVG due to chronic use of a SC. Although the patient’s clinical diagnosis included acute abdomen, which is a precise indication for surgical exploration, a conservative approach of nasogastric decompression, wide spectrum </w:t>
      </w:r>
      <w:r w:rsidR="00474C7A">
        <w:rPr>
          <w:rFonts w:ascii="Book Antiqua" w:hAnsi="Book Antiqua" w:cs="Times New Roman"/>
          <w:sz w:val="24"/>
          <w:szCs w:val="24"/>
          <w:lang w:val="en-US"/>
        </w:rPr>
        <w:t>antibiotic therapy</w:t>
      </w:r>
      <w:r w:rsidRPr="00D93C39">
        <w:rPr>
          <w:rFonts w:ascii="Book Antiqua" w:hAnsi="Book Antiqua" w:cs="Times New Roman"/>
          <w:sz w:val="24"/>
          <w:szCs w:val="24"/>
          <w:lang w:val="en-US"/>
        </w:rPr>
        <w:t xml:space="preserve"> and daily endoscopic follow-up were successful. In patients with AGD without vascular or obstructive pathologies, the presence of HPVG and even gastric mucosal ischemia should not be considered as a precise indication for emergency surgery.</w:t>
      </w:r>
    </w:p>
    <w:p w:rsidR="009E07EC" w:rsidRDefault="009E07EC" w:rsidP="00087AC8">
      <w:pPr>
        <w:adjustRightInd w:val="0"/>
        <w:snapToGrid w:val="0"/>
        <w:spacing w:after="0" w:line="360" w:lineRule="auto"/>
        <w:jc w:val="both"/>
        <w:rPr>
          <w:rFonts w:ascii="Book Antiqua" w:hAnsi="Book Antiqua" w:cs="Times New Roman"/>
          <w:b/>
          <w:sz w:val="24"/>
          <w:szCs w:val="24"/>
          <w:lang w:eastAsia="zh-CN"/>
        </w:rPr>
      </w:pPr>
    </w:p>
    <w:p w:rsidR="00EE43A4" w:rsidRPr="00D93C39" w:rsidRDefault="00BF233E" w:rsidP="00087AC8">
      <w:pPr>
        <w:adjustRightInd w:val="0"/>
        <w:snapToGrid w:val="0"/>
        <w:spacing w:after="0" w:line="360" w:lineRule="auto"/>
        <w:jc w:val="both"/>
        <w:rPr>
          <w:rFonts w:ascii="Book Antiqua" w:hAnsi="Book Antiqua" w:cs="Times New Roman"/>
          <w:b/>
          <w:sz w:val="24"/>
          <w:szCs w:val="24"/>
        </w:rPr>
      </w:pPr>
      <w:r w:rsidRPr="00D93C39">
        <w:rPr>
          <w:rFonts w:ascii="Book Antiqua" w:hAnsi="Book Antiqua" w:cs="Times New Roman"/>
          <w:b/>
          <w:sz w:val="24"/>
          <w:szCs w:val="24"/>
        </w:rPr>
        <w:t>C</w:t>
      </w:r>
      <w:r w:rsidR="00751829" w:rsidRPr="00D93C39">
        <w:rPr>
          <w:rFonts w:ascii="Book Antiqua" w:hAnsi="Book Antiqua" w:cs="Times New Roman"/>
          <w:b/>
          <w:sz w:val="24"/>
          <w:szCs w:val="24"/>
        </w:rPr>
        <w:t>OMMENTS</w:t>
      </w:r>
    </w:p>
    <w:p w:rsidR="00EE43A4" w:rsidRPr="009E07EC" w:rsidRDefault="00EE43A4" w:rsidP="00087AC8">
      <w:pPr>
        <w:adjustRightInd w:val="0"/>
        <w:snapToGrid w:val="0"/>
        <w:spacing w:after="0" w:line="360" w:lineRule="auto"/>
        <w:jc w:val="both"/>
        <w:rPr>
          <w:rFonts w:ascii="Book Antiqua" w:hAnsi="Book Antiqua"/>
          <w:i/>
          <w:sz w:val="24"/>
          <w:szCs w:val="24"/>
        </w:rPr>
      </w:pPr>
      <w:r w:rsidRPr="009E07EC">
        <w:rPr>
          <w:rFonts w:ascii="Book Antiqua" w:hAnsi="Book Antiqua"/>
          <w:b/>
          <w:i/>
          <w:sz w:val="24"/>
          <w:szCs w:val="24"/>
        </w:rPr>
        <w:t>Case characteristics</w:t>
      </w:r>
    </w:p>
    <w:p w:rsidR="00EE43A4" w:rsidRPr="00D93C39" w:rsidRDefault="00EE43A4" w:rsidP="00087AC8">
      <w:pPr>
        <w:adjustRightInd w:val="0"/>
        <w:snapToGrid w:val="0"/>
        <w:spacing w:after="0" w:line="360" w:lineRule="auto"/>
        <w:jc w:val="both"/>
        <w:rPr>
          <w:rFonts w:ascii="Book Antiqua" w:hAnsi="Book Antiqua" w:cs="Arial"/>
          <w:sz w:val="24"/>
          <w:szCs w:val="24"/>
        </w:rPr>
      </w:pPr>
      <w:r w:rsidRPr="00D93C39">
        <w:rPr>
          <w:rFonts w:ascii="Book Antiqua" w:hAnsi="Book Antiqua" w:cs="Arial"/>
          <w:sz w:val="24"/>
          <w:szCs w:val="24"/>
        </w:rPr>
        <w:t>A 29 years old male patient presented with severe abdominal pain; the most striking feature in his medical history was chronic use of a synthetic cannabinoid, Bonazi.</w:t>
      </w:r>
      <w:r w:rsidR="009E07EC">
        <w:rPr>
          <w:rFonts w:ascii="Book Antiqua" w:hAnsi="Book Antiqua" w:cs="Arial"/>
          <w:sz w:val="24"/>
          <w:szCs w:val="24"/>
        </w:rPr>
        <w:t xml:space="preserve"> </w:t>
      </w:r>
    </w:p>
    <w:p w:rsidR="009E07EC" w:rsidRDefault="009E07EC" w:rsidP="00087AC8">
      <w:pPr>
        <w:adjustRightInd w:val="0"/>
        <w:snapToGrid w:val="0"/>
        <w:spacing w:after="0" w:line="360" w:lineRule="auto"/>
        <w:jc w:val="both"/>
        <w:rPr>
          <w:rFonts w:ascii="Book Antiqua" w:hAnsi="Book Antiqua" w:cs="Arial"/>
          <w:b/>
          <w:i/>
          <w:sz w:val="24"/>
          <w:szCs w:val="24"/>
          <w:lang w:eastAsia="zh-CN"/>
        </w:rPr>
      </w:pPr>
    </w:p>
    <w:p w:rsidR="00EE43A4" w:rsidRPr="009E07EC" w:rsidRDefault="00EE43A4" w:rsidP="00087AC8">
      <w:pPr>
        <w:adjustRightInd w:val="0"/>
        <w:snapToGrid w:val="0"/>
        <w:spacing w:after="0" w:line="360" w:lineRule="auto"/>
        <w:jc w:val="both"/>
        <w:rPr>
          <w:rFonts w:ascii="Book Antiqua" w:hAnsi="Book Antiqua" w:cs="SimSun"/>
          <w:b/>
          <w:i/>
          <w:sz w:val="24"/>
          <w:szCs w:val="24"/>
        </w:rPr>
      </w:pPr>
      <w:r w:rsidRPr="009E07EC">
        <w:rPr>
          <w:rFonts w:ascii="Book Antiqua" w:hAnsi="Book Antiqua" w:cs="Arial"/>
          <w:b/>
          <w:i/>
          <w:sz w:val="24"/>
          <w:szCs w:val="24"/>
        </w:rPr>
        <w:t>Clinical diagnosis</w:t>
      </w:r>
    </w:p>
    <w:p w:rsidR="00EE43A4" w:rsidRPr="00D93C39" w:rsidRDefault="0055172F" w:rsidP="00087AC8">
      <w:pPr>
        <w:adjustRightInd w:val="0"/>
        <w:snapToGrid w:val="0"/>
        <w:spacing w:after="0" w:line="360" w:lineRule="auto"/>
        <w:jc w:val="both"/>
        <w:rPr>
          <w:rFonts w:ascii="Book Antiqua" w:hAnsi="Book Antiqua"/>
          <w:b/>
          <w:sz w:val="24"/>
          <w:szCs w:val="24"/>
        </w:rPr>
      </w:pPr>
      <w:r w:rsidRPr="00D93C39">
        <w:rPr>
          <w:rFonts w:ascii="Book Antiqua" w:hAnsi="Book Antiqua" w:cs="Arial"/>
          <w:sz w:val="24"/>
          <w:szCs w:val="24"/>
        </w:rPr>
        <w:t>U</w:t>
      </w:r>
      <w:r w:rsidR="00EE43A4" w:rsidRPr="00D93C39">
        <w:rPr>
          <w:rFonts w:ascii="Book Antiqua" w:hAnsi="Book Antiqua"/>
          <w:sz w:val="24"/>
          <w:szCs w:val="24"/>
        </w:rPr>
        <w:t xml:space="preserve">pon physical examination, </w:t>
      </w:r>
      <w:r w:rsidRPr="00D93C39">
        <w:rPr>
          <w:rFonts w:ascii="Book Antiqua" w:hAnsi="Book Antiqua"/>
          <w:sz w:val="24"/>
          <w:szCs w:val="24"/>
        </w:rPr>
        <w:t>there were findings of acute abdomen.</w:t>
      </w:r>
    </w:p>
    <w:p w:rsidR="009E07EC" w:rsidRDefault="009E07EC" w:rsidP="00087AC8">
      <w:pPr>
        <w:adjustRightInd w:val="0"/>
        <w:snapToGrid w:val="0"/>
        <w:spacing w:after="0" w:line="360" w:lineRule="auto"/>
        <w:jc w:val="both"/>
        <w:rPr>
          <w:rFonts w:ascii="Book Antiqua" w:hAnsi="Book Antiqua" w:cs="Arial"/>
          <w:b/>
          <w:i/>
          <w:sz w:val="24"/>
          <w:szCs w:val="24"/>
          <w:lang w:eastAsia="zh-CN"/>
        </w:rPr>
      </w:pPr>
    </w:p>
    <w:p w:rsidR="00EE43A4" w:rsidRPr="009E07EC" w:rsidRDefault="00EE43A4" w:rsidP="00087AC8">
      <w:pPr>
        <w:adjustRightInd w:val="0"/>
        <w:snapToGrid w:val="0"/>
        <w:spacing w:after="0" w:line="360" w:lineRule="auto"/>
        <w:jc w:val="both"/>
        <w:rPr>
          <w:rFonts w:ascii="Book Antiqua" w:hAnsi="Book Antiqua" w:cs="Arial"/>
          <w:b/>
          <w:i/>
          <w:sz w:val="24"/>
          <w:szCs w:val="24"/>
        </w:rPr>
      </w:pPr>
      <w:r w:rsidRPr="009E07EC">
        <w:rPr>
          <w:rFonts w:ascii="Book Antiqua" w:hAnsi="Book Antiqua" w:cs="Arial"/>
          <w:b/>
          <w:i/>
          <w:sz w:val="24"/>
          <w:szCs w:val="24"/>
        </w:rPr>
        <w:t>Differential diagnosis</w:t>
      </w:r>
    </w:p>
    <w:p w:rsidR="00EE43A4" w:rsidRPr="00D93C39" w:rsidRDefault="0055172F" w:rsidP="00087AC8">
      <w:pPr>
        <w:adjustRightInd w:val="0"/>
        <w:snapToGrid w:val="0"/>
        <w:spacing w:after="0" w:line="360" w:lineRule="auto"/>
        <w:jc w:val="both"/>
        <w:rPr>
          <w:rFonts w:ascii="Book Antiqua" w:hAnsi="Book Antiqua" w:cs="Arial"/>
          <w:sz w:val="24"/>
          <w:szCs w:val="24"/>
        </w:rPr>
      </w:pPr>
      <w:r w:rsidRPr="00D93C39">
        <w:rPr>
          <w:rFonts w:ascii="Book Antiqua" w:hAnsi="Book Antiqua" w:cs="Arial"/>
          <w:sz w:val="24"/>
          <w:szCs w:val="24"/>
        </w:rPr>
        <w:t>Perforation of hollow organs, acute pancreatitis</w:t>
      </w:r>
      <w:r w:rsidR="00EE43A4" w:rsidRPr="00D93C39">
        <w:rPr>
          <w:rFonts w:ascii="Book Antiqua" w:hAnsi="Book Antiqua" w:cs="Arial"/>
          <w:sz w:val="24"/>
          <w:szCs w:val="24"/>
        </w:rPr>
        <w:t>.</w:t>
      </w:r>
    </w:p>
    <w:p w:rsidR="009E07EC" w:rsidRDefault="009E07EC" w:rsidP="00087AC8">
      <w:pPr>
        <w:adjustRightInd w:val="0"/>
        <w:snapToGrid w:val="0"/>
        <w:spacing w:after="0" w:line="360" w:lineRule="auto"/>
        <w:jc w:val="both"/>
        <w:rPr>
          <w:rFonts w:ascii="Book Antiqua" w:hAnsi="Book Antiqua" w:cs="Arial"/>
          <w:b/>
          <w:i/>
          <w:sz w:val="24"/>
          <w:szCs w:val="24"/>
          <w:lang w:eastAsia="zh-CN"/>
        </w:rPr>
      </w:pPr>
    </w:p>
    <w:p w:rsidR="00EE43A4" w:rsidRPr="009E07EC" w:rsidRDefault="00EE43A4" w:rsidP="00087AC8">
      <w:pPr>
        <w:adjustRightInd w:val="0"/>
        <w:snapToGrid w:val="0"/>
        <w:spacing w:after="0" w:line="360" w:lineRule="auto"/>
        <w:jc w:val="both"/>
        <w:rPr>
          <w:rFonts w:ascii="Book Antiqua" w:hAnsi="Book Antiqua" w:cs="Arial"/>
          <w:b/>
          <w:i/>
          <w:sz w:val="24"/>
          <w:szCs w:val="24"/>
        </w:rPr>
      </w:pPr>
      <w:r w:rsidRPr="009E07EC">
        <w:rPr>
          <w:rFonts w:ascii="Book Antiqua" w:hAnsi="Book Antiqua" w:cs="Arial"/>
          <w:b/>
          <w:i/>
          <w:sz w:val="24"/>
          <w:szCs w:val="24"/>
        </w:rPr>
        <w:t>Laboratory diagnosis</w:t>
      </w:r>
    </w:p>
    <w:p w:rsidR="0055172F" w:rsidRPr="00D93C39" w:rsidRDefault="00EE43A4" w:rsidP="00087AC8">
      <w:pPr>
        <w:tabs>
          <w:tab w:val="center" w:pos="4153"/>
        </w:tabs>
        <w:adjustRightInd w:val="0"/>
        <w:snapToGrid w:val="0"/>
        <w:spacing w:after="0" w:line="360" w:lineRule="auto"/>
        <w:jc w:val="both"/>
        <w:rPr>
          <w:rFonts w:ascii="Book Antiqua" w:hAnsi="Book Antiqua" w:cs="Times New Roman"/>
          <w:sz w:val="24"/>
          <w:szCs w:val="24"/>
          <w:lang w:val="en-US"/>
        </w:rPr>
      </w:pPr>
      <w:r w:rsidRPr="00D93C39">
        <w:rPr>
          <w:rFonts w:ascii="Book Antiqua" w:hAnsi="Book Antiqua"/>
          <w:sz w:val="24"/>
          <w:szCs w:val="24"/>
        </w:rPr>
        <w:t xml:space="preserve">The first patient had elevated hematological values for </w:t>
      </w:r>
      <w:r w:rsidR="0055172F" w:rsidRPr="00D93C39">
        <w:rPr>
          <w:rFonts w:ascii="Book Antiqua" w:hAnsi="Book Antiqua"/>
          <w:sz w:val="24"/>
          <w:szCs w:val="24"/>
        </w:rPr>
        <w:t>White blood cell count</w:t>
      </w:r>
      <w:r w:rsidR="0055172F" w:rsidRPr="00D93C39">
        <w:rPr>
          <w:rFonts w:ascii="Book Antiqua" w:hAnsi="Book Antiqua" w:cs="Times New Roman"/>
          <w:sz w:val="24"/>
          <w:szCs w:val="24"/>
          <w:lang w:val="en-US"/>
        </w:rPr>
        <w:t xml:space="preserve"> of 18200/mm</w:t>
      </w:r>
      <w:r w:rsidR="0055172F" w:rsidRPr="00D93C39">
        <w:rPr>
          <w:rFonts w:ascii="Book Antiqua" w:hAnsi="Book Antiqua" w:cs="Times New Roman"/>
          <w:sz w:val="24"/>
          <w:szCs w:val="24"/>
          <w:vertAlign w:val="superscript"/>
          <w:lang w:val="en-US"/>
        </w:rPr>
        <w:t>3</w:t>
      </w:r>
      <w:r w:rsidR="0055172F" w:rsidRPr="00D93C39">
        <w:rPr>
          <w:rFonts w:ascii="Book Antiqua" w:hAnsi="Book Antiqua" w:cs="Times New Roman"/>
          <w:sz w:val="24"/>
          <w:szCs w:val="24"/>
          <w:lang w:val="en-US"/>
        </w:rPr>
        <w:t>, glucose of 240 mg/dL, amylase of 382 U/L, C-reactive protein of 27.7 mg/L.</w:t>
      </w:r>
    </w:p>
    <w:p w:rsidR="009E07EC" w:rsidRDefault="009E07EC" w:rsidP="00087AC8">
      <w:pPr>
        <w:tabs>
          <w:tab w:val="center" w:pos="4153"/>
        </w:tabs>
        <w:adjustRightInd w:val="0"/>
        <w:snapToGrid w:val="0"/>
        <w:spacing w:after="0" w:line="360" w:lineRule="auto"/>
        <w:jc w:val="both"/>
        <w:rPr>
          <w:rFonts w:ascii="Book Antiqua" w:hAnsi="Book Antiqua" w:cs="Arial"/>
          <w:b/>
          <w:sz w:val="24"/>
          <w:szCs w:val="24"/>
          <w:lang w:eastAsia="zh-CN"/>
        </w:rPr>
      </w:pPr>
    </w:p>
    <w:p w:rsidR="00EE43A4" w:rsidRPr="009E07EC" w:rsidRDefault="00EE43A4" w:rsidP="00087AC8">
      <w:pPr>
        <w:tabs>
          <w:tab w:val="center" w:pos="4153"/>
        </w:tabs>
        <w:adjustRightInd w:val="0"/>
        <w:snapToGrid w:val="0"/>
        <w:spacing w:after="0" w:line="360" w:lineRule="auto"/>
        <w:jc w:val="both"/>
        <w:rPr>
          <w:rFonts w:ascii="Book Antiqua" w:hAnsi="Book Antiqua" w:cs="Arial"/>
          <w:b/>
          <w:i/>
          <w:sz w:val="24"/>
          <w:szCs w:val="24"/>
        </w:rPr>
      </w:pPr>
      <w:r w:rsidRPr="009E07EC">
        <w:rPr>
          <w:rFonts w:ascii="Book Antiqua" w:hAnsi="Book Antiqua" w:cs="Arial"/>
          <w:b/>
          <w:i/>
          <w:sz w:val="24"/>
          <w:szCs w:val="24"/>
        </w:rPr>
        <w:t>Imaging diagnosis</w:t>
      </w:r>
    </w:p>
    <w:p w:rsidR="0055172F" w:rsidRPr="00D93C39" w:rsidRDefault="0055172F" w:rsidP="00087AC8">
      <w:pPr>
        <w:tabs>
          <w:tab w:val="center" w:pos="4153"/>
        </w:tabs>
        <w:adjustRightInd w:val="0"/>
        <w:snapToGrid w:val="0"/>
        <w:spacing w:after="0" w:line="360" w:lineRule="auto"/>
        <w:jc w:val="both"/>
        <w:rPr>
          <w:rFonts w:ascii="Book Antiqua" w:hAnsi="Book Antiqua"/>
          <w:sz w:val="24"/>
          <w:szCs w:val="24"/>
        </w:rPr>
      </w:pPr>
      <w:r w:rsidRPr="00D93C39">
        <w:rPr>
          <w:rFonts w:ascii="Book Antiqua" w:hAnsi="Book Antiqua" w:cs="Times New Roman"/>
          <w:sz w:val="24"/>
          <w:szCs w:val="24"/>
          <w:lang w:val="en-US"/>
        </w:rPr>
        <w:t xml:space="preserve">Abdominal </w:t>
      </w:r>
      <w:r w:rsidRPr="009E07EC">
        <w:rPr>
          <w:rFonts w:ascii="Book Antiqua" w:hAnsi="Book Antiqua" w:cs="Times New Roman"/>
          <w:caps/>
          <w:sz w:val="24"/>
          <w:szCs w:val="24"/>
          <w:lang w:val="en-US"/>
        </w:rPr>
        <w:t>x-</w:t>
      </w:r>
      <w:r w:rsidRPr="00D93C39">
        <w:rPr>
          <w:rFonts w:ascii="Book Antiqua" w:hAnsi="Book Antiqua" w:cs="Times New Roman"/>
          <w:sz w:val="24"/>
          <w:szCs w:val="24"/>
          <w:lang w:val="en-US"/>
        </w:rPr>
        <w:t xml:space="preserve">rays showed a very large amount of gas in the gastric fundus. </w:t>
      </w:r>
      <w:r w:rsidR="009E07EC" w:rsidRPr="009E07EC">
        <w:rPr>
          <w:rFonts w:ascii="Book Antiqua" w:hAnsi="Book Antiqua" w:cs="Times New Roman"/>
          <w:sz w:val="24"/>
          <w:szCs w:val="24"/>
          <w:lang w:val="en-US"/>
        </w:rPr>
        <w:t xml:space="preserve">Computerized tomography </w:t>
      </w:r>
      <w:r w:rsidR="009E07EC">
        <w:rPr>
          <w:rFonts w:ascii="Book Antiqua" w:hAnsi="Book Antiqua" w:cs="Times New Roman" w:hint="eastAsia"/>
          <w:sz w:val="24"/>
          <w:szCs w:val="24"/>
          <w:lang w:val="en-US" w:eastAsia="zh-CN"/>
        </w:rPr>
        <w:t>(</w:t>
      </w:r>
      <w:r w:rsidRPr="00D93C39">
        <w:rPr>
          <w:rFonts w:ascii="Book Antiqua" w:hAnsi="Book Antiqua" w:cs="Times New Roman"/>
          <w:sz w:val="24"/>
          <w:szCs w:val="24"/>
          <w:lang w:val="en-US"/>
        </w:rPr>
        <w:t>CT</w:t>
      </w:r>
      <w:r w:rsidR="009E07EC">
        <w:rPr>
          <w:rFonts w:ascii="Book Antiqua" w:hAnsi="Book Antiqua" w:cs="Times New Roman" w:hint="eastAsia"/>
          <w:sz w:val="24"/>
          <w:szCs w:val="24"/>
          <w:lang w:val="en-US" w:eastAsia="zh-CN"/>
        </w:rPr>
        <w:t>)</w:t>
      </w:r>
      <w:r w:rsidRPr="00D93C39">
        <w:rPr>
          <w:rFonts w:ascii="Book Antiqua" w:hAnsi="Book Antiqua" w:cs="Times New Roman"/>
          <w:sz w:val="24"/>
          <w:szCs w:val="24"/>
          <w:lang w:val="en-US"/>
        </w:rPr>
        <w:t xml:space="preserve"> examination revealed a huge stomach, elongated towards the pelvis and accompanying hepatic portal venous gas (HPVG) was </w:t>
      </w:r>
      <w:r w:rsidRPr="00D93C39">
        <w:rPr>
          <w:rFonts w:ascii="Book Antiqua" w:hAnsi="Book Antiqua" w:cs="Times New Roman"/>
          <w:sz w:val="24"/>
          <w:szCs w:val="24"/>
          <w:lang w:val="en-US"/>
        </w:rPr>
        <w:lastRenderedPageBreak/>
        <w:t>detected. Endoscopic examination showed severe mucosal edema and patchy ischemic areas all around the stomach.</w:t>
      </w:r>
    </w:p>
    <w:p w:rsidR="009E07EC" w:rsidRDefault="009E07EC" w:rsidP="00087AC8">
      <w:pPr>
        <w:adjustRightInd w:val="0"/>
        <w:snapToGrid w:val="0"/>
        <w:spacing w:after="0" w:line="360" w:lineRule="auto"/>
        <w:jc w:val="both"/>
        <w:rPr>
          <w:rFonts w:ascii="Book Antiqua" w:hAnsi="Book Antiqua" w:cs="Arial"/>
          <w:b/>
          <w:i/>
          <w:sz w:val="24"/>
          <w:szCs w:val="24"/>
          <w:lang w:eastAsia="zh-CN"/>
        </w:rPr>
      </w:pPr>
    </w:p>
    <w:p w:rsidR="00EE43A4" w:rsidRPr="009E07EC" w:rsidRDefault="00EE43A4" w:rsidP="00087AC8">
      <w:pPr>
        <w:adjustRightInd w:val="0"/>
        <w:snapToGrid w:val="0"/>
        <w:spacing w:after="0" w:line="360" w:lineRule="auto"/>
        <w:jc w:val="both"/>
        <w:rPr>
          <w:rFonts w:ascii="Book Antiqua" w:hAnsi="Book Antiqua" w:cs="Arial"/>
          <w:b/>
          <w:i/>
          <w:sz w:val="24"/>
          <w:szCs w:val="24"/>
        </w:rPr>
      </w:pPr>
      <w:r w:rsidRPr="009E07EC">
        <w:rPr>
          <w:rFonts w:ascii="Book Antiqua" w:hAnsi="Book Antiqua" w:cs="Arial"/>
          <w:b/>
          <w:i/>
          <w:sz w:val="24"/>
          <w:szCs w:val="24"/>
        </w:rPr>
        <w:t>Treatment</w:t>
      </w:r>
    </w:p>
    <w:p w:rsidR="00D1651B" w:rsidRPr="00D93C39" w:rsidRDefault="00D1651B" w:rsidP="00087AC8">
      <w:pPr>
        <w:adjustRightInd w:val="0"/>
        <w:snapToGrid w:val="0"/>
        <w:spacing w:after="0" w:line="360" w:lineRule="auto"/>
        <w:jc w:val="both"/>
        <w:rPr>
          <w:rFonts w:ascii="Book Antiqua" w:hAnsi="Book Antiqua" w:cs="Arial"/>
          <w:b/>
          <w:color w:val="000000"/>
          <w:sz w:val="24"/>
          <w:szCs w:val="24"/>
        </w:rPr>
      </w:pPr>
      <w:r w:rsidRPr="00D93C39">
        <w:rPr>
          <w:rFonts w:ascii="Book Antiqua" w:hAnsi="Book Antiqua" w:cs="Times New Roman"/>
          <w:sz w:val="24"/>
          <w:szCs w:val="24"/>
          <w:lang w:val="en-US"/>
        </w:rPr>
        <w:t xml:space="preserve">Nasogastric decompression, </w:t>
      </w:r>
      <w:r w:rsidR="00474C7A">
        <w:rPr>
          <w:rFonts w:ascii="Book Antiqua" w:hAnsi="Book Antiqua" w:cs="Times New Roman"/>
          <w:sz w:val="24"/>
          <w:szCs w:val="24"/>
          <w:lang w:val="en-US"/>
        </w:rPr>
        <w:t>antibiotic therapy</w:t>
      </w:r>
      <w:r w:rsidRPr="00D93C39">
        <w:rPr>
          <w:rFonts w:ascii="Book Antiqua" w:hAnsi="Book Antiqua" w:cs="Times New Roman"/>
          <w:sz w:val="24"/>
          <w:szCs w:val="24"/>
          <w:lang w:val="en-US"/>
        </w:rPr>
        <w:t xml:space="preserve"> and serial upper gastrointestinal endoscopy were performed, and all of the clinical, radiological and endoscopic findings were regressed completely by the seventh day. </w:t>
      </w:r>
    </w:p>
    <w:p w:rsidR="009E07EC" w:rsidRDefault="009E07EC" w:rsidP="00087AC8">
      <w:pPr>
        <w:adjustRightInd w:val="0"/>
        <w:snapToGrid w:val="0"/>
        <w:spacing w:after="0" w:line="360" w:lineRule="auto"/>
        <w:jc w:val="both"/>
        <w:rPr>
          <w:rFonts w:ascii="Book Antiqua" w:hAnsi="Book Antiqua"/>
          <w:b/>
          <w:i/>
          <w:sz w:val="24"/>
          <w:szCs w:val="24"/>
          <w:lang w:eastAsia="zh-CN"/>
        </w:rPr>
      </w:pPr>
    </w:p>
    <w:p w:rsidR="00EE43A4" w:rsidRPr="009E07EC" w:rsidRDefault="00EE43A4" w:rsidP="00087AC8">
      <w:pPr>
        <w:adjustRightInd w:val="0"/>
        <w:snapToGrid w:val="0"/>
        <w:spacing w:after="0" w:line="360" w:lineRule="auto"/>
        <w:jc w:val="both"/>
        <w:rPr>
          <w:rFonts w:ascii="Book Antiqua" w:hAnsi="Book Antiqua" w:cs="Arial"/>
          <w:b/>
          <w:i/>
          <w:sz w:val="24"/>
          <w:szCs w:val="24"/>
        </w:rPr>
      </w:pPr>
      <w:r w:rsidRPr="009E07EC">
        <w:rPr>
          <w:rFonts w:ascii="Book Antiqua" w:hAnsi="Book Antiqua"/>
          <w:b/>
          <w:i/>
          <w:sz w:val="24"/>
          <w:szCs w:val="24"/>
        </w:rPr>
        <w:t>Related reports</w:t>
      </w:r>
    </w:p>
    <w:p w:rsidR="00EE43A4" w:rsidRPr="00D93C39" w:rsidRDefault="00D05FEF" w:rsidP="00087AC8">
      <w:pPr>
        <w:adjustRightInd w:val="0"/>
        <w:snapToGrid w:val="0"/>
        <w:spacing w:after="0" w:line="360" w:lineRule="auto"/>
        <w:jc w:val="both"/>
        <w:rPr>
          <w:rFonts w:ascii="Book Antiqua" w:hAnsi="Book Antiqua"/>
          <w:b/>
          <w:sz w:val="24"/>
          <w:szCs w:val="24"/>
        </w:rPr>
      </w:pPr>
      <w:r w:rsidRPr="00D93C39">
        <w:rPr>
          <w:rFonts w:ascii="Book Antiqua" w:hAnsi="Book Antiqua" w:cs="Arial"/>
          <w:sz w:val="24"/>
          <w:szCs w:val="24"/>
        </w:rPr>
        <w:t xml:space="preserve">The effect of Cannabinoids on gastrointestinal system has great variation. The combination of </w:t>
      </w:r>
      <w:r w:rsidR="005A62CD" w:rsidRPr="00D93C39">
        <w:rPr>
          <w:rFonts w:ascii="Book Antiqua" w:hAnsi="Book Antiqua" w:cs="Arial"/>
          <w:sz w:val="24"/>
          <w:szCs w:val="24"/>
        </w:rPr>
        <w:t>acute gastric dilatati</w:t>
      </w:r>
      <w:r w:rsidRPr="00D93C39">
        <w:rPr>
          <w:rFonts w:ascii="Book Antiqua" w:hAnsi="Book Antiqua" w:cs="Arial"/>
          <w:sz w:val="24"/>
          <w:szCs w:val="24"/>
        </w:rPr>
        <w:t xml:space="preserve">on </w:t>
      </w:r>
      <w:r w:rsidR="005A62CD">
        <w:rPr>
          <w:rFonts w:ascii="Book Antiqua" w:hAnsi="Book Antiqua" w:cs="Arial" w:hint="eastAsia"/>
          <w:sz w:val="24"/>
          <w:szCs w:val="24"/>
          <w:lang w:eastAsia="zh-CN"/>
        </w:rPr>
        <w:t xml:space="preserve">(AGD) </w:t>
      </w:r>
      <w:r w:rsidRPr="00D93C39">
        <w:rPr>
          <w:rFonts w:ascii="Book Antiqua" w:hAnsi="Book Antiqua" w:cs="Arial"/>
          <w:sz w:val="24"/>
          <w:szCs w:val="24"/>
        </w:rPr>
        <w:t xml:space="preserve">and </w:t>
      </w:r>
      <w:r w:rsidR="009E07EC">
        <w:rPr>
          <w:rFonts w:ascii="Book Antiqua" w:hAnsi="Book Antiqua" w:cs="Arial"/>
          <w:sz w:val="24"/>
          <w:szCs w:val="24"/>
        </w:rPr>
        <w:t>HPVG</w:t>
      </w:r>
      <w:r w:rsidRPr="00D93C39">
        <w:rPr>
          <w:rFonts w:ascii="Book Antiqua" w:hAnsi="Book Antiqua" w:cs="Arial"/>
          <w:sz w:val="24"/>
          <w:szCs w:val="24"/>
        </w:rPr>
        <w:t xml:space="preserve"> is very rare entitiy. HPVG is not a sign of poor prognosis. </w:t>
      </w:r>
    </w:p>
    <w:p w:rsidR="009E07EC" w:rsidRDefault="009E07EC" w:rsidP="00087AC8">
      <w:pPr>
        <w:adjustRightInd w:val="0"/>
        <w:snapToGrid w:val="0"/>
        <w:spacing w:after="0" w:line="360" w:lineRule="auto"/>
        <w:jc w:val="both"/>
        <w:rPr>
          <w:rFonts w:ascii="Book Antiqua" w:hAnsi="Book Antiqua"/>
          <w:b/>
          <w:sz w:val="24"/>
          <w:szCs w:val="24"/>
          <w:lang w:eastAsia="zh-CN"/>
        </w:rPr>
      </w:pPr>
    </w:p>
    <w:p w:rsidR="00EE43A4" w:rsidRPr="009E07EC" w:rsidRDefault="00EE43A4" w:rsidP="00087AC8">
      <w:pPr>
        <w:adjustRightInd w:val="0"/>
        <w:snapToGrid w:val="0"/>
        <w:spacing w:after="0" w:line="360" w:lineRule="auto"/>
        <w:jc w:val="both"/>
        <w:rPr>
          <w:rFonts w:ascii="Book Antiqua" w:hAnsi="Book Antiqua"/>
          <w:b/>
          <w:i/>
          <w:sz w:val="24"/>
          <w:szCs w:val="24"/>
        </w:rPr>
      </w:pPr>
      <w:r w:rsidRPr="009E07EC">
        <w:rPr>
          <w:rFonts w:ascii="Book Antiqua" w:hAnsi="Book Antiqua"/>
          <w:b/>
          <w:i/>
          <w:sz w:val="24"/>
          <w:szCs w:val="24"/>
        </w:rPr>
        <w:t xml:space="preserve">Term explanation </w:t>
      </w:r>
    </w:p>
    <w:p w:rsidR="00EE43A4" w:rsidRPr="00D93C39" w:rsidRDefault="00D05FEF" w:rsidP="00087AC8">
      <w:pPr>
        <w:adjustRightInd w:val="0"/>
        <w:snapToGrid w:val="0"/>
        <w:spacing w:after="0" w:line="360" w:lineRule="auto"/>
        <w:jc w:val="both"/>
        <w:rPr>
          <w:rFonts w:ascii="Book Antiqua" w:hAnsi="Book Antiqua" w:cs="Arial"/>
          <w:sz w:val="24"/>
          <w:szCs w:val="24"/>
        </w:rPr>
      </w:pPr>
      <w:r w:rsidRPr="00D93C39">
        <w:rPr>
          <w:rFonts w:ascii="Book Antiqua" w:hAnsi="Book Antiqua" w:cs="Arial"/>
          <w:sz w:val="24"/>
          <w:szCs w:val="24"/>
        </w:rPr>
        <w:t>Bonzai is a trademark of a synthetic cannabinoid which is commercially available in Turkey</w:t>
      </w:r>
      <w:r w:rsidR="00EE43A4" w:rsidRPr="00D93C39">
        <w:rPr>
          <w:rFonts w:ascii="Book Antiqua" w:hAnsi="Book Antiqua" w:cs="Arial"/>
          <w:sz w:val="24"/>
          <w:szCs w:val="24"/>
        </w:rPr>
        <w:t>.</w:t>
      </w:r>
    </w:p>
    <w:p w:rsidR="009E07EC" w:rsidRDefault="009E07EC" w:rsidP="00087AC8">
      <w:pPr>
        <w:adjustRightInd w:val="0"/>
        <w:snapToGrid w:val="0"/>
        <w:spacing w:after="0" w:line="360" w:lineRule="auto"/>
        <w:jc w:val="both"/>
        <w:rPr>
          <w:rFonts w:ascii="Book Antiqua" w:hAnsi="Book Antiqua" w:cs="Arial"/>
          <w:b/>
          <w:sz w:val="24"/>
          <w:szCs w:val="24"/>
          <w:lang w:eastAsia="zh-CN"/>
        </w:rPr>
      </w:pPr>
    </w:p>
    <w:p w:rsidR="00EE43A4" w:rsidRPr="009E07EC" w:rsidRDefault="00EE43A4" w:rsidP="00087AC8">
      <w:pPr>
        <w:adjustRightInd w:val="0"/>
        <w:snapToGrid w:val="0"/>
        <w:spacing w:after="0" w:line="360" w:lineRule="auto"/>
        <w:jc w:val="both"/>
        <w:rPr>
          <w:rFonts w:ascii="Book Antiqua" w:hAnsi="Book Antiqua" w:cs="Arial"/>
          <w:b/>
          <w:i/>
          <w:sz w:val="24"/>
          <w:szCs w:val="24"/>
        </w:rPr>
      </w:pPr>
      <w:r w:rsidRPr="009E07EC">
        <w:rPr>
          <w:rFonts w:ascii="Book Antiqua" w:hAnsi="Book Antiqua" w:cs="Arial"/>
          <w:b/>
          <w:i/>
          <w:sz w:val="24"/>
          <w:szCs w:val="24"/>
        </w:rPr>
        <w:t>Experiences and lessons</w:t>
      </w:r>
    </w:p>
    <w:p w:rsidR="00EE43A4" w:rsidRDefault="00237948" w:rsidP="00087AC8">
      <w:pPr>
        <w:adjustRightInd w:val="0"/>
        <w:snapToGrid w:val="0"/>
        <w:spacing w:after="0" w:line="360" w:lineRule="auto"/>
        <w:jc w:val="both"/>
        <w:rPr>
          <w:rFonts w:ascii="Book Antiqua" w:hAnsi="Book Antiqua" w:cs="Arial"/>
          <w:sz w:val="24"/>
          <w:szCs w:val="24"/>
          <w:lang w:eastAsia="zh-CN"/>
        </w:rPr>
      </w:pPr>
      <w:r w:rsidRPr="00D93C39">
        <w:rPr>
          <w:rFonts w:ascii="Book Antiqua" w:hAnsi="Book Antiqua" w:cs="Arial"/>
          <w:sz w:val="24"/>
          <w:szCs w:val="24"/>
        </w:rPr>
        <w:t>This case report presents an</w:t>
      </w:r>
      <w:r w:rsidR="00EE43A4" w:rsidRPr="00D93C39">
        <w:rPr>
          <w:rFonts w:ascii="Book Antiqua" w:hAnsi="Book Antiqua" w:cs="Arial"/>
          <w:sz w:val="24"/>
          <w:szCs w:val="24"/>
        </w:rPr>
        <w:t xml:space="preserve"> </w:t>
      </w:r>
      <w:r w:rsidRPr="00D93C39">
        <w:rPr>
          <w:rFonts w:ascii="Book Antiqua" w:hAnsi="Book Antiqua" w:cs="Arial"/>
          <w:sz w:val="24"/>
          <w:szCs w:val="24"/>
        </w:rPr>
        <w:t xml:space="preserve">extraordinary result of chronic use of synthetic cannabinoid. </w:t>
      </w:r>
      <w:r w:rsidR="001B3757">
        <w:rPr>
          <w:rFonts w:ascii="Book Antiqua" w:hAnsi="Book Antiqua" w:cs="Arial" w:hint="eastAsia"/>
          <w:sz w:val="24"/>
          <w:szCs w:val="24"/>
          <w:lang w:eastAsia="zh-CN"/>
        </w:rPr>
        <w:t>AGD</w:t>
      </w:r>
      <w:r w:rsidRPr="00D93C39">
        <w:rPr>
          <w:rFonts w:ascii="Book Antiqua" w:hAnsi="Book Antiqua" w:cs="Arial"/>
          <w:sz w:val="24"/>
          <w:szCs w:val="24"/>
        </w:rPr>
        <w:t xml:space="preserve"> and hepatic portal venous gas can be seen in such situation. </w:t>
      </w:r>
      <w:r w:rsidR="009E07EC">
        <w:rPr>
          <w:rFonts w:ascii="Book Antiqua" w:hAnsi="Book Antiqua" w:cs="Arial" w:hint="eastAsia"/>
          <w:sz w:val="24"/>
          <w:szCs w:val="24"/>
          <w:lang w:eastAsia="zh-CN"/>
        </w:rPr>
        <w:t>The authors</w:t>
      </w:r>
      <w:r w:rsidR="00EE43A4" w:rsidRPr="00D93C39">
        <w:rPr>
          <w:rFonts w:ascii="Book Antiqua" w:hAnsi="Book Antiqua" w:cs="Arial"/>
          <w:sz w:val="24"/>
          <w:szCs w:val="24"/>
        </w:rPr>
        <w:t xml:space="preserve"> recommend that </w:t>
      </w:r>
      <w:r w:rsidR="00B27EFB" w:rsidRPr="00D93C39">
        <w:rPr>
          <w:rFonts w:ascii="Book Antiqua" w:hAnsi="Book Antiqua" w:cs="Arial"/>
          <w:sz w:val="24"/>
          <w:szCs w:val="24"/>
        </w:rPr>
        <w:t xml:space="preserve">abdominal CT and upper GI endoscopy should be first line modalities for diagnosis and </w:t>
      </w:r>
      <w:r w:rsidR="00EE43A4" w:rsidRPr="00D93C39">
        <w:rPr>
          <w:rFonts w:ascii="Book Antiqua" w:hAnsi="Book Antiqua" w:cs="Arial"/>
          <w:sz w:val="24"/>
          <w:szCs w:val="24"/>
        </w:rPr>
        <w:t xml:space="preserve">conservative therapy </w:t>
      </w:r>
      <w:r w:rsidRPr="00D93C39">
        <w:rPr>
          <w:rFonts w:ascii="Book Antiqua" w:hAnsi="Book Antiqua" w:cs="Arial"/>
          <w:sz w:val="24"/>
          <w:szCs w:val="24"/>
        </w:rPr>
        <w:t xml:space="preserve">with close </w:t>
      </w:r>
      <w:r w:rsidR="00B27EFB" w:rsidRPr="00D93C39">
        <w:rPr>
          <w:rFonts w:ascii="Book Antiqua" w:hAnsi="Book Antiqua" w:cs="Arial"/>
          <w:sz w:val="24"/>
          <w:szCs w:val="24"/>
        </w:rPr>
        <w:t xml:space="preserve">endoscopic </w:t>
      </w:r>
      <w:r w:rsidRPr="00D93C39">
        <w:rPr>
          <w:rFonts w:ascii="Book Antiqua" w:hAnsi="Book Antiqua" w:cs="Arial"/>
          <w:sz w:val="24"/>
          <w:szCs w:val="24"/>
        </w:rPr>
        <w:t xml:space="preserve">follow up </w:t>
      </w:r>
      <w:r w:rsidR="00EE43A4" w:rsidRPr="00D93C39">
        <w:rPr>
          <w:rFonts w:ascii="Book Antiqua" w:hAnsi="Book Antiqua" w:cs="Arial"/>
          <w:sz w:val="24"/>
          <w:szCs w:val="24"/>
        </w:rPr>
        <w:t xml:space="preserve">should be considered </w:t>
      </w:r>
      <w:r w:rsidR="004E682B" w:rsidRPr="00D93C39">
        <w:rPr>
          <w:rFonts w:ascii="Book Antiqua" w:hAnsi="Book Antiqua" w:cs="Arial"/>
          <w:sz w:val="24"/>
          <w:szCs w:val="24"/>
        </w:rPr>
        <w:t xml:space="preserve">as first </w:t>
      </w:r>
      <w:r w:rsidR="00B27EFB" w:rsidRPr="00D93C39">
        <w:rPr>
          <w:rFonts w:ascii="Book Antiqua" w:hAnsi="Book Antiqua" w:cs="Arial"/>
          <w:sz w:val="24"/>
          <w:szCs w:val="24"/>
        </w:rPr>
        <w:t>choice for</w:t>
      </w:r>
      <w:r w:rsidR="004E682B" w:rsidRPr="00D93C39">
        <w:rPr>
          <w:rFonts w:ascii="Book Antiqua" w:hAnsi="Book Antiqua" w:cs="Arial"/>
          <w:sz w:val="24"/>
          <w:szCs w:val="24"/>
        </w:rPr>
        <w:t xml:space="preserve"> treatment</w:t>
      </w:r>
      <w:r w:rsidR="00EE43A4" w:rsidRPr="00D93C39">
        <w:rPr>
          <w:rFonts w:ascii="Book Antiqua" w:hAnsi="Book Antiqua" w:cs="Arial"/>
          <w:sz w:val="24"/>
          <w:szCs w:val="24"/>
        </w:rPr>
        <w:t>.</w:t>
      </w:r>
    </w:p>
    <w:p w:rsidR="009E07EC" w:rsidRDefault="009E07EC" w:rsidP="00087AC8">
      <w:pPr>
        <w:adjustRightInd w:val="0"/>
        <w:snapToGrid w:val="0"/>
        <w:spacing w:after="0" w:line="360" w:lineRule="auto"/>
        <w:jc w:val="both"/>
        <w:rPr>
          <w:rFonts w:ascii="Book Antiqua" w:hAnsi="Book Antiqua" w:cs="Arial"/>
          <w:sz w:val="24"/>
          <w:szCs w:val="24"/>
          <w:lang w:eastAsia="zh-CN"/>
        </w:rPr>
      </w:pPr>
    </w:p>
    <w:p w:rsidR="009E07EC" w:rsidRDefault="009E07EC" w:rsidP="00087AC8">
      <w:pPr>
        <w:adjustRightInd w:val="0"/>
        <w:snapToGrid w:val="0"/>
        <w:spacing w:after="0" w:line="360" w:lineRule="auto"/>
        <w:jc w:val="both"/>
        <w:rPr>
          <w:rFonts w:ascii="Book Antiqua" w:hAnsi="Book Antiqua" w:cs="Arial"/>
          <w:b/>
          <w:i/>
          <w:sz w:val="24"/>
          <w:szCs w:val="24"/>
          <w:lang w:eastAsia="zh-CN"/>
        </w:rPr>
      </w:pPr>
      <w:r w:rsidRPr="009E07EC">
        <w:rPr>
          <w:rFonts w:ascii="Book Antiqua" w:hAnsi="Book Antiqua" w:cs="Arial" w:hint="eastAsia"/>
          <w:b/>
          <w:i/>
          <w:sz w:val="24"/>
          <w:szCs w:val="24"/>
          <w:lang w:eastAsia="zh-CN"/>
        </w:rPr>
        <w:t>Peer-review</w:t>
      </w:r>
    </w:p>
    <w:p w:rsidR="005A62CD" w:rsidRPr="005A62CD" w:rsidRDefault="005A62CD" w:rsidP="00087AC8">
      <w:pPr>
        <w:adjustRightInd w:val="0"/>
        <w:snapToGrid w:val="0"/>
        <w:spacing w:after="0" w:line="360" w:lineRule="auto"/>
        <w:jc w:val="both"/>
        <w:rPr>
          <w:rFonts w:ascii="Book Antiqua" w:hAnsi="Book Antiqua" w:cs="Arial"/>
          <w:sz w:val="24"/>
          <w:szCs w:val="24"/>
          <w:lang w:eastAsia="zh-CN"/>
        </w:rPr>
      </w:pPr>
      <w:r w:rsidRPr="005A62CD">
        <w:rPr>
          <w:rFonts w:ascii="Book Antiqua" w:hAnsi="Book Antiqua" w:cs="Arial"/>
          <w:sz w:val="24"/>
          <w:szCs w:val="24"/>
          <w:lang w:eastAsia="zh-CN"/>
        </w:rPr>
        <w:t>The case is very interesting for the readers. In the manuscript they describe a rare case of</w:t>
      </w:r>
      <w:r>
        <w:rPr>
          <w:rFonts w:ascii="Book Antiqua" w:hAnsi="Book Antiqua" w:cs="Arial" w:hint="eastAsia"/>
          <w:sz w:val="24"/>
          <w:szCs w:val="24"/>
          <w:lang w:eastAsia="zh-CN"/>
        </w:rPr>
        <w:t xml:space="preserve"> </w:t>
      </w:r>
      <w:r>
        <w:rPr>
          <w:rFonts w:ascii="Book Antiqua" w:hAnsi="Book Antiqua" w:cs="Arial"/>
          <w:sz w:val="24"/>
          <w:szCs w:val="24"/>
          <w:lang w:eastAsia="zh-CN"/>
        </w:rPr>
        <w:t>AGD</w:t>
      </w:r>
      <w:r w:rsidRPr="005A62CD">
        <w:rPr>
          <w:rFonts w:ascii="Book Antiqua" w:hAnsi="Book Antiqua" w:cs="Arial"/>
          <w:sz w:val="24"/>
          <w:szCs w:val="24"/>
          <w:lang w:eastAsia="zh-CN"/>
        </w:rPr>
        <w:t xml:space="preserve"> accompanying by the </w:t>
      </w:r>
      <w:r>
        <w:rPr>
          <w:rFonts w:ascii="Book Antiqua" w:hAnsi="Book Antiqua" w:cs="Arial"/>
          <w:sz w:val="24"/>
          <w:szCs w:val="24"/>
          <w:lang w:eastAsia="zh-CN"/>
        </w:rPr>
        <w:t>HPVG</w:t>
      </w:r>
      <w:r w:rsidRPr="005A62CD">
        <w:rPr>
          <w:rFonts w:ascii="Book Antiqua" w:hAnsi="Book Antiqua" w:cs="Arial"/>
          <w:sz w:val="24"/>
          <w:szCs w:val="24"/>
          <w:lang w:eastAsia="zh-CN"/>
        </w:rPr>
        <w:t xml:space="preserve"> presented as acute abdomen in 29-years-old man due to chronic use of synthetic cannabinoids. The clinical history and diagnostic test are well described and it is easy to follow the flow of the case. </w:t>
      </w:r>
    </w:p>
    <w:p w:rsidR="00EE43A4" w:rsidRPr="00D93C39" w:rsidRDefault="00EE43A4" w:rsidP="00087AC8">
      <w:pPr>
        <w:adjustRightInd w:val="0"/>
        <w:snapToGrid w:val="0"/>
        <w:spacing w:after="0" w:line="360" w:lineRule="auto"/>
        <w:jc w:val="both"/>
        <w:rPr>
          <w:rFonts w:ascii="Book Antiqua" w:hAnsi="Book Antiqua" w:cs="Times New Roman"/>
          <w:b/>
          <w:sz w:val="24"/>
          <w:szCs w:val="24"/>
        </w:rPr>
      </w:pPr>
      <w:r w:rsidRPr="00D93C39">
        <w:rPr>
          <w:rFonts w:ascii="Book Antiqua" w:hAnsi="Book Antiqua" w:cs="Times New Roman"/>
          <w:b/>
          <w:sz w:val="24"/>
          <w:szCs w:val="24"/>
        </w:rPr>
        <w:br w:type="page"/>
      </w:r>
    </w:p>
    <w:p w:rsidR="00504228" w:rsidRDefault="00504228" w:rsidP="00087AC8">
      <w:pPr>
        <w:adjustRightInd w:val="0"/>
        <w:snapToGrid w:val="0"/>
        <w:spacing w:after="0" w:line="360" w:lineRule="auto"/>
        <w:jc w:val="both"/>
        <w:rPr>
          <w:rFonts w:ascii="Book Antiqua" w:hAnsi="Book Antiqua" w:cs="Times New Roman"/>
          <w:b/>
          <w:caps/>
          <w:sz w:val="24"/>
          <w:szCs w:val="24"/>
          <w:lang w:eastAsia="zh-CN"/>
        </w:rPr>
      </w:pPr>
      <w:r w:rsidRPr="00177D6E">
        <w:rPr>
          <w:rFonts w:ascii="Book Antiqua" w:hAnsi="Book Antiqua" w:cs="Times New Roman"/>
          <w:b/>
          <w:caps/>
          <w:sz w:val="24"/>
          <w:szCs w:val="24"/>
        </w:rPr>
        <w:lastRenderedPageBreak/>
        <w:t>References</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Kogan NM</w:t>
      </w:r>
      <w:r w:rsidRPr="00E42355">
        <w:rPr>
          <w:rFonts w:ascii="Book Antiqua" w:eastAsia="SimSun" w:hAnsi="Book Antiqua" w:cs="SimSun"/>
          <w:color w:val="000000"/>
          <w:sz w:val="24"/>
          <w:szCs w:val="24"/>
        </w:rPr>
        <w:t>, Mechoulam R. Cannabinoids in health and disease.</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Dialogues Clin Neurosci</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2007;</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9</w:t>
      </w:r>
      <w:r w:rsidRPr="00E42355">
        <w:rPr>
          <w:rFonts w:ascii="Book Antiqua" w:eastAsia="SimSun" w:hAnsi="Book Antiqua" w:cs="SimSun"/>
          <w:color w:val="000000"/>
          <w:sz w:val="24"/>
          <w:szCs w:val="24"/>
        </w:rPr>
        <w:t>: 413-430 [PMID: 18286801]</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2</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Sontineni SP</w:t>
      </w:r>
      <w:r w:rsidRPr="00E42355">
        <w:rPr>
          <w:rFonts w:ascii="Book Antiqua" w:eastAsia="SimSun" w:hAnsi="Book Antiqua" w:cs="SimSun"/>
          <w:color w:val="000000"/>
          <w:sz w:val="24"/>
          <w:szCs w:val="24"/>
        </w:rPr>
        <w:t>, Chaudhary S, Sontineni V, Lanspa SJ. Cannabinoid hyperemesis syndrome: clinical diagnosis of an underrecognised manifestation of chronic cannabis abuse.</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World J Gastroenterol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2009;</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15</w:t>
      </w:r>
      <w:r w:rsidRPr="00E42355">
        <w:rPr>
          <w:rFonts w:ascii="Book Antiqua" w:eastAsia="SimSun" w:hAnsi="Book Antiqua" w:cs="SimSun"/>
          <w:color w:val="000000"/>
          <w:sz w:val="24"/>
          <w:szCs w:val="24"/>
        </w:rPr>
        <w:t>: 1264-1266 [PMID: 19291829 DOI: 10.3748/wjg.15.1264]</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Pertwee RG</w:t>
      </w:r>
      <w:r w:rsidRPr="00E42355">
        <w:rPr>
          <w:rFonts w:ascii="Book Antiqua" w:eastAsia="SimSun" w:hAnsi="Book Antiqua" w:cs="SimSun"/>
          <w:color w:val="000000"/>
          <w:sz w:val="24"/>
          <w:szCs w:val="24"/>
        </w:rPr>
        <w:t>. Cannabinoids and the gastrointestinal tract.</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Gut</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2001;</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48</w:t>
      </w:r>
      <w:r w:rsidRPr="00E42355">
        <w:rPr>
          <w:rFonts w:ascii="Book Antiqua" w:eastAsia="SimSun" w:hAnsi="Book Antiqua" w:cs="SimSun"/>
          <w:color w:val="000000"/>
          <w:sz w:val="24"/>
          <w:szCs w:val="24"/>
        </w:rPr>
        <w:t>: 859-867 [PMID: 11358910]</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4</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Allen JH</w:t>
      </w:r>
      <w:r w:rsidRPr="00E42355">
        <w:rPr>
          <w:rFonts w:ascii="Book Antiqua" w:eastAsia="SimSun" w:hAnsi="Book Antiqua" w:cs="SimSun"/>
          <w:color w:val="000000"/>
          <w:sz w:val="24"/>
          <w:szCs w:val="24"/>
        </w:rPr>
        <w:t>, de Moore GM, Heddle R, Twartz JC. Cannabinoid hyperemesis: cyclical hyperemesis in association with chronic cannabis abuse.</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Gut</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2004;</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53</w:t>
      </w:r>
      <w:r w:rsidRPr="00E42355">
        <w:rPr>
          <w:rFonts w:ascii="Book Antiqua" w:eastAsia="SimSun" w:hAnsi="Book Antiqua" w:cs="SimSun"/>
          <w:color w:val="000000"/>
          <w:sz w:val="24"/>
          <w:szCs w:val="24"/>
        </w:rPr>
        <w:t>: 1566-1570 [PMID: 15479672]</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5</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Gurdal F</w:t>
      </w:r>
      <w:r w:rsidRPr="00E42355">
        <w:rPr>
          <w:rFonts w:ascii="Book Antiqua" w:eastAsia="SimSun" w:hAnsi="Book Antiqua" w:cs="SimSun"/>
          <w:color w:val="000000"/>
          <w:sz w:val="24"/>
          <w:szCs w:val="24"/>
        </w:rPr>
        <w:t>, Asirdizer M, Aker RG, Korkut S, Gocer Y, Kucukibrahimoglu EE, Ince CH. Review of detection frequency and type of synthetic cannabinoids in herbal compounds analyzed by Istanbul Narcotic Department of the Council of Forensic Medicine, Turkey.</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J Forensic Leg Med</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2013;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20</w:t>
      </w:r>
      <w:r w:rsidRPr="00E42355">
        <w:rPr>
          <w:rFonts w:ascii="Book Antiqua" w:eastAsia="SimSun" w:hAnsi="Book Antiqua" w:cs="SimSun"/>
          <w:color w:val="000000"/>
          <w:sz w:val="24"/>
          <w:szCs w:val="24"/>
        </w:rPr>
        <w:t>: 667-672 [PMID: 23910858 DOI: 10.1016/j.jflm.2013.03.041]</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760475">
        <w:rPr>
          <w:rFonts w:ascii="Book Antiqua" w:eastAsia="SimSun" w:hAnsi="Book Antiqua" w:cs="SimSun"/>
          <w:color w:val="000000"/>
          <w:sz w:val="24"/>
          <w:szCs w:val="24"/>
        </w:rPr>
        <w:t xml:space="preserve">6 </w:t>
      </w:r>
      <w:r w:rsidRPr="00E42355">
        <w:rPr>
          <w:rFonts w:ascii="Book Antiqua" w:eastAsia="SimSun" w:hAnsi="Book Antiqua" w:cs="SimSun"/>
          <w:color w:val="000000"/>
          <w:sz w:val="24"/>
          <w:szCs w:val="24"/>
        </w:rPr>
        <w:t>United Nations Office on Dru</w:t>
      </w:r>
      <w:r w:rsidRPr="00760475">
        <w:rPr>
          <w:rFonts w:ascii="Book Antiqua" w:eastAsia="SimSun" w:hAnsi="Book Antiqua" w:cs="SimSun"/>
          <w:color w:val="000000"/>
          <w:sz w:val="24"/>
          <w:szCs w:val="24"/>
        </w:rPr>
        <w:t xml:space="preserve">gs and Crime, World Drug Report, </w:t>
      </w:r>
      <w:r w:rsidRPr="00E42355">
        <w:rPr>
          <w:rFonts w:ascii="Book Antiqua" w:eastAsia="SimSun" w:hAnsi="Book Antiqua" w:cs="SimSun"/>
          <w:color w:val="000000"/>
          <w:sz w:val="24"/>
          <w:szCs w:val="24"/>
        </w:rPr>
        <w:t>2014</w:t>
      </w:r>
      <w:r w:rsidRPr="00760475">
        <w:rPr>
          <w:rFonts w:ascii="Book Antiqua" w:eastAsia="SimSun" w:hAnsi="Book Antiqua" w:cs="SimSun"/>
          <w:color w:val="000000"/>
          <w:sz w:val="24"/>
          <w:szCs w:val="24"/>
        </w:rPr>
        <w:t xml:space="preserve">. </w:t>
      </w:r>
      <w:r w:rsidRPr="00E42355">
        <w:rPr>
          <w:rFonts w:ascii="Book Antiqua" w:eastAsia="SimSun" w:hAnsi="Book Antiqua" w:cs="SimSun"/>
          <w:color w:val="000000"/>
          <w:sz w:val="24"/>
          <w:szCs w:val="24"/>
        </w:rPr>
        <w:t>United Nations P</w:t>
      </w:r>
      <w:r w:rsidRPr="00760475">
        <w:rPr>
          <w:rFonts w:ascii="Book Antiqua" w:eastAsia="SimSun" w:hAnsi="Book Antiqua" w:cs="SimSun"/>
          <w:color w:val="000000"/>
          <w:sz w:val="24"/>
          <w:szCs w:val="24"/>
        </w:rPr>
        <w:t>ublicaiton Sales No. E.14.XI.7. [</w:t>
      </w:r>
      <w:r w:rsidRPr="00760475">
        <w:rPr>
          <w:rFonts w:ascii="Book Antiqua" w:eastAsia="SimSun" w:hAnsi="Book Antiqua" w:cs="SimSun"/>
          <w:caps/>
          <w:color w:val="000000"/>
          <w:sz w:val="24"/>
          <w:szCs w:val="24"/>
        </w:rPr>
        <w:t xml:space="preserve">do: </w:t>
      </w:r>
      <w:r w:rsidRPr="00760475">
        <w:rPr>
          <w:rFonts w:ascii="Book Antiqua" w:eastAsia="SimSun" w:hAnsi="Book Antiqua" w:cs="SimSun"/>
          <w:color w:val="000000"/>
          <w:sz w:val="24"/>
          <w:szCs w:val="24"/>
        </w:rPr>
        <w:t>10.1111/dar.12110/abstract]</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7</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Krowicki ZK</w:t>
      </w:r>
      <w:r w:rsidRPr="00E42355">
        <w:rPr>
          <w:rFonts w:ascii="Book Antiqua" w:eastAsia="SimSun" w:hAnsi="Book Antiqua" w:cs="SimSun"/>
          <w:color w:val="000000"/>
          <w:sz w:val="24"/>
          <w:szCs w:val="24"/>
        </w:rPr>
        <w:t>, Moerschbaecher JM, Winsauer PJ, Digavalli SV, Hornby PJ. Delta9-tetrahydrocannabinol inhibits gastric motility in the rat through cannabinoid CB1 receptors.</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Eur J Pharmacol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1999;</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371</w:t>
      </w:r>
      <w:r w:rsidRPr="00E42355">
        <w:rPr>
          <w:rFonts w:ascii="Book Antiqua" w:eastAsia="SimSun" w:hAnsi="Book Antiqua" w:cs="SimSun"/>
          <w:color w:val="000000"/>
          <w:sz w:val="24"/>
          <w:szCs w:val="24"/>
        </w:rPr>
        <w:t>: 187-196 [PMID: 10357256]</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8</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Izzo AA</w:t>
      </w:r>
      <w:r w:rsidRPr="00E42355">
        <w:rPr>
          <w:rFonts w:ascii="Book Antiqua" w:eastAsia="SimSun" w:hAnsi="Book Antiqua" w:cs="SimSun"/>
          <w:color w:val="000000"/>
          <w:sz w:val="24"/>
          <w:szCs w:val="24"/>
        </w:rPr>
        <w:t>, Mascolo N, Capasso R, Germanò MP, De Pasquale R, Capasso F. Inhibitory effect of cannabinoid agonists on gastric emptying in the rat.</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Naunyn Schmiedebergs Arch Pharmacol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1999;</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360</w:t>
      </w:r>
      <w:r w:rsidRPr="00E42355">
        <w:rPr>
          <w:rFonts w:ascii="Book Antiqua" w:eastAsia="SimSun" w:hAnsi="Book Antiqua" w:cs="SimSun"/>
          <w:color w:val="000000"/>
          <w:sz w:val="24"/>
          <w:szCs w:val="24"/>
        </w:rPr>
        <w:t>: 221-223 [PMID: 10494894]</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9</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Tramèr MR</w:t>
      </w:r>
      <w:r w:rsidRPr="00E42355">
        <w:rPr>
          <w:rFonts w:ascii="Book Antiqua" w:eastAsia="SimSun" w:hAnsi="Book Antiqua" w:cs="SimSun"/>
          <w:color w:val="000000"/>
          <w:sz w:val="24"/>
          <w:szCs w:val="24"/>
        </w:rPr>
        <w:t>, Carroll D, Campbell FA, Reynolds DJ, Moore RA, McQuay HJ. Cannabinoids for control of chemotherapy induced nausea and vomiting: quantitative systematic review.</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BMJ</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2001;</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323</w:t>
      </w:r>
      <w:r w:rsidRPr="00E42355">
        <w:rPr>
          <w:rFonts w:ascii="Book Antiqua" w:eastAsia="SimSun" w:hAnsi="Book Antiqua" w:cs="SimSun"/>
          <w:color w:val="000000"/>
          <w:sz w:val="24"/>
          <w:szCs w:val="24"/>
        </w:rPr>
        <w:t>: 16-21 [PMID: 11440936]</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10</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Choung RS</w:t>
      </w:r>
      <w:r w:rsidRPr="00E42355">
        <w:rPr>
          <w:rFonts w:ascii="Book Antiqua" w:eastAsia="SimSun" w:hAnsi="Book Antiqua" w:cs="SimSun"/>
          <w:color w:val="000000"/>
          <w:sz w:val="24"/>
          <w:szCs w:val="24"/>
        </w:rPr>
        <w:t xml:space="preserve">, Locke GR, Lee RM, Schleck CD, Zinsmeister AR, Talley NJ. Cyclic vomiting syndrome and functional vomiting in adults: association with cannabinoid </w:t>
      </w:r>
      <w:r w:rsidRPr="00E42355">
        <w:rPr>
          <w:rFonts w:ascii="Book Antiqua" w:eastAsia="SimSun" w:hAnsi="Book Antiqua" w:cs="SimSun"/>
          <w:color w:val="000000"/>
          <w:sz w:val="24"/>
          <w:szCs w:val="24"/>
        </w:rPr>
        <w:lastRenderedPageBreak/>
        <w:t>use in males.</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Neurogastroenterol Motil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2012;</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24</w:t>
      </w:r>
      <w:r w:rsidRPr="00E42355">
        <w:rPr>
          <w:rFonts w:ascii="Book Antiqua" w:eastAsia="SimSun" w:hAnsi="Book Antiqua" w:cs="SimSun"/>
          <w:color w:val="000000"/>
          <w:sz w:val="24"/>
          <w:szCs w:val="24"/>
        </w:rPr>
        <w:t>: 20-6, e1 [PMID: 21951771 DOI: 10.1111/j.1365-2982.2011.01791.x]</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11</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Partosoedarso ER</w:t>
      </w:r>
      <w:r w:rsidRPr="00E42355">
        <w:rPr>
          <w:rFonts w:ascii="Book Antiqua" w:eastAsia="SimSun" w:hAnsi="Book Antiqua" w:cs="SimSun"/>
          <w:color w:val="000000"/>
          <w:sz w:val="24"/>
          <w:szCs w:val="24"/>
        </w:rPr>
        <w:t>, Abrahams TP, Scullion RT, Moerschbaecher JM, Hornby PJ. Cannabinoid1 receptor in the dorsal vagal complex modulates lower oesophageal sphincter relaxation in ferrets.</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J Physiol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550</w:t>
      </w:r>
      <w:r w:rsidRPr="00E42355">
        <w:rPr>
          <w:rFonts w:ascii="Book Antiqua" w:eastAsia="SimSun" w:hAnsi="Book Antiqua" w:cs="SimSun"/>
          <w:color w:val="000000"/>
          <w:sz w:val="24"/>
          <w:szCs w:val="24"/>
        </w:rPr>
        <w:t>: 149-158 [PMID: 12879865 DOI: 10.1113/jphysiol.2003.042242]</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12</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Benson MD</w:t>
      </w:r>
      <w:r w:rsidRPr="00E42355">
        <w:rPr>
          <w:rFonts w:ascii="Book Antiqua" w:eastAsia="SimSun" w:hAnsi="Book Antiqua" w:cs="SimSun"/>
          <w:color w:val="000000"/>
          <w:sz w:val="24"/>
          <w:szCs w:val="24"/>
        </w:rPr>
        <w:t>. Adult survival with intrahepatic portal venous gas secondary to acute gastric dilatation, with a review of portal venous gas.</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Clin Radiol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1985;</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36</w:t>
      </w:r>
      <w:r w:rsidRPr="00E42355">
        <w:rPr>
          <w:rFonts w:ascii="Book Antiqua" w:eastAsia="SimSun" w:hAnsi="Book Antiqua" w:cs="SimSun"/>
          <w:color w:val="000000"/>
          <w:sz w:val="24"/>
          <w:szCs w:val="24"/>
        </w:rPr>
        <w:t>: 441-443 [PMID: 4064538]</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Radin DR</w:t>
      </w:r>
      <w:r w:rsidRPr="00E42355">
        <w:rPr>
          <w:rFonts w:ascii="Book Antiqua" w:eastAsia="SimSun" w:hAnsi="Book Antiqua" w:cs="SimSun"/>
          <w:color w:val="000000"/>
          <w:sz w:val="24"/>
          <w:szCs w:val="24"/>
        </w:rPr>
        <w:t>, Rosen RS, Halls JM. Acute gastric dilatation: a rare cause of portal venous gas.</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AJR Am J Roentgenol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1987;</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148</w:t>
      </w:r>
      <w:r w:rsidRPr="00E42355">
        <w:rPr>
          <w:rFonts w:ascii="Book Antiqua" w:eastAsia="SimSun" w:hAnsi="Book Antiqua" w:cs="SimSun"/>
          <w:color w:val="000000"/>
          <w:sz w:val="24"/>
          <w:szCs w:val="24"/>
        </w:rPr>
        <w:t>: 279-280 [PMID: 3492104]</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14</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Lim JE</w:t>
      </w:r>
      <w:r w:rsidRPr="00E42355">
        <w:rPr>
          <w:rFonts w:ascii="Book Antiqua" w:eastAsia="SimSun" w:hAnsi="Book Antiqua" w:cs="SimSun"/>
          <w:color w:val="000000"/>
          <w:sz w:val="24"/>
          <w:szCs w:val="24"/>
        </w:rPr>
        <w:t>, Duke GL, Eachempati SR. Superior mesenteric artery syndrome presenting with acute massive gastric dilatation, gastric wall pneumatosis, and portal venous gas.</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Surgery</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134</w:t>
      </w:r>
      <w:r w:rsidRPr="00E42355">
        <w:rPr>
          <w:rFonts w:ascii="Book Antiqua" w:eastAsia="SimSun" w:hAnsi="Book Antiqua" w:cs="SimSun"/>
          <w:color w:val="000000"/>
          <w:sz w:val="24"/>
          <w:szCs w:val="24"/>
        </w:rPr>
        <w:t>: 840-843 [PMID: 14639366 DOI: 10.1016/S0039-6060(02)21677-3]</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15</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Allaparthi SB</w:t>
      </w:r>
      <w:r w:rsidRPr="00E42355">
        <w:rPr>
          <w:rFonts w:ascii="Book Antiqua" w:eastAsia="SimSun" w:hAnsi="Book Antiqua" w:cs="SimSun"/>
          <w:color w:val="000000"/>
          <w:sz w:val="24"/>
          <w:szCs w:val="24"/>
        </w:rPr>
        <w:t>, Anand CP. Acute gastric dilatation: a transient cause of hepatic portal venous gas-case report and review of the literature.</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Case Rep Gastrointest Med</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2013;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2013</w:t>
      </w:r>
      <w:r w:rsidRPr="00E42355">
        <w:rPr>
          <w:rFonts w:ascii="Book Antiqua" w:eastAsia="SimSun" w:hAnsi="Book Antiqua" w:cs="SimSun"/>
          <w:color w:val="000000"/>
          <w:sz w:val="24"/>
          <w:szCs w:val="24"/>
        </w:rPr>
        <w:t>: 723160 [PMID: 23819076 DOI: 10.1155/2013/723160]</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16</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Oomatia A</w:t>
      </w:r>
      <w:r w:rsidRPr="00E42355">
        <w:rPr>
          <w:rFonts w:ascii="Book Antiqua" w:eastAsia="SimSun" w:hAnsi="Book Antiqua" w:cs="SimSun"/>
          <w:color w:val="000000"/>
          <w:sz w:val="24"/>
          <w:szCs w:val="24"/>
        </w:rPr>
        <w:t>, Carroll N, Safranek PM. Acute gastric necrosis and air in the hepatic-portal vein secondary to a strangulated paraumbilical hernia.</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Lancet</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2013;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382</w:t>
      </w:r>
      <w:r w:rsidRPr="00E42355">
        <w:rPr>
          <w:rFonts w:ascii="Book Antiqua" w:eastAsia="SimSun" w:hAnsi="Book Antiqua" w:cs="SimSun"/>
          <w:color w:val="000000"/>
          <w:sz w:val="24"/>
          <w:szCs w:val="24"/>
        </w:rPr>
        <w:t>: 1733 [PMID: 23664059 DOI: 10.1016/s0140-6736(12)61778-4]</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17</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Nelson AL</w:t>
      </w:r>
      <w:r w:rsidRPr="00E42355">
        <w:rPr>
          <w:rFonts w:ascii="Book Antiqua" w:eastAsia="SimSun" w:hAnsi="Book Antiqua" w:cs="SimSun"/>
          <w:color w:val="000000"/>
          <w:sz w:val="24"/>
          <w:szCs w:val="24"/>
        </w:rPr>
        <w:t>, Millington TM, Sahani D, Chung RT, Bauer C, Hertl M, Warshaw AL, Conrad C. Hepatic portal venous gas: the ABCs of management.</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Arch Surg</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2009;</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144</w:t>
      </w:r>
      <w:r w:rsidRPr="00E42355">
        <w:rPr>
          <w:rFonts w:ascii="Book Antiqua" w:eastAsia="SimSun" w:hAnsi="Book Antiqua" w:cs="SimSun"/>
          <w:color w:val="000000"/>
          <w:sz w:val="24"/>
          <w:szCs w:val="24"/>
        </w:rPr>
        <w:t>: 575-81; discussion 581 [PMID: 19528392 DOI: 10.1001/archsurg.2009.88]</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18</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Kinoshita H</w:t>
      </w:r>
      <w:r w:rsidRPr="00E42355">
        <w:rPr>
          <w:rFonts w:ascii="Book Antiqua" w:eastAsia="SimSun" w:hAnsi="Book Antiqua" w:cs="SimSun"/>
          <w:color w:val="000000"/>
          <w:sz w:val="24"/>
          <w:szCs w:val="24"/>
        </w:rPr>
        <w:t>, Shinozaki M, Tanimura H, Umemoto Y, Sakaguchi S, Takifuji K, Kawasaki S, Hayashi H, Yamaue H. Clinical features and management of hepatic portal venous gas: four case reports and cumulative review of the literature.</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Arch Surg</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2001;</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136</w:t>
      </w:r>
      <w:r w:rsidRPr="00E42355">
        <w:rPr>
          <w:rFonts w:ascii="Book Antiqua" w:eastAsia="SimSun" w:hAnsi="Book Antiqua" w:cs="SimSun"/>
          <w:color w:val="000000"/>
          <w:sz w:val="24"/>
          <w:szCs w:val="24"/>
        </w:rPr>
        <w:t>: 1410-1414 [PMID: 11735870]</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19</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Abboud B</w:t>
      </w:r>
      <w:r w:rsidRPr="00E42355">
        <w:rPr>
          <w:rFonts w:ascii="Book Antiqua" w:eastAsia="SimSun" w:hAnsi="Book Antiqua" w:cs="SimSun"/>
          <w:color w:val="000000"/>
          <w:sz w:val="24"/>
          <w:szCs w:val="24"/>
        </w:rPr>
        <w:t>, El Hachem J, Yazbeck T, Doumit C. Hepatic portal venous gas: physiopathology, etiology, prognosis and treatment.</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World J Gastroenterol</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2009;</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15</w:t>
      </w:r>
      <w:r w:rsidRPr="00E42355">
        <w:rPr>
          <w:rFonts w:ascii="Book Antiqua" w:eastAsia="SimSun" w:hAnsi="Book Antiqua" w:cs="SimSun"/>
          <w:color w:val="000000"/>
          <w:sz w:val="24"/>
          <w:szCs w:val="24"/>
        </w:rPr>
        <w:t>: 3585-3590 [PMID: 19653334 DOI: 10.3748/wjg.15.3585]</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lastRenderedPageBreak/>
        <w:t>20</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Turan M</w:t>
      </w:r>
      <w:r w:rsidRPr="00E42355">
        <w:rPr>
          <w:rFonts w:ascii="Book Antiqua" w:eastAsia="SimSun" w:hAnsi="Book Antiqua" w:cs="SimSun"/>
          <w:color w:val="000000"/>
          <w:sz w:val="24"/>
          <w:szCs w:val="24"/>
        </w:rPr>
        <w:t>, Sen M, Canbay E, Karadayi K, Yildiz E. Gastric necrosis and perforation caused by acute gastric dilatation: report of a case.</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Surg Today</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2003;</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33</w:t>
      </w:r>
      <w:r w:rsidRPr="00E42355">
        <w:rPr>
          <w:rFonts w:ascii="Book Antiqua" w:eastAsia="SimSun" w:hAnsi="Book Antiqua" w:cs="SimSun"/>
          <w:color w:val="000000"/>
          <w:sz w:val="24"/>
          <w:szCs w:val="24"/>
        </w:rPr>
        <w:t>: 302-304 [PMID: 12707829]</w:t>
      </w:r>
    </w:p>
    <w:p w:rsidR="00061CD6" w:rsidRPr="00E42355" w:rsidRDefault="00061CD6" w:rsidP="00087AC8">
      <w:pPr>
        <w:adjustRightInd w:val="0"/>
        <w:snapToGrid w:val="0"/>
        <w:spacing w:after="0" w:line="360" w:lineRule="auto"/>
        <w:jc w:val="both"/>
        <w:rPr>
          <w:rFonts w:ascii="Book Antiqua" w:eastAsia="SimSun" w:hAnsi="Book Antiqua" w:cs="SimSun"/>
          <w:color w:val="000000"/>
          <w:sz w:val="24"/>
          <w:szCs w:val="24"/>
        </w:rPr>
      </w:pPr>
      <w:r w:rsidRPr="00E42355">
        <w:rPr>
          <w:rFonts w:ascii="Book Antiqua" w:eastAsia="SimSun" w:hAnsi="Book Antiqua" w:cs="SimSun"/>
          <w:color w:val="000000"/>
          <w:sz w:val="24"/>
          <w:szCs w:val="24"/>
        </w:rPr>
        <w:t>21</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Köklü E</w:t>
      </w:r>
      <w:r w:rsidRPr="00E42355">
        <w:rPr>
          <w:rFonts w:ascii="Book Antiqua" w:eastAsia="SimSun" w:hAnsi="Book Antiqua" w:cs="SimSun"/>
          <w:color w:val="000000"/>
          <w:sz w:val="24"/>
          <w:szCs w:val="24"/>
        </w:rPr>
        <w:t>, Yüksel İÖ, Bayar N, Üreyen ÇM, Arslan Ş. A new cause of silent myocardial infarction: Bonsai.</w:t>
      </w:r>
      <w:r w:rsidRPr="00760475">
        <w:rPr>
          <w:rFonts w:ascii="Book Antiqua" w:eastAsia="SimSun" w:hAnsi="Book Antiqua" w:cs="SimSun"/>
          <w:color w:val="000000"/>
          <w:sz w:val="24"/>
          <w:szCs w:val="24"/>
        </w:rPr>
        <w:t> </w:t>
      </w:r>
      <w:r w:rsidRPr="00E42355">
        <w:rPr>
          <w:rFonts w:ascii="Book Antiqua" w:eastAsia="SimSun" w:hAnsi="Book Antiqua" w:cs="SimSun"/>
          <w:i/>
          <w:iCs/>
          <w:color w:val="000000"/>
          <w:sz w:val="24"/>
          <w:szCs w:val="24"/>
        </w:rPr>
        <w:t>Anadolu Kardiyol Derg</w:t>
      </w:r>
      <w:r w:rsidRPr="00760475">
        <w:rPr>
          <w:rFonts w:ascii="Book Antiqua" w:eastAsia="SimSun" w:hAnsi="Book Antiqua" w:cs="SimSun"/>
          <w:color w:val="000000"/>
          <w:sz w:val="24"/>
          <w:szCs w:val="24"/>
        </w:rPr>
        <w:t> </w:t>
      </w:r>
      <w:r w:rsidRPr="00E42355">
        <w:rPr>
          <w:rFonts w:ascii="Book Antiqua" w:eastAsia="SimSun" w:hAnsi="Book Antiqua" w:cs="SimSun"/>
          <w:color w:val="000000"/>
          <w:sz w:val="24"/>
          <w:szCs w:val="24"/>
        </w:rPr>
        <w:t>2015;</w:t>
      </w:r>
      <w:r w:rsidRPr="00760475">
        <w:rPr>
          <w:rFonts w:ascii="Book Antiqua" w:eastAsia="SimSun" w:hAnsi="Book Antiqua" w:cs="SimSun"/>
          <w:color w:val="000000"/>
          <w:sz w:val="24"/>
          <w:szCs w:val="24"/>
        </w:rPr>
        <w:t> </w:t>
      </w:r>
      <w:r w:rsidRPr="00E42355">
        <w:rPr>
          <w:rFonts w:ascii="Book Antiqua" w:eastAsia="SimSun" w:hAnsi="Book Antiqua" w:cs="SimSun"/>
          <w:b/>
          <w:bCs/>
          <w:color w:val="000000"/>
          <w:sz w:val="24"/>
          <w:szCs w:val="24"/>
        </w:rPr>
        <w:t>15</w:t>
      </w:r>
      <w:r w:rsidRPr="00E42355">
        <w:rPr>
          <w:rFonts w:ascii="Book Antiqua" w:eastAsia="SimSun" w:hAnsi="Book Antiqua" w:cs="SimSun"/>
          <w:color w:val="000000"/>
          <w:sz w:val="24"/>
          <w:szCs w:val="24"/>
        </w:rPr>
        <w:t>: 69-70 [PMID: 25550251 DOI: 10.5152/akd.2014.5870]</w:t>
      </w:r>
    </w:p>
    <w:p w:rsidR="00061CD6" w:rsidRPr="00760475" w:rsidRDefault="00061CD6" w:rsidP="00087AC8">
      <w:pPr>
        <w:adjustRightInd w:val="0"/>
        <w:snapToGrid w:val="0"/>
        <w:spacing w:after="0" w:line="360" w:lineRule="auto"/>
        <w:jc w:val="both"/>
        <w:rPr>
          <w:rFonts w:ascii="Book Antiqua" w:hAnsi="Book Antiqua"/>
          <w:sz w:val="24"/>
          <w:szCs w:val="24"/>
        </w:rPr>
      </w:pPr>
    </w:p>
    <w:p w:rsidR="00061CD6" w:rsidRDefault="00061CD6" w:rsidP="00087AC8">
      <w:pPr>
        <w:adjustRightInd w:val="0"/>
        <w:snapToGrid w:val="0"/>
        <w:spacing w:after="0" w:line="360" w:lineRule="auto"/>
        <w:jc w:val="right"/>
        <w:rPr>
          <w:rFonts w:ascii="Book Antiqua" w:hAnsi="Book Antiqua"/>
          <w:b/>
          <w:bCs/>
          <w:sz w:val="24"/>
        </w:rPr>
      </w:pPr>
      <w:r w:rsidRPr="005F7DC3">
        <w:rPr>
          <w:rFonts w:ascii="Book Antiqua" w:hAnsi="Book Antiqua"/>
          <w:b/>
          <w:bCs/>
          <w:sz w:val="24"/>
        </w:rPr>
        <w:t xml:space="preserve">P-Reviewer: </w:t>
      </w:r>
      <w:r w:rsidRPr="00061CD6">
        <w:rPr>
          <w:rFonts w:ascii="Book Antiqua" w:hAnsi="Book Antiqua"/>
          <w:bCs/>
          <w:sz w:val="24"/>
        </w:rPr>
        <w:t>Casadesus</w:t>
      </w:r>
      <w:r w:rsidRPr="00061CD6">
        <w:rPr>
          <w:rFonts w:ascii="Book Antiqua" w:hAnsi="Book Antiqua" w:hint="eastAsia"/>
          <w:bCs/>
          <w:sz w:val="24"/>
          <w:lang w:eastAsia="zh-CN"/>
        </w:rPr>
        <w:t xml:space="preserve"> </w:t>
      </w:r>
      <w:r w:rsidRPr="00061CD6">
        <w:rPr>
          <w:rFonts w:ascii="Book Antiqua" w:hAnsi="Book Antiqua" w:hint="eastAsia"/>
          <w:bCs/>
          <w:caps/>
          <w:sz w:val="24"/>
          <w:lang w:eastAsia="zh-CN"/>
        </w:rPr>
        <w:t>d</w:t>
      </w:r>
      <w:r w:rsidRPr="00061CD6">
        <w:rPr>
          <w:rFonts w:ascii="Book Antiqua" w:hAnsi="Book Antiqua" w:hint="eastAsia"/>
          <w:bCs/>
          <w:sz w:val="24"/>
          <w:lang w:eastAsia="zh-CN"/>
        </w:rPr>
        <w:t xml:space="preserve">, </w:t>
      </w:r>
      <w:r w:rsidRPr="00061CD6">
        <w:rPr>
          <w:rFonts w:ascii="Book Antiqua" w:hAnsi="Book Antiqua"/>
          <w:bCs/>
          <w:sz w:val="24"/>
          <w:lang w:eastAsia="zh-CN"/>
        </w:rPr>
        <w:t>Vorobjova</w:t>
      </w:r>
      <w:r w:rsidRPr="00061CD6">
        <w:rPr>
          <w:rFonts w:ascii="Book Antiqua" w:hAnsi="Book Antiqua" w:hint="eastAsia"/>
          <w:bCs/>
          <w:caps/>
          <w:sz w:val="24"/>
          <w:lang w:eastAsia="zh-CN"/>
        </w:rPr>
        <w:t xml:space="preserve"> t</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061CD6" w:rsidRPr="00061CD6" w:rsidRDefault="00061CD6" w:rsidP="00087AC8">
      <w:pPr>
        <w:adjustRightInd w:val="0"/>
        <w:snapToGrid w:val="0"/>
        <w:spacing w:after="0" w:line="360" w:lineRule="auto"/>
        <w:jc w:val="both"/>
        <w:rPr>
          <w:rFonts w:ascii="Book Antiqua" w:hAnsi="Book Antiqua" w:cs="Times New Roman"/>
          <w:caps/>
          <w:sz w:val="24"/>
          <w:szCs w:val="24"/>
          <w:lang w:eastAsia="zh-CN"/>
        </w:rPr>
      </w:pPr>
    </w:p>
    <w:p w:rsidR="00947FE0" w:rsidRPr="00D93C39" w:rsidRDefault="00947FE0" w:rsidP="00087AC8">
      <w:pPr>
        <w:adjustRightInd w:val="0"/>
        <w:snapToGrid w:val="0"/>
        <w:spacing w:after="0" w:line="360" w:lineRule="auto"/>
        <w:jc w:val="both"/>
        <w:rPr>
          <w:rFonts w:ascii="Book Antiqua" w:hAnsi="Book Antiqua" w:cs="Times New Roman"/>
          <w:sz w:val="24"/>
          <w:szCs w:val="24"/>
        </w:rPr>
      </w:pPr>
      <w:r w:rsidRPr="00D93C39">
        <w:rPr>
          <w:rFonts w:ascii="Book Antiqua" w:hAnsi="Book Antiqua" w:cs="Times New Roman"/>
          <w:sz w:val="24"/>
          <w:szCs w:val="24"/>
        </w:rPr>
        <w:br w:type="page"/>
      </w:r>
    </w:p>
    <w:p w:rsidR="00061CD6" w:rsidRDefault="00790A51" w:rsidP="00087AC8">
      <w:pPr>
        <w:adjustRightInd w:val="0"/>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noProof/>
          <w:sz w:val="24"/>
          <w:szCs w:val="24"/>
          <w:lang w:val="en-US" w:eastAsia="zh-CN"/>
        </w:rPr>
        <w:lastRenderedPageBreak/>
        <w:drawing>
          <wp:inline distT="0" distB="0" distL="0" distR="0" wp14:anchorId="7C86F31B" wp14:editId="60293C3B">
            <wp:extent cx="2725631" cy="1901952"/>
            <wp:effectExtent l="0" t="0" r="0" b="3175"/>
            <wp:docPr id="1" name="图片 1" descr="C:\Users\Administrator\Desktop\16896\16896-Figures\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6896\16896-Figures\Figure 1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552" cy="1910968"/>
                    </a:xfrm>
                    <a:prstGeom prst="rect">
                      <a:avLst/>
                    </a:prstGeom>
                    <a:noFill/>
                    <a:ln>
                      <a:noFill/>
                    </a:ln>
                  </pic:spPr>
                </pic:pic>
              </a:graphicData>
            </a:graphic>
          </wp:inline>
        </w:drawing>
      </w:r>
      <w:r>
        <w:rPr>
          <w:rFonts w:ascii="Book Antiqua" w:hAnsi="Book Antiqua" w:cs="Times New Roman" w:hint="eastAsia"/>
          <w:b/>
          <w:sz w:val="24"/>
          <w:szCs w:val="24"/>
          <w:lang w:val="en-US" w:eastAsia="zh-CN"/>
        </w:rPr>
        <w:t xml:space="preserve">  </w:t>
      </w:r>
      <w:r>
        <w:rPr>
          <w:rFonts w:ascii="Book Antiqua" w:hAnsi="Book Antiqua" w:cs="Times New Roman"/>
          <w:b/>
          <w:noProof/>
          <w:sz w:val="24"/>
          <w:szCs w:val="24"/>
          <w:lang w:val="en-US" w:eastAsia="zh-CN"/>
        </w:rPr>
        <w:drawing>
          <wp:inline distT="0" distB="0" distL="0" distR="0" wp14:anchorId="28F89327" wp14:editId="63321256">
            <wp:extent cx="2400943" cy="1909267"/>
            <wp:effectExtent l="0" t="0" r="0" b="0"/>
            <wp:docPr id="2" name="图片 2" descr="C:\Users\Administrator\Desktop\16896\16896-Figures\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6896\16896-Figures\Figure 1B.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469" cy="1910480"/>
                    </a:xfrm>
                    <a:prstGeom prst="rect">
                      <a:avLst/>
                    </a:prstGeom>
                    <a:noFill/>
                    <a:ln>
                      <a:noFill/>
                    </a:ln>
                  </pic:spPr>
                </pic:pic>
              </a:graphicData>
            </a:graphic>
          </wp:inline>
        </w:drawing>
      </w:r>
    </w:p>
    <w:p w:rsidR="00C77A78" w:rsidRDefault="00947FE0" w:rsidP="00087AC8">
      <w:pPr>
        <w:adjustRightInd w:val="0"/>
        <w:snapToGrid w:val="0"/>
        <w:spacing w:after="0" w:line="360" w:lineRule="auto"/>
        <w:jc w:val="both"/>
        <w:rPr>
          <w:rFonts w:ascii="Book Antiqua" w:hAnsi="Book Antiqua" w:cs="Times New Roman"/>
          <w:sz w:val="24"/>
          <w:szCs w:val="24"/>
          <w:lang w:val="en-US" w:eastAsia="zh-CN"/>
        </w:rPr>
      </w:pPr>
      <w:r w:rsidRPr="00D93C39">
        <w:rPr>
          <w:rFonts w:ascii="Book Antiqua" w:hAnsi="Book Antiqua" w:cs="Times New Roman"/>
          <w:b/>
          <w:sz w:val="24"/>
          <w:szCs w:val="24"/>
          <w:lang w:val="en-US"/>
        </w:rPr>
        <w:t>Figure 1</w:t>
      </w:r>
      <w:r w:rsidRPr="00D93C39">
        <w:rPr>
          <w:rFonts w:ascii="Book Antiqua" w:hAnsi="Book Antiqua" w:cs="Times New Roman"/>
          <w:sz w:val="24"/>
          <w:szCs w:val="24"/>
          <w:lang w:val="en-US"/>
        </w:rPr>
        <w:t xml:space="preserve"> </w:t>
      </w:r>
      <w:r w:rsidR="00072308" w:rsidRPr="00061CD6">
        <w:rPr>
          <w:rFonts w:ascii="Book Antiqua" w:hAnsi="Book Antiqua" w:cs="Times New Roman"/>
          <w:b/>
          <w:sz w:val="24"/>
          <w:szCs w:val="24"/>
          <w:lang w:val="en-US"/>
        </w:rPr>
        <w:t xml:space="preserve">Abdominal </w:t>
      </w:r>
      <w:r w:rsidR="00061CD6" w:rsidRPr="00061CD6">
        <w:rPr>
          <w:rFonts w:ascii="Book Antiqua" w:hAnsi="Book Antiqua" w:cs="Times New Roman"/>
          <w:b/>
          <w:sz w:val="24"/>
          <w:szCs w:val="24"/>
          <w:lang w:val="en-US"/>
        </w:rPr>
        <w:t xml:space="preserve">computerized tomography </w:t>
      </w:r>
      <w:r w:rsidRPr="00061CD6">
        <w:rPr>
          <w:rFonts w:ascii="Book Antiqua" w:hAnsi="Book Antiqua" w:cs="Times New Roman"/>
          <w:b/>
          <w:sz w:val="24"/>
          <w:szCs w:val="24"/>
          <w:lang w:val="en-US"/>
        </w:rPr>
        <w:t>shows massive gastric dilatation and hepatic portal venous gas at presentation</w:t>
      </w:r>
      <w:r w:rsidR="00061CD6" w:rsidRPr="00061CD6">
        <w:rPr>
          <w:rFonts w:ascii="Book Antiqua" w:hAnsi="Book Antiqua" w:cs="Times New Roman" w:hint="eastAsia"/>
          <w:b/>
          <w:sz w:val="24"/>
          <w:szCs w:val="24"/>
          <w:lang w:val="en-US" w:eastAsia="zh-CN"/>
        </w:rPr>
        <w:t>.</w:t>
      </w:r>
      <w:r w:rsidR="00061CD6" w:rsidRPr="00061CD6">
        <w:rPr>
          <w:rFonts w:ascii="Book Antiqua" w:hAnsi="Book Antiqua" w:cs="Times New Roman"/>
          <w:b/>
          <w:sz w:val="24"/>
          <w:szCs w:val="24"/>
          <w:lang w:val="en-US"/>
        </w:rPr>
        <w:t xml:space="preserve"> </w:t>
      </w:r>
      <w:r w:rsidR="00061CD6">
        <w:rPr>
          <w:rFonts w:ascii="Book Antiqua" w:hAnsi="Book Antiqua" w:cs="Times New Roman"/>
          <w:sz w:val="24"/>
          <w:szCs w:val="24"/>
          <w:lang w:val="en-US"/>
        </w:rPr>
        <w:t>A</w:t>
      </w:r>
      <w:r w:rsidR="00061CD6">
        <w:rPr>
          <w:rFonts w:ascii="Book Antiqua" w:hAnsi="Book Antiqua" w:cs="Times New Roman" w:hint="eastAsia"/>
          <w:sz w:val="24"/>
          <w:szCs w:val="24"/>
          <w:lang w:val="en-US" w:eastAsia="zh-CN"/>
        </w:rPr>
        <w:t>:</w:t>
      </w:r>
      <w:r w:rsidR="001549D3" w:rsidRPr="00D93C39">
        <w:rPr>
          <w:rFonts w:ascii="Book Antiqua" w:hAnsi="Book Antiqua" w:cs="Times New Roman"/>
          <w:sz w:val="24"/>
          <w:szCs w:val="24"/>
          <w:lang w:val="en-US"/>
        </w:rPr>
        <w:t xml:space="preserve"> Coronal section</w:t>
      </w:r>
      <w:r w:rsidR="00061CD6">
        <w:rPr>
          <w:rFonts w:ascii="Book Antiqua" w:hAnsi="Book Antiqua" w:cs="Times New Roman" w:hint="eastAsia"/>
          <w:sz w:val="24"/>
          <w:szCs w:val="24"/>
          <w:lang w:val="en-US" w:eastAsia="zh-CN"/>
        </w:rPr>
        <w:t>;</w:t>
      </w:r>
      <w:r w:rsidR="001549D3" w:rsidRPr="00D93C39">
        <w:rPr>
          <w:rFonts w:ascii="Book Antiqua" w:hAnsi="Book Antiqua" w:cs="Times New Roman"/>
          <w:sz w:val="24"/>
          <w:szCs w:val="24"/>
          <w:lang w:val="en-US"/>
        </w:rPr>
        <w:t xml:space="preserve"> B</w:t>
      </w:r>
      <w:r w:rsidR="00061CD6">
        <w:rPr>
          <w:rFonts w:ascii="Book Antiqua" w:hAnsi="Book Antiqua" w:cs="Times New Roman" w:hint="eastAsia"/>
          <w:sz w:val="24"/>
          <w:szCs w:val="24"/>
          <w:lang w:val="en-US" w:eastAsia="zh-CN"/>
        </w:rPr>
        <w:t>:</w:t>
      </w:r>
      <w:r w:rsidRPr="00D93C39">
        <w:rPr>
          <w:rFonts w:ascii="Book Antiqua" w:hAnsi="Book Antiqua" w:cs="Times New Roman"/>
          <w:sz w:val="24"/>
          <w:szCs w:val="24"/>
          <w:lang w:val="en-US"/>
        </w:rPr>
        <w:t xml:space="preserve"> </w:t>
      </w:r>
      <w:r w:rsidR="00061CD6">
        <w:rPr>
          <w:rFonts w:ascii="Book Antiqua" w:hAnsi="Book Antiqua" w:cs="Times New Roman"/>
          <w:sz w:val="24"/>
          <w:szCs w:val="24"/>
          <w:lang w:val="en-US"/>
        </w:rPr>
        <w:t>Transverse section</w:t>
      </w:r>
      <w:r w:rsidR="00061CD6">
        <w:rPr>
          <w:rFonts w:ascii="Book Antiqua" w:hAnsi="Book Antiqua" w:cs="Times New Roman" w:hint="eastAsia"/>
          <w:sz w:val="24"/>
          <w:szCs w:val="24"/>
          <w:lang w:val="en-US" w:eastAsia="zh-CN"/>
        </w:rPr>
        <w:t>.</w:t>
      </w:r>
    </w:p>
    <w:p w:rsidR="005821DF" w:rsidRDefault="005821DF" w:rsidP="00087AC8">
      <w:pPr>
        <w:adjustRightInd w:val="0"/>
        <w:snapToGrid w:val="0"/>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rsidR="00061CD6" w:rsidRDefault="00061CD6" w:rsidP="00087AC8">
      <w:pPr>
        <w:adjustRightInd w:val="0"/>
        <w:snapToGrid w:val="0"/>
        <w:spacing w:after="0" w:line="360" w:lineRule="auto"/>
        <w:jc w:val="both"/>
        <w:rPr>
          <w:rFonts w:ascii="Book Antiqua" w:hAnsi="Book Antiqua" w:cs="Times New Roman"/>
          <w:sz w:val="24"/>
          <w:szCs w:val="24"/>
          <w:lang w:val="en-US" w:eastAsia="zh-CN"/>
        </w:rPr>
      </w:pPr>
    </w:p>
    <w:p w:rsidR="00790A51" w:rsidRPr="00D93C39" w:rsidRDefault="005821DF" w:rsidP="00087AC8">
      <w:pPr>
        <w:adjustRightInd w:val="0"/>
        <w:snapToGrid w:val="0"/>
        <w:spacing w:after="0" w:line="360" w:lineRule="auto"/>
        <w:jc w:val="both"/>
        <w:rPr>
          <w:rFonts w:ascii="Book Antiqua" w:hAnsi="Book Antiqua" w:cs="Times New Roman"/>
          <w:sz w:val="24"/>
          <w:szCs w:val="24"/>
          <w:lang w:val="en-US" w:eastAsia="zh-CN"/>
        </w:rPr>
      </w:pPr>
      <w:r>
        <w:rPr>
          <w:rFonts w:ascii="Book Antiqua" w:hAnsi="Book Antiqua" w:cs="Times New Roman"/>
          <w:noProof/>
          <w:sz w:val="24"/>
          <w:szCs w:val="24"/>
          <w:lang w:val="en-US" w:eastAsia="zh-CN"/>
        </w:rPr>
        <w:drawing>
          <wp:inline distT="0" distB="0" distL="0" distR="0" wp14:anchorId="12F65EE9" wp14:editId="10A3D92E">
            <wp:extent cx="5760720" cy="4353446"/>
            <wp:effectExtent l="0" t="0" r="0" b="9525"/>
            <wp:docPr id="3" name="图片 3" descr="C:\Users\Administrator\Desktop\16896\16896-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6896\16896-Figures\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53446"/>
                    </a:xfrm>
                    <a:prstGeom prst="rect">
                      <a:avLst/>
                    </a:prstGeom>
                    <a:noFill/>
                    <a:ln>
                      <a:noFill/>
                    </a:ln>
                  </pic:spPr>
                </pic:pic>
              </a:graphicData>
            </a:graphic>
          </wp:inline>
        </w:drawing>
      </w:r>
    </w:p>
    <w:p w:rsidR="00947FE0" w:rsidRPr="00D93C39" w:rsidRDefault="00947FE0" w:rsidP="00087AC8">
      <w:pPr>
        <w:adjustRightInd w:val="0"/>
        <w:snapToGrid w:val="0"/>
        <w:spacing w:after="0" w:line="360" w:lineRule="auto"/>
        <w:jc w:val="both"/>
        <w:rPr>
          <w:rFonts w:ascii="Book Antiqua" w:hAnsi="Book Antiqua" w:cs="Times New Roman"/>
          <w:sz w:val="24"/>
          <w:szCs w:val="24"/>
          <w:lang w:val="en-US" w:eastAsia="zh-CN"/>
        </w:rPr>
      </w:pPr>
      <w:r w:rsidRPr="00D93C39">
        <w:rPr>
          <w:rFonts w:ascii="Book Antiqua" w:hAnsi="Book Antiqua" w:cs="Times New Roman"/>
          <w:b/>
          <w:sz w:val="24"/>
          <w:szCs w:val="24"/>
          <w:lang w:val="en-US"/>
        </w:rPr>
        <w:t>Figure 2</w:t>
      </w:r>
      <w:r w:rsidRPr="00D93C39">
        <w:rPr>
          <w:rFonts w:ascii="Book Antiqua" w:hAnsi="Book Antiqua" w:cs="Times New Roman"/>
          <w:sz w:val="24"/>
          <w:szCs w:val="24"/>
          <w:lang w:val="en-US"/>
        </w:rPr>
        <w:t xml:space="preserve"> </w:t>
      </w:r>
      <w:r w:rsidRPr="00061CD6">
        <w:rPr>
          <w:rFonts w:ascii="Book Antiqua" w:hAnsi="Book Antiqua" w:cs="Times New Roman"/>
          <w:b/>
          <w:sz w:val="24"/>
          <w:szCs w:val="24"/>
          <w:lang w:val="en-US"/>
        </w:rPr>
        <w:t xml:space="preserve">Patchy ischemia of gastric mucosa in emergency upper </w:t>
      </w:r>
      <w:r w:rsidR="00061CD6" w:rsidRPr="00061CD6">
        <w:rPr>
          <w:rFonts w:ascii="Book Antiqua" w:hAnsi="Book Antiqua" w:cs="Times New Roman"/>
          <w:b/>
          <w:sz w:val="24"/>
          <w:szCs w:val="24"/>
          <w:lang w:val="en-US"/>
        </w:rPr>
        <w:t xml:space="preserve">gastrointestinal </w:t>
      </w:r>
      <w:r w:rsidRPr="00061CD6">
        <w:rPr>
          <w:rFonts w:ascii="Book Antiqua" w:hAnsi="Book Antiqua" w:cs="Times New Roman"/>
          <w:b/>
          <w:sz w:val="24"/>
          <w:szCs w:val="24"/>
          <w:lang w:val="en-US"/>
        </w:rPr>
        <w:t>endoscopy</w:t>
      </w:r>
      <w:r w:rsidR="00072308" w:rsidRPr="00061CD6">
        <w:rPr>
          <w:rFonts w:ascii="Book Antiqua" w:hAnsi="Book Antiqua" w:cs="Times New Roman"/>
          <w:b/>
          <w:sz w:val="24"/>
          <w:szCs w:val="24"/>
          <w:lang w:val="en-US"/>
        </w:rPr>
        <w:t xml:space="preserve"> at presentation</w:t>
      </w:r>
      <w:r w:rsidRPr="00061CD6">
        <w:rPr>
          <w:rFonts w:ascii="Book Antiqua" w:hAnsi="Book Antiqua" w:cs="Times New Roman"/>
          <w:b/>
          <w:sz w:val="24"/>
          <w:szCs w:val="24"/>
          <w:lang w:val="en-US"/>
        </w:rPr>
        <w:t>.</w:t>
      </w:r>
      <w:r w:rsidR="00061CD6">
        <w:rPr>
          <w:rFonts w:ascii="Book Antiqua" w:hAnsi="Book Antiqua" w:cs="Times New Roman"/>
          <w:sz w:val="24"/>
          <w:szCs w:val="24"/>
          <w:lang w:val="en-US"/>
        </w:rPr>
        <w:t xml:space="preserve"> A</w:t>
      </w:r>
      <w:r w:rsidR="00061CD6">
        <w:rPr>
          <w:rFonts w:ascii="Book Antiqua" w:hAnsi="Book Antiqua" w:cs="Times New Roman" w:hint="eastAsia"/>
          <w:sz w:val="24"/>
          <w:szCs w:val="24"/>
          <w:lang w:val="en-US" w:eastAsia="zh-CN"/>
        </w:rPr>
        <w:t>:</w:t>
      </w:r>
      <w:r w:rsidR="00CE43B5" w:rsidRPr="00D93C39">
        <w:rPr>
          <w:rFonts w:ascii="Book Antiqua" w:hAnsi="Book Antiqua" w:cs="Times New Roman"/>
          <w:sz w:val="24"/>
          <w:szCs w:val="24"/>
          <w:lang w:val="en-US"/>
        </w:rPr>
        <w:t xml:space="preserve"> Entry to stomach</w:t>
      </w:r>
      <w:r w:rsidR="00061CD6">
        <w:rPr>
          <w:rFonts w:ascii="Book Antiqua" w:hAnsi="Book Antiqua" w:cs="Times New Roman" w:hint="eastAsia"/>
          <w:sz w:val="24"/>
          <w:szCs w:val="24"/>
          <w:lang w:val="en-US" w:eastAsia="zh-CN"/>
        </w:rPr>
        <w:t>;</w:t>
      </w:r>
      <w:r w:rsidR="00CE43B5" w:rsidRPr="00D93C39">
        <w:rPr>
          <w:rFonts w:ascii="Book Antiqua" w:hAnsi="Book Antiqua" w:cs="Times New Roman"/>
          <w:sz w:val="24"/>
          <w:szCs w:val="24"/>
          <w:lang w:val="en-US"/>
        </w:rPr>
        <w:t xml:space="preserve"> B</w:t>
      </w:r>
      <w:r w:rsidR="00061CD6">
        <w:rPr>
          <w:rFonts w:ascii="Book Antiqua" w:hAnsi="Book Antiqua" w:cs="Times New Roman" w:hint="eastAsia"/>
          <w:sz w:val="24"/>
          <w:szCs w:val="24"/>
          <w:lang w:val="en-US" w:eastAsia="zh-CN"/>
        </w:rPr>
        <w:t>:</w:t>
      </w:r>
      <w:r w:rsidR="00CE43B5" w:rsidRPr="00D93C39">
        <w:rPr>
          <w:rFonts w:ascii="Book Antiqua" w:hAnsi="Book Antiqua" w:cs="Times New Roman"/>
          <w:sz w:val="24"/>
          <w:szCs w:val="24"/>
          <w:lang w:val="en-US"/>
        </w:rPr>
        <w:t xml:space="preserve"> Pylorus</w:t>
      </w:r>
      <w:r w:rsidR="00061CD6">
        <w:rPr>
          <w:rFonts w:ascii="Book Antiqua" w:hAnsi="Book Antiqua" w:cs="Times New Roman" w:hint="eastAsia"/>
          <w:sz w:val="24"/>
          <w:szCs w:val="24"/>
          <w:lang w:val="en-US" w:eastAsia="zh-CN"/>
        </w:rPr>
        <w:t>;</w:t>
      </w:r>
      <w:r w:rsidR="00CE43B5" w:rsidRPr="00D93C39">
        <w:rPr>
          <w:rFonts w:ascii="Book Antiqua" w:hAnsi="Book Antiqua" w:cs="Times New Roman"/>
          <w:sz w:val="24"/>
          <w:szCs w:val="24"/>
          <w:lang w:val="en-US"/>
        </w:rPr>
        <w:t xml:space="preserve"> C</w:t>
      </w:r>
      <w:r w:rsidR="00061CD6">
        <w:rPr>
          <w:rFonts w:ascii="Book Antiqua" w:hAnsi="Book Antiqua" w:cs="Times New Roman" w:hint="eastAsia"/>
          <w:sz w:val="24"/>
          <w:szCs w:val="24"/>
          <w:lang w:val="en-US" w:eastAsia="zh-CN"/>
        </w:rPr>
        <w:t>:</w:t>
      </w:r>
      <w:r w:rsidR="00CE43B5" w:rsidRPr="00D93C39">
        <w:rPr>
          <w:rFonts w:ascii="Book Antiqua" w:hAnsi="Book Antiqua" w:cs="Times New Roman"/>
          <w:sz w:val="24"/>
          <w:szCs w:val="24"/>
          <w:lang w:val="en-US"/>
        </w:rPr>
        <w:t xml:space="preserve"> Corpus, view of retroflexion</w:t>
      </w:r>
      <w:r w:rsidR="00061CD6">
        <w:rPr>
          <w:rFonts w:ascii="Book Antiqua" w:hAnsi="Book Antiqua" w:cs="Times New Roman" w:hint="eastAsia"/>
          <w:sz w:val="24"/>
          <w:szCs w:val="24"/>
          <w:lang w:val="en-US" w:eastAsia="zh-CN"/>
        </w:rPr>
        <w:t>;</w:t>
      </w:r>
      <w:r w:rsidR="00CE43B5" w:rsidRPr="00D93C39">
        <w:rPr>
          <w:rFonts w:ascii="Book Antiqua" w:hAnsi="Book Antiqua" w:cs="Times New Roman"/>
          <w:sz w:val="24"/>
          <w:szCs w:val="24"/>
          <w:lang w:val="en-US"/>
        </w:rPr>
        <w:t xml:space="preserve"> </w:t>
      </w:r>
      <w:r w:rsidR="0099787D" w:rsidRPr="00D93C39">
        <w:rPr>
          <w:rFonts w:ascii="Book Antiqua" w:hAnsi="Book Antiqua" w:cs="Times New Roman"/>
          <w:sz w:val="24"/>
          <w:szCs w:val="24"/>
          <w:lang w:val="en-US"/>
        </w:rPr>
        <w:t>D</w:t>
      </w:r>
      <w:r w:rsidR="00061CD6">
        <w:rPr>
          <w:rFonts w:ascii="Book Antiqua" w:hAnsi="Book Antiqua" w:cs="Times New Roman" w:hint="eastAsia"/>
          <w:sz w:val="24"/>
          <w:szCs w:val="24"/>
          <w:lang w:val="en-US" w:eastAsia="zh-CN"/>
        </w:rPr>
        <w:t>:</w:t>
      </w:r>
      <w:r w:rsidR="00061CD6">
        <w:rPr>
          <w:rFonts w:ascii="Book Antiqua" w:hAnsi="Book Antiqua" w:cs="Times New Roman"/>
          <w:sz w:val="24"/>
          <w:szCs w:val="24"/>
          <w:lang w:val="en-US"/>
        </w:rPr>
        <w:t xml:space="preserve"> Cardia, view of retroflexion.</w:t>
      </w:r>
    </w:p>
    <w:p w:rsidR="00061CD6" w:rsidRDefault="00061CD6" w:rsidP="00087AC8">
      <w:pPr>
        <w:adjustRightInd w:val="0"/>
        <w:snapToGrid w:val="0"/>
        <w:spacing w:after="0" w:line="360" w:lineRule="auto"/>
        <w:jc w:val="both"/>
        <w:rPr>
          <w:rFonts w:ascii="Book Antiqua" w:hAnsi="Book Antiqua" w:cs="Times New Roman"/>
          <w:b/>
          <w:sz w:val="24"/>
          <w:szCs w:val="24"/>
          <w:lang w:val="en-US" w:eastAsia="zh-CN"/>
        </w:rPr>
      </w:pPr>
    </w:p>
    <w:p w:rsidR="005821DF" w:rsidRDefault="005821DF" w:rsidP="00087AC8">
      <w:pPr>
        <w:adjustRightInd w:val="0"/>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eastAsia="zh-CN"/>
        </w:rPr>
        <w:br w:type="page"/>
      </w:r>
    </w:p>
    <w:p w:rsidR="00061CD6" w:rsidRDefault="005821DF" w:rsidP="00087AC8">
      <w:pPr>
        <w:adjustRightInd w:val="0"/>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noProof/>
          <w:sz w:val="24"/>
          <w:szCs w:val="24"/>
          <w:lang w:val="en-US" w:eastAsia="zh-CN"/>
        </w:rPr>
        <w:lastRenderedPageBreak/>
        <w:drawing>
          <wp:inline distT="0" distB="0" distL="0" distR="0" wp14:anchorId="78CF6697" wp14:editId="479FA77D">
            <wp:extent cx="5760720" cy="5151202"/>
            <wp:effectExtent l="0" t="0" r="0" b="0"/>
            <wp:docPr id="4" name="图片 4" descr="C:\Users\Administrator\Desktop\16896\16896-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6896\16896-Figures\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151202"/>
                    </a:xfrm>
                    <a:prstGeom prst="rect">
                      <a:avLst/>
                    </a:prstGeom>
                    <a:noFill/>
                    <a:ln>
                      <a:noFill/>
                    </a:ln>
                  </pic:spPr>
                </pic:pic>
              </a:graphicData>
            </a:graphic>
          </wp:inline>
        </w:drawing>
      </w:r>
    </w:p>
    <w:p w:rsidR="00947FE0" w:rsidRPr="00D93C39" w:rsidRDefault="00072308" w:rsidP="00087AC8">
      <w:pPr>
        <w:adjustRightInd w:val="0"/>
        <w:snapToGrid w:val="0"/>
        <w:spacing w:after="0" w:line="360" w:lineRule="auto"/>
        <w:jc w:val="both"/>
        <w:rPr>
          <w:rFonts w:ascii="Book Antiqua" w:hAnsi="Book Antiqua" w:cs="Times New Roman"/>
          <w:sz w:val="24"/>
          <w:szCs w:val="24"/>
          <w:lang w:val="en-US"/>
        </w:rPr>
      </w:pPr>
      <w:r w:rsidRPr="00D93C39">
        <w:rPr>
          <w:rFonts w:ascii="Book Antiqua" w:hAnsi="Book Antiqua" w:cs="Times New Roman"/>
          <w:b/>
          <w:sz w:val="24"/>
          <w:szCs w:val="24"/>
          <w:lang w:val="en-US"/>
        </w:rPr>
        <w:t>Figure 3</w:t>
      </w:r>
      <w:r w:rsidRPr="00D93C39">
        <w:rPr>
          <w:rFonts w:ascii="Book Antiqua" w:hAnsi="Book Antiqua" w:cs="Times New Roman"/>
          <w:sz w:val="24"/>
          <w:szCs w:val="24"/>
          <w:lang w:val="en-US"/>
        </w:rPr>
        <w:t xml:space="preserve"> </w:t>
      </w:r>
      <w:r w:rsidRPr="00061CD6">
        <w:rPr>
          <w:rFonts w:ascii="Book Antiqua" w:hAnsi="Book Antiqua" w:cs="Times New Roman"/>
          <w:b/>
          <w:sz w:val="24"/>
          <w:szCs w:val="24"/>
          <w:lang w:val="en-US"/>
        </w:rPr>
        <w:t xml:space="preserve">Transverse section of abdominal </w:t>
      </w:r>
      <w:r w:rsidR="00061CD6" w:rsidRPr="00061CD6">
        <w:rPr>
          <w:rFonts w:ascii="Book Antiqua" w:hAnsi="Book Antiqua" w:cs="Times New Roman"/>
          <w:b/>
          <w:sz w:val="24"/>
          <w:szCs w:val="24"/>
          <w:lang w:val="en-US"/>
        </w:rPr>
        <w:t xml:space="preserve">computerized tomography </w:t>
      </w:r>
      <w:r w:rsidRPr="00061CD6">
        <w:rPr>
          <w:rFonts w:ascii="Book Antiqua" w:hAnsi="Book Antiqua" w:cs="Times New Roman"/>
          <w:b/>
          <w:sz w:val="24"/>
          <w:szCs w:val="24"/>
          <w:lang w:val="en-US"/>
        </w:rPr>
        <w:t xml:space="preserve">after 24 h. </w:t>
      </w:r>
      <w:r w:rsidRPr="00D93C39">
        <w:rPr>
          <w:rFonts w:ascii="Book Antiqua" w:hAnsi="Book Antiqua" w:cs="Times New Roman"/>
          <w:sz w:val="24"/>
          <w:szCs w:val="24"/>
          <w:lang w:val="en-US"/>
        </w:rPr>
        <w:t>Hepatic portal venous gas and gastric dilatation regressed dramatically.</w:t>
      </w:r>
    </w:p>
    <w:sectPr w:rsidR="00947FE0" w:rsidRPr="00D93C39" w:rsidSect="001C3E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C4D" w:rsidRDefault="00366C4D" w:rsidP="00D93C39">
      <w:pPr>
        <w:spacing w:after="0" w:line="240" w:lineRule="auto"/>
      </w:pPr>
      <w:r>
        <w:separator/>
      </w:r>
    </w:p>
  </w:endnote>
  <w:endnote w:type="continuationSeparator" w:id="0">
    <w:p w:rsidR="00366C4D" w:rsidRDefault="00366C4D" w:rsidP="00D93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宋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C4D" w:rsidRDefault="00366C4D" w:rsidP="00D93C39">
      <w:pPr>
        <w:spacing w:after="0" w:line="240" w:lineRule="auto"/>
      </w:pPr>
      <w:r>
        <w:separator/>
      </w:r>
    </w:p>
  </w:footnote>
  <w:footnote w:type="continuationSeparator" w:id="0">
    <w:p w:rsidR="00366C4D" w:rsidRDefault="00366C4D" w:rsidP="00D93C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F34AA4"/>
    <w:multiLevelType w:val="hybridMultilevel"/>
    <w:tmpl w:val="7C621E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3D7"/>
    <w:rsid w:val="00061CD6"/>
    <w:rsid w:val="00072308"/>
    <w:rsid w:val="00087AC8"/>
    <w:rsid w:val="00100C10"/>
    <w:rsid w:val="0012011D"/>
    <w:rsid w:val="001366D6"/>
    <w:rsid w:val="001549D3"/>
    <w:rsid w:val="00177D6E"/>
    <w:rsid w:val="001A740E"/>
    <w:rsid w:val="001B3757"/>
    <w:rsid w:val="00201476"/>
    <w:rsid w:val="00237948"/>
    <w:rsid w:val="002469ED"/>
    <w:rsid w:val="0026152D"/>
    <w:rsid w:val="002C3EA4"/>
    <w:rsid w:val="002E70DF"/>
    <w:rsid w:val="003165A1"/>
    <w:rsid w:val="00366C4D"/>
    <w:rsid w:val="00394491"/>
    <w:rsid w:val="003C117B"/>
    <w:rsid w:val="00474C7A"/>
    <w:rsid w:val="004A6F55"/>
    <w:rsid w:val="004E682B"/>
    <w:rsid w:val="00504228"/>
    <w:rsid w:val="00545507"/>
    <w:rsid w:val="0055172F"/>
    <w:rsid w:val="00551812"/>
    <w:rsid w:val="00552279"/>
    <w:rsid w:val="005821DF"/>
    <w:rsid w:val="005A62CD"/>
    <w:rsid w:val="005F2DFB"/>
    <w:rsid w:val="006432E2"/>
    <w:rsid w:val="0069231E"/>
    <w:rsid w:val="006E3265"/>
    <w:rsid w:val="00751829"/>
    <w:rsid w:val="00774BA7"/>
    <w:rsid w:val="00775620"/>
    <w:rsid w:val="00790A51"/>
    <w:rsid w:val="007910FA"/>
    <w:rsid w:val="007D05F0"/>
    <w:rsid w:val="007D28C5"/>
    <w:rsid w:val="008A3C40"/>
    <w:rsid w:val="00904F3E"/>
    <w:rsid w:val="009340F4"/>
    <w:rsid w:val="00947FE0"/>
    <w:rsid w:val="00951744"/>
    <w:rsid w:val="00976E26"/>
    <w:rsid w:val="00981BBD"/>
    <w:rsid w:val="0099787D"/>
    <w:rsid w:val="009D221C"/>
    <w:rsid w:val="009E07EC"/>
    <w:rsid w:val="009E43BD"/>
    <w:rsid w:val="00A12376"/>
    <w:rsid w:val="00A1537A"/>
    <w:rsid w:val="00A15B28"/>
    <w:rsid w:val="00AD4AB4"/>
    <w:rsid w:val="00B24407"/>
    <w:rsid w:val="00B27EFB"/>
    <w:rsid w:val="00B50B7A"/>
    <w:rsid w:val="00B83A33"/>
    <w:rsid w:val="00BD2E1D"/>
    <w:rsid w:val="00BF233E"/>
    <w:rsid w:val="00BF7428"/>
    <w:rsid w:val="00C5342F"/>
    <w:rsid w:val="00C76158"/>
    <w:rsid w:val="00C77A78"/>
    <w:rsid w:val="00CD006F"/>
    <w:rsid w:val="00CE43B5"/>
    <w:rsid w:val="00CE7887"/>
    <w:rsid w:val="00D05FEF"/>
    <w:rsid w:val="00D1651B"/>
    <w:rsid w:val="00D535A2"/>
    <w:rsid w:val="00D9060D"/>
    <w:rsid w:val="00D93C39"/>
    <w:rsid w:val="00DA027C"/>
    <w:rsid w:val="00DA4811"/>
    <w:rsid w:val="00DB2D50"/>
    <w:rsid w:val="00E11E56"/>
    <w:rsid w:val="00E123D7"/>
    <w:rsid w:val="00E34FC5"/>
    <w:rsid w:val="00EE43A4"/>
    <w:rsid w:val="00F1223A"/>
    <w:rsid w:val="00F378D7"/>
    <w:rsid w:val="00F57B5D"/>
    <w:rsid w:val="00F67C8E"/>
    <w:rsid w:val="00FB3684"/>
    <w:rsid w:val="00FE7C9A"/>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F80FF5-3CFE-4231-9B86-1EF1CFFA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37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228"/>
    <w:pPr>
      <w:ind w:left="720"/>
      <w:contextualSpacing/>
    </w:pPr>
  </w:style>
  <w:style w:type="character" w:styleId="PlaceholderText">
    <w:name w:val="Placeholder Text"/>
    <w:basedOn w:val="DefaultParagraphFont"/>
    <w:uiPriority w:val="99"/>
    <w:semiHidden/>
    <w:rsid w:val="00F1223A"/>
    <w:rPr>
      <w:color w:val="808080"/>
    </w:rPr>
  </w:style>
  <w:style w:type="paragraph" w:styleId="Header">
    <w:name w:val="header"/>
    <w:basedOn w:val="Normal"/>
    <w:link w:val="HeaderChar"/>
    <w:uiPriority w:val="99"/>
    <w:unhideWhenUsed/>
    <w:rsid w:val="00D93C3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93C39"/>
    <w:rPr>
      <w:sz w:val="18"/>
      <w:szCs w:val="18"/>
    </w:rPr>
  </w:style>
  <w:style w:type="paragraph" w:styleId="Footer">
    <w:name w:val="footer"/>
    <w:basedOn w:val="Normal"/>
    <w:link w:val="FooterChar"/>
    <w:uiPriority w:val="99"/>
    <w:unhideWhenUsed/>
    <w:rsid w:val="00D93C3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93C39"/>
    <w:rPr>
      <w:sz w:val="18"/>
      <w:szCs w:val="18"/>
    </w:rPr>
  </w:style>
  <w:style w:type="paragraph" w:styleId="BalloonText">
    <w:name w:val="Balloon Text"/>
    <w:basedOn w:val="Normal"/>
    <w:link w:val="BalloonTextChar"/>
    <w:uiPriority w:val="99"/>
    <w:semiHidden/>
    <w:unhideWhenUsed/>
    <w:rsid w:val="00790A5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90A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00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F60EE-4574-48C5-B6F0-0A3A3C0D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2784</Words>
  <Characters>15873</Characters>
  <Application>Microsoft Office Word</Application>
  <DocSecurity>0</DocSecurity>
  <Lines>132</Lines>
  <Paragraphs>37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LS Ma</cp:lastModifiedBy>
  <cp:revision>2</cp:revision>
  <dcterms:created xsi:type="dcterms:W3CDTF">2015-08-25T01:45:00Z</dcterms:created>
  <dcterms:modified xsi:type="dcterms:W3CDTF">2015-08-25T01:45:00Z</dcterms:modified>
</cp:coreProperties>
</file>