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BC" w:rsidRPr="00CE2412" w:rsidRDefault="007D38BC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CE2412">
        <w:rPr>
          <w:rFonts w:ascii="Book Antiqua" w:hAnsi="Book Antiqua"/>
          <w:b/>
          <w:sz w:val="24"/>
          <w:szCs w:val="24"/>
          <w:lang w:val="en-US"/>
        </w:rPr>
        <w:t xml:space="preserve">Name of </w:t>
      </w:r>
      <w:r w:rsidR="009F7DEA" w:rsidRPr="00CE2412">
        <w:rPr>
          <w:rFonts w:ascii="Book Antiqua" w:hAnsi="Book Antiqua"/>
          <w:b/>
          <w:sz w:val="24"/>
          <w:szCs w:val="24"/>
          <w:lang w:val="en-US"/>
        </w:rPr>
        <w:t>J</w:t>
      </w:r>
      <w:r w:rsidRPr="00CE2412">
        <w:rPr>
          <w:rFonts w:ascii="Book Antiqua" w:hAnsi="Book Antiqua"/>
          <w:b/>
          <w:sz w:val="24"/>
          <w:szCs w:val="24"/>
          <w:lang w:val="en-US"/>
        </w:rPr>
        <w:t xml:space="preserve">ournal: </w:t>
      </w:r>
      <w:r w:rsidRPr="00CE2412">
        <w:rPr>
          <w:rFonts w:ascii="Book Antiqua" w:hAnsi="Book Antiqua"/>
          <w:b/>
          <w:i/>
          <w:iCs/>
          <w:sz w:val="24"/>
          <w:szCs w:val="24"/>
          <w:lang w:val="en-US"/>
        </w:rPr>
        <w:t>World Journal of Gastrointestinal Oncology</w:t>
      </w:r>
    </w:p>
    <w:p w:rsidR="007D38BC" w:rsidRPr="00CE2412" w:rsidRDefault="007D38BC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CE2412">
        <w:rPr>
          <w:rFonts w:ascii="Book Antiqua" w:hAnsi="Book Antiqua"/>
          <w:b/>
          <w:sz w:val="24"/>
          <w:szCs w:val="24"/>
          <w:lang w:val="en-US"/>
        </w:rPr>
        <w:t xml:space="preserve">ESPS Manuscript NO: </w:t>
      </w:r>
      <w:r w:rsidRPr="00CE2412">
        <w:rPr>
          <w:rFonts w:ascii="Book Antiqua" w:hAnsi="Book Antiqua"/>
          <w:b/>
          <w:sz w:val="24"/>
          <w:szCs w:val="24"/>
          <w:lang w:val="en-US" w:eastAsia="zh-CN"/>
        </w:rPr>
        <w:t>18541</w:t>
      </w:r>
    </w:p>
    <w:p w:rsidR="007F0F4F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CE2412">
        <w:rPr>
          <w:rFonts w:ascii="Book Antiqua" w:hAnsi="Book Antiqua"/>
          <w:b/>
          <w:sz w:val="24"/>
          <w:szCs w:val="24"/>
          <w:lang w:val="en-US"/>
        </w:rPr>
        <w:t xml:space="preserve">Manuscript Type: </w:t>
      </w:r>
      <w:r w:rsidR="007F0F4F" w:rsidRPr="00CE2412">
        <w:rPr>
          <w:rFonts w:ascii="Book Antiqua" w:hAnsi="Book Antiqua"/>
          <w:b/>
          <w:sz w:val="24"/>
          <w:szCs w:val="24"/>
          <w:lang w:val="en-US"/>
        </w:rPr>
        <w:t>TOPIC HIGHLIGHT</w:t>
      </w:r>
    </w:p>
    <w:p w:rsidR="007F0F4F" w:rsidRPr="00CE2412" w:rsidRDefault="007F0F4F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7D38BC" w:rsidRPr="00CE2412" w:rsidRDefault="007F0F4F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CE2412">
        <w:rPr>
          <w:rFonts w:ascii="Book Antiqua" w:hAnsi="Book Antiqua"/>
          <w:b/>
          <w:sz w:val="24"/>
          <w:szCs w:val="24"/>
          <w:lang w:val="en-US"/>
        </w:rPr>
        <w:t>2015 Advances in Colorectal Cancer</w:t>
      </w:r>
    </w:p>
    <w:p w:rsidR="003276AB" w:rsidRPr="00CE2412" w:rsidRDefault="003276AB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7D38BC" w:rsidRPr="00CE2412" w:rsidRDefault="00AF02EB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Clinical </w:t>
      </w:r>
      <w:r w:rsidR="005622C7"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efficacy and drug resistance of </w:t>
      </w:r>
      <w:r w:rsidR="005622C7" w:rsidRPr="00CE2412">
        <w:rPr>
          <w:rFonts w:ascii="Book Antiqua" w:hAnsi="Book Antiqua" w:cs="Times New Roman"/>
          <w:b/>
          <w:sz w:val="24"/>
          <w:szCs w:val="24"/>
          <w:lang w:val="en-US"/>
        </w:rPr>
        <w:t>an</w:t>
      </w:r>
      <w:r w:rsidR="007D38BC" w:rsidRPr="00CE2412">
        <w:rPr>
          <w:rFonts w:ascii="Book Antiqua" w:hAnsi="Book Antiqua" w:cs="Times New Roman"/>
          <w:b/>
          <w:sz w:val="24"/>
          <w:szCs w:val="24"/>
          <w:lang w:val="en-US"/>
        </w:rPr>
        <w:t>ti</w:t>
      </w:r>
      <w:r w:rsidR="005622C7" w:rsidRPr="00CE2412">
        <w:rPr>
          <w:rFonts w:ascii="Book Antiqua" w:hAnsi="Book Antiqua" w:cs="Times New Roman"/>
          <w:b/>
          <w:sz w:val="24"/>
          <w:szCs w:val="24"/>
          <w:lang w:val="en-US" w:eastAsia="zh-CN"/>
        </w:rPr>
        <w:t>-</w:t>
      </w:r>
      <w:r w:rsidR="005622C7"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>epidermal growth factor receptor</w:t>
      </w:r>
      <w:r w:rsidR="00081F37"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5622C7"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therapy in colorectal </w:t>
      </w:r>
      <w:r w:rsidR="005622C7"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>cancer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AD2631" w:rsidRPr="00CE2412" w:rsidRDefault="00AD263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E2412">
        <w:rPr>
          <w:rFonts w:ascii="Book Antiqua" w:hAnsi="Book Antiqua" w:cs="Times New Roman"/>
          <w:sz w:val="24"/>
          <w:szCs w:val="24"/>
          <w:lang w:val="en-US"/>
        </w:rPr>
        <w:t>Kocoglu</w:t>
      </w:r>
      <w:proofErr w:type="spellEnd"/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H </w:t>
      </w:r>
      <w:r w:rsidRPr="00CE2412">
        <w:rPr>
          <w:rFonts w:ascii="Book Antiqua" w:hAnsi="Book Antiqua" w:cs="Times New Roman"/>
          <w:i/>
          <w:sz w:val="24"/>
          <w:szCs w:val="24"/>
          <w:lang w:val="en-US" w:eastAsia="zh-CN"/>
        </w:rPr>
        <w:t xml:space="preserve">et al.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Clinical efficacy and drug resistance of 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>anti</w:t>
      </w:r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EGFR therapy in </w:t>
      </w:r>
      <w:r w:rsidRPr="00CE2412">
        <w:rPr>
          <w:rFonts w:ascii="Book Antiqua" w:eastAsia="TimesNewRoman" w:hAnsi="Book Antiqua"/>
          <w:sz w:val="24"/>
          <w:szCs w:val="24"/>
          <w:lang w:val="en-US"/>
        </w:rPr>
        <w:t>CRC</w:t>
      </w:r>
    </w:p>
    <w:p w:rsidR="00AD2631" w:rsidRPr="00CE2412" w:rsidRDefault="00AD263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 w:eastAsia="zh-CN"/>
        </w:rPr>
      </w:pPr>
    </w:p>
    <w:p w:rsidR="00A67971" w:rsidRPr="00CE2412" w:rsidRDefault="00A6797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b/>
          <w:sz w:val="24"/>
          <w:szCs w:val="24"/>
          <w:lang w:val="en-US" w:eastAsia="zh-CN"/>
        </w:rPr>
      </w:pP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Hakan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Kocoglu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Fatih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 Mehmet </w:t>
      </w: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Velibeyoglu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, Mustafa </w:t>
      </w: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Karaca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, </w:t>
      </w:r>
      <w:proofErr w:type="spellStart"/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>Deniz</w:t>
      </w:r>
      <w:proofErr w:type="spellEnd"/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>Tural</w:t>
      </w:r>
      <w:proofErr w:type="spellEnd"/>
    </w:p>
    <w:p w:rsidR="00A67971" w:rsidRPr="00CE2412" w:rsidRDefault="00A6797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7D38BC" w:rsidRPr="00CE2412" w:rsidRDefault="00AD263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Hakan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Kocoglu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Fatih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 Mehmet </w:t>
      </w: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Velibeyoglu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, </w:t>
      </w:r>
      <w:proofErr w:type="spellStart"/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>Deniz</w:t>
      </w:r>
      <w:proofErr w:type="spellEnd"/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>Tural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, </w:t>
      </w:r>
      <w:r w:rsidR="007D38BC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 xml:space="preserve">Department of Medical Oncology, </w:t>
      </w:r>
      <w:proofErr w:type="spellStart"/>
      <w:r w:rsidR="007D38BC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Bakirk</w:t>
      </w:r>
      <w:r w:rsidR="00AF02EB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o</w:t>
      </w:r>
      <w:r w:rsidR="007D38BC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y</w:t>
      </w:r>
      <w:proofErr w:type="spellEnd"/>
      <w:r w:rsidR="007D38BC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 xml:space="preserve"> Education and Research Hospital, 3490</w:t>
      </w:r>
      <w:r w:rsidR="00AF02EB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0</w:t>
      </w:r>
      <w:r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 xml:space="preserve"> </w:t>
      </w:r>
      <w:r w:rsidR="007D38BC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Istanbul, Turkey</w:t>
      </w:r>
    </w:p>
    <w:p w:rsidR="00AD2631" w:rsidRPr="00CE2412" w:rsidRDefault="00AD263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315E24" w:rsidRPr="00CE2412" w:rsidRDefault="00AD263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 xml:space="preserve">Mustafa </w:t>
      </w:r>
      <w:proofErr w:type="spellStart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Karaca</w:t>
      </w:r>
      <w:proofErr w:type="spellEnd"/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CE2412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="00315E24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 xml:space="preserve">Department of Medical Oncology, </w:t>
      </w:r>
      <w:proofErr w:type="spellStart"/>
      <w:r w:rsidR="00315E24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Gazi</w:t>
      </w:r>
      <w:proofErr w:type="spellEnd"/>
      <w:r w:rsidR="00315E24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 xml:space="preserve"> University </w:t>
      </w:r>
      <w:r w:rsidR="001A6E12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Faculty of Medicine</w:t>
      </w:r>
      <w:r w:rsidR="00315E24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 xml:space="preserve">, </w:t>
      </w:r>
      <w:r w:rsidRPr="00CE2412">
        <w:rPr>
          <w:rFonts w:ascii="Book Antiqua" w:hAnsi="Book Antiqua"/>
          <w:sz w:val="24"/>
          <w:szCs w:val="24"/>
          <w:lang w:val="en-US" w:eastAsia="zh-CN"/>
        </w:rPr>
        <w:t xml:space="preserve">06500 </w:t>
      </w:r>
      <w:r w:rsidR="00315E24"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Ankara, Turkey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AD2631" w:rsidRPr="00CE2412" w:rsidRDefault="00AD263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E2412">
        <w:rPr>
          <w:rFonts w:ascii="Book Antiqua" w:hAnsi="Book Antiqua"/>
          <w:b/>
          <w:sz w:val="24"/>
          <w:szCs w:val="24"/>
        </w:rPr>
        <w:t>Author contributions:</w:t>
      </w:r>
      <w:r w:rsidRPr="00CE241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CE2412">
        <w:rPr>
          <w:rFonts w:ascii="Book Antiqua" w:hAnsi="Book Antiqua"/>
          <w:sz w:val="24"/>
          <w:szCs w:val="24"/>
          <w:lang w:eastAsia="zh-CN"/>
        </w:rPr>
        <w:t>All authors contributed to this manuscript.</w:t>
      </w:r>
    </w:p>
    <w:p w:rsidR="00AD2631" w:rsidRPr="00CE2412" w:rsidRDefault="00AD263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CE2412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CE2412">
        <w:rPr>
          <w:rFonts w:ascii="Book Antiqua" w:hAnsi="Book Antiqua"/>
          <w:sz w:val="24"/>
          <w:szCs w:val="24"/>
        </w:rPr>
        <w:t xml:space="preserve"> </w:t>
      </w:r>
      <w:r w:rsidRPr="00CE2412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CE2412">
        <w:rPr>
          <w:rFonts w:ascii="Book Antiqua" w:hAnsi="Book Antiqua" w:cs="Times New Roman"/>
          <w:bCs/>
          <w:iCs/>
          <w:sz w:val="24"/>
          <w:szCs w:val="24"/>
          <w:lang w:val="en-US"/>
        </w:rPr>
        <w:t>All authors declared no conflict of interest.</w:t>
      </w: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E2412">
        <w:rPr>
          <w:rFonts w:ascii="Book Antiqua" w:hAnsi="Book Antiqua"/>
          <w:b/>
          <w:sz w:val="24"/>
          <w:szCs w:val="24"/>
        </w:rPr>
        <w:t xml:space="preserve">Open-Access: </w:t>
      </w:r>
      <w:r w:rsidRPr="00CE2412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CE2412">
          <w:rPr>
            <w:rStyle w:val="Hyperlink"/>
            <w:rFonts w:ascii="Book Antiqua" w:hAnsi="Book Antiqua"/>
            <w:color w:val="auto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AD2631" w:rsidRPr="00CE2412" w:rsidRDefault="00AD2631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CE2412">
        <w:rPr>
          <w:rFonts w:ascii="Book Antiqua" w:hAnsi="Book Antiqua"/>
          <w:b/>
          <w:sz w:val="24"/>
          <w:szCs w:val="24"/>
        </w:rPr>
        <w:lastRenderedPageBreak/>
        <w:t>Correspondence to:</w:t>
      </w:r>
      <w:r w:rsidRPr="00CE241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7D38BC" w:rsidRPr="00CE2412">
        <w:rPr>
          <w:rFonts w:ascii="Book Antiqua" w:hAnsi="Book Antiqua"/>
          <w:b/>
          <w:sz w:val="24"/>
          <w:szCs w:val="24"/>
          <w:lang w:val="en-US"/>
        </w:rPr>
        <w:t>Deniz</w:t>
      </w:r>
      <w:proofErr w:type="spellEnd"/>
      <w:r w:rsidR="007D38BC" w:rsidRPr="00CE2412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7D38BC" w:rsidRPr="00CE2412">
        <w:rPr>
          <w:rFonts w:ascii="Book Antiqua" w:hAnsi="Book Antiqua"/>
          <w:b/>
          <w:sz w:val="24"/>
          <w:szCs w:val="24"/>
          <w:lang w:val="en-US"/>
        </w:rPr>
        <w:t>Tural</w:t>
      </w:r>
      <w:proofErr w:type="spellEnd"/>
      <w:r w:rsidR="00A676D9" w:rsidRPr="00CE2412">
        <w:rPr>
          <w:rFonts w:ascii="Book Antiqua" w:hAnsi="Book Antiqua"/>
          <w:b/>
          <w:sz w:val="24"/>
          <w:szCs w:val="24"/>
          <w:lang w:val="en-US"/>
        </w:rPr>
        <w:t>, MD</w:t>
      </w:r>
      <w:r w:rsidRPr="00CE2412">
        <w:rPr>
          <w:rFonts w:ascii="Book Antiqua" w:hAnsi="Book Antiqua"/>
          <w:b/>
          <w:sz w:val="24"/>
          <w:szCs w:val="24"/>
          <w:lang w:val="en-US" w:eastAsia="zh-CN"/>
        </w:rPr>
        <w:t xml:space="preserve">, </w:t>
      </w:r>
      <w:r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 xml:space="preserve">Department of Medical Oncology, </w:t>
      </w:r>
      <w:proofErr w:type="spellStart"/>
      <w:r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Bakirkoy</w:t>
      </w:r>
      <w:proofErr w:type="spellEnd"/>
      <w:r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 xml:space="preserve"> Education and Research Hospital, </w:t>
      </w:r>
      <w:proofErr w:type="spellStart"/>
      <w:r w:rsidRPr="00CE2412">
        <w:rPr>
          <w:rFonts w:ascii="Book Antiqua" w:hAnsi="Book Antiqua" w:cs="Times New Roman"/>
          <w:sz w:val="24"/>
          <w:szCs w:val="24"/>
          <w:lang w:val="en-US"/>
        </w:rPr>
        <w:t>Zuhuratbaba</w:t>
      </w:r>
      <w:proofErr w:type="spellEnd"/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 District, </w:t>
      </w:r>
      <w:proofErr w:type="spellStart"/>
      <w:r w:rsidRPr="00CE2412">
        <w:rPr>
          <w:rFonts w:ascii="Book Antiqua" w:hAnsi="Book Antiqua" w:cs="Times New Roman"/>
          <w:sz w:val="24"/>
          <w:szCs w:val="24"/>
          <w:lang w:val="en-US"/>
        </w:rPr>
        <w:t>Tevfik</w:t>
      </w:r>
      <w:proofErr w:type="spellEnd"/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E2412">
        <w:rPr>
          <w:rFonts w:ascii="Book Antiqua" w:hAnsi="Book Antiqua" w:cs="Times New Roman"/>
          <w:sz w:val="24"/>
          <w:szCs w:val="24"/>
          <w:lang w:val="en-US"/>
        </w:rPr>
        <w:t>Saglam</w:t>
      </w:r>
      <w:proofErr w:type="spellEnd"/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 Street</w:t>
      </w:r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>,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 No: 11,</w:t>
      </w:r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Pr="00CE2412">
        <w:rPr>
          <w:rFonts w:ascii="Book Antiqua" w:eastAsia="Shaker2Lancet-Regular" w:hAnsi="Book Antiqua"/>
          <w:sz w:val="24"/>
          <w:szCs w:val="24"/>
          <w:lang w:val="en-US" w:eastAsia="tr-TR"/>
        </w:rPr>
        <w:t>34900 Istanbul, Turkey</w:t>
      </w:r>
      <w:r w:rsidRPr="00CE2412">
        <w:rPr>
          <w:rFonts w:ascii="Book Antiqua" w:hAnsi="Book Antiqua"/>
          <w:sz w:val="24"/>
          <w:szCs w:val="24"/>
          <w:lang w:val="en-US" w:eastAsia="zh-CN"/>
        </w:rPr>
        <w:t>.</w:t>
      </w:r>
      <w:r w:rsidRPr="00CE2412">
        <w:rPr>
          <w:rFonts w:ascii="Book Antiqua" w:hAnsi="Book Antiqua"/>
          <w:sz w:val="24"/>
          <w:szCs w:val="24"/>
          <w:lang w:val="en-US"/>
        </w:rPr>
        <w:t xml:space="preserve"> deniztural@gmail.com</w:t>
      </w: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412">
        <w:rPr>
          <w:rFonts w:ascii="Book Antiqua" w:hAnsi="Book Antiqua"/>
          <w:b/>
          <w:sz w:val="24"/>
          <w:szCs w:val="24"/>
        </w:rPr>
        <w:t xml:space="preserve">Telephone: 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  <w:t>+90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 w:eastAsia="zh-CN"/>
        </w:rPr>
        <w:t>-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  <w:t>212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 w:eastAsia="zh-CN"/>
        </w:rPr>
        <w:t>-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  <w:t>4147171</w:t>
      </w:r>
    </w:p>
    <w:p w:rsidR="007D38BC" w:rsidRPr="00CE2412" w:rsidRDefault="00AD2631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E2412">
        <w:rPr>
          <w:rFonts w:ascii="Book Antiqua" w:hAnsi="Book Antiqua"/>
          <w:b/>
          <w:sz w:val="24"/>
          <w:szCs w:val="24"/>
        </w:rPr>
        <w:t>Fax: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  <w:t xml:space="preserve"> +90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 w:eastAsia="zh-CN"/>
        </w:rPr>
        <w:t>-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  <w:t>212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 w:eastAsia="zh-CN"/>
        </w:rPr>
        <w:t>-</w:t>
      </w:r>
      <w:r w:rsidRPr="00CE2412">
        <w:rPr>
          <w:rStyle w:val="Strong"/>
          <w:rFonts w:ascii="Book Antiqua" w:hAnsi="Book Antiqua" w:cs="Arial"/>
          <w:b w:val="0"/>
          <w:sz w:val="24"/>
          <w:szCs w:val="24"/>
          <w:lang w:val="en-US"/>
        </w:rPr>
        <w:t>4147172</w:t>
      </w:r>
    </w:p>
    <w:p w:rsidR="007D38BC" w:rsidRPr="00CE2412" w:rsidRDefault="007D38BC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412">
        <w:rPr>
          <w:rFonts w:ascii="Book Antiqua" w:hAnsi="Book Antiqua"/>
          <w:b/>
          <w:sz w:val="24"/>
          <w:szCs w:val="24"/>
        </w:rPr>
        <w:t xml:space="preserve">Received: </w:t>
      </w:r>
      <w:r w:rsidRPr="00CE2412">
        <w:rPr>
          <w:rFonts w:ascii="Book Antiqua" w:hAnsi="Book Antiqua"/>
          <w:sz w:val="24"/>
          <w:szCs w:val="24"/>
          <w:lang w:eastAsia="zh-CN"/>
        </w:rPr>
        <w:t>April 23, 2015</w:t>
      </w:r>
      <w:r w:rsidRPr="00CE2412">
        <w:rPr>
          <w:rFonts w:ascii="Book Antiqua" w:hAnsi="Book Antiqua"/>
          <w:sz w:val="24"/>
          <w:szCs w:val="24"/>
        </w:rPr>
        <w:t xml:space="preserve">  </w:t>
      </w: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412">
        <w:rPr>
          <w:rFonts w:ascii="Book Antiqua" w:hAnsi="Book Antiqua"/>
          <w:b/>
          <w:sz w:val="24"/>
          <w:szCs w:val="24"/>
        </w:rPr>
        <w:t>Peer-review started:</w:t>
      </w:r>
      <w:r w:rsidRPr="00CE2412">
        <w:rPr>
          <w:rFonts w:ascii="Book Antiqua" w:hAnsi="Book Antiqua"/>
          <w:sz w:val="24"/>
          <w:szCs w:val="24"/>
          <w:lang w:eastAsia="zh-CN"/>
        </w:rPr>
        <w:t xml:space="preserve"> April 24, 2015</w:t>
      </w:r>
      <w:r w:rsidRPr="00CE2412">
        <w:rPr>
          <w:rFonts w:ascii="Book Antiqua" w:hAnsi="Book Antiqua"/>
          <w:sz w:val="24"/>
          <w:szCs w:val="24"/>
        </w:rPr>
        <w:t xml:space="preserve">  </w:t>
      </w: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E2412">
        <w:rPr>
          <w:rFonts w:ascii="Book Antiqua" w:hAnsi="Book Antiqua"/>
          <w:b/>
          <w:sz w:val="24"/>
          <w:szCs w:val="24"/>
        </w:rPr>
        <w:t>First decision:</w:t>
      </w:r>
      <w:r w:rsidRPr="00CE2412">
        <w:rPr>
          <w:rFonts w:ascii="Book Antiqua" w:hAnsi="Book Antiqua"/>
          <w:sz w:val="24"/>
          <w:szCs w:val="24"/>
          <w:lang w:eastAsia="zh-CN"/>
        </w:rPr>
        <w:t xml:space="preserve"> September 2, 2015</w:t>
      </w: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412">
        <w:rPr>
          <w:rFonts w:ascii="Book Antiqua" w:hAnsi="Book Antiqua"/>
          <w:b/>
          <w:sz w:val="24"/>
          <w:szCs w:val="24"/>
        </w:rPr>
        <w:t xml:space="preserve">Revised: </w:t>
      </w:r>
      <w:r w:rsidRPr="00CE2412">
        <w:rPr>
          <w:rFonts w:ascii="Book Antiqua" w:hAnsi="Book Antiqua"/>
          <w:sz w:val="24"/>
          <w:szCs w:val="24"/>
          <w:lang w:eastAsia="zh-CN"/>
        </w:rPr>
        <w:t>November 12, 2015</w:t>
      </w:r>
      <w:r w:rsidRPr="00CE2412">
        <w:rPr>
          <w:rFonts w:ascii="Book Antiqua" w:hAnsi="Book Antiqua"/>
          <w:b/>
          <w:sz w:val="24"/>
          <w:szCs w:val="24"/>
        </w:rPr>
        <w:t xml:space="preserve"> </w:t>
      </w:r>
    </w:p>
    <w:p w:rsidR="00AD2631" w:rsidRPr="00F82CE0" w:rsidRDefault="00F82CE0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>
        <w:rPr>
          <w:rFonts w:ascii="Book Antiqua" w:hAnsi="Book Antiqua"/>
          <w:b/>
          <w:sz w:val="24"/>
          <w:szCs w:val="24"/>
        </w:rPr>
        <w:t>Accepted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Pr="00F82CE0">
        <w:rPr>
          <w:rFonts w:ascii="Book Antiqua" w:hAnsi="Book Antiqua"/>
          <w:sz w:val="24"/>
          <w:szCs w:val="24"/>
        </w:rPr>
        <w:t>December</w:t>
      </w:r>
      <w:proofErr w:type="spellEnd"/>
      <w:r w:rsidRPr="00F82CE0">
        <w:rPr>
          <w:rFonts w:ascii="Book Antiqua" w:hAnsi="Book Antiqua"/>
          <w:sz w:val="24"/>
          <w:szCs w:val="24"/>
        </w:rPr>
        <w:t xml:space="preserve"> 7, 2015</w:t>
      </w: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CE2412">
        <w:rPr>
          <w:rFonts w:ascii="Book Antiqua" w:hAnsi="Book Antiqua"/>
          <w:b/>
          <w:sz w:val="24"/>
          <w:szCs w:val="24"/>
        </w:rPr>
        <w:t>Article</w:t>
      </w:r>
      <w:proofErr w:type="spellEnd"/>
      <w:r w:rsidRPr="00CE2412">
        <w:rPr>
          <w:rFonts w:ascii="Book Antiqua" w:hAnsi="Book Antiqua"/>
          <w:b/>
          <w:sz w:val="24"/>
          <w:szCs w:val="24"/>
        </w:rPr>
        <w:t xml:space="preserve"> in press:</w:t>
      </w:r>
      <w:r w:rsidRPr="00CE2412">
        <w:rPr>
          <w:rFonts w:ascii="Book Antiqua" w:hAnsi="Book Antiqua"/>
          <w:sz w:val="24"/>
          <w:szCs w:val="24"/>
        </w:rPr>
        <w:t xml:space="preserve">    </w:t>
      </w:r>
    </w:p>
    <w:p w:rsidR="00AD2631" w:rsidRPr="00CE2412" w:rsidRDefault="00AD2631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412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C906B2" w:rsidRPr="00CE2412" w:rsidRDefault="00C906B2" w:rsidP="00505C2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AD2631" w:rsidRPr="00CE2412" w:rsidRDefault="00AD2631" w:rsidP="00505C25">
      <w:pPr>
        <w:spacing w:after="0" w:line="360" w:lineRule="auto"/>
        <w:jc w:val="both"/>
        <w:rPr>
          <w:rFonts w:ascii="Book Antiqua" w:eastAsia="TimesNewRoman" w:hAnsi="Book Antiqua"/>
          <w:b/>
          <w:sz w:val="24"/>
          <w:szCs w:val="24"/>
          <w:lang w:val="en-US"/>
        </w:rPr>
      </w:pPr>
      <w:r w:rsidRPr="00CE2412">
        <w:rPr>
          <w:rFonts w:ascii="Book Antiqua" w:eastAsia="TimesNewRoman" w:hAnsi="Book Antiqua"/>
          <w:b/>
          <w:sz w:val="24"/>
          <w:szCs w:val="24"/>
          <w:lang w:val="en-US"/>
        </w:rPr>
        <w:br w:type="page"/>
      </w:r>
    </w:p>
    <w:p w:rsidR="007D38BC" w:rsidRPr="00CE2412" w:rsidRDefault="007E14C3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/>
          <w:b/>
          <w:sz w:val="24"/>
          <w:szCs w:val="24"/>
          <w:lang w:val="en-US"/>
        </w:rPr>
      </w:pPr>
      <w:r w:rsidRPr="00CE2412">
        <w:rPr>
          <w:rFonts w:ascii="Book Antiqua" w:eastAsia="TimesNewRoman" w:hAnsi="Book Antiqua"/>
          <w:b/>
          <w:sz w:val="24"/>
          <w:szCs w:val="24"/>
          <w:lang w:val="en-US"/>
        </w:rPr>
        <w:lastRenderedPageBreak/>
        <w:t>A</w:t>
      </w:r>
      <w:r w:rsidR="00AD2631" w:rsidRPr="00CE2412">
        <w:rPr>
          <w:rFonts w:ascii="Book Antiqua" w:eastAsia="TimesNewRoman" w:hAnsi="Book Antiqua"/>
          <w:b/>
          <w:sz w:val="24"/>
          <w:szCs w:val="24"/>
          <w:lang w:val="en-US"/>
        </w:rPr>
        <w:t>bstract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/>
          <w:sz w:val="24"/>
          <w:szCs w:val="24"/>
          <w:lang w:val="en-US"/>
        </w:rPr>
        <w:t xml:space="preserve">Colorectal cancer (CRC) </w:t>
      </w:r>
      <w:r w:rsidR="00872DF8" w:rsidRPr="00CE2412">
        <w:rPr>
          <w:rFonts w:ascii="Book Antiqua" w:eastAsia="TimesNewRoman" w:hAnsi="Book Antiqua"/>
          <w:sz w:val="24"/>
          <w:szCs w:val="24"/>
          <w:lang w:val="en-US"/>
        </w:rPr>
        <w:t>ranked third</w:t>
      </w:r>
      <w:r w:rsidR="00872DF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cancer related death </w:t>
      </w:r>
      <w:r w:rsidR="00081F37" w:rsidRPr="00CE2412">
        <w:rPr>
          <w:rFonts w:ascii="Book Antiqua" w:eastAsia="TimesNewRoman" w:hAnsi="Book Antiqua"/>
          <w:sz w:val="24"/>
          <w:szCs w:val="24"/>
          <w:lang w:val="en-US"/>
        </w:rPr>
        <w:t xml:space="preserve">and </w:t>
      </w:r>
      <w:r w:rsidR="00872DF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its incidence has been increasing worldwide.</w:t>
      </w:r>
      <w:r w:rsidR="00872DF8" w:rsidRPr="00CE2412">
        <w:rPr>
          <w:rFonts w:ascii="Book Antiqua" w:eastAsia="TimesNewRoman" w:hAnsi="Book Antiqua"/>
          <w:sz w:val="24"/>
          <w:szCs w:val="24"/>
          <w:lang w:val="en-US"/>
        </w:rPr>
        <w:t xml:space="preserve"> In</w:t>
      </w:r>
      <w:r w:rsidR="00081F37" w:rsidRPr="00CE2412">
        <w:rPr>
          <w:rFonts w:ascii="Book Antiqua" w:eastAsia="TimesNewRoman" w:hAnsi="Book Antiqua"/>
          <w:sz w:val="24"/>
          <w:szCs w:val="24"/>
          <w:lang w:val="en-US"/>
        </w:rPr>
        <w:t xml:space="preserve"> recent </w:t>
      </w:r>
      <w:r w:rsidR="00D317A0" w:rsidRPr="00CE2412">
        <w:rPr>
          <w:rFonts w:ascii="Book Antiqua" w:eastAsia="TimesNewRoman" w:hAnsi="Book Antiqua"/>
          <w:sz w:val="24"/>
          <w:szCs w:val="24"/>
          <w:lang w:val="en-US"/>
        </w:rPr>
        <w:t>decades important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D317A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therapeutic </w:t>
      </w:r>
      <w:r w:rsidR="00870A4F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advances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have been </w:t>
      </w:r>
      <w:r w:rsidR="00870A4F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developed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treatment of metastatic CRC</w:t>
      </w:r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</w:t>
      </w:r>
      <w:proofErr w:type="spellStart"/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)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, </w:t>
      </w:r>
      <w:r w:rsidR="00870A4F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such as </w:t>
      </w:r>
      <w:r w:rsidR="005C0AF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monoclonal antibodies against </w:t>
      </w:r>
      <w:r w:rsidR="00AA1E3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epidermal growth factor receptor (</w:t>
      </w:r>
      <w:r w:rsidR="002272F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anti-</w:t>
      </w:r>
      <w:r w:rsidR="00AA1E3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EGFR)</w:t>
      </w:r>
      <w:r w:rsidR="00870A4F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 which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provide</w:t>
      </w:r>
      <w:r w:rsidR="00870A4F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d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additional clinical benefits in </w:t>
      </w:r>
      <w:proofErr w:type="spellStart"/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1036F9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B5209F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However, anti-EGFR therapies have limited usage </w:t>
      </w:r>
      <w:r w:rsidR="00867FFB" w:rsidRPr="00CE2412">
        <w:rPr>
          <w:rFonts w:ascii="Book Antiqua" w:hAnsi="Book Antiqua" w:cs="Times New Roman"/>
          <w:sz w:val="24"/>
          <w:szCs w:val="24"/>
          <w:lang w:val="en-US" w:eastAsia="zh-CN"/>
        </w:rPr>
        <w:t>due to</w:t>
      </w:r>
      <w:r w:rsidR="00B5209F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867FFB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approximately </w:t>
      </w:r>
      <w:r w:rsidR="00B5209F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95% of </w:t>
      </w:r>
      <w:r w:rsidR="001E43E9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patients with KRAS mutated </w:t>
      </w:r>
      <w:proofErr w:type="spellStart"/>
      <w:r w:rsidR="00B5209F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B5209F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872DF8" w:rsidRPr="00CE2412">
        <w:rPr>
          <w:rFonts w:ascii="Book Antiqua" w:hAnsi="Book Antiqua" w:cs="Times New Roman"/>
          <w:sz w:val="24"/>
          <w:szCs w:val="24"/>
          <w:lang w:val="en-US" w:eastAsia="zh-CN"/>
        </w:rPr>
        <w:t>do not</w:t>
      </w:r>
      <w:r w:rsidR="00A5601A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response to </w:t>
      </w:r>
      <w:r w:rsidR="00A5601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anti-EGFR </w:t>
      </w:r>
      <w:r w:rsidR="00CB179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A5601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867FF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7579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Thus, KRAS mutation is predictive of nonresponse to anti-EGFR therapies b</w:t>
      </w:r>
      <w:r w:rsidR="00867FF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ut</w:t>
      </w:r>
      <w:r w:rsidR="00E7579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it alone is</w:t>
      </w:r>
      <w:r w:rsidR="00867FF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not </w:t>
      </w:r>
      <w:r w:rsidR="00E7579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 sufficient </w:t>
      </w:r>
      <w:r w:rsidR="007B3D2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basis </w:t>
      </w:r>
      <w:r w:rsidR="002272F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to</w:t>
      </w:r>
      <w:r w:rsidR="007B3D2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decid</w:t>
      </w:r>
      <w:r w:rsidR="002272F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e </w:t>
      </w:r>
      <w:r w:rsidR="007B3D2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who should 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not </w:t>
      </w:r>
      <w:r w:rsidR="007B3D2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be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received such therapies</w:t>
      </w:r>
      <w:r w:rsidR="007B3D2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because;</w:t>
      </w:r>
      <w:r w:rsidR="00E7579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1E43E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approximately fifty percent (40</w:t>
      </w:r>
      <w:r w:rsidR="00ED6A34" w:rsidRPr="00CE2412">
        <w:rPr>
          <w:rFonts w:ascii="Book Antiqua" w:hAnsi="Book Antiqua" w:cs="Times New Roman"/>
          <w:sz w:val="24"/>
          <w:szCs w:val="24"/>
          <w:lang w:val="en-US" w:eastAsia="zh-CN"/>
        </w:rPr>
        <w:t>%</w:t>
      </w:r>
      <w:r w:rsidR="001E43E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-60%) of CRC patients </w:t>
      </w:r>
      <w:r w:rsidR="00FE6E7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with wild-type KRAS mutation 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also </w:t>
      </w:r>
      <w:r w:rsidR="00FE6E7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have poor response to anti-EGFR based treatment</w:t>
      </w:r>
      <w:r w:rsidR="007B3D2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This 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fact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lead</w:t>
      </w:r>
      <w:r w:rsidR="00A6624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us to suspect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that there </w:t>
      </w:r>
      <w:r w:rsidR="00A6624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must be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other molecular determinants of response</w:t>
      </w:r>
      <w:r w:rsidR="00A6624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to anti-EGFR therapies which </w:t>
      </w:r>
      <w:r w:rsidR="000B5E0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have not been identified yet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Current article summarizes the clinical </w:t>
      </w:r>
      <w:r w:rsidR="001E0CF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efficacy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anti-EGFR </w:t>
      </w:r>
      <w:r w:rsidR="00A6624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therapies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and also evaluate</w:t>
      </w:r>
      <w:r w:rsidR="00A6624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1E0CF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its resistance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mechanism</w:t>
      </w:r>
      <w:r w:rsidR="00A6624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CE2412">
        <w:rPr>
          <w:rFonts w:ascii="Book Antiqua" w:hAnsi="Book Antiqua"/>
          <w:b/>
          <w:sz w:val="24"/>
          <w:szCs w:val="24"/>
          <w:lang w:val="en-US"/>
        </w:rPr>
        <w:t>Key words:</w:t>
      </w:r>
      <w:r w:rsidRPr="00CE2412">
        <w:rPr>
          <w:rFonts w:ascii="Book Antiqua" w:eastAsia="TimesNewRoman" w:hAnsi="Book Antiqua"/>
          <w:sz w:val="24"/>
          <w:szCs w:val="24"/>
          <w:lang w:val="en-US"/>
        </w:rPr>
        <w:t xml:space="preserve"> Colorectal cancer</w:t>
      </w:r>
      <w:r w:rsidR="00ED6A34" w:rsidRPr="00CE2412">
        <w:rPr>
          <w:rFonts w:ascii="Book Antiqua" w:hAnsi="Book Antiqua"/>
          <w:sz w:val="24"/>
          <w:szCs w:val="24"/>
          <w:lang w:val="en-US" w:eastAsia="zh-CN"/>
        </w:rPr>
        <w:t>;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D6A3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pidermal growth </w:t>
      </w:r>
      <w:r w:rsidR="00AA1E3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factor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receptor</w:t>
      </w:r>
      <w:r w:rsidR="00ED6A34" w:rsidRPr="00CE2412">
        <w:rPr>
          <w:rFonts w:ascii="Book Antiqua" w:hAnsi="Book Antiqua" w:cs="Times New Roman"/>
          <w:sz w:val="24"/>
          <w:szCs w:val="24"/>
          <w:lang w:val="en-US" w:eastAsia="zh-CN"/>
        </w:rPr>
        <w:t>;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KRAS </w:t>
      </w:r>
      <w:r w:rsidR="000568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mutation</w:t>
      </w:r>
      <w:r w:rsidR="00ED6A34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; </w:t>
      </w:r>
      <w:r w:rsidR="00ED6A3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D</w:t>
      </w:r>
      <w:r w:rsidR="000568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rug resistance</w:t>
      </w:r>
      <w:r w:rsidR="00ED6A34" w:rsidRPr="00CE2412">
        <w:rPr>
          <w:rFonts w:ascii="Book Antiqua" w:hAnsi="Book Antiqua" w:cs="Times New Roman"/>
          <w:sz w:val="24"/>
          <w:szCs w:val="24"/>
          <w:lang w:val="en-US" w:eastAsia="zh-CN"/>
        </w:rPr>
        <w:t>;</w:t>
      </w:r>
      <w:r w:rsidR="00A5601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D6A3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</w:t>
      </w:r>
      <w:r w:rsidR="00A5601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nti-epidermal </w:t>
      </w:r>
      <w:r w:rsidR="00ED6A3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growth factor receptor antibody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ED6A34" w:rsidRPr="00CE2412" w:rsidRDefault="00ED6A34" w:rsidP="00505C25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E2412">
        <w:rPr>
          <w:rFonts w:ascii="Book Antiqua" w:hAnsi="Book Antiqua"/>
          <w:b/>
          <w:sz w:val="24"/>
          <w:szCs w:val="24"/>
        </w:rPr>
        <w:t xml:space="preserve">© </w:t>
      </w:r>
      <w:r w:rsidRPr="00CE2412">
        <w:rPr>
          <w:rFonts w:ascii="Book Antiqua" w:hAnsi="Book Antiqua" w:cs="Arial"/>
          <w:b/>
          <w:sz w:val="24"/>
          <w:szCs w:val="24"/>
        </w:rPr>
        <w:t>The Author(s) 2015.</w:t>
      </w:r>
      <w:r w:rsidRPr="00CE2412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ED6A34" w:rsidRPr="00CE2412" w:rsidRDefault="00ED6A34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7D38BC" w:rsidRPr="00CE2412" w:rsidRDefault="007D38BC" w:rsidP="00505C25">
      <w:pPr>
        <w:spacing w:after="0" w:line="360" w:lineRule="auto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C</w:t>
      </w:r>
      <w:r w:rsidR="00ED6A34" w:rsidRPr="00CE2412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>ore tip</w:t>
      </w:r>
      <w:r w:rsidR="00ED6A34" w:rsidRPr="00CE2412">
        <w:rPr>
          <w:rFonts w:ascii="Book Antiqua" w:eastAsia="Arial Unicode MS" w:hAnsi="Book Antiqua" w:cs="Arial Unicode MS"/>
          <w:b/>
          <w:sz w:val="24"/>
          <w:szCs w:val="24"/>
          <w:lang w:val="en-US" w:eastAsia="zh-CN"/>
        </w:rPr>
        <w:t>:</w:t>
      </w:r>
      <w:r w:rsidRPr="00CE2412">
        <w:rPr>
          <w:rFonts w:ascii="Book Antiqua" w:eastAsia="Arial Unicode MS" w:hAnsi="Book Antiqua" w:cs="Arial Unicode MS"/>
          <w:b/>
          <w:sz w:val="24"/>
          <w:szCs w:val="24"/>
          <w:lang w:val="en-US"/>
        </w:rPr>
        <w:t xml:space="preserve"> </w:t>
      </w:r>
      <w:r w:rsidR="000568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Molecular targeting agents, such as </w:t>
      </w:r>
      <w:r w:rsidR="002272F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monoclonal antibodies against </w:t>
      </w:r>
      <w:r w:rsidR="000568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epidermal growth factor receptor (</w:t>
      </w:r>
      <w:r w:rsidR="002272F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anti-</w:t>
      </w:r>
      <w:r w:rsidR="000568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EGFR), provide additional clinical benefits in metastatic </w:t>
      </w:r>
      <w:r w:rsidR="0043709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colorectal cancer</w:t>
      </w:r>
      <w:r w:rsidR="000568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990C57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However, anti-EGFR therapies have limited usage due to approximately </w:t>
      </w:r>
      <w:r w:rsidR="001E43E9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95% of patients with KRAS mutated </w:t>
      </w:r>
      <w:r w:rsidR="00ED6A3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metastatic</w:t>
      </w:r>
      <w:r w:rsidR="00ED6A34" w:rsidRPr="00CE2412">
        <w:rPr>
          <w:rFonts w:ascii="Book Antiqua" w:eastAsia="TimesNewRoman" w:hAnsi="Book Antiqua"/>
          <w:sz w:val="24"/>
          <w:szCs w:val="24"/>
          <w:lang w:val="en-US"/>
        </w:rPr>
        <w:t xml:space="preserve"> colorectal cancer</w:t>
      </w:r>
      <w:r w:rsidR="00ED6A3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D6A34" w:rsidRPr="00CE2412">
        <w:rPr>
          <w:rFonts w:ascii="Book Antiqua" w:hAnsi="Book Antiqua" w:cs="Times New Roman"/>
          <w:sz w:val="24"/>
          <w:szCs w:val="24"/>
          <w:lang w:val="en-US" w:eastAsia="zh-CN"/>
        </w:rPr>
        <w:t>(</w:t>
      </w:r>
      <w:proofErr w:type="spellStart"/>
      <w:r w:rsidR="001E43E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ED6A34" w:rsidRPr="00CE2412">
        <w:rPr>
          <w:rFonts w:ascii="Book Antiqua" w:hAnsi="Book Antiqua" w:cs="Times New Roman"/>
          <w:sz w:val="24"/>
          <w:szCs w:val="24"/>
          <w:lang w:val="en-US" w:eastAsia="zh-CN"/>
        </w:rPr>
        <w:t>)</w:t>
      </w:r>
      <w:r w:rsidR="001E43E9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do not </w:t>
      </w:r>
      <w:r w:rsidR="00990C57"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response to </w:t>
      </w:r>
      <w:r w:rsidR="00990C5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anti-EGFR </w:t>
      </w:r>
      <w:r w:rsidR="001E43E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990C5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Thus, KRAS mutation is predictive of nonresponse to anti-EGFR therapies but it alone is not a sufficient basis to decide who should not be </w:t>
      </w:r>
      <w:r w:rsidR="002317F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received such therapies because</w:t>
      </w:r>
      <w:r w:rsidR="00990C5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1E43E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approximately fifty percent (40</w:t>
      </w:r>
      <w:r w:rsidR="00ED6A34" w:rsidRPr="00CE2412">
        <w:rPr>
          <w:rFonts w:ascii="Book Antiqua" w:hAnsi="Book Antiqua" w:cs="Times New Roman"/>
          <w:sz w:val="24"/>
          <w:szCs w:val="24"/>
          <w:lang w:val="en-US" w:eastAsia="zh-CN"/>
        </w:rPr>
        <w:t>%</w:t>
      </w:r>
      <w:r w:rsidR="001E43E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-60%) </w:t>
      </w:r>
      <w:r w:rsidR="00990C5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of CRC patients with wild-type KRAS mutation also have poor response to anti-EGFR based treatment. This fact leads us to suspect that there must be other molecular determinants of response to anti-EGFR therapies </w:t>
      </w:r>
      <w:r w:rsidR="002317F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which</w:t>
      </w:r>
      <w:r w:rsidR="00990C5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have not been </w:t>
      </w:r>
      <w:r w:rsidR="00990C5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lastRenderedPageBreak/>
        <w:t>identified yet. Current article summarizes the clinical efficacy of anti-EGFR therapies and also evaluates its resistance mechanisms.</w:t>
      </w:r>
    </w:p>
    <w:p w:rsidR="00ED6A34" w:rsidRPr="00CE2412" w:rsidRDefault="00ED6A34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 w:eastAsia="zh-CN"/>
        </w:rPr>
      </w:pPr>
    </w:p>
    <w:p w:rsidR="00ED6A34" w:rsidRPr="00CE2412" w:rsidRDefault="00ED6A34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proofErr w:type="spellStart"/>
      <w:r w:rsidRPr="00CE2412">
        <w:rPr>
          <w:rFonts w:ascii="Book Antiqua" w:hAnsi="Book Antiqua" w:cs="Times New Roman"/>
          <w:sz w:val="24"/>
          <w:szCs w:val="24"/>
          <w:lang w:val="en-US"/>
        </w:rPr>
        <w:t>Kocoglu</w:t>
      </w:r>
      <w:proofErr w:type="spellEnd"/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H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E2412">
        <w:rPr>
          <w:rFonts w:ascii="Book Antiqua" w:hAnsi="Book Antiqua" w:cs="Times New Roman"/>
          <w:sz w:val="24"/>
          <w:szCs w:val="24"/>
          <w:lang w:val="en-US"/>
        </w:rPr>
        <w:t>Velibeyoglu</w:t>
      </w:r>
      <w:proofErr w:type="spellEnd"/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FM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CE2412">
        <w:rPr>
          <w:rFonts w:ascii="Book Antiqua" w:hAnsi="Book Antiqua" w:cs="Times New Roman"/>
          <w:sz w:val="24"/>
          <w:szCs w:val="24"/>
          <w:lang w:val="en-US"/>
        </w:rPr>
        <w:t>Karaca</w:t>
      </w:r>
      <w:proofErr w:type="spellEnd"/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M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Tural</w:t>
      </w:r>
      <w:proofErr w:type="spellEnd"/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 D.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Clinical efficacy and drug resistance of 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>anti</w:t>
      </w:r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epidermal growth factor receptor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 therapy in colorectal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cancer</w:t>
      </w:r>
      <w:r w:rsidRPr="00CE2412">
        <w:rPr>
          <w:rFonts w:ascii="Book Antiqua" w:hAnsi="Book Antiqua" w:cs="Times New Roman"/>
          <w:sz w:val="24"/>
          <w:szCs w:val="24"/>
          <w:lang w:val="en-US" w:eastAsia="zh-CN"/>
        </w:rPr>
        <w:t xml:space="preserve">. </w:t>
      </w:r>
      <w:r w:rsidRPr="00CE2412">
        <w:rPr>
          <w:rFonts w:ascii="Book Antiqua" w:hAnsi="Book Antiqua"/>
          <w:i/>
          <w:iCs/>
          <w:sz w:val="24"/>
          <w:szCs w:val="24"/>
        </w:rPr>
        <w:t>World J Gastrointest Oncol</w:t>
      </w:r>
      <w:r w:rsidRPr="00CE2412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CE2412">
        <w:rPr>
          <w:rFonts w:ascii="Book Antiqua" w:hAnsi="Book Antiqua"/>
          <w:iCs/>
          <w:sz w:val="24"/>
          <w:szCs w:val="24"/>
          <w:lang w:eastAsia="zh-CN"/>
        </w:rPr>
        <w:t>2015; In press</w:t>
      </w:r>
    </w:p>
    <w:p w:rsidR="00990C57" w:rsidRPr="00CE2412" w:rsidRDefault="00990C57" w:rsidP="00505C2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ED6A34" w:rsidRPr="00CE2412" w:rsidRDefault="00ED6A34" w:rsidP="00505C25">
      <w:pPr>
        <w:spacing w:after="0" w:line="360" w:lineRule="auto"/>
        <w:jc w:val="both"/>
        <w:rPr>
          <w:rFonts w:ascii="Book Antiqua" w:eastAsia="TimesNewRoman" w:hAnsi="Book Antiqua"/>
          <w:b/>
          <w:sz w:val="24"/>
          <w:szCs w:val="24"/>
          <w:lang w:val="en-US"/>
        </w:rPr>
      </w:pPr>
      <w:r w:rsidRPr="00CE2412">
        <w:rPr>
          <w:rFonts w:ascii="Book Antiqua" w:eastAsia="TimesNewRoman" w:hAnsi="Book Antiqua"/>
          <w:b/>
          <w:sz w:val="24"/>
          <w:szCs w:val="24"/>
          <w:lang w:val="en-US"/>
        </w:rPr>
        <w:br w:type="page"/>
      </w:r>
    </w:p>
    <w:p w:rsidR="007D38BC" w:rsidRPr="00CE2412" w:rsidRDefault="004948BF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/>
          <w:b/>
          <w:sz w:val="24"/>
          <w:szCs w:val="24"/>
          <w:lang w:val="en-US"/>
        </w:rPr>
      </w:pPr>
      <w:r w:rsidRPr="00CE2412">
        <w:rPr>
          <w:rFonts w:ascii="Book Antiqua" w:eastAsia="TimesNewRoman" w:hAnsi="Book Antiqua"/>
          <w:b/>
          <w:sz w:val="24"/>
          <w:szCs w:val="24"/>
          <w:lang w:val="en-US"/>
        </w:rPr>
        <w:lastRenderedPageBreak/>
        <w:t>INTRODUCTION</w:t>
      </w:r>
    </w:p>
    <w:p w:rsidR="00AB0B42" w:rsidRPr="00CE2412" w:rsidRDefault="00906959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/>
          <w:sz w:val="24"/>
          <w:szCs w:val="24"/>
          <w:lang w:val="en-US"/>
        </w:rPr>
        <w:t xml:space="preserve">Colorectal cancer (CRC) is </w:t>
      </w:r>
      <w:r w:rsidR="0005613B" w:rsidRPr="00CE2412">
        <w:rPr>
          <w:rFonts w:ascii="Book Antiqua" w:eastAsia="TimesNewRoman" w:hAnsi="Book Antiqua"/>
          <w:sz w:val="24"/>
          <w:szCs w:val="24"/>
          <w:lang w:val="en-US"/>
        </w:rPr>
        <w:t xml:space="preserve">one of the </w:t>
      </w:r>
      <w:r w:rsidRPr="00CE2412">
        <w:rPr>
          <w:rFonts w:ascii="Book Antiqua" w:eastAsia="TimesNewRoman" w:hAnsi="Book Antiqua"/>
          <w:sz w:val="24"/>
          <w:szCs w:val="24"/>
          <w:lang w:val="en-US"/>
        </w:rPr>
        <w:t xml:space="preserve">most commonly diagnosed </w:t>
      </w:r>
      <w:r w:rsidR="00AA0201" w:rsidRPr="00CE2412">
        <w:rPr>
          <w:rFonts w:ascii="Book Antiqua" w:eastAsia="TimesNewRoman" w:hAnsi="Book Antiqua"/>
          <w:sz w:val="24"/>
          <w:szCs w:val="24"/>
          <w:lang w:val="en-US"/>
        </w:rPr>
        <w:t>cancers</w:t>
      </w:r>
      <w:r w:rsidRPr="00CE2412">
        <w:rPr>
          <w:rFonts w:ascii="Book Antiqua" w:eastAsia="TimesNewRoman" w:hAnsi="Book Antiqua"/>
          <w:sz w:val="24"/>
          <w:szCs w:val="24"/>
          <w:lang w:val="en-US"/>
        </w:rPr>
        <w:t xml:space="preserve"> in </w:t>
      </w:r>
      <w:r w:rsidR="0005613B" w:rsidRPr="00CE2412">
        <w:rPr>
          <w:rFonts w:ascii="Book Antiqua" w:eastAsia="TimesNewRoman" w:hAnsi="Book Antiqua"/>
          <w:sz w:val="24"/>
          <w:szCs w:val="24"/>
          <w:lang w:val="en-US"/>
        </w:rPr>
        <w:t>both genders (second in females and third in males)</w:t>
      </w:r>
      <w:r w:rsidR="00AA0201" w:rsidRPr="00CE2412">
        <w:rPr>
          <w:rFonts w:ascii="Book Antiqua" w:eastAsia="TimesNewRoman" w:hAnsi="Book Antiqua"/>
          <w:noProof/>
          <w:sz w:val="24"/>
          <w:szCs w:val="24"/>
          <w:vertAlign w:val="superscript"/>
          <w:lang w:val="en-US"/>
        </w:rPr>
        <w:t>[1]</w:t>
      </w:r>
      <w:r w:rsidRPr="00CE2412">
        <w:rPr>
          <w:rFonts w:ascii="Book Antiqua" w:eastAsia="TimesNewRoman" w:hAnsi="Book Antiqua"/>
          <w:sz w:val="24"/>
          <w:szCs w:val="24"/>
          <w:lang w:val="en-US"/>
        </w:rPr>
        <w:t xml:space="preserve">; and </w:t>
      </w:r>
      <w:r w:rsidR="00AB0B42" w:rsidRPr="00CE2412">
        <w:rPr>
          <w:rFonts w:ascii="Book Antiqua" w:eastAsia="TimesNewRoman" w:hAnsi="Book Antiqua"/>
          <w:sz w:val="24"/>
          <w:szCs w:val="24"/>
          <w:lang w:val="en-US"/>
        </w:rPr>
        <w:t>it</w:t>
      </w:r>
      <w:r w:rsidR="00AA0201" w:rsidRPr="00CE2412">
        <w:rPr>
          <w:rFonts w:ascii="Book Antiqua" w:eastAsia="TimesNewRoman" w:hAnsi="Book Antiqua"/>
          <w:sz w:val="24"/>
          <w:szCs w:val="24"/>
          <w:lang w:val="en-US"/>
        </w:rPr>
        <w:t xml:space="preserve"> is also ranked third</w:t>
      </w:r>
      <w:r w:rsidR="00AA020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cancer related death in both genders</w:t>
      </w:r>
      <w:r w:rsidR="00AA0201" w:rsidRPr="00CE2412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A020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with ap</w:t>
      </w:r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proximately 15.1 deaths per 100000</w:t>
      </w:r>
      <w:r w:rsidR="00505C25" w:rsidRPr="00CE2412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[</w:t>
      </w:r>
      <w:r w:rsidR="00505C25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2,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3]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FC2B1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While the mortality rate of CRC has been decreasing in Western </w:t>
      </w:r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</w:t>
      </w:r>
      <w:r w:rsidR="00FC2B1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ountries, its incidence has been increasing </w:t>
      </w:r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worldwide, except United </w:t>
      </w:r>
      <w:proofErr w:type="gramStart"/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States</w:t>
      </w:r>
      <w:r w:rsidR="00FC2B16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505C25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4</w:t>
      </w:r>
      <w:r w:rsidR="00FC2B16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FC2B1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08560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Despite of decreasing death rates, approximately fifty percent of patients with CRC </w:t>
      </w:r>
      <w:r w:rsidR="005D58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are diagnosed with metastatic</w:t>
      </w:r>
      <w:r w:rsidR="0008560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disease </w:t>
      </w:r>
      <w:r w:rsidR="005D58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their initial </w:t>
      </w:r>
      <w:proofErr w:type="gramStart"/>
      <w:r w:rsidR="005D58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assessments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5]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</w:p>
    <w:p w:rsidR="003F6C81" w:rsidRPr="00CE2412" w:rsidRDefault="00B03C70" w:rsidP="00505C2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Several chemotherapeutic agents </w:t>
      </w:r>
      <w:r w:rsidR="00505C25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[</w:t>
      </w:r>
      <w:r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e.g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505C25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hyperlink r:id="rId10" w:tooltip="Pyrimidine analog" w:history="1">
        <w:r w:rsidRPr="00CE2412">
          <w:rPr>
            <w:rFonts w:ascii="Book Antiqua" w:eastAsia="TimesNewRoman" w:hAnsi="Book Antiqua" w:cs="Times New Roman"/>
            <w:sz w:val="24"/>
            <w:szCs w:val="24"/>
            <w:lang w:val="en-US"/>
          </w:rPr>
          <w:t>pyrimidine analog</w:t>
        </w:r>
      </w:hyperlink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 (</w:t>
      </w:r>
      <w:r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e.g.</w:t>
      </w:r>
      <w:r w:rsidR="00505C25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5-fluorouracil), platinum-based antineoplastic agents, and topoisomerase inhibitors</w:t>
      </w:r>
      <w:r w:rsidR="00505C25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have become available in the past and thus survival rate of CRC patients significantly increased. </w:t>
      </w:r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Also, recently developed molecular targeting agents, such as monoclonal antibodies against </w:t>
      </w:r>
      <w:r w:rsidR="0041157F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epidermal growth factor receptor </w:t>
      </w:r>
      <w:r w:rsidR="0041157F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EGFR</w:t>
      </w:r>
      <w:r w:rsidR="0041157F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</w:t>
      </w:r>
      <w:r w:rsidR="003F6C81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e.g.</w:t>
      </w:r>
      <w:r w:rsidR="00505C25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cetuximab</w:t>
      </w:r>
      <w:proofErr w:type="spellEnd"/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panitumumab</w:t>
      </w:r>
      <w:proofErr w:type="spellEnd"/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)</w:t>
      </w:r>
      <w:r w:rsidR="00505C25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[6,</w:t>
      </w:r>
      <w:r w:rsidR="003F6C81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7]</w:t>
      </w:r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 provided addit</w:t>
      </w:r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ional clinical benefits in </w:t>
      </w:r>
      <w:r w:rsidR="003869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metastatic</w:t>
      </w:r>
      <w:r w:rsidR="003869DA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3869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CRC </w:t>
      </w:r>
      <w:r w:rsidR="003869DA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proofErr w:type="spellStart"/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3869DA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3F6C81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[8-10]</w:t>
      </w:r>
      <w:r w:rsidR="003F6C8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</w:p>
    <w:p w:rsidR="001930A6" w:rsidRPr="00CE2412" w:rsidRDefault="00C9364A" w:rsidP="00505C2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several types of cancer, including CRC, </w:t>
      </w:r>
      <w:r w:rsidR="001930A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EGFR is overexpressed or amplified. Monoclonal antibodies keep EGFR in an inactive state by binding to and occluding the ligand-binding site of EGFR when the ligand is unbound</w:t>
      </w:r>
      <w:r w:rsidR="00450B0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(acting as competitive antagonists)</w:t>
      </w:r>
      <w:r w:rsidR="001930A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 This leads an inhibition of </w:t>
      </w:r>
      <w:r w:rsidR="005F116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intracellular</w:t>
      </w:r>
      <w:r w:rsidR="001930A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signaling pathways</w:t>
      </w:r>
      <w:r w:rsidR="005F116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EGFR (RAS/RAF/MAPK and PI3K/PTEN/AKT) that </w:t>
      </w:r>
      <w:r w:rsidR="0001323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involved in several cellular activities including cell proliferation, m</w:t>
      </w:r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otility, invasion, and </w:t>
      </w:r>
      <w:proofErr w:type="gramStart"/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survival</w:t>
      </w:r>
      <w:r w:rsidR="001930A6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1930A6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11]</w:t>
      </w:r>
      <w:r w:rsidR="001930A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</w:p>
    <w:p w:rsidR="002317F8" w:rsidRPr="00CE2412" w:rsidRDefault="009846B0" w:rsidP="00505C25">
      <w:pPr>
        <w:spacing w:after="0" w:line="360" w:lineRule="auto"/>
        <w:ind w:firstLineChars="100" w:firstLine="240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KRAS, a signal transduction molecule, transduces the signal from ligand-bound EGFR to the nucleus.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Prospective randomized trials elucidated that </w:t>
      </w:r>
      <w:r w:rsidR="00303A7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presence of mutation in </w:t>
      </w:r>
      <w:r w:rsidR="00303A74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KRAS</w:t>
      </w:r>
      <w:r w:rsidR="00303A7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gene leads to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303A7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non-response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to </w:t>
      </w:r>
      <w:r w:rsidR="006B10E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</w:t>
      </w:r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nti-EGFR based </w:t>
      </w:r>
      <w:proofErr w:type="gramStart"/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505C25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505C25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6-10,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12-14]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214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Therefore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, </w:t>
      </w:r>
      <w:r w:rsidR="00D43E8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it is </w:t>
      </w:r>
      <w:r w:rsidR="00214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highly recommended</w:t>
      </w:r>
      <w:r w:rsidR="00D43E8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that </w:t>
      </w:r>
      <w:r w:rsidR="00214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KRAS mutation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64188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status </w:t>
      </w:r>
      <w:r w:rsidR="00D43E8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should be known </w:t>
      </w:r>
      <w:r w:rsidR="00214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before initiating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64188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anti-EGFR based treatment in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64188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patients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2317F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Thus, KRAS mutation is predictive of nonresponse to anti-EGFR therapies but it alone is not a sufficient basis to decide who should not be received such therapies because almost 60% of CRC patients with wild-type KRAS mutation also have poor respon</w:t>
      </w:r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se to anti-EGFR based </w:t>
      </w:r>
      <w:proofErr w:type="gramStart"/>
      <w:r w:rsidR="00505C2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2317F8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2317F8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15]</w:t>
      </w:r>
      <w:r w:rsidR="002317F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This fact leads us to suspect that there must be other molecular determinants of response to anti-EGFR therapies which have not been identified yet. </w:t>
      </w:r>
      <w:r w:rsidR="002317F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lastRenderedPageBreak/>
        <w:t>Current article summarizes the clinical efficacy of anti-EGFR therapies and also evaluates its resistance mechanisms.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b/>
          <w:sz w:val="24"/>
          <w:szCs w:val="24"/>
          <w:lang w:val="en-US"/>
        </w:rPr>
      </w:pPr>
    </w:p>
    <w:p w:rsidR="007D38BC" w:rsidRPr="00CE2412" w:rsidRDefault="00505C25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b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CLINICAL EFFICACY OF ANTI-EGFR ANTIBODY IN METASTATIC </w:t>
      </w:r>
      <w:r w:rsidRPr="00CE2412">
        <w:rPr>
          <w:rFonts w:ascii="Book Antiqua" w:eastAsia="TimesNewRoman" w:hAnsi="Book Antiqua"/>
          <w:b/>
          <w:sz w:val="24"/>
          <w:szCs w:val="24"/>
          <w:lang w:val="en-US"/>
        </w:rPr>
        <w:t>CRC</w:t>
      </w:r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  </w:t>
      </w:r>
    </w:p>
    <w:p w:rsidR="00E135CC" w:rsidRPr="00CE2412" w:rsidRDefault="001743D7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Both Cetuximab, an IgG1 type chimeric monoclonal antibody, and panitumumab, an IgG2 type fully human monoclonal antibody, induce apoptosis by inhibiting downstream signaling pathways of EGFR </w:t>
      </w:r>
      <w:r w:rsidR="00410E9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(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RAS/RAF/MAPK and PI3K/PTEN/AKT</w:t>
      </w:r>
      <w:r w:rsidR="00410E9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)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4E5AE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lso, </w:t>
      </w:r>
      <w:r w:rsidR="00E135C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these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molecule</w:t>
      </w:r>
      <w:r w:rsidR="00E135C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s, especially cetuximab,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activate antibody-dependent cellular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cytotoxicity</w:t>
      </w:r>
      <w:r w:rsidR="00E135C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9E094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which consequently improves their cytotoxic actions and therapeutic </w:t>
      </w:r>
      <w:proofErr w:type="gramStart"/>
      <w:r w:rsidR="009E094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effectiveness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16]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</w:p>
    <w:p w:rsidR="007D38BC" w:rsidRPr="00CE2412" w:rsidRDefault="00BB06ED" w:rsidP="00505C2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 recent published randomized</w:t>
      </w:r>
      <w:r w:rsidR="00EF59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non-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inferiority phase III study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showed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median overall survival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(OS)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was similar in </w:t>
      </w:r>
      <w:r w:rsidR="002279E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patients with </w:t>
      </w:r>
      <w:proofErr w:type="spellStart"/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2279E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who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treated with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panitumumab </w:t>
      </w:r>
      <w:r w:rsidR="002279E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alone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and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with </w:t>
      </w:r>
      <w:proofErr w:type="spellStart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cetuximab</w:t>
      </w:r>
      <w:proofErr w:type="spellEnd"/>
      <w:r w:rsidR="002279E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alone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[17]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The incidence</w:t>
      </w:r>
      <w:r w:rsidR="00A4456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</w:t>
      </w:r>
      <w:r w:rsidR="00A4456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any grade and grade 3-4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adverse events </w:t>
      </w:r>
      <w:r w:rsidR="00A4456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were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similar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 both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treatment groups</w:t>
      </w:r>
      <w:r w:rsidR="00463B1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 however,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the </w:t>
      </w:r>
      <w:r w:rsidR="00463B1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incidence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grade 3-4 infusion reaction was lower</w:t>
      </w:r>
      <w:r w:rsidR="00A4456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and grade 3-4 hypomagnesaemia was </w:t>
      </w:r>
      <w:r w:rsidR="00463B1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higher in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panitumumab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group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than </w:t>
      </w:r>
      <w:r w:rsidR="00463B1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cetuximab</w:t>
      </w:r>
      <w:proofErr w:type="spellEnd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gramStart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group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18]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57193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 some studies, c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etuximab and panitumumab have been </w:t>
      </w:r>
      <w:r w:rsidR="0057193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investigated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combination with FOLF</w:t>
      </w:r>
      <w:r w:rsidR="004E5AE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IRI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(folinic acid, fluorouracil, and irinotecan)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and FOLFOX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(folinic acid, fluorouracil, and oxaliplatin)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as initial therapy option for treatment of </w:t>
      </w:r>
      <w:proofErr w:type="spellStart"/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57193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And a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meta-analysis of </w:t>
      </w:r>
      <w:r w:rsidR="00571935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these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14 randomized studies concluded that there is a clear benefit to the use EGFR inhibitors in patients with </w:t>
      </w:r>
      <w:r w:rsidR="00EF59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wild-type </w:t>
      </w:r>
      <w:r w:rsidR="00EF5993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10773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WT</w:t>
      </w:r>
      <w:r w:rsidR="00EF5993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10773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KRAS </w:t>
      </w:r>
      <w:proofErr w:type="spellStart"/>
      <w:proofErr w:type="gramStart"/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18]</w:t>
      </w:r>
      <w:r w:rsidR="00CB049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An updated analysis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CB049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(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CRYSTAL trial</w:t>
      </w:r>
      <w:r w:rsidR="00CB049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)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demonstrated that </w:t>
      </w:r>
      <w:r w:rsidR="00DA493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adding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cetuximab to 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FOLFIRI as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first-line therapy improve</w:t>
      </w:r>
      <w:r w:rsidR="00DA493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survival in patients with </w:t>
      </w:r>
      <w:r w:rsidR="0010773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WT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KRAS </w:t>
      </w:r>
      <w:proofErr w:type="spellStart"/>
      <w:proofErr w:type="gramStart"/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3869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19]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DA493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Also another</w:t>
      </w:r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randomized phase III study show</w:t>
      </w:r>
      <w:r w:rsidR="00DA493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ed</w:t>
      </w:r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that </w:t>
      </w:r>
      <w:r w:rsidR="00DA493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the combination of </w:t>
      </w:r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panitumumab </w:t>
      </w:r>
      <w:r w:rsidR="00DA493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and</w:t>
      </w:r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FOLFIRI significantly improve</w:t>
      </w:r>
      <w:r w:rsidR="00DA493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progression-free survival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(PFS)</w:t>
      </w:r>
      <w:r w:rsidR="00011E7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, but not 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OS</w:t>
      </w:r>
      <w:r w:rsidR="00011E7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</w:t>
      </w:r>
      <w:r w:rsidR="002F56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</w:t>
      </w:r>
      <w:proofErr w:type="spellStart"/>
      <w:r w:rsidR="0034098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34098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81299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patients with WT </w:t>
      </w:r>
      <w:proofErr w:type="gramStart"/>
      <w:r w:rsidR="0081299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KRAS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9]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Three </w:t>
      </w:r>
      <w:r w:rsidR="00011E7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other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trials have evaluated 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the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addition </w:t>
      </w:r>
      <w:r w:rsidR="00011E7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of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cetuximab </w:t>
      </w:r>
      <w:r w:rsidR="00011E7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to FOLFOX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first line treatment of 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patients </w:t>
      </w:r>
      <w:r w:rsidR="0010773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WT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KRAS </w:t>
      </w:r>
      <w:proofErr w:type="spellStart"/>
      <w:r w:rsidR="006B58F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In randomized phase II OPUS study, 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combination of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FOLFOX 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and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cetuximab was associated with increased response rate and </w:t>
      </w:r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PFS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However, </w:t>
      </w:r>
      <w:r w:rsidR="006B58F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this treatment ha</w:t>
      </w:r>
      <w:r w:rsidR="007B24F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d</w:t>
      </w:r>
      <w:r w:rsidR="006B58F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no benefit </w:t>
      </w:r>
      <w:r w:rsidR="007B24F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</w:t>
      </w:r>
      <w:r w:rsidR="006B58F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median </w:t>
      </w:r>
      <w:proofErr w:type="gramStart"/>
      <w:r w:rsidR="00E635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OS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12]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In the Medical Research Council (MRC) COIN study, addi</w:t>
      </w:r>
      <w:r w:rsidR="007B24F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ng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cetuximab to oxaliplatin-based chemotherapy in patients with </w:t>
      </w:r>
      <w:r w:rsidR="007B24F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WT KRAS </w:t>
      </w:r>
      <w:proofErr w:type="spellStart"/>
      <w:r w:rsidR="00603AA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EA71D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increased response rate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with no </w:t>
      </w:r>
      <w:r w:rsidR="00EF59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benefit in PFS or </w:t>
      </w:r>
      <w:proofErr w:type="gramStart"/>
      <w:r w:rsidR="00EF59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OS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20]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7B24F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Similarly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, another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lastRenderedPageBreak/>
        <w:t xml:space="preserve">phase III </w:t>
      </w:r>
      <w:r w:rsidR="007D38BC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>study</w:t>
      </w:r>
      <w:r w:rsidR="00813E61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 xml:space="preserve"> (NORDIC-VII) show</w:t>
      </w:r>
      <w:r w:rsidR="007B24F6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 xml:space="preserve">ed </w:t>
      </w:r>
      <w:r w:rsidR="00813E61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>that</w:t>
      </w:r>
      <w:r w:rsidR="007D38BC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 xml:space="preserve"> cetuximab did not add significant benefit </w:t>
      </w:r>
      <w:r w:rsidR="007B24F6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 xml:space="preserve">when combined with FOLFOX </w:t>
      </w:r>
      <w:r w:rsidR="007D38BC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 xml:space="preserve">in treatment of </w:t>
      </w:r>
      <w:r w:rsidR="007B24F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patients with WT KRAS </w:t>
      </w:r>
      <w:proofErr w:type="spellStart"/>
      <w:proofErr w:type="gramStart"/>
      <w:r w:rsidR="00603AA7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>m</w:t>
      </w:r>
      <w:r w:rsidR="00EF5993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>CRC</w:t>
      </w:r>
      <w:proofErr w:type="spellEnd"/>
      <w:r w:rsidR="007D38BC" w:rsidRPr="00CE2412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 w:eastAsia="tr-TR"/>
        </w:rPr>
        <w:t>[</w:t>
      </w:r>
      <w:proofErr w:type="gramEnd"/>
      <w:r w:rsidR="007D38BC" w:rsidRPr="00CE2412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 w:eastAsia="tr-TR"/>
        </w:rPr>
        <w:t>21]</w:t>
      </w:r>
      <w:r w:rsidR="007D38BC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>.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 </w:t>
      </w:r>
      <w:r w:rsidR="008611E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 contrast to earlier studies,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the recent published randomized phase III CALGB</w:t>
      </w:r>
      <w:r w:rsidR="0095569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/SWOG 80405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trial demonstrated that 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addition of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cetuximab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FOLFOX 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or FOLFIRI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chemotherapy </w:t>
      </w:r>
      <w:r w:rsidR="007E286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was significantly increased 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PFS and OS</w:t>
      </w:r>
      <w:r w:rsidR="007E286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0120E2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 xml:space="preserve">in treatment of 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patients with all RAS-WT </w:t>
      </w:r>
      <w:proofErr w:type="spellStart"/>
      <w:proofErr w:type="gramStart"/>
      <w:r w:rsidR="00EF5993" w:rsidRPr="00CE2412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 w:eastAsia="tr-TR"/>
        </w:rPr>
        <w:t>mCRC</w:t>
      </w:r>
      <w:proofErr w:type="spell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22]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600E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the study by </w:t>
      </w:r>
      <w:proofErr w:type="spellStart"/>
      <w:r w:rsidR="00600E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Douillard</w:t>
      </w:r>
      <w:proofErr w:type="spellEnd"/>
      <w:r w:rsidR="00600E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600EDE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et al</w:t>
      </w:r>
      <w:r w:rsidR="00EF5993" w:rsidRPr="00CE2412">
        <w:rPr>
          <w:rFonts w:ascii="Book Antiqua" w:eastAsia="TimesNewRoman" w:hAnsi="Book Antiqua" w:cs="Times New Roman"/>
          <w:sz w:val="24"/>
          <w:szCs w:val="24"/>
          <w:vertAlign w:val="superscript"/>
          <w:lang w:val="en-US"/>
        </w:rPr>
        <w:t>[</w:t>
      </w:r>
      <w:r w:rsidR="00EF5993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23]</w:t>
      </w:r>
      <w:r w:rsidR="00600E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(the PRIME study)</w:t>
      </w:r>
      <w:r w:rsidR="0029005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</w:t>
      </w:r>
      <w:r w:rsidR="00600E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which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compar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ed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panitumumab plus FOLFOX 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and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FOLFOX alone 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</w:t>
      </w:r>
      <w:proofErr w:type="spellStart"/>
      <w:r w:rsidR="0033626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33626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600E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patients with WT KRAS/NRAS, </w:t>
      </w:r>
      <w:r w:rsidR="00BC2AE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panitumumab plus FOLFOX group </w:t>
      </w:r>
      <w:r w:rsidR="00600E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showed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 statistical</w:t>
      </w:r>
      <w:r w:rsidR="00F6021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ly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significant improvement in PFS and </w:t>
      </w:r>
      <w:r w:rsidR="000120E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OS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</w:p>
    <w:p w:rsidR="007D38BC" w:rsidRPr="00CE2412" w:rsidRDefault="007D38BC" w:rsidP="00EF5993">
      <w:pPr>
        <w:spacing w:after="0" w:line="360" w:lineRule="auto"/>
        <w:ind w:firstLineChars="100" w:firstLine="240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Based on this knowledge, </w:t>
      </w:r>
      <w:r w:rsidR="00BC2AE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all patients with newly diagnosed </w:t>
      </w:r>
      <w:proofErr w:type="spellStart"/>
      <w:r w:rsidR="00BC2AE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BC2AE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should be tested for </w:t>
      </w:r>
      <w:r w:rsidR="00105F6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KRAS mutation</w:t>
      </w:r>
      <w:r w:rsidR="00BC2AE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Also screening of KRAS mutations seems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BC2AE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essential </w:t>
      </w:r>
      <w:r w:rsidR="007424F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</w:t>
      </w:r>
      <w:proofErr w:type="spellStart"/>
      <w:r w:rsidR="007424F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7424F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patients </w:t>
      </w:r>
      <w:r w:rsidR="00BC2AE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to initiate</w:t>
      </w:r>
      <w:r w:rsidR="007424F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anti-EGFR based treatment. </w:t>
      </w:r>
      <w:r w:rsidR="007E0DC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But KRAS mutation alone is not a sufficient basis to decide who should not be received such therapies because almost 60% of CRC patients with </w:t>
      </w:r>
      <w:r w:rsidR="00C03384" w:rsidRPr="00CE2412">
        <w:rPr>
          <w:rFonts w:ascii="Book Antiqua" w:hAnsi="Book Antiqua" w:cs="Times New Roman"/>
          <w:sz w:val="24"/>
          <w:szCs w:val="24"/>
          <w:lang w:val="en-US" w:eastAsia="zh-CN"/>
        </w:rPr>
        <w:t>WT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7E0DC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KRAS mutation also have poor respon</w:t>
      </w:r>
      <w:r w:rsidR="00EF59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se to anti-EGFR based </w:t>
      </w:r>
      <w:proofErr w:type="gramStart"/>
      <w:r w:rsidR="00EF59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7E0DC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E0DC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15]</w:t>
      </w:r>
      <w:r w:rsidR="007E0DC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Also 5</w:t>
      </w:r>
      <w:r w:rsidR="00C03384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-9% of CRC</w:t>
      </w:r>
      <w:r w:rsidR="0021378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patients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21378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have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 specifi</w:t>
      </w:r>
      <w:r w:rsidR="00EF59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 mutation in </w:t>
      </w:r>
      <w:r w:rsidR="00EF5993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BRAF</w:t>
      </w:r>
      <w:r w:rsidR="00EF59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gene (V600E)</w:t>
      </w:r>
      <w:r w:rsidR="00EF5993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[2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4</w:t>
      </w:r>
      <w:r w:rsidR="00EF5993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,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25</w:t>
      </w:r>
      <w:r w:rsidR="00E669C9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But the use of BRAF as a predictive marker</w:t>
      </w:r>
      <w:r w:rsidR="0021378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for response to </w:t>
      </w:r>
      <w:r w:rsidR="005F116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anti-EGFR based treatment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is unclear. </w:t>
      </w:r>
      <w:r w:rsidR="007E0DC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This fact leads us to suspect that there must be other molecular determinants of response to anti-EGFR therapies which have not been identified yet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7D38BC" w:rsidRPr="00CE2412" w:rsidRDefault="00C03384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b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>MECHANISMS OF RESISTANCE TO ANTI-EGFR TREATMENT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b/>
          <w:i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b/>
          <w:i/>
          <w:sz w:val="24"/>
          <w:szCs w:val="24"/>
          <w:lang w:val="en-US"/>
        </w:rPr>
        <w:t>KRAS/NRAS/BRAF mutation</w:t>
      </w:r>
      <w:r w:rsidR="00C214E5" w:rsidRPr="00CE2412">
        <w:rPr>
          <w:rFonts w:ascii="Book Antiqua" w:eastAsia="TimesNewRoman" w:hAnsi="Book Antiqua" w:cs="Times New Roman"/>
          <w:b/>
          <w:i/>
          <w:sz w:val="24"/>
          <w:szCs w:val="24"/>
          <w:lang w:val="en-US"/>
        </w:rPr>
        <w:t>s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Approximately 40% of CRC </w:t>
      </w:r>
      <w:r w:rsidR="00D1296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patients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have mutation in exon 2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the coding of the </w:t>
      </w:r>
      <w:r w:rsidR="00C03384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KRAS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gramStart"/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gene</w:t>
      </w:r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6</w:t>
      </w:r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,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7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Prospective randomized studies </w:t>
      </w:r>
      <w:r w:rsidR="00D1296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showed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that KRAS mutations </w:t>
      </w:r>
      <w:r w:rsidR="00432B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are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predictive of </w:t>
      </w:r>
      <w:r w:rsidR="00432B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non-response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to </w:t>
      </w:r>
      <w:r w:rsidR="007049D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nti-EGFR based </w:t>
      </w:r>
      <w:proofErr w:type="gramStart"/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6-10,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12-14]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These studies show</w:t>
      </w:r>
      <w:r w:rsidR="007620E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ed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that tumors with a mutation </w:t>
      </w:r>
      <w:r w:rsidR="004C52E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codon 12 or 13 of exon 2 of the KRAS gen are essentially </w:t>
      </w:r>
      <w:r w:rsidR="004C52E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unresponsive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to </w:t>
      </w:r>
      <w:r w:rsidR="004C52E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anti-EGFR based treatment</w:t>
      </w:r>
      <w:r w:rsidR="00E1567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Recent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studies demonstrated that mutation in KRAS outside of exon 2 and mutation in NRAS are also predictive for </w:t>
      </w:r>
      <w:r w:rsidR="00C50ED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unresponsiveness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to ant-EGFR </w:t>
      </w:r>
      <w:proofErr w:type="gramStart"/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23,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8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Recently</w:t>
      </w:r>
      <w:r w:rsidR="00E1567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 a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study assessed the </w:t>
      </w:r>
      <w:r w:rsidR="00C50ED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superiority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</w:t>
      </w:r>
      <w:r w:rsidR="00C50ED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FOLFOX plus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panitumumab </w:t>
      </w:r>
      <w:r w:rsidR="00C50ED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to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FOLFOX alone according to RAS (KRAS or NRAS) or BRAF</w:t>
      </w:r>
      <w:r w:rsidR="001140A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(B-type </w:t>
      </w:r>
      <w:proofErr w:type="spellStart"/>
      <w:r w:rsidR="001140A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Raf</w:t>
      </w:r>
      <w:proofErr w:type="spellEnd"/>
      <w:r w:rsidR="001140A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kinase)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mutation status. </w:t>
      </w:r>
      <w:r w:rsidR="00C50ED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that study,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17%</w:t>
      </w:r>
      <w:r w:rsidR="00C50ED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patients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with non</w:t>
      </w:r>
      <w:r w:rsidR="00E5258F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-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mutated KRAS exon 2 had other RAS </w:t>
      </w:r>
      <w:r w:rsidR="001E11D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mutation which has been </w:t>
      </w:r>
      <w:r w:rsidR="001E11D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lastRenderedPageBreak/>
        <w:t xml:space="preserve">shown to be associated with inferior survival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with </w:t>
      </w:r>
      <w:proofErr w:type="spellStart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panitumumab</w:t>
      </w:r>
      <w:proofErr w:type="spellEnd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plus FOLFOX </w:t>
      </w:r>
      <w:proofErr w:type="gramStart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23]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 </w:t>
      </w:r>
      <w:r w:rsidR="006753D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Cetuximab or panitumumab treatments seem to be eligible for selected patients with WT KRAS tumors</w:t>
      </w:r>
      <w:r w:rsidR="006753DC" w:rsidRPr="00CE2412">
        <w:rPr>
          <w:rFonts w:ascii="Book Antiqua" w:eastAsia="TimesNewRoman" w:hAnsi="Book Antiqua" w:cs="Times New Roman"/>
          <w:noProof/>
          <w:sz w:val="24"/>
          <w:szCs w:val="24"/>
          <w:lang w:val="en-US"/>
        </w:rPr>
        <w:t xml:space="preserve"> who also have 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BRAF-WT </w:t>
      </w:r>
      <w:proofErr w:type="gramStart"/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mutations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9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1E11D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</w:p>
    <w:p w:rsidR="007D38BC" w:rsidRPr="00CE2412" w:rsidRDefault="007D33D1" w:rsidP="00C03384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BRAF oncogene encodes BRAF protein which is </w:t>
      </w:r>
      <w:r w:rsidR="00C364C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 member of RAS/RAF/MAPK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(mitogen-ac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tivated protein kinase) </w:t>
      </w:r>
      <w:proofErr w:type="gramStart"/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pathway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7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lang w:val="en-US"/>
        </w:rPr>
        <w:t xml:space="preserve">. 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Mutations in </w:t>
      </w:r>
      <w:r w:rsidR="007D38BC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BRAF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and </w:t>
      </w:r>
      <w:r w:rsidR="007D38BC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KRAS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genes are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mutually </w:t>
      </w:r>
      <w:proofErr w:type="gramStart"/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exclusive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30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Approximately 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9% (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5</w:t>
      </w:r>
      <w:r w:rsidR="00C03384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-9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%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)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patients with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CRC 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have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 mutation in </w:t>
      </w:r>
      <w:r w:rsidR="00C03384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BRAF 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gene (V600E)</w:t>
      </w:r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24</w:t>
      </w:r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,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25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CRYSTAL and PETACC-3 studies demonstrated that 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patients with BRAF mutation have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 worse prognosis than those with the </w:t>
      </w:r>
      <w:r w:rsidR="0010773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WT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gramStart"/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tumors</w:t>
      </w:r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0338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19,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31]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However, the use of BRAF as </w:t>
      </w:r>
      <w:r w:rsidR="00DA1C1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predictive marker is unclear. CRYSTAL study elucidated that BRAF mutation does not 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seem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to be strong predictive biomarker for the addition </w:t>
      </w:r>
      <w:r w:rsidR="00DA1C1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cetuximab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to FOLFIRI in the first line treatment of </w:t>
      </w:r>
      <w:r w:rsidR="0010773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WT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03AA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19]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CC2D9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lso, subset analysis of the PRIME study found that 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BRAF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mutation indicate</w:t>
      </w:r>
      <w:r w:rsidR="00F120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poor prognosis but </w:t>
      </w:r>
      <w:r w:rsidR="00D85C8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it </w:t>
      </w:r>
      <w:r w:rsidR="00AE150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may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not </w:t>
      </w:r>
      <w:r w:rsidR="00AE150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be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predictive of </w:t>
      </w:r>
      <w:r w:rsidR="00AE150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the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benefit </w:t>
      </w:r>
      <w:r w:rsidR="00AE150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of adding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panitumumab </w:t>
      </w:r>
      <w:r w:rsidR="00AE150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FOLFOX in the first line treatment of </w:t>
      </w:r>
      <w:proofErr w:type="spellStart"/>
      <w:proofErr w:type="gramStart"/>
      <w:r w:rsidR="00603AA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C0338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8]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7D38BC" w:rsidRPr="00CE2412">
        <w:rPr>
          <w:rFonts w:ascii="Book Antiqua" w:hAnsi="Book Antiqua"/>
          <w:sz w:val="24"/>
          <w:szCs w:val="24"/>
          <w:lang w:val="en-US" w:eastAsia="tr-TR"/>
        </w:rPr>
        <w:t xml:space="preserve"> </w:t>
      </w:r>
      <w:proofErr w:type="spellStart"/>
      <w:r w:rsidR="00E24EF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Tol</w:t>
      </w:r>
      <w:proofErr w:type="spellEnd"/>
      <w:r w:rsidR="00E24EF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24EFD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E24EFD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al</w:t>
      </w:r>
      <w:r w:rsidR="00DF3622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25</w:t>
      </w:r>
      <w:r w:rsidR="00DF3622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E24EF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demonstrated that</w:t>
      </w:r>
      <w:r w:rsidR="00E24EFD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 </w:t>
      </w:r>
      <w:r w:rsidR="007D38BC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BRAF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mutation is a</w:t>
      </w:r>
      <w:r w:rsidR="007606C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negative</w:t>
      </w:r>
      <w:r w:rsidR="00E24EF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indicator for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24EF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prognosis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</w:t>
      </w:r>
      <w:proofErr w:type="spellStart"/>
      <w:r w:rsidR="007606C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7606C0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patients and </w:t>
      </w:r>
      <w:r w:rsidR="00E24EF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contrast to KRAS mutation,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this </w:t>
      </w:r>
      <w:r w:rsidR="00E24EF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feature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is not restricted </w:t>
      </w:r>
      <w:r w:rsidR="00DF362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to the outcome of the </w:t>
      </w:r>
      <w:proofErr w:type="spellStart"/>
      <w:r w:rsidR="00DF362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cetuximab</w:t>
      </w:r>
      <w:proofErr w:type="spellEnd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In subsequent lines of therapy elucidated that BRAF mutation is a marker of resistance to anti-EGFR treatment in the non-first line setting of </w:t>
      </w:r>
      <w:proofErr w:type="spellStart"/>
      <w:proofErr w:type="gramStart"/>
      <w:r w:rsidR="00603AA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DF362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DF3622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DF3622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9</w:t>
      </w:r>
      <w:r w:rsidR="00DF3622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,32,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33]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 </w:t>
      </w:r>
    </w:p>
    <w:p w:rsidR="00E5258F" w:rsidRPr="00CE2412" w:rsidRDefault="00E5258F" w:rsidP="00DF362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  <w:proofErr w:type="spellStart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Vemurafenib</w:t>
      </w:r>
      <w:proofErr w:type="spellEnd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is </w:t>
      </w:r>
      <w:r w:rsidR="0065057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orally administered selective inhibitor of BRAF V600 kinase but using it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alone </w:t>
      </w:r>
      <w:r w:rsidR="0065057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 BRAF–mutated CRC patients results</w:t>
      </w:r>
      <w:r w:rsidR="0081299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insufficient </w:t>
      </w:r>
      <w:proofErr w:type="gramStart"/>
      <w:r w:rsidR="0081299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activity</w:t>
      </w:r>
      <w:r w:rsidR="003276AB" w:rsidRPr="00CE2412">
        <w:rPr>
          <w:rFonts w:ascii="Book Antiqua" w:eastAsia="TimesNew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76AB" w:rsidRPr="00CE2412">
        <w:rPr>
          <w:rFonts w:ascii="Book Antiqua" w:eastAsia="TimesNewRoman" w:hAnsi="Book Antiqua" w:cs="Times New Roman"/>
          <w:sz w:val="24"/>
          <w:szCs w:val="24"/>
          <w:vertAlign w:val="superscript"/>
          <w:lang w:val="en-US"/>
        </w:rPr>
        <w:t>34]</w:t>
      </w:r>
      <w:r w:rsidR="003276A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Studies suggested that </w:t>
      </w:r>
      <w:r w:rsidR="0065057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feedback activation of EGFR signaling might be responsible of the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resistance to </w:t>
      </w:r>
      <w:proofErr w:type="spellStart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Vemurafenib</w:t>
      </w:r>
      <w:proofErr w:type="spellEnd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</w:t>
      </w:r>
      <w:proofErr w:type="gramStart"/>
      <w:r w:rsidR="00ED6A34" w:rsidRPr="00CE2412">
        <w:rPr>
          <w:rFonts w:ascii="Book Antiqua" w:eastAsia="TimesNewRoman" w:hAnsi="Book Antiqua"/>
          <w:sz w:val="24"/>
          <w:szCs w:val="24"/>
          <w:lang w:val="en-US"/>
        </w:rPr>
        <w:t>CRC</w:t>
      </w:r>
      <w:r w:rsidR="00DF3622" w:rsidRPr="00CE2412">
        <w:rPr>
          <w:rFonts w:ascii="Book Antiqua" w:eastAsia="TimesNew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F3622" w:rsidRPr="00CE2412">
        <w:rPr>
          <w:rFonts w:ascii="Book Antiqua" w:eastAsia="TimesNewRoman" w:hAnsi="Book Antiqua" w:cs="Times New Roman"/>
          <w:sz w:val="24"/>
          <w:szCs w:val="24"/>
          <w:vertAlign w:val="superscript"/>
          <w:lang w:val="en-US"/>
        </w:rPr>
        <w:t>35,</w:t>
      </w:r>
      <w:r w:rsidR="003276AB" w:rsidRPr="00CE2412">
        <w:rPr>
          <w:rFonts w:ascii="Book Antiqua" w:eastAsia="TimesNewRoman" w:hAnsi="Book Antiqua" w:cs="Times New Roman"/>
          <w:sz w:val="24"/>
          <w:szCs w:val="24"/>
          <w:vertAlign w:val="superscript"/>
          <w:lang w:val="en-US"/>
        </w:rPr>
        <w:t>36]</w:t>
      </w:r>
      <w:r w:rsidR="003276A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a cohort study by Hyman </w:t>
      </w:r>
      <w:r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al</w:t>
      </w:r>
      <w:r w:rsidR="00812996" w:rsidRPr="00CE2412">
        <w:rPr>
          <w:rFonts w:ascii="Book Antiqua" w:eastAsia="TimesNew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12996" w:rsidRPr="00CE2412">
        <w:rPr>
          <w:rFonts w:ascii="Book Antiqua" w:eastAsia="TimesNewRoman" w:hAnsi="Book Antiqua" w:cs="Times New Roman"/>
          <w:sz w:val="24"/>
          <w:szCs w:val="24"/>
          <w:vertAlign w:val="superscript"/>
          <w:lang w:val="en-US"/>
        </w:rPr>
        <w:t>37]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, median PFS and OS did not change with </w:t>
      </w:r>
      <w:proofErr w:type="spellStart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vemurafenib</w:t>
      </w:r>
      <w:proofErr w:type="spellEnd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monotherapy or </w:t>
      </w:r>
      <w:proofErr w:type="spellStart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vemurafenib</w:t>
      </w:r>
      <w:proofErr w:type="spellEnd"/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and cetuximab combination therapy in patients with CRC 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lang w:val="en-US"/>
        </w:rPr>
        <w:t>(Table 1)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b/>
          <w:sz w:val="24"/>
          <w:szCs w:val="24"/>
          <w:lang w:val="en-US"/>
        </w:rPr>
      </w:pPr>
    </w:p>
    <w:p w:rsidR="007D38BC" w:rsidRPr="00CE2412" w:rsidRDefault="00DF3622" w:rsidP="00505C25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Book Antiqua" w:hAnsi="Book Antiqua" w:cs="Lucida Sans Unicode"/>
          <w:b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>HYPERACTIVATION OF PI3K-PTEN AXIS</w:t>
      </w:r>
    </w:p>
    <w:p w:rsidR="007D38BC" w:rsidRPr="00CE2412" w:rsidRDefault="006A6005" w:rsidP="00505C25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Interestingly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, 41% of patients 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do not have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KRAS or BRAF mutation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 and they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do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not</w:t>
      </w:r>
      <w:r w:rsidR="00F91DD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respond to anti-EGFR </w:t>
      </w:r>
      <w:proofErr w:type="gramStart"/>
      <w:r w:rsidR="00F91DD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DA7E43" w:rsidRPr="00CE2412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9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Some studies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suggested that anti-EGFR downstream pathways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other than RAS/RAF/MAPK </w:t>
      </w:r>
      <w:r w:rsidR="00F91DDB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[</w:t>
      </w:r>
      <w:r w:rsidR="00B549B1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e.g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F91DDB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phosphoinositide 3-kinase/phosphatase and </w:t>
      </w:r>
      <w:proofErr w:type="spellStart"/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tensin</w:t>
      </w:r>
      <w:proofErr w:type="spellEnd"/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homolog pathway </w:t>
      </w:r>
      <w:r w:rsidR="00F91DDB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PI3K/PTEN</w:t>
      </w:r>
      <w:r w:rsidR="00DC1E7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)</w:t>
      </w:r>
      <w:r w:rsidR="00F91DDB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]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might be responsible for the resistance to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anti-EGFR based 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therapy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It was shown that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lastRenderedPageBreak/>
        <w:t>mutation in PI3KCA (phosphatidylinositol-4</w:t>
      </w:r>
      <w:proofErr w:type="gramStart"/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,5</w:t>
      </w:r>
      <w:proofErr w:type="gramEnd"/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-bisphosphate 3-kinase, catalytic subunit alpha) or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loss of PTEN  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is associated with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resistance </w:t>
      </w:r>
      <w:r w:rsidR="00B549B1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to </w:t>
      </w:r>
      <w:r w:rsidR="00F91DD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anti-EGFR based treatment</w:t>
      </w:r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[38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-</w:t>
      </w:r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40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 </w:t>
      </w:r>
      <w:proofErr w:type="spellStart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Tural</w:t>
      </w:r>
      <w:proofErr w:type="spellEnd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7D38BC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7D38BC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al</w:t>
      </w:r>
      <w:r w:rsidR="00F91D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F91D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41]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001FB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investigated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the </w:t>
      </w:r>
      <w:r w:rsidR="004522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effect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oncogenic activati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on of </w:t>
      </w:r>
      <w:r w:rsidR="005D33D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the members of 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EGFR downstream </w:t>
      </w:r>
      <w:r w:rsidR="005D33D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pathways (</w:t>
      </w:r>
      <w:r w:rsidR="005D33D7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e.g.</w:t>
      </w:r>
      <w:r w:rsidR="00F91DDB" w:rsidRPr="00CE2412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PI3K</w:t>
      </w:r>
      <w:r w:rsidR="00724D6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724D6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PTEN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and </w:t>
      </w:r>
      <w:r w:rsidR="00724D6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BRAF</w:t>
      </w:r>
      <w:r w:rsidR="005D33D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)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on response to ant</w:t>
      </w:r>
      <w:r w:rsidR="00E669C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-EGFR </w:t>
      </w:r>
      <w:r w:rsidR="000059B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therapy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DC1E74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have </w:t>
      </w:r>
      <w:r w:rsidR="00CB204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showed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that </w:t>
      </w:r>
      <w:r w:rsidR="004522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PI3K expression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and </w:t>
      </w:r>
      <w:r w:rsidR="004522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PTEN loss might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be used as </w:t>
      </w:r>
      <w:r w:rsidR="004522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predictive to the response to anti-EGFR treatment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 </w:t>
      </w:r>
      <w:proofErr w:type="spellStart"/>
      <w:r w:rsidR="0059192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4522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4522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patients with WT KRAS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According to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this study, BRAF negative, PTEN expressi</w:t>
      </w:r>
      <w:r w:rsidR="00EA02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ng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and PI3K non-expressi</w:t>
      </w:r>
      <w:r w:rsidR="00EA02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ng CRCs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ha</w:t>
      </w:r>
      <w:r w:rsidR="004522D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ve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high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er response rate and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longer PFS and OS than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all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other</w:t>
      </w:r>
      <w:r w:rsidR="00EA02D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Most studies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evaluated PI3K mutation in</w:t>
      </w:r>
      <w:r w:rsidR="007E246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response to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7E246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cetuximab based treatments in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CRC </w:t>
      </w:r>
      <w:proofErr w:type="gramStart"/>
      <w:r w:rsidR="00C336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patients</w:t>
      </w:r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38</w:t>
      </w:r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,</w:t>
      </w:r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42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-4</w:t>
      </w:r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5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5A298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In these</w:t>
      </w:r>
      <w:r w:rsidR="005A298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studies, </w:t>
      </w:r>
      <w:r w:rsidR="007E246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PI3K </w:t>
      </w:r>
      <w:r w:rsidR="000268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mutation has</w:t>
      </w:r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been suggested as </w:t>
      </w:r>
      <w:r w:rsidR="007E246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predictive of resistance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7E246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ant</w:t>
      </w:r>
      <w:r w:rsidR="00D6662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-EGFR-based </w:t>
      </w:r>
      <w:r w:rsidR="007E246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therapies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On the 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ther hand, the role of PI3K mutation </w:t>
      </w:r>
      <w:r w:rsidR="0015452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n response is conflict. </w:t>
      </w:r>
      <w:proofErr w:type="spellStart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Perrone</w:t>
      </w:r>
      <w:proofErr w:type="spellEnd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F115ED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e</w:t>
      </w:r>
      <w:r w:rsidR="00C265A6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t </w:t>
      </w:r>
      <w:proofErr w:type="gramStart"/>
      <w:r w:rsidR="00C265A6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al</w:t>
      </w:r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38]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C265A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has </w:t>
      </w:r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investigated </w:t>
      </w:r>
      <w:r w:rsidR="00C265A6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PI3KCA</w:t>
      </w:r>
      <w:r w:rsidR="00C265A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gene mutations in CRC patients and they</w:t>
      </w:r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suggested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that mutation in PI3KCA cause</w:t>
      </w:r>
      <w:r w:rsidR="00C265A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resistance to anti-EGFR</w:t>
      </w:r>
      <w:r w:rsidR="00C265A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therapies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lso</w:t>
      </w:r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Prenen</w:t>
      </w:r>
      <w:proofErr w:type="spellEnd"/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F115ED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F115ED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al</w:t>
      </w:r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45]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analyzed PI3CA and KRAS mutation</w:t>
      </w:r>
      <w:r w:rsidR="00A079F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status in chemo-refractory </w:t>
      </w:r>
      <w:proofErr w:type="spellStart"/>
      <w:r w:rsidR="00603AA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CRC</w:t>
      </w:r>
      <w:proofErr w:type="spellEnd"/>
      <w:r w:rsidR="00F115E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patients who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treated with anti-EGFR based treatment</w:t>
      </w:r>
      <w:r w:rsidR="00A079F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and they did not determine any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correlation between PI3KCA mutation and response to anti-EGFR treatment. </w:t>
      </w:r>
      <w:r w:rsidR="00AC24B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Nevertheless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, most of studies </w:t>
      </w:r>
      <w:r w:rsidR="0056592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have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suggested that PTEN inactivation is a </w:t>
      </w:r>
      <w:r w:rsidR="00BB5597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negative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predictor of response to anti-EGFR </w:t>
      </w:r>
      <w:proofErr w:type="gramStart"/>
      <w:r w:rsidR="00565926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therapy</w:t>
      </w:r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38-40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Bardellie</w:t>
      </w:r>
      <w:proofErr w:type="spellEnd"/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7D38BC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7D38BC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al</w:t>
      </w:r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46]</w:t>
      </w:r>
      <w:r w:rsidR="00AC24B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stated that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D33A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PI3K expression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and </w:t>
      </w:r>
      <w:r w:rsidR="00ED33A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PTEN loss </w:t>
      </w:r>
      <w:r w:rsidR="00AC24B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are </w:t>
      </w:r>
      <w:r w:rsidR="00ED33A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correlated with decreased survival and are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predictors of </w:t>
      </w:r>
      <w:r w:rsidR="00ED33A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poor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response </w:t>
      </w:r>
      <w:r w:rsidR="00AC24B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to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anti-EGFR </w:t>
      </w:r>
      <w:r w:rsidR="00ED33A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therapy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 Based</w:t>
      </w:r>
      <w:r w:rsidR="00AC24B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on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AC24B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these studies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, </w:t>
      </w:r>
      <w:r w:rsidR="00AC24B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it is well known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that </w:t>
      </w:r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activating mutation in PI3KCA or inactivation of PTEN phosphates can deregulate PI3K signaling </w:t>
      </w:r>
      <w:proofErr w:type="gramStart"/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pathway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4</w:t>
      </w:r>
      <w:r w:rsidR="00A837B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6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Two studies demonstrated that </w:t>
      </w:r>
      <w:r w:rsidR="00EE7D4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PI3KCA mutation and</w:t>
      </w:r>
      <w:r w:rsidR="000D715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PTEN loss which</w:t>
      </w:r>
      <w:r w:rsidR="00EE7D4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cause</w:t>
      </w:r>
      <w:r w:rsidR="000D715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PI3K pathway activation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E7D4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are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significant predictor</w:t>
      </w:r>
      <w:r w:rsidR="00EE7D4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of 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response to anti-EGFR</w:t>
      </w:r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proofErr w:type="gramStart"/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treatment</w:t>
      </w:r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38</w:t>
      </w:r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,</w:t>
      </w:r>
      <w:r w:rsidR="00D002DB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42</w:t>
      </w:r>
      <w:r w:rsidR="007D38BC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Also, </w:t>
      </w:r>
      <w:proofErr w:type="spellStart"/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Tural</w:t>
      </w:r>
      <w:proofErr w:type="spellEnd"/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F9744A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F9744A" w:rsidRPr="00CE2412">
        <w:rPr>
          <w:rFonts w:ascii="Book Antiqua" w:eastAsia="TimesNewRoman" w:hAnsi="Book Antiqua" w:cs="Times New Roman"/>
          <w:i/>
          <w:sz w:val="24"/>
          <w:szCs w:val="24"/>
          <w:lang w:val="en-US"/>
        </w:rPr>
        <w:t>al</w:t>
      </w:r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C3364A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41]</w:t>
      </w:r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indicated that PI3K expression and PTEN loss together are correlated with significantly worse outcome</w:t>
      </w:r>
      <w:r w:rsidR="007D38B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</w:p>
    <w:p w:rsidR="007D38BC" w:rsidRPr="00CE2412" w:rsidRDefault="007D38BC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sz w:val="24"/>
          <w:szCs w:val="24"/>
          <w:lang w:val="en-US"/>
        </w:rPr>
      </w:pPr>
    </w:p>
    <w:p w:rsidR="007D38BC" w:rsidRPr="00CE2412" w:rsidRDefault="00C3364A" w:rsidP="00505C2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NewRoman" w:hAnsi="Book Antiqua" w:cs="Times New Roman"/>
          <w:b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b/>
          <w:sz w:val="24"/>
          <w:szCs w:val="24"/>
          <w:lang w:val="en-US"/>
        </w:rPr>
        <w:t xml:space="preserve">HYPEREXPRESSION OR HYPERACTIVATION OF TYPE 1 INSULIN LIKE GROWTH FACTOR RECEPTOR </w:t>
      </w:r>
    </w:p>
    <w:p w:rsidR="007D38BC" w:rsidRPr="00CE2412" w:rsidRDefault="007D38BC" w:rsidP="00505C25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 type 1 insulin like growth factor receptor</w:t>
      </w:r>
      <w:r w:rsidR="00F974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(IGF-1R)</w:t>
      </w:r>
      <w:r w:rsidR="00473B8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4E29C8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belongs to the class of tyrosine kinase receptors.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EE7D4E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IGF-1R functions by activating downstream signaling pathways which include MAPK and PI3K/AKT</w:t>
      </w:r>
      <w:r w:rsidR="003C0512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.</w:t>
      </w:r>
      <w:r w:rsidR="003C0512" w:rsidRPr="00CE2412">
        <w:rPr>
          <w:rFonts w:ascii="Book Antiqua" w:hAnsi="Book Antiqua"/>
          <w:sz w:val="24"/>
          <w:szCs w:val="24"/>
          <w:lang w:val="en-US"/>
        </w:rPr>
        <w:t xml:space="preserve"> Previous studies showed that IGF-</w:t>
      </w:r>
      <w:r w:rsidR="003C0512" w:rsidRPr="00CE2412">
        <w:rPr>
          <w:rFonts w:ascii="Book Antiqua" w:hAnsi="Book Antiqua"/>
          <w:sz w:val="24"/>
          <w:szCs w:val="24"/>
          <w:lang w:val="en-US"/>
        </w:rPr>
        <w:lastRenderedPageBreak/>
        <w:t>1R overexpression results neoplastic transformation of cult</w:t>
      </w:r>
      <w:r w:rsidR="00C3364A" w:rsidRPr="00CE2412">
        <w:rPr>
          <w:rFonts w:ascii="Book Antiqua" w:hAnsi="Book Antiqua"/>
          <w:sz w:val="24"/>
          <w:szCs w:val="24"/>
          <w:lang w:val="en-US"/>
        </w:rPr>
        <w:t xml:space="preserve">ured </w:t>
      </w:r>
      <w:proofErr w:type="gramStart"/>
      <w:r w:rsidR="00C3364A" w:rsidRPr="00CE2412">
        <w:rPr>
          <w:rFonts w:ascii="Book Antiqua" w:hAnsi="Book Antiqua"/>
          <w:sz w:val="24"/>
          <w:szCs w:val="24"/>
          <w:lang w:val="en-US"/>
        </w:rPr>
        <w:t>cells</w:t>
      </w:r>
      <w:r w:rsidR="003C0512" w:rsidRPr="00CE2412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C0512" w:rsidRPr="00CE2412">
        <w:rPr>
          <w:rFonts w:ascii="Book Antiqua" w:hAnsi="Book Antiqua"/>
          <w:sz w:val="24"/>
          <w:szCs w:val="24"/>
          <w:vertAlign w:val="superscript"/>
          <w:lang w:val="en-US"/>
        </w:rPr>
        <w:t>47]</w:t>
      </w:r>
      <w:r w:rsidR="003C0512" w:rsidRPr="00CE2412">
        <w:rPr>
          <w:rFonts w:ascii="Book Antiqua" w:hAnsi="Book Antiqua"/>
          <w:sz w:val="24"/>
          <w:szCs w:val="24"/>
          <w:lang w:val="en-US"/>
        </w:rPr>
        <w:t>. Also IGF-1R overexpression was seen i</w:t>
      </w:r>
      <w:r w:rsidR="00C3364A" w:rsidRPr="00CE2412">
        <w:rPr>
          <w:rFonts w:ascii="Book Antiqua" w:hAnsi="Book Antiqua"/>
          <w:sz w:val="24"/>
          <w:szCs w:val="24"/>
          <w:lang w:val="en-US"/>
        </w:rPr>
        <w:t xml:space="preserve">n several types of human </w:t>
      </w:r>
      <w:proofErr w:type="gramStart"/>
      <w:r w:rsidR="00C3364A" w:rsidRPr="00CE2412">
        <w:rPr>
          <w:rFonts w:ascii="Book Antiqua" w:hAnsi="Book Antiqua"/>
          <w:sz w:val="24"/>
          <w:szCs w:val="24"/>
          <w:lang w:val="en-US"/>
        </w:rPr>
        <w:t>tumors</w:t>
      </w:r>
      <w:r w:rsidR="003C0512" w:rsidRPr="00CE2412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C0512" w:rsidRPr="00CE2412">
        <w:rPr>
          <w:rFonts w:ascii="Book Antiqua" w:hAnsi="Book Antiqua"/>
          <w:sz w:val="24"/>
          <w:szCs w:val="24"/>
          <w:vertAlign w:val="superscript"/>
          <w:lang w:val="en-US"/>
        </w:rPr>
        <w:t>48]</w:t>
      </w:r>
      <w:r w:rsidR="003C0512" w:rsidRPr="00CE2412">
        <w:rPr>
          <w:rFonts w:ascii="Book Antiqua" w:hAnsi="Book Antiqua"/>
          <w:sz w:val="24"/>
          <w:szCs w:val="24"/>
          <w:lang w:val="en-US"/>
        </w:rPr>
        <w:t xml:space="preserve"> and its downregulation has been shown to be able to in</w:t>
      </w:r>
      <w:r w:rsidR="00C3364A" w:rsidRPr="00CE2412">
        <w:rPr>
          <w:rFonts w:ascii="Book Antiqua" w:hAnsi="Book Antiqua"/>
          <w:sz w:val="24"/>
          <w:szCs w:val="24"/>
          <w:lang w:val="en-US"/>
        </w:rPr>
        <w:t>hibit the growth of these cells</w:t>
      </w:r>
      <w:r w:rsidR="003C0512" w:rsidRPr="00CE2412">
        <w:rPr>
          <w:rFonts w:ascii="Book Antiqua" w:hAnsi="Book Antiqua"/>
          <w:sz w:val="24"/>
          <w:szCs w:val="24"/>
          <w:vertAlign w:val="superscript"/>
          <w:lang w:val="en-US"/>
        </w:rPr>
        <w:t>[49]</w:t>
      </w:r>
      <w:r w:rsidR="003C0512" w:rsidRPr="00CE2412">
        <w:rPr>
          <w:rFonts w:ascii="Book Antiqua" w:hAnsi="Book Antiqua"/>
          <w:sz w:val="24"/>
          <w:szCs w:val="24"/>
          <w:lang w:val="en-US"/>
        </w:rPr>
        <w:t xml:space="preserve">. These findings make IGF-1R an attractive candidate as </w:t>
      </w:r>
      <w:r w:rsidR="003C0512" w:rsidRPr="00CE2412">
        <w:rPr>
          <w:rFonts w:ascii="Book Antiqua" w:hAnsi="Book Antiqua" w:cs="Arial"/>
          <w:bCs/>
          <w:sz w:val="24"/>
          <w:szCs w:val="24"/>
          <w:lang w:val="en-US"/>
        </w:rPr>
        <w:t>therapeutic</w:t>
      </w:r>
      <w:r w:rsidR="003C0512" w:rsidRPr="00CE2412">
        <w:rPr>
          <w:rStyle w:val="apple-converted-space"/>
          <w:rFonts w:ascii="Book Antiqua" w:hAnsi="Book Antiqua" w:cs="Arial"/>
          <w:sz w:val="24"/>
          <w:szCs w:val="24"/>
          <w:lang w:val="en-US"/>
        </w:rPr>
        <w:t> </w:t>
      </w:r>
      <w:r w:rsidR="003C0512" w:rsidRPr="00CE2412">
        <w:rPr>
          <w:rFonts w:ascii="Book Antiqua" w:hAnsi="Book Antiqua" w:cs="Arial"/>
          <w:bCs/>
          <w:sz w:val="24"/>
          <w:szCs w:val="24"/>
          <w:lang w:val="en-US"/>
        </w:rPr>
        <w:t>target</w:t>
      </w:r>
      <w:r w:rsidR="003C0512" w:rsidRPr="00CE2412">
        <w:rPr>
          <w:rStyle w:val="apple-converted-space"/>
          <w:rFonts w:ascii="Book Antiqua" w:hAnsi="Book Antiqua" w:cs="Arial"/>
          <w:sz w:val="24"/>
          <w:szCs w:val="24"/>
          <w:lang w:val="en-US"/>
        </w:rPr>
        <w:t> </w:t>
      </w:r>
      <w:r w:rsidR="003C0512" w:rsidRPr="00CE2412">
        <w:rPr>
          <w:rFonts w:ascii="Book Antiqua" w:hAnsi="Book Antiqua" w:cs="Arial"/>
          <w:bCs/>
          <w:sz w:val="24"/>
          <w:szCs w:val="24"/>
          <w:lang w:val="en-US"/>
        </w:rPr>
        <w:t>in anti</w:t>
      </w:r>
      <w:r w:rsidR="003C0512" w:rsidRPr="00CE2412">
        <w:rPr>
          <w:rFonts w:ascii="Book Antiqua" w:hAnsi="Book Antiqua" w:cs="Arial"/>
          <w:sz w:val="24"/>
          <w:szCs w:val="24"/>
          <w:lang w:val="en-US"/>
        </w:rPr>
        <w:t>-</w:t>
      </w:r>
      <w:r w:rsidR="003C0512" w:rsidRPr="00CE2412">
        <w:rPr>
          <w:rFonts w:ascii="Book Antiqua" w:hAnsi="Book Antiqua" w:cs="Arial"/>
          <w:bCs/>
          <w:sz w:val="24"/>
          <w:szCs w:val="24"/>
          <w:lang w:val="en-US"/>
        </w:rPr>
        <w:t>tumor</w:t>
      </w:r>
      <w:r w:rsidR="003C0512" w:rsidRPr="00CE2412">
        <w:rPr>
          <w:rStyle w:val="apple-converted-space"/>
          <w:rFonts w:ascii="Book Antiqua" w:hAnsi="Book Antiqua" w:cs="Arial"/>
          <w:sz w:val="24"/>
          <w:szCs w:val="24"/>
          <w:lang w:val="en-US"/>
        </w:rPr>
        <w:t> </w:t>
      </w:r>
      <w:r w:rsidR="003C0512" w:rsidRPr="00CE2412">
        <w:rPr>
          <w:rFonts w:ascii="Book Antiqua" w:hAnsi="Book Antiqua" w:cs="Arial"/>
          <w:sz w:val="24"/>
          <w:szCs w:val="24"/>
          <w:lang w:val="en-US"/>
        </w:rPr>
        <w:t xml:space="preserve">therapies. </w:t>
      </w:r>
      <w:r w:rsidR="003928F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A previous study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show</w:t>
      </w:r>
      <w:r w:rsidR="003928F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ed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that combination </w:t>
      </w:r>
      <w:r w:rsidR="003928FC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therapy of antibodies against to</w:t>
      </w:r>
      <w:r w:rsidR="00BE358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IGF-1R and anti-EGFR 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result</w:t>
      </w:r>
      <w:r w:rsidR="00BE358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s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</w:t>
      </w:r>
      <w:r w:rsidR="000D7D93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further</w:t>
      </w:r>
      <w:r w:rsidR="00BE3589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inhibition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of CRC cell line </w:t>
      </w:r>
      <w:proofErr w:type="gramStart"/>
      <w:r w:rsidR="00C3364A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growth</w:t>
      </w:r>
      <w:r w:rsidR="00A837B4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[</w:t>
      </w:r>
      <w:proofErr w:type="gramEnd"/>
      <w:r w:rsidR="00EA7F9F"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50</w:t>
      </w:r>
      <w:r w:rsidRPr="00CE2412">
        <w:rPr>
          <w:rFonts w:ascii="Book Antiqua" w:eastAsia="TimesNewRoman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. </w:t>
      </w:r>
      <w:r w:rsidR="00B26DB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A p</w:t>
      </w:r>
      <w:r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hase II study </w:t>
      </w:r>
      <w:r w:rsidR="009B530D" w:rsidRPr="00CE2412">
        <w:rPr>
          <w:rFonts w:ascii="Book Antiqua" w:hAnsi="Book Antiqua" w:cs="Arial"/>
          <w:sz w:val="24"/>
          <w:szCs w:val="24"/>
          <w:lang w:val="en-US"/>
        </w:rPr>
        <w:t xml:space="preserve">evaluated the safety and </w:t>
      </w:r>
      <w:r w:rsidR="005B595E" w:rsidRPr="00CE2412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9B530D" w:rsidRPr="00CE2412">
        <w:rPr>
          <w:rFonts w:ascii="Book Antiqua" w:hAnsi="Book Antiqua" w:cs="Arial"/>
          <w:sz w:val="24"/>
          <w:szCs w:val="24"/>
          <w:lang w:val="en-US"/>
        </w:rPr>
        <w:t xml:space="preserve">efficacy of </w:t>
      </w:r>
      <w:r w:rsidR="009B53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human anti-IGF-1R monoclonal antibody</w:t>
      </w:r>
      <w:r w:rsidR="009B530D" w:rsidRPr="00CE2412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26DBB" w:rsidRPr="00CE2412">
        <w:rPr>
          <w:rFonts w:ascii="Book Antiqua" w:hAnsi="Book Antiqua" w:cs="Arial"/>
          <w:sz w:val="24"/>
          <w:szCs w:val="24"/>
          <w:lang w:val="en-US"/>
        </w:rPr>
        <w:t>(</w:t>
      </w:r>
      <w:r w:rsidR="006014F9" w:rsidRPr="00CE2412">
        <w:rPr>
          <w:rFonts w:ascii="Book Antiqua" w:hAnsi="Book Antiqua" w:cs="Arial"/>
          <w:sz w:val="24"/>
          <w:szCs w:val="24"/>
          <w:lang w:val="en-US"/>
        </w:rPr>
        <w:t xml:space="preserve">either </w:t>
      </w:r>
      <w:r w:rsidR="009B530D" w:rsidRPr="00CE2412">
        <w:rPr>
          <w:rFonts w:ascii="Book Antiqua" w:hAnsi="Book Antiqua" w:cs="Arial"/>
          <w:sz w:val="24"/>
          <w:szCs w:val="24"/>
          <w:lang w:val="en-US"/>
        </w:rPr>
        <w:t xml:space="preserve">alone or in combination with </w:t>
      </w:r>
      <w:proofErr w:type="spellStart"/>
      <w:r w:rsidR="00B26DB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cetuximab</w:t>
      </w:r>
      <w:proofErr w:type="spellEnd"/>
      <w:r w:rsidR="00B26DB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)</w:t>
      </w:r>
      <w:r w:rsidR="009B53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in </w:t>
      </w:r>
      <w:proofErr w:type="spellStart"/>
      <w:r w:rsidR="00A53F2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mCRC</w:t>
      </w:r>
      <w:proofErr w:type="spellEnd"/>
      <w:r w:rsidR="00A53F2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 xml:space="preserve"> </w:t>
      </w:r>
      <w:r w:rsidR="009B530D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patients</w:t>
      </w:r>
      <w:r w:rsidR="00B26DB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, a</w:t>
      </w:r>
      <w:r w:rsidR="009B530D" w:rsidRPr="00CE2412">
        <w:rPr>
          <w:rFonts w:ascii="Book Antiqua" w:hAnsi="Book Antiqua" w:cs="Times New Roman"/>
          <w:sz w:val="24"/>
          <w:szCs w:val="24"/>
          <w:lang w:val="en-US"/>
        </w:rPr>
        <w:t xml:space="preserve">nd </w:t>
      </w:r>
      <w:r w:rsidR="00B26DBB" w:rsidRPr="00CE2412">
        <w:rPr>
          <w:rFonts w:ascii="Book Antiqua" w:eastAsia="TimesNewRoman" w:hAnsi="Book Antiqua" w:cs="Times New Roman"/>
          <w:sz w:val="24"/>
          <w:szCs w:val="24"/>
          <w:lang w:val="en-US"/>
        </w:rPr>
        <w:t>both treatment modalities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 was </w:t>
      </w:r>
      <w:r w:rsidR="009B530D" w:rsidRPr="00CE2412">
        <w:rPr>
          <w:rFonts w:ascii="Book Antiqua" w:hAnsi="Book Antiqua" w:cs="Times New Roman"/>
          <w:sz w:val="24"/>
          <w:szCs w:val="24"/>
          <w:lang w:val="en-US"/>
        </w:rPr>
        <w:t xml:space="preserve">reported as 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 xml:space="preserve">insufficient in </w:t>
      </w:r>
      <w:proofErr w:type="spellStart"/>
      <w:r w:rsidR="00C3364A" w:rsidRPr="00CE2412">
        <w:rPr>
          <w:rFonts w:ascii="Book Antiqua" w:hAnsi="Book Antiqua" w:cs="Times New Roman"/>
          <w:sz w:val="24"/>
          <w:szCs w:val="24"/>
          <w:lang w:val="en-US"/>
        </w:rPr>
        <w:t>chemorefractory</w:t>
      </w:r>
      <w:proofErr w:type="spellEnd"/>
      <w:r w:rsidR="00C3364A" w:rsidRPr="00CE2412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3364A" w:rsidRPr="00CE2412">
        <w:rPr>
          <w:rFonts w:ascii="Book Antiqua" w:hAnsi="Book Antiqua" w:cs="Times New Roman"/>
          <w:sz w:val="24"/>
          <w:szCs w:val="24"/>
          <w:lang w:val="en-US"/>
        </w:rPr>
        <w:t>mCRC</w:t>
      </w:r>
      <w:proofErr w:type="spellEnd"/>
      <w:r w:rsidR="00C3364A" w:rsidRPr="00CE2412">
        <w:rPr>
          <w:rFonts w:ascii="Book Antiqua" w:hAnsi="Book Antiqua" w:cs="Times New Roman"/>
          <w:sz w:val="24"/>
          <w:szCs w:val="24"/>
          <w:lang w:val="en-US"/>
        </w:rPr>
        <w:t xml:space="preserve"> patients</w:t>
      </w:r>
      <w:r w:rsidRPr="00CE2412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EA7F9F" w:rsidRPr="00CE2412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51</w:t>
      </w:r>
      <w:r w:rsidRPr="00CE2412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C938F3" w:rsidRPr="00CE2412">
        <w:rPr>
          <w:rFonts w:ascii="Book Antiqua" w:hAnsi="Book Antiqua" w:cs="Times New Roman"/>
          <w:noProof/>
          <w:sz w:val="24"/>
          <w:szCs w:val="24"/>
          <w:lang w:val="en-US"/>
        </w:rPr>
        <w:t xml:space="preserve"> (Table 1)</w:t>
      </w:r>
      <w:r w:rsidRPr="00CE2412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7D38BC" w:rsidRPr="00CE2412" w:rsidRDefault="007D38BC" w:rsidP="00505C25">
      <w:pPr>
        <w:tabs>
          <w:tab w:val="left" w:pos="132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C3364A" w:rsidRPr="00CE2412" w:rsidRDefault="00C3364A">
      <w:pPr>
        <w:rPr>
          <w:rFonts w:ascii="Book Antiqua" w:hAnsi="Book Antiqua" w:cs="Times New Roman"/>
          <w:b/>
          <w:sz w:val="24"/>
          <w:szCs w:val="24"/>
          <w:lang w:val="en-US"/>
        </w:rPr>
      </w:pPr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:rsidR="00DA720E" w:rsidRPr="00CE2412" w:rsidRDefault="00C3364A" w:rsidP="00DA7E4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E2412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REFERENCES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Jemal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Bray F, Center MM,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Ferlay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Ward E, Forman D. Global cancer statistics.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CA Cancer 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2011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61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69-90 [PMID: 21296855 DOI: 10.3322/caac.20107]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Jemal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Siegel R, Ward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Hao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Xu J, Thun MJ. </w:t>
      </w:r>
      <w:proofErr w:type="gram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Cancer statistics, 2009.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CA Cancer 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2009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59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225-249 [PMID: 19474385 DOI: 10.3322/caac.20006]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Alberts SR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Wagman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LD. Chemotherapy for colorectal cancer liver metastases.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Oncologist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1063-1073 [PMID: 18838438 DOI: 10.1634/theoncologist.2008-0142]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Siegel RL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Miller KD,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Jemal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Cancer statistics, 2015.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CA Cancer 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2015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65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5-29 [PMID: 25559415 DOI: 10.3322/caac.21254]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CE241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Centers for Disease Control and Prevention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United States Cancer Statistics: US Cancer Statistics Working Group, 2</w:t>
      </w:r>
      <w:r w:rsidRPr="00CE2412">
        <w:rPr>
          <w:rFonts w:ascii="Book Antiqua" w:eastAsia="宋体" w:hAnsi="Book Antiqua" w:cs="宋体"/>
          <w:sz w:val="24"/>
          <w:szCs w:val="24"/>
          <w:lang w:val="en-US" w:eastAsia="zh-CN"/>
        </w:rPr>
        <w:t>013. Available from: URL: http: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//www.cdc.gov/uscs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Köhne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Hitre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Zaluski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Chang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Chien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Makhson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D'Haens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Pintér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Lim 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Bodoky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Roh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JK,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Folprecht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Ruff P, Stroh 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Tejpar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Schlichting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Nippgen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Rougier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chemotherapy as initial treatment for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360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1408-1417 [PMID: 19339720 DOI: 10.1056/NEJMoa0805019]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Cunningham 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Humblet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Siena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Khayat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Bleiberg H, Santoro A, Bets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Mueser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Harstrick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Verslype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Chau I, Van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monotherapy and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irinotecan in irinotecan-refractory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351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337-345 [PMID: 15269313 DOI: 10.1056/NEJMoa033025]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Douillard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JY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Siena S, Cassidy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Tabernero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Burkes 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Barugel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Humblet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Bodoky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Cunningham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Jassem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River</w:t>
      </w:r>
      <w:bookmarkStart w:id="4" w:name="_GoBack"/>
      <w:bookmarkEnd w:id="4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Kocákova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Ruff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</w:t>
      </w:r>
      <w:r w:rsidRPr="00DA7E43">
        <w:rPr>
          <w:rFonts w:ascii="Book Antiqua" w:eastAsia="MS Mincho" w:hAnsi="Book Antiqua" w:cs="MS Mincho"/>
          <w:sz w:val="24"/>
          <w:szCs w:val="24"/>
          <w:lang w:val="en-US" w:eastAsia="zh-CN"/>
        </w:rPr>
        <w:t>ł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asińska-Morawiec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Šmakal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Canon JL,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Rother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Oliner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KS, Wolf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Gansert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Randomized, phase III trial of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panitumumab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infusional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fluorouracil,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oxaliplatin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(FOLFOX4) versus FOLFOX4 alone as first-line treatment in patients with previously untreated metastatic colorectal cancer: the PRIME study.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4697-4705 [PMID: 20921465 DOI: 10.1200/JCO.2009.27.4860]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Peeters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Price TJ, Cervantes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Sobrero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Ducreux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Hotko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André T, Chan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Lordick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Punt CJ, Strickland AH, Wilson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Ciuleanu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TE, Roman L, Van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Tzekova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Collins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Oliner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Rong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Gansert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Randomized phase III study of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panitumumab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fluorouracil,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 irinotecan (FOLFIRI) compared 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with FOLFIRI alone as second-line treatment in patients with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4706-4713 [PMID: 20921462 DOI: 10.1200/JCO.2009.27.6055]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Peeters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Siena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Humblet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Hendlisz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Neyns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Canon JL, Van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Laethem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Maurel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Richardson G, Wolf M, Amado RG. Open-label phase III trial of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panitumumab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best supportive care compared with best supportive care alone in patients with chemotherapy-refractory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1658-1664 [PMID: 17470858 DOI: 10.1200/JCO.2006.08.1620]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Ciardiello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Tortora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EGFR antagonists in cancer treatment.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1160-1174 [PMID: 18337605 DOI: 10.1056/NEJMra0707704]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Bokemeyer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Bondarenko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Makhson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Hartmann JT,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Aparicio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de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Braud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Donea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Ludwig 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Schuch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Stroh C, Loos AH,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Zubel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Koralewski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Fluorouracil,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oxaliplatin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and without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the first-line treatment of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663-671 [PMID: 19114683 DOI: 10.1200/JCO.2008.20.8397]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Karapetis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CS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Khambata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-Ford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Jonker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DJ, O'Callaghan CJ,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Tu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Tebbutt NC,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Simes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Chalchal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Shapiro JD, Robitaille S, Price TJ, Shepherd L, Au HJ, Langer C, Moore MJ,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Zalcberg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JR. K-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ras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mutations and benefit from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advanced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359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1757-1765 [PMID: 18946061 DOI: 10.1056/NEJMoa0804385]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Heinemann V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von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Weikersthal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LF, Decker T,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Kiani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Vehling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-Kaiser U, Al-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Batran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Heintges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Lerchenmüller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Kahl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Seipelt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Kullmann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Stauch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Scheithauer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Hielscher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Scholz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Müller S, Link 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Niederle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Rost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Höffkes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Moehler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Lindig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RU, Modest DP,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Rossius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Kirchner T, Jung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Stintzing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FOLFIRI plus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versus FOLFIRI plus bevacizumab as first-line treatment for patients with metastatic colorectal cancer (FIRE-3): a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open-label, phase 3 trial.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Lancet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1065-1075 [PMID: 25088940 DOI: 10.1016/S1470-2045(14)70330-4]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Linardou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Dahabreh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Kanaloupiti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Siannis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Bafaloukos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Kosmidis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Papadimitriou CA, Murray S. Assessment of somatic k-RAS mutations as a mechanism associated with resistance to EGFR-targeted agents: a systematic review and meta-analysis of studies in advanced non-small-cell lung cancer and metastatic 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Lancet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962-972 [PMID: 18804418 DOI: 10.1016/S1470-2045(08)70206-7]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Scott AM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Wolchok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JD, Old LJ. </w:t>
      </w:r>
      <w:proofErr w:type="gram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Antibody therapy of cancer.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Rev Cancer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278-287 [PMID: 22437872 DOI: 10.1038/nrc3236]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Price TJ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Peeters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Kim TW, Li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Cascinu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Ruff P, Suresh AS, Thomas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Tjulandin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Zhang K,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Murugappan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Sidhu R.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Panitumumab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versus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patients with chemotherapy-refractory wild-type KRAS exon 2 metastatic colorectal cancer (ASPECCT): a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multicentre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open-label, non-inferiority phase 3 study.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Lancet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569-579 [PMID: 24739896 DOI: 10.1016/S1470-2045(14)70118-4]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Vale CL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Tierney JF, Fisher D, Adams RA, Kaplan 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Maughan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Parmar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MK, Meade AM.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Does anti-EGFR therapy improve outcome in advanced colorectal cancer? </w:t>
      </w:r>
      <w:proofErr w:type="gram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 systematic review and meta-analysis.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 Treat Rev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618-625 [PMID: 22118887 DOI: 10.1016/j.ctrv.2011.11.002]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Van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Köhne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Láng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Folprecht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Nowacki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Cascinu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Shchepotin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Maurel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Cunningham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Tejpar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Schlichting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Zubel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Celik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Rougier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Ciardiello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irinotecan, fluorouracil, and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 first-line treatment for metastatic colorectal cancer: updated analysis of overall survival according to tumor KRAS and BRAF mutation status.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2011-2019 [PMID: 21502544 DOI: 10.1200/JCO.2010.33.5091]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Maughan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TS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Adams RA, Smith CG, Meade AM, Seymour MT, Wilson RH,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Idziaszczyk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Harris R, Fisher D, Kenny SL, Kay E, Mitchell JK,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Madi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Jasani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James MD, Bridgewater J, Kennedy MJ,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Claes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Lambrechts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Kaplan R, Cheadle JP. Addition of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to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oxaliplatin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-based first-line combination chemotherapy for treatment of advanced colorectal cancer: results of the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phase 3 MRC COIN trial.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377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2103-2114 [PMID: 21641636 DOI: 10.1016/S0140-6736(11)60613-2]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Tveit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KM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Guren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Glimelius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Pfeiffer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Sorbye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Pyrhonen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Sigurdsson F, Kure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Ikdahl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Skovlund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Fokstuen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Hansen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Hofsli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Birkemeyer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Johnsson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Starkhammar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Yilmaz MK,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Keldsen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Erdal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Dajani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Dahl O,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Christoffersen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Phase III trial of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continuous or intermittent fluorouracil,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oxaliplatin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(Nordic FLOX) versus FLOX alone in first-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line treatment of metastatic colorectal cancer: the NORDIC-VII study.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1755-1762 [PMID: 22473155 DOI: 10.1200/JCO.2011.38.0915]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E241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Venook</w:t>
      </w:r>
      <w:proofErr w:type="spellEnd"/>
      <w:r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AP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Niedzwiecki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Lenz H-J,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Innocenti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Mahoney MR, O'Neil BH, Shaw JE, Polite BN,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Hochster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HS, Atkins JN, Goldberg RM, Mayer RJ,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Schilsky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Bertagnolli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Blanke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CD, (Alliance)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CaLGB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CALGB/SWOG 80405: Phase III trial of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irinotecan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/5-FU/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(FOLFIRI) or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oxaliplatin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/5-FU/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(mFOLFOX6) with bevacizumab (BV) or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(CET) for patients (pts) with KRAS wild-type (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wt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) untreated metastatic adenocarcinoma of the colon or rectum (MCRC).</w:t>
      </w:r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J </w:t>
      </w:r>
      <w:proofErr w:type="spellStart"/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2014; </w:t>
      </w:r>
      <w:r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32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5s, 2014 (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suppl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abstr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LBA3)</w:t>
      </w:r>
    </w:p>
    <w:p w:rsidR="00DA7E43" w:rsidRPr="00CE2412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23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Douillard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JY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Oliner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KS, Siena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Tabernero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Burkes 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Barugel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Humblet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Bodoky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Cunningham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Jassem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Rivera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Kocákova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Ruff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</w:t>
      </w:r>
      <w:r w:rsidRPr="00DA7E43">
        <w:rPr>
          <w:rFonts w:ascii="Book Antiqua" w:eastAsia="MS Mincho" w:hAnsi="Book Antiqua" w:cs="MS Mincho"/>
          <w:sz w:val="24"/>
          <w:szCs w:val="24"/>
          <w:lang w:val="en-US" w:eastAsia="zh-CN"/>
        </w:rPr>
        <w:t>ł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asińska-Morawiec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Šmakal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Canon JL,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Rother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Williams 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Rong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Wiezorek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Sidhu R, Patterson SD. Panitumumab-FOLFOX4 treatment and RAS mutations in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369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1023-1034 [PMID: 24024839 DOI: 10.1056/NEJMoa1305275]</w:t>
      </w:r>
    </w:p>
    <w:p w:rsidR="00E47C2A" w:rsidRPr="00DA7E43" w:rsidRDefault="00E47C2A" w:rsidP="00E47C2A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E2412">
        <w:rPr>
          <w:rFonts w:ascii="Book Antiqua" w:eastAsia="宋体" w:hAnsi="Book Antiqua" w:cs="宋体"/>
          <w:sz w:val="24"/>
          <w:szCs w:val="24"/>
          <w:lang w:val="en-US" w:eastAsia="zh-CN"/>
        </w:rPr>
        <w:t>2</w:t>
      </w:r>
      <w:r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4</w:t>
      </w:r>
      <w:r w:rsidRPr="00CE241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EV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Folprecht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Nowacki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Barone 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Shchepotin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Maurel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Cunningham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Celik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Kohne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C.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FOLFIRI: Final data from the CRYSTAL study on the association of KRAS and BRAF biomarker status with treatment outcome.</w:t>
      </w:r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J </w:t>
      </w:r>
      <w:proofErr w:type="spellStart"/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28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(May 20 Supply): 3570</w:t>
      </w:r>
    </w:p>
    <w:p w:rsidR="00E47C2A" w:rsidRPr="00DA7E43" w:rsidRDefault="00E47C2A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25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Tol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Nagtegaal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ID, Punt CJ. </w:t>
      </w:r>
      <w:proofErr w:type="gram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BRAF mutation in metastatic colorectal cancer.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361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98-99 [PMID: 19571295 DOI: 10.1056/NEJMc0904160]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2</w:t>
      </w:r>
      <w:r w:rsidR="00E47C2A"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6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Amado RG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Wolf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Peeters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Van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Siena S, Freeman DJ, Juan T, Sikorski R, Suggs S, Radinsky R, Patterson SD, Chang DD. Wild-type KRAS is required for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panitumumab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efficacy in patients with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1626-1634 [PMID: 18316791 DOI: 10.1200/JCO.2007.14.7116]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2</w:t>
      </w:r>
      <w:r w:rsidR="00E47C2A"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7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Wan PT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Garnett MJ, Roe SM, Lee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Niculescu-Duvaz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Good VM, Jones CM, Marshall CJ, Springer CJ,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Barford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Marais R. Mechanism of activation of the RAF-ERK signaling pathway by oncogenic mutations of B-RAF.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Cell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116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855-867 [PMID: 15035987]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2</w:t>
      </w:r>
      <w:r w:rsidR="00E47C2A"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Sorich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MJ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Wiese MD, Rowland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Kichenadasse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McKinnon RA,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Karapetis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CS. Extended RAS mutations and anti-EGFR monoclonal antibody survival benefit in 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metastatic colorectal cancer: a meta-analysis of randomized, controlled trials.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13-21 [PMID: 25115304 DOI: 10.1093/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annonc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/mdu378]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2</w:t>
      </w:r>
      <w:r w:rsidR="00E47C2A"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9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Di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Nicolantonio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Martini M, Molinari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Sartore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-Bianchi A, Arena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Saletti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De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Dosso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Mazzucchelli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Frattini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Siena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Bardelli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Wild-type BRAF is required for response to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panitumumab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or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5705-5712 [PMID: 19001320 DOI: 10.1200/JCO.2008.18.0786]</w:t>
      </w:r>
    </w:p>
    <w:p w:rsidR="00DA7E43" w:rsidRPr="00DA7E43" w:rsidRDefault="00E47C2A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E2412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30</w:t>
      </w:r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="00DA7E43"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Benvenuti</w:t>
      </w:r>
      <w:proofErr w:type="spellEnd"/>
      <w:r w:rsidR="00DA7E43"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Sartore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-Bianchi A, Di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Nicolantonio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Zanon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Moroni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Veronese S, Siena S,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Bardelli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Oncogenic activation of the RAS/RAF signaling pathway impairs the response of metastatic colorectal cancers to anti-epidermal growth factor receptor antibody therapies. </w:t>
      </w:r>
      <w:r w:rsidR="00DA7E43"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 Res</w:t>
      </w:r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="00DA7E43"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67</w:t>
      </w:r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2643-2648 [PMID: 17363584 DOI: 10.1158/0008-5472.CAN-06-4158]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31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Roth AD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Tejpar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Delorenzi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Yan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Fiocca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Klingbiel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Dietrich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Biesmans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Bodoky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Barone C, Aranda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Nordlinger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Cisar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Labianca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Cunningham D, Van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Bosman F. Prognostic role of KRAS and BRAF in stage II and III resected colon cancer: results of the translational study on the PETACC-3, EORTC 40993, SAKK 60-00 trial.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466-474 [PMID: 20008640 DOI: 10.1200/JCO.2009.23.3452]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32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Laurent-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Puig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Cayre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Manceau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Buc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Bachet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Lecomte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Rougier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Lievre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Landi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Boige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Ducreux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Ychou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Bibeau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Bouché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Reid J, Stone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Penault-Llorca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Analysis of PTEN, BRAF, and EGFR status in determining benefit from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in wild-type KRAS metastatic colon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5924-5930 [PMID: 19884556 DOI: 10.1200/JCO.2008.21.6796]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33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Loupakis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Ruzzo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Cremolini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Vincenzi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Salvatore 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Santini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Masi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Stasi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Canestrari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Rulli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Floriani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Bencardino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Galluccio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Catalano V,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Tonini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Magnani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Fontanini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Basolo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Falcone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Graziano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KRAS codon 61, 146 and BRAF mutations predict resistance to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irinotecan in KRAS codon 12 and 13 wild-type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Br J Cancer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101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715-721 [PMID: 19603018 DOI: 10.1038/sj.bjc.6605177]</w:t>
      </w:r>
    </w:p>
    <w:p w:rsidR="00DA7E43" w:rsidRPr="00DA7E43" w:rsidRDefault="008C7E70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CE2412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34 </w:t>
      </w:r>
      <w:proofErr w:type="spellStart"/>
      <w:r w:rsidR="00DA7E43"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Kopetz</w:t>
      </w:r>
      <w:proofErr w:type="spellEnd"/>
      <w:r w:rsidR="00DA7E43"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S</w:t>
      </w:r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Desai J, Chan E, Hecht JR,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O'Dwyer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PJ, Lee RJ,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Nolop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KB,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Saltz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PLX4032 in metastatic colorectal cancer patients with mutant BRAF tumors. </w:t>
      </w:r>
      <w:r w:rsidR="00DA7E43"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J </w:t>
      </w:r>
      <w:proofErr w:type="spellStart"/>
      <w:r w:rsidR="00DA7E43"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Clin</w:t>
      </w:r>
      <w:proofErr w:type="spellEnd"/>
      <w:r w:rsidR="00DA7E43"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="00DA7E43" w:rsidRPr="00DA7E43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Oncol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="00DA7E43" w:rsidRPr="00DA7E4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28</w:t>
      </w:r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Suppl</w:t>
      </w:r>
      <w:proofErr w:type="spellEnd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15s. </w:t>
      </w:r>
      <w:proofErr w:type="gramStart"/>
      <w:r w:rsidR="00DA7E43"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abstract</w:t>
      </w:r>
      <w:proofErr w:type="gramEnd"/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35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Prahallad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Sun C, Huang S, Di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Nicolantonio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Salazar 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Zecchin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Beijersbergen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Bardelli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Bernards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Unresponsiveness of colon cancer to BRAF(V600E) inhibition through feedback activation of EGFR.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Nature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483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100-103 [PMID: 22281684 DOI: 10.1038/nature10868]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36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Corcoran RB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Ebi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Turke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AB, Coffee EM, Nishino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Cogdill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AP, Brown RD, Della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Pelle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Dias-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Santagata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Hung KE, Flaherty KT,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Piris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Wargo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Settleman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Mino-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Kenudson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Engelman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JA. EGFR-mediated re-activation of MAPK signaling contributes to insensitivity of BRAF mutant colorectal cancers to RAF inhibition with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vemurafenib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Cancer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Discov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227-235 [PMID: 22448344 DOI: 10.1158/2159-8290.CD-11-0341]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37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Hyman DM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Puzanov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Subbiah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Faris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JE, Chau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Blay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JY, Wolf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Raje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NS, Diamond EL,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Hollebecque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Gervais 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Elez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-Fernandez ME,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Italiano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Hofheinz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RD, Hidalgo M, Chan E, Schuler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Lasserre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Makrutzki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Sirzen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Veronese ML,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Tabernero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Baselga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Vemurafenib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Multiple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Nonmelanoma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Cancers with BRAF V600 Mutations.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373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726-736 [PMID: 26287849 DOI: 10.1056/NEJMoa1502309]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38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Perrone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Lampis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Orsenigo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Di Bartolomeo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Gevorgyan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Losa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Frattini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Riva 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Andreola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Bajetta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Bertario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Leo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Pierotti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Pilotti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PI3KCA/PTEN deregulation contributes to impaired responses to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metastatic colorectal cancer patients.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84-90 [PMID: 18669866 DOI: 10.1093/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annonc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/mdn541]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39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Frattini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Saletti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Romagnani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Martin V, Molinari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Ghisletta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Camponovo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Etienne LL,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Cavalli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Mazzucchelli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PTEN loss of expression predicts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efficacy in metastatic colorectal cancer patients.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Br J Cancer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97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1139-1145 [PMID: 17940504 DOI: 10.1038/sj.bjc.6604009]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40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Loupakis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Pollina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Stasi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Ruzzo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Scartozzi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Santini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Masi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Graziano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Cremolini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Rulli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Canestrari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Funel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Schiavon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Petrini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Magnani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Tonini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Campani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Floriani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Cascinu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Falcone A. PTEN expression and KRAS mutations on primary tumors and metastases in the prediction of benefit from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irinotecan for patients with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2622-2629 [PMID: 19398573 DOI: 10.1200/JCO.2008.20.2796]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41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Tural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Batur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Erdamar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Akar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Kepil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Mandel NM,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Serdengeçti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Analysis of PTEN, BRAF and PI3K status for determination of benefit from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in metastatic colorectal cancer patients refractory to chemotherapy with wild-type KRAS.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Tumour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1041-1049 [PMID: 23996432 DOI: 10.1007/s13277-013-1138-8]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42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Saridaki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Z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Tzardi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Papadaki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Sfakianaki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Pega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Kalikaki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Tsakalaki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Trypaki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Messaritakis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Stathopoulos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Mavroudis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Georgoulias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Souglakos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Impact of KRAS, BRAF, PIK3CA mutations, PTEN, AREG, EREG expression and skin rash in ≥ 2 line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-based therapy of colorectal cancer patients.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PLoS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One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e15980 [PMID: 21283802 DOI: 10.1371/journal.pone.0015980]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43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Mao C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Yang ZY, Hu XF, Chen Q, Tang JL. PIK3CA exon 20 mutations as a potential biomarker for resistance to anti-EGFR monoclonal antibodies in KRAS wild-type metastatic colorectal cancer: a systematic review and meta-analysis.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1518-1525 [PMID: 22039088 DOI: 10.1093/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annonc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/mdr464]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44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De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Roock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W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Claes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Bernasconi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De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Schutter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Biesmans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Fountzilas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Kalogeras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KT,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Kotoula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Papamichael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Laurent-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Puig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Penault-Llorca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Rougier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Vincenzi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Santini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Tonini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Cappuzzo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Frattini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Molinari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Saletti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De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Dosso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Martini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Bardelli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Siena S,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Sartore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-Bianchi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Tabernero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Macarulla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Di Fiore F,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Gangloff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AO,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Ciardiello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Pfeiffer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Qvortrup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Hansen TP, Van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Piessevaux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Lambrechts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Delorenzi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Tejpar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Effects of KRAS, BRAF, NRAS, and PIK3CA mutations on the efficacy of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chemotherapy in chemotherapy-refractory metastatic colorectal cancer: a retrospective consortium analysis.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Lancet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753-762 [PMID: 20619739 DOI: 10.1016/S1470-2045(10)70130-3]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45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Prenen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Schutter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Jacobs B, De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Roock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Biesmans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Claes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Lambrechts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Van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Cutsem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Tejpar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PIK3CA mutations are not a major determinant of resistance to the epidermal growth factor receptor inhibitor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metastatic colorectal cancer.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 Res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3184-3188 [PMID: 19366826 DOI: 10.1158/1078-0432.CCR-08-2961]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46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Bardelli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Siena S. Molecular mechanisms of resistance to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panitumumab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colorectal cancer.</w:t>
      </w:r>
      <w:proofErr w:type="gram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1254-1261 [PMID: 20100961 DOI: 10.1200/JCO.2009.24.6116]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47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Kaleko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Rutter WJ, Miller AD. Overexpression of the human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insulinlike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growth factor I receptor promotes ligand-dependent neoplastic transformation.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Cell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1990;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464-473 [PMID: 2153917]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48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Ouban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Muraca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Yeatman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Coppola D. Expression and distribution of insulin-like growth factor-1 receptor in human carcinomas.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Hum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803-808 [PMID: 14506643]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49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Hailey J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Maxwell E,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Koukouras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Bishop WR,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Pachter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JA, Wang Y. Neutralizing anti-insulin-like growth factor receptor 1 antibodies inhibit receptor function and induce receptor degradation in tumor cells.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1349-1353 [PMID: 12516969]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50 </w:t>
      </w:r>
      <w:proofErr w:type="spellStart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Reinmuth</w:t>
      </w:r>
      <w:proofErr w:type="spellEnd"/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Liu W, Fan F, Jung YD, Ahmad SA,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Stoeltzing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Bucana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CD, Radinsky R, Ellis LM. Blockade of insulin-like growth factor I receptor function inhibits growth and angiogenesis of colon cancer.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 Res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3259-3269 [PMID: 12374697]</w:t>
      </w:r>
    </w:p>
    <w:p w:rsidR="00DA7E43" w:rsidRPr="00DA7E43" w:rsidRDefault="00DA7E43" w:rsidP="00DA7E4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51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Reidy DL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Vakiani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Fakih MG,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Saif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MW, Hecht JR, Goodman-Davis N, Hollywood E, Shia J, Schwartz J,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Chandrawansa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Dontabhaktuni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Youssoufian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Solit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DB,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Saltz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LB. Randomized, phase II study of the insulin-like growth factor-1 receptor inhibitor IMC-A12, with or without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in patients with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 or </w:t>
      </w:r>
      <w:proofErr w:type="spellStart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panitumumab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-refractory metastatic colorectal cancer. </w:t>
      </w:r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DA7E43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DA7E43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DA7E43">
        <w:rPr>
          <w:rFonts w:ascii="Book Antiqua" w:eastAsia="宋体" w:hAnsi="Book Antiqua" w:cs="宋体"/>
          <w:sz w:val="24"/>
          <w:szCs w:val="24"/>
          <w:lang w:val="en-US" w:eastAsia="zh-CN"/>
        </w:rPr>
        <w:t>: 4240-4246 [PMID: 20713879 DOI: 10.1200/JCO.2010.30.4154]</w:t>
      </w:r>
    </w:p>
    <w:p w:rsidR="00C3364A" w:rsidRPr="00CE2412" w:rsidRDefault="00C3364A" w:rsidP="008C7E70">
      <w:pPr>
        <w:spacing w:after="0" w:line="360" w:lineRule="auto"/>
        <w:jc w:val="right"/>
        <w:rPr>
          <w:rFonts w:ascii="Book Antiqua" w:hAnsi="Book Antiqua"/>
          <w:sz w:val="24"/>
          <w:szCs w:val="24"/>
          <w:lang w:val="en-US" w:eastAsia="zh-CN"/>
        </w:rPr>
      </w:pPr>
    </w:p>
    <w:p w:rsidR="00C3364A" w:rsidRPr="00CE2412" w:rsidRDefault="00C3364A" w:rsidP="008C7E70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CE2412">
        <w:rPr>
          <w:rFonts w:ascii="Book Antiqua" w:hAnsi="Book Antiqua"/>
          <w:b/>
          <w:sz w:val="24"/>
          <w:szCs w:val="24"/>
        </w:rPr>
        <w:t>P-Reviewer:</w:t>
      </w:r>
      <w:r w:rsidRPr="00CE2412">
        <w:rPr>
          <w:rStyle w:val="Balk1Char"/>
          <w:rFonts w:ascii="Book Antiqua" w:eastAsiaTheme="minorEastAsia" w:hAnsi="Book Antiqua" w:cs="Tahoma"/>
          <w:color w:val="auto"/>
          <w:sz w:val="24"/>
          <w:szCs w:val="24"/>
        </w:rPr>
        <w:t xml:space="preserve"> </w:t>
      </w:r>
      <w:r w:rsidRPr="00CE2412">
        <w:rPr>
          <w:rStyle w:val="apple-converted-space"/>
          <w:rFonts w:ascii="Book Antiqua" w:hAnsi="Book Antiqua" w:cs="Tahoma"/>
          <w:sz w:val="24"/>
          <w:szCs w:val="24"/>
        </w:rPr>
        <w:t> </w:t>
      </w:r>
      <w:r w:rsidRPr="00CE2412">
        <w:rPr>
          <w:rFonts w:ascii="Book Antiqua" w:hAnsi="Book Antiqua" w:cs="Tahoma"/>
          <w:sz w:val="24"/>
          <w:szCs w:val="24"/>
        </w:rPr>
        <w:t>Chae</w:t>
      </w:r>
      <w:r w:rsidRPr="00CE2412">
        <w:rPr>
          <w:rFonts w:ascii="Book Antiqua" w:hAnsi="Book Antiqua" w:cs="Tahoma"/>
          <w:sz w:val="24"/>
          <w:szCs w:val="24"/>
          <w:lang w:eastAsia="zh-CN"/>
        </w:rPr>
        <w:t xml:space="preserve"> SC, </w:t>
      </w:r>
      <w:r w:rsidRPr="00CE2412">
        <w:rPr>
          <w:rFonts w:ascii="Book Antiqua" w:hAnsi="Book Antiqua" w:cs="Tahoma"/>
          <w:sz w:val="24"/>
          <w:szCs w:val="24"/>
        </w:rPr>
        <w:t>Furka</w:t>
      </w:r>
      <w:r w:rsidRPr="00CE2412">
        <w:rPr>
          <w:rFonts w:ascii="Book Antiqua" w:hAnsi="Book Antiqua" w:cs="Tahoma"/>
          <w:sz w:val="24"/>
          <w:szCs w:val="24"/>
          <w:lang w:eastAsia="zh-CN"/>
        </w:rPr>
        <w:t xml:space="preserve"> A, </w:t>
      </w:r>
      <w:r w:rsidRPr="00CE2412">
        <w:rPr>
          <w:rFonts w:ascii="Book Antiqua" w:hAnsi="Book Antiqua" w:cs="Tahoma"/>
          <w:sz w:val="24"/>
          <w:szCs w:val="24"/>
        </w:rPr>
        <w:t>Li</w:t>
      </w:r>
      <w:r w:rsidRPr="00CE2412">
        <w:rPr>
          <w:rFonts w:ascii="Book Antiqua" w:hAnsi="Book Antiqua" w:cs="Tahoma"/>
          <w:sz w:val="24"/>
          <w:szCs w:val="24"/>
          <w:lang w:eastAsia="zh-CN"/>
        </w:rPr>
        <w:t xml:space="preserve"> YY, </w:t>
      </w:r>
      <w:r w:rsidRPr="00CE2412">
        <w:rPr>
          <w:rFonts w:ascii="Book Antiqua" w:hAnsi="Book Antiqua" w:cs="Tahoma"/>
          <w:sz w:val="24"/>
          <w:szCs w:val="24"/>
        </w:rPr>
        <w:t>Suarez</w:t>
      </w:r>
      <w:r w:rsidRPr="00CE2412">
        <w:rPr>
          <w:rFonts w:ascii="Book Antiqua" w:hAnsi="Book Antiqua" w:cs="Tahoma"/>
          <w:sz w:val="24"/>
          <w:szCs w:val="24"/>
          <w:lang w:eastAsia="zh-CN"/>
        </w:rPr>
        <w:t xml:space="preserve"> J</w:t>
      </w:r>
      <w:r w:rsidRPr="00CE2412">
        <w:rPr>
          <w:rFonts w:ascii="Book Antiqua" w:hAnsi="Book Antiqua"/>
          <w:b/>
          <w:sz w:val="24"/>
          <w:szCs w:val="24"/>
        </w:rPr>
        <w:t xml:space="preserve"> S-Editor: </w:t>
      </w:r>
      <w:r w:rsidRPr="00CE2412">
        <w:rPr>
          <w:rFonts w:ascii="Book Antiqua" w:hAnsi="Book Antiqua"/>
          <w:sz w:val="24"/>
          <w:szCs w:val="24"/>
        </w:rPr>
        <w:t>Ji FF</w:t>
      </w:r>
      <w:r w:rsidRPr="00CE2412">
        <w:rPr>
          <w:rFonts w:ascii="Book Antiqua" w:hAnsi="Book Antiqua"/>
          <w:b/>
          <w:sz w:val="24"/>
          <w:szCs w:val="24"/>
        </w:rPr>
        <w:t xml:space="preserve"> L-Editor: E-Editor:  </w:t>
      </w:r>
    </w:p>
    <w:p w:rsidR="00C3364A" w:rsidRPr="00CE2412" w:rsidRDefault="00C3364A" w:rsidP="00505C25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  <w:sectPr w:rsidR="00C3364A" w:rsidRPr="00CE2412" w:rsidSect="00870A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9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467"/>
        <w:gridCol w:w="1586"/>
        <w:gridCol w:w="1267"/>
        <w:gridCol w:w="3384"/>
        <w:gridCol w:w="1404"/>
        <w:gridCol w:w="578"/>
        <w:gridCol w:w="1351"/>
        <w:gridCol w:w="578"/>
        <w:gridCol w:w="1439"/>
        <w:gridCol w:w="635"/>
      </w:tblGrid>
      <w:tr w:rsidR="00505C25" w:rsidRPr="00CE2412" w:rsidTr="00C3364A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6AB" w:rsidRPr="00CE2412" w:rsidRDefault="00C3364A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tr-TR"/>
              </w:rPr>
              <w:lastRenderedPageBreak/>
              <w:t>Table 1</w:t>
            </w:r>
            <w:r w:rsidR="003276AB" w:rsidRPr="00CE2412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tr-TR"/>
              </w:rPr>
              <w:t xml:space="preserve"> Clinical trials of targeted agents in combination with chemotherapy as first-line treatments for metastatic colorectal cancer</w:t>
            </w:r>
          </w:p>
        </w:tc>
      </w:tr>
      <w:tr w:rsidR="00CE2412" w:rsidRPr="00CE2412" w:rsidTr="00C3364A">
        <w:trPr>
          <w:trHeight w:val="33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C3364A" w:rsidP="00505C25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E2412">
              <w:rPr>
                <w:rFonts w:ascii="Book Antiqua" w:hAnsi="Book Antiqua" w:cs="Times New Roman" w:hint="eastAsia"/>
                <w:b/>
                <w:bCs/>
                <w:sz w:val="24"/>
                <w:szCs w:val="24"/>
                <w:lang w:val="en-US" w:eastAsia="zh-CN"/>
              </w:rPr>
              <w:t>R</w:t>
            </w:r>
            <w:r w:rsidRPr="00CE2412"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  <w:t>ef.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Year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Population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Patient number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Regimen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DB7C9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Median PFS (</w:t>
            </w:r>
            <w:proofErr w:type="spellStart"/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mo</w:t>
            </w:r>
            <w:proofErr w:type="spellEnd"/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1E55A7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en-US" w:eastAsia="tr-TR"/>
              </w:rPr>
              <w:t>P</w:t>
            </w:r>
            <w:r w:rsidR="001E55A7" w:rsidRPr="00CE2412">
              <w:rPr>
                <w:rFonts w:ascii="Book Antiqua" w:hAnsi="Book Antiqua" w:cs="Times New Roman" w:hint="eastAsia"/>
                <w:b/>
                <w:bCs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DB7C93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Median OS (</w:t>
            </w:r>
            <w:proofErr w:type="spellStart"/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mo</w:t>
            </w:r>
            <w:proofErr w:type="spellEnd"/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1E55A7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en-US" w:eastAsia="tr-TR"/>
              </w:rPr>
              <w:t>P</w:t>
            </w:r>
            <w:r w:rsidR="001E55A7" w:rsidRPr="00CE2412">
              <w:rPr>
                <w:rFonts w:ascii="Book Antiqua" w:hAnsi="Book Antiqua" w:cs="Times New Roman" w:hint="eastAsia"/>
                <w:b/>
                <w:bCs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Response rate (%)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1E55A7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val="en-US" w:eastAsia="tr-TR"/>
              </w:rPr>
              <w:t>P</w:t>
            </w:r>
            <w:r w:rsidR="001E55A7" w:rsidRPr="00CE2412">
              <w:rPr>
                <w:rFonts w:ascii="Book Antiqua" w:hAnsi="Book Antiqua" w:cs="Times New Roman" w:hint="eastAsia"/>
                <w:b/>
                <w:bCs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CRYSTAL</w:t>
            </w:r>
            <w:r w:rsidR="00D305E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tr-TR"/>
              </w:rPr>
              <w:t>19</w:t>
            </w:r>
            <w:r w:rsidR="00D305E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2009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All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599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FOLFIRI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0.048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18.6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0.31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38.7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0.0038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599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FOLFIRI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8.9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19.9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46.9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WT subgroup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350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FOLFIRI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8.4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0.0012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0.0093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39.7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&lt;</w:t>
            </w:r>
            <w:r w:rsidR="00DB7C93" w:rsidRPr="00CE2412">
              <w:rPr>
                <w:rFonts w:ascii="Book Antiqua" w:hAnsi="Book Antiqua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0.001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316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FOLFIRI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9.9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23.5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57.3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MT subgroup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183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FOLFIRI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7.7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0.26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16.7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0.75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36.1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0.35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214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FOLFIRI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7.4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16.2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31.3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OPUS</w:t>
            </w:r>
            <w:r w:rsidR="00D305E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tr-TR"/>
              </w:rPr>
              <w:t>12</w:t>
            </w:r>
            <w:r w:rsidR="00D305E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2009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All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168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0.62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18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0.91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0.064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169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7.2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18.3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46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WT subgroup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0.0064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18.5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0.39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34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0.0027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8.3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22.8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57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MT subgroup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8.6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0.0153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17.5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53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0.029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5.5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13.4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34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COIN</w:t>
            </w:r>
            <w:r w:rsidR="00D305E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tr-TR"/>
              </w:rPr>
              <w:t>20</w:t>
            </w:r>
            <w:r w:rsidR="00D305E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2011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WT 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367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FOLFOX/XELOX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8.6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17.9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0.68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57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0.049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362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 FOLFOX/XELOX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8.6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17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64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WT 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127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9.2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0.056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117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9.0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WT 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240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XELOX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8.0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0.56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245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XELOX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8.4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MT 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268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FOLFOX/XELOX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14.8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0.80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297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 FOLFOX/XELOX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13.6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NORDIC-VII</w:t>
            </w:r>
            <w:r w:rsidR="00D305E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tr-TR"/>
              </w:rPr>
              <w:t>21</w:t>
            </w:r>
            <w:r w:rsidR="00D305E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2012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All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185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Nordic FLOX (control group)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20.4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194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0.31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19.7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0.67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0.15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187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intermittent FLOX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20.3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0.79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WT subgroup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Nordic FLOX (control group)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0.66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20.1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0.48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0.89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109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intermittent FLOX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21.4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0.66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MT subgroup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Nordic FLOX (control group)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20.4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9.2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21.1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0.89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0.31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65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intermittent FLOX + 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20.5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0.84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CALGB/S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lastRenderedPageBreak/>
              <w:t>WOG</w:t>
            </w:r>
            <w:r w:rsidR="006726B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tr-TR"/>
              </w:rPr>
              <w:t>22</w:t>
            </w:r>
            <w:r w:rsidR="006726B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 80405 (study is ongoing)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lastRenderedPageBreak/>
              <w:t>20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lastRenderedPageBreak/>
              <w:t>14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lastRenderedPageBreak/>
              <w:t xml:space="preserve">KRAS WT 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lastRenderedPageBreak/>
              <w:t>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lastRenderedPageBreak/>
              <w:t>578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FOLFIRI or mFOLFOX6 + 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lastRenderedPageBreak/>
              <w:t>Cetuximab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lastRenderedPageBreak/>
              <w:t>10.45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DB7C93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29.93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0.34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559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FOLFIRI or mFOLFOX6 + Bevacizumab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10.84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29.04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PRIME</w:t>
            </w:r>
            <w:r w:rsidR="006726B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tr-TR"/>
              </w:rPr>
              <w:t>8</w:t>
            </w:r>
            <w:r w:rsidR="006726B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2010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WT 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331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8.0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19.7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0.072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48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0.068</w:t>
            </w: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325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 + Panitumumab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9.6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23.9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55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MT 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219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8.8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  <w:t>0.02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19.3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0.068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40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221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FOLFOX4 + Panitumumab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7.3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15.5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40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Hyman </w:t>
            </w:r>
            <w:r w:rsidRPr="00CE2412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tr-TR"/>
              </w:rPr>
              <w:t>et al</w:t>
            </w:r>
            <w:r w:rsidR="006726B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tr-TR"/>
              </w:rPr>
              <w:t>37</w:t>
            </w:r>
            <w:r w:rsidR="006726B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2015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BRAF V600 group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proofErr w:type="spellStart"/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Vemurafenib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4.5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9.3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proofErr w:type="spellStart"/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Vemurafenib</w:t>
            </w:r>
            <w:proofErr w:type="spellEnd"/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 + </w:t>
            </w:r>
            <w:proofErr w:type="spellStart"/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Cetuximab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3.7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7.1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C3364A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Reidy </w:t>
            </w:r>
            <w:r w:rsidRPr="00CE2412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tr-TR"/>
              </w:rPr>
              <w:t>et al</w:t>
            </w:r>
            <w:r w:rsidR="006726B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tr-TR"/>
              </w:rPr>
              <w:t>48</w:t>
            </w:r>
            <w:r w:rsidR="006726B8"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2010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All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IMC-A12 (anti-IGF-1R antibody)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5.9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5.2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-</w:t>
            </w:r>
          </w:p>
        </w:tc>
      </w:tr>
      <w:tr w:rsidR="00CE2412" w:rsidRPr="00CE2412" w:rsidTr="00D7527C">
        <w:trPr>
          <w:trHeight w:val="30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IMC-A12 (anti-IGF-1R antibody) + Cetuximab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6.1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4.5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D7527C">
        <w:trPr>
          <w:trHeight w:val="300"/>
        </w:trPr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KRAS WT group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20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IMC-A12 (anti-IGF-1R antibody) + Cetuximab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9.4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10.9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AB" w:rsidRPr="00CE2412" w:rsidRDefault="003276AB" w:rsidP="00505C25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</w:pPr>
          </w:p>
        </w:tc>
      </w:tr>
      <w:tr w:rsidR="00CE2412" w:rsidRPr="00CE2412" w:rsidTr="00D7527C">
        <w:trPr>
          <w:trHeight w:val="8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543" w:rsidRPr="00CE2412" w:rsidRDefault="007C1543" w:rsidP="001E55A7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</w:pPr>
          </w:p>
          <w:p w:rsidR="003276AB" w:rsidRPr="00CE2412" w:rsidRDefault="001E55A7" w:rsidP="001E55A7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CE2412">
              <w:rPr>
                <w:rFonts w:ascii="Book Antiqua" w:hAnsi="Book Antiqua" w:cs="Times New Roman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95%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 confidence i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nterval</w:t>
            </w:r>
            <w:r w:rsidRPr="00CE2412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 xml:space="preserve">. 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PFS: Progression-free survival; OS: Overall survival; All: All patients group; WT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: Wild type; MT: Mutant type; N</w:t>
            </w:r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A: Not available; KRAS: KRAS exon 2, codons 12 and 13; FOLFIRI: Irinotecan, fluorouracil, and </w:t>
            </w:r>
            <w:proofErr w:type="spellStart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leucovorin</w:t>
            </w:r>
            <w:proofErr w:type="spellEnd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; FOLFOX: Fluorouracil, </w:t>
            </w:r>
            <w:proofErr w:type="spellStart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leucovorin</w:t>
            </w:r>
            <w:proofErr w:type="spellEnd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, and </w:t>
            </w:r>
            <w:proofErr w:type="spellStart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oxaliplatin</w:t>
            </w:r>
            <w:proofErr w:type="spellEnd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; XELOX: </w:t>
            </w:r>
            <w:proofErr w:type="spellStart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Capecitabine</w:t>
            </w:r>
            <w:proofErr w:type="spellEnd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 and </w:t>
            </w:r>
            <w:proofErr w:type="spellStart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oxaliplatin</w:t>
            </w:r>
            <w:proofErr w:type="spellEnd"/>
            <w:r w:rsidR="003276AB"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; FLOX: Fluorouraci</w:t>
            </w:r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l, </w:t>
            </w:r>
            <w:proofErr w:type="spellStart"/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leucovorin</w:t>
            </w:r>
            <w:proofErr w:type="spellEnd"/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 xml:space="preserve">, and </w:t>
            </w:r>
            <w:proofErr w:type="spellStart"/>
            <w:r w:rsidRPr="00CE2412">
              <w:rPr>
                <w:rFonts w:ascii="Book Antiqua" w:eastAsia="Times New Roman" w:hAnsi="Book Antiqua" w:cs="Times New Roman"/>
                <w:sz w:val="24"/>
                <w:szCs w:val="24"/>
                <w:lang w:val="en-US" w:eastAsia="tr-TR"/>
              </w:rPr>
              <w:t>oxaliplatin</w:t>
            </w:r>
            <w:proofErr w:type="spellEnd"/>
            <w:r w:rsidRPr="00CE2412">
              <w:rPr>
                <w:rFonts w:ascii="Book Antiqua" w:hAnsi="Book Antiqua" w:cs="Times New Roman" w:hint="eastAsia"/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A837B4" w:rsidRPr="00CE2412" w:rsidRDefault="00A837B4" w:rsidP="00505C2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sectPr w:rsidR="00A837B4" w:rsidRPr="00CE2412" w:rsidSect="00327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E7" w:rsidRDefault="007F6CE7" w:rsidP="00837CDA">
      <w:pPr>
        <w:spacing w:after="0" w:line="240" w:lineRule="auto"/>
      </w:pPr>
      <w:r>
        <w:separator/>
      </w:r>
    </w:p>
  </w:endnote>
  <w:endnote w:type="continuationSeparator" w:id="0">
    <w:p w:rsidR="007F6CE7" w:rsidRDefault="007F6CE7" w:rsidP="0083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aker2Lance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E7" w:rsidRDefault="007F6CE7" w:rsidP="00837CDA">
      <w:pPr>
        <w:spacing w:after="0" w:line="240" w:lineRule="auto"/>
      </w:pPr>
      <w:r>
        <w:separator/>
      </w:r>
    </w:p>
  </w:footnote>
  <w:footnote w:type="continuationSeparator" w:id="0">
    <w:p w:rsidR="007F6CE7" w:rsidRDefault="007F6CE7" w:rsidP="0083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482"/>
    <w:multiLevelType w:val="hybridMultilevel"/>
    <w:tmpl w:val="E8A2245C"/>
    <w:lvl w:ilvl="0" w:tplc="09F08A4C">
      <w:start w:val="1"/>
      <w:numFmt w:val="decimal"/>
      <w:lvlText w:val="%1."/>
      <w:lvlJc w:val="left"/>
      <w:pPr>
        <w:ind w:left="720" w:hanging="360"/>
      </w:pPr>
      <w:rPr>
        <w:rFonts w:ascii="AdvTT3713a231" w:eastAsiaTheme="minorHAnsi" w:hAnsi="AdvTT3713a231" w:cs="AdvTT3713a231" w:hint="default"/>
        <w:color w:val="13141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49F"/>
    <w:multiLevelType w:val="hybridMultilevel"/>
    <w:tmpl w:val="E8A2245C"/>
    <w:lvl w:ilvl="0" w:tplc="09F08A4C">
      <w:start w:val="1"/>
      <w:numFmt w:val="decimal"/>
      <w:lvlText w:val="%1."/>
      <w:lvlJc w:val="left"/>
      <w:pPr>
        <w:ind w:left="720" w:hanging="360"/>
      </w:pPr>
      <w:rPr>
        <w:rFonts w:ascii="AdvTT3713a231" w:eastAsiaTheme="minorHAnsi" w:hAnsi="AdvTT3713a231" w:cs="AdvTT3713a231" w:hint="default"/>
        <w:color w:val="13141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6C2D"/>
    <w:multiLevelType w:val="multilevel"/>
    <w:tmpl w:val="B2A4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71861"/>
    <w:multiLevelType w:val="hybridMultilevel"/>
    <w:tmpl w:val="E8A2245C"/>
    <w:lvl w:ilvl="0" w:tplc="09F08A4C">
      <w:start w:val="1"/>
      <w:numFmt w:val="decimal"/>
      <w:lvlText w:val="%1."/>
      <w:lvlJc w:val="left"/>
      <w:pPr>
        <w:ind w:left="720" w:hanging="360"/>
      </w:pPr>
      <w:rPr>
        <w:rFonts w:ascii="AdvTT3713a231" w:eastAsiaTheme="minorHAnsi" w:hAnsi="AdvTT3713a231" w:cs="AdvTT3713a231" w:hint="default"/>
        <w:color w:val="13141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23BF"/>
    <w:multiLevelType w:val="hybridMultilevel"/>
    <w:tmpl w:val="E8A2245C"/>
    <w:lvl w:ilvl="0" w:tplc="09F08A4C">
      <w:start w:val="1"/>
      <w:numFmt w:val="decimal"/>
      <w:lvlText w:val="%1."/>
      <w:lvlJc w:val="left"/>
      <w:pPr>
        <w:ind w:left="720" w:hanging="360"/>
      </w:pPr>
      <w:rPr>
        <w:rFonts w:ascii="AdvTT3713a231" w:eastAsiaTheme="minorHAnsi" w:hAnsi="AdvTT3713a231" w:cs="AdvTT3713a231" w:hint="default"/>
        <w:color w:val="13141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10C9E"/>
    <w:multiLevelType w:val="hybridMultilevel"/>
    <w:tmpl w:val="E8A2245C"/>
    <w:lvl w:ilvl="0" w:tplc="09F08A4C">
      <w:start w:val="1"/>
      <w:numFmt w:val="decimal"/>
      <w:lvlText w:val="%1."/>
      <w:lvlJc w:val="left"/>
      <w:pPr>
        <w:ind w:left="720" w:hanging="360"/>
      </w:pPr>
      <w:rPr>
        <w:rFonts w:ascii="AdvTT3713a231" w:eastAsiaTheme="minorHAnsi" w:hAnsi="AdvTT3713a231" w:cs="AdvTT3713a231" w:hint="default"/>
        <w:color w:val="13141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BC4F04"/>
    <w:multiLevelType w:val="hybridMultilevel"/>
    <w:tmpl w:val="E8A2245C"/>
    <w:lvl w:ilvl="0" w:tplc="09F08A4C">
      <w:start w:val="1"/>
      <w:numFmt w:val="decimal"/>
      <w:lvlText w:val="%1."/>
      <w:lvlJc w:val="left"/>
      <w:pPr>
        <w:ind w:left="720" w:hanging="360"/>
      </w:pPr>
      <w:rPr>
        <w:rFonts w:ascii="AdvTT3713a231" w:eastAsiaTheme="minorHAnsi" w:hAnsi="AdvTT3713a231" w:cs="AdvTT3713a231" w:hint="default"/>
        <w:color w:val="13141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44283"/>
    <w:multiLevelType w:val="hybridMultilevel"/>
    <w:tmpl w:val="D7E04D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02743"/>
    <w:multiLevelType w:val="hybridMultilevel"/>
    <w:tmpl w:val="E8A2245C"/>
    <w:lvl w:ilvl="0" w:tplc="09F08A4C">
      <w:start w:val="1"/>
      <w:numFmt w:val="decimal"/>
      <w:lvlText w:val="%1."/>
      <w:lvlJc w:val="left"/>
      <w:pPr>
        <w:ind w:left="720" w:hanging="360"/>
      </w:pPr>
      <w:rPr>
        <w:rFonts w:ascii="AdvTT3713a231" w:eastAsiaTheme="minorHAnsi" w:hAnsi="AdvTT3713a231" w:cs="AdvTT3713a231" w:hint="default"/>
        <w:color w:val="13141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General Internal 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D38BC"/>
    <w:rsid w:val="00001FB4"/>
    <w:rsid w:val="000059B2"/>
    <w:rsid w:val="00011E76"/>
    <w:rsid w:val="000120E2"/>
    <w:rsid w:val="00013231"/>
    <w:rsid w:val="000268ED"/>
    <w:rsid w:val="0005613B"/>
    <w:rsid w:val="000568DA"/>
    <w:rsid w:val="00081F37"/>
    <w:rsid w:val="00085603"/>
    <w:rsid w:val="000B5E00"/>
    <w:rsid w:val="000C0D0B"/>
    <w:rsid w:val="000D715B"/>
    <w:rsid w:val="000D7D93"/>
    <w:rsid w:val="001036F9"/>
    <w:rsid w:val="00105F63"/>
    <w:rsid w:val="0010773C"/>
    <w:rsid w:val="001140AD"/>
    <w:rsid w:val="0013733A"/>
    <w:rsid w:val="00154522"/>
    <w:rsid w:val="001743D7"/>
    <w:rsid w:val="001930A6"/>
    <w:rsid w:val="001A6E12"/>
    <w:rsid w:val="001D7998"/>
    <w:rsid w:val="001E0CF7"/>
    <w:rsid w:val="001E11D3"/>
    <w:rsid w:val="001E43E9"/>
    <w:rsid w:val="001E55A7"/>
    <w:rsid w:val="0021378B"/>
    <w:rsid w:val="002149C9"/>
    <w:rsid w:val="002272FC"/>
    <w:rsid w:val="002279E3"/>
    <w:rsid w:val="002317F8"/>
    <w:rsid w:val="00246EDB"/>
    <w:rsid w:val="002615BB"/>
    <w:rsid w:val="0029005D"/>
    <w:rsid w:val="002926EF"/>
    <w:rsid w:val="002F1457"/>
    <w:rsid w:val="002F56E8"/>
    <w:rsid w:val="00303A74"/>
    <w:rsid w:val="00315E24"/>
    <w:rsid w:val="003276AB"/>
    <w:rsid w:val="003341BD"/>
    <w:rsid w:val="0033626B"/>
    <w:rsid w:val="00340987"/>
    <w:rsid w:val="00375D68"/>
    <w:rsid w:val="003869DA"/>
    <w:rsid w:val="00387061"/>
    <w:rsid w:val="003928FC"/>
    <w:rsid w:val="003C0512"/>
    <w:rsid w:val="003F6C81"/>
    <w:rsid w:val="00410E90"/>
    <w:rsid w:val="0041157F"/>
    <w:rsid w:val="00426F71"/>
    <w:rsid w:val="00432BD2"/>
    <w:rsid w:val="00437091"/>
    <w:rsid w:val="00450B01"/>
    <w:rsid w:val="004522D2"/>
    <w:rsid w:val="00463B11"/>
    <w:rsid w:val="0047123F"/>
    <w:rsid w:val="00473B89"/>
    <w:rsid w:val="004948BF"/>
    <w:rsid w:val="004C52EA"/>
    <w:rsid w:val="004E29C8"/>
    <w:rsid w:val="004E5AEB"/>
    <w:rsid w:val="004F7123"/>
    <w:rsid w:val="00505C25"/>
    <w:rsid w:val="00524840"/>
    <w:rsid w:val="00525591"/>
    <w:rsid w:val="005622C7"/>
    <w:rsid w:val="00565926"/>
    <w:rsid w:val="005670D0"/>
    <w:rsid w:val="00571935"/>
    <w:rsid w:val="00581E77"/>
    <w:rsid w:val="00581F5D"/>
    <w:rsid w:val="0058377A"/>
    <w:rsid w:val="00591926"/>
    <w:rsid w:val="005A2982"/>
    <w:rsid w:val="005B415E"/>
    <w:rsid w:val="005B595E"/>
    <w:rsid w:val="005C0AF9"/>
    <w:rsid w:val="005D33D7"/>
    <w:rsid w:val="005D5829"/>
    <w:rsid w:val="005F1167"/>
    <w:rsid w:val="00600EDE"/>
    <w:rsid w:val="006014F9"/>
    <w:rsid w:val="00603AA7"/>
    <w:rsid w:val="00612934"/>
    <w:rsid w:val="00620840"/>
    <w:rsid w:val="0064188C"/>
    <w:rsid w:val="00643E22"/>
    <w:rsid w:val="00650579"/>
    <w:rsid w:val="00650B06"/>
    <w:rsid w:val="006726B8"/>
    <w:rsid w:val="006753DC"/>
    <w:rsid w:val="006800D3"/>
    <w:rsid w:val="00686ED7"/>
    <w:rsid w:val="006A6005"/>
    <w:rsid w:val="006B10E0"/>
    <w:rsid w:val="006B58F9"/>
    <w:rsid w:val="007049D3"/>
    <w:rsid w:val="00714C3D"/>
    <w:rsid w:val="00720771"/>
    <w:rsid w:val="00724D6D"/>
    <w:rsid w:val="007424F1"/>
    <w:rsid w:val="007606C0"/>
    <w:rsid w:val="007620EC"/>
    <w:rsid w:val="00772F40"/>
    <w:rsid w:val="00796ECF"/>
    <w:rsid w:val="007B24F6"/>
    <w:rsid w:val="007B3D23"/>
    <w:rsid w:val="007B4592"/>
    <w:rsid w:val="007C1543"/>
    <w:rsid w:val="007D2731"/>
    <w:rsid w:val="007D33D1"/>
    <w:rsid w:val="007D38BC"/>
    <w:rsid w:val="007E0DCA"/>
    <w:rsid w:val="007E14C3"/>
    <w:rsid w:val="007E2463"/>
    <w:rsid w:val="007E2861"/>
    <w:rsid w:val="007F0F4F"/>
    <w:rsid w:val="007F4FE1"/>
    <w:rsid w:val="007F6CE7"/>
    <w:rsid w:val="00812996"/>
    <w:rsid w:val="00813E61"/>
    <w:rsid w:val="008161B9"/>
    <w:rsid w:val="008349CE"/>
    <w:rsid w:val="00837CDA"/>
    <w:rsid w:val="008611E8"/>
    <w:rsid w:val="00867FFB"/>
    <w:rsid w:val="00870A4F"/>
    <w:rsid w:val="00872DF8"/>
    <w:rsid w:val="008C7E70"/>
    <w:rsid w:val="00906959"/>
    <w:rsid w:val="00916586"/>
    <w:rsid w:val="009252C2"/>
    <w:rsid w:val="0095569E"/>
    <w:rsid w:val="009846B0"/>
    <w:rsid w:val="00990C57"/>
    <w:rsid w:val="009A1953"/>
    <w:rsid w:val="009B530D"/>
    <w:rsid w:val="009D0B04"/>
    <w:rsid w:val="009E0947"/>
    <w:rsid w:val="009F7DEA"/>
    <w:rsid w:val="00A079FE"/>
    <w:rsid w:val="00A308BA"/>
    <w:rsid w:val="00A44567"/>
    <w:rsid w:val="00A505BA"/>
    <w:rsid w:val="00A53F2D"/>
    <w:rsid w:val="00A5601A"/>
    <w:rsid w:val="00A66243"/>
    <w:rsid w:val="00A676D9"/>
    <w:rsid w:val="00A67971"/>
    <w:rsid w:val="00A837B4"/>
    <w:rsid w:val="00AA0201"/>
    <w:rsid w:val="00AA1E33"/>
    <w:rsid w:val="00AB0B42"/>
    <w:rsid w:val="00AC24B8"/>
    <w:rsid w:val="00AD2631"/>
    <w:rsid w:val="00AD3433"/>
    <w:rsid w:val="00AD45A1"/>
    <w:rsid w:val="00AE1509"/>
    <w:rsid w:val="00AE3C50"/>
    <w:rsid w:val="00AF02EB"/>
    <w:rsid w:val="00B02BEC"/>
    <w:rsid w:val="00B03C70"/>
    <w:rsid w:val="00B10657"/>
    <w:rsid w:val="00B26DBB"/>
    <w:rsid w:val="00B5209F"/>
    <w:rsid w:val="00B549B1"/>
    <w:rsid w:val="00B57534"/>
    <w:rsid w:val="00B74790"/>
    <w:rsid w:val="00BB06ED"/>
    <w:rsid w:val="00BB5597"/>
    <w:rsid w:val="00BC2AE7"/>
    <w:rsid w:val="00BC4AAF"/>
    <w:rsid w:val="00BE3589"/>
    <w:rsid w:val="00C03384"/>
    <w:rsid w:val="00C214E5"/>
    <w:rsid w:val="00C265A6"/>
    <w:rsid w:val="00C3364A"/>
    <w:rsid w:val="00C364C7"/>
    <w:rsid w:val="00C37A65"/>
    <w:rsid w:val="00C50ED4"/>
    <w:rsid w:val="00C906B2"/>
    <w:rsid w:val="00C9364A"/>
    <w:rsid w:val="00C938F3"/>
    <w:rsid w:val="00CB0496"/>
    <w:rsid w:val="00CB1795"/>
    <w:rsid w:val="00CB2049"/>
    <w:rsid w:val="00CC2D9C"/>
    <w:rsid w:val="00CD1662"/>
    <w:rsid w:val="00CE2412"/>
    <w:rsid w:val="00D002DB"/>
    <w:rsid w:val="00D104D0"/>
    <w:rsid w:val="00D12961"/>
    <w:rsid w:val="00D305E8"/>
    <w:rsid w:val="00D317A0"/>
    <w:rsid w:val="00D43E80"/>
    <w:rsid w:val="00D66629"/>
    <w:rsid w:val="00D7527C"/>
    <w:rsid w:val="00D85C83"/>
    <w:rsid w:val="00D93BF3"/>
    <w:rsid w:val="00DA1C1E"/>
    <w:rsid w:val="00DA4936"/>
    <w:rsid w:val="00DA720E"/>
    <w:rsid w:val="00DA7E43"/>
    <w:rsid w:val="00DB7C93"/>
    <w:rsid w:val="00DC1E74"/>
    <w:rsid w:val="00DE3A54"/>
    <w:rsid w:val="00DF3622"/>
    <w:rsid w:val="00E135CC"/>
    <w:rsid w:val="00E15674"/>
    <w:rsid w:val="00E24EFD"/>
    <w:rsid w:val="00E26BEB"/>
    <w:rsid w:val="00E47C2A"/>
    <w:rsid w:val="00E5258F"/>
    <w:rsid w:val="00E546D1"/>
    <w:rsid w:val="00E63529"/>
    <w:rsid w:val="00E669C9"/>
    <w:rsid w:val="00E670F4"/>
    <w:rsid w:val="00E7579B"/>
    <w:rsid w:val="00EA02DE"/>
    <w:rsid w:val="00EA71DA"/>
    <w:rsid w:val="00EA7F9F"/>
    <w:rsid w:val="00ED33AA"/>
    <w:rsid w:val="00ED6A34"/>
    <w:rsid w:val="00EE7D4E"/>
    <w:rsid w:val="00EF5993"/>
    <w:rsid w:val="00F115ED"/>
    <w:rsid w:val="00F1200D"/>
    <w:rsid w:val="00F16414"/>
    <w:rsid w:val="00F60216"/>
    <w:rsid w:val="00F82CE0"/>
    <w:rsid w:val="00F91DDB"/>
    <w:rsid w:val="00F9744A"/>
    <w:rsid w:val="00FC2B16"/>
    <w:rsid w:val="00FD2D2B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C"/>
  </w:style>
  <w:style w:type="paragraph" w:styleId="Heading1">
    <w:name w:val="heading 1"/>
    <w:basedOn w:val="Normal"/>
    <w:link w:val="Balk1Char"/>
    <w:uiPriority w:val="9"/>
    <w:qFormat/>
    <w:rsid w:val="007D38B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7D38B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tr-TR"/>
    </w:rPr>
  </w:style>
  <w:style w:type="paragraph" w:styleId="ListParagraph">
    <w:name w:val="List Paragraph"/>
    <w:basedOn w:val="Normal"/>
    <w:uiPriority w:val="34"/>
    <w:qFormat/>
    <w:rsid w:val="007D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8BC"/>
    <w:rPr>
      <w:strike w:val="0"/>
      <w:dstrike w:val="0"/>
      <w:color w:val="3366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inganchor">
    <w:name w:val="headinganchor"/>
    <w:basedOn w:val="Normal"/>
    <w:rsid w:val="007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DefaultParagraphFont"/>
    <w:rsid w:val="007D38BC"/>
  </w:style>
  <w:style w:type="character" w:customStyle="1" w:styleId="pubmed-id">
    <w:name w:val="pubmed-id"/>
    <w:basedOn w:val="DefaultParagraphFont"/>
    <w:rsid w:val="007D38BC"/>
  </w:style>
  <w:style w:type="paragraph" w:customStyle="1" w:styleId="desc2">
    <w:name w:val="desc2"/>
    <w:basedOn w:val="Normal"/>
    <w:rsid w:val="007D38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1">
    <w:name w:val="标题1"/>
    <w:basedOn w:val="Normal"/>
    <w:rsid w:val="007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rnl">
    <w:name w:val="jrnl"/>
    <w:basedOn w:val="DefaultParagraphFont"/>
    <w:rsid w:val="007D38BC"/>
  </w:style>
  <w:style w:type="paragraph" w:styleId="Header">
    <w:name w:val="header"/>
    <w:basedOn w:val="Normal"/>
    <w:link w:val="stbilgiChar"/>
    <w:uiPriority w:val="99"/>
    <w:unhideWhenUsed/>
    <w:rsid w:val="007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7D38BC"/>
    <w:rPr>
      <w:rFonts w:eastAsiaTheme="minorEastAsia"/>
    </w:rPr>
  </w:style>
  <w:style w:type="paragraph" w:styleId="Footer">
    <w:name w:val="footer"/>
    <w:basedOn w:val="Normal"/>
    <w:link w:val="AltbilgiChar"/>
    <w:uiPriority w:val="99"/>
    <w:unhideWhenUsed/>
    <w:rsid w:val="007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Footer"/>
    <w:uiPriority w:val="99"/>
    <w:rsid w:val="007D38BC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D38BC"/>
    <w:rPr>
      <w:b/>
      <w:bCs/>
    </w:rPr>
  </w:style>
  <w:style w:type="character" w:styleId="Emphasis">
    <w:name w:val="Emphasis"/>
    <w:basedOn w:val="DefaultParagraphFont"/>
    <w:uiPriority w:val="20"/>
    <w:qFormat/>
    <w:rsid w:val="007D38BC"/>
    <w:rPr>
      <w:i/>
      <w:iCs/>
    </w:rPr>
  </w:style>
  <w:style w:type="character" w:customStyle="1" w:styleId="ref2">
    <w:name w:val="ref2"/>
    <w:basedOn w:val="DefaultParagraphFont"/>
    <w:rsid w:val="007D38BC"/>
  </w:style>
  <w:style w:type="character" w:customStyle="1" w:styleId="nlmsource">
    <w:name w:val="nlm_source"/>
    <w:basedOn w:val="DefaultParagraphFont"/>
    <w:rsid w:val="007D38BC"/>
  </w:style>
  <w:style w:type="character" w:styleId="CommentReference">
    <w:name w:val="annotation reference"/>
    <w:basedOn w:val="DefaultParagraphFont"/>
    <w:uiPriority w:val="99"/>
    <w:semiHidden/>
    <w:unhideWhenUsed/>
    <w:rsid w:val="007D38BC"/>
    <w:rPr>
      <w:sz w:val="21"/>
      <w:szCs w:val="21"/>
    </w:rPr>
  </w:style>
  <w:style w:type="paragraph" w:styleId="CommentText">
    <w:name w:val="annotation text"/>
    <w:basedOn w:val="Normal"/>
    <w:link w:val="AklamaMetniChar"/>
    <w:uiPriority w:val="99"/>
    <w:unhideWhenUsed/>
    <w:rsid w:val="007D38BC"/>
  </w:style>
  <w:style w:type="character" w:customStyle="1" w:styleId="AklamaMetniChar">
    <w:name w:val="Açıklama Metni Char"/>
    <w:basedOn w:val="DefaultParagraphFont"/>
    <w:link w:val="CommentText"/>
    <w:uiPriority w:val="99"/>
    <w:rsid w:val="007D38B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7D38BC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7D38BC"/>
    <w:rPr>
      <w:rFonts w:eastAsiaTheme="minorEastAsia"/>
      <w:b/>
      <w:bCs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7D38BC"/>
    <w:pPr>
      <w:spacing w:after="0" w:line="240" w:lineRule="auto"/>
    </w:pPr>
    <w:rPr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7D38BC"/>
    <w:rPr>
      <w:rFonts w:eastAsiaTheme="minorEastAsia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D38B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38BC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D38B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D38BC"/>
    <w:rPr>
      <w:rFonts w:ascii="Calibri" w:eastAsiaTheme="minorEastAsia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7B3D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C"/>
  </w:style>
  <w:style w:type="paragraph" w:styleId="Heading1">
    <w:name w:val="heading 1"/>
    <w:basedOn w:val="Normal"/>
    <w:link w:val="Balk1Char"/>
    <w:uiPriority w:val="9"/>
    <w:qFormat/>
    <w:rsid w:val="007D38B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7D38B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tr-TR"/>
    </w:rPr>
  </w:style>
  <w:style w:type="paragraph" w:styleId="ListParagraph">
    <w:name w:val="List Paragraph"/>
    <w:basedOn w:val="Normal"/>
    <w:uiPriority w:val="34"/>
    <w:qFormat/>
    <w:rsid w:val="007D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8BC"/>
    <w:rPr>
      <w:strike w:val="0"/>
      <w:dstrike w:val="0"/>
      <w:color w:val="3366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inganchor">
    <w:name w:val="headinganchor"/>
    <w:basedOn w:val="Normal"/>
    <w:rsid w:val="007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DefaultParagraphFont"/>
    <w:rsid w:val="007D38BC"/>
  </w:style>
  <w:style w:type="character" w:customStyle="1" w:styleId="pubmed-id">
    <w:name w:val="pubmed-id"/>
    <w:basedOn w:val="DefaultParagraphFont"/>
    <w:rsid w:val="007D38BC"/>
  </w:style>
  <w:style w:type="paragraph" w:customStyle="1" w:styleId="desc2">
    <w:name w:val="desc2"/>
    <w:basedOn w:val="Normal"/>
    <w:rsid w:val="007D38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1">
    <w:name w:val="标题1"/>
    <w:basedOn w:val="Normal"/>
    <w:rsid w:val="007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rnl">
    <w:name w:val="jrnl"/>
    <w:basedOn w:val="DefaultParagraphFont"/>
    <w:rsid w:val="007D38BC"/>
  </w:style>
  <w:style w:type="paragraph" w:styleId="Header">
    <w:name w:val="header"/>
    <w:basedOn w:val="Normal"/>
    <w:link w:val="stbilgiChar"/>
    <w:uiPriority w:val="99"/>
    <w:unhideWhenUsed/>
    <w:rsid w:val="007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7D38BC"/>
    <w:rPr>
      <w:rFonts w:eastAsiaTheme="minorEastAsia"/>
    </w:rPr>
  </w:style>
  <w:style w:type="paragraph" w:styleId="Footer">
    <w:name w:val="footer"/>
    <w:basedOn w:val="Normal"/>
    <w:link w:val="AltbilgiChar"/>
    <w:uiPriority w:val="99"/>
    <w:unhideWhenUsed/>
    <w:rsid w:val="007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Footer"/>
    <w:uiPriority w:val="99"/>
    <w:rsid w:val="007D38BC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D38BC"/>
    <w:rPr>
      <w:b/>
      <w:bCs/>
    </w:rPr>
  </w:style>
  <w:style w:type="character" w:styleId="Emphasis">
    <w:name w:val="Emphasis"/>
    <w:basedOn w:val="DefaultParagraphFont"/>
    <w:uiPriority w:val="20"/>
    <w:qFormat/>
    <w:rsid w:val="007D38BC"/>
    <w:rPr>
      <w:i/>
      <w:iCs/>
    </w:rPr>
  </w:style>
  <w:style w:type="character" w:customStyle="1" w:styleId="ref2">
    <w:name w:val="ref2"/>
    <w:basedOn w:val="DefaultParagraphFont"/>
    <w:rsid w:val="007D38BC"/>
  </w:style>
  <w:style w:type="character" w:customStyle="1" w:styleId="nlmsource">
    <w:name w:val="nlm_source"/>
    <w:basedOn w:val="DefaultParagraphFont"/>
    <w:rsid w:val="007D38BC"/>
  </w:style>
  <w:style w:type="character" w:styleId="CommentReference">
    <w:name w:val="annotation reference"/>
    <w:basedOn w:val="DefaultParagraphFont"/>
    <w:uiPriority w:val="99"/>
    <w:semiHidden/>
    <w:unhideWhenUsed/>
    <w:rsid w:val="007D38BC"/>
    <w:rPr>
      <w:sz w:val="21"/>
      <w:szCs w:val="21"/>
    </w:rPr>
  </w:style>
  <w:style w:type="paragraph" w:styleId="CommentText">
    <w:name w:val="annotation text"/>
    <w:basedOn w:val="Normal"/>
    <w:link w:val="AklamaMetniChar"/>
    <w:uiPriority w:val="99"/>
    <w:unhideWhenUsed/>
    <w:rsid w:val="007D38BC"/>
  </w:style>
  <w:style w:type="character" w:customStyle="1" w:styleId="AklamaMetniChar">
    <w:name w:val="Açıklama Metni Char"/>
    <w:basedOn w:val="DefaultParagraphFont"/>
    <w:link w:val="CommentText"/>
    <w:uiPriority w:val="99"/>
    <w:rsid w:val="007D38B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7D38BC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7D38BC"/>
    <w:rPr>
      <w:rFonts w:eastAsiaTheme="minorEastAsia"/>
      <w:b/>
      <w:bCs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7D38BC"/>
    <w:pPr>
      <w:spacing w:after="0" w:line="240" w:lineRule="auto"/>
    </w:pPr>
    <w:rPr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7D38BC"/>
    <w:rPr>
      <w:rFonts w:eastAsiaTheme="minorEastAsia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D38B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38BC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D38B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D38BC"/>
    <w:rPr>
      <w:rFonts w:ascii="Calibri" w:eastAsiaTheme="minorEastAsia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7B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https://en.wikipedia.org/wiki/Pyrimidine_analo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B115-88D7-EC4D-88D7-6703C684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5542</Words>
  <Characters>31594</Characters>
  <Application>Microsoft Macintosh Word</Application>
  <DocSecurity>0</DocSecurity>
  <Lines>263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BEAH</Company>
  <LinksUpToDate>false</LinksUpToDate>
  <CharactersWithSpaces>37062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Koçoğlu</dc:creator>
  <cp:lastModifiedBy>Na Ma</cp:lastModifiedBy>
  <cp:revision>2</cp:revision>
  <dcterms:created xsi:type="dcterms:W3CDTF">2015-12-07T16:28:00Z</dcterms:created>
  <dcterms:modified xsi:type="dcterms:W3CDTF">2015-12-07T16:28:00Z</dcterms:modified>
</cp:coreProperties>
</file>