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 xml:space="preserve">Name of Journal: </w:t>
      </w:r>
      <w:r w:rsidRPr="000418FA">
        <w:rPr>
          <w:rFonts w:ascii="Book Antiqua" w:hAnsi="Book Antiqua" w:cs="Book Antiqua"/>
          <w:b/>
          <w:bCs/>
          <w:i/>
          <w:iCs/>
          <w:sz w:val="24"/>
          <w:szCs w:val="24"/>
        </w:rPr>
        <w:t xml:space="preserve">World Journal of Gastrointestinal Endoscopy </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ESPS Manuscript NO: 19233</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lang w:eastAsia="en-US"/>
        </w:rPr>
        <w:t>Manuscript Type</w:t>
      </w:r>
      <w:r w:rsidRPr="000418FA">
        <w:rPr>
          <w:rFonts w:ascii="Book Antiqua" w:hAnsi="Book Antiqua" w:cs="Book Antiqua"/>
          <w:b/>
          <w:bCs/>
          <w:sz w:val="24"/>
          <w:szCs w:val="24"/>
        </w:rPr>
        <w:t>: Minireviews</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Reality named endoscopic ultrasound biliary drainage</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 xml:space="preserve">Guedes HG </w:t>
      </w:r>
      <w:r w:rsidRPr="000418FA">
        <w:rPr>
          <w:rFonts w:ascii="Book Antiqua" w:hAnsi="Book Antiqua" w:cs="Book Antiqua"/>
          <w:i/>
          <w:iCs/>
          <w:sz w:val="24"/>
          <w:szCs w:val="24"/>
        </w:rPr>
        <w:t>et al</w:t>
      </w:r>
      <w:r w:rsidRPr="000418FA">
        <w:rPr>
          <w:rFonts w:ascii="Book Antiqua" w:hAnsi="Book Antiqua" w:cs="Book Antiqua"/>
          <w:sz w:val="24"/>
          <w:szCs w:val="24"/>
        </w:rPr>
        <w:t>. EUS guided biliary drainage</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Hugo Gonçalo Guedes</w:t>
      </w:r>
      <w:r w:rsidRPr="000418FA">
        <w:rPr>
          <w:rFonts w:ascii="Book Antiqua" w:hAnsi="Book Antiqua" w:cs="Book Antiqua"/>
          <w:b/>
          <w:bCs/>
          <w:sz w:val="24"/>
          <w:szCs w:val="24"/>
          <w:lang w:val="nl-NL"/>
        </w:rPr>
        <w:t>, Roberto Iglesias Lopes</w:t>
      </w:r>
      <w:r w:rsidRPr="000418FA">
        <w:rPr>
          <w:rFonts w:ascii="Book Antiqua" w:hAnsi="Book Antiqua" w:cs="Book Antiqua"/>
          <w:b/>
          <w:bCs/>
          <w:sz w:val="24"/>
          <w:szCs w:val="24"/>
          <w:lang w:val="pt-PT"/>
        </w:rPr>
        <w:t>, Joel Fernandez de Oliveira</w:t>
      </w:r>
      <w:r w:rsidRPr="000418FA">
        <w:rPr>
          <w:rFonts w:ascii="Book Antiqua" w:hAnsi="Book Antiqua" w:cs="Book Antiqua"/>
          <w:b/>
          <w:bCs/>
          <w:sz w:val="24"/>
          <w:szCs w:val="24"/>
        </w:rPr>
        <w:t xml:space="preserve">, Everson Artifon </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ListParagraph"/>
        <w:pBdr>
          <w:top w:val="none" w:sz="0" w:space="0" w:color="auto"/>
          <w:left w:val="none" w:sz="0" w:space="0" w:color="auto"/>
          <w:bottom w:val="none" w:sz="0" w:space="0" w:color="auto"/>
          <w:right w:val="none" w:sz="0" w:space="0" w:color="auto"/>
          <w:bar w:val="none" w:sz="0" w:color="auto"/>
        </w:pBdr>
        <w:suppressAutoHyphens/>
        <w:spacing w:after="0" w:line="360" w:lineRule="auto"/>
        <w:ind w:left="0"/>
        <w:jc w:val="both"/>
        <w:rPr>
          <w:rFonts w:ascii="Book Antiqua" w:hAnsi="Book Antiqua" w:cs="Book Antiqua"/>
          <w:sz w:val="24"/>
          <w:szCs w:val="24"/>
        </w:rPr>
      </w:pPr>
      <w:r w:rsidRPr="000418FA">
        <w:rPr>
          <w:rFonts w:ascii="Book Antiqua" w:hAnsi="Book Antiqua" w:cs="Book Antiqua"/>
          <w:b/>
          <w:bCs/>
          <w:sz w:val="24"/>
          <w:szCs w:val="24"/>
        </w:rPr>
        <w:t>Hugo Gonçalo Guedes,</w:t>
      </w:r>
      <w:r w:rsidRPr="000418FA">
        <w:rPr>
          <w:rFonts w:ascii="Book Antiqua" w:hAnsi="Book Antiqua" w:cs="Book Antiqua"/>
          <w:sz w:val="24"/>
          <w:szCs w:val="24"/>
        </w:rPr>
        <w:t xml:space="preserve"> </w:t>
      </w:r>
      <w:r w:rsidRPr="000418FA">
        <w:rPr>
          <w:rFonts w:ascii="Book Antiqua" w:hAnsi="Book Antiqua" w:cs="Book Antiqua"/>
          <w:b/>
          <w:bCs/>
          <w:sz w:val="24"/>
          <w:szCs w:val="24"/>
          <w:lang w:val="nl-NL"/>
        </w:rPr>
        <w:t>Roberto Iglesias Lopes,</w:t>
      </w:r>
      <w:r w:rsidRPr="000418FA">
        <w:rPr>
          <w:rFonts w:ascii="Book Antiqua" w:hAnsi="Book Antiqua" w:cs="Book Antiqua"/>
          <w:sz w:val="24"/>
          <w:szCs w:val="24"/>
        </w:rPr>
        <w:t xml:space="preserve"> Department of Surgery, University of São Paulo Medical School, São Paulo 05422-090, Brazil</w:t>
      </w:r>
    </w:p>
    <w:p w:rsidR="0064697C" w:rsidRPr="000418FA" w:rsidRDefault="0064697C" w:rsidP="001C10E0">
      <w:pPr>
        <w:pStyle w:val="ListParagraph"/>
        <w:pBdr>
          <w:top w:val="none" w:sz="0" w:space="0" w:color="auto"/>
          <w:left w:val="none" w:sz="0" w:space="0" w:color="auto"/>
          <w:bottom w:val="none" w:sz="0" w:space="0" w:color="auto"/>
          <w:right w:val="none" w:sz="0" w:space="0" w:color="auto"/>
          <w:bar w:val="none" w:sz="0" w:color="auto"/>
        </w:pBdr>
        <w:suppressAutoHyphens/>
        <w:spacing w:after="0" w:line="360" w:lineRule="auto"/>
        <w:ind w:left="0"/>
        <w:jc w:val="both"/>
        <w:rPr>
          <w:rFonts w:ascii="Book Antiqua" w:hAnsi="Book Antiqua" w:cs="Book Antiqua"/>
          <w:sz w:val="24"/>
          <w:szCs w:val="24"/>
        </w:rPr>
      </w:pPr>
    </w:p>
    <w:p w:rsidR="0064697C" w:rsidRPr="000418FA" w:rsidRDefault="0064697C" w:rsidP="001C10E0">
      <w:pPr>
        <w:pStyle w:val="ListParagraph"/>
        <w:pBdr>
          <w:top w:val="none" w:sz="0" w:space="0" w:color="auto"/>
          <w:left w:val="none" w:sz="0" w:space="0" w:color="auto"/>
          <w:bottom w:val="none" w:sz="0" w:space="0" w:color="auto"/>
          <w:right w:val="none" w:sz="0" w:space="0" w:color="auto"/>
          <w:bar w:val="none" w:sz="0" w:color="auto"/>
        </w:pBdr>
        <w:suppressAutoHyphens/>
        <w:spacing w:after="0" w:line="360" w:lineRule="auto"/>
        <w:ind w:left="0"/>
        <w:jc w:val="both"/>
        <w:rPr>
          <w:rFonts w:ascii="Book Antiqua" w:hAnsi="Book Antiqua" w:cs="Book Antiqua"/>
          <w:sz w:val="24"/>
          <w:szCs w:val="24"/>
        </w:rPr>
      </w:pPr>
      <w:r w:rsidRPr="000418FA">
        <w:rPr>
          <w:rFonts w:ascii="Book Antiqua" w:hAnsi="Book Antiqua" w:cs="Book Antiqua"/>
          <w:b/>
          <w:bCs/>
          <w:sz w:val="24"/>
          <w:szCs w:val="24"/>
        </w:rPr>
        <w:t>Joel Fernandez de Oliveira,</w:t>
      </w:r>
      <w:r w:rsidRPr="000418FA">
        <w:rPr>
          <w:rFonts w:ascii="Book Antiqua" w:hAnsi="Book Antiqua" w:cs="Book Antiqua"/>
          <w:sz w:val="24"/>
          <w:szCs w:val="24"/>
        </w:rPr>
        <w:t xml:space="preserve"> </w:t>
      </w:r>
      <w:r w:rsidRPr="000418FA">
        <w:rPr>
          <w:rFonts w:ascii="Book Antiqua" w:hAnsi="Book Antiqua" w:cs="Book Antiqua"/>
          <w:b/>
          <w:bCs/>
          <w:sz w:val="24"/>
          <w:szCs w:val="24"/>
        </w:rPr>
        <w:t xml:space="preserve">Everson Artifon, </w:t>
      </w:r>
      <w:r w:rsidRPr="000418FA">
        <w:rPr>
          <w:rFonts w:ascii="Book Antiqua" w:hAnsi="Book Antiqua" w:cs="Book Antiqua"/>
          <w:sz w:val="24"/>
          <w:szCs w:val="24"/>
        </w:rPr>
        <w:t>Division of Gastrointestinal Endoscopy, University of São Paulo Medical School, São Paulo 05422-090, Brazil</w:t>
      </w:r>
    </w:p>
    <w:p w:rsidR="0064697C" w:rsidRPr="000418FA" w:rsidRDefault="0064697C" w:rsidP="001C10E0">
      <w:pPr>
        <w:pStyle w:val="ListParagraph"/>
        <w:pBdr>
          <w:top w:val="none" w:sz="0" w:space="0" w:color="auto"/>
          <w:left w:val="none" w:sz="0" w:space="0" w:color="auto"/>
          <w:bottom w:val="none" w:sz="0" w:space="0" w:color="auto"/>
          <w:right w:val="none" w:sz="0" w:space="0" w:color="auto"/>
          <w:bar w:val="none" w:sz="0" w:color="auto"/>
        </w:pBdr>
        <w:suppressAutoHyphens/>
        <w:spacing w:after="0" w:line="360" w:lineRule="auto"/>
        <w:ind w:left="0"/>
        <w:jc w:val="both"/>
        <w:rPr>
          <w:rFonts w:ascii="Book Antiqua" w:hAnsi="Book Antiqua" w:cs="Book Antiqua"/>
          <w:sz w:val="24"/>
          <w:szCs w:val="24"/>
        </w:rPr>
      </w:pP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b/>
          <w:bCs/>
        </w:rPr>
      </w:pPr>
      <w:r w:rsidRPr="000418FA">
        <w:rPr>
          <w:rFonts w:ascii="Book Antiqua" w:hAnsi="Book Antiqua" w:cs="Book Antiqua"/>
          <w:b/>
          <w:bCs/>
        </w:rPr>
        <w:t>Author contributions:</w:t>
      </w:r>
      <w:r w:rsidRPr="000418FA">
        <w:rPr>
          <w:rFonts w:ascii="Book Antiqua" w:hAnsi="Book Antiqua" w:cs="Book Antiqua"/>
          <w:b/>
          <w:bCs/>
          <w:lang w:eastAsia="zh-CN"/>
        </w:rPr>
        <w:t xml:space="preserve"> </w:t>
      </w:r>
      <w:r w:rsidRPr="000418FA">
        <w:rPr>
          <w:rFonts w:ascii="Book Antiqua" w:hAnsi="Book Antiqua" w:cs="Book Antiqua"/>
        </w:rPr>
        <w:t>Guedes HG wrote the article and performed review of the literature; Lopes RI</w:t>
      </w:r>
      <w:r w:rsidRPr="000418FA">
        <w:rPr>
          <w:rFonts w:ascii="Book Antiqua" w:hAnsi="Book Antiqua" w:cs="Book Antiqua"/>
          <w:lang w:eastAsia="zh-CN"/>
        </w:rPr>
        <w:t xml:space="preserve">, </w:t>
      </w:r>
      <w:r w:rsidRPr="000418FA">
        <w:rPr>
          <w:rFonts w:ascii="Book Antiqua" w:hAnsi="Book Antiqua" w:cs="Book Antiqua"/>
          <w:lang w:val="pt-PT"/>
        </w:rPr>
        <w:t>de Oliveira</w:t>
      </w:r>
      <w:r w:rsidRPr="000418FA">
        <w:rPr>
          <w:rFonts w:ascii="Book Antiqua" w:hAnsi="Book Antiqua" w:cs="Book Antiqua"/>
        </w:rPr>
        <w:t xml:space="preserve"> JF</w:t>
      </w:r>
      <w:r w:rsidRPr="000418FA">
        <w:rPr>
          <w:rFonts w:ascii="Book Antiqua" w:hAnsi="Book Antiqua" w:cs="Book Antiqua"/>
          <w:lang w:eastAsia="zh-CN"/>
        </w:rPr>
        <w:t xml:space="preserve"> and </w:t>
      </w:r>
      <w:r w:rsidRPr="000418FA">
        <w:rPr>
          <w:rFonts w:ascii="Book Antiqua" w:hAnsi="Book Antiqua" w:cs="Book Antiqua"/>
        </w:rPr>
        <w:t>Artifon E critically revised the manuscript; final version was approved by all authors.</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b/>
          <w:bCs/>
          <w:sz w:val="24"/>
          <w:szCs w:val="24"/>
        </w:rPr>
        <w:t xml:space="preserve">Conflict-of-interest statement: </w:t>
      </w:r>
      <w:r w:rsidRPr="000418FA">
        <w:rPr>
          <w:rFonts w:ascii="Book Antiqua" w:hAnsi="Book Antiqua" w:cs="Book Antiqua"/>
          <w:sz w:val="24"/>
          <w:szCs w:val="24"/>
        </w:rPr>
        <w:t>The authors declare that they have no competing interests.</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lang w:eastAsia="zh-CN"/>
        </w:rPr>
      </w:pPr>
      <w:bookmarkStart w:id="0" w:name="OLE_LINK507"/>
      <w:bookmarkStart w:id="1" w:name="OLE_LINK506"/>
      <w:bookmarkStart w:id="2" w:name="OLE_LINK496"/>
      <w:bookmarkStart w:id="3" w:name="OLE_LINK479"/>
      <w:r w:rsidRPr="000418FA">
        <w:rPr>
          <w:rFonts w:ascii="Book Antiqua" w:hAnsi="Book Antiqua" w:cs="Book Antiqua"/>
          <w:b/>
          <w:bCs/>
        </w:rPr>
        <w:t xml:space="preserve">Open-Access: </w:t>
      </w:r>
      <w:r w:rsidRPr="000418FA">
        <w:rPr>
          <w:rFonts w:ascii="Book Antiqua" w:hAnsi="Book Antiqua" w:cs="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lang w:eastAsia="zh-CN"/>
        </w:rPr>
      </w:pP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lang w:val="es-ES_tradnl" w:eastAsia="zh-CN"/>
        </w:rPr>
      </w:pPr>
      <w:r w:rsidRPr="000418FA">
        <w:rPr>
          <w:rFonts w:ascii="Book Antiqua" w:hAnsi="Book Antiqua" w:cs="Book Antiqua"/>
          <w:b/>
          <w:bCs/>
        </w:rPr>
        <w:t>Correspondence to:</w:t>
      </w:r>
      <w:r w:rsidRPr="000418FA">
        <w:rPr>
          <w:rFonts w:ascii="Book Antiqua" w:hAnsi="Book Antiqua" w:cs="Book Antiqua"/>
          <w:b/>
          <w:bCs/>
          <w:lang w:eastAsia="zh-CN"/>
        </w:rPr>
        <w:t xml:space="preserve"> </w:t>
      </w:r>
      <w:r w:rsidRPr="000418FA">
        <w:rPr>
          <w:rFonts w:ascii="Book Antiqua" w:hAnsi="Book Antiqua" w:cs="Book Antiqua"/>
          <w:b/>
          <w:bCs/>
        </w:rPr>
        <w:t>Roberto Iglesias Lopes, MD, PhD,</w:t>
      </w:r>
      <w:r w:rsidRPr="000418FA">
        <w:rPr>
          <w:rFonts w:ascii="Book Antiqua" w:hAnsi="Book Antiqua" w:cs="Book Antiqua"/>
        </w:rPr>
        <w:t xml:space="preserve"> Department of Surgery, University of S</w:t>
      </w:r>
      <w:r w:rsidRPr="000418FA">
        <w:rPr>
          <w:rFonts w:ascii="Book Antiqua" w:hAnsi="Book Antiqua" w:cs="Book Antiqua"/>
          <w:lang w:val="pt-PT"/>
        </w:rPr>
        <w:t xml:space="preserve">ão Paulo Medical School, Carvalho Aguiar, 255, 7 andar, </w:t>
      </w:r>
      <w:smartTag w:uri="urn:schemas-microsoft-com:office:smarttags" w:element="City">
        <w:r w:rsidRPr="000418FA">
          <w:rPr>
            <w:rFonts w:ascii="Book Antiqua" w:hAnsi="Book Antiqua" w:cs="Book Antiqua"/>
            <w:lang w:val="pt-PT"/>
          </w:rPr>
          <w:t>São Paulo</w:t>
        </w:r>
      </w:smartTag>
      <w:r w:rsidRPr="000418FA">
        <w:rPr>
          <w:rFonts w:ascii="Book Antiqua" w:hAnsi="Book Antiqua" w:cs="Book Antiqua"/>
          <w:lang w:val="pt-PT"/>
        </w:rPr>
        <w:t xml:space="preserve"> 05422-090, </w:t>
      </w:r>
      <w:smartTag w:uri="urn:schemas-microsoft-com:office:smarttags" w:element="place">
        <w:smartTag w:uri="urn:schemas-microsoft-com:office:smarttags" w:element="country-region">
          <w:r w:rsidRPr="000418FA">
            <w:rPr>
              <w:rFonts w:ascii="Book Antiqua" w:hAnsi="Book Antiqua" w:cs="Book Antiqua"/>
              <w:lang w:val="pt-PT"/>
            </w:rPr>
            <w:t>Brazil</w:t>
          </w:r>
        </w:smartTag>
      </w:smartTag>
      <w:r w:rsidRPr="000418FA">
        <w:rPr>
          <w:rFonts w:ascii="Book Antiqua" w:hAnsi="Book Antiqua" w:cs="Book Antiqua"/>
          <w:lang w:val="pt-PT"/>
        </w:rPr>
        <w:t>.</w:t>
      </w:r>
      <w:r w:rsidRPr="000418FA">
        <w:rPr>
          <w:rFonts w:ascii="Book Antiqua" w:hAnsi="Book Antiqua" w:cs="Book Antiqua"/>
          <w:lang w:val="pt-PT" w:eastAsia="zh-CN"/>
        </w:rPr>
        <w:t xml:space="preserve"> </w:t>
      </w:r>
      <w:r w:rsidRPr="000418FA">
        <w:rPr>
          <w:rFonts w:ascii="Book Antiqua" w:hAnsi="Book Antiqua" w:cs="Book Antiqua"/>
          <w:lang w:val="es-ES_tradnl"/>
        </w:rPr>
        <w:t xml:space="preserve">robertoiglesias@terra.com.br </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lang w:eastAsia="zh-CN"/>
        </w:rPr>
      </w:pPr>
      <w:r w:rsidRPr="000418FA">
        <w:rPr>
          <w:rFonts w:ascii="Book Antiqua" w:hAnsi="Book Antiqua" w:cs="Book Antiqua"/>
          <w:b/>
          <w:bCs/>
          <w:color w:val="000000"/>
        </w:rPr>
        <w:t>Telephone:</w:t>
      </w:r>
      <w:r w:rsidRPr="000418FA">
        <w:rPr>
          <w:rFonts w:ascii="Book Antiqua" w:hAnsi="Book Antiqua" w:cs="Book Antiqua"/>
          <w:b/>
          <w:bCs/>
          <w:color w:val="000000"/>
          <w:lang w:eastAsia="zh-CN"/>
        </w:rPr>
        <w:t xml:space="preserve"> </w:t>
      </w:r>
      <w:r w:rsidRPr="000418FA">
        <w:rPr>
          <w:rFonts w:ascii="Book Antiqua" w:hAnsi="Book Antiqua" w:cs="Book Antiqua"/>
        </w:rPr>
        <w:t>+55-11-26618080</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lang w:eastAsia="zh-CN"/>
        </w:rPr>
      </w:pPr>
    </w:p>
    <w:p w:rsidR="0064697C" w:rsidRPr="000418FA" w:rsidRDefault="0064697C" w:rsidP="00EE4A62">
      <w:pPr>
        <w:pBdr>
          <w:top w:val="none" w:sz="0" w:space="0" w:color="auto"/>
          <w:left w:val="none" w:sz="0" w:space="0" w:color="auto"/>
          <w:bottom w:val="none" w:sz="0" w:space="0" w:color="auto"/>
          <w:right w:val="none" w:sz="0" w:space="0" w:color="auto"/>
          <w:bar w:val="none" w:sz="0" w:color="auto"/>
        </w:pBdr>
        <w:spacing w:line="360" w:lineRule="auto"/>
        <w:rPr>
          <w:rFonts w:ascii="Book Antiqua" w:hAnsi="Book Antiqua"/>
          <w:lang w:eastAsia="zh-CN"/>
        </w:rPr>
      </w:pPr>
      <w:r w:rsidRPr="000418FA">
        <w:rPr>
          <w:rFonts w:ascii="Book Antiqua" w:hAnsi="Book Antiqua" w:cs="Book Antiqua"/>
          <w:b/>
          <w:bCs/>
        </w:rPr>
        <w:t>Received:</w:t>
      </w:r>
      <w:r w:rsidRPr="000418FA">
        <w:rPr>
          <w:rFonts w:ascii="Book Antiqua" w:hAnsi="Book Antiqua" w:cs="Book Antiqua"/>
          <w:b/>
          <w:bCs/>
          <w:lang w:eastAsia="zh-CN"/>
        </w:rPr>
        <w:t xml:space="preserve"> </w:t>
      </w:r>
      <w:r w:rsidRPr="000418FA">
        <w:rPr>
          <w:rFonts w:ascii="Book Antiqua" w:hAnsi="Book Antiqua"/>
        </w:rPr>
        <w:t>April</w:t>
      </w:r>
      <w:r w:rsidRPr="000418FA">
        <w:rPr>
          <w:rFonts w:ascii="Book Antiqua" w:hAnsi="Book Antiqua"/>
          <w:lang w:eastAsia="zh-CN"/>
        </w:rPr>
        <w:t xml:space="preserve"> 30, 2015</w:t>
      </w:r>
    </w:p>
    <w:p w:rsidR="0064697C" w:rsidRPr="000418FA" w:rsidRDefault="0064697C" w:rsidP="00EE4A62">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b/>
          <w:bCs/>
          <w:lang w:eastAsia="zh-CN"/>
        </w:rPr>
      </w:pPr>
      <w:r w:rsidRPr="000418FA">
        <w:rPr>
          <w:rFonts w:ascii="Book Antiqua" w:hAnsi="Book Antiqua" w:cs="Book Antiqua"/>
          <w:b/>
          <w:bCs/>
        </w:rPr>
        <w:t>Peer-review started:</w:t>
      </w:r>
      <w:r w:rsidRPr="000418FA">
        <w:rPr>
          <w:rFonts w:ascii="Book Antiqua" w:hAnsi="Book Antiqua" w:cs="Book Antiqua"/>
          <w:b/>
          <w:bCs/>
          <w:lang w:eastAsia="zh-CN"/>
        </w:rPr>
        <w:t xml:space="preserve"> </w:t>
      </w:r>
      <w:r w:rsidRPr="000418FA">
        <w:rPr>
          <w:rFonts w:ascii="Book Antiqua" w:hAnsi="Book Antiqua"/>
        </w:rPr>
        <w:t>April</w:t>
      </w:r>
      <w:r w:rsidRPr="000418FA">
        <w:rPr>
          <w:rFonts w:ascii="Book Antiqua" w:hAnsi="Book Antiqua"/>
          <w:lang w:eastAsia="zh-CN"/>
        </w:rPr>
        <w:t xml:space="preserve"> 30, 2015</w:t>
      </w:r>
    </w:p>
    <w:p w:rsidR="0064697C" w:rsidRPr="000418FA" w:rsidRDefault="0064697C" w:rsidP="00EE4A62">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b/>
          <w:bCs/>
          <w:lang w:eastAsia="zh-CN"/>
        </w:rPr>
      </w:pPr>
      <w:r w:rsidRPr="000418FA">
        <w:rPr>
          <w:rFonts w:ascii="Book Antiqua" w:hAnsi="Book Antiqua" w:cs="Book Antiqua"/>
          <w:b/>
          <w:bCs/>
        </w:rPr>
        <w:t>First decision:</w:t>
      </w:r>
      <w:r w:rsidRPr="000418FA">
        <w:rPr>
          <w:rFonts w:ascii="Book Antiqua" w:hAnsi="Book Antiqua" w:cs="Book Antiqua"/>
          <w:b/>
          <w:bCs/>
          <w:lang w:eastAsia="zh-CN"/>
        </w:rPr>
        <w:t xml:space="preserve"> </w:t>
      </w:r>
      <w:r w:rsidRPr="000418FA">
        <w:rPr>
          <w:rFonts w:ascii="Book Antiqua" w:hAnsi="Book Antiqua"/>
        </w:rPr>
        <w:t xml:space="preserve">August </w:t>
      </w:r>
      <w:r w:rsidRPr="000418FA">
        <w:rPr>
          <w:rFonts w:ascii="Book Antiqua" w:hAnsi="Book Antiqua"/>
          <w:lang w:eastAsia="zh-CN"/>
        </w:rPr>
        <w:t>16, 2015</w:t>
      </w:r>
    </w:p>
    <w:p w:rsidR="0064697C" w:rsidRDefault="0064697C" w:rsidP="00EE4A62">
      <w:pPr>
        <w:pBdr>
          <w:top w:val="none" w:sz="0" w:space="0" w:color="auto"/>
          <w:left w:val="none" w:sz="0" w:space="0" w:color="auto"/>
          <w:bottom w:val="none" w:sz="0" w:space="0" w:color="auto"/>
          <w:right w:val="none" w:sz="0" w:space="0" w:color="auto"/>
          <w:bar w:val="none" w:sz="0" w:color="auto"/>
        </w:pBdr>
        <w:spacing w:line="360" w:lineRule="auto"/>
        <w:rPr>
          <w:rFonts w:ascii="Book Antiqua" w:hAnsi="Book Antiqua"/>
          <w:lang w:eastAsia="zh-CN"/>
        </w:rPr>
      </w:pPr>
      <w:r w:rsidRPr="000418FA">
        <w:rPr>
          <w:rFonts w:ascii="Book Antiqua" w:hAnsi="Book Antiqua" w:cs="Book Antiqua"/>
          <w:b/>
          <w:bCs/>
        </w:rPr>
        <w:t xml:space="preserve">Revised:  </w:t>
      </w:r>
      <w:r w:rsidRPr="000418FA">
        <w:rPr>
          <w:rFonts w:ascii="Book Antiqua" w:hAnsi="Book Antiqua"/>
        </w:rPr>
        <w:t>September</w:t>
      </w:r>
      <w:r w:rsidRPr="000418FA">
        <w:rPr>
          <w:rFonts w:ascii="Book Antiqua" w:hAnsi="Book Antiqua"/>
          <w:lang w:eastAsia="zh-CN"/>
        </w:rPr>
        <w:t xml:space="preserve"> 1, 2015</w:t>
      </w:r>
    </w:p>
    <w:p w:rsidR="0064697C" w:rsidRPr="007920C5" w:rsidRDefault="0064697C" w:rsidP="00EE4A62">
      <w:pPr>
        <w:pBdr>
          <w:top w:val="none" w:sz="0" w:space="0" w:color="auto"/>
          <w:left w:val="none" w:sz="0" w:space="0" w:color="auto"/>
          <w:bottom w:val="none" w:sz="0" w:space="0" w:color="auto"/>
          <w:right w:val="none" w:sz="0" w:space="0" w:color="auto"/>
          <w:bar w:val="none" w:sz="0" w:color="auto"/>
        </w:pBdr>
        <w:spacing w:line="360" w:lineRule="auto"/>
        <w:rPr>
          <w:rFonts w:ascii="Book Antiqua" w:hAnsi="Book Antiqua"/>
          <w:lang w:eastAsia="zh-CN"/>
        </w:rPr>
      </w:pPr>
      <w:bookmarkStart w:id="4" w:name="_GoBack"/>
      <w:bookmarkEnd w:id="4"/>
      <w:r w:rsidRPr="000418FA">
        <w:rPr>
          <w:rFonts w:ascii="Book Antiqua" w:hAnsi="Book Antiqua" w:cs="Book Antiqua"/>
          <w:b/>
          <w:bCs/>
        </w:rPr>
        <w:t xml:space="preserve">Accepted: </w:t>
      </w:r>
      <w:r>
        <w:rPr>
          <w:rStyle w:val="Emphasis"/>
          <w:iCs/>
        </w:rPr>
        <w:t>September 16</w:t>
      </w:r>
      <w:r w:rsidRPr="00235CD4">
        <w:rPr>
          <w:rStyle w:val="Emphasis"/>
          <w:iCs/>
        </w:rPr>
        <w:t>, 2015</w:t>
      </w:r>
    </w:p>
    <w:p w:rsidR="0064697C" w:rsidRPr="007920C5" w:rsidRDefault="0064697C" w:rsidP="00EE4A62">
      <w:pPr>
        <w:pBdr>
          <w:top w:val="none" w:sz="0" w:space="0" w:color="auto"/>
          <w:left w:val="none" w:sz="0" w:space="0" w:color="auto"/>
          <w:bottom w:val="none" w:sz="0" w:space="0" w:color="auto"/>
          <w:right w:val="none" w:sz="0" w:space="0" w:color="auto"/>
          <w:bar w:val="none" w:sz="0" w:color="auto"/>
        </w:pBdr>
        <w:spacing w:line="360" w:lineRule="auto"/>
        <w:rPr>
          <w:rFonts w:ascii="Book Antiqua" w:hAnsi="Book Antiqua"/>
          <w:iCs/>
        </w:rPr>
      </w:pPr>
      <w:r w:rsidRPr="000418FA">
        <w:rPr>
          <w:rFonts w:ascii="Book Antiqua" w:hAnsi="Book Antiqua" w:cs="Book Antiqua"/>
          <w:b/>
          <w:bCs/>
        </w:rPr>
        <w:t>Article in press:</w:t>
      </w:r>
    </w:p>
    <w:p w:rsidR="0064697C" w:rsidRPr="000418FA" w:rsidRDefault="0064697C" w:rsidP="00EE4A62">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b/>
          <w:bCs/>
        </w:rPr>
      </w:pPr>
      <w:r w:rsidRPr="000418FA">
        <w:rPr>
          <w:rFonts w:ascii="Book Antiqua" w:hAnsi="Book Antiqua" w:cs="Book Antiqua"/>
          <w:b/>
          <w:bCs/>
        </w:rPr>
        <w:t xml:space="preserve">Published online: </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b/>
          <w:bCs/>
          <w:lang w:eastAsia="zh-CN"/>
        </w:rPr>
      </w:pPr>
      <w:r w:rsidRPr="000418FA">
        <w:rPr>
          <w:rFonts w:ascii="Book Antiqua" w:hAnsi="Book Antiqua" w:cs="Book Antiqua"/>
          <w:b/>
          <w:bCs/>
          <w:lang w:eastAsia="zh-CN"/>
        </w:rPr>
        <w:br w:type="page"/>
      </w:r>
      <w:r w:rsidRPr="000418FA">
        <w:rPr>
          <w:rFonts w:ascii="Book Antiqua" w:hAnsi="Book Antiqua" w:cs="Book Antiqua"/>
          <w:b/>
          <w:bCs/>
        </w:rPr>
        <w:t>Abstract</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Endoscopic ultrasound (EUS) is used for diagnosis and evaluation of many diseases of the gastrointestinal (GI) tract. In the past, it was used to guide a cholangiography, but nowadays it emerges as a powerful therapeutic tool in biliary drainage. The aims of this review are: outline the rationale for endoscopic ultrasound-guided biliary drainage (EGBD); detail the procedural technique; evaluate the clinical outcomes and limitations of the method; and provide recommendations for the practicing clinician. In cases of failed endoscopic retrograde cholangiopancreatography (ERCP), patients are usually referred for either percutaneous transhepatic biliary drainage (PTBD) or surgical bypass. Both these procedures have high rates of undesirable complications. EGBD is an attractive alternative to PTBD or surgery when ERCP fails. EGBD can be performed at two locations: transhepatic or extrahepatic, and the stent can be inserted in an antegrade or retrograde fashion. The drainage route can be transluminal, duodenal or transpapillary,</w:t>
      </w:r>
      <w:r w:rsidRPr="000418FA">
        <w:rPr>
          <w:rFonts w:ascii="Book Antiqua" w:hAnsi="Book Antiqua" w:cs="Book Antiqua"/>
          <w:sz w:val="24"/>
          <w:szCs w:val="24"/>
          <w:lang w:val="pt-PT"/>
        </w:rPr>
        <w:t xml:space="preserve"> </w:t>
      </w:r>
      <w:r w:rsidRPr="000418FA">
        <w:rPr>
          <w:rFonts w:ascii="Book Antiqua" w:hAnsi="Book Antiqua" w:cs="Book Antiqua"/>
          <w:sz w:val="24"/>
          <w:szCs w:val="24"/>
        </w:rPr>
        <w:t>which, again, can be antegrade or retrograde [rendezvous (EUS-RV)]. Complications of all techniques combined include pneumoperitoneum, bleeding, bile leak/peritonitis and cholangitis. We recommend EGBD when bile duct access is not possible because of failed cannulation, altered upper GI tract anatomy, gastric outlet obstruction, a distorted ampulla or a periampullary diverticulum, as a minimally invasive alternative to surgery or radiology.</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b/>
          <w:bCs/>
          <w:sz w:val="24"/>
          <w:szCs w:val="24"/>
        </w:rPr>
        <w:t>Key words:</w:t>
      </w:r>
      <w:r w:rsidRPr="000418FA">
        <w:rPr>
          <w:rFonts w:ascii="Book Antiqua" w:hAnsi="Book Antiqua" w:cs="Book Antiqua"/>
          <w:sz w:val="24"/>
          <w:szCs w:val="24"/>
        </w:rPr>
        <w:t xml:space="preserve"> Endoscopic ultrasound; Rendezvous; Biliary drainage; Obstrutive cancer; Papillary obstrution</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napToGrid w:val="0"/>
        <w:spacing w:line="360" w:lineRule="auto"/>
        <w:jc w:val="both"/>
        <w:rPr>
          <w:rFonts w:ascii="Book Antiqua" w:hAnsi="Book Antiqua" w:cs="Book Antiqua"/>
        </w:rPr>
      </w:pPr>
      <w:r w:rsidRPr="000418FA">
        <w:rPr>
          <w:rFonts w:ascii="Book Antiqua" w:hAnsi="Book Antiqua" w:cs="Book Antiqua"/>
        </w:rPr>
        <w:t xml:space="preserve">© </w:t>
      </w:r>
      <w:r w:rsidRPr="000418FA">
        <w:rPr>
          <w:rFonts w:ascii="Book Antiqua" w:hAnsi="Book Antiqua" w:cs="Book Antiqua"/>
          <w:b/>
          <w:bCs/>
        </w:rPr>
        <w:t>The Author(s) 2015</w:t>
      </w:r>
      <w:r w:rsidRPr="000418FA">
        <w:rPr>
          <w:rFonts w:ascii="Book Antiqua" w:hAnsi="Book Antiqua" w:cs="Book Antiqua"/>
        </w:rPr>
        <w:t>. Published by Baishideng Publishing Group Inc. All rights reserved.</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 xml:space="preserve">Core tip: </w:t>
      </w:r>
      <w:r w:rsidRPr="000418FA">
        <w:rPr>
          <w:rFonts w:ascii="Book Antiqua" w:hAnsi="Book Antiqua" w:cs="Book Antiqua"/>
          <w:sz w:val="24"/>
          <w:szCs w:val="24"/>
        </w:rPr>
        <w:t>In this minireview, we will discuss about endoscopic ultrasound-guided biliary drainage (EGBD) and new interesting endoscopic ultrasound therapeutic biliary methods. We recommend EGBD when bile duct access is not possible because of failed cannulation, altered upper gastrointestinal tract anatomy, gastric outlet obstruction, a distorted ampulla or periampullary diverticulum, as a minimally invasive alternative to surgery or radiology.</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 xml:space="preserve">Guedes HG, Lopes RI, </w:t>
      </w:r>
      <w:r w:rsidRPr="000418FA">
        <w:rPr>
          <w:rFonts w:ascii="Book Antiqua" w:hAnsi="Book Antiqua" w:cs="Book Antiqua"/>
          <w:sz w:val="24"/>
          <w:szCs w:val="24"/>
          <w:lang w:val="pt-PT"/>
        </w:rPr>
        <w:t>de Oliveira</w:t>
      </w:r>
      <w:r w:rsidRPr="000418FA">
        <w:rPr>
          <w:rFonts w:ascii="Book Antiqua" w:hAnsi="Book Antiqua" w:cs="Book Antiqua"/>
          <w:sz w:val="24"/>
          <w:szCs w:val="24"/>
        </w:rPr>
        <w:t xml:space="preserve"> JF, Artifon E. Reality named endoscopic ultrasound biliary drainage. </w:t>
      </w:r>
      <w:r w:rsidRPr="000418FA">
        <w:rPr>
          <w:rFonts w:ascii="Book Antiqua" w:hAnsi="Book Antiqua" w:cs="Book Antiqua"/>
          <w:i/>
          <w:iCs/>
          <w:sz w:val="24"/>
          <w:szCs w:val="24"/>
        </w:rPr>
        <w:t>World J Gastrointest Endosc</w:t>
      </w:r>
      <w:r w:rsidRPr="000418FA">
        <w:rPr>
          <w:rFonts w:ascii="Book Antiqua" w:hAnsi="Book Antiqua" w:cs="Book Antiqua"/>
          <w:sz w:val="24"/>
          <w:szCs w:val="24"/>
        </w:rPr>
        <w:t xml:space="preserve"> 2015; In press</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sz w:val="24"/>
          <w:szCs w:val="24"/>
        </w:rPr>
        <w:br w:type="page"/>
      </w:r>
      <w:r w:rsidRPr="000418FA">
        <w:rPr>
          <w:rFonts w:ascii="Book Antiqua" w:hAnsi="Book Antiqua" w:cs="Book Antiqua"/>
          <w:b/>
          <w:bCs/>
          <w:sz w:val="24"/>
          <w:szCs w:val="24"/>
        </w:rPr>
        <w:t xml:space="preserve">INTRODUCTION   </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Endoscopic ultrasound (EUS) is used for diagnosis and evaluation of many diseases of the gastrointestinal tract. In the past, it was used to guide a cholangiography</w:t>
      </w:r>
      <w:r w:rsidRPr="000418FA">
        <w:rPr>
          <w:rFonts w:ascii="Book Antiqua" w:hAnsi="Book Antiqua" w:cs="Book Antiqua"/>
          <w:sz w:val="24"/>
          <w:szCs w:val="24"/>
          <w:vertAlign w:val="superscript"/>
        </w:rPr>
        <w:t>[1]</w:t>
      </w:r>
      <w:r w:rsidRPr="000418FA">
        <w:rPr>
          <w:rFonts w:ascii="Book Antiqua" w:hAnsi="Book Antiqua" w:cs="Book Antiqua"/>
          <w:sz w:val="24"/>
          <w:szCs w:val="24"/>
        </w:rPr>
        <w:t xml:space="preserve">, but nowadays it emerges as a powerful therapeutic tool in biliary drainage. </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Endoscopic retrograde cholangiopancreatography (ERCP) is the procedure of choice for drainage of an obstructed common bile duct (CBD) in patients with distal obstruction. Lower success rates are seen in patients with surgically altered anatomy and neoplastic diseases due to failure to access the duodenum or more difficult duct access</w:t>
      </w:r>
      <w:r w:rsidRPr="000418FA">
        <w:rPr>
          <w:rFonts w:ascii="Book Antiqua" w:hAnsi="Book Antiqua" w:cs="Book Antiqua"/>
          <w:sz w:val="24"/>
          <w:szCs w:val="24"/>
          <w:vertAlign w:val="superscript"/>
        </w:rPr>
        <w:t>[2]</w:t>
      </w:r>
      <w:r w:rsidRPr="000418FA">
        <w:rPr>
          <w:rFonts w:ascii="Book Antiqua" w:hAnsi="Book Antiqua" w:cs="Book Antiqua"/>
          <w:sz w:val="24"/>
          <w:szCs w:val="24"/>
        </w:rPr>
        <w:t>. However, EUS-guided biliary drainage (EGBD) may be a viable alternative to ERCP in patients with malignant distal CBD obstruction</w:t>
      </w:r>
      <w:r w:rsidRPr="000418FA">
        <w:rPr>
          <w:rFonts w:ascii="Book Antiqua" w:hAnsi="Book Antiqua" w:cs="Book Antiqua"/>
          <w:sz w:val="24"/>
          <w:szCs w:val="24"/>
          <w:vertAlign w:val="superscript"/>
        </w:rPr>
        <w:t>[3]</w:t>
      </w:r>
      <w:r w:rsidRPr="000418FA">
        <w:rPr>
          <w:rFonts w:ascii="Book Antiqua" w:hAnsi="Book Antiqua" w:cs="Book Antiqua"/>
          <w:sz w:val="24"/>
          <w:szCs w:val="24"/>
        </w:rPr>
        <w:t>.</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 xml:space="preserve">In 2001, Giovannini </w:t>
      </w:r>
      <w:r w:rsidRPr="000418FA">
        <w:rPr>
          <w:rFonts w:ascii="Book Antiqua" w:hAnsi="Book Antiqua" w:cs="Book Antiqua"/>
          <w:i/>
          <w:iCs/>
          <w:sz w:val="24"/>
          <w:szCs w:val="24"/>
        </w:rPr>
        <w:t>et al</w:t>
      </w:r>
      <w:r w:rsidRPr="000418FA">
        <w:rPr>
          <w:rFonts w:ascii="Book Antiqua" w:hAnsi="Book Antiqua" w:cs="Book Antiqua"/>
          <w:sz w:val="24"/>
          <w:szCs w:val="24"/>
          <w:vertAlign w:val="superscript"/>
        </w:rPr>
        <w:t>[4]</w:t>
      </w:r>
      <w:r w:rsidRPr="000418FA">
        <w:rPr>
          <w:rFonts w:ascii="Book Antiqua" w:hAnsi="Book Antiqua" w:cs="Book Antiqua"/>
          <w:sz w:val="24"/>
          <w:szCs w:val="24"/>
        </w:rPr>
        <w:t xml:space="preserve"> performed the first palliative hepaticogastrostomy under endoscopic ultrasound guidance in a patient with inoperable hepatic hilar obstruction. Recently, experience from EUS-guided biliary duct drainage attempts at 6 international centers was reviewed and showed successful bile duct drainage for all techniques combined in 87% cases</w:t>
      </w:r>
      <w:r w:rsidRPr="000418FA">
        <w:rPr>
          <w:rFonts w:ascii="Book Antiqua" w:hAnsi="Book Antiqua" w:cs="Book Antiqua"/>
          <w:sz w:val="24"/>
          <w:szCs w:val="24"/>
          <w:vertAlign w:val="superscript"/>
        </w:rPr>
        <w:t>[5]</w:t>
      </w:r>
      <w:r w:rsidRPr="000418FA">
        <w:rPr>
          <w:rFonts w:ascii="Book Antiqua" w:hAnsi="Book Antiqua" w:cs="Book Antiqua"/>
          <w:sz w:val="24"/>
          <w:szCs w:val="24"/>
        </w:rPr>
        <w:t>. Although performed for almost two decades, during the last five years there was a substantial increase in this type of procedure. These publications suggest that E</w:t>
      </w:r>
      <w:r w:rsidRPr="000418FA">
        <w:rPr>
          <w:rFonts w:ascii="Book Antiqua" w:hAnsi="Book Antiqua" w:cs="Book Antiqua"/>
          <w:sz w:val="24"/>
          <w:szCs w:val="24"/>
          <w:lang w:val="pt-PT"/>
        </w:rPr>
        <w:t>GBD</w:t>
      </w:r>
      <w:r w:rsidRPr="000418FA">
        <w:rPr>
          <w:rFonts w:ascii="Book Antiqua" w:hAnsi="Book Antiqua" w:cs="Book Antiqua"/>
          <w:sz w:val="24"/>
          <w:szCs w:val="24"/>
        </w:rPr>
        <w:t xml:space="preserve"> can provide high levels of technical success with acceptable complication rates</w:t>
      </w:r>
      <w:r w:rsidRPr="000418FA">
        <w:rPr>
          <w:rFonts w:ascii="Book Antiqua" w:hAnsi="Book Antiqua" w:cs="Book Antiqua"/>
          <w:sz w:val="24"/>
          <w:szCs w:val="24"/>
          <w:vertAlign w:val="superscript"/>
        </w:rPr>
        <w:t>[6]</w:t>
      </w:r>
      <w:r w:rsidRPr="000418FA">
        <w:rPr>
          <w:rFonts w:ascii="Book Antiqua" w:hAnsi="Book Antiqua" w:cs="Book Antiqua"/>
          <w:sz w:val="24"/>
          <w:szCs w:val="24"/>
        </w:rPr>
        <w:t>.</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The indications for EGBD include: failed conventional ERCP; altered anatomy; tumor preventing access into the biliary tree; and contra</w:t>
      </w:r>
      <w:r w:rsidRPr="000418FA">
        <w:rPr>
          <w:rFonts w:ascii="Book Antiqua" w:hAnsi="Book Antiqua" w:cs="Book Antiqua"/>
          <w:sz w:val="24"/>
          <w:szCs w:val="24"/>
          <w:lang w:val="pt-PT"/>
        </w:rPr>
        <w:t>-</w:t>
      </w:r>
      <w:r w:rsidRPr="000418FA">
        <w:rPr>
          <w:rFonts w:ascii="Book Antiqua" w:hAnsi="Book Antiqua" w:cs="Book Antiqua"/>
          <w:sz w:val="24"/>
          <w:szCs w:val="24"/>
        </w:rPr>
        <w:t>indication to percutaneous access</w:t>
      </w:r>
      <w:r w:rsidRPr="000418FA">
        <w:rPr>
          <w:rFonts w:ascii="Book Antiqua" w:hAnsi="Book Antiqua" w:cs="Book Antiqua"/>
          <w:sz w:val="24"/>
          <w:szCs w:val="24"/>
          <w:vertAlign w:val="superscript"/>
        </w:rPr>
        <w:t>[7]</w:t>
      </w:r>
      <w:r w:rsidRPr="000418FA">
        <w:rPr>
          <w:rFonts w:ascii="Book Antiqua" w:hAnsi="Book Antiqua" w:cs="Book Antiqua"/>
          <w:sz w:val="24"/>
          <w:szCs w:val="24"/>
        </w:rPr>
        <w:t>.</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If the papilla is accessible, a rendezvous technique (EUS-RV) can be adopted wherein EUS is used to puncture the bile duct and a wire is negotiated through the papilla and further therapy is carried out through ERCP. If the papilla is not accessible then EUS is used to access the bile duct and create a fistula for placement of a stent called the transmural technique</w:t>
      </w:r>
      <w:r w:rsidRPr="000418FA">
        <w:rPr>
          <w:rFonts w:ascii="Book Antiqua" w:hAnsi="Book Antiqua" w:cs="Book Antiqua"/>
          <w:sz w:val="24"/>
          <w:szCs w:val="24"/>
          <w:vertAlign w:val="superscript"/>
        </w:rPr>
        <w:t>[8]</w:t>
      </w:r>
      <w:r w:rsidRPr="000418FA">
        <w:rPr>
          <w:rFonts w:ascii="Book Antiqua" w:hAnsi="Book Antiqua" w:cs="Book Antiqua"/>
          <w:sz w:val="24"/>
          <w:szCs w:val="24"/>
        </w:rPr>
        <w:t>.</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 xml:space="preserve">   The objectives of this review are: outline the rationale for EGBD; detail the procedural technique; evaluate the clinical outcomes and limitations of the method; and provide recommendations for the practicing clinician.</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RATIONALE FOR USE EGBD</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In cases of failed ERCP, patients are usually referred for either percutaneous transhepatic biliary drainage (PTBD) or surgical bypass. Both these procedures have high rates of undesirable complications. EGBD is an attractive alternative to PTBD or surgery when ERCP fails</w:t>
      </w:r>
      <w:r w:rsidRPr="000418FA">
        <w:rPr>
          <w:rFonts w:ascii="Book Antiqua" w:hAnsi="Book Antiqua" w:cs="Book Antiqua"/>
          <w:sz w:val="24"/>
          <w:szCs w:val="24"/>
          <w:vertAlign w:val="superscript"/>
        </w:rPr>
        <w:t>[9]</w:t>
      </w:r>
      <w:r w:rsidRPr="000418FA">
        <w:rPr>
          <w:rFonts w:ascii="Book Antiqua" w:hAnsi="Book Antiqua" w:cs="Book Antiqua"/>
          <w:sz w:val="24"/>
          <w:szCs w:val="24"/>
        </w:rPr>
        <w:t>. In a prospective single</w:t>
      </w:r>
      <w:r w:rsidRPr="000418FA">
        <w:rPr>
          <w:rFonts w:ascii="Book Antiqua" w:hAnsi="Book Antiqua" w:cs="Book Antiqua"/>
          <w:sz w:val="24"/>
          <w:szCs w:val="24"/>
          <w:lang w:val="pt-PT"/>
        </w:rPr>
        <w:t>-</w:t>
      </w:r>
      <w:r w:rsidRPr="000418FA">
        <w:rPr>
          <w:rFonts w:ascii="Book Antiqua" w:hAnsi="Book Antiqua" w:cs="Book Antiqua"/>
          <w:sz w:val="24"/>
          <w:szCs w:val="24"/>
        </w:rPr>
        <w:t>center randomized study</w:t>
      </w:r>
      <w:r w:rsidRPr="000418FA">
        <w:rPr>
          <w:rFonts w:ascii="Book Antiqua" w:hAnsi="Book Antiqua" w:cs="Book Antiqua"/>
          <w:sz w:val="24"/>
          <w:szCs w:val="24"/>
          <w:lang w:val="pt-PT"/>
        </w:rPr>
        <w:t>,</w:t>
      </w:r>
      <w:r w:rsidRPr="000418FA">
        <w:rPr>
          <w:rFonts w:ascii="Book Antiqua" w:hAnsi="Book Antiqua" w:cs="Book Antiqua"/>
          <w:sz w:val="24"/>
          <w:szCs w:val="24"/>
        </w:rPr>
        <w:t xml:space="preserve"> EGBD and PTBD were compared in patients with unresectable malignant biliary obstruction. Technical success and clinical success were 100% in both groups. The complication rate for PTBD was 15.3% and the complication rate for EGBD was 25% (</w:t>
      </w:r>
      <w:r w:rsidRPr="000418FA">
        <w:rPr>
          <w:rFonts w:ascii="Book Antiqua" w:hAnsi="Book Antiqua" w:cs="Book Antiqua"/>
          <w:i/>
          <w:iCs/>
          <w:sz w:val="24"/>
          <w:szCs w:val="24"/>
        </w:rPr>
        <w:t>P</w:t>
      </w:r>
      <w:r w:rsidRPr="000418FA">
        <w:rPr>
          <w:rFonts w:ascii="Book Antiqua" w:hAnsi="Book Antiqua" w:cs="Book Antiqua"/>
          <w:sz w:val="24"/>
          <w:szCs w:val="24"/>
        </w:rPr>
        <w:t xml:space="preserve"> = 0.2), and the cost of the procedures was similar (7570 USD and 5573 USD respectively,</w:t>
      </w:r>
      <w:r w:rsidRPr="000418FA">
        <w:rPr>
          <w:rFonts w:ascii="Book Antiqua" w:hAnsi="Book Antiqua" w:cs="Book Antiqua"/>
          <w:i/>
          <w:iCs/>
          <w:sz w:val="24"/>
          <w:szCs w:val="24"/>
        </w:rPr>
        <w:t xml:space="preserve"> P</w:t>
      </w:r>
      <w:r w:rsidRPr="000418FA">
        <w:rPr>
          <w:rFonts w:ascii="Book Antiqua" w:hAnsi="Book Antiqua" w:cs="Book Antiqua"/>
          <w:sz w:val="24"/>
          <w:szCs w:val="24"/>
        </w:rPr>
        <w:t xml:space="preserve"> = 0.39)</w:t>
      </w:r>
      <w:r w:rsidRPr="000418FA">
        <w:rPr>
          <w:rFonts w:ascii="Book Antiqua" w:hAnsi="Book Antiqua" w:cs="Book Antiqua"/>
          <w:sz w:val="24"/>
          <w:szCs w:val="24"/>
          <w:vertAlign w:val="superscript"/>
        </w:rPr>
        <w:t>[10]</w:t>
      </w:r>
      <w:r w:rsidRPr="000418FA">
        <w:rPr>
          <w:rFonts w:ascii="Book Antiqua" w:hAnsi="Book Antiqua" w:cs="Book Antiqua"/>
          <w:sz w:val="24"/>
          <w:szCs w:val="24"/>
        </w:rPr>
        <w:t xml:space="preserve">. The surgical bypass is an option only for patients who are good surgical candidates. Despite the more invasive approach, surgery produced better drainage. </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ERCP may be challenging or may fail in certain situations, including post-surgical anatomy, periampullary diverticula, ampullary tumor invasion, and high-grade strictures. EUS-guided interventions may allow access or direct therapy in ERCP failures. In a retrospective single-center cohort study, if the primary intended EUS-guided anterograde cholangiopancreatography (EACP) intervention failed, crossover to other type of EACP therapy was performed, when clinically appropriate- in 95 of 2566 ERCP procedures (3.7%). EUS-guided cholangiography and pancreatography were successful in 97% and 100%, respectively (Figure 1). EUS-RV and ERCP was successful in 75% of biliary procedures and in 56% of pancreatic procedures. Direct EUS-guided therapy was successful in 86% and 75% of biliary and pancreatic procedures, respectively</w:t>
      </w:r>
      <w:r w:rsidRPr="000418FA">
        <w:rPr>
          <w:rFonts w:ascii="Book Antiqua" w:hAnsi="Book Antiqua" w:cs="Book Antiqua"/>
          <w:sz w:val="24"/>
          <w:szCs w:val="24"/>
          <w:vertAlign w:val="superscript"/>
        </w:rPr>
        <w:t>[11]</w:t>
      </w:r>
      <w:r w:rsidRPr="000418FA">
        <w:rPr>
          <w:rFonts w:ascii="Book Antiqua" w:hAnsi="Book Antiqua" w:cs="Book Antiqua"/>
          <w:sz w:val="24"/>
          <w:szCs w:val="24"/>
        </w:rPr>
        <w:t>. Another systematic review evaluated the efficacy of EGBD in patients with surgically altered anatomy with 74 cases included for analysis. The pooled technical success, clinical success, and complication rates of all reports with available data were 89.18%, 91.07% and 17.5%, respectively</w:t>
      </w:r>
      <w:r w:rsidRPr="000418FA">
        <w:rPr>
          <w:rFonts w:ascii="Book Antiqua" w:hAnsi="Book Antiqua" w:cs="Book Antiqua"/>
          <w:sz w:val="24"/>
          <w:szCs w:val="24"/>
          <w:vertAlign w:val="superscript"/>
        </w:rPr>
        <w:t>[12]</w:t>
      </w:r>
      <w:r w:rsidRPr="000418FA">
        <w:rPr>
          <w:rFonts w:ascii="Book Antiqua" w:hAnsi="Book Antiqua" w:cs="Book Antiqua"/>
          <w:sz w:val="24"/>
          <w:szCs w:val="24"/>
        </w:rPr>
        <w:t>.</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We recommend surgical bypass for patients with both duodenal and biliary obstructions who are good surgical candidates, but EGBD might be better than PTBD in patients with large volume ascites or patients who refuse external drainage</w:t>
      </w:r>
      <w:r w:rsidRPr="000418FA">
        <w:rPr>
          <w:rFonts w:ascii="Book Antiqua" w:hAnsi="Book Antiqua" w:cs="Book Antiqua"/>
          <w:sz w:val="24"/>
          <w:szCs w:val="24"/>
          <w:vertAlign w:val="superscript"/>
        </w:rPr>
        <w:t>[13]</w:t>
      </w:r>
      <w:r w:rsidRPr="000418FA">
        <w:rPr>
          <w:rFonts w:ascii="Book Antiqua" w:hAnsi="Book Antiqua" w:cs="Book Antiqua"/>
          <w:sz w:val="24"/>
          <w:szCs w:val="24"/>
        </w:rPr>
        <w:t>.</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 xml:space="preserve">A gallbladder biliary drainage is necessary in acute cholecystitis with poor performance status and septic shock patients. Jang </w:t>
      </w:r>
      <w:r w:rsidRPr="000418FA">
        <w:rPr>
          <w:rFonts w:ascii="Book Antiqua" w:hAnsi="Book Antiqua" w:cs="Book Antiqua"/>
          <w:i/>
          <w:iCs/>
          <w:sz w:val="24"/>
          <w:szCs w:val="24"/>
        </w:rPr>
        <w:t>et al</w:t>
      </w:r>
      <w:r w:rsidRPr="000418FA">
        <w:rPr>
          <w:rFonts w:ascii="Book Antiqua" w:hAnsi="Book Antiqua" w:cs="Book Antiqua"/>
          <w:sz w:val="24"/>
          <w:szCs w:val="24"/>
          <w:vertAlign w:val="superscript"/>
        </w:rPr>
        <w:t>[14]</w:t>
      </w:r>
      <w:r w:rsidRPr="000418FA">
        <w:rPr>
          <w:rFonts w:ascii="Book Antiqua" w:hAnsi="Book Antiqua" w:cs="Book Antiqua"/>
          <w:sz w:val="24"/>
          <w:szCs w:val="24"/>
        </w:rPr>
        <w:t xml:space="preserve"> showed that EUS-guided naso</w:t>
      </w:r>
      <w:r w:rsidRPr="000418FA">
        <w:rPr>
          <w:rFonts w:ascii="Book Antiqua" w:hAnsi="Book Antiqua" w:cs="Book Antiqua"/>
          <w:sz w:val="24"/>
          <w:szCs w:val="24"/>
          <w:lang w:val="pt-PT"/>
        </w:rPr>
        <w:t>-</w:t>
      </w:r>
      <w:r w:rsidRPr="000418FA">
        <w:rPr>
          <w:rFonts w:ascii="Book Antiqua" w:hAnsi="Book Antiqua" w:cs="Book Antiqua"/>
          <w:sz w:val="24"/>
          <w:szCs w:val="24"/>
        </w:rPr>
        <w:t>gallbladder drainage</w:t>
      </w:r>
      <w:r w:rsidRPr="000418FA">
        <w:rPr>
          <w:rFonts w:ascii="Book Antiqua" w:hAnsi="Book Antiqua" w:cs="Book Antiqua"/>
          <w:i/>
          <w:iCs/>
          <w:sz w:val="24"/>
          <w:szCs w:val="24"/>
        </w:rPr>
        <w:t xml:space="preserve"> </w:t>
      </w:r>
      <w:r w:rsidRPr="000418FA">
        <w:rPr>
          <w:rFonts w:ascii="Book Antiqua" w:hAnsi="Book Antiqua" w:cs="Book Antiqua"/>
          <w:i/>
          <w:iCs/>
          <w:sz w:val="24"/>
          <w:szCs w:val="24"/>
          <w:lang w:val="pt-PT"/>
        </w:rPr>
        <w:t xml:space="preserve">via </w:t>
      </w:r>
      <w:r w:rsidRPr="000418FA">
        <w:rPr>
          <w:rFonts w:ascii="Book Antiqua" w:hAnsi="Book Antiqua" w:cs="Book Antiqua"/>
          <w:sz w:val="24"/>
          <w:szCs w:val="24"/>
        </w:rPr>
        <w:t xml:space="preserve">transluminal technique is safe, effective and similar compared to percutaneous transhepatic gallbladder drainage, with a significant lower </w:t>
      </w:r>
      <w:r w:rsidRPr="000418FA">
        <w:rPr>
          <w:rFonts w:ascii="Book Antiqua" w:hAnsi="Book Antiqua" w:cs="Book Antiqua"/>
          <w:sz w:val="24"/>
          <w:szCs w:val="24"/>
          <w:lang w:val="pt-PT"/>
        </w:rPr>
        <w:t xml:space="preserve">rate of </w:t>
      </w:r>
      <w:r w:rsidRPr="000418FA">
        <w:rPr>
          <w:rFonts w:ascii="Book Antiqua" w:hAnsi="Book Antiqua" w:cs="Book Antiqua"/>
          <w:sz w:val="24"/>
          <w:szCs w:val="24"/>
        </w:rPr>
        <w:t>postoperat</w:t>
      </w:r>
      <w:r w:rsidRPr="000418FA">
        <w:rPr>
          <w:rFonts w:ascii="Book Antiqua" w:hAnsi="Book Antiqua" w:cs="Book Antiqua"/>
          <w:sz w:val="24"/>
          <w:szCs w:val="24"/>
          <w:lang w:val="pt-PT"/>
        </w:rPr>
        <w:t>ive</w:t>
      </w:r>
      <w:r w:rsidRPr="000418FA">
        <w:rPr>
          <w:rFonts w:ascii="Book Antiqua" w:hAnsi="Book Antiqua" w:cs="Book Antiqua"/>
          <w:sz w:val="24"/>
          <w:szCs w:val="24"/>
        </w:rPr>
        <w:t xml:space="preserve"> pain (1 </w:t>
      </w:r>
      <w:r w:rsidRPr="000418FA">
        <w:rPr>
          <w:rFonts w:ascii="Book Antiqua" w:hAnsi="Book Antiqua" w:cs="Book Antiqua"/>
          <w:i/>
          <w:iCs/>
          <w:sz w:val="24"/>
          <w:szCs w:val="24"/>
        </w:rPr>
        <w:t>vs</w:t>
      </w:r>
      <w:r w:rsidRPr="000418FA">
        <w:rPr>
          <w:rFonts w:ascii="Book Antiqua" w:hAnsi="Book Antiqua" w:cs="Book Antiqua"/>
          <w:sz w:val="24"/>
          <w:szCs w:val="24"/>
        </w:rPr>
        <w:t xml:space="preserve"> 5; </w:t>
      </w:r>
      <w:r w:rsidRPr="000418FA">
        <w:rPr>
          <w:rFonts w:ascii="Book Antiqua" w:hAnsi="Book Antiqua" w:cs="Book Antiqua"/>
          <w:i/>
          <w:iCs/>
          <w:sz w:val="24"/>
          <w:szCs w:val="24"/>
        </w:rPr>
        <w:t>P</w:t>
      </w:r>
      <w:r w:rsidRPr="000418FA">
        <w:rPr>
          <w:rFonts w:ascii="Book Antiqua" w:hAnsi="Book Antiqua" w:cs="Book Antiqua"/>
          <w:sz w:val="24"/>
          <w:szCs w:val="24"/>
        </w:rPr>
        <w:t xml:space="preserve"> &lt; 0.001). </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 xml:space="preserve">Others therapeutics modalities </w:t>
      </w:r>
      <w:r w:rsidRPr="000418FA">
        <w:rPr>
          <w:rFonts w:ascii="Book Antiqua" w:hAnsi="Book Antiqua" w:cs="Book Antiqua"/>
          <w:sz w:val="24"/>
          <w:szCs w:val="24"/>
          <w:lang w:val="pt-PT"/>
        </w:rPr>
        <w:t xml:space="preserve">guided by endoscopic ultrasound </w:t>
      </w:r>
      <w:r w:rsidRPr="000418FA">
        <w:rPr>
          <w:rFonts w:ascii="Book Antiqua" w:hAnsi="Book Antiqua" w:cs="Book Antiqua"/>
          <w:sz w:val="24"/>
          <w:szCs w:val="24"/>
        </w:rPr>
        <w:t>are transmural drainage of pancreatic pseudocysts</w:t>
      </w:r>
      <w:r w:rsidRPr="000418FA">
        <w:rPr>
          <w:rFonts w:ascii="Book Antiqua" w:hAnsi="Book Antiqua" w:cs="Book Antiqua"/>
          <w:sz w:val="24"/>
          <w:szCs w:val="24"/>
          <w:vertAlign w:val="superscript"/>
        </w:rPr>
        <w:t>[8]</w:t>
      </w:r>
      <w:r w:rsidRPr="000418FA">
        <w:rPr>
          <w:rFonts w:ascii="Book Antiqua" w:hAnsi="Book Antiqua" w:cs="Book Antiqua"/>
          <w:sz w:val="24"/>
          <w:szCs w:val="24"/>
        </w:rPr>
        <w:t>, treatment of distal inflammatory biliary stricture</w:t>
      </w:r>
      <w:r w:rsidRPr="000418FA">
        <w:rPr>
          <w:rFonts w:ascii="Book Antiqua" w:hAnsi="Book Antiqua" w:cs="Book Antiqua"/>
          <w:sz w:val="24"/>
          <w:szCs w:val="24"/>
          <w:vertAlign w:val="superscript"/>
        </w:rPr>
        <w:t>[15]</w:t>
      </w:r>
      <w:r w:rsidRPr="000418FA">
        <w:rPr>
          <w:rFonts w:ascii="Book Antiqua" w:hAnsi="Book Antiqua" w:cs="Book Antiqua"/>
          <w:sz w:val="24"/>
          <w:szCs w:val="24"/>
        </w:rPr>
        <w:t>, renal biopsy by fine neddle aspiration (EUS-FNA)</w:t>
      </w:r>
      <w:r w:rsidRPr="000418FA">
        <w:rPr>
          <w:rFonts w:ascii="Book Antiqua" w:hAnsi="Book Antiqua" w:cs="Book Antiqua"/>
          <w:sz w:val="24"/>
          <w:szCs w:val="24"/>
          <w:vertAlign w:val="superscript"/>
        </w:rPr>
        <w:t>[16]</w:t>
      </w:r>
      <w:r w:rsidRPr="000418FA">
        <w:rPr>
          <w:rFonts w:ascii="Book Antiqua" w:hAnsi="Book Antiqua" w:cs="Book Antiqua"/>
          <w:sz w:val="24"/>
          <w:szCs w:val="24"/>
        </w:rPr>
        <w:t>, preoperative fine-needle tattooing insulinoma</w:t>
      </w:r>
      <w:r w:rsidRPr="000418FA">
        <w:rPr>
          <w:rFonts w:ascii="Book Antiqua" w:hAnsi="Book Antiqua" w:cs="Book Antiqua"/>
          <w:sz w:val="24"/>
          <w:szCs w:val="24"/>
          <w:vertAlign w:val="superscript"/>
        </w:rPr>
        <w:t>[17]</w:t>
      </w:r>
      <w:r w:rsidRPr="000418FA">
        <w:rPr>
          <w:rFonts w:ascii="Book Antiqua" w:hAnsi="Book Antiqua" w:cs="Book Antiqua"/>
          <w:sz w:val="24"/>
          <w:szCs w:val="24"/>
        </w:rPr>
        <w:t>.</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PROCEDURAL TECHNIQUE</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EGBD can be performed at two locations: transhepatic (TH), through segment III, when the probe is placed at the stomach cardia and lesser curvature or jejunum (in altered anatomy) or extrahepatic (EH) when the ne</w:t>
      </w:r>
      <w:r w:rsidRPr="000418FA">
        <w:rPr>
          <w:rFonts w:ascii="Book Antiqua" w:hAnsi="Book Antiqua" w:cs="Book Antiqua"/>
          <w:sz w:val="24"/>
          <w:szCs w:val="24"/>
          <w:lang w:val="pt-PT"/>
        </w:rPr>
        <w:t>e</w:t>
      </w:r>
      <w:r w:rsidRPr="000418FA">
        <w:rPr>
          <w:rFonts w:ascii="Book Antiqua" w:hAnsi="Book Antiqua" w:cs="Book Antiqua"/>
          <w:sz w:val="24"/>
          <w:szCs w:val="24"/>
        </w:rPr>
        <w:t>dle access the CBD directly, either using the transmural access from the antral part of the stomach or duodenum</w:t>
      </w:r>
      <w:r w:rsidRPr="000418FA">
        <w:rPr>
          <w:rFonts w:ascii="Book Antiqua" w:hAnsi="Book Antiqua" w:cs="Book Antiqua"/>
          <w:sz w:val="24"/>
          <w:szCs w:val="24"/>
          <w:vertAlign w:val="superscript"/>
        </w:rPr>
        <w:t>[7]</w:t>
      </w:r>
      <w:r w:rsidRPr="000418FA">
        <w:rPr>
          <w:rFonts w:ascii="Book Antiqua" w:hAnsi="Book Antiqua" w:cs="Book Antiqua"/>
          <w:sz w:val="24"/>
          <w:szCs w:val="24"/>
        </w:rPr>
        <w:t xml:space="preserve"> (Figure 2). Some endoscopists consider the latter as a route of access to the biliary system due to the anatomical position of the CBD (located in the retroperitoneal space), which might be safer in patients with ascites</w:t>
      </w:r>
      <w:r w:rsidRPr="000418FA">
        <w:rPr>
          <w:rFonts w:ascii="Book Antiqua" w:hAnsi="Book Antiqua" w:cs="Book Antiqua"/>
          <w:sz w:val="24"/>
          <w:szCs w:val="24"/>
          <w:vertAlign w:val="superscript"/>
        </w:rPr>
        <w:t>[18]</w:t>
      </w:r>
      <w:r w:rsidRPr="000418FA">
        <w:rPr>
          <w:rFonts w:ascii="Book Antiqua" w:hAnsi="Book Antiqua" w:cs="Book Antiqua"/>
          <w:sz w:val="24"/>
          <w:szCs w:val="24"/>
        </w:rPr>
        <w:t>.</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The stent can be inserted in the direction of the papilla (antegrade insertion, AG) or in the direction of the liver (retrograde insertion) (Figure 3). Finally, the drainage route can be transluminal {between the bile duct and either the stomach [hepaticogastrostomy, (HGS)] or the duodenum [choledochoduodenostomy (CDS)]} or transpapillary, which, again, can be antegrade or retrograde (rendezvous, EUS-RV)</w:t>
      </w:r>
      <w:r w:rsidRPr="000418FA">
        <w:rPr>
          <w:rFonts w:ascii="Book Antiqua" w:hAnsi="Book Antiqua" w:cs="Book Antiqua"/>
          <w:sz w:val="24"/>
          <w:szCs w:val="24"/>
          <w:vertAlign w:val="superscript"/>
        </w:rPr>
        <w:fldChar w:fldCharType="begin"/>
      </w:r>
      <w:r w:rsidRPr="000418FA">
        <w:rPr>
          <w:rFonts w:ascii="Book Antiqua" w:hAnsi="Book Antiqua" w:cs="Book Antiqua"/>
          <w:sz w:val="24"/>
          <w:szCs w:val="24"/>
          <w:vertAlign w:val="superscript"/>
        </w:rPr>
        <w:instrText xml:space="preserve"> ADDIN EN.CITE &lt;EndNote&gt;&lt;Cite&gt;&lt;DisplayText&gt;[19]&lt;/DisplayText&gt;&lt;record&gt;&lt;/record&gt;&lt;/Cite&gt;&lt;/EndNote&gt;</w:instrText>
      </w:r>
      <w:r w:rsidRPr="000418FA">
        <w:rPr>
          <w:rFonts w:ascii="Book Antiqua" w:hAnsi="Book Antiqua" w:cs="Book Antiqua"/>
          <w:sz w:val="24"/>
          <w:szCs w:val="24"/>
          <w:vertAlign w:val="superscript"/>
        </w:rPr>
        <w:fldChar w:fldCharType="separate"/>
      </w:r>
      <w:r w:rsidRPr="000418FA">
        <w:rPr>
          <w:rFonts w:ascii="Book Antiqua" w:hAnsi="Book Antiqua" w:cs="Book Antiqua"/>
          <w:sz w:val="24"/>
          <w:szCs w:val="24"/>
          <w:vertAlign w:val="superscript"/>
        </w:rPr>
        <w:t>[19]</w:t>
      </w:r>
      <w:r w:rsidRPr="000418FA">
        <w:rPr>
          <w:rFonts w:ascii="Book Antiqua" w:hAnsi="Book Antiqua" w:cs="Book Antiqua"/>
          <w:sz w:val="24"/>
          <w:szCs w:val="24"/>
          <w:vertAlign w:val="superscript"/>
        </w:rPr>
        <w:fldChar w:fldCharType="end"/>
      </w:r>
      <w:r w:rsidRPr="000418FA">
        <w:rPr>
          <w:rFonts w:ascii="Book Antiqua" w:hAnsi="Book Antiqua" w:cs="Book Antiqua"/>
          <w:sz w:val="24"/>
          <w:szCs w:val="24"/>
        </w:rPr>
        <w:t xml:space="preserve">. </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 xml:space="preserve">The best EGBD route is not defined. Dhir </w:t>
      </w:r>
      <w:r w:rsidRPr="000418FA">
        <w:rPr>
          <w:rFonts w:ascii="Book Antiqua" w:hAnsi="Book Antiqua" w:cs="Book Antiqua"/>
          <w:i/>
          <w:iCs/>
          <w:sz w:val="24"/>
          <w:szCs w:val="24"/>
        </w:rPr>
        <w:t>et al</w:t>
      </w:r>
      <w:r w:rsidRPr="000418FA">
        <w:rPr>
          <w:rFonts w:ascii="Book Antiqua" w:hAnsi="Book Antiqua" w:cs="Book Antiqua"/>
          <w:sz w:val="24"/>
          <w:szCs w:val="24"/>
          <w:vertAlign w:val="superscript"/>
        </w:rPr>
        <w:t>[20]</w:t>
      </w:r>
      <w:r w:rsidRPr="000418FA">
        <w:rPr>
          <w:rFonts w:ascii="Book Antiqua" w:hAnsi="Book Antiqua" w:cs="Book Antiqua"/>
          <w:sz w:val="24"/>
          <w:szCs w:val="24"/>
        </w:rPr>
        <w:t xml:space="preserve"> compare the success, complications, and duration of hospitalization for patients undergoing EUS-RV by the TH or the EH route. A total of 35 patients were analysed (17 TH, 18 EH). The mean procedure time was significantly longer for the TH group (34.4 </w:t>
      </w:r>
      <w:r w:rsidRPr="000418FA">
        <w:rPr>
          <w:rFonts w:ascii="Book Antiqua" w:hAnsi="Book Antiqua" w:cs="Book Antiqua"/>
          <w:i/>
          <w:iCs/>
          <w:sz w:val="24"/>
          <w:szCs w:val="24"/>
        </w:rPr>
        <w:t>vs</w:t>
      </w:r>
      <w:r w:rsidRPr="000418FA">
        <w:rPr>
          <w:rFonts w:ascii="Book Antiqua" w:hAnsi="Book Antiqua" w:cs="Book Antiqua"/>
          <w:sz w:val="24"/>
          <w:szCs w:val="24"/>
        </w:rPr>
        <w:t xml:space="preserve"> 25.7 min; </w:t>
      </w:r>
      <w:r w:rsidRPr="000418FA">
        <w:rPr>
          <w:rFonts w:ascii="Book Antiqua" w:hAnsi="Book Antiqua" w:cs="Book Antiqua"/>
          <w:i/>
          <w:iCs/>
          <w:sz w:val="24"/>
          <w:szCs w:val="24"/>
        </w:rPr>
        <w:t>P</w:t>
      </w:r>
      <w:r w:rsidRPr="000418FA">
        <w:rPr>
          <w:rFonts w:ascii="Book Antiqua" w:hAnsi="Book Antiqua" w:cs="Book Antiqua"/>
          <w:sz w:val="24"/>
          <w:szCs w:val="24"/>
        </w:rPr>
        <w:t xml:space="preserve"> = 0.0004). There was no difference in the technical success (94.1% </w:t>
      </w:r>
      <w:r w:rsidRPr="000418FA">
        <w:rPr>
          <w:rFonts w:ascii="Book Antiqua" w:hAnsi="Book Antiqua" w:cs="Book Antiqua"/>
          <w:i/>
          <w:iCs/>
          <w:sz w:val="24"/>
          <w:szCs w:val="24"/>
        </w:rPr>
        <w:t>vs</w:t>
      </w:r>
      <w:r w:rsidRPr="000418FA">
        <w:rPr>
          <w:rFonts w:ascii="Book Antiqua" w:hAnsi="Book Antiqua" w:cs="Book Antiqua"/>
          <w:sz w:val="24"/>
          <w:szCs w:val="24"/>
        </w:rPr>
        <w:t xml:space="preserve"> 100%). However, the TH group had a higher incidence of post-procedure pain (44.1% </w:t>
      </w:r>
      <w:r w:rsidRPr="000418FA">
        <w:rPr>
          <w:rFonts w:ascii="Book Antiqua" w:hAnsi="Book Antiqua" w:cs="Book Antiqua"/>
          <w:i/>
          <w:iCs/>
          <w:sz w:val="24"/>
          <w:szCs w:val="24"/>
        </w:rPr>
        <w:t>vs</w:t>
      </w:r>
      <w:r w:rsidRPr="000418FA">
        <w:rPr>
          <w:rFonts w:ascii="Book Antiqua" w:hAnsi="Book Antiqua" w:cs="Book Antiqua"/>
          <w:sz w:val="24"/>
          <w:szCs w:val="24"/>
        </w:rPr>
        <w:t xml:space="preserve"> 5.5%; </w:t>
      </w:r>
      <w:r w:rsidRPr="000418FA">
        <w:rPr>
          <w:rFonts w:ascii="Book Antiqua" w:hAnsi="Book Antiqua" w:cs="Book Antiqua"/>
          <w:i/>
          <w:iCs/>
          <w:sz w:val="24"/>
          <w:szCs w:val="24"/>
        </w:rPr>
        <w:t>P</w:t>
      </w:r>
      <w:r w:rsidRPr="000418FA">
        <w:rPr>
          <w:rFonts w:ascii="Book Antiqua" w:hAnsi="Book Antiqua" w:cs="Book Antiqua"/>
          <w:sz w:val="24"/>
          <w:szCs w:val="24"/>
        </w:rPr>
        <w:t xml:space="preserve"> = 0.017), bile leak (11.7 </w:t>
      </w:r>
      <w:r w:rsidRPr="000418FA">
        <w:rPr>
          <w:rFonts w:ascii="Book Antiqua" w:hAnsi="Book Antiqua" w:cs="Book Antiqua"/>
          <w:i/>
          <w:iCs/>
          <w:sz w:val="24"/>
          <w:szCs w:val="24"/>
        </w:rPr>
        <w:t>vs</w:t>
      </w:r>
      <w:r w:rsidRPr="000418FA">
        <w:rPr>
          <w:rFonts w:ascii="Book Antiqua" w:hAnsi="Book Antiqua" w:cs="Book Antiqua"/>
          <w:sz w:val="24"/>
          <w:szCs w:val="24"/>
        </w:rPr>
        <w:t xml:space="preserve"> 0; </w:t>
      </w:r>
      <w:r w:rsidRPr="000418FA">
        <w:rPr>
          <w:rFonts w:ascii="Book Antiqua" w:hAnsi="Book Antiqua" w:cs="Book Antiqua"/>
          <w:i/>
          <w:iCs/>
          <w:sz w:val="24"/>
          <w:szCs w:val="24"/>
        </w:rPr>
        <w:t>P</w:t>
      </w:r>
      <w:r w:rsidRPr="000418FA">
        <w:rPr>
          <w:rFonts w:ascii="Book Antiqua" w:hAnsi="Book Antiqua" w:cs="Book Antiqua"/>
          <w:sz w:val="24"/>
          <w:szCs w:val="24"/>
        </w:rPr>
        <w:t xml:space="preserve"> = 0.228), and air under diaphragm (11.7 </w:t>
      </w:r>
      <w:r w:rsidRPr="000418FA">
        <w:rPr>
          <w:rFonts w:ascii="Book Antiqua" w:hAnsi="Book Antiqua" w:cs="Book Antiqua"/>
          <w:i/>
          <w:iCs/>
          <w:sz w:val="24"/>
          <w:szCs w:val="24"/>
        </w:rPr>
        <w:t>vs</w:t>
      </w:r>
      <w:r w:rsidRPr="000418FA">
        <w:rPr>
          <w:rFonts w:ascii="Book Antiqua" w:hAnsi="Book Antiqua" w:cs="Book Antiqua"/>
          <w:sz w:val="24"/>
          <w:szCs w:val="24"/>
        </w:rPr>
        <w:t xml:space="preserve"> 0; </w:t>
      </w:r>
      <w:r w:rsidRPr="000418FA">
        <w:rPr>
          <w:rFonts w:ascii="Book Antiqua" w:hAnsi="Book Antiqua" w:cs="Book Antiqua"/>
          <w:i/>
          <w:iCs/>
          <w:sz w:val="24"/>
          <w:szCs w:val="24"/>
        </w:rPr>
        <w:t>P</w:t>
      </w:r>
      <w:r w:rsidRPr="000418FA">
        <w:rPr>
          <w:rFonts w:ascii="Book Antiqua" w:hAnsi="Book Antiqua" w:cs="Book Antiqua"/>
          <w:sz w:val="24"/>
          <w:szCs w:val="24"/>
        </w:rPr>
        <w:t xml:space="preserve"> = 0.228). All bile leaks were small and managed conservatively. Duration of hospitalization was significantly higher for the TH group (2.52 </w:t>
      </w:r>
      <w:r w:rsidRPr="000418FA">
        <w:rPr>
          <w:rFonts w:ascii="Book Antiqua" w:hAnsi="Book Antiqua" w:cs="Book Antiqua"/>
          <w:i/>
          <w:iCs/>
          <w:sz w:val="24"/>
          <w:szCs w:val="24"/>
        </w:rPr>
        <w:t>vs</w:t>
      </w:r>
      <w:r w:rsidRPr="000418FA">
        <w:rPr>
          <w:rFonts w:ascii="Book Antiqua" w:hAnsi="Book Antiqua" w:cs="Book Antiqua"/>
          <w:sz w:val="24"/>
          <w:szCs w:val="24"/>
        </w:rPr>
        <w:t xml:space="preserve"> 0.17 d; </w:t>
      </w:r>
      <w:r w:rsidRPr="000418FA">
        <w:rPr>
          <w:rFonts w:ascii="Book Antiqua" w:hAnsi="Book Antiqua" w:cs="Book Antiqua"/>
          <w:i/>
          <w:iCs/>
          <w:sz w:val="24"/>
          <w:szCs w:val="24"/>
        </w:rPr>
        <w:t>P</w:t>
      </w:r>
      <w:r w:rsidRPr="000418FA">
        <w:rPr>
          <w:rFonts w:ascii="Book Antiqua" w:hAnsi="Book Antiqua" w:cs="Book Antiqua"/>
          <w:sz w:val="24"/>
          <w:szCs w:val="24"/>
        </w:rPr>
        <w:t xml:space="preserve"> = 0.015)</w:t>
      </w:r>
      <w:r w:rsidRPr="000418FA">
        <w:rPr>
          <w:rFonts w:ascii="Book Antiqua" w:hAnsi="Book Antiqua" w:cs="Book Antiqua"/>
          <w:sz w:val="24"/>
          <w:szCs w:val="24"/>
          <w:vertAlign w:val="superscript"/>
        </w:rPr>
        <w:t>[20]</w:t>
      </w:r>
      <w:r w:rsidRPr="000418FA">
        <w:rPr>
          <w:rFonts w:ascii="Book Antiqua" w:hAnsi="Book Antiqua" w:cs="Book Antiqua"/>
          <w:sz w:val="24"/>
          <w:szCs w:val="24"/>
          <w:lang w:val="fr-FR"/>
        </w:rPr>
        <w:t xml:space="preserve">. Nevertheless, Artifon </w:t>
      </w:r>
      <w:r w:rsidRPr="000418FA">
        <w:rPr>
          <w:rFonts w:ascii="Book Antiqua" w:hAnsi="Book Antiqua" w:cs="Book Antiqua"/>
          <w:i/>
          <w:iCs/>
          <w:sz w:val="24"/>
          <w:szCs w:val="24"/>
          <w:lang w:val="fr-FR"/>
        </w:rPr>
        <w:t>et al</w:t>
      </w:r>
      <w:r w:rsidRPr="000418FA">
        <w:rPr>
          <w:rFonts w:ascii="Book Antiqua" w:hAnsi="Book Antiqua" w:cs="Book Antiqua"/>
          <w:sz w:val="24"/>
          <w:szCs w:val="24"/>
          <w:vertAlign w:val="superscript"/>
        </w:rPr>
        <w:t>[21]</w:t>
      </w:r>
      <w:r w:rsidRPr="000418FA">
        <w:rPr>
          <w:rFonts w:ascii="Book Antiqua" w:hAnsi="Book Antiqua" w:cs="Book Antiqua"/>
          <w:sz w:val="24"/>
          <w:szCs w:val="24"/>
        </w:rPr>
        <w:t xml:space="preserve"> compared the outcomes of 2 non-anatomic EGBD routes: hepaticogastrostomy (HPG) - 25 patients and choledochoduodenostomy (CD )- 24 patients. HPG and CD techniques were similar in efficacy and safety (Figure 4).</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lang w:val="fr-FR"/>
        </w:rPr>
        <w:t xml:space="preserve">Khashab </w:t>
      </w:r>
      <w:r w:rsidRPr="000418FA">
        <w:rPr>
          <w:rFonts w:ascii="Book Antiqua" w:hAnsi="Book Antiqua" w:cs="Book Antiqua"/>
          <w:i/>
          <w:iCs/>
          <w:sz w:val="24"/>
          <w:szCs w:val="24"/>
          <w:lang w:val="fr-FR"/>
        </w:rPr>
        <w:t>et al</w:t>
      </w:r>
      <w:r w:rsidRPr="000418FA">
        <w:rPr>
          <w:rFonts w:ascii="Book Antiqua" w:hAnsi="Book Antiqua" w:cs="Book Antiqua"/>
          <w:sz w:val="24"/>
          <w:szCs w:val="24"/>
          <w:vertAlign w:val="superscript"/>
        </w:rPr>
        <w:fldChar w:fldCharType="begin"/>
      </w:r>
      <w:r w:rsidRPr="000418FA">
        <w:rPr>
          <w:rFonts w:ascii="Book Antiqua" w:hAnsi="Book Antiqua" w:cs="Book Antiqua"/>
          <w:sz w:val="24"/>
          <w:szCs w:val="24"/>
          <w:vertAlign w:val="superscript"/>
        </w:rPr>
        <w:instrText xml:space="preserve"> ADDIN EN.CITE &lt;EndNote&gt;&lt;Cite&gt;&lt;DisplayText&gt;[22]&lt;/DisplayText&gt;&lt;record&gt;&lt;/record&gt;&lt;/Cite&gt;&lt;/EndNote&gt;</w:instrText>
      </w:r>
      <w:r w:rsidRPr="000418FA">
        <w:rPr>
          <w:rFonts w:ascii="Book Antiqua" w:hAnsi="Book Antiqua" w:cs="Book Antiqua"/>
          <w:sz w:val="24"/>
          <w:szCs w:val="24"/>
          <w:vertAlign w:val="superscript"/>
        </w:rPr>
        <w:fldChar w:fldCharType="separate"/>
      </w:r>
      <w:r w:rsidRPr="000418FA">
        <w:rPr>
          <w:rFonts w:ascii="Book Antiqua" w:hAnsi="Book Antiqua" w:cs="Book Antiqua"/>
          <w:sz w:val="24"/>
          <w:szCs w:val="24"/>
          <w:vertAlign w:val="superscript"/>
        </w:rPr>
        <w:t>[22]</w:t>
      </w:r>
      <w:r w:rsidRPr="000418FA">
        <w:rPr>
          <w:rFonts w:ascii="Book Antiqua" w:hAnsi="Book Antiqua" w:cs="Book Antiqua"/>
          <w:sz w:val="24"/>
          <w:szCs w:val="24"/>
          <w:vertAlign w:val="superscript"/>
        </w:rPr>
        <w:fldChar w:fldCharType="end"/>
      </w:r>
      <w:r w:rsidRPr="000418FA">
        <w:rPr>
          <w:rFonts w:ascii="Book Antiqua" w:hAnsi="Book Antiqua" w:cs="Book Antiqua"/>
          <w:sz w:val="24"/>
          <w:szCs w:val="24"/>
        </w:rPr>
        <w:t xml:space="preserve"> compare</w:t>
      </w:r>
      <w:r w:rsidRPr="000418FA">
        <w:rPr>
          <w:rFonts w:ascii="Book Antiqua" w:hAnsi="Book Antiqua" w:cs="Book Antiqua"/>
          <w:sz w:val="24"/>
          <w:szCs w:val="24"/>
          <w:lang w:val="pt-PT"/>
        </w:rPr>
        <w:t>d</w:t>
      </w:r>
      <w:r w:rsidRPr="000418FA">
        <w:rPr>
          <w:rFonts w:ascii="Book Antiqua" w:hAnsi="Book Antiqua" w:cs="Book Antiqua"/>
          <w:sz w:val="24"/>
          <w:szCs w:val="24"/>
        </w:rPr>
        <w:t xml:space="preserve"> outcomes of rendezvous and transluminal techniques. During the study period, 35 patients underwent EGBD (rendezvous </w:t>
      </w:r>
      <w:r w:rsidRPr="000418FA">
        <w:rPr>
          <w:rFonts w:ascii="Book Antiqua" w:hAnsi="Book Antiqua" w:cs="Book Antiqua"/>
          <w:i/>
          <w:iCs/>
          <w:sz w:val="24"/>
          <w:szCs w:val="24"/>
        </w:rPr>
        <w:t>n</w:t>
      </w:r>
      <w:r w:rsidRPr="000418FA">
        <w:rPr>
          <w:rFonts w:ascii="Book Antiqua" w:hAnsi="Book Antiqua" w:cs="Book Antiqua"/>
          <w:sz w:val="24"/>
          <w:szCs w:val="24"/>
        </w:rPr>
        <w:t xml:space="preserve"> = 13, transluminal </w:t>
      </w:r>
      <w:r w:rsidRPr="000418FA">
        <w:rPr>
          <w:rFonts w:ascii="Book Antiqua" w:hAnsi="Book Antiqua" w:cs="Book Antiqua"/>
          <w:i/>
          <w:iCs/>
          <w:sz w:val="24"/>
          <w:szCs w:val="24"/>
        </w:rPr>
        <w:t>n</w:t>
      </w:r>
      <w:r w:rsidRPr="000418FA">
        <w:rPr>
          <w:rFonts w:ascii="Book Antiqua" w:hAnsi="Book Antiqua" w:cs="Book Antiqua"/>
          <w:sz w:val="24"/>
          <w:szCs w:val="24"/>
        </w:rPr>
        <w:t xml:space="preserve"> = 20). Technical success was achieved in 33 patients (94%), and clinical success was attained in 32 of 33 patients (97.0%). The mean post-procedure bilirubin level was 1.38 mg/dL in the rendezvous group and 1.33 mg/dL in the transluminal group (</w:t>
      </w:r>
      <w:r w:rsidRPr="000418FA">
        <w:rPr>
          <w:rFonts w:ascii="Book Antiqua" w:hAnsi="Book Antiqua" w:cs="Book Antiqua"/>
          <w:i/>
          <w:iCs/>
          <w:sz w:val="24"/>
          <w:szCs w:val="24"/>
        </w:rPr>
        <w:t>P</w:t>
      </w:r>
      <w:r w:rsidRPr="000418FA">
        <w:rPr>
          <w:rFonts w:ascii="Book Antiqua" w:hAnsi="Book Antiqua" w:cs="Book Antiqua"/>
          <w:sz w:val="24"/>
          <w:szCs w:val="24"/>
        </w:rPr>
        <w:t xml:space="preserve"> = 0.88). Similarly, length of hospital stay was not different between groups (</w:t>
      </w:r>
      <w:r w:rsidRPr="000418FA">
        <w:rPr>
          <w:rFonts w:ascii="Book Antiqua" w:hAnsi="Book Antiqua" w:cs="Book Antiqua"/>
          <w:i/>
          <w:iCs/>
          <w:sz w:val="24"/>
          <w:szCs w:val="24"/>
        </w:rPr>
        <w:t>P</w:t>
      </w:r>
      <w:r w:rsidRPr="000418FA">
        <w:rPr>
          <w:rFonts w:ascii="Book Antiqua" w:hAnsi="Book Antiqua" w:cs="Book Antiqua"/>
          <w:sz w:val="24"/>
          <w:szCs w:val="24"/>
        </w:rPr>
        <w:t xml:space="preserve"> = 0.23). There was no significant difference in adverse event rate between rendezvous and transluminal groups (15.4% </w:t>
      </w:r>
      <w:r w:rsidRPr="000418FA">
        <w:rPr>
          <w:rFonts w:ascii="Book Antiqua" w:hAnsi="Book Antiqua" w:cs="Book Antiqua"/>
          <w:i/>
          <w:iCs/>
          <w:sz w:val="24"/>
          <w:szCs w:val="24"/>
        </w:rPr>
        <w:t>vs</w:t>
      </w:r>
      <w:r w:rsidRPr="000418FA">
        <w:rPr>
          <w:rFonts w:ascii="Book Antiqua" w:hAnsi="Book Antiqua" w:cs="Book Antiqua"/>
          <w:sz w:val="24"/>
          <w:szCs w:val="24"/>
        </w:rPr>
        <w:t xml:space="preserve"> 10%; P = 0.64). Long-term outcomes were comparable between groups, with 1 stent migration in the rendezvous group at 62 d and 1 stent occlusion in the transluminal group at 42 d after EGBD. Both rendezvous and direct transluminal techniques seem to be equally effective and safe</w:t>
      </w:r>
      <w:r w:rsidRPr="000418FA">
        <w:rPr>
          <w:rFonts w:ascii="Book Antiqua" w:hAnsi="Book Antiqua" w:cs="Book Antiqua"/>
          <w:sz w:val="24"/>
          <w:szCs w:val="24"/>
          <w:vertAlign w:val="superscript"/>
        </w:rPr>
        <w:fldChar w:fldCharType="begin"/>
      </w:r>
      <w:r w:rsidRPr="000418FA">
        <w:rPr>
          <w:rFonts w:ascii="Book Antiqua" w:hAnsi="Book Antiqua" w:cs="Book Antiqua"/>
          <w:sz w:val="24"/>
          <w:szCs w:val="24"/>
          <w:vertAlign w:val="superscript"/>
        </w:rPr>
        <w:instrText xml:space="preserve"> ADDIN EN.CITE &lt;EndNote&gt;&lt;Cite&gt;&lt;DisplayText&gt;[22]&lt;/DisplayText&gt;&lt;record&gt;&lt;/record&gt;&lt;/Cite&gt;&lt;/EndNote&gt;</w:instrText>
      </w:r>
      <w:r w:rsidRPr="000418FA">
        <w:rPr>
          <w:rFonts w:ascii="Book Antiqua" w:hAnsi="Book Antiqua" w:cs="Book Antiqua"/>
          <w:sz w:val="24"/>
          <w:szCs w:val="24"/>
          <w:vertAlign w:val="superscript"/>
        </w:rPr>
        <w:fldChar w:fldCharType="separate"/>
      </w:r>
      <w:r w:rsidRPr="000418FA">
        <w:rPr>
          <w:rFonts w:ascii="Book Antiqua" w:hAnsi="Book Antiqua" w:cs="Book Antiqua"/>
          <w:sz w:val="24"/>
          <w:szCs w:val="24"/>
          <w:vertAlign w:val="superscript"/>
        </w:rPr>
        <w:t>[22]</w:t>
      </w:r>
      <w:r w:rsidRPr="000418FA">
        <w:rPr>
          <w:rFonts w:ascii="Book Antiqua" w:hAnsi="Book Antiqua" w:cs="Book Antiqua"/>
          <w:sz w:val="24"/>
          <w:szCs w:val="24"/>
          <w:vertAlign w:val="superscript"/>
        </w:rPr>
        <w:fldChar w:fldCharType="end"/>
      </w:r>
      <w:r w:rsidRPr="000418FA">
        <w:rPr>
          <w:rFonts w:ascii="Book Antiqua" w:hAnsi="Book Antiqua" w:cs="Book Antiqua"/>
          <w:sz w:val="24"/>
          <w:szCs w:val="24"/>
        </w:rPr>
        <w:t>.</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According to previous reports, a 19G or 22G FNA needle or needle knife is used to puncture the CBD</w:t>
      </w:r>
      <w:r w:rsidRPr="000418FA">
        <w:rPr>
          <w:rFonts w:ascii="Book Antiqua" w:hAnsi="Book Antiqua" w:cs="Book Antiqua"/>
          <w:sz w:val="24"/>
          <w:szCs w:val="24"/>
          <w:lang w:val="pt-PT"/>
        </w:rPr>
        <w:t xml:space="preserve">, followed by the passage of </w:t>
      </w:r>
      <w:r w:rsidRPr="000418FA">
        <w:rPr>
          <w:rFonts w:ascii="Book Antiqua" w:hAnsi="Book Antiqua" w:cs="Book Antiqua"/>
          <w:sz w:val="24"/>
          <w:szCs w:val="24"/>
        </w:rPr>
        <w:t>a 0.025-inch or 0.035-inch guidewire was inserted through the needle and looped in the biliary tree</w:t>
      </w:r>
      <w:r w:rsidRPr="000418FA">
        <w:rPr>
          <w:rFonts w:ascii="Book Antiqua" w:hAnsi="Book Antiqua" w:cs="Book Antiqua"/>
          <w:sz w:val="24"/>
          <w:szCs w:val="24"/>
          <w:vertAlign w:val="superscript"/>
        </w:rPr>
        <w:t>[7]</w:t>
      </w:r>
      <w:r w:rsidRPr="000418FA">
        <w:rPr>
          <w:rFonts w:ascii="Book Antiqua" w:hAnsi="Book Antiqua" w:cs="Book Antiqua"/>
          <w:sz w:val="24"/>
          <w:szCs w:val="24"/>
        </w:rPr>
        <w:t xml:space="preserve">. </w:t>
      </w:r>
      <w:r w:rsidRPr="000418FA">
        <w:rPr>
          <w:rFonts w:ascii="Book Antiqua" w:hAnsi="Book Antiqua" w:cs="Book Antiqua"/>
          <w:sz w:val="24"/>
          <w:szCs w:val="24"/>
          <w:lang w:val="pt-PT"/>
        </w:rPr>
        <w:t>However</w:t>
      </w:r>
      <w:r w:rsidRPr="000418FA">
        <w:rPr>
          <w:rFonts w:ascii="Book Antiqua" w:hAnsi="Book Antiqua" w:cs="Book Antiqua"/>
          <w:sz w:val="24"/>
          <w:szCs w:val="24"/>
        </w:rPr>
        <w:t xml:space="preserve">, there are no randomized controlled trials comparing the outcomes of various FNA needles in </w:t>
      </w:r>
      <w:r w:rsidRPr="000418FA">
        <w:rPr>
          <w:rFonts w:ascii="Book Antiqua" w:hAnsi="Book Antiqua" w:cs="Book Antiqua"/>
          <w:sz w:val="24"/>
          <w:szCs w:val="24"/>
          <w:lang w:val="pt-PT"/>
        </w:rPr>
        <w:t>the aforementioned procedure</w:t>
      </w:r>
      <w:r w:rsidRPr="000418FA">
        <w:rPr>
          <w:rFonts w:ascii="Book Antiqua" w:hAnsi="Book Antiqua" w:cs="Book Antiqua"/>
          <w:sz w:val="24"/>
          <w:szCs w:val="24"/>
          <w:vertAlign w:val="superscript"/>
        </w:rPr>
        <w:t>[23]</w:t>
      </w:r>
      <w:r w:rsidRPr="000418FA">
        <w:rPr>
          <w:rFonts w:ascii="Book Antiqua" w:hAnsi="Book Antiqua" w:cs="Book Antiqua"/>
          <w:sz w:val="24"/>
          <w:szCs w:val="24"/>
        </w:rPr>
        <w:t>.</w:t>
      </w:r>
      <w:r w:rsidRPr="000418FA">
        <w:rPr>
          <w:rFonts w:ascii="Book Antiqua" w:hAnsi="Book Antiqua" w:cs="Book Antiqua"/>
          <w:sz w:val="24"/>
          <w:szCs w:val="24"/>
          <w:lang w:val="pt-PT"/>
        </w:rPr>
        <w:t xml:space="preserve"> </w:t>
      </w:r>
      <w:r w:rsidRPr="000418FA">
        <w:rPr>
          <w:rFonts w:ascii="Book Antiqua" w:hAnsi="Book Antiqua" w:cs="Book Antiqua"/>
          <w:sz w:val="24"/>
          <w:szCs w:val="24"/>
        </w:rPr>
        <w:t>Various devices have been previously described for dilatation of the fistula after puncturing the CBD</w:t>
      </w:r>
      <w:r w:rsidRPr="000418FA">
        <w:rPr>
          <w:rFonts w:ascii="Book Antiqua" w:hAnsi="Book Antiqua" w:cs="Book Antiqua"/>
          <w:sz w:val="24"/>
          <w:szCs w:val="24"/>
          <w:vertAlign w:val="superscript"/>
        </w:rPr>
        <w:fldChar w:fldCharType="begin"/>
      </w:r>
      <w:r w:rsidRPr="000418FA">
        <w:rPr>
          <w:rFonts w:ascii="Book Antiqua" w:hAnsi="Book Antiqua" w:cs="Book Antiqua"/>
          <w:sz w:val="24"/>
          <w:szCs w:val="24"/>
          <w:vertAlign w:val="superscript"/>
        </w:rPr>
        <w:instrText xml:space="preserve"> ADDIN EN.CITE &lt;EndNote&gt;&lt;Cite&gt;&lt;DisplayText&gt;[23]&lt;/DisplayText&gt;&lt;record&gt;&lt;/record&gt;&lt;/Cite&gt;&lt;/EndNote&gt;</w:instrText>
      </w:r>
      <w:r w:rsidRPr="000418FA">
        <w:rPr>
          <w:rFonts w:ascii="Book Antiqua" w:hAnsi="Book Antiqua" w:cs="Book Antiqua"/>
          <w:sz w:val="24"/>
          <w:szCs w:val="24"/>
          <w:vertAlign w:val="superscript"/>
        </w:rPr>
        <w:fldChar w:fldCharType="separate"/>
      </w:r>
      <w:r w:rsidRPr="000418FA">
        <w:rPr>
          <w:rFonts w:ascii="Book Antiqua" w:hAnsi="Book Antiqua" w:cs="Book Antiqua"/>
          <w:sz w:val="24"/>
          <w:szCs w:val="24"/>
          <w:vertAlign w:val="superscript"/>
        </w:rPr>
        <w:t>[23]</w:t>
      </w:r>
      <w:r w:rsidRPr="000418FA">
        <w:rPr>
          <w:rFonts w:ascii="Book Antiqua" w:hAnsi="Book Antiqua" w:cs="Book Antiqua"/>
          <w:sz w:val="24"/>
          <w:szCs w:val="24"/>
          <w:vertAlign w:val="superscript"/>
        </w:rPr>
        <w:fldChar w:fldCharType="end"/>
      </w:r>
      <w:r w:rsidRPr="000418FA">
        <w:rPr>
          <w:rFonts w:ascii="Book Antiqua" w:hAnsi="Book Antiqua" w:cs="Book Antiqua"/>
          <w:sz w:val="24"/>
          <w:szCs w:val="24"/>
        </w:rPr>
        <w:t>. The most common devices for transmural tract dilation are the rigid dilator 6</w:t>
      </w:r>
      <w:r w:rsidRPr="000418FA">
        <w:rPr>
          <w:rFonts w:ascii="Book Antiqua" w:hAnsi="Book Antiqua" w:cs="Book Antiqua"/>
          <w:sz w:val="24"/>
          <w:szCs w:val="24"/>
          <w:lang w:val="pt-PT"/>
        </w:rPr>
        <w:t xml:space="preserve"> Fr</w:t>
      </w:r>
      <w:r w:rsidRPr="000418FA">
        <w:rPr>
          <w:rFonts w:ascii="Book Antiqua" w:hAnsi="Book Antiqua" w:cs="Book Antiqua"/>
          <w:sz w:val="24"/>
          <w:szCs w:val="24"/>
        </w:rPr>
        <w:t xml:space="preserve"> u</w:t>
      </w:r>
      <w:r w:rsidRPr="000418FA">
        <w:rPr>
          <w:rFonts w:ascii="Book Antiqua" w:hAnsi="Book Antiqua" w:cs="Book Antiqua"/>
          <w:sz w:val="24"/>
          <w:szCs w:val="24"/>
          <w:lang w:val="pt-PT"/>
        </w:rPr>
        <w:t>p to</w:t>
      </w:r>
      <w:r w:rsidRPr="000418FA">
        <w:rPr>
          <w:rFonts w:ascii="Book Antiqua" w:hAnsi="Book Antiqua" w:cs="Book Antiqua"/>
          <w:sz w:val="24"/>
          <w:szCs w:val="24"/>
        </w:rPr>
        <w:t xml:space="preserve"> 10 Fr, 4-8 mm balloon catheter, diathermic dilator or needle knife. The feasibility of graded dilation in EUS-HGS was superior to that of EUS-CDS</w:t>
      </w:r>
      <w:r w:rsidRPr="000418FA">
        <w:rPr>
          <w:rFonts w:ascii="Book Antiqua" w:hAnsi="Book Antiqua" w:cs="Book Antiqua"/>
          <w:sz w:val="24"/>
          <w:szCs w:val="24"/>
          <w:vertAlign w:val="superscript"/>
        </w:rPr>
        <w:t>[24]</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In a series of 101 cases, Poincloux</w:t>
      </w:r>
      <w:r w:rsidRPr="000418FA">
        <w:rPr>
          <w:rFonts w:ascii="Book Antiqua" w:hAnsi="Book Antiqua" w:cs="Book Antiqua"/>
          <w:sz w:val="24"/>
          <w:szCs w:val="24"/>
          <w:lang w:val="pt-PT"/>
        </w:rPr>
        <w:t xml:space="preserve"> </w:t>
      </w:r>
      <w:r w:rsidRPr="000418FA">
        <w:rPr>
          <w:rFonts w:ascii="Book Antiqua" w:hAnsi="Book Antiqua" w:cs="Book Antiqua"/>
          <w:i/>
          <w:iCs/>
          <w:sz w:val="24"/>
          <w:szCs w:val="24"/>
          <w:lang w:val="pt-PT"/>
        </w:rPr>
        <w:t>et al</w:t>
      </w:r>
      <w:r w:rsidRPr="000418FA">
        <w:rPr>
          <w:rFonts w:ascii="Book Antiqua" w:hAnsi="Book Antiqua" w:cs="Book Antiqua"/>
          <w:sz w:val="24"/>
          <w:szCs w:val="24"/>
          <w:vertAlign w:val="superscript"/>
          <w:lang w:val="pt-PT"/>
        </w:rPr>
        <w:t>[2</w:t>
      </w:r>
      <w:r w:rsidRPr="000418FA">
        <w:rPr>
          <w:rFonts w:ascii="Book Antiqua" w:hAnsi="Book Antiqua" w:cs="Book Antiqua"/>
          <w:sz w:val="24"/>
          <w:szCs w:val="24"/>
          <w:vertAlign w:val="superscript"/>
        </w:rPr>
        <w:t>5]</w:t>
      </w:r>
      <w:r w:rsidRPr="000418FA">
        <w:rPr>
          <w:rFonts w:ascii="Book Antiqua" w:hAnsi="Book Antiqua" w:cs="Book Antiqua"/>
          <w:sz w:val="24"/>
          <w:szCs w:val="24"/>
          <w:vertAlign w:val="superscript"/>
          <w:lang w:val="pt-PT"/>
        </w:rPr>
        <w:t xml:space="preserve"> </w:t>
      </w:r>
      <w:r w:rsidRPr="000418FA">
        <w:rPr>
          <w:rFonts w:ascii="Book Antiqua" w:hAnsi="Book Antiqua" w:cs="Book Antiqua"/>
          <w:sz w:val="24"/>
          <w:szCs w:val="24"/>
        </w:rPr>
        <w:t>placed the EUS in the cardia or the lesser curvature of the stomach and oriented it to view the dilated intrahepatic lateral sector bile ducts. Color Doppler ultrasound was used to confirm absence of vascular structures before EUS-guided puncture through the gastric body. The left bile duct puncture was performed using a 19-gauge access needle and a 0.035- inch super stiff guidewire was introduced through the EUS needle and advanced in an antegrade fashion to the main left bile duct. A hepatogastric fistula was created using a 5.5-Fr wire-guided needle-knife. 6-Fr and 7-Fr tapered biliary dilator catheters to dilate the fistula tract. Under EUS and fluoroscopic view, a stent was placed through the hepatogastrostomy between the main left bile duct and the gastric lumen.</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 xml:space="preserve">Dhir </w:t>
      </w:r>
      <w:r w:rsidRPr="000418FA">
        <w:rPr>
          <w:rFonts w:ascii="Book Antiqua" w:hAnsi="Book Antiqua" w:cs="Book Antiqua"/>
          <w:i/>
          <w:iCs/>
          <w:sz w:val="24"/>
          <w:szCs w:val="24"/>
        </w:rPr>
        <w:t>et al</w:t>
      </w:r>
      <w:r w:rsidRPr="000418FA">
        <w:rPr>
          <w:rFonts w:ascii="Book Antiqua" w:hAnsi="Book Antiqua" w:cs="Book Antiqua"/>
          <w:sz w:val="24"/>
          <w:szCs w:val="24"/>
          <w:vertAlign w:val="superscript"/>
        </w:rPr>
        <w:t>[20]</w:t>
      </w:r>
      <w:r w:rsidRPr="000418FA">
        <w:rPr>
          <w:rFonts w:ascii="Book Antiqua" w:hAnsi="Book Antiqua" w:cs="Book Antiqua"/>
          <w:sz w:val="24"/>
          <w:szCs w:val="24"/>
        </w:rPr>
        <w:t xml:space="preserve"> used a 19-gauge needle to puncture in the EUS-RV procedure. Attempt was made to puncture with the echoendoscope in a straight position and the needle pointing in the direction of the common bile duct. Once biliary access was confirmed by aspiration of 5-10 cc bile, contrast was injected to evaluate the ductal system and, a 0.032-inch hydrophilic angled-tip guide wire was inserted through the needle and directed in an anterograde fashion downstream across the stricture and/or the papilla into the duodenum. Once the guide wire crossed the papilla and looped in the duodenum, the echoendoscope was withdrawn and an ERCP scope was positioned at the papilla. Due to the short length of wire, continuous water injection was used to keep the wire in position. The guide wire was pulled into the biopsy channel of duodenoscope with a snare and ERCP was completed</w:t>
      </w:r>
      <w:r w:rsidRPr="000418FA">
        <w:rPr>
          <w:rFonts w:ascii="Book Antiqua" w:hAnsi="Book Antiqua" w:cs="Book Antiqua"/>
          <w:sz w:val="24"/>
          <w:szCs w:val="24"/>
          <w:vertAlign w:val="superscript"/>
        </w:rPr>
        <w:t>[20]</w:t>
      </w:r>
      <w:r w:rsidRPr="000418FA">
        <w:rPr>
          <w:rFonts w:ascii="Book Antiqua" w:hAnsi="Book Antiqua" w:cs="Book Antiqua"/>
          <w:sz w:val="24"/>
          <w:szCs w:val="24"/>
        </w:rPr>
        <w:t xml:space="preserve">. </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The stent selection is very important. Plastic stent has a low cost, but, self-expandable metal stents offer superior patency to plastic stents for palliation of malignant distal bile duct obstruction. Even though, the superiority of covered self-expandable metal stents to multiple plastic stents for treatment of benign biliary strictures has not been proven</w:t>
      </w:r>
      <w:r w:rsidRPr="000418FA">
        <w:rPr>
          <w:rFonts w:ascii="Book Antiqua" w:hAnsi="Book Antiqua" w:cs="Book Antiqua"/>
          <w:sz w:val="24"/>
          <w:szCs w:val="24"/>
          <w:vertAlign w:val="superscript"/>
        </w:rPr>
        <w:t>[26]</w:t>
      </w:r>
      <w:r w:rsidRPr="000418FA">
        <w:rPr>
          <w:rFonts w:ascii="Book Antiqua" w:hAnsi="Book Antiqua" w:cs="Book Antiqua"/>
          <w:sz w:val="24"/>
          <w:szCs w:val="24"/>
        </w:rPr>
        <w:t>. Covered metal stents may be useful to reduce bile leakage in EGBD.</w:t>
      </w:r>
      <w:r w:rsidRPr="000418FA">
        <w:rPr>
          <w:rFonts w:ascii="Book Antiqua" w:hAnsi="Book Antiqua" w:cs="Book Antiqua"/>
          <w:sz w:val="24"/>
          <w:szCs w:val="24"/>
        </w:rPr>
        <w:tab/>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PROCEDURAL LIMITATIONS</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Most studies about EGBD are single center and based on case reports or small series. Many studies described this procedure with high success rates (more than 90%) and low rate of procedure-related complications (around 19%)</w:t>
      </w:r>
      <w:r w:rsidRPr="000418FA">
        <w:rPr>
          <w:rFonts w:ascii="Book Antiqua" w:hAnsi="Book Antiqua" w:cs="Book Antiqua"/>
          <w:sz w:val="24"/>
          <w:szCs w:val="24"/>
          <w:vertAlign w:val="superscript"/>
        </w:rPr>
        <w:t>[27]</w:t>
      </w:r>
      <w:r w:rsidRPr="000418FA">
        <w:rPr>
          <w:rFonts w:ascii="Book Antiqua" w:hAnsi="Book Antiqua" w:cs="Book Antiqua"/>
          <w:sz w:val="24"/>
          <w:szCs w:val="24"/>
        </w:rPr>
        <w:t>, however, data from a large multicenter retrospective trial failed to report advantages of any of these techniques</w:t>
      </w:r>
      <w:r w:rsidRPr="000418FA">
        <w:rPr>
          <w:rFonts w:ascii="Book Antiqua" w:hAnsi="Book Antiqua" w:cs="Book Antiqua"/>
          <w:sz w:val="24"/>
          <w:szCs w:val="24"/>
          <w:vertAlign w:val="superscript"/>
        </w:rPr>
        <w:t>[5]</w:t>
      </w:r>
      <w:r w:rsidRPr="000418FA">
        <w:rPr>
          <w:rFonts w:ascii="Book Antiqua" w:hAnsi="Book Antiqua" w:cs="Book Antiqua"/>
          <w:sz w:val="24"/>
          <w:szCs w:val="24"/>
        </w:rPr>
        <w:t xml:space="preserve">. </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The main risk of EGBD is bile leakage. Complications of all techniques combined included pneumoperitoneum in 5%, bleeding in 11%, bile leak/peritonitis in 10%, and cholangitis in 5%. Complication rates were similar in benign and malignant disease. No significant difference in complication rates was noted when comparing plastic to metal stents, although a trend toward a better outcome was observed for metal stents (</w:t>
      </w:r>
      <w:r w:rsidRPr="000418FA">
        <w:rPr>
          <w:rFonts w:ascii="Book Antiqua" w:hAnsi="Book Antiqua" w:cs="Book Antiqua"/>
          <w:i/>
          <w:iCs/>
          <w:sz w:val="24"/>
          <w:szCs w:val="24"/>
        </w:rPr>
        <w:t>P</w:t>
      </w:r>
      <w:r w:rsidRPr="000418FA">
        <w:rPr>
          <w:rFonts w:ascii="Book Antiqua" w:hAnsi="Book Antiqua" w:cs="Book Antiqua"/>
          <w:sz w:val="24"/>
          <w:szCs w:val="24"/>
        </w:rPr>
        <w:t xml:space="preserve"> = 0.09). There was a significantly higher incidence of cholangitis in patients with plastic stents (11% </w:t>
      </w:r>
      <w:r w:rsidRPr="000418FA">
        <w:rPr>
          <w:rFonts w:ascii="Book Antiqua" w:hAnsi="Book Antiqua" w:cs="Book Antiqua"/>
          <w:i/>
          <w:iCs/>
          <w:sz w:val="24"/>
          <w:szCs w:val="24"/>
        </w:rPr>
        <w:t xml:space="preserve">vs </w:t>
      </w:r>
      <w:r w:rsidRPr="000418FA">
        <w:rPr>
          <w:rFonts w:ascii="Book Antiqua" w:hAnsi="Book Antiqua" w:cs="Book Antiqua"/>
          <w:sz w:val="24"/>
          <w:szCs w:val="24"/>
        </w:rPr>
        <w:t xml:space="preserve">3%; </w:t>
      </w:r>
      <w:r w:rsidRPr="000418FA">
        <w:rPr>
          <w:rFonts w:ascii="Book Antiqua" w:hAnsi="Book Antiqua" w:cs="Book Antiqua"/>
          <w:i/>
          <w:iCs/>
          <w:sz w:val="24"/>
          <w:szCs w:val="24"/>
        </w:rPr>
        <w:t>P</w:t>
      </w:r>
      <w:r w:rsidRPr="000418FA">
        <w:rPr>
          <w:rFonts w:ascii="Book Antiqua" w:hAnsi="Book Antiqua" w:cs="Book Antiqua"/>
          <w:sz w:val="24"/>
          <w:szCs w:val="24"/>
        </w:rPr>
        <w:t xml:space="preserve"> = 0.02)</w:t>
      </w:r>
      <w:r w:rsidRPr="000418FA">
        <w:rPr>
          <w:rFonts w:ascii="Book Antiqua" w:hAnsi="Book Antiqua" w:cs="Book Antiqua"/>
          <w:sz w:val="24"/>
          <w:szCs w:val="24"/>
          <w:vertAlign w:val="superscript"/>
        </w:rPr>
        <w:t>[5]</w:t>
      </w:r>
      <w:r w:rsidRPr="000418FA">
        <w:rPr>
          <w:rFonts w:ascii="Book Antiqua" w:hAnsi="Book Antiqua" w:cs="Book Antiqua"/>
          <w:sz w:val="24"/>
          <w:szCs w:val="24"/>
        </w:rPr>
        <w:t>.</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The use of a needle-knife for fistula dilation was the single risk factor for post procedural adverse events after EGBD. Thus, use of a needle-knife for fistula dilation should be avoided if possible</w:t>
      </w:r>
      <w:r w:rsidRPr="000418FA">
        <w:rPr>
          <w:rFonts w:ascii="Book Antiqua" w:hAnsi="Book Antiqua" w:cs="Book Antiqua"/>
          <w:sz w:val="24"/>
          <w:szCs w:val="24"/>
          <w:vertAlign w:val="superscript"/>
        </w:rPr>
        <w:t>[24]</w:t>
      </w:r>
      <w:r w:rsidRPr="000418FA">
        <w:rPr>
          <w:rFonts w:ascii="Book Antiqua" w:hAnsi="Book Antiqua" w:cs="Book Antiqua"/>
          <w:sz w:val="24"/>
          <w:szCs w:val="24"/>
        </w:rPr>
        <w:t>, with a risk of creating an unhealthy fistula. This problem does not arise with a cystotome or ring knife fistula creation.</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 xml:space="preserve">In Dhir </w:t>
      </w:r>
      <w:r w:rsidRPr="000418FA">
        <w:rPr>
          <w:rFonts w:ascii="Book Antiqua" w:hAnsi="Book Antiqua" w:cs="Book Antiqua"/>
          <w:i/>
          <w:iCs/>
          <w:sz w:val="24"/>
          <w:szCs w:val="24"/>
        </w:rPr>
        <w:t>et al</w:t>
      </w:r>
      <w:r w:rsidRPr="000418FA">
        <w:rPr>
          <w:rFonts w:ascii="Book Antiqua" w:hAnsi="Book Antiqua" w:cs="Book Antiqua"/>
          <w:sz w:val="24"/>
          <w:szCs w:val="24"/>
          <w:vertAlign w:val="superscript"/>
        </w:rPr>
        <w:fldChar w:fldCharType="begin"/>
      </w:r>
      <w:r w:rsidRPr="000418FA">
        <w:rPr>
          <w:rFonts w:ascii="Book Antiqua" w:hAnsi="Book Antiqua" w:cs="Book Antiqua"/>
          <w:sz w:val="24"/>
          <w:szCs w:val="24"/>
          <w:vertAlign w:val="superscript"/>
        </w:rPr>
        <w:instrText xml:space="preserve"> ADDIN EN.CITE &lt;EndNote&gt;&lt;Cite&gt;&lt;DisplayText&gt;[19]&lt;/DisplayText&gt;&lt;record&gt;&lt;/record&gt;&lt;/Cite&gt;&lt;/EndNote&gt;</w:instrText>
      </w:r>
      <w:r w:rsidRPr="000418FA">
        <w:rPr>
          <w:rFonts w:ascii="Book Antiqua" w:hAnsi="Book Antiqua" w:cs="Book Antiqua"/>
          <w:sz w:val="24"/>
          <w:szCs w:val="24"/>
          <w:vertAlign w:val="superscript"/>
        </w:rPr>
        <w:fldChar w:fldCharType="separate"/>
      </w:r>
      <w:r w:rsidRPr="000418FA">
        <w:rPr>
          <w:rFonts w:ascii="Book Antiqua" w:hAnsi="Book Antiqua" w:cs="Book Antiqua"/>
          <w:sz w:val="24"/>
          <w:szCs w:val="24"/>
          <w:vertAlign w:val="superscript"/>
        </w:rPr>
        <w:t>[19]</w:t>
      </w:r>
      <w:r w:rsidRPr="000418FA">
        <w:rPr>
          <w:rFonts w:ascii="Book Antiqua" w:hAnsi="Book Antiqua" w:cs="Book Antiqua"/>
          <w:sz w:val="24"/>
          <w:szCs w:val="24"/>
          <w:vertAlign w:val="superscript"/>
        </w:rPr>
        <w:fldChar w:fldCharType="end"/>
      </w:r>
      <w:r w:rsidRPr="000418FA">
        <w:rPr>
          <w:rFonts w:ascii="Book Antiqua" w:hAnsi="Book Antiqua" w:cs="Book Antiqua"/>
          <w:sz w:val="24"/>
          <w:szCs w:val="24"/>
        </w:rPr>
        <w:t xml:space="preserve"> retrospective multicenter study, death was a major complication reported in 4% of cases. All cases used EUS-RV TH route. Nevertheless, the success rate was equal for the various techniques.</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CONCLUSION</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Data involving mostly small series from expertise centers suggest that EGBD can be performed with high therapeutic success (87%) but it might be associated with 10% to 20% morbidity (mostly mild to moderate) and rare serious adverse events</w:t>
      </w:r>
      <w:r w:rsidRPr="000418FA">
        <w:rPr>
          <w:rFonts w:ascii="Book Antiqua" w:hAnsi="Book Antiqua" w:cs="Book Antiqua"/>
          <w:sz w:val="24"/>
          <w:szCs w:val="24"/>
          <w:vertAlign w:val="superscript"/>
        </w:rPr>
        <w:t>[28]</w:t>
      </w:r>
      <w:r w:rsidRPr="000418FA">
        <w:rPr>
          <w:rFonts w:ascii="Book Antiqua" w:hAnsi="Book Antiqua" w:cs="Book Antiqua"/>
          <w:sz w:val="24"/>
          <w:szCs w:val="24"/>
        </w:rPr>
        <w:t>.</w:t>
      </w:r>
    </w:p>
    <w:p w:rsidR="0064697C" w:rsidRPr="000418FA" w:rsidRDefault="0064697C" w:rsidP="00EE4A62">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ind w:firstLineChars="100" w:firstLine="31680"/>
        <w:jc w:val="both"/>
        <w:rPr>
          <w:rFonts w:ascii="Book Antiqua" w:hAnsi="Book Antiqua" w:cs="Book Antiqua"/>
          <w:sz w:val="24"/>
          <w:szCs w:val="24"/>
        </w:rPr>
      </w:pPr>
      <w:r w:rsidRPr="000418FA">
        <w:rPr>
          <w:rFonts w:ascii="Book Antiqua" w:hAnsi="Book Antiqua" w:cs="Book Antiqua"/>
          <w:sz w:val="24"/>
          <w:szCs w:val="24"/>
        </w:rPr>
        <w:t xml:space="preserve">We recommend EGBD when bile duct access is not possible because of failed cannulation, altered upper GI tract anatomy, gastric outlet obstruction, a distorted ampulla, a </w:t>
      </w:r>
      <w:r w:rsidRPr="000418FA">
        <w:rPr>
          <w:rFonts w:ascii="Book Antiqua" w:hAnsi="Book Antiqua" w:cs="Book Antiqua"/>
          <w:i/>
          <w:iCs/>
          <w:sz w:val="24"/>
          <w:szCs w:val="24"/>
        </w:rPr>
        <w:t>in situ</w:t>
      </w:r>
      <w:r w:rsidRPr="000418FA">
        <w:rPr>
          <w:rFonts w:ascii="Book Antiqua" w:hAnsi="Book Antiqua" w:cs="Book Antiqua"/>
          <w:sz w:val="24"/>
          <w:szCs w:val="24"/>
        </w:rPr>
        <w:t xml:space="preserve"> enteral stent or periampullary diverticulum, as a minimally invasive alternative to surgery or radiology. </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 xml:space="preserve">     </w:t>
      </w:r>
    </w:p>
    <w:p w:rsidR="0064697C" w:rsidRPr="000418FA" w:rsidRDefault="0064697C" w:rsidP="001C10E0">
      <w:pPr>
        <w:pStyle w:val="EndNoteBibliography"/>
        <w:pBdr>
          <w:top w:val="none" w:sz="0" w:space="0" w:color="auto"/>
          <w:left w:val="none" w:sz="0" w:space="0" w:color="auto"/>
          <w:bottom w:val="none" w:sz="0" w:space="0" w:color="auto"/>
          <w:right w:val="none" w:sz="0" w:space="0" w:color="auto"/>
          <w:bar w:val="none" w:sz="0" w:color="auto"/>
        </w:pBdr>
        <w:suppressAutoHyphens/>
        <w:spacing w:after="0" w:line="360" w:lineRule="auto"/>
        <w:rPr>
          <w:rFonts w:ascii="Book Antiqua" w:hAnsi="Book Antiqua" w:cs="Book Antiqua"/>
          <w:sz w:val="24"/>
          <w:szCs w:val="24"/>
        </w:rPr>
      </w:pPr>
      <w:r w:rsidRPr="000418FA">
        <w:rPr>
          <w:rFonts w:ascii="Book Antiqua" w:hAnsi="Book Antiqua" w:cs="Book Antiqua"/>
          <w:sz w:val="24"/>
          <w:szCs w:val="24"/>
        </w:rPr>
        <w:br w:type="page"/>
      </w:r>
      <w:r w:rsidRPr="000418FA">
        <w:rPr>
          <w:rFonts w:ascii="Book Antiqua" w:hAnsi="Book Antiqua" w:cs="Book Antiqua"/>
          <w:b/>
          <w:bCs/>
          <w:sz w:val="24"/>
          <w:szCs w:val="24"/>
        </w:rPr>
        <w:t>REFERENCES</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1 </w:t>
      </w:r>
      <w:r w:rsidRPr="000418FA">
        <w:rPr>
          <w:rFonts w:ascii="Book Antiqua" w:hAnsi="Book Antiqua" w:cs="Book Antiqua"/>
          <w:b/>
          <w:bCs/>
        </w:rPr>
        <w:t>Wiersema MJ</w:t>
      </w:r>
      <w:r w:rsidRPr="000418FA">
        <w:rPr>
          <w:rFonts w:ascii="Book Antiqua" w:hAnsi="Book Antiqua" w:cs="Book Antiqua"/>
        </w:rPr>
        <w:t>, Sandusky D, Carr R, Wiersema LM, Erdel WC, Frederick PK. Endosonography-guided cholangiopancreatography. </w:t>
      </w:r>
      <w:r w:rsidRPr="000418FA">
        <w:rPr>
          <w:rFonts w:ascii="Book Antiqua" w:hAnsi="Book Antiqua" w:cs="Book Antiqua"/>
          <w:i/>
          <w:iCs/>
        </w:rPr>
        <w:t>Gastrointest Endosc</w:t>
      </w:r>
      <w:r w:rsidRPr="000418FA">
        <w:rPr>
          <w:rFonts w:ascii="Book Antiqua" w:hAnsi="Book Antiqua" w:cs="Book Antiqua"/>
        </w:rPr>
        <w:t> 1996; </w:t>
      </w:r>
      <w:r w:rsidRPr="000418FA">
        <w:rPr>
          <w:rFonts w:ascii="Book Antiqua" w:hAnsi="Book Antiqua" w:cs="Book Antiqua"/>
          <w:b/>
          <w:bCs/>
        </w:rPr>
        <w:t>43</w:t>
      </w:r>
      <w:r w:rsidRPr="000418FA">
        <w:rPr>
          <w:rFonts w:ascii="Book Antiqua" w:hAnsi="Book Antiqua" w:cs="Book Antiqua"/>
        </w:rPr>
        <w:t xml:space="preserve">: 102-106 [PMID: 8635700 DOI: </w:t>
      </w:r>
      <w:r w:rsidRPr="000418FA">
        <w:rPr>
          <w:rFonts w:ascii="Book Antiqua" w:hAnsi="Book Antiqua" w:cs="Book Antiqua"/>
          <w:shd w:val="clear" w:color="auto" w:fill="FFFFFF"/>
        </w:rPr>
        <w:t>10.1016/S0016-5107(06)80108-2</w:t>
      </w:r>
      <w:r w:rsidRPr="000418FA">
        <w:rPr>
          <w:rFonts w:ascii="Book Antiqua" w:hAnsi="Book Antiqua" w:cs="Book Antiqua"/>
        </w:rPr>
        <w:t>]</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2 </w:t>
      </w:r>
      <w:r w:rsidRPr="000418FA">
        <w:rPr>
          <w:rFonts w:ascii="Book Antiqua" w:hAnsi="Book Antiqua" w:cs="Book Antiqua"/>
          <w:b/>
          <w:bCs/>
        </w:rPr>
        <w:t>Farrell J</w:t>
      </w:r>
      <w:r w:rsidRPr="000418FA">
        <w:rPr>
          <w:rFonts w:ascii="Book Antiqua" w:hAnsi="Book Antiqua" w:cs="Book Antiqua"/>
        </w:rPr>
        <w:t>, Carr-Locke D, Garrido T, Ruymann F, Shields S, Saltzman J. Endoscopic retrograde cholangiopancreatography after pancreaticoduodenectomy for benign and malignant disease: indications and technical outcomes. </w:t>
      </w:r>
      <w:r w:rsidRPr="000418FA">
        <w:rPr>
          <w:rFonts w:ascii="Book Antiqua" w:hAnsi="Book Antiqua" w:cs="Book Antiqua"/>
          <w:i/>
          <w:iCs/>
        </w:rPr>
        <w:t>Endoscopy</w:t>
      </w:r>
      <w:r w:rsidRPr="000418FA">
        <w:rPr>
          <w:rFonts w:ascii="Book Antiqua" w:hAnsi="Book Antiqua" w:cs="Book Antiqua"/>
        </w:rPr>
        <w:t> 2006; </w:t>
      </w:r>
      <w:r w:rsidRPr="000418FA">
        <w:rPr>
          <w:rFonts w:ascii="Book Antiqua" w:hAnsi="Book Antiqua" w:cs="Book Antiqua"/>
          <w:b/>
          <w:bCs/>
        </w:rPr>
        <w:t>38</w:t>
      </w:r>
      <w:r w:rsidRPr="000418FA">
        <w:rPr>
          <w:rFonts w:ascii="Book Antiqua" w:hAnsi="Book Antiqua" w:cs="Book Antiqua"/>
        </w:rPr>
        <w:t>: 1246-1249 [PMID: 17163327 DOI: 10.1055/s-2006-944970]</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lang w:val="it-IT"/>
        </w:rPr>
      </w:pPr>
      <w:r w:rsidRPr="000418FA">
        <w:rPr>
          <w:rFonts w:ascii="Book Antiqua" w:hAnsi="Book Antiqua" w:cs="Book Antiqua"/>
        </w:rPr>
        <w:t>3 </w:t>
      </w:r>
      <w:r w:rsidRPr="000418FA">
        <w:rPr>
          <w:rFonts w:ascii="Book Antiqua" w:hAnsi="Book Antiqua" w:cs="Book Antiqua"/>
          <w:b/>
          <w:bCs/>
        </w:rPr>
        <w:t>Dhir V</w:t>
      </w:r>
      <w:r w:rsidRPr="000418FA">
        <w:rPr>
          <w:rFonts w:ascii="Book Antiqua" w:hAnsi="Book Antiqua" w:cs="Book Antiqua"/>
        </w:rPr>
        <w:t>, Itoi T, Khashab MA, Park do H, Yuen Bun Teoh A, Attam R, Messallam A, Varadarajulu S, Maydeo A. Multicenter comparative evaluation of endoscopic placement of expandable metal stents for malignant distal common bile duct obstruction by ERCP or EUS-guided approach. </w:t>
      </w:r>
      <w:r w:rsidRPr="000418FA">
        <w:rPr>
          <w:rFonts w:ascii="Book Antiqua" w:hAnsi="Book Antiqua" w:cs="Book Antiqua"/>
          <w:i/>
          <w:iCs/>
          <w:lang w:val="it-IT"/>
        </w:rPr>
        <w:t>Gastrointest Endosc</w:t>
      </w:r>
      <w:r w:rsidRPr="000418FA">
        <w:rPr>
          <w:rFonts w:ascii="Book Antiqua" w:hAnsi="Book Antiqua" w:cs="Book Antiqua"/>
          <w:lang w:val="it-IT"/>
        </w:rPr>
        <w:t> 2015; </w:t>
      </w:r>
      <w:r w:rsidRPr="000418FA">
        <w:rPr>
          <w:rFonts w:ascii="Book Antiqua" w:hAnsi="Book Antiqua" w:cs="Book Antiqua"/>
          <w:b/>
          <w:bCs/>
          <w:lang w:val="it-IT"/>
        </w:rPr>
        <w:t>81</w:t>
      </w:r>
      <w:r w:rsidRPr="000418FA">
        <w:rPr>
          <w:rFonts w:ascii="Book Antiqua" w:hAnsi="Book Antiqua" w:cs="Book Antiqua"/>
          <w:lang w:val="it-IT"/>
        </w:rPr>
        <w:t>: 913-923 [PMID: 25484326 DOI: 10.1016/j.gie.2014.09.054]</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lang w:val="it-IT"/>
        </w:rPr>
        <w:t>4 </w:t>
      </w:r>
      <w:r w:rsidRPr="000418FA">
        <w:rPr>
          <w:rFonts w:ascii="Book Antiqua" w:hAnsi="Book Antiqua" w:cs="Book Antiqua"/>
          <w:b/>
          <w:bCs/>
          <w:lang w:val="it-IT"/>
        </w:rPr>
        <w:t>Giovannini M</w:t>
      </w:r>
      <w:r w:rsidRPr="000418FA">
        <w:rPr>
          <w:rFonts w:ascii="Book Antiqua" w:hAnsi="Book Antiqua" w:cs="Book Antiqua"/>
          <w:lang w:val="it-IT"/>
        </w:rPr>
        <w:t xml:space="preserve">, Dotti M, Bories E, Moutardier V, Pesenti C, Danisi C, Delpero JR. </w:t>
      </w:r>
      <w:r w:rsidRPr="000418FA">
        <w:rPr>
          <w:rFonts w:ascii="Book Antiqua" w:hAnsi="Book Antiqua" w:cs="Book Antiqua"/>
        </w:rPr>
        <w:t>Hepaticogastrostomy by echo-endoscopy as a palliative treatment in a patient with metastatic biliary obstruction. </w:t>
      </w:r>
      <w:r w:rsidRPr="000418FA">
        <w:rPr>
          <w:rFonts w:ascii="Book Antiqua" w:hAnsi="Book Antiqua" w:cs="Book Antiqua"/>
          <w:i/>
          <w:iCs/>
        </w:rPr>
        <w:t>Endoscopy</w:t>
      </w:r>
      <w:r w:rsidRPr="000418FA">
        <w:rPr>
          <w:rFonts w:ascii="Book Antiqua" w:hAnsi="Book Antiqua" w:cs="Book Antiqua"/>
        </w:rPr>
        <w:t> 2003; </w:t>
      </w:r>
      <w:r w:rsidRPr="000418FA">
        <w:rPr>
          <w:rFonts w:ascii="Book Antiqua" w:hAnsi="Book Antiqua" w:cs="Book Antiqua"/>
          <w:b/>
          <w:bCs/>
        </w:rPr>
        <w:t>35</w:t>
      </w:r>
      <w:r w:rsidRPr="000418FA">
        <w:rPr>
          <w:rFonts w:ascii="Book Antiqua" w:hAnsi="Book Antiqua" w:cs="Book Antiqua"/>
        </w:rPr>
        <w:t>: 1076-1078 [PMID: 14648424 DOI: 10.1055/s-2003-44596]</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5 </w:t>
      </w:r>
      <w:r w:rsidRPr="000418FA">
        <w:rPr>
          <w:rFonts w:ascii="Book Antiqua" w:hAnsi="Book Antiqua" w:cs="Book Antiqua"/>
          <w:b/>
          <w:bCs/>
        </w:rPr>
        <w:t>Gupta K</w:t>
      </w:r>
      <w:r w:rsidRPr="000418FA">
        <w:rPr>
          <w:rFonts w:ascii="Book Antiqua" w:hAnsi="Book Antiqua" w:cs="Book Antiqua"/>
        </w:rPr>
        <w:t xml:space="preserve">, Perez-Miranda M, Kahaleh M, Artifon EL, Itoi T, Freeman ML, de-Serna C, Sauer B, Giovannini M; </w:t>
      </w:r>
      <w:hyperlink r:id="rId7" w:history="1">
        <w:r w:rsidRPr="000418FA">
          <w:rPr>
            <w:rFonts w:ascii="Book Antiqua" w:hAnsi="Book Antiqua" w:cs="Book Antiqua"/>
          </w:rPr>
          <w:t>InEBD STUDY GROUP</w:t>
        </w:r>
      </w:hyperlink>
      <w:r w:rsidRPr="000418FA">
        <w:rPr>
          <w:rFonts w:ascii="Book Antiqua" w:hAnsi="Book Antiqua" w:cs="Book Antiqua"/>
        </w:rPr>
        <w:t>. Endoscopic ultrasound-assisted bile duct access and drainage: multicenter, long-term analysis of approach, outcomes, and complications of a technique in evolution. </w:t>
      </w:r>
      <w:r w:rsidRPr="000418FA">
        <w:rPr>
          <w:rFonts w:ascii="Book Antiqua" w:hAnsi="Book Antiqua" w:cs="Book Antiqua"/>
          <w:i/>
          <w:iCs/>
        </w:rPr>
        <w:t>J Clin Gastroenterol</w:t>
      </w:r>
      <w:r w:rsidRPr="000418FA">
        <w:rPr>
          <w:rFonts w:ascii="Book Antiqua" w:hAnsi="Book Antiqua" w:cs="Book Antiqua"/>
        </w:rPr>
        <w:t> 2014; </w:t>
      </w:r>
      <w:r w:rsidRPr="000418FA">
        <w:rPr>
          <w:rFonts w:ascii="Book Antiqua" w:hAnsi="Book Antiqua" w:cs="Book Antiqua"/>
          <w:b/>
          <w:bCs/>
        </w:rPr>
        <w:t>48</w:t>
      </w:r>
      <w:r w:rsidRPr="000418FA">
        <w:rPr>
          <w:rFonts w:ascii="Book Antiqua" w:hAnsi="Book Antiqua" w:cs="Book Antiqua"/>
        </w:rPr>
        <w:t>: 80-87 [PMID: 23632351 DOI: 10.1097/MCG.0b013e31828c6822]</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6 </w:t>
      </w:r>
      <w:r w:rsidRPr="000418FA">
        <w:rPr>
          <w:rFonts w:ascii="Book Antiqua" w:hAnsi="Book Antiqua" w:cs="Book Antiqua"/>
          <w:b/>
          <w:bCs/>
        </w:rPr>
        <w:t>Prichard D</w:t>
      </w:r>
      <w:r w:rsidRPr="000418FA">
        <w:rPr>
          <w:rFonts w:ascii="Book Antiqua" w:hAnsi="Book Antiqua" w:cs="Book Antiqua"/>
        </w:rPr>
        <w:t>, Byrne MF. Endoscopic ultrasound guided biliary and pancreatic duct interventions. </w:t>
      </w:r>
      <w:r w:rsidRPr="000418FA">
        <w:rPr>
          <w:rFonts w:ascii="Book Antiqua" w:hAnsi="Book Antiqua" w:cs="Book Antiqua"/>
          <w:i/>
          <w:iCs/>
        </w:rPr>
        <w:t>World J Gastrointest Endosc</w:t>
      </w:r>
      <w:r w:rsidRPr="000418FA">
        <w:rPr>
          <w:rFonts w:ascii="Book Antiqua" w:hAnsi="Book Antiqua" w:cs="Book Antiqua"/>
        </w:rPr>
        <w:t> 2014; </w:t>
      </w:r>
      <w:r w:rsidRPr="000418FA">
        <w:rPr>
          <w:rFonts w:ascii="Book Antiqua" w:hAnsi="Book Antiqua" w:cs="Book Antiqua"/>
          <w:b/>
          <w:bCs/>
        </w:rPr>
        <w:t>6</w:t>
      </w:r>
      <w:r w:rsidRPr="000418FA">
        <w:rPr>
          <w:rFonts w:ascii="Book Antiqua" w:hAnsi="Book Antiqua" w:cs="Book Antiqua"/>
        </w:rPr>
        <w:t>: 513-524 [PMID: 25400865 DOI: 10.4253/wjge.v6.i11.513]</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7 </w:t>
      </w:r>
      <w:r w:rsidRPr="000418FA">
        <w:rPr>
          <w:rFonts w:ascii="Book Antiqua" w:hAnsi="Book Antiqua" w:cs="Book Antiqua"/>
          <w:b/>
          <w:bCs/>
        </w:rPr>
        <w:t>Kahaleh M</w:t>
      </w:r>
      <w:r w:rsidRPr="000418FA">
        <w:rPr>
          <w:rFonts w:ascii="Book Antiqua" w:hAnsi="Book Antiqua" w:cs="Book Antiqua"/>
        </w:rPr>
        <w:t>, Artifon EL, Perez-Miranda M, Gaidhane M, Rondon C, Itoi T, Giovannini M. Endoscopic ultrasonography guided drainage: summary of consortium meeting, May 21, 2012, San Diego, California. </w:t>
      </w:r>
      <w:r w:rsidRPr="000418FA">
        <w:rPr>
          <w:rFonts w:ascii="Book Antiqua" w:hAnsi="Book Antiqua" w:cs="Book Antiqua"/>
          <w:i/>
          <w:iCs/>
        </w:rPr>
        <w:t>World J Gastroenterol</w:t>
      </w:r>
      <w:r w:rsidRPr="000418FA">
        <w:rPr>
          <w:rFonts w:ascii="Book Antiqua" w:hAnsi="Book Antiqua" w:cs="Book Antiqua"/>
        </w:rPr>
        <w:t> 2015; </w:t>
      </w:r>
      <w:r w:rsidRPr="000418FA">
        <w:rPr>
          <w:rFonts w:ascii="Book Antiqua" w:hAnsi="Book Antiqua" w:cs="Book Antiqua"/>
          <w:b/>
          <w:bCs/>
        </w:rPr>
        <w:t>21</w:t>
      </w:r>
      <w:r w:rsidRPr="000418FA">
        <w:rPr>
          <w:rFonts w:ascii="Book Antiqua" w:hAnsi="Book Antiqua" w:cs="Book Antiqua"/>
        </w:rPr>
        <w:t>: 726-741 [PMID: 25624708 DOI: 10.3748/wjg.v21.i3.726]</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8 </w:t>
      </w:r>
      <w:r w:rsidRPr="000418FA">
        <w:rPr>
          <w:rFonts w:ascii="Book Antiqua" w:hAnsi="Book Antiqua" w:cs="Book Antiqua"/>
          <w:b/>
          <w:bCs/>
        </w:rPr>
        <w:t>Gavini H</w:t>
      </w:r>
      <w:r w:rsidRPr="000418FA">
        <w:rPr>
          <w:rFonts w:ascii="Book Antiqua" w:hAnsi="Book Antiqua" w:cs="Book Antiqua"/>
        </w:rPr>
        <w:t>, Lee JH. Endoscopic ultrasound-guided endotherapy. </w:t>
      </w:r>
      <w:r w:rsidRPr="000418FA">
        <w:rPr>
          <w:rFonts w:ascii="Book Antiqua" w:hAnsi="Book Antiqua" w:cs="Book Antiqua"/>
          <w:i/>
          <w:iCs/>
        </w:rPr>
        <w:t>J Clin Gastroenterol</w:t>
      </w:r>
      <w:r w:rsidRPr="000418FA">
        <w:rPr>
          <w:rFonts w:ascii="Book Antiqua" w:hAnsi="Book Antiqua" w:cs="Book Antiqua"/>
        </w:rPr>
        <w:t> 2015; </w:t>
      </w:r>
      <w:r w:rsidRPr="000418FA">
        <w:rPr>
          <w:rFonts w:ascii="Book Antiqua" w:hAnsi="Book Antiqua" w:cs="Book Antiqua"/>
          <w:b/>
          <w:bCs/>
        </w:rPr>
        <w:t>49</w:t>
      </w:r>
      <w:r w:rsidRPr="000418FA">
        <w:rPr>
          <w:rFonts w:ascii="Book Antiqua" w:hAnsi="Book Antiqua" w:cs="Book Antiqua"/>
        </w:rPr>
        <w:t>: 185-193 [PMID: 25551210 DOI: 10.1097/MCG.0000000000000276]</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9 </w:t>
      </w:r>
      <w:r w:rsidRPr="000418FA">
        <w:rPr>
          <w:rFonts w:ascii="Book Antiqua" w:hAnsi="Book Antiqua" w:cs="Book Antiqua"/>
          <w:b/>
          <w:bCs/>
        </w:rPr>
        <w:t>Prachayakul V</w:t>
      </w:r>
      <w:r w:rsidRPr="000418FA">
        <w:rPr>
          <w:rFonts w:ascii="Book Antiqua" w:hAnsi="Book Antiqua" w:cs="Book Antiqua"/>
        </w:rPr>
        <w:t>, Aswakul P. Endoscopic ultrasound-guided biliary drainage as an alternative to percutaneous drainage and surgical bypass. </w:t>
      </w:r>
      <w:r w:rsidRPr="000418FA">
        <w:rPr>
          <w:rFonts w:ascii="Book Antiqua" w:hAnsi="Book Antiqua" w:cs="Book Antiqua"/>
          <w:i/>
          <w:iCs/>
        </w:rPr>
        <w:t>World J Gastrointest Endosc</w:t>
      </w:r>
      <w:r w:rsidRPr="000418FA">
        <w:rPr>
          <w:rFonts w:ascii="Book Antiqua" w:hAnsi="Book Antiqua" w:cs="Book Antiqua"/>
        </w:rPr>
        <w:t> 2015; </w:t>
      </w:r>
      <w:r w:rsidRPr="000418FA">
        <w:rPr>
          <w:rFonts w:ascii="Book Antiqua" w:hAnsi="Book Antiqua" w:cs="Book Antiqua"/>
          <w:b/>
          <w:bCs/>
        </w:rPr>
        <w:t>7</w:t>
      </w:r>
      <w:r w:rsidRPr="000418FA">
        <w:rPr>
          <w:rFonts w:ascii="Book Antiqua" w:hAnsi="Book Antiqua" w:cs="Book Antiqua"/>
        </w:rPr>
        <w:t>: 37-44 [PMID: 25610532 DOI: 10.4253/wjge.v7.i1.37]</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10 </w:t>
      </w:r>
      <w:r w:rsidRPr="000418FA">
        <w:rPr>
          <w:rFonts w:ascii="Book Antiqua" w:hAnsi="Book Antiqua" w:cs="Book Antiqua"/>
          <w:b/>
          <w:bCs/>
        </w:rPr>
        <w:t>Artifon EL</w:t>
      </w:r>
      <w:r w:rsidRPr="000418FA">
        <w:rPr>
          <w:rFonts w:ascii="Book Antiqua" w:hAnsi="Book Antiqua" w:cs="Book Antiqua"/>
        </w:rPr>
        <w:t>, Aparicio D, Paione JB, Lo SK, Bordini A, Rabello C, Otoch JP, Gupta K. Biliary drainage in patients with unresectable, malignant obstruction where ERCP fails: endoscopic ultrasonography-guided choledochoduodenostomy versus percutaneous drainage. </w:t>
      </w:r>
      <w:r w:rsidRPr="000418FA">
        <w:rPr>
          <w:rFonts w:ascii="Book Antiqua" w:hAnsi="Book Antiqua" w:cs="Book Antiqua"/>
          <w:i/>
          <w:iCs/>
        </w:rPr>
        <w:t>J Clin Gastroenterol</w:t>
      </w:r>
      <w:r w:rsidRPr="000418FA">
        <w:rPr>
          <w:rFonts w:ascii="Book Antiqua" w:hAnsi="Book Antiqua" w:cs="Book Antiqua"/>
        </w:rPr>
        <w:t> 2012; </w:t>
      </w:r>
      <w:r w:rsidRPr="000418FA">
        <w:rPr>
          <w:rFonts w:ascii="Book Antiqua" w:hAnsi="Book Antiqua" w:cs="Book Antiqua"/>
          <w:b/>
          <w:bCs/>
        </w:rPr>
        <w:t>46</w:t>
      </w:r>
      <w:r w:rsidRPr="000418FA">
        <w:rPr>
          <w:rFonts w:ascii="Book Antiqua" w:hAnsi="Book Antiqua" w:cs="Book Antiqua"/>
        </w:rPr>
        <w:t>: 768-774 [PMID: 22810111 DOI: 10.1097/MCG.0b013e31825f264c]</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11 </w:t>
      </w:r>
      <w:r w:rsidRPr="000418FA">
        <w:rPr>
          <w:rFonts w:ascii="Book Antiqua" w:hAnsi="Book Antiqua" w:cs="Book Antiqua"/>
          <w:b/>
          <w:bCs/>
        </w:rPr>
        <w:t>Shah JN</w:t>
      </w:r>
      <w:r w:rsidRPr="000418FA">
        <w:rPr>
          <w:rFonts w:ascii="Book Antiqua" w:hAnsi="Book Antiqua" w:cs="Book Antiqua"/>
        </w:rPr>
        <w:t>, Marson F, Weilert F, Bhat YM, Nguyen-Tang T, Shaw RE, Binmoeller KF. Single-operator, single-session EUS-guided anterograde cholangiopancreatography in failed ERCP or inaccessible papilla. </w:t>
      </w:r>
      <w:r w:rsidRPr="000418FA">
        <w:rPr>
          <w:rFonts w:ascii="Book Antiqua" w:hAnsi="Book Antiqua" w:cs="Book Antiqua"/>
          <w:i/>
          <w:iCs/>
        </w:rPr>
        <w:t>Gastrointest Endosc</w:t>
      </w:r>
      <w:r w:rsidRPr="000418FA">
        <w:rPr>
          <w:rFonts w:ascii="Book Antiqua" w:hAnsi="Book Antiqua" w:cs="Book Antiqua"/>
        </w:rPr>
        <w:t> 2012; </w:t>
      </w:r>
      <w:r w:rsidRPr="000418FA">
        <w:rPr>
          <w:rFonts w:ascii="Book Antiqua" w:hAnsi="Book Antiqua" w:cs="Book Antiqua"/>
          <w:b/>
          <w:bCs/>
        </w:rPr>
        <w:t>75</w:t>
      </w:r>
      <w:r w:rsidRPr="000418FA">
        <w:rPr>
          <w:rFonts w:ascii="Book Antiqua" w:hAnsi="Book Antiqua" w:cs="Book Antiqua"/>
        </w:rPr>
        <w:t>: 56-64 [PMID: 22018554 DOI: 10.1016/j.gie.2011.08.032]</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12 </w:t>
      </w:r>
      <w:r w:rsidRPr="000418FA">
        <w:rPr>
          <w:rFonts w:ascii="Book Antiqua" w:hAnsi="Book Antiqua" w:cs="Book Antiqua"/>
          <w:b/>
          <w:bCs/>
        </w:rPr>
        <w:t>Siripun A</w:t>
      </w:r>
      <w:r w:rsidRPr="000418FA">
        <w:rPr>
          <w:rFonts w:ascii="Book Antiqua" w:hAnsi="Book Antiqua" w:cs="Book Antiqua"/>
        </w:rPr>
        <w:t>, Sripongpun P, Ovartlarnporn B. Endoscopic ultrasound-guided biliary intervention in patients with surgically altered anatomy. </w:t>
      </w:r>
      <w:r w:rsidRPr="000418FA">
        <w:rPr>
          <w:rFonts w:ascii="Book Antiqua" w:hAnsi="Book Antiqua" w:cs="Book Antiqua"/>
          <w:i/>
          <w:iCs/>
        </w:rPr>
        <w:t>World J Gastrointest Endosc</w:t>
      </w:r>
      <w:r w:rsidRPr="000418FA">
        <w:rPr>
          <w:rFonts w:ascii="Book Antiqua" w:hAnsi="Book Antiqua" w:cs="Book Antiqua"/>
        </w:rPr>
        <w:t> 2015; </w:t>
      </w:r>
      <w:r w:rsidRPr="000418FA">
        <w:rPr>
          <w:rFonts w:ascii="Book Antiqua" w:hAnsi="Book Antiqua" w:cs="Book Antiqua"/>
          <w:b/>
          <w:bCs/>
        </w:rPr>
        <w:t>7</w:t>
      </w:r>
      <w:r w:rsidRPr="000418FA">
        <w:rPr>
          <w:rFonts w:ascii="Book Antiqua" w:hAnsi="Book Antiqua" w:cs="Book Antiqua"/>
        </w:rPr>
        <w:t>: 283-289 [PMID: 25789101 DOI: 10.4253/wjge.v7.i3.283]</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13 </w:t>
      </w:r>
      <w:r w:rsidRPr="000418FA">
        <w:rPr>
          <w:rFonts w:ascii="Book Antiqua" w:hAnsi="Book Antiqua" w:cs="Book Antiqua"/>
          <w:b/>
          <w:bCs/>
        </w:rPr>
        <w:t>Artifon EL</w:t>
      </w:r>
      <w:r w:rsidRPr="000418FA">
        <w:rPr>
          <w:rFonts w:ascii="Book Antiqua" w:hAnsi="Book Antiqua" w:cs="Book Antiqua"/>
        </w:rPr>
        <w:t>, Ferreira FC, Otoch JP. [Endoscopic ultrasound-guided choledochoduodenostomy for relieving malignant distal biliary obstruction]. </w:t>
      </w:r>
      <w:r w:rsidRPr="000418FA">
        <w:rPr>
          <w:rFonts w:ascii="Book Antiqua" w:hAnsi="Book Antiqua" w:cs="Book Antiqua"/>
          <w:i/>
          <w:iCs/>
        </w:rPr>
        <w:t>Rev Gastroenterol Mex</w:t>
      </w:r>
      <w:r w:rsidRPr="000418FA">
        <w:rPr>
          <w:rFonts w:ascii="Book Antiqua" w:hAnsi="Book Antiqua" w:cs="Book Antiqua"/>
        </w:rPr>
        <w:t> 2012; </w:t>
      </w:r>
      <w:r w:rsidRPr="000418FA">
        <w:rPr>
          <w:rFonts w:ascii="Book Antiqua" w:hAnsi="Book Antiqua" w:cs="Book Antiqua"/>
          <w:b/>
          <w:bCs/>
        </w:rPr>
        <w:t>77</w:t>
      </w:r>
      <w:r w:rsidRPr="000418FA">
        <w:rPr>
          <w:rFonts w:ascii="Book Antiqua" w:hAnsi="Book Antiqua" w:cs="Book Antiqua"/>
        </w:rPr>
        <w:t>: 31-37 [PMID: 22450018]</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14 </w:t>
      </w:r>
      <w:r w:rsidRPr="000418FA">
        <w:rPr>
          <w:rFonts w:ascii="Book Antiqua" w:hAnsi="Book Antiqua" w:cs="Book Antiqua"/>
          <w:b/>
          <w:bCs/>
        </w:rPr>
        <w:t>Jang JW</w:t>
      </w:r>
      <w:r w:rsidRPr="000418FA">
        <w:rPr>
          <w:rFonts w:ascii="Book Antiqua" w:hAnsi="Book Antiqua" w:cs="Book Antiqua"/>
        </w:rPr>
        <w:t>, Lee SS, Song TJ, Hyun YS, Park do H, Seo DW, Lee SK, Kim MH, Yun SC. Endoscopic ultrasound-guided transmural and percutaneous transhepatic gallbladder drainage are comparable for acute cholecystitis. </w:t>
      </w:r>
      <w:r w:rsidRPr="000418FA">
        <w:rPr>
          <w:rFonts w:ascii="Book Antiqua" w:hAnsi="Book Antiqua" w:cs="Book Antiqua"/>
          <w:i/>
          <w:iCs/>
        </w:rPr>
        <w:t>Gastroenterology</w:t>
      </w:r>
      <w:r w:rsidRPr="000418FA">
        <w:rPr>
          <w:rFonts w:ascii="Book Antiqua" w:hAnsi="Book Antiqua" w:cs="Book Antiqua"/>
        </w:rPr>
        <w:t> 2012; </w:t>
      </w:r>
      <w:r w:rsidRPr="000418FA">
        <w:rPr>
          <w:rFonts w:ascii="Book Antiqua" w:hAnsi="Book Antiqua" w:cs="Book Antiqua"/>
          <w:b/>
          <w:bCs/>
        </w:rPr>
        <w:t>142</w:t>
      </w:r>
      <w:r w:rsidRPr="000418FA">
        <w:rPr>
          <w:rFonts w:ascii="Book Antiqua" w:hAnsi="Book Antiqua" w:cs="Book Antiqua"/>
        </w:rPr>
        <w:t>: 805-811 [PMID: 22245666 DOI: 10.1053/j.gastro.2011.12.051]</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15 </w:t>
      </w:r>
      <w:r w:rsidRPr="000418FA">
        <w:rPr>
          <w:rFonts w:ascii="Book Antiqua" w:hAnsi="Book Antiqua" w:cs="Book Antiqua"/>
          <w:b/>
          <w:bCs/>
        </w:rPr>
        <w:t>Hao F</w:t>
      </w:r>
      <w:r w:rsidRPr="000418FA">
        <w:rPr>
          <w:rFonts w:ascii="Book Antiqua" w:hAnsi="Book Antiqua" w:cs="Book Antiqua"/>
        </w:rPr>
        <w:t>, Zheng M, Qin M. The effect of endoscopic ultrasonography in treatment of distal inflammatory biliary stricture: a retrospective analysis of 165 cases. </w:t>
      </w:r>
      <w:r w:rsidRPr="000418FA">
        <w:rPr>
          <w:rFonts w:ascii="Book Antiqua" w:hAnsi="Book Antiqua" w:cs="Book Antiqua"/>
          <w:i/>
          <w:iCs/>
        </w:rPr>
        <w:t>Hepatogastroenterology</w:t>
      </w:r>
      <w:r w:rsidRPr="000418FA">
        <w:rPr>
          <w:rFonts w:ascii="Book Antiqua" w:hAnsi="Book Antiqua" w:cs="Book Antiqua"/>
        </w:rPr>
        <w:t> 2014; </w:t>
      </w:r>
      <w:r w:rsidRPr="000418FA">
        <w:rPr>
          <w:rFonts w:ascii="Book Antiqua" w:hAnsi="Book Antiqua" w:cs="Book Antiqua"/>
          <w:b/>
          <w:bCs/>
        </w:rPr>
        <w:t>61</w:t>
      </w:r>
      <w:r w:rsidRPr="000418FA">
        <w:rPr>
          <w:rFonts w:ascii="Book Antiqua" w:hAnsi="Book Antiqua" w:cs="Book Antiqua"/>
        </w:rPr>
        <w:t>: 2177-2180 [PMID: 25699345]</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16 </w:t>
      </w:r>
      <w:r w:rsidRPr="000418FA">
        <w:rPr>
          <w:rFonts w:ascii="Book Antiqua" w:hAnsi="Book Antiqua" w:cs="Book Antiqua"/>
          <w:b/>
          <w:bCs/>
        </w:rPr>
        <w:t>Lopes RI</w:t>
      </w:r>
      <w:r w:rsidRPr="000418FA">
        <w:rPr>
          <w:rFonts w:ascii="Book Antiqua" w:hAnsi="Book Antiqua" w:cs="Book Antiqua"/>
        </w:rPr>
        <w:t>, Moura RN, Artifon E. Endoscopic ultrasound-guided fine-needle aspiration for the diagnosis of kidney lesions: A review. </w:t>
      </w:r>
      <w:r w:rsidRPr="000418FA">
        <w:rPr>
          <w:rFonts w:ascii="Book Antiqua" w:hAnsi="Book Antiqua" w:cs="Book Antiqua"/>
          <w:i/>
          <w:iCs/>
        </w:rPr>
        <w:t>World J Gastrointest Endosc</w:t>
      </w:r>
      <w:r w:rsidRPr="000418FA">
        <w:rPr>
          <w:rFonts w:ascii="Book Antiqua" w:hAnsi="Book Antiqua" w:cs="Book Antiqua"/>
        </w:rPr>
        <w:t> 2015; </w:t>
      </w:r>
      <w:r w:rsidRPr="000418FA">
        <w:rPr>
          <w:rFonts w:ascii="Book Antiqua" w:hAnsi="Book Antiqua" w:cs="Book Antiqua"/>
          <w:b/>
          <w:bCs/>
        </w:rPr>
        <w:t>7</w:t>
      </w:r>
      <w:r w:rsidRPr="000418FA">
        <w:rPr>
          <w:rFonts w:ascii="Book Antiqua" w:hAnsi="Book Antiqua" w:cs="Book Antiqua"/>
        </w:rPr>
        <w:t>: 253-257 [PMID: 25789096 DOI: 10.4253/wjge.v7.i3.253]</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17 </w:t>
      </w:r>
      <w:r w:rsidRPr="000418FA">
        <w:rPr>
          <w:rFonts w:ascii="Book Antiqua" w:hAnsi="Book Antiqua" w:cs="Book Antiqua"/>
          <w:b/>
          <w:bCs/>
        </w:rPr>
        <w:t>Leelasinjaroen P</w:t>
      </w:r>
      <w:r w:rsidRPr="000418FA">
        <w:rPr>
          <w:rFonts w:ascii="Book Antiqua" w:hAnsi="Book Antiqua" w:cs="Book Antiqua"/>
        </w:rPr>
        <w:t>, Manatsathit W, Berri R, Barawi M, Gress FG. Role of preoperative endoscopic ultrasound-guided fine-needle tattooing of a pancreatic head insulinoma. </w:t>
      </w:r>
      <w:r w:rsidRPr="000418FA">
        <w:rPr>
          <w:rFonts w:ascii="Book Antiqua" w:hAnsi="Book Antiqua" w:cs="Book Antiqua"/>
          <w:i/>
          <w:iCs/>
        </w:rPr>
        <w:t>World J Gastrointest Endosc</w:t>
      </w:r>
      <w:r w:rsidRPr="000418FA">
        <w:rPr>
          <w:rFonts w:ascii="Book Antiqua" w:hAnsi="Book Antiqua" w:cs="Book Antiqua"/>
        </w:rPr>
        <w:t> 2014; </w:t>
      </w:r>
      <w:r w:rsidRPr="000418FA">
        <w:rPr>
          <w:rFonts w:ascii="Book Antiqua" w:hAnsi="Book Antiqua" w:cs="Book Antiqua"/>
          <w:b/>
          <w:bCs/>
        </w:rPr>
        <w:t>6</w:t>
      </w:r>
      <w:r w:rsidRPr="000418FA">
        <w:rPr>
          <w:rFonts w:ascii="Book Antiqua" w:hAnsi="Book Antiqua" w:cs="Book Antiqua"/>
        </w:rPr>
        <w:t>: 506-509 [PMID: 25324923 DOI: 10.4253/wjge.v6.i10.506]</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18 </w:t>
      </w:r>
      <w:r w:rsidRPr="000418FA">
        <w:rPr>
          <w:rFonts w:ascii="Book Antiqua" w:hAnsi="Book Antiqua" w:cs="Book Antiqua"/>
          <w:b/>
          <w:bCs/>
        </w:rPr>
        <w:t>Kahaleh M</w:t>
      </w:r>
      <w:r w:rsidRPr="000418FA">
        <w:rPr>
          <w:rFonts w:ascii="Book Antiqua" w:hAnsi="Book Antiqua" w:cs="Book Antiqua"/>
        </w:rPr>
        <w:t>, Artifon EL, Perez-Miranda M, Gupta K, Itoi T, Binmoeller KF, Giovannini M. Endoscopic ultrasonography guided biliary drainage: summary of consortium meeting, May 7th, 2011, Chicago. </w:t>
      </w:r>
      <w:r w:rsidRPr="000418FA">
        <w:rPr>
          <w:rFonts w:ascii="Book Antiqua" w:hAnsi="Book Antiqua" w:cs="Book Antiqua"/>
          <w:i/>
          <w:iCs/>
        </w:rPr>
        <w:t>World J Gastroenterol</w:t>
      </w:r>
      <w:r w:rsidRPr="000418FA">
        <w:rPr>
          <w:rFonts w:ascii="Book Antiqua" w:hAnsi="Book Antiqua" w:cs="Book Antiqua"/>
        </w:rPr>
        <w:t> 2013; </w:t>
      </w:r>
      <w:r w:rsidRPr="000418FA">
        <w:rPr>
          <w:rFonts w:ascii="Book Antiqua" w:hAnsi="Book Antiqua" w:cs="Book Antiqua"/>
          <w:b/>
          <w:bCs/>
        </w:rPr>
        <w:t>19</w:t>
      </w:r>
      <w:r w:rsidRPr="000418FA">
        <w:rPr>
          <w:rFonts w:ascii="Book Antiqua" w:hAnsi="Book Antiqua" w:cs="Book Antiqua"/>
        </w:rPr>
        <w:t>: 1372-1379 [PMID: 23538784 DOI: 10.3748/wjg.v19.i9.1372]</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19 </w:t>
      </w:r>
      <w:r w:rsidRPr="000418FA">
        <w:rPr>
          <w:rFonts w:ascii="Book Antiqua" w:hAnsi="Book Antiqua" w:cs="Book Antiqua"/>
          <w:b/>
          <w:bCs/>
        </w:rPr>
        <w:t>Dhir V</w:t>
      </w:r>
      <w:r w:rsidRPr="000418FA">
        <w:rPr>
          <w:rFonts w:ascii="Book Antiqua" w:hAnsi="Book Antiqua" w:cs="Book Antiqua"/>
        </w:rPr>
        <w:t>, Artifon EL, Gupta K, Vila JJ, Maselli R, Frazao M, Maydeo A. Multicenter study on endoscopic ultrasound-guided expandable biliary metal stent placement: choice of access route, direction of stent insertion, and drainage route. </w:t>
      </w:r>
      <w:r w:rsidRPr="000418FA">
        <w:rPr>
          <w:rFonts w:ascii="Book Antiqua" w:hAnsi="Book Antiqua" w:cs="Book Antiqua"/>
          <w:i/>
          <w:iCs/>
        </w:rPr>
        <w:t>Dig Endosc</w:t>
      </w:r>
      <w:r w:rsidRPr="000418FA">
        <w:rPr>
          <w:rFonts w:ascii="Book Antiqua" w:hAnsi="Book Antiqua" w:cs="Book Antiqua"/>
        </w:rPr>
        <w:t> 2014; </w:t>
      </w:r>
      <w:r w:rsidRPr="000418FA">
        <w:rPr>
          <w:rFonts w:ascii="Book Antiqua" w:hAnsi="Book Antiqua" w:cs="Book Antiqua"/>
          <w:b/>
          <w:bCs/>
        </w:rPr>
        <w:t>26</w:t>
      </w:r>
      <w:r w:rsidRPr="000418FA">
        <w:rPr>
          <w:rFonts w:ascii="Book Antiqua" w:hAnsi="Book Antiqua" w:cs="Book Antiqua"/>
        </w:rPr>
        <w:t>: 430-435 [PMID: 23941261 DOI: 10.1111/den.12153]</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20 </w:t>
      </w:r>
      <w:r w:rsidRPr="000418FA">
        <w:rPr>
          <w:rFonts w:ascii="Book Antiqua" w:hAnsi="Book Antiqua" w:cs="Book Antiqua"/>
          <w:b/>
          <w:bCs/>
        </w:rPr>
        <w:t>Dhir V</w:t>
      </w:r>
      <w:r w:rsidRPr="000418FA">
        <w:rPr>
          <w:rFonts w:ascii="Book Antiqua" w:hAnsi="Book Antiqua" w:cs="Book Antiqua"/>
        </w:rPr>
        <w:t>, Bhandari S, Bapat M, Joshi N, Vivekanandarajah S, Maydeo A. Comparison of transhepatic and extrahepatic routes for EUS-guided rendezvous procedure for distal CBD obstruction. </w:t>
      </w:r>
      <w:r w:rsidRPr="000418FA">
        <w:rPr>
          <w:rFonts w:ascii="Book Antiqua" w:hAnsi="Book Antiqua" w:cs="Book Antiqua"/>
          <w:i/>
          <w:iCs/>
        </w:rPr>
        <w:t>United European Gastroenterol J</w:t>
      </w:r>
      <w:r w:rsidRPr="000418FA">
        <w:rPr>
          <w:rFonts w:ascii="Book Antiqua" w:hAnsi="Book Antiqua" w:cs="Book Antiqua"/>
        </w:rPr>
        <w:t> 2013; </w:t>
      </w:r>
      <w:r w:rsidRPr="000418FA">
        <w:rPr>
          <w:rFonts w:ascii="Book Antiqua" w:hAnsi="Book Antiqua" w:cs="Book Antiqua"/>
          <w:b/>
          <w:bCs/>
        </w:rPr>
        <w:t>1</w:t>
      </w:r>
      <w:r w:rsidRPr="000418FA">
        <w:rPr>
          <w:rFonts w:ascii="Book Antiqua" w:hAnsi="Book Antiqua" w:cs="Book Antiqua"/>
        </w:rPr>
        <w:t>: 103-108 [PMID: 24917947 DOI: 10.1177/2050640613480145]</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21 </w:t>
      </w:r>
      <w:r w:rsidRPr="000418FA">
        <w:rPr>
          <w:rFonts w:ascii="Book Antiqua" w:hAnsi="Book Antiqua" w:cs="Book Antiqua"/>
          <w:b/>
          <w:bCs/>
        </w:rPr>
        <w:t>Artifon EL</w:t>
      </w:r>
      <w:r w:rsidRPr="000418FA">
        <w:rPr>
          <w:rFonts w:ascii="Book Antiqua" w:hAnsi="Book Antiqua" w:cs="Book Antiqua"/>
        </w:rPr>
        <w:t>, Marson FP, Gaidhane M, Kahaleh M, Otoch JP. Hepaticogastrostomy or choledochoduodenostomy for distal malignant biliary obstruction after failed ERCP: is there any difference? </w:t>
      </w:r>
      <w:r w:rsidRPr="000418FA">
        <w:rPr>
          <w:rFonts w:ascii="Book Antiqua" w:hAnsi="Book Antiqua" w:cs="Book Antiqua"/>
          <w:i/>
          <w:iCs/>
        </w:rPr>
        <w:t>Gastrointest Endosc</w:t>
      </w:r>
      <w:r w:rsidRPr="000418FA">
        <w:rPr>
          <w:rFonts w:ascii="Book Antiqua" w:hAnsi="Book Antiqua" w:cs="Book Antiqua"/>
        </w:rPr>
        <w:t> 2015; </w:t>
      </w:r>
      <w:r w:rsidRPr="000418FA">
        <w:rPr>
          <w:rFonts w:ascii="Book Antiqua" w:hAnsi="Book Antiqua" w:cs="Book Antiqua"/>
          <w:b/>
          <w:bCs/>
        </w:rPr>
        <w:t>81</w:t>
      </w:r>
      <w:r w:rsidRPr="000418FA">
        <w:rPr>
          <w:rFonts w:ascii="Book Antiqua" w:hAnsi="Book Antiqua" w:cs="Book Antiqua"/>
        </w:rPr>
        <w:t>: 950-959 [PMID: 25500330 DOI: 10.1016/j.gie.2014.09.047]</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22 </w:t>
      </w:r>
      <w:r w:rsidRPr="000418FA">
        <w:rPr>
          <w:rFonts w:ascii="Book Antiqua" w:hAnsi="Book Antiqua" w:cs="Book Antiqua"/>
          <w:b/>
          <w:bCs/>
        </w:rPr>
        <w:t>Khashab MA</w:t>
      </w:r>
      <w:r w:rsidRPr="000418FA">
        <w:rPr>
          <w:rFonts w:ascii="Book Antiqua" w:hAnsi="Book Antiqua" w:cs="Book Antiqua"/>
        </w:rPr>
        <w:t>, Valeshabad AK, Modayil R, Widmer J, Saxena P, Idrees M, Iqbal S, Kalloo AN, Stavropoulos SN. EUS-guided biliary drainage by using a standardized approach for malignant biliary obstruction: rendezvous versus direct transluminal techniques (with videos). </w:t>
      </w:r>
      <w:r w:rsidRPr="000418FA">
        <w:rPr>
          <w:rFonts w:ascii="Book Antiqua" w:hAnsi="Book Antiqua" w:cs="Book Antiqua"/>
          <w:i/>
          <w:iCs/>
        </w:rPr>
        <w:t>Gastrointest Endosc</w:t>
      </w:r>
      <w:r w:rsidRPr="000418FA">
        <w:rPr>
          <w:rFonts w:ascii="Book Antiqua" w:hAnsi="Book Antiqua" w:cs="Book Antiqua"/>
        </w:rPr>
        <w:t> 2013; </w:t>
      </w:r>
      <w:r w:rsidRPr="000418FA">
        <w:rPr>
          <w:rFonts w:ascii="Book Antiqua" w:hAnsi="Book Antiqua" w:cs="Book Antiqua"/>
          <w:b/>
          <w:bCs/>
        </w:rPr>
        <w:t>78</w:t>
      </w:r>
      <w:r w:rsidRPr="000418FA">
        <w:rPr>
          <w:rFonts w:ascii="Book Antiqua" w:hAnsi="Book Antiqua" w:cs="Book Antiqua"/>
        </w:rPr>
        <w:t>: 734-741 [PMID: 23886353 DOI: 10.1016/j.gie.2013.05.013]</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23 </w:t>
      </w:r>
      <w:r w:rsidRPr="000418FA">
        <w:rPr>
          <w:rFonts w:ascii="Book Antiqua" w:hAnsi="Book Antiqua" w:cs="Book Antiqua"/>
          <w:b/>
          <w:bCs/>
        </w:rPr>
        <w:t>Ogura T</w:t>
      </w:r>
      <w:r w:rsidRPr="000418FA">
        <w:rPr>
          <w:rFonts w:ascii="Book Antiqua" w:hAnsi="Book Antiqua" w:cs="Book Antiqua"/>
        </w:rPr>
        <w:t>, Higuchi K. Technical tips of endoscopic ultrasound-guided choledochoduodenostomy. </w:t>
      </w:r>
      <w:r w:rsidRPr="000418FA">
        <w:rPr>
          <w:rFonts w:ascii="Book Antiqua" w:hAnsi="Book Antiqua" w:cs="Book Antiqua"/>
          <w:i/>
          <w:iCs/>
        </w:rPr>
        <w:t>World J Gastroenterol</w:t>
      </w:r>
      <w:r w:rsidRPr="000418FA">
        <w:rPr>
          <w:rFonts w:ascii="Book Antiqua" w:hAnsi="Book Antiqua" w:cs="Book Antiqua"/>
        </w:rPr>
        <w:t> 2015; </w:t>
      </w:r>
      <w:r w:rsidRPr="000418FA">
        <w:rPr>
          <w:rFonts w:ascii="Book Antiqua" w:hAnsi="Book Antiqua" w:cs="Book Antiqua"/>
          <w:b/>
          <w:bCs/>
        </w:rPr>
        <w:t>21</w:t>
      </w:r>
      <w:r w:rsidRPr="000418FA">
        <w:rPr>
          <w:rFonts w:ascii="Book Antiqua" w:hAnsi="Book Antiqua" w:cs="Book Antiqua"/>
        </w:rPr>
        <w:t>: 820-828 [PMID: 25624715 DOI: 10.3748/wjg.v21.i3.820]</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24 </w:t>
      </w:r>
      <w:r w:rsidRPr="000418FA">
        <w:rPr>
          <w:rFonts w:ascii="Book Antiqua" w:hAnsi="Book Antiqua" w:cs="Book Antiqua"/>
          <w:b/>
          <w:bCs/>
        </w:rPr>
        <w:t>Park do H</w:t>
      </w:r>
      <w:r w:rsidRPr="000418FA">
        <w:rPr>
          <w:rFonts w:ascii="Book Antiqua" w:hAnsi="Book Antiqua" w:cs="Book Antiqua"/>
        </w:rPr>
        <w:t>, Jang JW, Lee SS, Seo DW, Lee SK, Kim MH. EUS-guided biliary drainage with transluminal stenting after failed ERCP: predictors of adverse events and long-term results. </w:t>
      </w:r>
      <w:r w:rsidRPr="000418FA">
        <w:rPr>
          <w:rFonts w:ascii="Book Antiqua" w:hAnsi="Book Antiqua" w:cs="Book Antiqua"/>
          <w:i/>
          <w:iCs/>
        </w:rPr>
        <w:t>Gastrointest Endosc</w:t>
      </w:r>
      <w:r w:rsidRPr="000418FA">
        <w:rPr>
          <w:rFonts w:ascii="Book Antiqua" w:hAnsi="Book Antiqua" w:cs="Book Antiqua"/>
        </w:rPr>
        <w:t> 2011; </w:t>
      </w:r>
      <w:r w:rsidRPr="000418FA">
        <w:rPr>
          <w:rFonts w:ascii="Book Antiqua" w:hAnsi="Book Antiqua" w:cs="Book Antiqua"/>
          <w:b/>
          <w:bCs/>
        </w:rPr>
        <w:t>74</w:t>
      </w:r>
      <w:r w:rsidRPr="000418FA">
        <w:rPr>
          <w:rFonts w:ascii="Book Antiqua" w:hAnsi="Book Antiqua" w:cs="Book Antiqua"/>
        </w:rPr>
        <w:t>: 1276-1284 [PMID: 21963067 DOI: 10.1016/j.gie.2011.07.054]</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25 </w:t>
      </w:r>
      <w:r w:rsidRPr="000418FA">
        <w:rPr>
          <w:rFonts w:ascii="Book Antiqua" w:hAnsi="Book Antiqua" w:cs="Book Antiqua"/>
          <w:b/>
          <w:bCs/>
        </w:rPr>
        <w:t>Poincloux L</w:t>
      </w:r>
      <w:r w:rsidRPr="000418FA">
        <w:rPr>
          <w:rFonts w:ascii="Book Antiqua" w:hAnsi="Book Antiqua" w:cs="Book Antiqua"/>
        </w:rPr>
        <w:t>, Rouquette O, Buc E, Privat J, Pezet D, Dapoigny M, Bommelaer G, Abergel A. Endoscopic ultrasound-guided biliary drainage after failed ERCP: cumulative experience of 101 procedures at a single center. </w:t>
      </w:r>
      <w:r w:rsidRPr="000418FA">
        <w:rPr>
          <w:rFonts w:ascii="Book Antiqua" w:hAnsi="Book Antiqua" w:cs="Book Antiqua"/>
          <w:i/>
          <w:iCs/>
        </w:rPr>
        <w:t>Endoscopy</w:t>
      </w:r>
      <w:r w:rsidRPr="000418FA">
        <w:rPr>
          <w:rFonts w:ascii="Book Antiqua" w:hAnsi="Book Antiqua" w:cs="Book Antiqua"/>
        </w:rPr>
        <w:t> 2015; </w:t>
      </w:r>
      <w:r w:rsidRPr="000418FA">
        <w:rPr>
          <w:rFonts w:ascii="Book Antiqua" w:hAnsi="Book Antiqua" w:cs="Book Antiqua"/>
          <w:b/>
          <w:bCs/>
        </w:rPr>
        <w:t>47</w:t>
      </w:r>
      <w:r w:rsidRPr="000418FA">
        <w:rPr>
          <w:rFonts w:ascii="Book Antiqua" w:hAnsi="Book Antiqua" w:cs="Book Antiqua"/>
        </w:rPr>
        <w:t>: 794-801 [PMID: 25961443 DOI: 10.1055/s-0034-1391988]</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26 </w:t>
      </w:r>
      <w:r w:rsidRPr="000418FA">
        <w:rPr>
          <w:rFonts w:ascii="Book Antiqua" w:hAnsi="Book Antiqua" w:cs="Book Antiqua"/>
          <w:b/>
          <w:bCs/>
        </w:rPr>
        <w:t>Baron TH</w:t>
      </w:r>
      <w:r w:rsidRPr="000418FA">
        <w:rPr>
          <w:rFonts w:ascii="Book Antiqua" w:hAnsi="Book Antiqua" w:cs="Book Antiqua"/>
        </w:rPr>
        <w:t>. Best endoscopic stents for the biliary tree and pancreas. </w:t>
      </w:r>
      <w:r w:rsidRPr="000418FA">
        <w:rPr>
          <w:rFonts w:ascii="Book Antiqua" w:hAnsi="Book Antiqua" w:cs="Book Antiqua"/>
          <w:i/>
          <w:iCs/>
        </w:rPr>
        <w:t>Curr Opin Gastroenterol</w:t>
      </w:r>
      <w:r w:rsidRPr="000418FA">
        <w:rPr>
          <w:rFonts w:ascii="Book Antiqua" w:hAnsi="Book Antiqua" w:cs="Book Antiqua"/>
        </w:rPr>
        <w:t> 2014; </w:t>
      </w:r>
      <w:r w:rsidRPr="000418FA">
        <w:rPr>
          <w:rFonts w:ascii="Book Antiqua" w:hAnsi="Book Antiqua" w:cs="Book Antiqua"/>
          <w:b/>
          <w:bCs/>
        </w:rPr>
        <w:t>30</w:t>
      </w:r>
      <w:r w:rsidRPr="000418FA">
        <w:rPr>
          <w:rFonts w:ascii="Book Antiqua" w:hAnsi="Book Antiqua" w:cs="Book Antiqua"/>
        </w:rPr>
        <w:t>: 453-456 [PMID: 25010683 DOI: 10.1097/MOG.0000000000000100]</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27 </w:t>
      </w:r>
      <w:r w:rsidRPr="000418FA">
        <w:rPr>
          <w:rFonts w:ascii="Book Antiqua" w:hAnsi="Book Antiqua" w:cs="Book Antiqua"/>
          <w:b/>
          <w:bCs/>
        </w:rPr>
        <w:t>Itoi T</w:t>
      </w:r>
      <w:r w:rsidRPr="000418FA">
        <w:rPr>
          <w:rFonts w:ascii="Book Antiqua" w:hAnsi="Book Antiqua" w:cs="Book Antiqua"/>
        </w:rPr>
        <w:t xml:space="preserve">, Yamao K; </w:t>
      </w:r>
      <w:hyperlink r:id="rId8" w:history="1">
        <w:r w:rsidRPr="000418FA">
          <w:rPr>
            <w:rFonts w:ascii="Book Antiqua" w:hAnsi="Book Antiqua" w:cs="Book Antiqua"/>
          </w:rPr>
          <w:t>EUS 2008 Working Group</w:t>
        </w:r>
      </w:hyperlink>
      <w:r w:rsidRPr="000418FA">
        <w:rPr>
          <w:rFonts w:ascii="Book Antiqua" w:hAnsi="Book Antiqua" w:cs="Book Antiqua"/>
        </w:rPr>
        <w:t>. EUS 2008 Working Group document: evaluation of EUS-guided choledochoduodenostomy (with video). </w:t>
      </w:r>
      <w:r w:rsidRPr="000418FA">
        <w:rPr>
          <w:rFonts w:ascii="Book Antiqua" w:hAnsi="Book Antiqua" w:cs="Book Antiqua"/>
          <w:i/>
          <w:iCs/>
        </w:rPr>
        <w:t>Gastrointest Endosc</w:t>
      </w:r>
      <w:r w:rsidRPr="000418FA">
        <w:rPr>
          <w:rFonts w:ascii="Book Antiqua" w:hAnsi="Book Antiqua" w:cs="Book Antiqua"/>
        </w:rPr>
        <w:t> 2009; </w:t>
      </w:r>
      <w:r w:rsidRPr="000418FA">
        <w:rPr>
          <w:rFonts w:ascii="Book Antiqua" w:hAnsi="Book Antiqua" w:cs="Book Antiqua"/>
          <w:b/>
          <w:bCs/>
        </w:rPr>
        <w:t>69</w:t>
      </w:r>
      <w:r w:rsidRPr="000418FA">
        <w:rPr>
          <w:rFonts w:ascii="Book Antiqua" w:hAnsi="Book Antiqua" w:cs="Book Antiqua"/>
        </w:rPr>
        <w:t>: S8-12 [PMID: 19179177 DOI: 10.1016/j.gie.2008.11.003]</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rFonts w:ascii="Book Antiqua" w:hAnsi="Book Antiqua" w:cs="Book Antiqua"/>
        </w:rPr>
      </w:pPr>
      <w:r w:rsidRPr="000418FA">
        <w:rPr>
          <w:rFonts w:ascii="Book Antiqua" w:hAnsi="Book Antiqua" w:cs="Book Antiqua"/>
        </w:rPr>
        <w:t>28 </w:t>
      </w:r>
      <w:r w:rsidRPr="000418FA">
        <w:rPr>
          <w:rFonts w:ascii="Book Antiqua" w:hAnsi="Book Antiqua" w:cs="Book Antiqua"/>
          <w:b/>
          <w:bCs/>
        </w:rPr>
        <w:t>Khashab MA</w:t>
      </w:r>
      <w:r w:rsidRPr="000418FA">
        <w:rPr>
          <w:rFonts w:ascii="Book Antiqua" w:hAnsi="Book Antiqua" w:cs="Book Antiqua"/>
        </w:rPr>
        <w:t>, Dewitt J. EUS-guided biliary drainage: is it ready for prime time? Yes! </w:t>
      </w:r>
      <w:r w:rsidRPr="000418FA">
        <w:rPr>
          <w:rFonts w:ascii="Book Antiqua" w:hAnsi="Book Antiqua" w:cs="Book Antiqua"/>
          <w:i/>
          <w:iCs/>
        </w:rPr>
        <w:t>Gastrointest Endosc</w:t>
      </w:r>
      <w:r w:rsidRPr="000418FA">
        <w:rPr>
          <w:rFonts w:ascii="Book Antiqua" w:hAnsi="Book Antiqua" w:cs="Book Antiqua"/>
        </w:rPr>
        <w:t> 2013; </w:t>
      </w:r>
      <w:r w:rsidRPr="000418FA">
        <w:rPr>
          <w:rFonts w:ascii="Book Antiqua" w:hAnsi="Book Antiqua" w:cs="Book Antiqua"/>
          <w:b/>
          <w:bCs/>
        </w:rPr>
        <w:t>78</w:t>
      </w:r>
      <w:r w:rsidRPr="000418FA">
        <w:rPr>
          <w:rFonts w:ascii="Book Antiqua" w:hAnsi="Book Antiqua" w:cs="Book Antiqua"/>
        </w:rPr>
        <w:t>: 102-105 [PMID: 23820411 DOI: 10.1016/j.gie.2013.03.004]</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rPr>
          <w:lang w:eastAsia="zh-CN"/>
        </w:rPr>
      </w:pPr>
    </w:p>
    <w:p w:rsidR="0064697C" w:rsidRPr="000418FA" w:rsidRDefault="0064697C" w:rsidP="00EE4A62">
      <w:pPr>
        <w:pBdr>
          <w:top w:val="none" w:sz="0" w:space="0" w:color="auto"/>
          <w:left w:val="none" w:sz="0" w:space="0" w:color="auto"/>
          <w:bottom w:val="none" w:sz="0" w:space="0" w:color="auto"/>
          <w:right w:val="none" w:sz="0" w:space="0" w:color="auto"/>
          <w:bar w:val="none" w:sz="0" w:color="auto"/>
        </w:pBdr>
        <w:suppressAutoHyphens/>
        <w:spacing w:line="360" w:lineRule="auto"/>
        <w:ind w:left="31680" w:hangingChars="200" w:firstLine="31680"/>
        <w:jc w:val="right"/>
        <w:rPr>
          <w:rFonts w:ascii="Book Antiqua" w:hAnsi="Book Antiqua" w:cs="Book Antiqua"/>
          <w:color w:val="000000"/>
        </w:rPr>
      </w:pPr>
      <w:r w:rsidRPr="000418FA">
        <w:rPr>
          <w:rFonts w:ascii="Book Antiqua" w:hAnsi="Book Antiqua" w:cs="Book Antiqua"/>
          <w:b/>
          <w:bCs/>
        </w:rPr>
        <w:t>P- Reviewer:</w:t>
      </w:r>
      <w:r w:rsidRPr="000418FA">
        <w:rPr>
          <w:rFonts w:ascii="Book Antiqua" w:hAnsi="Book Antiqua" w:cs="Book Antiqua"/>
          <w:b/>
          <w:bCs/>
          <w:lang w:eastAsia="zh-CN"/>
        </w:rPr>
        <w:t xml:space="preserve"> </w:t>
      </w:r>
      <w:r w:rsidRPr="000418FA">
        <w:rPr>
          <w:rFonts w:ascii="Book Antiqua" w:hAnsi="Book Antiqua" w:cs="Book Antiqua"/>
        </w:rPr>
        <w:t xml:space="preserve">Altonbary AY </w:t>
      </w:r>
      <w:r w:rsidRPr="000418FA">
        <w:rPr>
          <w:rFonts w:ascii="Book Antiqua" w:hAnsi="Book Antiqua" w:cs="Book Antiqua"/>
          <w:color w:val="000000"/>
        </w:rPr>
        <w:t xml:space="preserve">    </w:t>
      </w:r>
      <w:r w:rsidRPr="000418FA">
        <w:rPr>
          <w:rFonts w:ascii="Book Antiqua" w:hAnsi="Book Antiqua" w:cs="Book Antiqua"/>
          <w:b/>
          <w:bCs/>
        </w:rPr>
        <w:t>S- Editor:</w:t>
      </w:r>
      <w:r w:rsidRPr="000418FA">
        <w:rPr>
          <w:rFonts w:ascii="Book Antiqua" w:hAnsi="Book Antiqua" w:cs="Book Antiqua"/>
        </w:rPr>
        <w:t xml:space="preserve"> Gong XM</w:t>
      </w:r>
    </w:p>
    <w:p w:rsidR="0064697C" w:rsidRPr="000418FA" w:rsidRDefault="0064697C" w:rsidP="00EE4A62">
      <w:pPr>
        <w:pBdr>
          <w:top w:val="none" w:sz="0" w:space="0" w:color="auto"/>
          <w:left w:val="none" w:sz="0" w:space="0" w:color="auto"/>
          <w:bottom w:val="none" w:sz="0" w:space="0" w:color="auto"/>
          <w:right w:val="none" w:sz="0" w:space="0" w:color="auto"/>
          <w:bar w:val="none" w:sz="0" w:color="auto"/>
        </w:pBdr>
        <w:suppressAutoHyphens/>
        <w:spacing w:line="360" w:lineRule="auto"/>
        <w:ind w:left="31680" w:hangingChars="200" w:firstLine="31680"/>
        <w:jc w:val="right"/>
        <w:rPr>
          <w:rFonts w:ascii="Book Antiqua" w:hAnsi="Book Antiqua" w:cs="Book Antiqua"/>
          <w:b/>
          <w:bCs/>
        </w:rPr>
      </w:pPr>
      <w:r w:rsidRPr="000418FA">
        <w:rPr>
          <w:rFonts w:ascii="Book Antiqua" w:hAnsi="Book Antiqua" w:cs="Book Antiqua"/>
          <w:b/>
          <w:bCs/>
        </w:rPr>
        <w:t xml:space="preserve"> L- Editor:</w:t>
      </w:r>
      <w:r w:rsidRPr="000418FA">
        <w:rPr>
          <w:rFonts w:ascii="Book Antiqua" w:hAnsi="Book Antiqua" w:cs="Book Antiqua"/>
        </w:rPr>
        <w:t xml:space="preserve"> </w:t>
      </w:r>
      <w:r w:rsidRPr="000418FA">
        <w:rPr>
          <w:rFonts w:ascii="Book Antiqua" w:hAnsi="Book Antiqua" w:cs="Book Antiqua"/>
          <w:b/>
          <w:bCs/>
        </w:rPr>
        <w:t>E- Editor:</w:t>
      </w:r>
    </w:p>
    <w:p w:rsidR="0064697C" w:rsidRPr="000418FA" w:rsidRDefault="0064697C" w:rsidP="001C10E0">
      <w:pPr>
        <w:pBdr>
          <w:top w:val="none" w:sz="0" w:space="0" w:color="auto"/>
          <w:left w:val="none" w:sz="0" w:space="0" w:color="auto"/>
          <w:bottom w:val="none" w:sz="0" w:space="0" w:color="auto"/>
          <w:right w:val="none" w:sz="0" w:space="0" w:color="auto"/>
          <w:bar w:val="none" w:sz="0" w:color="auto"/>
        </w:pBdr>
        <w:suppressAutoHyphens/>
        <w:spacing w:line="360" w:lineRule="auto"/>
        <w:jc w:val="both"/>
      </w:pPr>
      <w:r w:rsidRPr="000418FA">
        <w:br w:type="page"/>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EB12AE">
        <w:rPr>
          <w:rFonts w:ascii="Book Antiqua" w:hAnsi="Book Antiqua" w:cs="Book Antiqua"/>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i1025" type="#_x0000_t75" style="width:266.25pt;height:225pt;visibility:visible">
            <v:imagedata r:id="rId9" o:title=""/>
          </v:shape>
        </w:pic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Figure 1 Intra-hepatic cholangiography.</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br w:type="page"/>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EB12AE">
        <w:rPr>
          <w:rFonts w:ascii="Book Antiqua" w:hAnsi="Book Antiqua" w:cs="Book Antiqua"/>
          <w:noProof/>
          <w:sz w:val="24"/>
          <w:szCs w:val="24"/>
        </w:rPr>
        <w:pict>
          <v:shape id="Picture 2" o:spid="_x0000_i1026" type="#_x0000_t75" style="width:306pt;height:197.25pt;visibility:visible">
            <v:imagedata r:id="rId10" o:title=""/>
          </v:shape>
        </w:pic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Figure 2 Biliary puncture.</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sz w:val="24"/>
          <w:szCs w:val="24"/>
        </w:rPr>
        <w:br w:type="page"/>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 xml:space="preserve">      </w:t>
      </w:r>
      <w:r w:rsidRPr="00EB12AE">
        <w:rPr>
          <w:rFonts w:ascii="Book Antiqua" w:hAnsi="Book Antiqua" w:cs="Book Antiqua"/>
          <w:noProof/>
          <w:sz w:val="24"/>
          <w:szCs w:val="24"/>
        </w:rPr>
        <w:pict>
          <v:shape id="Picture 3" o:spid="_x0000_i1027" type="#_x0000_t75" style="width:273.75pt;height:252.75pt;visibility:visible">
            <v:imagedata r:id="rId11" o:title=""/>
          </v:shape>
        </w:pic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 xml:space="preserve">      </w:t>
      </w:r>
      <w:r w:rsidRPr="000418FA">
        <w:rPr>
          <w:rFonts w:ascii="Book Antiqua" w:hAnsi="Book Antiqua" w:cs="Book Antiqua"/>
          <w:b/>
          <w:bCs/>
          <w:sz w:val="24"/>
          <w:szCs w:val="24"/>
        </w:rPr>
        <w:t>Figure 3 Cholangiographic aspect after biliary stent release.</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r w:rsidRPr="000418FA">
        <w:rPr>
          <w:rFonts w:ascii="Book Antiqua" w:hAnsi="Book Antiqua" w:cs="Book Antiqua"/>
          <w:sz w:val="24"/>
          <w:szCs w:val="24"/>
        </w:rPr>
        <w:t xml:space="preserve">      </w:t>
      </w:r>
    </w:p>
    <w:p w:rsidR="0064697C" w:rsidRPr="000418FA"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noProof/>
          <w:sz w:val="24"/>
          <w:szCs w:val="24"/>
        </w:rPr>
      </w:pPr>
      <w:r w:rsidRPr="000418FA">
        <w:rPr>
          <w:rFonts w:ascii="Book Antiqua" w:hAnsi="Book Antiqua" w:cs="Book Antiqua"/>
          <w:sz w:val="24"/>
          <w:szCs w:val="24"/>
        </w:rPr>
        <w:br w:type="page"/>
      </w:r>
      <w:r w:rsidRPr="00EB12AE">
        <w:rPr>
          <w:rFonts w:ascii="Book Antiqua" w:hAnsi="Book Antiqua" w:cs="Book Antiqua"/>
          <w:noProof/>
          <w:sz w:val="24"/>
          <w:szCs w:val="24"/>
        </w:rPr>
        <w:pict>
          <v:shape id="Picture 4" o:spid="_x0000_i1028" type="#_x0000_t75" style="width:255pt;height:229.5pt;visibility:visible">
            <v:imagedata r:id="rId12" o:title=""/>
          </v:shape>
        </w:pict>
      </w:r>
    </w:p>
    <w:p w:rsidR="0064697C" w:rsidRPr="00795BE9"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b/>
          <w:bCs/>
          <w:sz w:val="24"/>
          <w:szCs w:val="24"/>
        </w:rPr>
      </w:pPr>
      <w:r w:rsidRPr="000418FA">
        <w:rPr>
          <w:rFonts w:ascii="Book Antiqua" w:hAnsi="Book Antiqua" w:cs="Book Antiqua"/>
          <w:b/>
          <w:bCs/>
          <w:sz w:val="24"/>
          <w:szCs w:val="24"/>
        </w:rPr>
        <w:t>Figure 4 Endoscopic final aspect.</w:t>
      </w:r>
      <w:r w:rsidRPr="00795BE9">
        <w:rPr>
          <w:rFonts w:ascii="Book Antiqua" w:hAnsi="Book Antiqua" w:cs="Book Antiqua"/>
          <w:b/>
          <w:bCs/>
          <w:sz w:val="24"/>
          <w:szCs w:val="24"/>
        </w:rPr>
        <w:t xml:space="preserve"> </w:t>
      </w:r>
    </w:p>
    <w:p w:rsidR="0064697C" w:rsidRPr="00795BE9" w:rsidRDefault="0064697C" w:rsidP="001C10E0">
      <w:pPr>
        <w:pStyle w:val="CorpoA"/>
        <w:pBdr>
          <w:top w:val="none" w:sz="0" w:space="0" w:color="auto"/>
          <w:left w:val="none" w:sz="0" w:space="0" w:color="auto"/>
          <w:bottom w:val="none" w:sz="0" w:space="0" w:color="auto"/>
          <w:right w:val="none" w:sz="0" w:space="0" w:color="auto"/>
          <w:bar w:val="none" w:sz="0" w:color="auto"/>
        </w:pBdr>
        <w:suppressAutoHyphens/>
        <w:spacing w:after="0" w:line="360" w:lineRule="auto"/>
        <w:jc w:val="both"/>
        <w:rPr>
          <w:rFonts w:ascii="Book Antiqua" w:hAnsi="Book Antiqua" w:cs="Book Antiqua"/>
          <w:sz w:val="24"/>
          <w:szCs w:val="24"/>
        </w:rPr>
      </w:pPr>
    </w:p>
    <w:sectPr w:rsidR="0064697C" w:rsidRPr="00795BE9" w:rsidSect="000218EE">
      <w:headerReference w:type="default" r:id="rId13"/>
      <w:footerReference w:type="default" r:id="rId14"/>
      <w:pgSz w:w="11900" w:h="16840" w:code="9"/>
      <w:pgMar w:top="1418" w:right="1418" w:bottom="1418"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97C" w:rsidRDefault="0064697C" w:rsidP="00F11F7D">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64697C" w:rsidRDefault="0064697C" w:rsidP="00F11F7D">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97C" w:rsidRDefault="0064697C" w:rsidP="008E0929">
    <w:pPr>
      <w:pStyle w:val="Footer"/>
      <w:framePr w:wrap="auto" w:vAnchor="text" w:hAnchor="margin" w:xAlign="center" w:y="1"/>
      <w:pBdr>
        <w:top w:val="none" w:sz="0" w:space="0" w:color="auto"/>
        <w:left w:val="none" w:sz="0" w:space="0" w:color="auto"/>
        <w:bottom w:val="none" w:sz="0" w:space="0" w:color="auto"/>
        <w:right w:val="none" w:sz="0" w:space="0" w:color="auto"/>
        <w:bar w:val="none" w:sz="0" w:color="auto"/>
      </w:pBd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4697C" w:rsidRDefault="0064697C">
    <w:pPr>
      <w:pStyle w:val="CabealhoeRodap"/>
      <w:pBdr>
        <w:top w:val="none" w:sz="0" w:space="0" w:color="auto"/>
        <w:left w:val="none" w:sz="0" w:space="0" w:color="auto"/>
        <w:bottom w:val="none" w:sz="0" w:space="0" w:color="auto"/>
        <w:right w:val="none" w:sz="0" w:space="0" w:color="auto"/>
        <w:bar w:val="none" w:sz="0" w:color="auto"/>
      </w:pBd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97C" w:rsidRDefault="0064697C" w:rsidP="00F11F7D">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64697C" w:rsidRDefault="0064697C" w:rsidP="00F11F7D">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97C" w:rsidRDefault="0064697C">
    <w:pPr>
      <w:pStyle w:val="CabealhoeRodap"/>
      <w:pBdr>
        <w:top w:val="none" w:sz="0" w:space="0" w:color="auto"/>
        <w:left w:val="none" w:sz="0" w:space="0" w:color="auto"/>
        <w:bottom w:val="none" w:sz="0" w:space="0" w:color="auto"/>
        <w:right w:val="none" w:sz="0" w:space="0" w:color="auto"/>
        <w:bar w:val="none" w:sz="0" w:color="auto"/>
      </w:pBd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221AE"/>
    <w:multiLevelType w:val="multilevel"/>
    <w:tmpl w:val="FFFFFFFF"/>
    <w:lvl w:ilvl="0">
      <w:start w:val="1"/>
      <w:numFmt w:val="decimal"/>
      <w:lvlText w:val="%1."/>
      <w:lvlJc w:val="left"/>
      <w:pPr>
        <w:tabs>
          <w:tab w:val="num" w:pos="720"/>
        </w:tabs>
        <w:ind w:left="720" w:hanging="360"/>
      </w:pPr>
      <w:rPr>
        <w:rFonts w:cs="Times New Roman"/>
        <w:position w:val="0"/>
        <w:sz w:val="22"/>
        <w:szCs w:val="22"/>
      </w:rPr>
    </w:lvl>
    <w:lvl w:ilvl="1">
      <w:start w:val="1"/>
      <w:numFmt w:val="lowerLetter"/>
      <w:lvlText w:val="%2."/>
      <w:lvlJc w:val="left"/>
      <w:pPr>
        <w:tabs>
          <w:tab w:val="num" w:pos="95"/>
        </w:tabs>
      </w:pPr>
      <w:rPr>
        <w:rFonts w:cs="Times New Roman"/>
        <w:position w:val="0"/>
        <w:sz w:val="22"/>
        <w:szCs w:val="22"/>
      </w:rPr>
    </w:lvl>
    <w:lvl w:ilvl="2">
      <w:start w:val="1"/>
      <w:numFmt w:val="lowerRoman"/>
      <w:lvlText w:val="%3."/>
      <w:lvlJc w:val="left"/>
      <w:pPr>
        <w:tabs>
          <w:tab w:val="num" w:pos="95"/>
        </w:tabs>
      </w:pPr>
      <w:rPr>
        <w:rFonts w:cs="Times New Roman"/>
        <w:position w:val="0"/>
        <w:sz w:val="22"/>
        <w:szCs w:val="22"/>
      </w:rPr>
    </w:lvl>
    <w:lvl w:ilvl="3">
      <w:start w:val="1"/>
      <w:numFmt w:val="decimal"/>
      <w:lvlText w:val="%4."/>
      <w:lvlJc w:val="left"/>
      <w:pPr>
        <w:tabs>
          <w:tab w:val="num" w:pos="95"/>
        </w:tabs>
      </w:pPr>
      <w:rPr>
        <w:rFonts w:cs="Times New Roman"/>
        <w:position w:val="0"/>
        <w:sz w:val="22"/>
        <w:szCs w:val="22"/>
      </w:rPr>
    </w:lvl>
    <w:lvl w:ilvl="4">
      <w:start w:val="1"/>
      <w:numFmt w:val="lowerLetter"/>
      <w:lvlText w:val="%5."/>
      <w:lvlJc w:val="left"/>
      <w:pPr>
        <w:tabs>
          <w:tab w:val="num" w:pos="95"/>
        </w:tabs>
      </w:pPr>
      <w:rPr>
        <w:rFonts w:cs="Times New Roman"/>
        <w:position w:val="0"/>
        <w:sz w:val="22"/>
        <w:szCs w:val="22"/>
      </w:rPr>
    </w:lvl>
    <w:lvl w:ilvl="5">
      <w:start w:val="1"/>
      <w:numFmt w:val="lowerRoman"/>
      <w:lvlText w:val="%6."/>
      <w:lvlJc w:val="left"/>
      <w:pPr>
        <w:tabs>
          <w:tab w:val="num" w:pos="95"/>
        </w:tabs>
      </w:pPr>
      <w:rPr>
        <w:rFonts w:cs="Times New Roman"/>
        <w:position w:val="0"/>
        <w:sz w:val="22"/>
        <w:szCs w:val="22"/>
      </w:rPr>
    </w:lvl>
    <w:lvl w:ilvl="6">
      <w:start w:val="1"/>
      <w:numFmt w:val="decimal"/>
      <w:lvlText w:val="%7."/>
      <w:lvlJc w:val="left"/>
      <w:pPr>
        <w:tabs>
          <w:tab w:val="num" w:pos="95"/>
        </w:tabs>
      </w:pPr>
      <w:rPr>
        <w:rFonts w:cs="Times New Roman"/>
        <w:position w:val="0"/>
        <w:sz w:val="22"/>
        <w:szCs w:val="22"/>
      </w:rPr>
    </w:lvl>
    <w:lvl w:ilvl="7">
      <w:start w:val="1"/>
      <w:numFmt w:val="lowerLetter"/>
      <w:lvlText w:val="%8."/>
      <w:lvlJc w:val="left"/>
      <w:pPr>
        <w:tabs>
          <w:tab w:val="num" w:pos="95"/>
        </w:tabs>
      </w:pPr>
      <w:rPr>
        <w:rFonts w:cs="Times New Roman"/>
        <w:position w:val="0"/>
        <w:sz w:val="22"/>
        <w:szCs w:val="22"/>
      </w:rPr>
    </w:lvl>
    <w:lvl w:ilvl="8">
      <w:start w:val="1"/>
      <w:numFmt w:val="lowerRoman"/>
      <w:lvlText w:val="%9."/>
      <w:lvlJc w:val="left"/>
      <w:pPr>
        <w:tabs>
          <w:tab w:val="num" w:pos="95"/>
        </w:tabs>
      </w:pPr>
      <w:rPr>
        <w:rFonts w:cs="Times New Roman"/>
        <w:position w:val="0"/>
        <w:sz w:val="22"/>
        <w:szCs w:val="22"/>
      </w:rPr>
    </w:lvl>
  </w:abstractNum>
  <w:abstractNum w:abstractNumId="1">
    <w:nsid w:val="48245B2C"/>
    <w:multiLevelType w:val="multilevel"/>
    <w:tmpl w:val="FFFFFFFF"/>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2">
    <w:nsid w:val="733E6D84"/>
    <w:multiLevelType w:val="multilevel"/>
    <w:tmpl w:val="96C8E558"/>
    <w:styleLink w:val="List0"/>
    <w:lvl w:ilvl="0">
      <w:start w:val="1"/>
      <w:numFmt w:val="decimal"/>
      <w:lvlText w:val="%1"/>
      <w:lvlJc w:val="left"/>
      <w:pPr>
        <w:tabs>
          <w:tab w:val="num" w:pos="360"/>
        </w:tabs>
        <w:ind w:left="360" w:hanging="360"/>
      </w:pPr>
      <w:rPr>
        <w:rFonts w:ascii="Times New Roman" w:eastAsia="Times New Roman" w:hAnsi="Times New Roman" w:cs="Times New Roman"/>
        <w:position w:val="0"/>
        <w:sz w:val="22"/>
        <w:szCs w:val="22"/>
      </w:rPr>
    </w:lvl>
    <w:lvl w:ilvl="1">
      <w:start w:val="1"/>
      <w:numFmt w:val="lowerLetter"/>
      <w:lvlText w:val="%2."/>
      <w:lvlJc w:val="left"/>
      <w:pPr>
        <w:tabs>
          <w:tab w:val="num" w:pos="-265"/>
        </w:tabs>
      </w:pPr>
      <w:rPr>
        <w:rFonts w:cs="Times New Roman"/>
        <w:position w:val="0"/>
        <w:sz w:val="22"/>
        <w:szCs w:val="22"/>
      </w:rPr>
    </w:lvl>
    <w:lvl w:ilvl="2">
      <w:start w:val="1"/>
      <w:numFmt w:val="lowerRoman"/>
      <w:lvlText w:val="%3."/>
      <w:lvlJc w:val="left"/>
      <w:pPr>
        <w:tabs>
          <w:tab w:val="num" w:pos="-265"/>
        </w:tabs>
      </w:pPr>
      <w:rPr>
        <w:rFonts w:cs="Times New Roman"/>
        <w:position w:val="0"/>
        <w:sz w:val="22"/>
        <w:szCs w:val="22"/>
      </w:rPr>
    </w:lvl>
    <w:lvl w:ilvl="3">
      <w:start w:val="1"/>
      <w:numFmt w:val="decimal"/>
      <w:lvlText w:val="%4."/>
      <w:lvlJc w:val="left"/>
      <w:pPr>
        <w:tabs>
          <w:tab w:val="num" w:pos="-265"/>
        </w:tabs>
      </w:pPr>
      <w:rPr>
        <w:rFonts w:cs="Times New Roman"/>
        <w:position w:val="0"/>
        <w:sz w:val="22"/>
        <w:szCs w:val="22"/>
      </w:rPr>
    </w:lvl>
    <w:lvl w:ilvl="4">
      <w:start w:val="1"/>
      <w:numFmt w:val="lowerLetter"/>
      <w:lvlText w:val="%5."/>
      <w:lvlJc w:val="left"/>
      <w:pPr>
        <w:tabs>
          <w:tab w:val="num" w:pos="-265"/>
        </w:tabs>
      </w:pPr>
      <w:rPr>
        <w:rFonts w:cs="Times New Roman"/>
        <w:position w:val="0"/>
        <w:sz w:val="22"/>
        <w:szCs w:val="22"/>
      </w:rPr>
    </w:lvl>
    <w:lvl w:ilvl="5">
      <w:start w:val="1"/>
      <w:numFmt w:val="lowerRoman"/>
      <w:lvlText w:val="%6."/>
      <w:lvlJc w:val="left"/>
      <w:pPr>
        <w:tabs>
          <w:tab w:val="num" w:pos="-265"/>
        </w:tabs>
      </w:pPr>
      <w:rPr>
        <w:rFonts w:cs="Times New Roman"/>
        <w:position w:val="0"/>
        <w:sz w:val="22"/>
        <w:szCs w:val="22"/>
      </w:rPr>
    </w:lvl>
    <w:lvl w:ilvl="6">
      <w:start w:val="1"/>
      <w:numFmt w:val="decimal"/>
      <w:lvlText w:val="%7."/>
      <w:lvlJc w:val="left"/>
      <w:pPr>
        <w:tabs>
          <w:tab w:val="num" w:pos="-265"/>
        </w:tabs>
      </w:pPr>
      <w:rPr>
        <w:rFonts w:cs="Times New Roman"/>
        <w:position w:val="0"/>
        <w:sz w:val="22"/>
        <w:szCs w:val="22"/>
      </w:rPr>
    </w:lvl>
    <w:lvl w:ilvl="7">
      <w:start w:val="1"/>
      <w:numFmt w:val="lowerLetter"/>
      <w:lvlText w:val="%8."/>
      <w:lvlJc w:val="left"/>
      <w:pPr>
        <w:tabs>
          <w:tab w:val="num" w:pos="-265"/>
        </w:tabs>
      </w:pPr>
      <w:rPr>
        <w:rFonts w:cs="Times New Roman"/>
        <w:position w:val="0"/>
        <w:sz w:val="22"/>
        <w:szCs w:val="22"/>
      </w:rPr>
    </w:lvl>
    <w:lvl w:ilvl="8">
      <w:start w:val="1"/>
      <w:numFmt w:val="lowerRoman"/>
      <w:lvlText w:val="%9."/>
      <w:lvlJc w:val="left"/>
      <w:pPr>
        <w:tabs>
          <w:tab w:val="num" w:pos="-265"/>
        </w:tabs>
      </w:pPr>
      <w:rPr>
        <w:rFonts w:cs="Times New Roman"/>
        <w:position w:val="0"/>
        <w:sz w:val="22"/>
        <w:szCs w:val="22"/>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08"/>
  <w:autoHyphenation/>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1F7D"/>
    <w:rsid w:val="000218EE"/>
    <w:rsid w:val="00023986"/>
    <w:rsid w:val="000418FA"/>
    <w:rsid w:val="000A3BD8"/>
    <w:rsid w:val="00190D0F"/>
    <w:rsid w:val="0019186B"/>
    <w:rsid w:val="001B215C"/>
    <w:rsid w:val="001C10E0"/>
    <w:rsid w:val="0021305E"/>
    <w:rsid w:val="00235CD4"/>
    <w:rsid w:val="002934D3"/>
    <w:rsid w:val="002A5937"/>
    <w:rsid w:val="0030311B"/>
    <w:rsid w:val="0031568F"/>
    <w:rsid w:val="00316E8B"/>
    <w:rsid w:val="00362757"/>
    <w:rsid w:val="003B54FE"/>
    <w:rsid w:val="003C0498"/>
    <w:rsid w:val="00405A23"/>
    <w:rsid w:val="00405B3C"/>
    <w:rsid w:val="00426419"/>
    <w:rsid w:val="004D632C"/>
    <w:rsid w:val="004E1EAF"/>
    <w:rsid w:val="0056014C"/>
    <w:rsid w:val="0056451E"/>
    <w:rsid w:val="005A1E77"/>
    <w:rsid w:val="005B7714"/>
    <w:rsid w:val="005C4349"/>
    <w:rsid w:val="0064697C"/>
    <w:rsid w:val="00647202"/>
    <w:rsid w:val="006E0538"/>
    <w:rsid w:val="007015C7"/>
    <w:rsid w:val="007920C5"/>
    <w:rsid w:val="00795BE9"/>
    <w:rsid w:val="00873B7B"/>
    <w:rsid w:val="008844C4"/>
    <w:rsid w:val="008A25B1"/>
    <w:rsid w:val="008A53B5"/>
    <w:rsid w:val="008C6D73"/>
    <w:rsid w:val="008D5745"/>
    <w:rsid w:val="008D7B3A"/>
    <w:rsid w:val="008E0929"/>
    <w:rsid w:val="00905897"/>
    <w:rsid w:val="00996A4C"/>
    <w:rsid w:val="009B2D66"/>
    <w:rsid w:val="00A218D5"/>
    <w:rsid w:val="00A37D23"/>
    <w:rsid w:val="00A566B6"/>
    <w:rsid w:val="00BD17E8"/>
    <w:rsid w:val="00C14AF8"/>
    <w:rsid w:val="00CF5980"/>
    <w:rsid w:val="00D00627"/>
    <w:rsid w:val="00D25F78"/>
    <w:rsid w:val="00D40EDC"/>
    <w:rsid w:val="00D61B21"/>
    <w:rsid w:val="00D9144F"/>
    <w:rsid w:val="00DB7E1B"/>
    <w:rsid w:val="00E076E8"/>
    <w:rsid w:val="00E25028"/>
    <w:rsid w:val="00E81CA1"/>
    <w:rsid w:val="00EB12AE"/>
    <w:rsid w:val="00ED2FBE"/>
    <w:rsid w:val="00EE0757"/>
    <w:rsid w:val="00EE4A62"/>
    <w:rsid w:val="00F11F7D"/>
    <w:rsid w:val="00F1750F"/>
    <w:rsid w:val="00FC059A"/>
    <w:rsid w:val="00FF12D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F7D"/>
    <w:pPr>
      <w:pBdr>
        <w:top w:val="none" w:sz="96" w:space="31" w:color="FFFFFF" w:frame="1"/>
        <w:left w:val="none" w:sz="96" w:space="31" w:color="FFFFFF" w:frame="1"/>
        <w:bottom w:val="none" w:sz="96" w:space="31" w:color="FFFFFF" w:frame="1"/>
        <w:right w:val="none" w:sz="96" w:space="31" w:color="FFFFFF" w:frame="1"/>
        <w:bar w:val="none" w:sz="0" w:color="000000"/>
      </w:pBdr>
    </w:pPr>
    <w:rPr>
      <w:kern w:val="0"/>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11F7D"/>
    <w:rPr>
      <w:rFonts w:cs="Times New Roman"/>
      <w:u w:val="single"/>
    </w:rPr>
  </w:style>
  <w:style w:type="paragraph" w:customStyle="1" w:styleId="CabealhoeRodap">
    <w:name w:val="Cabeçalho e Rodap¡¡¡¡¡¡¡¡¡¡¡¡ì¬¬¬¬¬¦"/>
    <w:uiPriority w:val="99"/>
    <w:rsid w:val="00F11F7D"/>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Times New Roman" w:hAnsi="Arial Unicode MS" w:cs="Helvetica"/>
      <w:color w:val="000000"/>
      <w:kern w:val="0"/>
      <w:sz w:val="24"/>
      <w:szCs w:val="24"/>
    </w:rPr>
  </w:style>
  <w:style w:type="paragraph" w:customStyle="1" w:styleId="CorpoA">
    <w:name w:val="Corpo A"/>
    <w:uiPriority w:val="99"/>
    <w:rsid w:val="00F11F7D"/>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ascii="Calibri" w:hAnsi="Calibri" w:cs="Calibri"/>
      <w:color w:val="000000"/>
      <w:kern w:val="0"/>
      <w:sz w:val="22"/>
      <w:u w:color="000000"/>
    </w:rPr>
  </w:style>
  <w:style w:type="paragraph" w:styleId="ListParagraph">
    <w:name w:val="List Paragraph"/>
    <w:basedOn w:val="Normal"/>
    <w:uiPriority w:val="99"/>
    <w:qFormat/>
    <w:rsid w:val="00F11F7D"/>
    <w:pPr>
      <w:spacing w:after="160" w:line="259" w:lineRule="auto"/>
      <w:ind w:left="720"/>
    </w:pPr>
    <w:rPr>
      <w:rFonts w:ascii="Calibri" w:hAnsi="Calibri" w:cs="Calibri"/>
      <w:color w:val="000000"/>
      <w:sz w:val="22"/>
      <w:szCs w:val="22"/>
      <w:u w:color="000000"/>
      <w:lang w:val="pt-PT" w:eastAsia="zh-CN"/>
    </w:rPr>
  </w:style>
  <w:style w:type="paragraph" w:customStyle="1" w:styleId="EndNoteBibliography">
    <w:name w:val="EndNote Bibliography"/>
    <w:uiPriority w:val="99"/>
    <w:rsid w:val="00F11F7D"/>
    <w:pPr>
      <w:pBdr>
        <w:top w:val="none" w:sz="96" w:space="31" w:color="FFFFFF" w:frame="1"/>
        <w:left w:val="none" w:sz="96" w:space="31" w:color="FFFFFF" w:frame="1"/>
        <w:bottom w:val="none" w:sz="96" w:space="31" w:color="FFFFFF" w:frame="1"/>
        <w:right w:val="none" w:sz="96" w:space="31" w:color="FFFFFF" w:frame="1"/>
        <w:bar w:val="none" w:sz="0" w:color="000000"/>
      </w:pBdr>
      <w:spacing w:after="160"/>
      <w:jc w:val="both"/>
    </w:pPr>
    <w:rPr>
      <w:rFonts w:ascii="Calibri" w:hAnsi="Calibri" w:cs="Calibri"/>
      <w:color w:val="000000"/>
      <w:kern w:val="0"/>
      <w:sz w:val="22"/>
      <w:u w:color="000000"/>
    </w:rPr>
  </w:style>
  <w:style w:type="paragraph" w:styleId="Footer">
    <w:name w:val="footer"/>
    <w:basedOn w:val="Normal"/>
    <w:link w:val="FooterChar"/>
    <w:uiPriority w:val="99"/>
    <w:rsid w:val="008A53B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semiHidden/>
    <w:locked/>
    <w:rsid w:val="008C6D73"/>
    <w:rPr>
      <w:rFonts w:cs="Times New Roman"/>
      <w:kern w:val="0"/>
      <w:sz w:val="18"/>
      <w:szCs w:val="18"/>
      <w:lang w:eastAsia="en-US"/>
    </w:rPr>
  </w:style>
  <w:style w:type="character" w:styleId="PageNumber">
    <w:name w:val="page number"/>
    <w:basedOn w:val="DefaultParagraphFont"/>
    <w:uiPriority w:val="99"/>
    <w:rsid w:val="008A53B5"/>
    <w:rPr>
      <w:rFonts w:cs="Times New Roman"/>
    </w:rPr>
  </w:style>
  <w:style w:type="character" w:styleId="Emphasis">
    <w:name w:val="Emphasis"/>
    <w:basedOn w:val="DefaultParagraphFont"/>
    <w:uiPriority w:val="99"/>
    <w:qFormat/>
    <w:locked/>
    <w:rsid w:val="007920C5"/>
    <w:rPr>
      <w:rFonts w:ascii="Book Antiqua" w:hAnsi="Book Antiqua" w:cs="Times New Roman"/>
      <w:sz w:val="24"/>
    </w:rPr>
  </w:style>
  <w:style w:type="numbering" w:customStyle="1" w:styleId="List0">
    <w:name w:val="List 0"/>
    <w:rsid w:val="00216E61"/>
    <w:pPr>
      <w:numPr>
        <w:numId w:val="3"/>
      </w:numPr>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EUS%202008%20Working%20Group%5BCorporate%20Author%5D"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cbi.nlm.nih.gov/pubmed/?term=InEBD%20STUDY%20GROUP%5BCorporate%20Author%5D"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18</Pages>
  <Words>3738</Words>
  <Characters>21313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Xue-Mei Gong</cp:lastModifiedBy>
  <cp:revision>3</cp:revision>
  <dcterms:created xsi:type="dcterms:W3CDTF">2015-09-17T18:03:00Z</dcterms:created>
  <dcterms:modified xsi:type="dcterms:W3CDTF">2015-09-18T02:30:00Z</dcterms:modified>
</cp:coreProperties>
</file>