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8B86B" w14:textId="5EC38856" w:rsidR="00BD341F" w:rsidRPr="007D5B4E" w:rsidRDefault="00BD341F" w:rsidP="00240E68">
      <w:pPr>
        <w:spacing w:after="0" w:line="360" w:lineRule="auto"/>
        <w:jc w:val="both"/>
        <w:rPr>
          <w:rFonts w:ascii="Book Antiqua" w:eastAsia="宋体" w:hAnsi="Book Antiqua"/>
          <w:b/>
          <w:lang w:eastAsia="zh-CN"/>
        </w:rPr>
      </w:pPr>
      <w:r w:rsidRPr="007D5B4E">
        <w:rPr>
          <w:rFonts w:ascii="Book Antiqua" w:eastAsia="宋体" w:hAnsi="Book Antiqua"/>
          <w:b/>
          <w:lang w:eastAsia="zh-CN"/>
        </w:rPr>
        <w:t>Name of journal: World Journal of Clinical Oncology</w:t>
      </w:r>
    </w:p>
    <w:p w14:paraId="2987C474" w14:textId="01CA4990" w:rsidR="00BD341F" w:rsidRPr="007D5B4E" w:rsidRDefault="00BD341F" w:rsidP="00240E68">
      <w:pPr>
        <w:spacing w:after="0" w:line="360" w:lineRule="auto"/>
        <w:jc w:val="both"/>
        <w:rPr>
          <w:rFonts w:ascii="Book Antiqua" w:eastAsia="宋体" w:hAnsi="Book Antiqua"/>
          <w:b/>
          <w:lang w:eastAsia="zh-CN"/>
        </w:rPr>
      </w:pPr>
      <w:r w:rsidRPr="007D5B4E">
        <w:rPr>
          <w:rFonts w:ascii="Book Antiqua" w:eastAsia="宋体" w:hAnsi="Book Antiqua"/>
          <w:b/>
          <w:lang w:eastAsia="zh-CN"/>
        </w:rPr>
        <w:t>ESPS Manuscript NO: 19304</w:t>
      </w:r>
    </w:p>
    <w:p w14:paraId="1B434983" w14:textId="6C4F2790" w:rsidR="00BD341F" w:rsidRPr="007D5B4E" w:rsidRDefault="00BD341F" w:rsidP="00240E68">
      <w:pPr>
        <w:spacing w:after="0" w:line="360" w:lineRule="auto"/>
        <w:jc w:val="both"/>
        <w:rPr>
          <w:rFonts w:ascii="Book Antiqua" w:eastAsia="宋体" w:hAnsi="Book Antiqua"/>
          <w:b/>
          <w:lang w:eastAsia="zh-CN"/>
        </w:rPr>
      </w:pPr>
      <w:r w:rsidRPr="007D5B4E">
        <w:rPr>
          <w:rFonts w:ascii="Book Antiqua" w:eastAsia="宋体" w:hAnsi="Book Antiqua"/>
          <w:b/>
          <w:lang w:eastAsia="zh-CN"/>
        </w:rPr>
        <w:t>Columns: MINIREVIEWS</w:t>
      </w:r>
    </w:p>
    <w:p w14:paraId="08D7E4C8" w14:textId="77777777" w:rsidR="006A05BF" w:rsidRPr="007D5B4E" w:rsidRDefault="006A05BF" w:rsidP="00240E68">
      <w:pPr>
        <w:spacing w:after="0" w:line="360" w:lineRule="auto"/>
        <w:jc w:val="both"/>
        <w:rPr>
          <w:rFonts w:ascii="Book Antiqua" w:eastAsia="宋体" w:hAnsi="Book Antiqua"/>
          <w:lang w:eastAsia="zh-CN"/>
        </w:rPr>
      </w:pPr>
    </w:p>
    <w:p w14:paraId="0E1AAFC3" w14:textId="6A467DB1" w:rsidR="00F950CC" w:rsidRPr="007D5B4E" w:rsidRDefault="00F950CC" w:rsidP="00240E68">
      <w:pPr>
        <w:spacing w:after="0" w:line="360" w:lineRule="auto"/>
        <w:jc w:val="both"/>
        <w:rPr>
          <w:rFonts w:ascii="Book Antiqua" w:eastAsia="宋体" w:hAnsi="Book Antiqua"/>
          <w:b/>
          <w:color w:val="000000" w:themeColor="text1"/>
          <w:lang w:eastAsia="zh-CN"/>
        </w:rPr>
      </w:pPr>
      <w:r w:rsidRPr="007D5B4E">
        <w:rPr>
          <w:rFonts w:ascii="Book Antiqua" w:hAnsi="Book Antiqua"/>
          <w:b/>
          <w:color w:val="000000" w:themeColor="text1"/>
        </w:rPr>
        <w:t xml:space="preserve">Colon </w:t>
      </w:r>
      <w:r w:rsidR="00AD766A" w:rsidRPr="007D5B4E">
        <w:rPr>
          <w:rFonts w:ascii="Book Antiqua" w:hAnsi="Book Antiqua"/>
          <w:b/>
          <w:color w:val="000000" w:themeColor="text1"/>
        </w:rPr>
        <w:t>c</w:t>
      </w:r>
      <w:r w:rsidRPr="007D5B4E">
        <w:rPr>
          <w:rFonts w:ascii="Book Antiqua" w:hAnsi="Book Antiqua"/>
          <w:b/>
          <w:color w:val="000000" w:themeColor="text1"/>
        </w:rPr>
        <w:t xml:space="preserve">ancer and the </w:t>
      </w:r>
      <w:r w:rsidR="00AD766A" w:rsidRPr="007D5B4E">
        <w:rPr>
          <w:rFonts w:ascii="Book Antiqua" w:hAnsi="Book Antiqua"/>
          <w:b/>
        </w:rPr>
        <w:t xml:space="preserve">epidermal growth factor </w:t>
      </w:r>
      <w:r w:rsidR="00AD766A" w:rsidRPr="007D5B4E">
        <w:rPr>
          <w:rFonts w:ascii="Book Antiqua" w:hAnsi="Book Antiqua"/>
          <w:b/>
          <w:color w:val="000000" w:themeColor="text1"/>
        </w:rPr>
        <w:t>r</w:t>
      </w:r>
      <w:r w:rsidRPr="007D5B4E">
        <w:rPr>
          <w:rFonts w:ascii="Book Antiqua" w:hAnsi="Book Antiqua"/>
          <w:b/>
          <w:color w:val="000000" w:themeColor="text1"/>
        </w:rPr>
        <w:t xml:space="preserve">eceptor: Current </w:t>
      </w:r>
      <w:r w:rsidR="00AD766A" w:rsidRPr="007D5B4E">
        <w:rPr>
          <w:rFonts w:ascii="Book Antiqua" w:hAnsi="Book Antiqua"/>
          <w:b/>
          <w:color w:val="000000" w:themeColor="text1"/>
        </w:rPr>
        <w:t>treatment paradigms, the importance of diet, and the role of chemoprevention</w:t>
      </w:r>
    </w:p>
    <w:p w14:paraId="7F67E334" w14:textId="77777777" w:rsidR="00BD341F" w:rsidRPr="007D5B4E" w:rsidRDefault="00BD341F" w:rsidP="00240E68">
      <w:pPr>
        <w:spacing w:after="0" w:line="360" w:lineRule="auto"/>
        <w:jc w:val="both"/>
        <w:rPr>
          <w:rFonts w:ascii="Book Antiqua" w:eastAsia="宋体" w:hAnsi="Book Antiqua"/>
          <w:color w:val="000000" w:themeColor="text1"/>
          <w:lang w:eastAsia="zh-CN"/>
        </w:rPr>
      </w:pPr>
    </w:p>
    <w:p w14:paraId="4710A2A6" w14:textId="06145A2D" w:rsidR="00BD341F" w:rsidRPr="007D5B4E" w:rsidRDefault="00093D70" w:rsidP="00240E68">
      <w:pPr>
        <w:tabs>
          <w:tab w:val="left" w:pos="1170"/>
        </w:tabs>
        <w:spacing w:after="0" w:line="360" w:lineRule="auto"/>
        <w:jc w:val="both"/>
        <w:rPr>
          <w:rFonts w:ascii="Book Antiqua" w:eastAsia="宋体" w:hAnsi="Book Antiqua"/>
          <w:color w:val="000000" w:themeColor="text1"/>
          <w:lang w:eastAsia="zh-CN"/>
        </w:rPr>
      </w:pPr>
      <w:proofErr w:type="spellStart"/>
      <w:r w:rsidRPr="007D5B4E">
        <w:rPr>
          <w:rFonts w:ascii="Book Antiqua" w:eastAsia="宋体" w:hAnsi="Book Antiqua"/>
          <w:color w:val="000000" w:themeColor="text1"/>
          <w:lang w:eastAsia="zh-CN"/>
        </w:rPr>
        <w:t>Pabla</w:t>
      </w:r>
      <w:proofErr w:type="spellEnd"/>
      <w:r w:rsidRPr="007D5B4E">
        <w:rPr>
          <w:rFonts w:ascii="Book Antiqua" w:eastAsia="宋体" w:hAnsi="Book Antiqua"/>
          <w:color w:val="000000" w:themeColor="text1"/>
          <w:lang w:eastAsia="zh-CN"/>
        </w:rPr>
        <w:t xml:space="preserve"> BS</w:t>
      </w:r>
      <w:r w:rsidR="00E951FE">
        <w:rPr>
          <w:rFonts w:ascii="Book Antiqua" w:eastAsia="宋体" w:hAnsi="Book Antiqua" w:hint="eastAsia"/>
          <w:color w:val="000000" w:themeColor="text1"/>
          <w:lang w:eastAsia="zh-CN"/>
        </w:rPr>
        <w:t xml:space="preserve"> </w:t>
      </w:r>
      <w:r w:rsidR="00E951FE" w:rsidRPr="00E951FE">
        <w:rPr>
          <w:rFonts w:ascii="Book Antiqua" w:eastAsia="宋体" w:hAnsi="Book Antiqua" w:hint="eastAsia"/>
          <w:i/>
          <w:color w:val="000000" w:themeColor="text1"/>
          <w:lang w:eastAsia="zh-CN"/>
        </w:rPr>
        <w:t>et al</w:t>
      </w:r>
      <w:r w:rsidRPr="007D5B4E">
        <w:rPr>
          <w:rFonts w:ascii="Book Antiqua" w:eastAsia="宋体" w:hAnsi="Book Antiqua"/>
          <w:color w:val="000000" w:themeColor="text1"/>
          <w:lang w:eastAsia="zh-CN"/>
        </w:rPr>
        <w:t xml:space="preserve">. </w:t>
      </w:r>
      <w:r w:rsidR="00E55633" w:rsidRPr="007D5B4E">
        <w:rPr>
          <w:rFonts w:ascii="Book Antiqua" w:eastAsia="宋体" w:hAnsi="Book Antiqua"/>
          <w:color w:val="000000" w:themeColor="text1"/>
          <w:lang w:eastAsia="zh-CN"/>
        </w:rPr>
        <w:t xml:space="preserve">Colon </w:t>
      </w:r>
      <w:r w:rsidRPr="007D5B4E">
        <w:rPr>
          <w:rFonts w:ascii="Book Antiqua" w:eastAsia="宋体" w:hAnsi="Book Antiqua"/>
          <w:color w:val="000000" w:themeColor="text1"/>
          <w:lang w:eastAsia="zh-CN"/>
        </w:rPr>
        <w:t>c</w:t>
      </w:r>
      <w:r w:rsidR="00E55633" w:rsidRPr="007D5B4E">
        <w:rPr>
          <w:rFonts w:ascii="Book Antiqua" w:eastAsia="宋体" w:hAnsi="Book Antiqua"/>
          <w:color w:val="000000" w:themeColor="text1"/>
          <w:lang w:eastAsia="zh-CN"/>
        </w:rPr>
        <w:t xml:space="preserve">ancer and the EGR </w:t>
      </w:r>
      <w:r w:rsidRPr="007D5B4E">
        <w:rPr>
          <w:rFonts w:ascii="Book Antiqua" w:eastAsia="宋体" w:hAnsi="Book Antiqua"/>
          <w:color w:val="000000" w:themeColor="text1"/>
          <w:lang w:eastAsia="zh-CN"/>
        </w:rPr>
        <w:t>r</w:t>
      </w:r>
      <w:r w:rsidR="00E55633" w:rsidRPr="007D5B4E">
        <w:rPr>
          <w:rFonts w:ascii="Book Antiqua" w:eastAsia="宋体" w:hAnsi="Book Antiqua"/>
          <w:color w:val="000000" w:themeColor="text1"/>
          <w:lang w:eastAsia="zh-CN"/>
        </w:rPr>
        <w:t>eceptor</w:t>
      </w:r>
    </w:p>
    <w:p w14:paraId="643C8EE6" w14:textId="77777777" w:rsidR="00BD341F" w:rsidRPr="007D5B4E" w:rsidRDefault="00BD341F" w:rsidP="00240E68">
      <w:pPr>
        <w:spacing w:after="0" w:line="360" w:lineRule="auto"/>
        <w:jc w:val="both"/>
        <w:rPr>
          <w:rFonts w:ascii="Book Antiqua" w:eastAsia="宋体" w:hAnsi="Book Antiqua"/>
          <w:color w:val="000000" w:themeColor="text1"/>
          <w:lang w:eastAsia="zh-CN"/>
        </w:rPr>
      </w:pPr>
    </w:p>
    <w:p w14:paraId="4F844012" w14:textId="5287F5BD" w:rsidR="00BD341F" w:rsidRPr="006C2154" w:rsidRDefault="00BD341F" w:rsidP="00240E68">
      <w:pPr>
        <w:spacing w:after="0" w:line="360" w:lineRule="auto"/>
        <w:jc w:val="both"/>
        <w:rPr>
          <w:rFonts w:ascii="Book Antiqua" w:eastAsia="宋体" w:hAnsi="Book Antiqua"/>
          <w:b/>
          <w:color w:val="000000" w:themeColor="text1"/>
          <w:lang w:eastAsia="zh-CN"/>
        </w:rPr>
      </w:pPr>
      <w:proofErr w:type="spellStart"/>
      <w:r w:rsidRPr="006C2154">
        <w:rPr>
          <w:rFonts w:ascii="Book Antiqua" w:eastAsia="宋体" w:hAnsi="Book Antiqua"/>
          <w:b/>
          <w:color w:val="000000" w:themeColor="text1"/>
          <w:lang w:eastAsia="zh-CN"/>
        </w:rPr>
        <w:t>Baldeep</w:t>
      </w:r>
      <w:proofErr w:type="spellEnd"/>
      <w:r w:rsidRPr="006C2154">
        <w:rPr>
          <w:rFonts w:ascii="Book Antiqua" w:eastAsia="宋体" w:hAnsi="Book Antiqua"/>
          <w:b/>
          <w:color w:val="000000" w:themeColor="text1"/>
          <w:lang w:eastAsia="zh-CN"/>
        </w:rPr>
        <w:t xml:space="preserve"> S </w:t>
      </w:r>
      <w:proofErr w:type="spellStart"/>
      <w:r w:rsidRPr="006C2154">
        <w:rPr>
          <w:rFonts w:ascii="Book Antiqua" w:eastAsia="宋体" w:hAnsi="Book Antiqua"/>
          <w:b/>
          <w:color w:val="000000" w:themeColor="text1"/>
          <w:lang w:eastAsia="zh-CN"/>
        </w:rPr>
        <w:t>Pabla</w:t>
      </w:r>
      <w:proofErr w:type="spellEnd"/>
      <w:r w:rsidRPr="006C2154">
        <w:rPr>
          <w:rFonts w:ascii="Book Antiqua" w:eastAsia="宋体" w:hAnsi="Book Antiqua"/>
          <w:b/>
          <w:color w:val="000000" w:themeColor="text1"/>
          <w:lang w:eastAsia="zh-CN"/>
        </w:rPr>
        <w:t xml:space="preserve">, Marc </w:t>
      </w:r>
      <w:proofErr w:type="spellStart"/>
      <w:r w:rsidRPr="006C2154">
        <w:rPr>
          <w:rFonts w:ascii="Book Antiqua" w:eastAsia="宋体" w:hAnsi="Book Antiqua"/>
          <w:b/>
          <w:color w:val="000000" w:themeColor="text1"/>
          <w:lang w:eastAsia="zh-CN"/>
        </w:rPr>
        <w:t>Bissonnette</w:t>
      </w:r>
      <w:proofErr w:type="spellEnd"/>
      <w:r w:rsidRPr="006C2154">
        <w:rPr>
          <w:rFonts w:ascii="Book Antiqua" w:eastAsia="宋体" w:hAnsi="Book Antiqua"/>
          <w:b/>
          <w:color w:val="000000" w:themeColor="text1"/>
          <w:lang w:eastAsia="zh-CN"/>
        </w:rPr>
        <w:t>, Vani J Konda</w:t>
      </w:r>
    </w:p>
    <w:p w14:paraId="73DE741A" w14:textId="77777777" w:rsidR="00BD341F" w:rsidRPr="007D5B4E" w:rsidRDefault="00BD341F" w:rsidP="00240E68">
      <w:pPr>
        <w:spacing w:after="0" w:line="360" w:lineRule="auto"/>
        <w:jc w:val="both"/>
        <w:rPr>
          <w:rFonts w:ascii="Book Antiqua" w:eastAsia="宋体" w:hAnsi="Book Antiqua"/>
          <w:color w:val="000000" w:themeColor="text1"/>
          <w:lang w:eastAsia="zh-CN"/>
        </w:rPr>
      </w:pPr>
    </w:p>
    <w:p w14:paraId="44EB4600" w14:textId="4A8753F2" w:rsidR="00BD341F" w:rsidRPr="007D5B4E" w:rsidRDefault="00093D70" w:rsidP="00240E68">
      <w:pPr>
        <w:spacing w:after="0" w:line="360" w:lineRule="auto"/>
        <w:jc w:val="both"/>
        <w:rPr>
          <w:rFonts w:ascii="Book Antiqua" w:eastAsia="宋体" w:hAnsi="Book Antiqua"/>
          <w:color w:val="000000" w:themeColor="text1"/>
          <w:lang w:eastAsia="zh-CN"/>
        </w:rPr>
      </w:pPr>
      <w:proofErr w:type="spellStart"/>
      <w:r w:rsidRPr="007D5B4E">
        <w:rPr>
          <w:rFonts w:ascii="Book Antiqua" w:eastAsia="宋体" w:hAnsi="Book Antiqua"/>
          <w:b/>
          <w:color w:val="000000" w:themeColor="text1"/>
          <w:lang w:eastAsia="zh-CN"/>
        </w:rPr>
        <w:t>Baldeep</w:t>
      </w:r>
      <w:proofErr w:type="spellEnd"/>
      <w:r w:rsidRPr="007D5B4E">
        <w:rPr>
          <w:rFonts w:ascii="Book Antiqua" w:eastAsia="宋体" w:hAnsi="Book Antiqua"/>
          <w:b/>
          <w:color w:val="000000" w:themeColor="text1"/>
          <w:lang w:eastAsia="zh-CN"/>
        </w:rPr>
        <w:t xml:space="preserve"> S </w:t>
      </w:r>
      <w:proofErr w:type="spellStart"/>
      <w:r w:rsidRPr="007D5B4E">
        <w:rPr>
          <w:rFonts w:ascii="Book Antiqua" w:eastAsia="宋体" w:hAnsi="Book Antiqua"/>
          <w:b/>
          <w:color w:val="000000" w:themeColor="text1"/>
          <w:lang w:eastAsia="zh-CN"/>
        </w:rPr>
        <w:t>Pabla</w:t>
      </w:r>
      <w:proofErr w:type="spellEnd"/>
      <w:r w:rsidRPr="007D5B4E">
        <w:rPr>
          <w:rFonts w:ascii="Book Antiqua" w:eastAsia="宋体" w:hAnsi="Book Antiqua"/>
          <w:b/>
          <w:color w:val="000000" w:themeColor="text1"/>
          <w:lang w:eastAsia="zh-CN"/>
        </w:rPr>
        <w:t xml:space="preserve">, Marc </w:t>
      </w:r>
      <w:proofErr w:type="spellStart"/>
      <w:r w:rsidRPr="007D5B4E">
        <w:rPr>
          <w:rFonts w:ascii="Book Antiqua" w:eastAsia="宋体" w:hAnsi="Book Antiqua"/>
          <w:b/>
          <w:color w:val="000000" w:themeColor="text1"/>
          <w:lang w:eastAsia="zh-CN"/>
        </w:rPr>
        <w:t>Bissonnette</w:t>
      </w:r>
      <w:proofErr w:type="spellEnd"/>
      <w:r w:rsidRPr="007D5B4E">
        <w:rPr>
          <w:rFonts w:ascii="Book Antiqua" w:eastAsia="宋体" w:hAnsi="Book Antiqua"/>
          <w:b/>
          <w:color w:val="000000" w:themeColor="text1"/>
          <w:lang w:eastAsia="zh-CN"/>
        </w:rPr>
        <w:t>, Vani J Konda,</w:t>
      </w:r>
      <w:r w:rsidRPr="007D5B4E">
        <w:rPr>
          <w:rFonts w:ascii="Book Antiqua" w:eastAsia="宋体" w:hAnsi="Book Antiqua"/>
          <w:color w:val="000000" w:themeColor="text1"/>
          <w:lang w:eastAsia="zh-CN"/>
        </w:rPr>
        <w:t xml:space="preserve"> </w:t>
      </w:r>
      <w:r w:rsidRPr="007D5B4E">
        <w:rPr>
          <w:rFonts w:ascii="Book Antiqua" w:eastAsia="Times New Roman" w:hAnsi="Book Antiqua" w:cs="Times New Roman"/>
          <w:color w:val="000000" w:themeColor="text1"/>
        </w:rPr>
        <w:t>Center of Endoscopic Research and Therapeutics (CERT), Section of Gastroenterology, Department of Medicine, Knapp Center for Biomedical Discovery, The University of Chicago Medicine</w:t>
      </w:r>
      <w:r w:rsidR="00D24B65" w:rsidRPr="007D5B4E">
        <w:rPr>
          <w:rFonts w:ascii="Book Antiqua" w:eastAsia="宋体" w:hAnsi="Book Antiqua"/>
          <w:color w:val="000000" w:themeColor="text1"/>
          <w:lang w:eastAsia="zh-CN"/>
        </w:rPr>
        <w:t>, Chicago, IL 60637</w:t>
      </w:r>
      <w:r w:rsidR="00890F3E" w:rsidRPr="007D5B4E">
        <w:rPr>
          <w:rFonts w:ascii="Book Antiqua" w:eastAsia="宋体" w:hAnsi="Book Antiqua"/>
          <w:color w:val="000000" w:themeColor="text1"/>
          <w:lang w:eastAsia="zh-CN"/>
        </w:rPr>
        <w:t>, United States</w:t>
      </w:r>
    </w:p>
    <w:p w14:paraId="123381CF" w14:textId="77777777" w:rsidR="00D24B65" w:rsidRPr="007D5B4E" w:rsidRDefault="00D24B65" w:rsidP="00240E68">
      <w:pPr>
        <w:spacing w:after="0" w:line="360" w:lineRule="auto"/>
        <w:jc w:val="both"/>
        <w:rPr>
          <w:rFonts w:ascii="Book Antiqua" w:eastAsia="宋体" w:hAnsi="Book Antiqua"/>
          <w:color w:val="0000FF"/>
          <w:lang w:eastAsia="zh-CN"/>
        </w:rPr>
      </w:pPr>
    </w:p>
    <w:p w14:paraId="78DF1DD4" w14:textId="77777777" w:rsidR="00093D70" w:rsidRPr="007D5B4E" w:rsidRDefault="00093D70" w:rsidP="00240E68">
      <w:pPr>
        <w:adjustRightInd w:val="0"/>
        <w:snapToGrid w:val="0"/>
        <w:spacing w:after="0" w:line="360" w:lineRule="auto"/>
        <w:jc w:val="both"/>
        <w:rPr>
          <w:rFonts w:ascii="Book Antiqua" w:eastAsia="宋体" w:hAnsi="Book Antiqua"/>
          <w:b/>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bookmarkStart w:id="9" w:name="OLE_LINK33"/>
      <w:bookmarkStart w:id="10" w:name="OLE_LINK49"/>
      <w:bookmarkStart w:id="11" w:name="OLE_LINK62"/>
      <w:r w:rsidRPr="007D5B4E">
        <w:rPr>
          <w:rFonts w:ascii="Book Antiqua" w:eastAsia="宋体" w:hAnsi="Book Antiqua"/>
          <w:b/>
        </w:rPr>
        <w:t xml:space="preserve">Author contributions: </w:t>
      </w:r>
      <w:bookmarkStart w:id="12" w:name="OLE_LINK1"/>
      <w:bookmarkStart w:id="13" w:name="OLE_LINK2"/>
      <w:r w:rsidRPr="007D5B4E">
        <w:rPr>
          <w:rFonts w:ascii="Book Antiqua" w:eastAsia="宋体" w:hAnsi="Book Antiqua"/>
        </w:rPr>
        <w:t>Konda</w:t>
      </w:r>
      <w:r w:rsidRPr="007D5B4E">
        <w:rPr>
          <w:rFonts w:ascii="Book Antiqua" w:eastAsia="宋体" w:hAnsi="Book Antiqua"/>
          <w:lang w:eastAsia="zh-CN"/>
        </w:rPr>
        <w:t xml:space="preserve"> VJ, </w:t>
      </w:r>
      <w:proofErr w:type="spellStart"/>
      <w:r w:rsidRPr="007D5B4E">
        <w:rPr>
          <w:rFonts w:ascii="Book Antiqua" w:eastAsia="宋体" w:hAnsi="Book Antiqua"/>
        </w:rPr>
        <w:t>Bissonnette</w:t>
      </w:r>
      <w:proofErr w:type="spellEnd"/>
      <w:r w:rsidRPr="007D5B4E">
        <w:rPr>
          <w:rFonts w:ascii="Book Antiqua" w:eastAsia="宋体" w:hAnsi="Book Antiqua"/>
        </w:rPr>
        <w:t xml:space="preserve"> M and </w:t>
      </w:r>
      <w:proofErr w:type="spellStart"/>
      <w:r w:rsidRPr="007D5B4E">
        <w:rPr>
          <w:rFonts w:ascii="Book Antiqua" w:eastAsia="宋体" w:hAnsi="Book Antiqua"/>
        </w:rPr>
        <w:t>Pabla</w:t>
      </w:r>
      <w:proofErr w:type="spellEnd"/>
      <w:r w:rsidRPr="007D5B4E">
        <w:rPr>
          <w:rFonts w:ascii="Book Antiqua" w:eastAsia="宋体" w:hAnsi="Book Antiqua"/>
          <w:lang w:eastAsia="zh-CN"/>
        </w:rPr>
        <w:t xml:space="preserve"> </w:t>
      </w:r>
      <w:r w:rsidRPr="007D5B4E">
        <w:rPr>
          <w:rFonts w:ascii="Book Antiqua" w:eastAsia="宋体" w:hAnsi="Book Antiqua"/>
        </w:rPr>
        <w:t>B</w:t>
      </w:r>
      <w:r w:rsidRPr="007D5B4E">
        <w:rPr>
          <w:rFonts w:ascii="Book Antiqua" w:eastAsia="宋体" w:hAnsi="Book Antiqua"/>
          <w:lang w:eastAsia="zh-CN"/>
        </w:rPr>
        <w:t>S</w:t>
      </w:r>
      <w:r w:rsidRPr="007D5B4E">
        <w:rPr>
          <w:rFonts w:ascii="Book Antiqua" w:eastAsia="宋体" w:hAnsi="Book Antiqua"/>
        </w:rPr>
        <w:t xml:space="preserve"> designed research;</w:t>
      </w:r>
      <w:r w:rsidRPr="007D5B4E">
        <w:rPr>
          <w:rFonts w:ascii="Book Antiqua" w:eastAsia="宋体" w:hAnsi="Book Antiqua"/>
          <w:b/>
        </w:rPr>
        <w:t xml:space="preserve"> </w:t>
      </w:r>
      <w:proofErr w:type="spellStart"/>
      <w:r w:rsidRPr="007D5B4E">
        <w:rPr>
          <w:rFonts w:ascii="Book Antiqua" w:eastAsia="宋体" w:hAnsi="Book Antiqua"/>
        </w:rPr>
        <w:t>Pabla</w:t>
      </w:r>
      <w:proofErr w:type="spellEnd"/>
      <w:r w:rsidRPr="007D5B4E">
        <w:rPr>
          <w:rFonts w:ascii="Book Antiqua" w:eastAsia="宋体" w:hAnsi="Book Antiqua"/>
          <w:lang w:eastAsia="zh-CN"/>
        </w:rPr>
        <w:t xml:space="preserve"> </w:t>
      </w:r>
      <w:r w:rsidRPr="007D5B4E">
        <w:rPr>
          <w:rFonts w:ascii="Book Antiqua" w:eastAsia="宋体" w:hAnsi="Book Antiqua"/>
        </w:rPr>
        <w:t>B</w:t>
      </w:r>
      <w:r w:rsidRPr="007D5B4E">
        <w:rPr>
          <w:rFonts w:ascii="Book Antiqua" w:eastAsia="宋体" w:hAnsi="Book Antiqua"/>
          <w:lang w:eastAsia="zh-CN"/>
        </w:rPr>
        <w:t>S</w:t>
      </w:r>
      <w:r w:rsidRPr="007D5B4E">
        <w:rPr>
          <w:rFonts w:ascii="Book Antiqua" w:eastAsia="宋体" w:hAnsi="Book Antiqua"/>
        </w:rPr>
        <w:t xml:space="preserve"> performed research</w:t>
      </w:r>
      <w:r w:rsidRPr="007D5B4E">
        <w:rPr>
          <w:rFonts w:ascii="Book Antiqua" w:eastAsia="宋体" w:hAnsi="Book Antiqua"/>
          <w:lang w:eastAsia="zh-CN"/>
        </w:rPr>
        <w:t xml:space="preserve"> and</w:t>
      </w:r>
      <w:r w:rsidRPr="007D5B4E">
        <w:rPr>
          <w:rFonts w:ascii="Book Antiqua" w:eastAsia="宋体" w:hAnsi="Book Antiqua"/>
        </w:rPr>
        <w:t xml:space="preserve"> analyzed data; Konda</w:t>
      </w:r>
      <w:r w:rsidRPr="007D5B4E">
        <w:rPr>
          <w:rFonts w:ascii="Book Antiqua" w:eastAsia="宋体" w:hAnsi="Book Antiqua"/>
          <w:lang w:eastAsia="zh-CN"/>
        </w:rPr>
        <w:t xml:space="preserve"> VJ,</w:t>
      </w:r>
      <w:r w:rsidRPr="007D5B4E">
        <w:rPr>
          <w:rFonts w:ascii="Book Antiqua" w:eastAsia="宋体" w:hAnsi="Book Antiqua"/>
        </w:rPr>
        <w:t xml:space="preserve"> </w:t>
      </w:r>
      <w:proofErr w:type="spellStart"/>
      <w:r w:rsidRPr="007D5B4E">
        <w:rPr>
          <w:rFonts w:ascii="Book Antiqua" w:eastAsia="宋体" w:hAnsi="Book Antiqua"/>
        </w:rPr>
        <w:t>Bissonnette</w:t>
      </w:r>
      <w:proofErr w:type="spellEnd"/>
      <w:r w:rsidRPr="007D5B4E">
        <w:rPr>
          <w:rFonts w:ascii="Book Antiqua" w:eastAsia="宋体" w:hAnsi="Book Antiqua"/>
        </w:rPr>
        <w:t xml:space="preserve"> M and </w:t>
      </w:r>
      <w:proofErr w:type="spellStart"/>
      <w:r w:rsidRPr="007D5B4E">
        <w:rPr>
          <w:rFonts w:ascii="Book Antiqua" w:eastAsia="宋体" w:hAnsi="Book Antiqua"/>
        </w:rPr>
        <w:t>Pabla</w:t>
      </w:r>
      <w:proofErr w:type="spellEnd"/>
      <w:r w:rsidRPr="007D5B4E">
        <w:rPr>
          <w:rFonts w:ascii="Book Antiqua" w:eastAsia="宋体" w:hAnsi="Book Antiqua"/>
          <w:lang w:eastAsia="zh-CN"/>
        </w:rPr>
        <w:t xml:space="preserve"> </w:t>
      </w:r>
      <w:r w:rsidRPr="007D5B4E">
        <w:rPr>
          <w:rFonts w:ascii="Book Antiqua" w:eastAsia="宋体" w:hAnsi="Book Antiqua"/>
        </w:rPr>
        <w:t>B</w:t>
      </w:r>
      <w:r w:rsidRPr="007D5B4E">
        <w:rPr>
          <w:rFonts w:ascii="Book Antiqua" w:eastAsia="宋体" w:hAnsi="Book Antiqua"/>
          <w:lang w:eastAsia="zh-CN"/>
        </w:rPr>
        <w:t>S</w:t>
      </w:r>
      <w:r w:rsidRPr="007D5B4E">
        <w:rPr>
          <w:rFonts w:ascii="Book Antiqua" w:eastAsia="宋体" w:hAnsi="Book Antiqua"/>
        </w:rPr>
        <w:t xml:space="preserve"> wrote the paper. </w:t>
      </w:r>
    </w:p>
    <w:bookmarkEnd w:id="0"/>
    <w:bookmarkEnd w:id="1"/>
    <w:bookmarkEnd w:id="2"/>
    <w:bookmarkEnd w:id="3"/>
    <w:bookmarkEnd w:id="4"/>
    <w:bookmarkEnd w:id="5"/>
    <w:bookmarkEnd w:id="6"/>
    <w:bookmarkEnd w:id="7"/>
    <w:bookmarkEnd w:id="8"/>
    <w:bookmarkEnd w:id="9"/>
    <w:bookmarkEnd w:id="10"/>
    <w:bookmarkEnd w:id="11"/>
    <w:bookmarkEnd w:id="12"/>
    <w:bookmarkEnd w:id="13"/>
    <w:p w14:paraId="5694EEAE" w14:textId="77777777" w:rsidR="00BD341F" w:rsidRPr="007D5B4E" w:rsidRDefault="00BD341F" w:rsidP="00240E68">
      <w:pPr>
        <w:spacing w:after="0" w:line="360" w:lineRule="auto"/>
        <w:jc w:val="both"/>
        <w:rPr>
          <w:rFonts w:ascii="Book Antiqua" w:eastAsia="宋体" w:hAnsi="Book Antiqua"/>
          <w:lang w:eastAsia="zh-CN"/>
        </w:rPr>
      </w:pPr>
    </w:p>
    <w:p w14:paraId="2A956F6A" w14:textId="1F55CD54" w:rsidR="00BD341F" w:rsidRPr="007D5B4E" w:rsidRDefault="00BD341F" w:rsidP="00240E68">
      <w:pPr>
        <w:spacing w:after="0" w:line="360" w:lineRule="auto"/>
        <w:jc w:val="both"/>
        <w:rPr>
          <w:rFonts w:ascii="Book Antiqua" w:eastAsia="宋体" w:hAnsi="Book Antiqua"/>
          <w:b/>
          <w:color w:val="000000" w:themeColor="text1"/>
          <w:lang w:eastAsia="zh-CN"/>
        </w:rPr>
      </w:pPr>
      <w:r w:rsidRPr="007D5B4E">
        <w:rPr>
          <w:rFonts w:ascii="Book Antiqua" w:eastAsia="宋体" w:hAnsi="Book Antiqua"/>
          <w:b/>
          <w:color w:val="000000" w:themeColor="text1"/>
          <w:lang w:eastAsia="zh-CN"/>
        </w:rPr>
        <w:t>Conflict-of-interest</w:t>
      </w:r>
      <w:r w:rsidR="00F55D59">
        <w:rPr>
          <w:rFonts w:ascii="Book Antiqua" w:eastAsia="宋体" w:hAnsi="Book Antiqua" w:hint="eastAsia"/>
          <w:b/>
          <w:color w:val="000000" w:themeColor="text1"/>
          <w:lang w:eastAsia="zh-CN"/>
        </w:rPr>
        <w:t xml:space="preserve"> statement</w:t>
      </w:r>
      <w:r w:rsidRPr="007D5B4E">
        <w:rPr>
          <w:rFonts w:ascii="Book Antiqua" w:eastAsia="宋体" w:hAnsi="Book Antiqua"/>
          <w:b/>
          <w:color w:val="000000" w:themeColor="text1"/>
          <w:lang w:eastAsia="zh-CN"/>
        </w:rPr>
        <w:t xml:space="preserve">: </w:t>
      </w:r>
      <w:r w:rsidR="00093D70" w:rsidRPr="007D5B4E">
        <w:rPr>
          <w:rFonts w:ascii="Book Antiqua" w:eastAsia="宋体" w:hAnsi="Book Antiqua"/>
          <w:color w:val="000000" w:themeColor="text1"/>
          <w:lang w:eastAsia="zh-CN"/>
        </w:rPr>
        <w:t xml:space="preserve">None. </w:t>
      </w:r>
    </w:p>
    <w:p w14:paraId="053C198E" w14:textId="77777777" w:rsidR="00BC73AC" w:rsidRPr="007D5B4E" w:rsidRDefault="00BC73AC" w:rsidP="00240E68">
      <w:pPr>
        <w:spacing w:after="0" w:line="360" w:lineRule="auto"/>
        <w:jc w:val="both"/>
        <w:rPr>
          <w:rFonts w:ascii="Book Antiqua" w:eastAsia="宋体" w:hAnsi="Book Antiqua"/>
          <w:b/>
          <w:color w:val="0000FF"/>
          <w:lang w:eastAsia="zh-CN"/>
        </w:rPr>
      </w:pPr>
    </w:p>
    <w:p w14:paraId="62688541" w14:textId="201C6F2A" w:rsidR="00BD341F" w:rsidRPr="007D5B4E" w:rsidRDefault="00BD341F" w:rsidP="00240E68">
      <w:pPr>
        <w:spacing w:after="0" w:line="360" w:lineRule="auto"/>
        <w:jc w:val="both"/>
        <w:rPr>
          <w:rFonts w:ascii="Book Antiqua" w:eastAsia="宋体" w:hAnsi="Book Antiqua"/>
          <w:lang w:eastAsia="zh-CN"/>
        </w:rPr>
      </w:pPr>
      <w:r w:rsidRPr="007D5B4E">
        <w:rPr>
          <w:rFonts w:ascii="Book Antiqua" w:eastAsia="宋体" w:hAnsi="Book Antiqua"/>
          <w:b/>
          <w:lang w:eastAsia="zh-CN"/>
        </w:rPr>
        <w:t>Open-Access:</w:t>
      </w:r>
      <w:r w:rsidRPr="007D5B4E">
        <w:rPr>
          <w:rFonts w:ascii="Book Antiqua" w:eastAsia="宋体" w:hAnsi="Book Antiqua"/>
          <w:lang w:eastAsia="zh-CN"/>
        </w:rPr>
        <w:t xml:space="preserve"> This article is an open-access article which selected by an in-house editor and fully peer-reviewed by external reviewers. It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D5B4E">
          <w:rPr>
            <w:rStyle w:val="Hyperlink"/>
            <w:rFonts w:ascii="Book Antiqua" w:eastAsia="宋体" w:hAnsi="Book Antiqua"/>
            <w:lang w:eastAsia="zh-CN"/>
          </w:rPr>
          <w:t>http://creativecommons.org/licenses/by-nc/4.0/</w:t>
        </w:r>
      </w:hyperlink>
    </w:p>
    <w:p w14:paraId="64EF3732" w14:textId="77777777" w:rsidR="00BD341F" w:rsidRPr="007D5B4E" w:rsidRDefault="00BD341F" w:rsidP="00240E68">
      <w:pPr>
        <w:spacing w:after="0" w:line="360" w:lineRule="auto"/>
        <w:jc w:val="both"/>
        <w:rPr>
          <w:rFonts w:ascii="Book Antiqua" w:eastAsia="宋体" w:hAnsi="Book Antiqua"/>
          <w:lang w:eastAsia="zh-CN"/>
        </w:rPr>
      </w:pPr>
    </w:p>
    <w:p w14:paraId="6AF70DEE" w14:textId="739090AD" w:rsidR="00543632" w:rsidRPr="00875964" w:rsidRDefault="00BD341F" w:rsidP="00240E68">
      <w:pPr>
        <w:spacing w:after="0" w:line="360" w:lineRule="auto"/>
        <w:jc w:val="both"/>
        <w:rPr>
          <w:rFonts w:ascii="Book Antiqua" w:eastAsia="宋体" w:hAnsi="Book Antiqua" w:cs="Times New Roman"/>
          <w:color w:val="000000" w:themeColor="text1"/>
          <w:lang w:eastAsia="zh-CN"/>
        </w:rPr>
      </w:pPr>
      <w:r w:rsidRPr="007D5B4E">
        <w:rPr>
          <w:rFonts w:ascii="Book Antiqua" w:eastAsia="宋体" w:hAnsi="Book Antiqua"/>
          <w:b/>
          <w:color w:val="000000" w:themeColor="text1"/>
          <w:lang w:eastAsia="zh-CN"/>
        </w:rPr>
        <w:lastRenderedPageBreak/>
        <w:t xml:space="preserve">Correspondence to: </w:t>
      </w:r>
      <w:r w:rsidR="00093D70" w:rsidRPr="007D5B4E">
        <w:rPr>
          <w:rFonts w:ascii="Book Antiqua" w:eastAsia="宋体" w:hAnsi="Book Antiqua"/>
          <w:b/>
          <w:color w:val="000000" w:themeColor="text1"/>
          <w:lang w:eastAsia="zh-CN"/>
        </w:rPr>
        <w:t xml:space="preserve">Dr. </w:t>
      </w:r>
      <w:r w:rsidR="00543632" w:rsidRPr="007D5B4E">
        <w:rPr>
          <w:rFonts w:ascii="Book Antiqua" w:eastAsia="Times New Roman" w:hAnsi="Book Antiqua" w:cs="Times New Roman"/>
          <w:b/>
          <w:color w:val="000000" w:themeColor="text1"/>
        </w:rPr>
        <w:t>Vani J Konda</w:t>
      </w:r>
      <w:r w:rsidR="00093D70" w:rsidRPr="007D5B4E">
        <w:rPr>
          <w:rFonts w:ascii="Book Antiqua" w:eastAsia="宋体" w:hAnsi="Book Antiqua" w:cs="Times New Roman"/>
          <w:b/>
          <w:color w:val="000000" w:themeColor="text1"/>
          <w:lang w:eastAsia="zh-CN"/>
        </w:rPr>
        <w:t>,</w:t>
      </w:r>
      <w:r w:rsidR="00543632" w:rsidRPr="007D5B4E">
        <w:rPr>
          <w:rFonts w:ascii="Book Antiqua" w:eastAsia="Times New Roman" w:hAnsi="Book Antiqua" w:cs="Times New Roman"/>
          <w:color w:val="000000" w:themeColor="text1"/>
        </w:rPr>
        <w:t xml:space="preserve"> Center of Endoscopic Research and Therapeutics (CERT), Section of Gastroenterology, Department of Medicine, Knapp Center for Biomedical Discovery, The University of Chicago Medicine, 900 E. 57th </w:t>
      </w:r>
      <w:r w:rsidR="00093D70" w:rsidRPr="007D5B4E">
        <w:rPr>
          <w:rFonts w:ascii="Book Antiqua" w:eastAsia="Times New Roman" w:hAnsi="Book Antiqua" w:cs="Times New Roman"/>
          <w:color w:val="000000" w:themeColor="text1"/>
        </w:rPr>
        <w:t>Street, Room #9134, Chicago, IL</w:t>
      </w:r>
      <w:r w:rsidR="00543632" w:rsidRPr="007D5B4E">
        <w:rPr>
          <w:rFonts w:ascii="Book Antiqua" w:eastAsia="Times New Roman" w:hAnsi="Book Antiqua" w:cs="Times New Roman"/>
          <w:color w:val="000000" w:themeColor="text1"/>
        </w:rPr>
        <w:t xml:space="preserve"> 60637, </w:t>
      </w:r>
      <w:r w:rsidR="00093D70" w:rsidRPr="007D5B4E">
        <w:rPr>
          <w:rFonts w:ascii="Book Antiqua" w:eastAsia="宋体" w:hAnsi="Book Antiqua"/>
          <w:color w:val="000000" w:themeColor="text1"/>
          <w:lang w:eastAsia="zh-CN"/>
        </w:rPr>
        <w:t>United States</w:t>
      </w:r>
      <w:r w:rsidR="00093D70" w:rsidRPr="007D5B4E">
        <w:rPr>
          <w:rFonts w:ascii="Book Antiqua" w:eastAsia="宋体" w:hAnsi="Book Antiqua" w:cs="Times New Roman"/>
          <w:color w:val="000000" w:themeColor="text1"/>
          <w:lang w:eastAsia="zh-CN"/>
        </w:rPr>
        <w:t>.</w:t>
      </w:r>
      <w:r w:rsidR="00543632" w:rsidRPr="007D5B4E">
        <w:rPr>
          <w:rFonts w:ascii="Book Antiqua" w:eastAsia="Times New Roman" w:hAnsi="Book Antiqua" w:cs="Times New Roman"/>
          <w:color w:val="000000" w:themeColor="text1"/>
        </w:rPr>
        <w:t xml:space="preserve"> v</w:t>
      </w:r>
      <w:r w:rsidR="00875964">
        <w:rPr>
          <w:rFonts w:ascii="Book Antiqua" w:eastAsia="Times New Roman" w:hAnsi="Book Antiqua" w:cs="Times New Roman"/>
          <w:color w:val="000000" w:themeColor="text1"/>
        </w:rPr>
        <w:t>konda@medicine.bsd.uchicago.edu</w:t>
      </w:r>
    </w:p>
    <w:p w14:paraId="789732DD" w14:textId="55F518F8" w:rsidR="00BD341F" w:rsidRPr="007D5B4E" w:rsidRDefault="00BD341F" w:rsidP="00240E68">
      <w:pPr>
        <w:spacing w:after="0" w:line="360" w:lineRule="auto"/>
        <w:jc w:val="both"/>
        <w:rPr>
          <w:rFonts w:ascii="Book Antiqua" w:eastAsia="宋体" w:hAnsi="Book Antiqua"/>
          <w:color w:val="000000" w:themeColor="text1"/>
          <w:lang w:eastAsia="zh-CN"/>
        </w:rPr>
      </w:pPr>
      <w:r w:rsidRPr="007D5B4E">
        <w:rPr>
          <w:rFonts w:ascii="Book Antiqua" w:eastAsia="宋体" w:hAnsi="Book Antiqua"/>
          <w:b/>
          <w:color w:val="000000" w:themeColor="text1"/>
          <w:lang w:eastAsia="zh-CN"/>
        </w:rPr>
        <w:t>T</w:t>
      </w:r>
      <w:r w:rsidR="00543632" w:rsidRPr="007D5B4E">
        <w:rPr>
          <w:rFonts w:ascii="Book Antiqua" w:eastAsia="宋体" w:hAnsi="Book Antiqua"/>
          <w:b/>
          <w:color w:val="000000" w:themeColor="text1"/>
          <w:lang w:eastAsia="zh-CN"/>
        </w:rPr>
        <w:t>elephone:</w:t>
      </w:r>
      <w:r w:rsidR="00093D70" w:rsidRPr="007D5B4E">
        <w:rPr>
          <w:rFonts w:ascii="Book Antiqua" w:eastAsia="宋体" w:hAnsi="Book Antiqua"/>
          <w:color w:val="000000" w:themeColor="text1"/>
          <w:lang w:eastAsia="zh-CN"/>
        </w:rPr>
        <w:t xml:space="preserve"> +1-773-702</w:t>
      </w:r>
      <w:r w:rsidR="00543632" w:rsidRPr="007D5B4E">
        <w:rPr>
          <w:rFonts w:ascii="Book Antiqua" w:eastAsia="宋体" w:hAnsi="Book Antiqua"/>
          <w:color w:val="000000" w:themeColor="text1"/>
          <w:lang w:eastAsia="zh-CN"/>
        </w:rPr>
        <w:t>1460</w:t>
      </w:r>
    </w:p>
    <w:p w14:paraId="784DED5C" w14:textId="36CBC60D" w:rsidR="006A05BF" w:rsidRPr="007D5B4E" w:rsidRDefault="00BD341F" w:rsidP="00240E68">
      <w:pPr>
        <w:spacing w:after="0" w:line="360" w:lineRule="auto"/>
        <w:jc w:val="both"/>
        <w:rPr>
          <w:rFonts w:ascii="Book Antiqua" w:eastAsia="宋体" w:hAnsi="Book Antiqua"/>
          <w:color w:val="000000" w:themeColor="text1"/>
          <w:lang w:eastAsia="zh-CN"/>
        </w:rPr>
      </w:pPr>
      <w:r w:rsidRPr="007D5B4E">
        <w:rPr>
          <w:rFonts w:ascii="Book Antiqua" w:eastAsia="宋体" w:hAnsi="Book Antiqua"/>
          <w:b/>
          <w:color w:val="000000" w:themeColor="text1"/>
          <w:lang w:eastAsia="zh-CN"/>
        </w:rPr>
        <w:t xml:space="preserve">Fax: </w:t>
      </w:r>
      <w:r w:rsidR="00093D70" w:rsidRPr="007D5B4E">
        <w:rPr>
          <w:rFonts w:ascii="Book Antiqua" w:eastAsia="宋体" w:hAnsi="Book Antiqua"/>
          <w:color w:val="000000" w:themeColor="text1"/>
          <w:lang w:eastAsia="zh-CN"/>
        </w:rPr>
        <w:t>+1-773-702</w:t>
      </w:r>
      <w:r w:rsidR="00543632" w:rsidRPr="007D5B4E">
        <w:rPr>
          <w:rFonts w:ascii="Book Antiqua" w:eastAsia="宋体" w:hAnsi="Book Antiqua"/>
          <w:color w:val="000000" w:themeColor="text1"/>
          <w:lang w:eastAsia="zh-CN"/>
        </w:rPr>
        <w:t>5790</w:t>
      </w:r>
    </w:p>
    <w:p w14:paraId="24B9FF61" w14:textId="77777777" w:rsidR="00E951FE" w:rsidRDefault="00E951FE" w:rsidP="00240E68">
      <w:pPr>
        <w:spacing w:after="0" w:line="360" w:lineRule="auto"/>
        <w:jc w:val="both"/>
        <w:rPr>
          <w:rFonts w:ascii="Book Antiqua" w:eastAsia="宋体" w:hAnsi="Book Antiqua"/>
          <w:b/>
          <w:color w:val="000000" w:themeColor="text1"/>
          <w:lang w:eastAsia="zh-CN"/>
        </w:rPr>
      </w:pPr>
    </w:p>
    <w:p w14:paraId="0E86F838" w14:textId="3805F05E" w:rsidR="00E951FE" w:rsidRPr="00F55D59" w:rsidRDefault="00F55D59" w:rsidP="00240E68">
      <w:pPr>
        <w:spacing w:after="0" w:line="360" w:lineRule="auto"/>
        <w:rPr>
          <w:rFonts w:ascii="Book Antiqua" w:eastAsia="宋体" w:hAnsi="Book Antiqua"/>
          <w:lang w:eastAsia="zh-CN"/>
        </w:rPr>
      </w:pPr>
      <w:r>
        <w:rPr>
          <w:rFonts w:ascii="Book Antiqua" w:hAnsi="Book Antiqua"/>
          <w:b/>
        </w:rPr>
        <w:t xml:space="preserve">Received: </w:t>
      </w:r>
      <w:r w:rsidRPr="00F55D59">
        <w:rPr>
          <w:rFonts w:ascii="Book Antiqua" w:eastAsia="宋体" w:hAnsi="Book Antiqua" w:hint="eastAsia"/>
          <w:lang w:eastAsia="zh-CN"/>
        </w:rPr>
        <w:t>May 4, 2015</w:t>
      </w:r>
    </w:p>
    <w:p w14:paraId="6AED36DC" w14:textId="5A222DCA" w:rsidR="00E951FE" w:rsidRPr="00F55D59" w:rsidRDefault="00E951FE" w:rsidP="00240E68">
      <w:pPr>
        <w:spacing w:after="0" w:line="360" w:lineRule="auto"/>
        <w:rPr>
          <w:rFonts w:ascii="Book Antiqua" w:eastAsia="宋体" w:hAnsi="Book Antiqua"/>
          <w:lang w:eastAsia="zh-CN"/>
        </w:rPr>
      </w:pPr>
      <w:r w:rsidRPr="009659DA">
        <w:rPr>
          <w:rFonts w:ascii="Book Antiqua" w:hAnsi="Book Antiqua" w:hint="eastAsia"/>
          <w:b/>
        </w:rPr>
        <w:t>Peer-review started</w:t>
      </w:r>
      <w:r>
        <w:rPr>
          <w:rFonts w:ascii="Book Antiqua" w:hAnsi="Book Antiqua"/>
          <w:b/>
        </w:rPr>
        <w:t>:</w:t>
      </w:r>
      <w:r w:rsidR="00F55D59">
        <w:rPr>
          <w:rFonts w:ascii="Book Antiqua" w:eastAsia="宋体" w:hAnsi="Book Antiqua" w:hint="eastAsia"/>
          <w:b/>
          <w:lang w:eastAsia="zh-CN"/>
        </w:rPr>
        <w:t xml:space="preserve"> </w:t>
      </w:r>
      <w:r w:rsidR="00F55D59" w:rsidRPr="00F55D59">
        <w:rPr>
          <w:rFonts w:ascii="Book Antiqua" w:eastAsia="宋体" w:hAnsi="Book Antiqua" w:hint="eastAsia"/>
          <w:lang w:eastAsia="zh-CN"/>
        </w:rPr>
        <w:t xml:space="preserve">May </w:t>
      </w:r>
      <w:r w:rsidR="00F55D59">
        <w:rPr>
          <w:rFonts w:ascii="Book Antiqua" w:eastAsia="宋体" w:hAnsi="Book Antiqua" w:hint="eastAsia"/>
          <w:lang w:eastAsia="zh-CN"/>
        </w:rPr>
        <w:t>5</w:t>
      </w:r>
      <w:r w:rsidR="00F55D59" w:rsidRPr="00F55D59">
        <w:rPr>
          <w:rFonts w:ascii="Book Antiqua" w:eastAsia="宋体" w:hAnsi="Book Antiqua" w:hint="eastAsia"/>
          <w:lang w:eastAsia="zh-CN"/>
        </w:rPr>
        <w:t>, 2015</w:t>
      </w:r>
    </w:p>
    <w:p w14:paraId="295E90CE" w14:textId="6C438209" w:rsidR="00E951FE" w:rsidRPr="00F55D59" w:rsidRDefault="00E951FE" w:rsidP="00240E68">
      <w:pPr>
        <w:spacing w:after="0" w:line="360" w:lineRule="auto"/>
        <w:rPr>
          <w:rFonts w:ascii="Book Antiqua" w:eastAsia="宋体" w:hAnsi="Book Antiqua"/>
          <w:lang w:eastAsia="zh-CN"/>
        </w:rPr>
      </w:pPr>
      <w:bookmarkStart w:id="14" w:name="OLE_LINK21"/>
      <w:bookmarkStart w:id="15" w:name="OLE_LINK22"/>
      <w:r w:rsidRPr="009659DA">
        <w:rPr>
          <w:rFonts w:ascii="Book Antiqua" w:hAnsi="Book Antiqua"/>
          <w:b/>
        </w:rPr>
        <w:t>First decision:</w:t>
      </w:r>
      <w:r w:rsidR="00F55D59">
        <w:rPr>
          <w:rFonts w:ascii="Book Antiqua" w:eastAsia="宋体" w:hAnsi="Book Antiqua" w:hint="eastAsia"/>
          <w:b/>
          <w:lang w:eastAsia="zh-CN"/>
        </w:rPr>
        <w:t xml:space="preserve"> </w:t>
      </w:r>
      <w:r w:rsidR="00F55D59" w:rsidRPr="00F55D59">
        <w:rPr>
          <w:rFonts w:ascii="Book Antiqua" w:eastAsia="宋体" w:hAnsi="Book Antiqua" w:hint="eastAsia"/>
          <w:lang w:eastAsia="zh-CN"/>
        </w:rPr>
        <w:t>June 3, 2015</w:t>
      </w:r>
    </w:p>
    <w:bookmarkEnd w:id="14"/>
    <w:bookmarkEnd w:id="15"/>
    <w:p w14:paraId="2BE6047B" w14:textId="03221829" w:rsidR="00E951FE" w:rsidRPr="00F55D59" w:rsidRDefault="00F55D59" w:rsidP="00240E68">
      <w:pPr>
        <w:spacing w:after="0" w:line="360" w:lineRule="auto"/>
        <w:rPr>
          <w:rFonts w:ascii="Book Antiqua" w:eastAsia="宋体" w:hAnsi="Book Antiqua"/>
          <w:lang w:eastAsia="zh-CN"/>
        </w:rPr>
      </w:pPr>
      <w:r>
        <w:rPr>
          <w:rFonts w:ascii="Book Antiqua" w:hAnsi="Book Antiqua"/>
          <w:b/>
        </w:rPr>
        <w:t xml:space="preserve">Revised: </w:t>
      </w:r>
      <w:r w:rsidRPr="00F55D59">
        <w:rPr>
          <w:rFonts w:ascii="Book Antiqua" w:eastAsia="宋体" w:hAnsi="Book Antiqua" w:hint="eastAsia"/>
          <w:lang w:eastAsia="zh-CN"/>
        </w:rPr>
        <w:t xml:space="preserve">June </w:t>
      </w:r>
      <w:r>
        <w:rPr>
          <w:rFonts w:ascii="Book Antiqua" w:eastAsia="宋体" w:hAnsi="Book Antiqua" w:hint="eastAsia"/>
          <w:lang w:eastAsia="zh-CN"/>
        </w:rPr>
        <w:t>8</w:t>
      </w:r>
      <w:r w:rsidRPr="00F55D59">
        <w:rPr>
          <w:rFonts w:ascii="Book Antiqua" w:eastAsia="宋体" w:hAnsi="Book Antiqua" w:hint="eastAsia"/>
          <w:lang w:eastAsia="zh-CN"/>
        </w:rPr>
        <w:t>, 2015</w:t>
      </w:r>
    </w:p>
    <w:p w14:paraId="3246ADC3" w14:textId="2FD31452" w:rsidR="00E951FE" w:rsidRPr="00375D05" w:rsidRDefault="00E951FE" w:rsidP="00375D05">
      <w:pPr>
        <w:rPr>
          <w:rFonts w:ascii="Book Antiqua" w:hAnsi="Book Antiqua" w:cs="宋体"/>
        </w:rPr>
      </w:pPr>
      <w:r>
        <w:rPr>
          <w:rFonts w:ascii="Book Antiqua" w:hAnsi="Book Antiqua"/>
          <w:b/>
        </w:rPr>
        <w:t xml:space="preserve">Accepted: </w:t>
      </w:r>
      <w:r w:rsidR="00375D05">
        <w:rPr>
          <w:rFonts w:ascii="Book Antiqua" w:hAnsi="Book Antiqua" w:cs="宋体"/>
        </w:rPr>
        <w:t>July 21</w:t>
      </w:r>
      <w:r w:rsidR="00375D05" w:rsidRPr="00AF30D4">
        <w:rPr>
          <w:rFonts w:ascii="Book Antiqua" w:hAnsi="Book Antiqua" w:cs="宋体"/>
        </w:rPr>
        <w:t>, 2015</w:t>
      </w:r>
      <w:bookmarkStart w:id="16" w:name="_GoBack"/>
      <w:bookmarkEnd w:id="16"/>
      <w:r>
        <w:rPr>
          <w:rFonts w:ascii="Book Antiqua" w:hAnsi="Book Antiqua"/>
          <w:b/>
        </w:rPr>
        <w:t xml:space="preserve"> </w:t>
      </w:r>
    </w:p>
    <w:p w14:paraId="5C84EBD4" w14:textId="77777777" w:rsidR="00E951FE" w:rsidRDefault="00E951FE" w:rsidP="00240E68">
      <w:pPr>
        <w:spacing w:after="0" w:line="360" w:lineRule="auto"/>
        <w:rPr>
          <w:rFonts w:ascii="Book Antiqua" w:hAnsi="Book Antiqua"/>
          <w:b/>
        </w:rPr>
      </w:pPr>
      <w:r w:rsidRPr="009659DA">
        <w:rPr>
          <w:rFonts w:ascii="Book Antiqua" w:hAnsi="Book Antiqua"/>
          <w:b/>
        </w:rPr>
        <w:t>Article in press:</w:t>
      </w:r>
    </w:p>
    <w:p w14:paraId="7258039F" w14:textId="77777777" w:rsidR="00E951FE" w:rsidRDefault="00E951FE" w:rsidP="00240E68">
      <w:pPr>
        <w:spacing w:after="0" w:line="360" w:lineRule="auto"/>
        <w:rPr>
          <w:rFonts w:ascii="Book Antiqua" w:hAnsi="Book Antiqua"/>
          <w:b/>
        </w:rPr>
      </w:pPr>
      <w:r>
        <w:rPr>
          <w:rFonts w:ascii="Book Antiqua" w:hAnsi="Book Antiqua"/>
          <w:b/>
        </w:rPr>
        <w:t xml:space="preserve">Published online: </w:t>
      </w:r>
    </w:p>
    <w:p w14:paraId="4EFD65C4" w14:textId="77777777" w:rsidR="00093D70" w:rsidRPr="007D5B4E" w:rsidRDefault="00093D70" w:rsidP="00240E68">
      <w:pPr>
        <w:spacing w:after="0" w:line="360" w:lineRule="auto"/>
        <w:jc w:val="both"/>
        <w:rPr>
          <w:rFonts w:ascii="Book Antiqua" w:eastAsia="宋体" w:hAnsi="Book Antiqua"/>
          <w:b/>
          <w:color w:val="000000" w:themeColor="text1"/>
          <w:lang w:eastAsia="zh-CN"/>
        </w:rPr>
      </w:pPr>
      <w:r w:rsidRPr="007D5B4E">
        <w:rPr>
          <w:rFonts w:ascii="Book Antiqua" w:eastAsia="宋体" w:hAnsi="Book Antiqua"/>
          <w:b/>
          <w:color w:val="000000" w:themeColor="text1"/>
          <w:lang w:eastAsia="zh-CN"/>
        </w:rPr>
        <w:br w:type="page"/>
      </w:r>
    </w:p>
    <w:p w14:paraId="14285C21" w14:textId="4279A00A" w:rsidR="00BD341F" w:rsidRPr="007D5B4E" w:rsidRDefault="00BD341F" w:rsidP="00240E68">
      <w:pPr>
        <w:spacing w:after="0" w:line="360" w:lineRule="auto"/>
        <w:jc w:val="both"/>
        <w:rPr>
          <w:rFonts w:ascii="Book Antiqua" w:eastAsia="宋体" w:hAnsi="Book Antiqua"/>
          <w:b/>
          <w:color w:val="000000" w:themeColor="text1"/>
          <w:lang w:eastAsia="zh-CN"/>
        </w:rPr>
      </w:pPr>
      <w:r w:rsidRPr="007D5B4E">
        <w:rPr>
          <w:rFonts w:ascii="Book Antiqua" w:eastAsia="宋体" w:hAnsi="Book Antiqua"/>
          <w:b/>
          <w:color w:val="000000" w:themeColor="text1"/>
          <w:lang w:eastAsia="zh-CN"/>
        </w:rPr>
        <w:lastRenderedPageBreak/>
        <w:t>A</w:t>
      </w:r>
      <w:r w:rsidR="00890F3E" w:rsidRPr="007D5B4E">
        <w:rPr>
          <w:rFonts w:ascii="Book Antiqua" w:eastAsia="宋体" w:hAnsi="Book Antiqua"/>
          <w:b/>
          <w:color w:val="000000" w:themeColor="text1"/>
          <w:lang w:eastAsia="zh-CN"/>
        </w:rPr>
        <w:t>bstract</w:t>
      </w:r>
    </w:p>
    <w:p w14:paraId="2AE0AD78" w14:textId="589B84CB" w:rsidR="00BD341F" w:rsidRDefault="00543632" w:rsidP="00240E68">
      <w:pPr>
        <w:spacing w:after="0" w:line="360" w:lineRule="auto"/>
        <w:jc w:val="both"/>
        <w:rPr>
          <w:rFonts w:ascii="Book Antiqua" w:eastAsia="宋体" w:hAnsi="Book Antiqua"/>
          <w:lang w:eastAsia="zh-CN"/>
        </w:rPr>
      </w:pPr>
      <w:r w:rsidRPr="007D5B4E">
        <w:rPr>
          <w:rFonts w:ascii="Book Antiqua" w:hAnsi="Book Antiqua"/>
        </w:rPr>
        <w:t>Colorectal cancer represents the third most common and the second deadliest type of cancer for both men and women in the</w:t>
      </w:r>
      <w:r w:rsidR="00093D70" w:rsidRPr="007D5B4E">
        <w:rPr>
          <w:rFonts w:ascii="Book Antiqua" w:hAnsi="Book Antiqua"/>
        </w:rPr>
        <w:t xml:space="preserve"> United States claiming over 50</w:t>
      </w:r>
      <w:r w:rsidRPr="007D5B4E">
        <w:rPr>
          <w:rFonts w:ascii="Book Antiqua" w:hAnsi="Book Antiqua"/>
        </w:rPr>
        <w:t xml:space="preserve">000 lives in 2014. The 5-year survival rate for patients diagnosed with metastatic </w:t>
      </w:r>
      <w:r w:rsidR="007D5B4E" w:rsidRPr="007D5B4E">
        <w:rPr>
          <w:rFonts w:ascii="Book Antiqua" w:hAnsi="Book Antiqua"/>
        </w:rPr>
        <w:t>colon and rectal cancer</w:t>
      </w:r>
      <w:r w:rsidR="00093D70" w:rsidRPr="007D5B4E">
        <w:rPr>
          <w:rFonts w:ascii="Book Antiqua" w:hAnsi="Book Antiqua"/>
        </w:rPr>
        <w:t xml:space="preserve"> </w:t>
      </w:r>
      <w:r w:rsidRPr="007D5B4E">
        <w:rPr>
          <w:rFonts w:ascii="Book Antiqua" w:hAnsi="Book Antiqua"/>
        </w:rPr>
        <w:t>is &lt;</w:t>
      </w:r>
      <w:r w:rsidR="00093D70" w:rsidRPr="007D5B4E">
        <w:rPr>
          <w:rFonts w:ascii="Book Antiqua" w:eastAsia="宋体" w:hAnsi="Book Antiqua"/>
          <w:lang w:eastAsia="zh-CN"/>
        </w:rPr>
        <w:t xml:space="preserve"> </w:t>
      </w:r>
      <w:r w:rsidRPr="007D5B4E">
        <w:rPr>
          <w:rFonts w:ascii="Book Antiqua" w:hAnsi="Book Antiqua"/>
        </w:rPr>
        <w:t>15%. Early detection and more effective treatment</w:t>
      </w:r>
      <w:r w:rsidR="007D5B4E" w:rsidRPr="007D5B4E">
        <w:rPr>
          <w:rFonts w:ascii="Book Antiqua" w:eastAsia="宋体" w:hAnsi="Book Antiqua"/>
          <w:lang w:eastAsia="zh-CN"/>
        </w:rPr>
        <w:t>s</w:t>
      </w:r>
      <w:r w:rsidRPr="007D5B4E">
        <w:rPr>
          <w:rFonts w:ascii="Book Antiqua" w:hAnsi="Book Antiqua"/>
        </w:rPr>
        <w:t xml:space="preserve"> </w:t>
      </w:r>
      <w:r w:rsidR="007D5B4E" w:rsidRPr="007D5B4E">
        <w:rPr>
          <w:rFonts w:ascii="Book Antiqua" w:eastAsia="宋体" w:hAnsi="Book Antiqua"/>
          <w:lang w:eastAsia="zh-CN"/>
        </w:rPr>
        <w:t>are</w:t>
      </w:r>
      <w:r w:rsidRPr="007D5B4E">
        <w:rPr>
          <w:rFonts w:ascii="Book Antiqua" w:hAnsi="Book Antiqua"/>
        </w:rPr>
        <w:t xml:space="preserve"> urgently needed to reduce morbidity and mortality of patients afflicted with this disease. Here we will review the risk factors and current treatment paradigms for colorectal cancer, with an emphasis on the role of chemoprevention as they relate to </w:t>
      </w:r>
      <w:r w:rsidR="007D5B4E" w:rsidRPr="007D5B4E">
        <w:rPr>
          <w:rFonts w:ascii="Book Antiqua" w:hAnsi="Book Antiqua"/>
        </w:rPr>
        <w:t>epidermal growth factor receptor (EGFR)</w:t>
      </w:r>
      <w:r w:rsidR="007D5B4E" w:rsidRPr="007D5B4E">
        <w:rPr>
          <w:rFonts w:ascii="Book Antiqua" w:eastAsia="宋体" w:hAnsi="Book Antiqua"/>
          <w:lang w:eastAsia="zh-CN"/>
        </w:rPr>
        <w:t xml:space="preserve"> </w:t>
      </w:r>
      <w:r w:rsidRPr="007D5B4E">
        <w:rPr>
          <w:rFonts w:ascii="Book Antiqua" w:hAnsi="Book Antiqua"/>
        </w:rPr>
        <w:t xml:space="preserve">blockade. We will discuss how various EGFR ligands are upregulated in the presence of Western diets high in saturated and N-6 polyunsaturated fats. We will also outline the various mechanisms of EGFR inhibition that are induced by naturally occurring </w:t>
      </w:r>
      <w:proofErr w:type="spellStart"/>
      <w:r w:rsidRPr="007D5B4E">
        <w:rPr>
          <w:rFonts w:ascii="Book Antiqua" w:hAnsi="Book Antiqua"/>
        </w:rPr>
        <w:t>chemopreventative</w:t>
      </w:r>
      <w:proofErr w:type="spellEnd"/>
      <w:r w:rsidRPr="007D5B4E">
        <w:rPr>
          <w:rFonts w:ascii="Book Antiqua" w:hAnsi="Book Antiqua"/>
        </w:rPr>
        <w:t xml:space="preserve"> agents such as ginseng, green tea, and curcumin. Finally, we will discuss the current role of targeted chemotherapy in colon cancer and outline the limitations of our current treatment options, describing mechanisms of resistance and escape. </w:t>
      </w:r>
    </w:p>
    <w:p w14:paraId="358FE246" w14:textId="77777777" w:rsidR="00E951FE" w:rsidRPr="00E951FE" w:rsidRDefault="00E951FE" w:rsidP="00240E68">
      <w:pPr>
        <w:spacing w:after="0" w:line="360" w:lineRule="auto"/>
        <w:jc w:val="both"/>
        <w:rPr>
          <w:rFonts w:ascii="Book Antiqua" w:eastAsia="宋体" w:hAnsi="Book Antiqua"/>
          <w:lang w:eastAsia="zh-CN"/>
        </w:rPr>
      </w:pPr>
    </w:p>
    <w:p w14:paraId="77917581" w14:textId="2D8C4278" w:rsidR="00BD341F" w:rsidRDefault="00BD341F" w:rsidP="00240E68">
      <w:pPr>
        <w:spacing w:after="0" w:line="360" w:lineRule="auto"/>
        <w:jc w:val="both"/>
        <w:rPr>
          <w:rFonts w:ascii="Book Antiqua" w:eastAsia="宋体" w:hAnsi="Book Antiqua"/>
          <w:color w:val="000000" w:themeColor="text1"/>
          <w:lang w:eastAsia="zh-CN"/>
        </w:rPr>
      </w:pPr>
      <w:r w:rsidRPr="007D5B4E">
        <w:rPr>
          <w:rFonts w:ascii="Book Antiqua" w:eastAsia="宋体" w:hAnsi="Book Antiqua"/>
          <w:b/>
          <w:color w:val="000000" w:themeColor="text1"/>
          <w:lang w:eastAsia="zh-CN"/>
        </w:rPr>
        <w:t xml:space="preserve">Key words: </w:t>
      </w:r>
      <w:r w:rsidR="005C5A11" w:rsidRPr="007D5B4E">
        <w:rPr>
          <w:rFonts w:ascii="Book Antiqua" w:eastAsia="宋体" w:hAnsi="Book Antiqua"/>
          <w:color w:val="000000" w:themeColor="text1"/>
          <w:lang w:eastAsia="zh-CN"/>
        </w:rPr>
        <w:t xml:space="preserve">Colon </w:t>
      </w:r>
      <w:r w:rsidR="00093D70" w:rsidRPr="007D5B4E">
        <w:rPr>
          <w:rFonts w:ascii="Book Antiqua" w:eastAsia="宋体" w:hAnsi="Book Antiqua"/>
          <w:color w:val="000000" w:themeColor="text1"/>
          <w:lang w:eastAsia="zh-CN"/>
        </w:rPr>
        <w:t>c</w:t>
      </w:r>
      <w:r w:rsidR="005C5A11" w:rsidRPr="007D5B4E">
        <w:rPr>
          <w:rFonts w:ascii="Book Antiqua" w:eastAsia="宋体" w:hAnsi="Book Antiqua"/>
          <w:color w:val="000000" w:themeColor="text1"/>
          <w:lang w:eastAsia="zh-CN"/>
        </w:rPr>
        <w:t xml:space="preserve">ancer; </w:t>
      </w:r>
      <w:r w:rsidR="007D5B4E" w:rsidRPr="007D5B4E">
        <w:rPr>
          <w:rFonts w:ascii="Book Antiqua" w:hAnsi="Book Antiqua"/>
        </w:rPr>
        <w:t>Epidermal growth factor receptor</w:t>
      </w:r>
      <w:r w:rsidR="005C5A11" w:rsidRPr="007D5B4E">
        <w:rPr>
          <w:rFonts w:ascii="Book Antiqua" w:eastAsia="宋体" w:hAnsi="Book Antiqua"/>
          <w:color w:val="000000" w:themeColor="text1"/>
          <w:lang w:eastAsia="zh-CN"/>
        </w:rPr>
        <w:t xml:space="preserve">; Chemoprevention; Western </w:t>
      </w:r>
      <w:r w:rsidR="00093D70" w:rsidRPr="007D5B4E">
        <w:rPr>
          <w:rFonts w:ascii="Book Antiqua" w:eastAsia="宋体" w:hAnsi="Book Antiqua"/>
          <w:color w:val="000000" w:themeColor="text1"/>
          <w:lang w:eastAsia="zh-CN"/>
        </w:rPr>
        <w:t>d</w:t>
      </w:r>
      <w:r w:rsidR="005C5A11" w:rsidRPr="007D5B4E">
        <w:rPr>
          <w:rFonts w:ascii="Book Antiqua" w:eastAsia="宋体" w:hAnsi="Book Antiqua"/>
          <w:color w:val="000000" w:themeColor="text1"/>
          <w:lang w:eastAsia="zh-CN"/>
        </w:rPr>
        <w:t xml:space="preserve">iet; Green </w:t>
      </w:r>
      <w:r w:rsidR="00093D70" w:rsidRPr="007D5B4E">
        <w:rPr>
          <w:rFonts w:ascii="Book Antiqua" w:eastAsia="宋体" w:hAnsi="Book Antiqua"/>
          <w:color w:val="000000" w:themeColor="text1"/>
          <w:lang w:eastAsia="zh-CN"/>
        </w:rPr>
        <w:t>t</w:t>
      </w:r>
      <w:r w:rsidR="005C5A11" w:rsidRPr="007D5B4E">
        <w:rPr>
          <w:rFonts w:ascii="Book Antiqua" w:eastAsia="宋体" w:hAnsi="Book Antiqua"/>
          <w:color w:val="000000" w:themeColor="text1"/>
          <w:lang w:eastAsia="zh-CN"/>
        </w:rPr>
        <w:t>ea; Curcumin; Ginseng</w:t>
      </w:r>
    </w:p>
    <w:p w14:paraId="6BE8667A" w14:textId="77777777" w:rsidR="00E951FE" w:rsidRPr="007D5B4E" w:rsidRDefault="00E951FE" w:rsidP="00240E68">
      <w:pPr>
        <w:spacing w:after="0" w:line="360" w:lineRule="auto"/>
        <w:jc w:val="both"/>
        <w:rPr>
          <w:rFonts w:ascii="Book Antiqua" w:eastAsia="宋体" w:hAnsi="Book Antiqua"/>
          <w:b/>
          <w:color w:val="000000" w:themeColor="text1"/>
          <w:lang w:eastAsia="zh-CN"/>
        </w:rPr>
      </w:pPr>
    </w:p>
    <w:p w14:paraId="47273CC0" w14:textId="77777777" w:rsidR="00E951FE" w:rsidRPr="00F36768" w:rsidRDefault="00E951FE" w:rsidP="00240E68">
      <w:pPr>
        <w:spacing w:after="0" w:line="360" w:lineRule="auto"/>
        <w:rPr>
          <w:rFonts w:ascii="Book Antiqua" w:hAnsi="Book Antiqua"/>
          <w:i/>
          <w:iCs/>
        </w:rPr>
      </w:pPr>
      <w:proofErr w:type="gramStart"/>
      <w:r w:rsidRPr="00CA3195">
        <w:rPr>
          <w:rFonts w:ascii="Book Antiqua" w:hAnsi="Book Antiqua" w:cs="Tahoma"/>
          <w:b/>
          <w:color w:val="000000"/>
          <w:lang w:val="en-GB"/>
        </w:rPr>
        <w:t xml:space="preserve">© </w:t>
      </w:r>
      <w:r w:rsidRPr="00CA3195">
        <w:rPr>
          <w:rFonts w:ascii="Book Antiqua" w:eastAsia="AdvTimes" w:hAnsi="Book Antiqua" w:cs="AdvTimes"/>
          <w:b/>
          <w:color w:val="000000"/>
          <w:lang w:val="fr-FR"/>
        </w:rPr>
        <w:t>The Author(s) 2015.</w:t>
      </w:r>
      <w:proofErr w:type="gramEnd"/>
      <w:r>
        <w:rPr>
          <w:rFonts w:ascii="Book Antiqua" w:eastAsia="AdvTimes" w:hAnsi="Book Antiqua" w:cs="AdvTimes"/>
          <w:color w:val="000000"/>
          <w:lang w:val="fr-FR"/>
        </w:rPr>
        <w:t xml:space="preserve"> Published by </w:t>
      </w:r>
      <w:proofErr w:type="spellStart"/>
      <w:r>
        <w:rPr>
          <w:rFonts w:ascii="Book Antiqua" w:hAnsi="Book Antiqua" w:cs="Arial Unicode MS"/>
          <w:color w:val="000000"/>
          <w:lang w:val="en-GB"/>
        </w:rPr>
        <w:t>Baishideng</w:t>
      </w:r>
      <w:proofErr w:type="spellEnd"/>
      <w:r>
        <w:rPr>
          <w:rFonts w:ascii="Book Antiqua" w:hAnsi="Book Antiqua" w:cs="Arial Unicode MS"/>
          <w:color w:val="000000"/>
          <w:lang w:val="en-GB"/>
        </w:rPr>
        <w:t xml:space="preserve"> Publishing Group Inc.</w:t>
      </w:r>
      <w:r>
        <w:rPr>
          <w:rFonts w:ascii="Book Antiqua" w:hAnsi="Book Antiqua" w:cs="Arial Unicode MS"/>
          <w:lang w:val="en-GB"/>
        </w:rPr>
        <w:t xml:space="preserve"> </w:t>
      </w:r>
      <w:r>
        <w:rPr>
          <w:rFonts w:ascii="Book Antiqua" w:hAnsi="Book Antiqua" w:cs="Arial Unicode MS"/>
          <w:lang w:val="fr-FR"/>
        </w:rPr>
        <w:t>All rights reserved</w:t>
      </w:r>
      <w:r>
        <w:rPr>
          <w:rFonts w:ascii="Book Antiqua" w:hAnsi="Book Antiqua" w:cs="Arial Unicode MS" w:hint="eastAsia"/>
          <w:lang w:val="fr-FR"/>
        </w:rPr>
        <w:t>.</w:t>
      </w:r>
    </w:p>
    <w:p w14:paraId="6D267B1D" w14:textId="77777777" w:rsidR="006A05BF" w:rsidRPr="007D5B4E" w:rsidRDefault="006A05BF" w:rsidP="00240E68">
      <w:pPr>
        <w:spacing w:after="0" w:line="360" w:lineRule="auto"/>
        <w:jc w:val="both"/>
        <w:rPr>
          <w:rFonts w:ascii="Book Antiqua" w:eastAsia="宋体" w:hAnsi="Book Antiqua"/>
          <w:color w:val="000000" w:themeColor="text1"/>
          <w:lang w:eastAsia="zh-CN"/>
        </w:rPr>
      </w:pPr>
    </w:p>
    <w:p w14:paraId="3F9B618F" w14:textId="42B6A704" w:rsidR="00BD341F" w:rsidRPr="007D5B4E" w:rsidRDefault="00BD341F" w:rsidP="00240E68">
      <w:pPr>
        <w:spacing w:after="0" w:line="360" w:lineRule="auto"/>
        <w:jc w:val="both"/>
        <w:rPr>
          <w:rFonts w:ascii="Book Antiqua" w:eastAsia="宋体" w:hAnsi="Book Antiqua"/>
          <w:b/>
          <w:color w:val="000000" w:themeColor="text1"/>
          <w:lang w:eastAsia="zh-CN"/>
        </w:rPr>
      </w:pPr>
      <w:r w:rsidRPr="007D5B4E">
        <w:rPr>
          <w:rFonts w:ascii="Book Antiqua" w:eastAsia="宋体" w:hAnsi="Book Antiqua"/>
          <w:b/>
          <w:color w:val="000000" w:themeColor="text1"/>
          <w:lang w:eastAsia="zh-CN"/>
        </w:rPr>
        <w:t xml:space="preserve">Core tip: </w:t>
      </w:r>
      <w:r w:rsidR="005C5A11" w:rsidRPr="007D5B4E">
        <w:rPr>
          <w:rFonts w:ascii="Book Antiqua" w:eastAsia="宋体" w:hAnsi="Book Antiqua"/>
          <w:color w:val="000000" w:themeColor="text1"/>
          <w:lang w:eastAsia="zh-CN"/>
        </w:rPr>
        <w:t xml:space="preserve">This review article will summarize the risk factors and current treatment paradigms for colorectal cancer, with an emphasis on the role of targeted chemotherapy and chemoprevention as they relate to </w:t>
      </w:r>
      <w:r w:rsidR="007D5B4E" w:rsidRPr="007D5B4E">
        <w:rPr>
          <w:rFonts w:ascii="Book Antiqua" w:hAnsi="Book Antiqua"/>
        </w:rPr>
        <w:t>epidermal growth factor receptor (EGFR)</w:t>
      </w:r>
      <w:r w:rsidR="007D5B4E" w:rsidRPr="007D5B4E">
        <w:rPr>
          <w:rFonts w:ascii="Book Antiqua" w:eastAsia="宋体" w:hAnsi="Book Antiqua"/>
          <w:lang w:eastAsia="zh-CN"/>
        </w:rPr>
        <w:t xml:space="preserve"> </w:t>
      </w:r>
      <w:r w:rsidR="005C5A11" w:rsidRPr="007D5B4E">
        <w:rPr>
          <w:rFonts w:ascii="Book Antiqua" w:eastAsia="宋体" w:hAnsi="Book Antiqua"/>
          <w:color w:val="000000" w:themeColor="text1"/>
          <w:lang w:eastAsia="zh-CN"/>
        </w:rPr>
        <w:t xml:space="preserve">blockade. It will include an overview of the structure and function of EGFR as well as intracellular pathways regulated by its activity. It will discuss how various EGFR ligands are upregulated in the presence of Western diets that are high in saturated and N-6 unsaturated fat, and will outline </w:t>
      </w:r>
      <w:r w:rsidR="005C5A11" w:rsidRPr="007D5B4E">
        <w:rPr>
          <w:rFonts w:ascii="Book Antiqua" w:eastAsia="宋体" w:hAnsi="Book Antiqua"/>
          <w:color w:val="000000" w:themeColor="text1"/>
          <w:lang w:eastAsia="zh-CN"/>
        </w:rPr>
        <w:lastRenderedPageBreak/>
        <w:t xml:space="preserve">the various mechanisms of EGFR inhibition observed with several naturally occurring </w:t>
      </w:r>
      <w:proofErr w:type="spellStart"/>
      <w:r w:rsidR="005C5A11" w:rsidRPr="007D5B4E">
        <w:rPr>
          <w:rFonts w:ascii="Book Antiqua" w:eastAsia="宋体" w:hAnsi="Book Antiqua"/>
          <w:color w:val="000000" w:themeColor="text1"/>
          <w:lang w:eastAsia="zh-CN"/>
        </w:rPr>
        <w:t>chemopreventative</w:t>
      </w:r>
      <w:proofErr w:type="spellEnd"/>
      <w:r w:rsidR="005C5A11" w:rsidRPr="007D5B4E">
        <w:rPr>
          <w:rFonts w:ascii="Book Antiqua" w:eastAsia="宋体" w:hAnsi="Book Antiqua"/>
          <w:color w:val="000000" w:themeColor="text1"/>
          <w:lang w:eastAsia="zh-CN"/>
        </w:rPr>
        <w:t xml:space="preserve"> agents including ginseng, green tea, and curcumin. </w:t>
      </w:r>
    </w:p>
    <w:p w14:paraId="3B82D6FF" w14:textId="77777777" w:rsidR="00E951FE" w:rsidRPr="007D5B4E" w:rsidRDefault="00E951FE" w:rsidP="00240E68">
      <w:pPr>
        <w:spacing w:after="0" w:line="360" w:lineRule="auto"/>
        <w:jc w:val="both"/>
        <w:rPr>
          <w:rFonts w:ascii="Book Antiqua" w:eastAsia="宋体" w:hAnsi="Book Antiqua"/>
          <w:color w:val="000000" w:themeColor="text1"/>
          <w:lang w:eastAsia="zh-CN"/>
        </w:rPr>
      </w:pPr>
    </w:p>
    <w:p w14:paraId="0B06640B" w14:textId="7146A94B" w:rsidR="00E951FE" w:rsidRPr="00E951FE" w:rsidRDefault="00E951FE" w:rsidP="00240E68">
      <w:pPr>
        <w:spacing w:after="0" w:line="360" w:lineRule="auto"/>
        <w:jc w:val="both"/>
        <w:rPr>
          <w:rFonts w:ascii="Book Antiqua" w:eastAsia="宋体" w:hAnsi="Book Antiqua"/>
          <w:color w:val="000000" w:themeColor="text1"/>
          <w:lang w:eastAsia="zh-CN"/>
        </w:rPr>
      </w:pPr>
      <w:proofErr w:type="spellStart"/>
      <w:r w:rsidRPr="007D5B4E">
        <w:rPr>
          <w:rFonts w:ascii="Book Antiqua" w:eastAsia="宋体" w:hAnsi="Book Antiqua"/>
          <w:color w:val="000000" w:themeColor="text1"/>
          <w:lang w:eastAsia="zh-CN"/>
        </w:rPr>
        <w:t>Pabla</w:t>
      </w:r>
      <w:proofErr w:type="spellEnd"/>
      <w:r w:rsidRPr="007D5B4E">
        <w:rPr>
          <w:rFonts w:ascii="Book Antiqua" w:eastAsia="宋体" w:hAnsi="Book Antiqua"/>
          <w:color w:val="000000" w:themeColor="text1"/>
          <w:lang w:eastAsia="zh-CN"/>
        </w:rPr>
        <w:t xml:space="preserve"> BS</w:t>
      </w:r>
      <w:r>
        <w:rPr>
          <w:rFonts w:ascii="Book Antiqua" w:eastAsia="宋体" w:hAnsi="Book Antiqua" w:hint="eastAsia"/>
          <w:color w:val="000000" w:themeColor="text1"/>
          <w:lang w:eastAsia="zh-CN"/>
        </w:rPr>
        <w:t xml:space="preserve">, </w:t>
      </w:r>
      <w:proofErr w:type="spellStart"/>
      <w:r w:rsidRPr="007D5B4E">
        <w:rPr>
          <w:rFonts w:ascii="Book Antiqua" w:eastAsia="宋体" w:hAnsi="Book Antiqua"/>
          <w:color w:val="000000" w:themeColor="text1"/>
          <w:lang w:eastAsia="zh-CN"/>
        </w:rPr>
        <w:t>Bissonnette</w:t>
      </w:r>
      <w:proofErr w:type="spellEnd"/>
      <w:r>
        <w:rPr>
          <w:rFonts w:ascii="Book Antiqua" w:eastAsia="宋体" w:hAnsi="Book Antiqua" w:hint="eastAsia"/>
          <w:color w:val="000000" w:themeColor="text1"/>
          <w:lang w:eastAsia="zh-CN"/>
        </w:rPr>
        <w:t xml:space="preserve"> M, </w:t>
      </w:r>
      <w:r w:rsidRPr="007D5B4E">
        <w:rPr>
          <w:rFonts w:ascii="Book Antiqua" w:eastAsia="宋体" w:hAnsi="Book Antiqua"/>
          <w:color w:val="000000" w:themeColor="text1"/>
          <w:lang w:eastAsia="zh-CN"/>
        </w:rPr>
        <w:t>Konda</w:t>
      </w:r>
      <w:r>
        <w:rPr>
          <w:rFonts w:ascii="Book Antiqua" w:eastAsia="宋体" w:hAnsi="Book Antiqua" w:hint="eastAsia"/>
          <w:color w:val="000000" w:themeColor="text1"/>
          <w:lang w:eastAsia="zh-CN"/>
        </w:rPr>
        <w:t xml:space="preserve"> VJ.</w:t>
      </w:r>
      <w:r w:rsidRPr="00E951FE">
        <w:rPr>
          <w:rFonts w:ascii="Book Antiqua" w:hAnsi="Book Antiqua"/>
          <w:color w:val="000000" w:themeColor="text1"/>
        </w:rPr>
        <w:t xml:space="preserve"> Colon cancer and the </w:t>
      </w:r>
      <w:r w:rsidRPr="00E951FE">
        <w:rPr>
          <w:rFonts w:ascii="Book Antiqua" w:hAnsi="Book Antiqua"/>
        </w:rPr>
        <w:t xml:space="preserve">epidermal growth factor </w:t>
      </w:r>
      <w:r w:rsidRPr="00E951FE">
        <w:rPr>
          <w:rFonts w:ascii="Book Antiqua" w:hAnsi="Book Antiqua"/>
          <w:color w:val="000000" w:themeColor="text1"/>
        </w:rPr>
        <w:t>receptor: Current treatment paradigms, the importance of diet, and the role of chemoprevention</w:t>
      </w:r>
      <w:r>
        <w:rPr>
          <w:rFonts w:ascii="Book Antiqua" w:eastAsia="宋体" w:hAnsi="Book Antiqua" w:hint="eastAsia"/>
          <w:color w:val="000000" w:themeColor="text1"/>
          <w:lang w:eastAsia="zh-CN"/>
        </w:rPr>
        <w:t xml:space="preserve">. </w:t>
      </w:r>
      <w:r w:rsidRPr="00C341A0">
        <w:rPr>
          <w:rFonts w:ascii="Book Antiqua" w:hAnsi="Book Antiqua"/>
          <w:i/>
          <w:iCs/>
        </w:rPr>
        <w:t xml:space="preserve">World J </w:t>
      </w:r>
      <w:proofErr w:type="spellStart"/>
      <w:r w:rsidRPr="00C341A0">
        <w:rPr>
          <w:rFonts w:ascii="Book Antiqua" w:hAnsi="Book Antiqua"/>
          <w:i/>
          <w:iCs/>
        </w:rPr>
        <w:t>Clin</w:t>
      </w:r>
      <w:proofErr w:type="spellEnd"/>
      <w:r w:rsidRPr="00C341A0">
        <w:rPr>
          <w:rFonts w:ascii="Book Antiqua" w:hAnsi="Book Antiqua"/>
          <w:i/>
          <w:iCs/>
        </w:rPr>
        <w:t xml:space="preserve"> </w:t>
      </w:r>
      <w:proofErr w:type="spellStart"/>
      <w:r w:rsidRPr="00C341A0">
        <w:rPr>
          <w:rFonts w:ascii="Book Antiqua" w:hAnsi="Book Antiqua"/>
          <w:i/>
          <w:iCs/>
        </w:rPr>
        <w:t>Oncol</w:t>
      </w:r>
      <w:proofErr w:type="spellEnd"/>
      <w:r>
        <w:rPr>
          <w:rFonts w:ascii="Book Antiqua" w:eastAsia="宋体" w:hAnsi="Book Antiqua" w:hint="eastAsia"/>
          <w:iCs/>
          <w:lang w:eastAsia="zh-CN"/>
        </w:rPr>
        <w:t xml:space="preserve"> 2015; </w:t>
      </w:r>
      <w:proofErr w:type="gramStart"/>
      <w:r>
        <w:rPr>
          <w:rFonts w:ascii="Book Antiqua" w:eastAsia="宋体" w:hAnsi="Book Antiqua" w:hint="eastAsia"/>
          <w:iCs/>
          <w:lang w:eastAsia="zh-CN"/>
        </w:rPr>
        <w:t>In</w:t>
      </w:r>
      <w:proofErr w:type="gramEnd"/>
      <w:r>
        <w:rPr>
          <w:rFonts w:ascii="Book Antiqua" w:eastAsia="宋体" w:hAnsi="Book Antiqua" w:hint="eastAsia"/>
          <w:iCs/>
          <w:lang w:eastAsia="zh-CN"/>
        </w:rPr>
        <w:t xml:space="preserve"> press</w:t>
      </w:r>
    </w:p>
    <w:p w14:paraId="5BDB9CA6" w14:textId="77777777" w:rsidR="00E951FE" w:rsidRPr="00E951FE" w:rsidRDefault="00E951FE" w:rsidP="00240E68">
      <w:pPr>
        <w:spacing w:after="0" w:line="360" w:lineRule="auto"/>
        <w:jc w:val="both"/>
        <w:rPr>
          <w:rFonts w:ascii="Book Antiqua" w:eastAsia="宋体" w:hAnsi="Book Antiqua"/>
          <w:color w:val="0000FF"/>
          <w:lang w:eastAsia="zh-CN"/>
        </w:rPr>
      </w:pPr>
    </w:p>
    <w:p w14:paraId="3F1BDB5B" w14:textId="77777777" w:rsidR="00E951FE" w:rsidRDefault="00E951FE" w:rsidP="00240E68">
      <w:pPr>
        <w:spacing w:after="0" w:line="360" w:lineRule="auto"/>
        <w:rPr>
          <w:rFonts w:ascii="Book Antiqua" w:eastAsia="宋体" w:hAnsi="Book Antiqua"/>
          <w:b/>
          <w:lang w:eastAsia="zh-CN"/>
        </w:rPr>
      </w:pPr>
      <w:r>
        <w:rPr>
          <w:rFonts w:ascii="Book Antiqua" w:eastAsia="宋体" w:hAnsi="Book Antiqua"/>
          <w:b/>
          <w:lang w:eastAsia="zh-CN"/>
        </w:rPr>
        <w:br w:type="page"/>
      </w:r>
    </w:p>
    <w:p w14:paraId="46FA87EF" w14:textId="475265E5" w:rsidR="00BD341F" w:rsidRPr="007D5B4E" w:rsidRDefault="00BD341F" w:rsidP="00240E68">
      <w:pPr>
        <w:spacing w:after="0" w:line="360" w:lineRule="auto"/>
        <w:jc w:val="both"/>
        <w:rPr>
          <w:rFonts w:ascii="Book Antiqua" w:eastAsia="宋体" w:hAnsi="Book Antiqua"/>
          <w:b/>
          <w:lang w:eastAsia="zh-CN"/>
        </w:rPr>
      </w:pPr>
      <w:r w:rsidRPr="007D5B4E">
        <w:rPr>
          <w:rFonts w:ascii="Book Antiqua" w:eastAsia="宋体" w:hAnsi="Book Antiqua"/>
          <w:b/>
          <w:lang w:eastAsia="zh-CN"/>
        </w:rPr>
        <w:lastRenderedPageBreak/>
        <w:t>INTRODUCTION</w:t>
      </w:r>
    </w:p>
    <w:p w14:paraId="47F8A7CA" w14:textId="77777777" w:rsidR="007D5B4E" w:rsidRPr="007D5B4E" w:rsidRDefault="00890F3E" w:rsidP="00240E68">
      <w:pPr>
        <w:spacing w:after="0" w:line="360" w:lineRule="auto"/>
        <w:jc w:val="both"/>
        <w:rPr>
          <w:rFonts w:ascii="Book Antiqua" w:eastAsia="宋体" w:hAnsi="Book Antiqua"/>
          <w:lang w:eastAsia="zh-CN"/>
        </w:rPr>
      </w:pPr>
      <w:r w:rsidRPr="007D5B4E">
        <w:rPr>
          <w:rFonts w:ascii="Book Antiqua" w:hAnsi="Book Antiqua"/>
        </w:rPr>
        <w:t>A total of 1665</w:t>
      </w:r>
      <w:r w:rsidR="00093D70" w:rsidRPr="007D5B4E">
        <w:rPr>
          <w:rFonts w:ascii="Book Antiqua" w:hAnsi="Book Antiqua"/>
        </w:rPr>
        <w:t>540 new cancer cases and 585</w:t>
      </w:r>
      <w:r w:rsidR="00F950CC" w:rsidRPr="007D5B4E">
        <w:rPr>
          <w:rFonts w:ascii="Book Antiqua" w:hAnsi="Book Antiqua"/>
        </w:rPr>
        <w:t>720 cancer deaths were projected to occur in the United States in 2014. Of these, colon and rectal cancer (CRC) will account for 8% of new cases, representing the third most common and the second deadliest type of cancer for both men and women</w:t>
      </w:r>
      <w:r w:rsidR="00F950CC"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"10.3322/caac.21208", "ISSN" : "1542-4863", "PMID" : "24399786", "abstract" : "Each year, the American Cancer Society estimates the numbers of new cancer cases and deaths that will occur in the United States in the current year and compiles the most recent data on cancer incidence, mortality, and survival. Incidence data were collected by the National Cancer Institute, the Centers for Disease Control and Prevention, and the North American Association of Central Cancer Registries and mortality data were collected by the National Center for Health Statistics. A total of 1,665,540 new cancer cases and 585,720 cancer deaths are projected to occur in the United States in 2014. During the most recent 5 years for which there are data (2006-2010), delay-adjusted cancer incidence rates declined slightly in men (by 0.6% per year) and were stable in women, while cancer death rates decreased by 1.8% per year in men and by 1.4% per year in women. The combined cancer death rate (deaths per 100,000 population) has been continuously declining for 2 decades, from a peak of 215.1 in 1991 to 171.8 in 2010. This 20% decline translates to the avoidance of approximately 1,340,400 cancer deaths (952,700 among men and 387,700 among women) during this time period. The magnitude of the decline in cancer death rates from 1991 to 2010 varies substantially by age, race, and sex, ranging from no decline among white women aged 80 years and older to a 55% decline among black men aged 40 years to 49 years. Notably, black men experienced the largest drop within every 10-year age group. Further progress can be accelerated by applying existing cancer control knowledge across all segments of the population.", "author" : [ { "dropping-particle" : "", "family" : "Siegel", "given" : "Rebecca", "non-dropping-particle" : "", "parse-names" : false, "suffix" : "" }, { "dropping-particle" : "", "family" : "Ma", "given" : "Jiemin", "non-dropping-particle" : "", "parse-names" : false, "suffix" : "" }, { "dropping-particle" : "", "family" : "Zou", "given" : "Zhaohui", "non-dropping-particle" : "", "parse-names" : false, "suffix" : "" }, { "dropping-particle" : "", "family" : "Jemal", "given" : "Ahmedin", "non-dropping-particle" : "", "parse-names" : false, "suffix" : "" } ], "container-title" : "CA: a cancer journal for clinicians", "id" : "ITEM-1", "issue" : "1", "issued" : { "date-parts" : [ [ "0", "1" ] ] }, "page" : "9-29", "title" : "Cancer statistics, 2014.", "type" : "article-journal", "volume" : "64" }, "uris" : [ "http://www.mendeley.com/documents/?uuid=35a3cdcc-b35e-41c8-b699-eac143b88fe8" ] } ], "mendeley" : { "formattedCitation" : "&lt;sup&gt;[1]&lt;/sup&gt;", "plainTextFormattedCitation" : "[1]", "previouslyFormattedCitation" : "&lt;sup&gt;[1]&lt;/sup&gt;" }, "properties" : { "noteIndex" : 0 }, "schema" : "https://github.com/citation-style-language/schema/raw/master/csl-citation.json" }</w:instrText>
      </w:r>
      <w:r w:rsidR="00F950CC" w:rsidRPr="007D5B4E">
        <w:rPr>
          <w:rFonts w:ascii="Book Antiqua" w:hAnsi="Book Antiqua"/>
          <w:vertAlign w:val="superscript"/>
        </w:rPr>
        <w:fldChar w:fldCharType="separate"/>
      </w:r>
      <w:r w:rsidR="006A05BF" w:rsidRPr="007D5B4E">
        <w:rPr>
          <w:rFonts w:ascii="Book Antiqua" w:hAnsi="Book Antiqua"/>
          <w:noProof/>
          <w:vertAlign w:val="superscript"/>
        </w:rPr>
        <w:t>[1]</w:t>
      </w:r>
      <w:r w:rsidR="00F950CC" w:rsidRPr="007D5B4E">
        <w:rPr>
          <w:rFonts w:ascii="Book Antiqua" w:hAnsi="Book Antiqua"/>
          <w:vertAlign w:val="superscript"/>
        </w:rPr>
        <w:fldChar w:fldCharType="end"/>
      </w:r>
      <w:r w:rsidR="00F950CC" w:rsidRPr="007D5B4E">
        <w:rPr>
          <w:rFonts w:ascii="Book Antiqua" w:hAnsi="Book Antiqua"/>
        </w:rPr>
        <w:t>, cla</w:t>
      </w:r>
      <w:r w:rsidR="007D5B4E" w:rsidRPr="007D5B4E">
        <w:rPr>
          <w:rFonts w:ascii="Book Antiqua" w:hAnsi="Book Antiqua"/>
        </w:rPr>
        <w:t>iming over 50</w:t>
      </w:r>
      <w:r w:rsidR="00BD341F" w:rsidRPr="007D5B4E">
        <w:rPr>
          <w:rFonts w:ascii="Book Antiqua" w:hAnsi="Book Antiqua"/>
        </w:rPr>
        <w:t>000 lives in 2014</w:t>
      </w:r>
      <w:r w:rsidR="00BD341F" w:rsidRPr="007D5B4E">
        <w:rPr>
          <w:rFonts w:ascii="Book Antiqua" w:eastAsia="宋体" w:hAnsi="Book Antiqua"/>
          <w:vertAlign w:val="superscript"/>
          <w:lang w:eastAsia="zh-CN"/>
        </w:rPr>
        <w:t>[1,2]</w:t>
      </w:r>
      <w:r w:rsidR="00F950CC" w:rsidRPr="007D5B4E">
        <w:rPr>
          <w:rFonts w:ascii="Book Antiqua" w:hAnsi="Book Antiqua"/>
        </w:rPr>
        <w:t>. The 5-year survival rate for patients diagnosed with metastatic CRC is &lt;</w:t>
      </w:r>
      <w:r w:rsidR="007D5B4E" w:rsidRPr="007D5B4E">
        <w:rPr>
          <w:rFonts w:ascii="Book Antiqua" w:eastAsia="宋体" w:hAnsi="Book Antiqua"/>
          <w:lang w:eastAsia="zh-CN"/>
        </w:rPr>
        <w:t xml:space="preserve"> </w:t>
      </w:r>
      <w:r w:rsidR="00F950CC" w:rsidRPr="007D5B4E">
        <w:rPr>
          <w:rFonts w:ascii="Book Antiqua" w:hAnsi="Book Antiqua"/>
        </w:rPr>
        <w:t>15%</w:t>
      </w:r>
      <w:r w:rsidR="00F950CC"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"10.3322/caac.21208", "ISSN" : "1542-4863", "PMID" : "24399786", "abstract" : "Each year, the American Cancer Society estimates the numbers of new cancer cases and deaths that will occur in the United States in the current year and compiles the most recent data on cancer incidence, mortality, and survival. Incidence data were collected by the National Cancer Institute, the Centers for Disease Control and Prevention, and the North American Association of Central Cancer Registries and mortality data were collected by the National Center for Health Statistics. A total of 1,665,540 new cancer cases and 585,720 cancer deaths are projected to occur in the United States in 2014. During the most recent 5 years for which there are data (2006-2010), delay-adjusted cancer incidence rates declined slightly in men (by 0.6% per year) and were stable in women, while cancer death rates decreased by 1.8% per year in men and by 1.4% per year in women. The combined cancer death rate (deaths per 100,000 population) has been continuously declining for 2 decades, from a peak of 215.1 in 1991 to 171.8 in 2010. This 20% decline translates to the avoidance of approximately 1,340,400 cancer deaths (952,700 among men and 387,700 among women) during this time period. The magnitude of the decline in cancer death rates from 1991 to 2010 varies substantially by age, race, and sex, ranging from no decline among white women aged 80 years and older to a 55% decline among black men aged 40 years to 49 years. Notably, black men experienced the largest drop within every 10-year age group. Further progress can be accelerated by applying existing cancer control knowledge across all segments of the population.", "author" : [ { "dropping-particle" : "", "family" : "Siegel", "given" : "Rebecca", "non-dropping-particle" : "", "parse-names" : false, "suffix" : "" }, { "dropping-particle" : "", "family" : "Ma", "given" : "Jiemin", "non-dropping-particle" : "", "parse-names" : false, "suffix" : "" }, { "dropping-particle" : "", "family" : "Zou", "given" : "Zhaohui", "non-dropping-particle" : "", "parse-names" : false, "suffix" : "" }, { "dropping-particle" : "", "family" : "Jemal", "given" : "Ahmedin", "non-dropping-particle" : "", "parse-names" : false, "suffix" : "" } ], "container-title" : "CA: a cancer journal for clinicians", "id" : "ITEM-1", "issue" : "1", "issued" : { "date-parts" : [ [ "0", "1" ] ] }, "page" : "9-29", "title" : "Cancer statistics, 2014.", "type" : "article-journal", "volume" : "64" }, "uris" : [ "http://www.mendeley.com/documents/?uuid=35a3cdcc-b35e-41c8-b699-eac143b88fe8" ] } ], "mendeley" : { "formattedCitation" : "&lt;sup&gt;[1]&lt;/sup&gt;", "plainTextFormattedCitation" : "[1]", "previouslyFormattedCitation" : "&lt;sup&gt;[1]&lt;/sup&gt;" }, "properties" : { "noteIndex" : 0 }, "schema" : "https://github.com/citation-style-language/schema/raw/master/csl-citation.json" }</w:instrText>
      </w:r>
      <w:r w:rsidR="00F950CC" w:rsidRPr="007D5B4E">
        <w:rPr>
          <w:rFonts w:ascii="Book Antiqua" w:hAnsi="Book Antiqua"/>
        </w:rPr>
        <w:fldChar w:fldCharType="separate"/>
      </w:r>
      <w:r w:rsidR="006A05BF" w:rsidRPr="007D5B4E">
        <w:rPr>
          <w:rFonts w:ascii="Book Antiqua" w:hAnsi="Book Antiqua"/>
          <w:noProof/>
          <w:vertAlign w:val="superscript"/>
        </w:rPr>
        <w:t>[1]</w:t>
      </w:r>
      <w:r w:rsidR="00F950CC" w:rsidRPr="007D5B4E">
        <w:rPr>
          <w:rFonts w:ascii="Book Antiqua" w:hAnsi="Book Antiqua"/>
        </w:rPr>
        <w:fldChar w:fldCharType="end"/>
      </w:r>
      <w:r w:rsidR="00F950CC" w:rsidRPr="007D5B4E">
        <w:rPr>
          <w:rFonts w:ascii="Book Antiqua" w:hAnsi="Book Antiqua"/>
        </w:rPr>
        <w:t xml:space="preserve">. Early detection and treatment is crucial for the improvement in morbidity and mortality of patients afflicted with this disease. </w:t>
      </w:r>
    </w:p>
    <w:p w14:paraId="0A093206" w14:textId="2949BFBC" w:rsidR="00F950CC" w:rsidRPr="007D5B4E" w:rsidRDefault="00F950CC" w:rsidP="00240E68">
      <w:pPr>
        <w:spacing w:after="0" w:line="360" w:lineRule="auto"/>
        <w:ind w:firstLineChars="200" w:firstLine="480"/>
        <w:jc w:val="both"/>
        <w:rPr>
          <w:rFonts w:ascii="Book Antiqua" w:hAnsi="Book Antiqua"/>
        </w:rPr>
      </w:pPr>
      <w:r w:rsidRPr="007D5B4E">
        <w:rPr>
          <w:rFonts w:ascii="Book Antiqua" w:hAnsi="Book Antiqua"/>
        </w:rPr>
        <w:t>Overexpression of epidermal growth factor receptor (EGFR) is common in many tumors. Specifically in CRC, EGFR is estimated to be overexpressed in 60-80% of tumors, and is associated with a poor prognosis</w:t>
      </w:r>
      <w:r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"10.3816/CCC.2003.n.006", "ISSN" : "1533-0028", "PMID" : "12620146", "abstract" : "The epidermal growth factor receptor (EGFR) is widely expressed in advanced colorectal cancers (CRCs), and higher levels of EGFR are inversely related to survival in these patients. Two general strategies have been used to block EGFR signaling: preventing ligand binding with anti-EGFR monoclonal antibodies (eg, cetuximab and ABX-EGF) and inhibiting its intrinsic tyrosine kinase with small molecules (eg, gefitinib [Iressa] and erlotinib [OSI-774,Tarceva]). Phase II trials of cetuximab suggest that it might be an effective treatment option alone or in combination with standard therapies as first- or second-line therapy. Phase I studies evaluating other EGFR inhibitors in patients with CRC have been reported. The inclusion of anti-EGFR therapies into standard treatment is the subject of current clinical trials.", "author" : [ { "dropping-particle" : "", "family" : "Cohen", "given" : "Roger B", "non-dropping-particle" : "", "parse-names" : false, "suffix" : "" } ], "container-title" : "Clinical colorectal cancer", "id" : "ITEM-1", "issue" : "4", "issued" : { "date-parts" : [ [ "2003" ] ] }, "page" : "246-251", "publisher" : "Elsevier Inc.", "title" : "Epidermal growth factor receptor as a therapeutic target in colorectal cancer.", "type" : "article-journal", "volume" : "2" }, "uris" : [ "http://www.mendeley.com/documents/?uuid=bd7eef6b-e3eb-4920-8d41-7decda2dbe2c" ] } ], "mendeley" : { "formattedCitation" : "&lt;sup&gt;[2]&lt;/sup&gt;", "plainTextFormattedCitation" : "[2]", "previouslyFormattedCitation" : "&lt;sup&gt;[2]&lt;/sup&gt;" }, "properties" : { "noteIndex" : 0 }, "schema" : "https://github.com/citation-style-language/schema/raw/master/csl-citation.json" }</w:instrText>
      </w:r>
      <w:r w:rsidRPr="007D5B4E">
        <w:rPr>
          <w:rFonts w:ascii="Book Antiqua" w:hAnsi="Book Antiqua"/>
        </w:rPr>
        <w:fldChar w:fldCharType="separate"/>
      </w:r>
      <w:r w:rsidR="006A05BF" w:rsidRPr="007D5B4E">
        <w:rPr>
          <w:rFonts w:ascii="Book Antiqua" w:hAnsi="Book Antiqua"/>
          <w:noProof/>
          <w:vertAlign w:val="superscript"/>
        </w:rPr>
        <w:t>[2]</w:t>
      </w:r>
      <w:r w:rsidRPr="007D5B4E">
        <w:rPr>
          <w:rFonts w:ascii="Book Antiqua" w:hAnsi="Book Antiqua"/>
        </w:rPr>
        <w:fldChar w:fldCharType="end"/>
      </w:r>
      <w:r w:rsidRPr="007D5B4E">
        <w:rPr>
          <w:rFonts w:ascii="Book Antiqua" w:hAnsi="Book Antiqua"/>
        </w:rPr>
        <w:t xml:space="preserve">. For these reasons EGFR has been targeted as a locus for treatment with small molecule inhibitors and monoclonal antibodies, with the latter playing a role in the treatment of metastatic disease. This review article will discuss risk factors and current treatment modalities for colorectal cancer and examine the roles of chemotherapy and chemoprevention. </w:t>
      </w:r>
    </w:p>
    <w:p w14:paraId="41F29B23" w14:textId="77777777" w:rsidR="007D5B4E" w:rsidRPr="007D5B4E" w:rsidRDefault="007D5B4E" w:rsidP="00240E68">
      <w:pPr>
        <w:spacing w:after="0" w:line="360" w:lineRule="auto"/>
        <w:ind w:firstLineChars="100" w:firstLine="240"/>
        <w:jc w:val="both"/>
        <w:rPr>
          <w:rFonts w:ascii="Book Antiqua" w:eastAsia="宋体" w:hAnsi="Book Antiqua"/>
          <w:lang w:eastAsia="zh-CN"/>
        </w:rPr>
      </w:pPr>
    </w:p>
    <w:p w14:paraId="1DD0C156" w14:textId="77777777" w:rsidR="00F950CC" w:rsidRPr="007D5B4E" w:rsidRDefault="00F950CC" w:rsidP="00240E68">
      <w:pPr>
        <w:spacing w:after="0" w:line="360" w:lineRule="auto"/>
        <w:jc w:val="both"/>
        <w:rPr>
          <w:rFonts w:ascii="Book Antiqua" w:hAnsi="Book Antiqua"/>
          <w:b/>
          <w:bCs/>
          <w:caps/>
        </w:rPr>
      </w:pPr>
      <w:r w:rsidRPr="007D5B4E">
        <w:rPr>
          <w:rFonts w:ascii="Book Antiqua" w:hAnsi="Book Antiqua"/>
          <w:b/>
          <w:bCs/>
          <w:caps/>
        </w:rPr>
        <w:t>Risk Factors For Colorectal Cancer</w:t>
      </w:r>
    </w:p>
    <w:p w14:paraId="35A26C01" w14:textId="77777777" w:rsidR="007D5B4E" w:rsidRPr="007D5B4E" w:rsidRDefault="00F950CC" w:rsidP="00240E68">
      <w:pPr>
        <w:spacing w:after="0" w:line="360" w:lineRule="auto"/>
        <w:jc w:val="both"/>
        <w:rPr>
          <w:rFonts w:ascii="Book Antiqua" w:eastAsia="宋体" w:hAnsi="Book Antiqua"/>
          <w:lang w:eastAsia="zh-CN"/>
        </w:rPr>
      </w:pPr>
      <w:r w:rsidRPr="007D5B4E">
        <w:rPr>
          <w:rFonts w:ascii="Book Antiqua" w:hAnsi="Book Antiqua"/>
        </w:rPr>
        <w:t>Many factors have been identified contributing to the risk of colon cancer. These risk factors are believed to increase the rate at which genetic mutations occur in various oncogenes and tumor suppressor genes, and/or result in growth-promoting epigenetic modifications. Generally, these factors can be classified into the following categories: germline genetic mutations, environmental exposures, personal or family history of CRC, associated diseases, and demographic considerations.</w:t>
      </w:r>
    </w:p>
    <w:p w14:paraId="4702612B" w14:textId="33162D11" w:rsidR="00F950CC" w:rsidRPr="007D5B4E" w:rsidRDefault="00F950CC" w:rsidP="00240E68">
      <w:pPr>
        <w:spacing w:after="0" w:line="360" w:lineRule="auto"/>
        <w:ind w:firstLineChars="200" w:firstLine="480"/>
        <w:jc w:val="both"/>
        <w:rPr>
          <w:rFonts w:ascii="Book Antiqua" w:hAnsi="Book Antiqua"/>
        </w:rPr>
      </w:pPr>
      <w:r w:rsidRPr="007D5B4E">
        <w:rPr>
          <w:rFonts w:ascii="Book Antiqua" w:hAnsi="Book Antiqua"/>
        </w:rPr>
        <w:t xml:space="preserve">There are several germline genetic mutations that greatly increase the incidence of colon cancer through distinct molecular mechanisms. The two syndromes that account for most of the hereditary diseases are Lynch syndrome, and familial adenomatous polyposis (FAP) syndrome. Recent estimates indicate that Lynch syndrome accounts for approximately 3% of CRC cases, while FAP </w:t>
      </w:r>
      <w:r w:rsidRPr="007D5B4E">
        <w:rPr>
          <w:rFonts w:ascii="Book Antiqua" w:hAnsi="Book Antiqua"/>
        </w:rPr>
        <w:lastRenderedPageBreak/>
        <w:t xml:space="preserve">syndrome </w:t>
      </w:r>
      <w:r w:rsidR="007D5B4E" w:rsidRPr="007D5B4E">
        <w:rPr>
          <w:rFonts w:ascii="Book Antiqua" w:hAnsi="Book Antiqua"/>
        </w:rPr>
        <w:t>contributes an additional 0.01%</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"10.1200/JCO.2008.17.5950", "ISBN" : "0732-183X", "ISSN" : "0732183X", "PMID" : "18809606", "abstract" : "Purpose: Identifying individuals with Lynch syndrome (LS) is highly beneficial. However, it is unclear whether microsatellite instability (MSI) or immunohistochemistry (IHC) should be used as the screening test and whether screening should target all patients with colorectal cancer (CRC) or those in high-risk subgroups. Patients and Methods: MSI testing and IHC for the four mismatch repair proteins was performed on 500 tumors from unselected patients with CRC. If either MSI or IHC was abnormal, complete mutation analysis for the mismatch repair genes was performed. Results: Among the 500 patients, 18 patients (3.6%) had LS. All 18 patients detected with LS (100%) had MSI-high tumors; 17 (94%) of 18 patients with LS were correctly predicted by IHC. Of the 18 probands, only eight patients (44%) were diagnosed at age younger than 50 years, and only 13 patients (72%) met the revised Bethesda guidelines. When these results were added to data on 1,066 previously studied patients, the entire study cohort (N = 1,566) showed an overall prevalence of 44 of 1,566 patients (2.8%; 95% CI, 2.1% to 3.8%) for LS. For each proband, on average, three additional family members carried MMR mutations. Conclusion: One of every 35 patients with CRC has LS, and each has at least three relatives with LS; all of whom can benefit from increased cancer surveillance. For screening, IHC is almost equally sensitive as MSI, but IHC is more readily available and helps to direct gene testing. Limiting tumor analysis to patients who fulfill Bethesda criteria would fail to identify 28% (or one in four) cases of LS.", "author" : [ { "dropping-particle" : "", "family" : "Hampel", "given" : "Heather", "non-dropping-particle" : "", "parse-names" : false, "suffix" : "" }, { "dropping-particle" : "", "family" : "Frankel", "given" : "Wendy L.", "non-dropping-particle" : "", "parse-names" : false, "suffix" : "" }, { "dropping-particle" : "", "family" : "Martin", "given" : "Edward", "non-dropping-particle" : "", "parse-names" : false, "suffix" : "" }, { "dropping-particle" : "", "family" : "Arnold", "given" : "Mark", "non-dropping-particle" : "", "parse-names" : false, "suffix" : "" }, { "dropping-particle" : "", "family" : "Khanduja", "given" : "Karamjit", "non-dropping-particle" : "", "parse-names" : false, "suffix" : "" }, { "dropping-particle" : "", "family" : "Kuebler", "given" : "Philip", "non-dropping-particle" : "", "parse-names" : false, "suffix" : "" }, { "dropping-particle" : "", "family" : "Clendenning", "given" : "Mark", "non-dropping-particle" : "", "parse-names" : false, "suffix" : "" }, { "dropping-particle" : "", "family" : "Sotamaa", "given" : "Kaisa", "non-dropping-particle" : "", "parse-names" : false, "suffix" : "" }, { "dropping-particle" : "", "family" : "Prior", "given" : "Thomas", "non-dropping-particle" : "", "parse-names" : false, "suffix" : "" }, { "dropping-particle" : "", "family" : "Westman", "given" : "Judith a.", "non-dropping-particle" : "", "parse-names" : false, "suffix" : "" }, { "dropping-particle" : "", "family" : "Panescu", "given" : "Jenny", "non-dropping-particle" : "", "parse-names" : false, "suffix" : "" }, { "dropping-particle" : "", "family" : "Fix", "given" : "Dan", "non-dropping-particle" : "", "parse-names" : false, "suffix" : "" }, { "dropping-particle" : "", "family" : "Lockman", "given" : "Janet", "non-dropping-particle" : "", "parse-names" : false, "suffix" : "" }, { "dropping-particle" : "", "family" : "LaJeunesse", "given" : "Jennifer", "non-dropping-particle" : "", "parse-names" : false, "suffix" : "" }, { "dropping-particle" : "", "family" : "Comeras", "given" : "Ilene", "non-dropping-particle" : "", "parse-names" : false, "suffix" : "" }, { "dropping-particle" : "", "family" : "La Chapelle", "given" : "Albert", "non-dropping-particle" : "De", "parse-names" : false, "suffix" : "" } ], "container-title" : "Journal of Clinical Oncology", "id" : "ITEM-1", "issue" : "35", "issued" : { "date-parts" : [ [ "2008" ] ] }, "page" : "5783-5788", "title" : "Feasibility of screening for Lynch syndrome among patients with colorectal cancer", "type" : "article-journal", "volume" : "26" }, "uris" : [ "http://www.mendeley.com/documents/?uuid=a69a52fd-8d7a-4d54-a452-4f5def08707e" ] }, { "id" : "ITEM-2", "itemData" : { "DOI" : "10.1007/BF00342466", "ISSN" : "0179-1958", "PMID" : "8739833", "abstract" : "Based on the Danish Polyposis Register epidemiological calculations on familial adenomatous polyposis (FAP) were carried out. The mean annual incidence was 1.85 x 10(-6) during the years 1971-1992, and the prevalence increasing to about 32 x 10(-6) at the end of 1992. FAP patients constituted a decreased percentage of all Danish patients with colorectal cancer (0.07% in 1980-1992). The completeness of registration was 97% in 1983-1992. The results are similar to Finnish estimates based on the same direct method of calculation, and as both series are based on almost complete national polyposis registration in well-registered populations we regard our results to be close to the true incidence rate.", "author" : [ { "dropping-particle" : "", "family" : "B\u00fclow", "given" : "S", "non-dropping-particle" : "", "parse-names" : false, "suffix" : "" }, { "dropping-particle" : "", "family" : "Faurschou Nielsen", "given" : "T", "non-dropping-particle" : "", "parse-names" : false, "suffix" : "" }, { "dropping-particle" : "", "family" : "B\u00fclow", "given" : "C", "non-dropping-particle" : "", "parse-names" : false, "suffix" : "" }, { "dropping-particle" : "", "family" : "Bisgaard", "given" : "M L", "non-dropping-particle" : "", "parse-names" : false, "suffix" : "" }, { "dropping-particle" : "", "family" : "Karlsen", "given" : "L", "non-dropping-particle" : "", "parse-names" : false, "suffix" : "" }, { "dropping-particle" : "", "family" : "Moesgaard", "given" : "F", "non-dropping-particle" : "", "parse-names" : false, "suffix" : "" } ], "container-title" : "International journal of colorectal disease", "id" : "ITEM-2", "issue" : "2", "issued" : { "date-parts" : [ [ "1996", "1" ] ] }, "page" : "88-91", "title" : "The incidence rate of familial adenomatous polyposis. Results from the Danish Polyposis Register.", "type" : "article-journal", "volume" : "11" }, "uris" : [ "http://www.mendeley.com/documents/?uuid=4cc2fe41-372c-48de-89a0-d449585f522e" ] } ], "mendeley" : { "formattedCitation" : "&lt;sup&gt;[3,4]&lt;/sup&gt;", "plainTextFormattedCitation" : "[3,4]", "previouslyFormattedCitation" : "&lt;sup&gt;[3,4]&lt;/sup&gt;"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[3,4]</w:t>
      </w:r>
      <w:r w:rsidRPr="007D5B4E">
        <w:rPr>
          <w:rFonts w:ascii="Book Antiqua" w:hAnsi="Book Antiqua"/>
          <w:vertAlign w:val="superscript"/>
        </w:rPr>
        <w:fldChar w:fldCharType="end"/>
      </w:r>
      <w:r w:rsidRPr="007D5B4E">
        <w:rPr>
          <w:rFonts w:ascii="Book Antiqua" w:hAnsi="Book Antiqua"/>
        </w:rPr>
        <w:t xml:space="preserve">. Lynch syndrome is caused by mutations in one or more of the DNA mismatch repair genes </w:t>
      </w:r>
      <w:r w:rsidRPr="007D5B4E">
        <w:rPr>
          <w:rFonts w:ascii="Book Antiqua" w:hAnsi="Book Antiqua"/>
          <w:i/>
        </w:rPr>
        <w:t>MLH1</w:t>
      </w:r>
      <w:r w:rsidRPr="007D5B4E">
        <w:rPr>
          <w:rFonts w:ascii="Book Antiqua" w:hAnsi="Book Antiqua"/>
        </w:rPr>
        <w:t xml:space="preserve">, </w:t>
      </w:r>
      <w:r w:rsidRPr="007D5B4E">
        <w:rPr>
          <w:rFonts w:ascii="Book Antiqua" w:hAnsi="Book Antiqua"/>
          <w:i/>
        </w:rPr>
        <w:t>MSH2</w:t>
      </w:r>
      <w:r w:rsidRPr="007D5B4E">
        <w:rPr>
          <w:rFonts w:ascii="Book Antiqua" w:hAnsi="Book Antiqua"/>
        </w:rPr>
        <w:t xml:space="preserve">, </w:t>
      </w:r>
      <w:r w:rsidRPr="007D5B4E">
        <w:rPr>
          <w:rFonts w:ascii="Book Antiqua" w:hAnsi="Book Antiqua"/>
          <w:i/>
        </w:rPr>
        <w:t>MSH6</w:t>
      </w:r>
      <w:r w:rsidRPr="007D5B4E">
        <w:rPr>
          <w:rFonts w:ascii="Book Antiqua" w:hAnsi="Book Antiqua"/>
        </w:rPr>
        <w:t xml:space="preserve">, </w:t>
      </w:r>
      <w:r w:rsidRPr="007D5B4E">
        <w:rPr>
          <w:rFonts w:ascii="Book Antiqua" w:hAnsi="Book Antiqua"/>
          <w:i/>
        </w:rPr>
        <w:t>PMS2</w:t>
      </w:r>
      <w:r w:rsidRPr="007D5B4E">
        <w:rPr>
          <w:rFonts w:ascii="Book Antiqua" w:hAnsi="Book Antiqua"/>
        </w:rPr>
        <w:t xml:space="preserve">, and </w:t>
      </w:r>
      <w:r w:rsidRPr="007D5B4E">
        <w:rPr>
          <w:rFonts w:ascii="Book Antiqua" w:hAnsi="Book Antiqua"/>
          <w:i/>
        </w:rPr>
        <w:t>EPCAM</w:t>
      </w:r>
      <w:r w:rsidRPr="007D5B4E">
        <w:rPr>
          <w:rFonts w:ascii="Book Antiqua" w:hAnsi="Book Antiqua"/>
        </w:rPr>
        <w:t xml:space="preserve">. The two most common forms of FAP syndrome are a result of a germline mutation in the APC gene. Other germline- inherited colorectal cancer syndromes include MUTYH-associated polyposis, Cowden syndrome, </w:t>
      </w:r>
      <w:proofErr w:type="spellStart"/>
      <w:r w:rsidRPr="007D5B4E">
        <w:rPr>
          <w:rFonts w:ascii="Book Antiqua" w:hAnsi="Book Antiqua"/>
        </w:rPr>
        <w:t>Peutz-Jeghers</w:t>
      </w:r>
      <w:proofErr w:type="spellEnd"/>
      <w:r w:rsidRPr="007D5B4E">
        <w:rPr>
          <w:rFonts w:ascii="Book Antiqua" w:hAnsi="Book Antiqua"/>
        </w:rPr>
        <w:t xml:space="preserve"> syndrome (PJS), and juvenile polyposis syndrome (JPS). </w:t>
      </w:r>
    </w:p>
    <w:p w14:paraId="415697BF" w14:textId="155BBE64" w:rsidR="00F950CC" w:rsidRPr="007D5B4E" w:rsidRDefault="00F950CC" w:rsidP="00240E68">
      <w:pPr>
        <w:spacing w:after="0" w:line="360" w:lineRule="auto"/>
        <w:jc w:val="both"/>
        <w:rPr>
          <w:rFonts w:ascii="Book Antiqua" w:hAnsi="Book Antiqua"/>
        </w:rPr>
      </w:pPr>
      <w:r w:rsidRPr="007D5B4E">
        <w:rPr>
          <w:rFonts w:ascii="Book Antiqua" w:hAnsi="Book Antiqua"/>
        </w:rPr>
        <w:t>Environmental exposures associated with an increased risk of CRC include a history of abdominal radiation,</w:t>
      </w:r>
      <w:r w:rsidR="007D5B4E" w:rsidRPr="007D5B4E">
        <w:rPr>
          <w:rFonts w:ascii="Book Antiqua" w:hAnsi="Book Antiqua"/>
        </w:rPr>
        <w:t xml:space="preserve"> smoking, alcohol use, and diet</w:t>
      </w:r>
      <w:r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"10.1093/annonc/mdq653", "ISSN" : "09237534", "PMID" : "21307158", "abstract" : "BACKGROUND: The International Agency for Research on Cancer (IARC) concluded that alcohol consumption is related to colorectal cancer (CRC). However, several issues remain unresolved, including quantification of the association for light (\u22641 drink/day) and moderate (2-3 drinks/day) alcohol drinking, investigation of the dose-response relationship, and potential heterogeneity of effects by sex, colorectal site, and geographical region. METHODS: Twenty-seven cohort and 34 case-control studies presenting results for at least three categories of alcohol intake were identified from a PubMed search of articles published before May 2010. The summary relative risks (RRs) were estimated by the random effects model. Second-order fractional polynomials and random effects meta-regression models were used for modeling the dose-risk relation. RESULTS: The RRs were 1.21 [95% confidence interval (CI) 1.13-1.28] for moderate and 1.52 (95% CI 1.27-1.81) for heavy (\u22654 drinks/day) alcohol drinking. The RR for moderate drinkers, compared with non-/occasional drinkers, was stronger for men (RR = 1.24, 95% CI 1.13-1.37) than for women (RR = 1.08, 95% CI 1.03-1.13; P(heterogeneity) = 0.02). For heavy drinkers, the association was stronger in Asian studies (RR = 1.81, 95% CI 1.33-2.46; P(heterogeneity) = 0.04). The dose-risk analysis estimated RRs of 1.07 (95% CI 1.04-1.10), 1.38 (95% CI 1.28-1.50), and 1.82 (95% CI 1.41-2.35) for 10, 50, and 100 g/day of alcohol, respectively. CONCLUSIONS: This meta-analysis provides strong evidence for an association between alcohol drinking of &gt;1 drink/day and colorectal cancer risk.", "author" : [ { "dropping-particle" : "", "family" : "Fedirko", "given" : "V.", "non-dropping-particle" : "", "parse-names" : false, "suffix" : "" }, { "dropping-particle" : "", "family" : "Tramacere", "given" : "I.", "non-dropping-particle" : "", "parse-names" : false, "suffix" : "" }, { "dropping-particle" : "", "family" : "Bagnardi", "given" : "V.", "non-dropping-particle" : "", "parse-names" : false, "suffix" : "" }, { "dropping-particle" : "", "family" : "Rota", "given" : "M.", "non-dropping-particle" : "", "parse-names" : false, "suffix" : "" }, { "dropping-particle" : "", "family" : "Scotti", "given" : "L.", "non-dropping-particle" : "", "parse-names" : false, "suffix" : "" }, { "dropping-particle" : "", "family" : "Islami", "given" : "F.", "non-dropping-particle" : "", "parse-names" : false, "suffix" : "" }, { "dropping-particle" : "", "family" : "Negri", "given" : "E.", "non-dropping-particle" : "", "parse-names" : false, "suffix" : "" }, { "dropping-particle" : "", "family" : "Straif", "given" : "K.", "non-dropping-particle" : "", "parse-names" : false, "suffix" : "" }, { "dropping-particle" : "", "family" : "Romieu", "given" : "I.", "non-dropping-particle" : "", "parse-names" : false, "suffix" : "" }, { "dropping-particle" : "", "family" : "Vecchia", "given" : "C.", "non-dropping-particle" : "La", "parse-names" : false, "suffix" : "" }, { "dropping-particle" : "", "family" : "Boffetta", "given" : "P.", "non-dropping-particle" : "", "parse-names" : false, "suffix" : "" }, { "dropping-particle" : "", "family" : "Jenab", "given" : "M.", "non-dropping-particle" : "", "parse-names" : false, "suffix" : "" } ], "container-title" : "Annals of Oncology", "id" : "ITEM-1", "issue" : "February", "issued" : { "date-parts" : [ [ "2011" ] ] }, "page" : "1958-1972", "title" : "Alcohol drinking and colorectal cancer risk: An overall and dose-Response meta-analysis of published studies", "type" : "article-journal", "volume" : "22" }, "uris" : [ "http://www.mendeley.com/documents/?uuid=3fa7bbfb-39c8-4f6a-82f5-1df452e20545" ] }, { "id" : "ITEM-2", "itemData" : { "DOI" : "10.7326/0003-4819-156-11-201206050-00002", "ISSN" : "1539-3704", "PMID" : "22665813", "abstract" : "BACKGROUND: Childhood cancer survivors develop gastrointestinal cancer more frequently and at a younger age than the general population, but the risk factors have not been well-characterized.\n\nOBJECTIVE: To determine the risk and associated risk factors for gastrointestinal subsequent malignant neoplasms (SMNs) in childhood cancer survivors.\n\nDESIGN: Retrospective cohort study.\n\nSETTING: The Childhood Cancer Survivor Study, a multicenter study of childhood cancer survivors diagnosed between 1970 and 1986.\n\nPATIENTS: 14 358 survivors of cancer diagnosed when they were younger than 21 years of age who survived for 5 or more years after the initial diagnosis.\n\nMEASUREMENTS: Standardized incidence ratios (SIRs) for gastrointestinal SMNs were calculated by using age-specific population data. Multivariate Cox regression models identified associations between risk factors and gastrointestinal SMN development.\n\nRESULTS: At median follow-up of 22.8 years (range, 5.5 to 30.2 years), 45 cases of gastrointestinal cancer were identified. The risk for gastrointestinal SMNs was 4.6-fold higher in childhood cancer survivors than in the general population (95% CI, 3.4 to 6.1). The SIR for colorectal cancer was 4.2 (CI, 2.8 to 6.3). The highest risk for gastrointestinal SMNs was associated with abdominal radiation (SIR, 11.2 [CI, 7.6 to 16.4]). However, survivors not exposed to radiation had a significantly increased risk (SIR, 2.4 [CI, 1.4 to 3.9]). In addition to abdominal radiation, high-dose procarbazine (relative risk, 3.2 [CI, 1.1 to 9.4]) and platinum drugs (relative risk, 7.6 [CI, 2.3 to 25.5]) independently increased the risk for gastrointestinal SMNs.\n\nLIMITATION: This cohort has not yet attained an age at which risk for gastrointestinal cancer is greatest.\n\nCONCLUSION: Childhood cancer survivors, particularly those exposed to abdominal radiation, are at increased risk for gastrointestinal SMNs. These findings suggest that surveillance of at-risk childhood cancer survivors should begin at a younger age than that recommended for the general population.\n\nPRIMARY FUNDING SOURCE: National Cancer Institute.", "author" : [ { "dropping-particle" : "", "family" : "Henderson", "given" : "Tara O", "non-dropping-particle" : "", "parse-names" : false, "suffix" : "" }, { "dropping-particle" : "", "family" : "Oeffinger", "given" : "Kevin C", "non-dropping-particle" : "", "parse-names" : false, "suffix" : "" }, { "dropping-particle" : "", "family" : "Whitton", "given" : "John", "non-dropping-particle" : "", "parse-names" : false, "suffix" : "" }, { "dropping-particle" : "", "family" : "Leisenring", "given" : "Wendy", "non-dropping-particle" : "", "parse-names" : false, "suffix" : "" }, { "dropping-particle" : "", "family" : "Neglia", "given" : "Joseph", "non-dropping-particle" : "", "parse-names" : false, "suffix" : "" }, { "dropping-particle" : "", "family" : "Meadows", "given" : "Anna", "non-dropping-particle" : "", "parse-names" : false, "suffix" : "" }, { "dropping-particle" : "", "family" : "Crotty", "given" : "Catherine", "non-dropping-particle" : "", "parse-names" : false, "suffix" : "" }, { "dropping-particle" : "", "family" : "Rubin", "given" : "David T", "non-dropping-particle" : "", "parse-names" : false, "suffix" : "" }, { "dropping-particle" : "", "family" : "Diller", "given" : "Lisa", "non-dropping-particle" : "", "parse-names" : false, "suffix" : "" }, { "dropping-particle" : "", "family" : "Inskip", "given" : "Peter", "non-dropping-particle" : "", "parse-names" : false, "suffix" : "" }, { "dropping-particle" : "", "family" : "Smith", "given" : "Susan A", "non-dropping-particle" : "", "parse-names" : false, "suffix" : "" }, { "dropping-particle" : "", "family" : "Stovall", "given" : "Marilyn", "non-dropping-particle" : "", "parse-names" : false, "suffix" : "" }, { "dropping-particle" : "", "family" : "Constine", "given" : "Louis S", "non-dropping-particle" : "", "parse-names" : false, "suffix" : "" }, { "dropping-particle" : "", "family" : "Hammond", "given" : "Sue", "non-dropping-particle" : "", "parse-names" : false, "suffix" : "" }, { "dropping-particle" : "", "family" : "Armstrong", "given" : "Greg T", "non-dropping-particle" : "", "parse-names" : false, "suffix" : "" }, { "dropping-particle" : "", "family" : "Robison", "given" : "Leslie L", "non-dropping-particle" : "", "parse-names" : false, "suffix" : "" }, { "dropping-particle" : "", "family" : "Nathan", "given" : "Paul C", "non-dropping-particle" : "", "parse-names" : false, "suffix" : "" } ], "container-title" : "Annals of internal medicine", "id" : "ITEM-2", "issue" : "11", "issued" : { "date-parts" : [ [ "2012", "6", "5" ] ] }, "page" : "757-66, W-260", "publisher" : "American College of Physicians", "title" : "Secondary gastrointestinal cancer in childhood cancer survivors: a cohort study.", "type" : "article-journal", "volume" : "156" }, "uris" : [ "http://www.mendeley.com/documents/?uuid=b5908347-34d9-403a-92ff-0c452c249ba0" ] }, { "id" : "ITEM-3", "itemData" : { "DOI" : "10.1158/1078-0432.CCR-09-1678", "ISSN" : "10780432", "PMID" : "19903783", "author" : [ { "dropping-particle" : "", "family" : "Dougherty", "given" : "Urszula", "non-dropping-particle" : "", "parse-names" : false, "suffix" : "" }, { "dropping-particle" : "", "family" : "Cerasi", "given" : "Dario", "non-dropping-particle" : "", "parse-names" : false, "suffix" : "" }, { "dropping-particle" : "", "family" : "Taylor", "given" : "Ieva", "non-dropping-particle" : "", "parse-names" : false, "suffix" : "" }, { "dropping-particle" : "", "family" : "Kocherginsky", "given" : "Masha", "non-dropping-particle" : "", "parse-names" : false, "suffix" : "" }, { "dropping-particle" : "", "family" : "Tekin", "given" : "Ummuhan", "non-dropping-particle" : "", "parse-names" : false, "suffix" : "" }, { "dropping-particle" : "", "family" : "Badal", "given" : "Shamiram", "non-dropping-particle" : "", "parse-names" : false, "suffix" : "" }, { "dropping-particle" : "", "family" : "Aluri", "given" : "Lata", "non-dropping-particle" : "", "parse-names" : false, "suffix" : "" }, { "dropping-particle" : "", "family" : "Sehdev", "given" : "Amikar", "non-dropping-particle" : "", "parse-names" : false, "suffix" : "" }, { "dropping-particle" : "", "family" : "Cerda", "given" : "Sonia", "non-dropping-particle" : "", "parse-names" : false, "suffix" : "" }, { "dropping-particle" : "", "family" : "Mustafi", "given" : "Reba", "non-dropping-particle" : "", "parse-names" : false, "suffix" : "" }, { "dropping-particle" : "", "family" : "Delgado", "given" : "Jorge", "non-dropping-particle" : "", "parse-names" : false, "suffix" : "" }, { "dropping-particle" : "", "family" : "Joseph", "given" : "Loren", "non-dropping-particle" : "", "parse-names" : false, "suffix" : "" }, { "dropping-particle" : "", "family" : "Zhu", "given" : "Hongyan", "non-dropping-particle" : "", "parse-names" : false, "suffix" : "" }, { "dropping-particle" : "", "family" : "Hart", "given" : "John", "non-dropping-particle" : "", "parse-names" : false, "suffix" : "" }, { "dropping-particle" : "", "family" : "Threadgill", "given" : "David", "non-dropping-particle" : "", "parse-names" : false, "suffix" : "" }, { "dropping-particle" : "", "family" : "Fichera", "given" : "Alessandro", "non-dropping-particle" : "", "parse-names" : false, "suffix" : "" }, { "dropping-particle" : "", "family" : "Bissonnette", "given" : "Marc", "non-dropping-particle" : "", "parse-names" : false, "suffix" : "" } ], "container-title" : "Clinical Cancer Research", "id" : "ITEM-3", "issue" : "22", "issued" : { "date-parts" : [ [ "2009" ] ] }, "page" : "6780-6789", "title" : "Epidermal growth factor receptor is required for colonic tumor promotion by dietary fat in the azoxymethane/dextran sulfate sodium model: Roles of transforming growth factor-\u03b1 and PTGS2", "type" : "article-journal", "volume" : "15" }, "uris" : [ "http://www.mendeley.com/documents/?uuid=0554a292-9c32-4cb9-9339-e99b5bc57030" ] }, { "id" : "ITEM-4", "itemData" : { "DOI" : "10.1001/jama.2008.839", "PMID" : "19088354", "author" : [ { "dropping-particle" : "", "family" : "Raimondi", "given" : "Sara", "non-dropping-particle" : "", "parse-names" : false, "suffix" : "" }, { "dropping-particle" : "", "family" : "Page", "given" : "Patient", "non-dropping-particle" : "", "parse-names" : false, "suffix" : "" } ], "container-title" : "JAMA: The Journal of the American Medical Association", "id" : "ITEM-4", "issue" : "23", "issued" : { "date-parts" : [ [ "2008" ] ] }, "page" : "2765-2778", "title" : "Smoking and Colorectal Cancer", "type" : "article-journal", "volume" : "300" }, "uris" : [ "http://www.mendeley.com/documents/?uuid=9d8e0737-23ad-4553-b66d-13d693208117" ] } ], "mendeley" : { "formattedCitation" : "&lt;sup&gt;[5\u20138]&lt;/sup&gt;", "plainTextFormattedCitation" : "[5\u20138]", "previouslyFormattedCitation" : "&lt;sup&gt;[5\u20138]&lt;/sup&gt;" }, "properties" : { "noteIndex" : 0 }, "schema" : "https://github.com/citation-style-language/schema/raw/master/csl-citation.json" }</w:instrText>
      </w:r>
      <w:r w:rsidRPr="007D5B4E">
        <w:rPr>
          <w:rFonts w:ascii="Book Antiqua" w:hAnsi="Book Antiqua"/>
        </w:rPr>
        <w:fldChar w:fldCharType="separate"/>
      </w:r>
      <w:r w:rsidR="006A05BF" w:rsidRPr="007D5B4E">
        <w:rPr>
          <w:rFonts w:ascii="Book Antiqua" w:hAnsi="Book Antiqua"/>
          <w:noProof/>
          <w:vertAlign w:val="superscript"/>
        </w:rPr>
        <w:t>[5–8]</w:t>
      </w:r>
      <w:r w:rsidRPr="007D5B4E">
        <w:rPr>
          <w:rFonts w:ascii="Book Antiqua" w:hAnsi="Book Antiqua"/>
        </w:rPr>
        <w:fldChar w:fldCharType="end"/>
      </w:r>
      <w:r w:rsidRPr="007D5B4E">
        <w:rPr>
          <w:rFonts w:ascii="Book Antiqua" w:hAnsi="Book Antiqua"/>
        </w:rPr>
        <w:t>. Of particular interest with respect to the EGFR receptor is the role of a high fat Western diet, which has been shown to promote the development of experimental colon cancer via an EGFR-mediated mechanism. The role of this pathway will be discussed in detail later.</w:t>
      </w:r>
    </w:p>
    <w:p w14:paraId="32084E28" w14:textId="0D4D507D" w:rsidR="00F950CC" w:rsidRPr="007D5B4E" w:rsidRDefault="00F950CC" w:rsidP="00240E68">
      <w:pPr>
        <w:spacing w:after="0" w:line="360" w:lineRule="auto"/>
        <w:ind w:firstLineChars="200" w:firstLine="480"/>
        <w:jc w:val="both"/>
        <w:rPr>
          <w:rFonts w:ascii="Book Antiqua" w:hAnsi="Book Antiqua"/>
          <w:vertAlign w:val="superscript"/>
        </w:rPr>
      </w:pPr>
      <w:r w:rsidRPr="007D5B4E">
        <w:rPr>
          <w:rFonts w:ascii="Book Antiqua" w:hAnsi="Book Antiqua"/>
        </w:rPr>
        <w:t>Personal history of CRC or large adenomatous polyps (&gt; 1 cm) or polyps with villous features increase the risk of colorectal cancer</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"10.1056/NEJM199203053261002", "ISSN" : "0028-4793", "PMID" : "1736104", "author" : [ { "dropping-particle" : "", "family" : "Atkin", "given" : "Wendy S", "non-dropping-particle" : "", "parse-names" : false, "suffix" : "" }, { "dropping-particle" : "", "family" : "Morson", "given" : "Basil C", "non-dropping-particle" : "", "parse-names" : false, "suffix" : "" }, { "dropping-particle" : "", "family" : "Cuzick", "given" : "Jack", "non-dropping-particle" : "", "parse-names" : false, "suffix" : "" } ], "container-title" : "New England Journal of Medicine", "id" : "ITEM-1", "issue" : "10", "issued" : { "date-parts" : [ [ "1992", "3", "5" ] ] }, "note" : "doi: 10.1056/NEJM199203053261002", "page" : "658-662", "publisher" : "Massachusetts Medical Society", "title" : "Long-Term Risk of Colorectal Cancer after Excision of Rectosigmoid Adenomas", "type" : "article-journal", "volume" : "326" }, "uris" : [ "http://www.mendeley.com/documents/?uuid=3ada5fd3-72a5-4435-9515-a9e2bcfba0bb" ] } ], "mendeley" : { "formattedCitation" : "&lt;sup&gt;[9]&lt;/sup&gt;", "plainTextFormattedCitation" : "[9]", "previouslyFormattedCitation" : "&lt;sup&gt;[9]&lt;/sup&gt;"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[9]</w:t>
      </w:r>
      <w:r w:rsidRPr="007D5B4E">
        <w:rPr>
          <w:rFonts w:ascii="Book Antiqua" w:hAnsi="Book Antiqua"/>
          <w:vertAlign w:val="superscript"/>
        </w:rPr>
        <w:fldChar w:fldCharType="end"/>
      </w:r>
      <w:r w:rsidRPr="007D5B4E">
        <w:rPr>
          <w:rFonts w:ascii="Book Antiqua" w:hAnsi="Book Antiqua"/>
        </w:rPr>
        <w:t>. Family history of colon cancer or adenomatous polyps confers an increased risk of disease, even if these histories do not meet the criteria for the syndromes discussed above. US guidelines reflect this increased risk, with the ACG recommending earlier screening if a single first-degree relative was diagnosed with CRC or had an advanced adenoma diagnosed at age &lt;</w:t>
      </w:r>
      <w:r w:rsidR="007D5B4E" w:rsidRPr="007D5B4E">
        <w:rPr>
          <w:rFonts w:ascii="Book Antiqua" w:eastAsia="宋体" w:hAnsi="Book Antiqua"/>
          <w:lang w:eastAsia="zh-CN"/>
        </w:rPr>
        <w:t xml:space="preserve"> </w:t>
      </w:r>
      <w:r w:rsidRPr="007D5B4E">
        <w:rPr>
          <w:rFonts w:ascii="Book Antiqua" w:hAnsi="Book Antiqua"/>
        </w:rPr>
        <w:t>60 years or if two first-degree relatives were diagnosed with CRC or advanced adenomas</w:t>
      </w:r>
      <w:r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"10.1038/ajg.2009.104", "ISBN" : "1572-0241", "ISSN" : "1572-0241", "PMID" : "19240699", "abstract" : "This document is the first update of the American College of Gastroenterology (ACG) colorectal cancer (CRC) screening recommendations since 2000. The CRC screening tests are now grouped into cancer prevention tests and cancer detection tests. Colonoscopy every 10 years, beginning at age 50, remains the preferred CRC screening strategy. It is recognized that colonoscopy is not available in every clinical setting because of economic limitations. It is also realized that not all eligible persons are willing to undergo colonoscopy for screening purposes. In these cases, patients should be offered an alternative CRC prevention test (flexible sigmoidoscopy every 5-10 years, or a computed tomography (CT) colonography every 5 years) or a cancer detection test (fecal immunochemical test for blood, FIT).", "author" : [ { "dropping-particle" : "", "family" : "Rex", "given" : "Douglas K", "non-dropping-particle" : "", "parse-names" : false, "suffix" : "" }, { "dropping-particle" : "", "family" : "Johnson", "given" : "David a", "non-dropping-particle" : "", "parse-names" : false, "suffix" : "" }, { "dropping-particle" : "", "family" : "Anderson", "given" : "Joseph C", "non-dropping-particle" : "", "parse-names" : false, "suffix" : "" }, { "dropping-particle" : "", "family" : "Schoenfeld", "given" : "Phillip S", "non-dropping-particle" : "", "parse-names" : false, "suffix" : "" }, { "dropping-particle" : "", "family" : "Burke", "given" : "Carol a", "non-dropping-particle" : "", "parse-names" : false, "suffix" : "" }, { "dropping-particle" : "", "family" : "Inadomi", "given" : "John M", "non-dropping-particle" : "", "parse-names" : false, "suffix" : "" } ], "container-title" : "The American journal of gastroenterology", "id" : "ITEM-1", "issue" : "December 2008", "issued" : { "date-parts" : [ [ "2009" ] ] }, "page" : "739-750", "title" : "American College of Gastroenterology guidelines for colorectal cancer screening 2009 [corrected]", "type" : "article-journal", "volume" : "104" }, "uris" : [ "http://www.mendeley.com/documents/?uuid=d8f4c8ce-014f-43d5-a2e5-f30fcc3a4c0f" ] } ], "mendeley" : { "formattedCitation" : "&lt;sup&gt;[10]&lt;/sup&gt;", "plainTextFormattedCitation" : "[10]", "previouslyFormattedCitation" : "&lt;sup&gt;[10]&lt;/sup&gt;" }, "properties" : { "noteIndex" : 0 }, "schema" : "https://github.com/citation-style-language/schema/raw/master/csl-citation.json" }</w:instrText>
      </w:r>
      <w:r w:rsidRPr="007D5B4E">
        <w:rPr>
          <w:rFonts w:ascii="Book Antiqua" w:hAnsi="Book Antiqua"/>
        </w:rPr>
        <w:fldChar w:fldCharType="separate"/>
      </w:r>
      <w:r w:rsidR="006A05BF" w:rsidRPr="007D5B4E">
        <w:rPr>
          <w:rFonts w:ascii="Book Antiqua" w:hAnsi="Book Antiqua"/>
          <w:noProof/>
          <w:vertAlign w:val="superscript"/>
        </w:rPr>
        <w:t>[10]</w:t>
      </w:r>
      <w:r w:rsidRPr="007D5B4E">
        <w:rPr>
          <w:rFonts w:ascii="Book Antiqua" w:hAnsi="Book Antiqua"/>
        </w:rPr>
        <w:fldChar w:fldCharType="end"/>
      </w:r>
      <w:r w:rsidRPr="007D5B4E">
        <w:rPr>
          <w:rFonts w:ascii="Book Antiqua" w:hAnsi="Book Antiqua"/>
        </w:rPr>
        <w:t>.</w:t>
      </w:r>
    </w:p>
    <w:p w14:paraId="03AB3139" w14:textId="6BAA8C30" w:rsidR="00F950CC" w:rsidRPr="007D5B4E" w:rsidRDefault="00F950CC" w:rsidP="00240E68">
      <w:pPr>
        <w:spacing w:after="0" w:line="360" w:lineRule="auto"/>
        <w:ind w:firstLineChars="200" w:firstLine="480"/>
        <w:jc w:val="both"/>
        <w:rPr>
          <w:rFonts w:ascii="Book Antiqua" w:eastAsia="宋体" w:hAnsi="Book Antiqua"/>
          <w:lang w:eastAsia="zh-CN"/>
        </w:rPr>
      </w:pPr>
      <w:r w:rsidRPr="007D5B4E">
        <w:rPr>
          <w:rFonts w:ascii="Book Antiqua" w:hAnsi="Book Antiqua"/>
        </w:rPr>
        <w:t>Disease states associated with an increased incidence of colon cancer include IBD (both ulcerative colitis and Crohn’s disease), diabetes, and obesity. As with many cancers, risk for CRC increases with age. CRC incidence is approximately equal in males and females, although there is an increased incidence and higher mortality rate among African Americans and an increased mortality among men. Recent studies suggest that testosterone effects in males rather the protective effects of estrogens in females account for increased male risk</w:t>
      </w:r>
      <w:r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"10.1073/pnas.1323064111", "ISSN" : "1091-6490 (Electronic)", "PMID" : "25368192", "abstract" : "It recently has been recognized that men develop colonic adenomas and carcinomas at an earlier age and at a higher rate than women. In the Apc(Pirc/+) (Pirc) rat model of early colonic cancer, this sex susceptibility was recapitulated, with male Pirc rats developing twice as many adenomas as females. Analysis of large datasets revealed that the Apc(Min/+) mouse also shows enhanced male susceptibility to adenomagenesis, but only in the colon. In addition, WT mice treated with injections of the carcinogen azoxymethane (AOM) showed increased numbers of colonic adenomas in males. The mechanism underlying these observations was investigated by manipulation of hormonal status. The preponderance of colonic adenomas in the Pirc rat model allowed a statistically significant investigation in vivo of the mechanism of sex hormone action on the development of colonic adenomas. Females depleted of endogenous hormones by ovariectomy did not exhibit a change in prevalence of adenomas, nor was any effect observed with replacement of one or a combination of female hormones. In contrast, depletion of male hormones by orchidectomy (castration) markedly protected the Pirc rat from adenoma development, whereas supplementation with testosterone reversed that effect. These observations were recapitulated in the AOM mouse model. Androgen receptor was undetectable in the colon or adenomas, making it likely that testosterone acts indirectly on the tumor lineage. Our findings suggest that indirect tumor-promoting effects of testosterone likely explain the disparity between the sexes in the development of colonic adenomas.", "author" : [ { "dropping-particle" : "", "family" : "Amos-Landgraf", "given" : "James M", "non-dropping-particle" : "", "parse-names" : false, "suffix" : "" }, { "dropping-particle" : "", "family" : "Heijmans", "given" : "Jarom", "non-dropping-particle" : "", "parse-names" : false, "suffix" : "" }, { "dropping-particle" : "", "family" : "Wielenga", "given" : "Mattheus C B", "non-dropping-particle" : "", "parse-names" : false, "suffix" : "" }, { "dropping-particle" : "", "family" : "Dunkin", "given" : "Elisa", "non-dropping-particle" : "", "parse-names" : false, "suffix" : "" }, { "dropping-particle" : "", "family" : "Krentz", "given" : "Kathy J", "non-dropping-particle" : "", "parse-names" : false, "suffix" : "" }, { "dropping-particle" : "", "family" : "Clipson", "given" : "Linda", "non-dropping-particle" : "", "parse-names" : false, "suffix" : "" }, { "dropping-particle" : "", "family" : "Ederveen", "given" : "Antwan G", "non-dropping-particle" : "", "parse-names" : false, "suffix" : "" }, { "dropping-particle" : "", "family" : "Groothuis", "given" : "Patrick G", "non-dropping-particle" : "", "parse-names" : false, "suffix" : "" }, { "dropping-particle" : "", "family" : "Mosselman", "given" : "Sietse", "non-dropping-particle" : "", "parse-names" : false, "suffix" : "" }, { "dropping-particle" : "", "family" : "Muncan", "given" : "Vanesa", "non-dropping-particle" : "", "parse-names" : false, "suffix" : "" }, { "dropping-particle" : "", "family" : "Hommes", "given" : "Daniel W", "non-dropping-particle" : "", "parse-names" : false, "suffix" : "" }, { "dropping-particle" : "", "family" : "Shedlovsky", "given" : "Alexandra", "non-dropping-particle" : "", "parse-names" : false, "suffix" : "" }, { "dropping-particle" : "", "family" : "Dove", "given" : "William F", "non-dropping-particle" : "", "parse-names" : false, "suffix" : "" }, { "dropping-particle" : "", "family" : "Brink", "given" : "Gijs R", "non-dropping-particle" : "van den", "parse-names" : false, "suffix" : "" } ], "container-title" : "Proceedings of the National Academy of Sciences of the United States of America", "id" : "ITEM-1", "issue" : "46", "issued" : { "date-parts" : [ [ "2014", "11" ] ] }, "page" : "16514-16519", "publisher-place" : "United States", "title" : "Sex disparity in colonic adenomagenesis involves promotion by male hormones, not protection by female hormones.", "type" : "article-journal", "volume" : "111" }, "uris" : [ "http://www.mendeley.com/documents/?uuid=c26af603-feb4-4f84-9c78-57e31715eaef" ] } ], "mendeley" : { "formattedCitation" : "&lt;sup&gt;[11]&lt;/sup&gt;", "plainTextFormattedCitation" : "[11]", "previouslyFormattedCitation" : "&lt;sup&gt;[11]&lt;/sup&gt;" }, "properties" : { "noteIndex" : 0 }, "schema" : "https://github.com/citation-style-language/schema/raw/master/csl-citation.json" }</w:instrText>
      </w:r>
      <w:r w:rsidRPr="007D5B4E">
        <w:rPr>
          <w:rFonts w:ascii="Book Antiqua" w:hAnsi="Book Antiqua"/>
        </w:rPr>
        <w:fldChar w:fldCharType="separate"/>
      </w:r>
      <w:r w:rsidR="006A05BF" w:rsidRPr="007D5B4E">
        <w:rPr>
          <w:rFonts w:ascii="Book Antiqua" w:hAnsi="Book Antiqua"/>
          <w:noProof/>
          <w:vertAlign w:val="superscript"/>
        </w:rPr>
        <w:t>[11]</w:t>
      </w:r>
      <w:r w:rsidRPr="007D5B4E">
        <w:rPr>
          <w:rFonts w:ascii="Book Antiqua" w:hAnsi="Book Antiqua"/>
        </w:rPr>
        <w:fldChar w:fldCharType="end"/>
      </w:r>
      <w:r w:rsidRPr="007D5B4E">
        <w:rPr>
          <w:rFonts w:ascii="Book Antiqua" w:hAnsi="Book Antiqua"/>
        </w:rPr>
        <w:t xml:space="preserve">.  </w:t>
      </w:r>
    </w:p>
    <w:p w14:paraId="6A157FEF" w14:textId="77777777" w:rsidR="007D5B4E" w:rsidRPr="007D5B4E" w:rsidRDefault="007D5B4E" w:rsidP="00240E68">
      <w:pPr>
        <w:spacing w:after="0" w:line="360" w:lineRule="auto"/>
        <w:ind w:firstLineChars="200" w:firstLine="480"/>
        <w:jc w:val="both"/>
        <w:rPr>
          <w:rFonts w:ascii="Book Antiqua" w:eastAsia="宋体" w:hAnsi="Book Antiqua"/>
          <w:lang w:eastAsia="zh-CN"/>
        </w:rPr>
      </w:pPr>
    </w:p>
    <w:p w14:paraId="598BFF45" w14:textId="77777777" w:rsidR="00F950CC" w:rsidRPr="007D5B4E" w:rsidRDefault="00F950CC" w:rsidP="00240E68">
      <w:pPr>
        <w:spacing w:after="0" w:line="360" w:lineRule="auto"/>
        <w:jc w:val="both"/>
        <w:rPr>
          <w:rFonts w:ascii="Book Antiqua" w:hAnsi="Book Antiqua"/>
          <w:b/>
          <w:bCs/>
          <w:caps/>
        </w:rPr>
      </w:pPr>
      <w:r w:rsidRPr="007D5B4E">
        <w:rPr>
          <w:rFonts w:ascii="Book Antiqua" w:hAnsi="Book Antiqua"/>
          <w:b/>
          <w:bCs/>
          <w:caps/>
        </w:rPr>
        <w:t>Approach to CRC Management</w:t>
      </w:r>
    </w:p>
    <w:p w14:paraId="6ACCD04E" w14:textId="55D9DA53" w:rsidR="00F950CC" w:rsidRPr="007D5B4E" w:rsidRDefault="00F950CC" w:rsidP="00240E68">
      <w:pPr>
        <w:spacing w:after="0" w:line="360" w:lineRule="auto"/>
        <w:jc w:val="both"/>
        <w:rPr>
          <w:rFonts w:ascii="Book Antiqua" w:hAnsi="Book Antiqua"/>
        </w:rPr>
      </w:pPr>
      <w:r w:rsidRPr="007D5B4E">
        <w:rPr>
          <w:rFonts w:ascii="Book Antiqua" w:hAnsi="Book Antiqua"/>
        </w:rPr>
        <w:lastRenderedPageBreak/>
        <w:t>The management of CRC includes screening, staging, and treatment with surgery, chemotherapy, and/or radiation. As more than 20% of patients with CRC will present with metastatic disease with a 5 year survival rate &lt;</w:t>
      </w:r>
      <w:r w:rsidR="007D5B4E" w:rsidRPr="007D5B4E">
        <w:rPr>
          <w:rFonts w:ascii="Book Antiqua" w:eastAsia="宋体" w:hAnsi="Book Antiqua"/>
          <w:lang w:eastAsia="zh-CN"/>
        </w:rPr>
        <w:t xml:space="preserve"> </w:t>
      </w:r>
      <w:r w:rsidRPr="007D5B4E">
        <w:rPr>
          <w:rFonts w:ascii="Book Antiqua" w:hAnsi="Book Antiqua"/>
        </w:rPr>
        <w:t>15%</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"10.3322/caac.21208", "ISSN" : "1542-4863", "PMID" : "24399786", "abstract" : "Each year, the American Cancer Society estimates the numbers of new cancer cases and deaths that will occur in the United States in the current year and compiles the most recent data on cancer incidence, mortality, and survival. Incidence data were collected by the National Cancer Institute, the Centers for Disease Control and Prevention, and the North American Association of Central Cancer Registries and mortality data were collected by the National Center for Health Statistics. A total of 1,665,540 new cancer cases and 585,720 cancer deaths are projected to occur in the United States in 2014. During the most recent 5 years for which there are data (2006-2010), delay-adjusted cancer incidence rates declined slightly in men (by 0.6% per year) and were stable in women, while cancer death rates decreased by 1.8% per year in men and by 1.4% per year in women. The combined cancer death rate (deaths per 100,000 population) has been continuously declining for 2 decades, from a peak of 215.1 in 1991 to 171.8 in 2010. This 20% decline translates to the avoidance of approximately 1,340,400 cancer deaths (952,700 among men and 387,700 among women) during this time period. The magnitude of the decline in cancer death rates from 1991 to 2010 varies substantially by age, race, and sex, ranging from no decline among white women aged 80 years and older to a 55% decline among black men aged 40 years to 49 years. Notably, black men experienced the largest drop within every 10-year age group. Further progress can be accelerated by applying existing cancer control knowledge across all segments of the population.", "author" : [ { "dropping-particle" : "", "family" : "Siegel", "given" : "Rebecca", "non-dropping-particle" : "", "parse-names" : false, "suffix" : "" }, { "dropping-particle" : "", "family" : "Ma", "given" : "Jiemin", "non-dropping-particle" : "", "parse-names" : false, "suffix" : "" }, { "dropping-particle" : "", "family" : "Zou", "given" : "Zhaohui", "non-dropping-particle" : "", "parse-names" : false, "suffix" : "" }, { "dropping-particle" : "", "family" : "Jemal", "given" : "Ahmedin", "non-dropping-particle" : "", "parse-names" : false, "suffix" : "" } ], "container-title" : "CA: a cancer journal for clinicians", "id" : "ITEM-1", "issue" : "1", "issued" : { "date-parts" : [ [ "0", "1" ] ] }, "page" : "9-29", "title" : "Cancer statistics, 2014.", "type" : "article-journal", "volume" : "64" }, "uris" : [ "http://www.mendeley.com/documents/?uuid=35a3cdcc-b35e-41c8-b699-eac143b88fe8" ] } ], "mendeley" : { "formattedCitation" : "&lt;sup&gt;[1]&lt;/sup&gt;", "plainTextFormattedCitation" : "[1]", "previouslyFormattedCitation" : "&lt;sup&gt;[1]&lt;/sup&gt;"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[1]</w:t>
      </w:r>
      <w:r w:rsidRPr="007D5B4E">
        <w:rPr>
          <w:rFonts w:ascii="Book Antiqua" w:hAnsi="Book Antiqua"/>
          <w:vertAlign w:val="superscript"/>
        </w:rPr>
        <w:fldChar w:fldCharType="end"/>
      </w:r>
      <w:r w:rsidRPr="007D5B4E">
        <w:rPr>
          <w:rFonts w:ascii="Book Antiqua" w:hAnsi="Book Antiqua"/>
        </w:rPr>
        <w:t>, prevention is critical in colorectal cancer. Colorectal cancer prevention is primarily based on screening methods, which include stool tests, radiographic imaging, and colonoscopy to identify adenomatous polyps, a precursor lesion for colon cancer. Colonic polyps may be identified through these screening methods and then may be removed during colonoscopy. Colorectal cancer, once diagnosed, is defined as either colon or rectal cancer based on the anatomical location of the lesion, with the rectum being defined as the region extending from the transitional mucosa of the anal dentate line to the sigmoid colon at the peritoneal reflection. Recent studies of CRC suggest that tumors arising in the proximal and distal colon have different molecular phenotypes with different prognostic outcomes.  Interestingly, rectal cancers and tumors in the distal colon share many molecular features</w:t>
      </w:r>
      <w:r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"10.1038/nature11252", "ISSN" : "1476-4687 (Electronic)", "PMID" : "22810696", "abstract" : "To characterize somatic alterations in colorectal carcinoma, we conducted a genome-scale analysis of 276 samples, analysing exome sequence, DNA copy number, promoter methylation and messenger RNA and microRNA expression. A subset of these samples (97) underwent low-depth-of-coverage whole-genome sequencing. In total, 16% of colorectal carcinomas were found to be hypermutated: three-quarters of these had the expected high microsatellite instability, usually with hypermethylation and MLH1 silencing, and one-quarter had somatic mismatch-repair gene and polymerase epsilon (POLE) mutations. Excluding the hypermutated cancers, colon and rectum cancers were found to have considerably similar patterns of genomic alteration. Twenty-four genes were significantly mutated, and in addition to the expected APC, TP53, SMAD4, PIK3CA and KRAS mutations, we found frequent mutations in ARID1A, SOX9 and FAM123B. Recurrent copy-number alterations include potentially drug-targetable amplifications of ERBB2 and newly discovered amplification of IGF2. Recurrent chromosomal translocations include the fusion of NAV2 and WNT pathway member TCF7L1. Integrative analyses suggest new markers for aggressive colorectal carcinoma and an important role for MYC-directed transcriptional activation and repression.", "container-title" : "Nature", "id" : "ITEM-1", "issue" : "7407", "issued" : { "date-parts" : [ [ "2012", "7" ] ] }, "page" : "330-337", "publisher-place" : "England", "title" : "Comprehensive molecular characterization of human colon and rectal cancer.", "type" : "article-journal", "volume" : "487" }, "uris" : [ "http://www.mendeley.com/documents/?uuid=8a59bc02-4c04-4fbe-8e54-31accd68c3a4" ] } ], "mendeley" : { "formattedCitation" : "&lt;sup&gt;[12]&lt;/sup&gt;", "plainTextFormattedCitation" : "[12]", "previouslyFormattedCitation" : "&lt;sup&gt;[12]&lt;/sup&gt;" }, "properties" : { "noteIndex" : 0 }, "schema" : "https://github.com/citation-style-language/schema/raw/master/csl-citation.json" }</w:instrText>
      </w:r>
      <w:r w:rsidRPr="007D5B4E">
        <w:rPr>
          <w:rFonts w:ascii="Book Antiqua" w:hAnsi="Book Antiqua"/>
        </w:rPr>
        <w:fldChar w:fldCharType="separate"/>
      </w:r>
      <w:r w:rsidR="006A05BF" w:rsidRPr="007D5B4E">
        <w:rPr>
          <w:rFonts w:ascii="Book Antiqua" w:hAnsi="Book Antiqua"/>
          <w:noProof/>
          <w:vertAlign w:val="superscript"/>
        </w:rPr>
        <w:t>[12]</w:t>
      </w:r>
      <w:r w:rsidRPr="007D5B4E">
        <w:rPr>
          <w:rFonts w:ascii="Book Antiqua" w:hAnsi="Book Antiqua"/>
        </w:rPr>
        <w:fldChar w:fldCharType="end"/>
      </w:r>
      <w:r w:rsidRPr="007D5B4E">
        <w:rPr>
          <w:rFonts w:ascii="Book Antiqua" w:hAnsi="Book Antiqua"/>
        </w:rPr>
        <w:t>.</w:t>
      </w:r>
    </w:p>
    <w:p w14:paraId="4E604329" w14:textId="70A186FD" w:rsidR="00F950CC" w:rsidRPr="007D5B4E" w:rsidRDefault="00F950CC" w:rsidP="00240E68">
      <w:pPr>
        <w:spacing w:after="0" w:line="360" w:lineRule="auto"/>
        <w:ind w:firstLineChars="200" w:firstLine="480"/>
        <w:jc w:val="both"/>
        <w:rPr>
          <w:rFonts w:ascii="Book Antiqua" w:hAnsi="Book Antiqua"/>
        </w:rPr>
      </w:pPr>
      <w:r w:rsidRPr="007D5B4E">
        <w:rPr>
          <w:rFonts w:ascii="Book Antiqua" w:hAnsi="Book Antiqua"/>
        </w:rPr>
        <w:t xml:space="preserve">Upon diagnosis of CRC, staging is primarily accomplished through CT (with certain situations calling for additional PET-CT) of the chest, abdomen, and pelvis, using the TMN system, with the goal of identifying tumors appropriate for resection. If amenable to resection, the tumor is removed. Pathological staging and subsequent assessment of high-risk features for systemic recurrence are performed to help guide the utility of adjuvant chemotherapy with 5-FU based chemotherapies. In this regard, determining the presence of nodal disease is of particular importance. For metastatic disease, assessment of </w:t>
      </w:r>
      <w:r w:rsidRPr="007D5B4E">
        <w:rPr>
          <w:rFonts w:ascii="Book Antiqua" w:hAnsi="Book Antiqua"/>
          <w:i/>
        </w:rPr>
        <w:t>RAS</w:t>
      </w:r>
      <w:r w:rsidRPr="007D5B4E">
        <w:rPr>
          <w:rFonts w:ascii="Book Antiqua" w:hAnsi="Book Antiqua"/>
        </w:rPr>
        <w:t xml:space="preserve"> gene status (KRAS/NRAS) and BRAF status (if KRAS is WT) determines whether or not the tumor is likely to respond to anti-EGFR monoclonal antibodies such as </w:t>
      </w:r>
      <w:proofErr w:type="spellStart"/>
      <w:r w:rsidRPr="007D5B4E">
        <w:rPr>
          <w:rFonts w:ascii="Book Antiqua" w:hAnsi="Book Antiqua"/>
        </w:rPr>
        <w:t>panitumumab</w:t>
      </w:r>
      <w:proofErr w:type="spellEnd"/>
      <w:r w:rsidRPr="007D5B4E">
        <w:rPr>
          <w:rFonts w:ascii="Book Antiqua" w:hAnsi="Book Antiqua"/>
        </w:rPr>
        <w:t xml:space="preserve"> and </w:t>
      </w:r>
      <w:proofErr w:type="spellStart"/>
      <w:r w:rsidRPr="007D5B4E">
        <w:rPr>
          <w:rFonts w:ascii="Book Antiqua" w:hAnsi="Book Antiqua"/>
        </w:rPr>
        <w:t>cetuximab</w:t>
      </w:r>
      <w:proofErr w:type="spellEnd"/>
      <w:r w:rsidRPr="007D5B4E">
        <w:rPr>
          <w:rFonts w:ascii="Book Antiqua" w:hAnsi="Book Antiqua"/>
        </w:rPr>
        <w:t xml:space="preserve">. The rationale for this treatment paradigm and the specific pathways involved will be discussed later. In addition to genetic testing for individuals with CRC at younger ages or with CRC positive family history, search for metastatic lesions must be pursued to determine if patients are likely to benefit from resection of isolated metastasis.  The timing of colectomy with </w:t>
      </w:r>
      <w:r w:rsidRPr="007D5B4E">
        <w:rPr>
          <w:rFonts w:ascii="Book Antiqua" w:hAnsi="Book Antiqua"/>
        </w:rPr>
        <w:lastRenderedPageBreak/>
        <w:t xml:space="preserve">resection of metastasis, and the use of various 5-FU based chemotherapeutics as </w:t>
      </w:r>
      <w:proofErr w:type="spellStart"/>
      <w:r w:rsidRPr="007D5B4E">
        <w:rPr>
          <w:rFonts w:ascii="Book Antiqua" w:hAnsi="Book Antiqua"/>
        </w:rPr>
        <w:t>neoadjuvant</w:t>
      </w:r>
      <w:proofErr w:type="spellEnd"/>
      <w:r w:rsidRPr="007D5B4E">
        <w:rPr>
          <w:rFonts w:ascii="Book Antiqua" w:hAnsi="Book Antiqua"/>
        </w:rPr>
        <w:t xml:space="preserve"> forms of chemotherapy such as FOLFOX, FOLFIRI, and </w:t>
      </w:r>
      <w:proofErr w:type="spellStart"/>
      <w:r w:rsidRPr="007D5B4E">
        <w:rPr>
          <w:rFonts w:ascii="Book Antiqua" w:hAnsi="Book Antiqua"/>
        </w:rPr>
        <w:t>CapeOX</w:t>
      </w:r>
      <w:proofErr w:type="spellEnd"/>
      <w:r w:rsidRPr="007D5B4E">
        <w:rPr>
          <w:rFonts w:ascii="Book Antiqua" w:hAnsi="Book Antiqua"/>
        </w:rPr>
        <w:t xml:space="preserve">, along with bevacizumab, </w:t>
      </w:r>
      <w:proofErr w:type="spellStart"/>
      <w:r w:rsidRPr="007D5B4E">
        <w:rPr>
          <w:rFonts w:ascii="Book Antiqua" w:hAnsi="Book Antiqua"/>
        </w:rPr>
        <w:t>panitumumab</w:t>
      </w:r>
      <w:proofErr w:type="spellEnd"/>
      <w:r w:rsidRPr="007D5B4E">
        <w:rPr>
          <w:rFonts w:ascii="Book Antiqua" w:hAnsi="Book Antiqua"/>
        </w:rPr>
        <w:t xml:space="preserve">, or </w:t>
      </w:r>
      <w:proofErr w:type="spellStart"/>
      <w:r w:rsidRPr="007D5B4E">
        <w:rPr>
          <w:rFonts w:ascii="Book Antiqua" w:hAnsi="Book Antiqua"/>
        </w:rPr>
        <w:t>cetuximab</w:t>
      </w:r>
      <w:proofErr w:type="spellEnd"/>
      <w:r w:rsidRPr="007D5B4E">
        <w:rPr>
          <w:rFonts w:ascii="Book Antiqua" w:hAnsi="Book Antiqua"/>
        </w:rPr>
        <w:t xml:space="preserve">, depend on the individual patient and tumor characteristics. If resection of metastatic disease is impossible, </w:t>
      </w:r>
      <w:proofErr w:type="spellStart"/>
      <w:r w:rsidRPr="007D5B4E">
        <w:rPr>
          <w:rFonts w:ascii="Book Antiqua" w:hAnsi="Book Antiqua"/>
        </w:rPr>
        <w:t>neoadjuvant</w:t>
      </w:r>
      <w:proofErr w:type="spellEnd"/>
      <w:r w:rsidRPr="007D5B4E">
        <w:rPr>
          <w:rFonts w:ascii="Book Antiqua" w:hAnsi="Book Antiqua"/>
        </w:rPr>
        <w:t xml:space="preserve"> chemotherapy should be administered first if there is no imminent risk of obstruction or significant bleeding. In addition, the patient should undergo periodic re-assessment regarding the </w:t>
      </w:r>
      <w:proofErr w:type="spellStart"/>
      <w:r w:rsidRPr="007D5B4E">
        <w:rPr>
          <w:rFonts w:ascii="Book Antiqua" w:hAnsi="Book Antiqua"/>
        </w:rPr>
        <w:t>resectability</w:t>
      </w:r>
      <w:proofErr w:type="spellEnd"/>
      <w:r w:rsidRPr="007D5B4E">
        <w:rPr>
          <w:rFonts w:ascii="Book Antiqua" w:hAnsi="Book Antiqua"/>
        </w:rPr>
        <w:t xml:space="preserve"> of metastatic lesions</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"10.1007/BF01297245", "ISSN" : "01632116", "author" : [ { "dropping-particle" : "", "family" : "Fensterheim", "given" : "Robert", "non-dropping-particle" : "", "parse-names" : false, "suffix" : "" } ], "container-title" : "NCCN", "id" : "ITEM-1", "issued" : { "date-parts" : [ [ "2014" ] ] }, "page" : "85", "title" : "NCCN Guidelines", "type" : "article-journal" }, "uris" : [ "http://www.mendeley.com/documents/?uuid=d35a8f1d-8fd8-4fa8-9629-acff506dd79a" ] } ], "mendeley" : { "formattedCitation" : "&lt;sup&gt;[13]&lt;/sup&gt;", "plainTextFormattedCitation" : "[13]", "previouslyFormattedCitation" : "&lt;sup&gt;[13]&lt;/sup&gt;"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[13]</w:t>
      </w:r>
      <w:r w:rsidRPr="007D5B4E">
        <w:rPr>
          <w:rFonts w:ascii="Book Antiqua" w:hAnsi="Book Antiqua"/>
          <w:vertAlign w:val="superscript"/>
        </w:rPr>
        <w:fldChar w:fldCharType="end"/>
      </w:r>
      <w:r w:rsidRPr="007D5B4E">
        <w:rPr>
          <w:rFonts w:ascii="Book Antiqua" w:hAnsi="Book Antiqua"/>
        </w:rPr>
        <w:t>.</w:t>
      </w:r>
    </w:p>
    <w:p w14:paraId="5DFD5B6D" w14:textId="618FCFE6" w:rsidR="00F950CC" w:rsidRPr="007D5B4E" w:rsidRDefault="00F950CC" w:rsidP="00240E68">
      <w:pPr>
        <w:spacing w:after="0" w:line="360" w:lineRule="auto"/>
        <w:ind w:firstLineChars="200" w:firstLine="480"/>
        <w:jc w:val="both"/>
        <w:rPr>
          <w:rFonts w:ascii="Book Antiqua" w:eastAsia="宋体" w:hAnsi="Book Antiqua"/>
          <w:lang w:eastAsia="zh-CN"/>
        </w:rPr>
      </w:pPr>
      <w:r w:rsidRPr="007D5B4E">
        <w:rPr>
          <w:rFonts w:ascii="Book Antiqua" w:hAnsi="Book Antiqua"/>
        </w:rPr>
        <w:t xml:space="preserve">For rectal cancer, </w:t>
      </w:r>
      <w:proofErr w:type="spellStart"/>
      <w:r w:rsidRPr="007D5B4E">
        <w:rPr>
          <w:rFonts w:ascii="Book Antiqua" w:hAnsi="Book Antiqua"/>
        </w:rPr>
        <w:t>endorectal</w:t>
      </w:r>
      <w:proofErr w:type="spellEnd"/>
      <w:r w:rsidRPr="007D5B4E">
        <w:rPr>
          <w:rFonts w:ascii="Book Antiqua" w:hAnsi="Book Antiqua"/>
        </w:rPr>
        <w:t xml:space="preserve"> ultrasound is important to assess the presence of LN involvement. In clinical T1-T2 node negative rectal cancer, surgical management should be pursued with a pathological assessment of TMN stage. High grade T lesions or node positive disease should be treated with adjuvant chemotherapy and radiation. In advanced clinical stage disease (T3 or higher or any node positive disease), </w:t>
      </w:r>
      <w:proofErr w:type="spellStart"/>
      <w:r w:rsidRPr="007D5B4E">
        <w:rPr>
          <w:rFonts w:ascii="Book Antiqua" w:hAnsi="Book Antiqua"/>
        </w:rPr>
        <w:t>neoadjuvant</w:t>
      </w:r>
      <w:proofErr w:type="spellEnd"/>
      <w:r w:rsidRPr="007D5B4E">
        <w:rPr>
          <w:rFonts w:ascii="Book Antiqua" w:hAnsi="Book Antiqua"/>
        </w:rPr>
        <w:t xml:space="preserve"> </w:t>
      </w:r>
      <w:proofErr w:type="spellStart"/>
      <w:r w:rsidRPr="007D5B4E">
        <w:rPr>
          <w:rFonts w:ascii="Book Antiqua" w:hAnsi="Book Antiqua"/>
        </w:rPr>
        <w:t>chemoradiation</w:t>
      </w:r>
      <w:proofErr w:type="spellEnd"/>
      <w:r w:rsidRPr="007D5B4E">
        <w:rPr>
          <w:rFonts w:ascii="Book Antiqua" w:hAnsi="Book Antiqua"/>
        </w:rPr>
        <w:t xml:space="preserve"> should be offered with adjuvant chemotherapy. The chemotherapeutics recommended in rectal cancer include the 5-FU based agents with </w:t>
      </w:r>
      <w:proofErr w:type="spellStart"/>
      <w:r w:rsidRPr="007D5B4E">
        <w:rPr>
          <w:rFonts w:ascii="Book Antiqua" w:hAnsi="Book Antiqua"/>
        </w:rPr>
        <w:t>oxaliplatin</w:t>
      </w:r>
      <w:proofErr w:type="spellEnd"/>
      <w:r w:rsidRPr="007D5B4E">
        <w:rPr>
          <w:rFonts w:ascii="Book Antiqua" w:hAnsi="Book Antiqua"/>
        </w:rPr>
        <w:t xml:space="preserve">. In metastatic disease, there is a role for </w:t>
      </w:r>
      <w:proofErr w:type="spellStart"/>
      <w:r w:rsidRPr="007D5B4E">
        <w:rPr>
          <w:rFonts w:ascii="Book Antiqua" w:hAnsi="Book Antiqua"/>
        </w:rPr>
        <w:t>panitumumab</w:t>
      </w:r>
      <w:proofErr w:type="spellEnd"/>
      <w:r w:rsidRPr="007D5B4E">
        <w:rPr>
          <w:rFonts w:ascii="Book Antiqua" w:hAnsi="Book Antiqua"/>
        </w:rPr>
        <w:t xml:space="preserve"> and </w:t>
      </w:r>
      <w:proofErr w:type="spellStart"/>
      <w:r w:rsidRPr="007D5B4E">
        <w:rPr>
          <w:rFonts w:ascii="Book Antiqua" w:hAnsi="Book Antiqua"/>
        </w:rPr>
        <w:t>cetuximab</w:t>
      </w:r>
      <w:proofErr w:type="spellEnd"/>
      <w:r w:rsidRPr="007D5B4E">
        <w:rPr>
          <w:rFonts w:ascii="Book Antiqua" w:hAnsi="Book Antiqua"/>
        </w:rPr>
        <w:t xml:space="preserve"> if the tumors are KRAS/NRAS WT. As with colon cancer, the goal in metastatic rectal cancer is to periodically reassess the potential for resection of metastases. Treatment regimens for rectal versus colon cancer share many similarities, with the major difference being the use of radiation therapy for rectal cancer as outlined above</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"10.1007/BF01297245", "ISSN" : "01632116", "author" : [ { "dropping-particle" : "", "family" : "Fensterheim", "given" : "Robert", "non-dropping-particle" : "", "parse-names" : false, "suffix" : "" } ], "container-title" : "NCCN", "id" : "ITEM-1", "issued" : { "date-parts" : [ [ "2014" ] ] }, "page" : "85", "title" : "NCCN Guidelines", "type" : "article-journal" }, "uris" : [ "http://www.mendeley.com/documents/?uuid=d35a8f1d-8fd8-4fa8-9629-acff506dd79a" ] } ], "mendeley" : { "formattedCitation" : "&lt;sup&gt;[13]&lt;/sup&gt;", "plainTextFormattedCitation" : "[13]", "previouslyFormattedCitation" : "&lt;sup&gt;[13]&lt;/sup&gt;"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[13]</w:t>
      </w:r>
      <w:r w:rsidRPr="007D5B4E">
        <w:rPr>
          <w:rFonts w:ascii="Book Antiqua" w:hAnsi="Book Antiqua"/>
          <w:vertAlign w:val="superscript"/>
        </w:rPr>
        <w:fldChar w:fldCharType="end"/>
      </w:r>
      <w:r w:rsidRPr="007D5B4E">
        <w:rPr>
          <w:rFonts w:ascii="Book Antiqua" w:hAnsi="Book Antiqua"/>
        </w:rPr>
        <w:t>. There is, however, some data suggesting a benefit for adjuvant RT in colon cancer in select patients with high-risk features for local recurrence</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"ISSN" : "0890-9091 (Print)", "PMID" : "16562650", "abstract" : "Colon cancer is a major public health problem. The primary treatment is resection. For patients with early-stage disease, surgery results in excellent survival rates. In contrast, patients with locally advanced tumors arising in \"anatomically immobile\" segments of large bowel have a less satisfactory outcome, in part secondary to compromised surgical clearance. Patterns-of-failure analyses suggest that for tumors that invade adjacent organs, exhibit perforation or fistula, or are subtotally resected, local failure rates exceed 30%. Multiple single-institution retrospective studies have shown improved local control and possibly survival with the addition of external irradiation and/or intraoperative radiation. In contrast, a recent Intergroup trial failed to show any benefit by the addition of adjuvant radiation therapy combined with chemotherapy. Interpretation of this trial's results is handicapped by low patient accrual. With the advent of novel and more effective systemic therapies for metastatic colon cancer, current and future clinical research will address the efficacy of these agents in the adjuvant setting. Adjuvant radiation therapy should be considered in patients with colon cancer at high risk for local failure.", "author" : [ { "dropping-particle" : "", "family" : "Czito", "given" : "Brian G", "non-dropping-particle" : "", "parse-names" : false, "suffix" : "" }, { "dropping-particle" : "", "family" : "Bendell", "given" : "Johanna", "non-dropping-particle" : "", "parse-names" : false, "suffix" : "" }, { "dropping-particle" : "", "family" : "Willett", "given" : "Christopher G", "non-dropping-particle" : "", "parse-names" : false, "suffix" : "" } ], "container-title" : "Oncology (Williston Park, N.Y.)", "id" : "ITEM-1", "issue" : "2", "issued" : { "date-parts" : [ [ "2006", "2" ] ] }, "page" : "178-179,192", "publisher-place" : "United States", "title" : "Radiation therapy for resectable colon cancer. Is there a role in the modern chemotherapy era?", "type" : "article-journal", "volume" : "20" }, "uris" : [ "http://www.mendeley.com/documents/?uuid=6c438225-c723-4d32-9e5d-6e3a813211ea" ] } ], "mendeley" : { "formattedCitation" : "&lt;sup&gt;[14]&lt;/sup&gt;", "plainTextFormattedCitation" : "[14]", "previouslyFormattedCitation" : "&lt;sup&gt;[14]&lt;/sup&gt;"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[14]</w:t>
      </w:r>
      <w:r w:rsidRPr="007D5B4E">
        <w:rPr>
          <w:rFonts w:ascii="Book Antiqua" w:hAnsi="Book Antiqua"/>
          <w:vertAlign w:val="superscript"/>
        </w:rPr>
        <w:fldChar w:fldCharType="end"/>
      </w:r>
      <w:r w:rsidRPr="007D5B4E">
        <w:rPr>
          <w:rFonts w:ascii="Book Antiqua" w:hAnsi="Book Antiqua"/>
        </w:rPr>
        <w:t>.</w:t>
      </w:r>
    </w:p>
    <w:p w14:paraId="21998E93" w14:textId="77777777" w:rsidR="007D5B4E" w:rsidRPr="007D5B4E" w:rsidRDefault="007D5B4E" w:rsidP="00240E68">
      <w:pPr>
        <w:spacing w:after="0" w:line="360" w:lineRule="auto"/>
        <w:ind w:firstLineChars="200" w:firstLine="480"/>
        <w:jc w:val="both"/>
        <w:rPr>
          <w:rFonts w:ascii="Book Antiqua" w:eastAsia="宋体" w:hAnsi="Book Antiqua"/>
          <w:lang w:eastAsia="zh-CN"/>
        </w:rPr>
      </w:pPr>
    </w:p>
    <w:p w14:paraId="5BA95523" w14:textId="77777777" w:rsidR="00F950CC" w:rsidRPr="007D5B4E" w:rsidRDefault="00F950CC" w:rsidP="00240E68">
      <w:pPr>
        <w:spacing w:after="0" w:line="360" w:lineRule="auto"/>
        <w:jc w:val="both"/>
        <w:rPr>
          <w:rFonts w:ascii="Book Antiqua" w:hAnsi="Book Antiqua"/>
          <w:b/>
          <w:bCs/>
          <w:caps/>
        </w:rPr>
      </w:pPr>
      <w:r w:rsidRPr="007D5B4E">
        <w:rPr>
          <w:rFonts w:ascii="Book Antiqua" w:hAnsi="Book Antiqua"/>
          <w:b/>
          <w:bCs/>
          <w:caps/>
        </w:rPr>
        <w:t>EGFR Pathways In Colorectal Cancer</w:t>
      </w:r>
    </w:p>
    <w:p w14:paraId="0A34192D" w14:textId="30405C8D" w:rsidR="00F950CC" w:rsidRPr="007D5B4E" w:rsidRDefault="00F950CC" w:rsidP="00240E68">
      <w:pPr>
        <w:spacing w:after="0" w:line="360" w:lineRule="auto"/>
        <w:jc w:val="both"/>
        <w:rPr>
          <w:rFonts w:ascii="Book Antiqua" w:hAnsi="Book Antiqua"/>
        </w:rPr>
      </w:pPr>
      <w:r w:rsidRPr="007D5B4E">
        <w:rPr>
          <w:rFonts w:ascii="Book Antiqua" w:hAnsi="Book Antiqua"/>
        </w:rPr>
        <w:t>EGFR was one of the first targets to be exploited in cancer treatment. The receptor also known as HER (human EGF receptor) or c-erbB1, is a 170-kDa transmembrane protein with intrinsic protein tyrosine kinase activity. EGFR is one of four members of the c-</w:t>
      </w:r>
      <w:proofErr w:type="spellStart"/>
      <w:r w:rsidRPr="007D5B4E">
        <w:rPr>
          <w:rFonts w:ascii="Book Antiqua" w:hAnsi="Book Antiqua"/>
        </w:rPr>
        <w:t>erb</w:t>
      </w:r>
      <w:proofErr w:type="spellEnd"/>
      <w:r w:rsidRPr="007D5B4E">
        <w:rPr>
          <w:rFonts w:ascii="Book Antiqua" w:hAnsi="Book Antiqua"/>
        </w:rPr>
        <w:t xml:space="preserve"> subfamily of receptor protein tyrosine kinases (RPTK). Two cysteine-rich domains comprise the ligand-binding region on the </w:t>
      </w:r>
      <w:r w:rsidRPr="007D5B4E">
        <w:rPr>
          <w:rFonts w:ascii="Book Antiqua" w:hAnsi="Book Antiqua"/>
        </w:rPr>
        <w:lastRenderedPageBreak/>
        <w:t xml:space="preserve">extracellular aspect of the cell. A single alpha-helical transmembrane domain connects the ligand-binding region to the intracellular receptor, which is comprised of three domains. One domain serves as a site for feedback attenuation by PKC and </w:t>
      </w:r>
      <w:proofErr w:type="spellStart"/>
      <w:r w:rsidRPr="007D5B4E">
        <w:rPr>
          <w:rFonts w:ascii="Book Antiqua" w:hAnsi="Book Antiqua"/>
        </w:rPr>
        <w:t>erk</w:t>
      </w:r>
      <w:proofErr w:type="spellEnd"/>
      <w:r w:rsidRPr="007D5B4E">
        <w:rPr>
          <w:rFonts w:ascii="Book Antiqua" w:hAnsi="Book Antiqua"/>
        </w:rPr>
        <w:t xml:space="preserve"> MAP kinases, another is a tyrosine kinase domain, and the third is a </w:t>
      </w:r>
      <w:proofErr w:type="spellStart"/>
      <w:r w:rsidRPr="007D5B4E">
        <w:rPr>
          <w:rFonts w:ascii="Book Antiqua" w:hAnsi="Book Antiqua"/>
        </w:rPr>
        <w:t>carboxy</w:t>
      </w:r>
      <w:proofErr w:type="spellEnd"/>
      <w:r w:rsidRPr="007D5B4E">
        <w:rPr>
          <w:rFonts w:ascii="Book Antiqua" w:hAnsi="Book Antiqua"/>
        </w:rPr>
        <w:t>-terminal tail. EGFR is present on all epithelial and stromal cells, and is expressed on many glial and smooth muscle cells as well. It is a multifunctional receptor that plays a key role in cell division and apoptosis, cell differentiation and dedifferentiation, migration, and organogenesis</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"10.1016/S1357-2725(99)00015-1", "ISSN" : "13572725", "PMID" : "10404636", "abstract" : "The receptor for the epidermal growth factor (EGF) and related ligands (EGFR), the prototypal member of the superfamily of receptors with intrinsic tyrosine kinase activity, is widely expressed on many cell types, including epithelial and mesenchymal lineages. Upon activation by at least five genetically distinct ligands (including EGF, transforming growth factor-\u03b1 (TGF\u03b1) and heparin-binding EGF (HB-EGF)), the intrinsic kinase is activated and EGFR tyrosyl-phosphorylates itself and numerous intermediary effector molecules, including closely-related c-erbB receptor family members. This initiates myriad signaling pathways, some of which attenuate receptor signaling. The integrated biological responses to EGFR signaling are pleiotropic including mitogenesis or apoptosis, enhanced cell motility, protein secretion, and differentiation or dedifferentiation. In addition to being implicated in organ morphogenesis, maintenance and repair, upregulated EGFR signaling has been correlated in a wide variety of tumors with progression to invasion and metastasis. Thus, EGFR and its downstream signaling molecules are targets for therapeutic interventions in wound repair and cancer.", "author" : [ { "dropping-particle" : "", "family" : "Wells", "given" : "Alan", "non-dropping-particle" : "", "parse-names" : false, "suffix" : "" } ], "container-title" : "The International Journal of Biochemistry &amp; Cell Biology", "id" : "ITEM-1", "issue" : "6", "issued" : { "date-parts" : [ [ "1999", "6" ] ] }, "page" : "637-643", "title" : "EGF receptor", "type" : "article-journal", "volume" : "31" }, "uris" : [ "http://www.mendeley.com/documents/?uuid=06b5b801-8766-4825-b810-73c83d558427" ] } ], "mendeley" : { "formattedCitation" : "&lt;sup&gt;[15]&lt;/sup&gt;", "plainTextFormattedCitation" : "[15]", "previouslyFormattedCitation" : "&lt;sup&gt;[15]&lt;/sup&gt;"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[15]</w:t>
      </w:r>
      <w:r w:rsidRPr="007D5B4E">
        <w:rPr>
          <w:rFonts w:ascii="Book Antiqua" w:hAnsi="Book Antiqua"/>
          <w:vertAlign w:val="superscript"/>
        </w:rPr>
        <w:fldChar w:fldCharType="end"/>
      </w:r>
      <w:r w:rsidRPr="007D5B4E">
        <w:rPr>
          <w:rFonts w:ascii="Book Antiqua" w:hAnsi="Book Antiqua"/>
        </w:rPr>
        <w:t xml:space="preserve">. EGFR executes these functions by activation of multiple signaling pathways including PLC-gamma-1, RAS-RAF-MEK-MAPKs, phosphatidylinositol-3 kinase (PI3K) and </w:t>
      </w:r>
      <w:proofErr w:type="spellStart"/>
      <w:r w:rsidRPr="007D5B4E">
        <w:rPr>
          <w:rFonts w:ascii="Book Antiqua" w:hAnsi="Book Antiqua"/>
        </w:rPr>
        <w:t>Akt</w:t>
      </w:r>
      <w:proofErr w:type="spellEnd"/>
      <w:r w:rsidRPr="007D5B4E">
        <w:rPr>
          <w:rFonts w:ascii="Book Antiqua" w:hAnsi="Book Antiqua"/>
        </w:rPr>
        <w:t xml:space="preserve">, </w:t>
      </w:r>
      <w:proofErr w:type="spellStart"/>
      <w:r w:rsidRPr="007D5B4E">
        <w:rPr>
          <w:rFonts w:ascii="Book Antiqua" w:hAnsi="Book Antiqua"/>
        </w:rPr>
        <w:t>Src</w:t>
      </w:r>
      <w:proofErr w:type="spellEnd"/>
      <w:r w:rsidRPr="007D5B4E">
        <w:rPr>
          <w:rFonts w:ascii="Book Antiqua" w:hAnsi="Book Antiqua"/>
        </w:rPr>
        <w:t>, the stress-activated protein kinases (SAPKs), PAK-JNKK-JNK, and the signal transducers and activators of transcription (STAT).  Binding of a div</w:t>
      </w:r>
      <w:r w:rsidR="00FD1F45">
        <w:rPr>
          <w:rFonts w:ascii="Book Antiqua" w:hAnsi="Book Antiqua"/>
        </w:rPr>
        <w:t>erse array of ligands (EGF, TGF</w:t>
      </w:r>
      <w:r w:rsidRPr="007D5B4E">
        <w:rPr>
          <w:rFonts w:ascii="Book Antiqua" w:hAnsi="Book Antiqua"/>
        </w:rPr>
        <w:t xml:space="preserve">, </w:t>
      </w:r>
      <w:proofErr w:type="spellStart"/>
      <w:r w:rsidRPr="007D5B4E">
        <w:rPr>
          <w:rFonts w:ascii="Book Antiqua" w:hAnsi="Book Antiqua"/>
        </w:rPr>
        <w:t>amphiregulin</w:t>
      </w:r>
      <w:proofErr w:type="spellEnd"/>
      <w:r w:rsidRPr="007D5B4E">
        <w:rPr>
          <w:rFonts w:ascii="Book Antiqua" w:hAnsi="Book Antiqua"/>
        </w:rPr>
        <w:t xml:space="preserve">, heparin-binding EGF, </w:t>
      </w:r>
      <w:proofErr w:type="spellStart"/>
      <w:r w:rsidRPr="007D5B4E">
        <w:rPr>
          <w:rFonts w:ascii="Book Antiqua" w:hAnsi="Book Antiqua"/>
        </w:rPr>
        <w:t>betacellulin</w:t>
      </w:r>
      <w:proofErr w:type="spellEnd"/>
      <w:r w:rsidRPr="007D5B4E">
        <w:rPr>
          <w:rFonts w:ascii="Book Antiqua" w:hAnsi="Book Antiqua"/>
        </w:rPr>
        <w:t xml:space="preserve">, or </w:t>
      </w:r>
      <w:proofErr w:type="spellStart"/>
      <w:r w:rsidRPr="007D5B4E">
        <w:rPr>
          <w:rFonts w:ascii="Book Antiqua" w:hAnsi="Book Antiqua"/>
        </w:rPr>
        <w:t>epiregulin</w:t>
      </w:r>
      <w:proofErr w:type="spellEnd"/>
      <w:r w:rsidRPr="007D5B4E">
        <w:rPr>
          <w:rFonts w:ascii="Book Antiqua" w:hAnsi="Book Antiqua"/>
        </w:rPr>
        <w:t xml:space="preserve">) induces receptor </w:t>
      </w:r>
      <w:proofErr w:type="spellStart"/>
      <w:r w:rsidRPr="007D5B4E">
        <w:rPr>
          <w:rFonts w:ascii="Book Antiqua" w:hAnsi="Book Antiqua"/>
        </w:rPr>
        <w:t>homodimerization</w:t>
      </w:r>
      <w:proofErr w:type="spellEnd"/>
      <w:r w:rsidRPr="007D5B4E">
        <w:rPr>
          <w:rFonts w:ascii="Book Antiqua" w:hAnsi="Book Antiqua"/>
        </w:rPr>
        <w:t xml:space="preserve"> or </w:t>
      </w:r>
      <w:proofErr w:type="spellStart"/>
      <w:r w:rsidRPr="007D5B4E">
        <w:rPr>
          <w:rFonts w:ascii="Book Antiqua" w:hAnsi="Book Antiqua"/>
        </w:rPr>
        <w:t>heterdimerization</w:t>
      </w:r>
      <w:proofErr w:type="spellEnd"/>
      <w:r w:rsidRPr="007D5B4E">
        <w:rPr>
          <w:rFonts w:ascii="Book Antiqua" w:hAnsi="Book Antiqua"/>
        </w:rPr>
        <w:t xml:space="preserve"> with other ErBb2 members (Figure 1).</w:t>
      </w:r>
    </w:p>
    <w:p w14:paraId="0BB697B0" w14:textId="3EBAAEB4" w:rsidR="00F950CC" w:rsidRPr="007D5B4E" w:rsidRDefault="00F950CC" w:rsidP="00240E68">
      <w:pPr>
        <w:spacing w:after="0" w:line="360" w:lineRule="auto"/>
        <w:ind w:firstLineChars="200" w:firstLine="480"/>
        <w:jc w:val="both"/>
        <w:rPr>
          <w:rFonts w:ascii="Book Antiqua" w:hAnsi="Book Antiqua"/>
        </w:rPr>
      </w:pPr>
      <w:r w:rsidRPr="007D5B4E">
        <w:rPr>
          <w:rFonts w:ascii="Book Antiqua" w:hAnsi="Book Antiqua"/>
        </w:rPr>
        <w:t xml:space="preserve">EGFR ligands are released from membrane bound </w:t>
      </w:r>
      <w:proofErr w:type="spellStart"/>
      <w:r w:rsidRPr="007D5B4E">
        <w:rPr>
          <w:rFonts w:ascii="Book Antiqua" w:hAnsi="Book Antiqua"/>
        </w:rPr>
        <w:t>proligand</w:t>
      </w:r>
      <w:proofErr w:type="spellEnd"/>
      <w:r w:rsidRPr="007D5B4E">
        <w:rPr>
          <w:rFonts w:ascii="Book Antiqua" w:hAnsi="Book Antiqua"/>
        </w:rPr>
        <w:t xml:space="preserve"> forms by membrane bound metalloprotease enzymes of the ADAM family.  ADAM17 is a key enzyme regulating release of EGFR ligands: EGF, </w:t>
      </w:r>
      <w:proofErr w:type="spellStart"/>
      <w:r w:rsidRPr="007D5B4E">
        <w:rPr>
          <w:rFonts w:ascii="Book Antiqua" w:hAnsi="Book Antiqua"/>
        </w:rPr>
        <w:t>amphiregulin</w:t>
      </w:r>
      <w:proofErr w:type="spellEnd"/>
      <w:r w:rsidRPr="007D5B4E">
        <w:rPr>
          <w:rFonts w:ascii="Book Antiqua" w:hAnsi="Book Antiqua"/>
        </w:rPr>
        <w:t>, and heparin-binding EGF</w:t>
      </w:r>
      <w:r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"10.1083/jcb.200307137", "ISSN" : "0021-9525", "PMID" : "14993236", "abstract" : "All ligands of the epidermal growth factor receptor (EGFR), which has important roles in development and disease, are released from the membrane by proteases. In several instances, ectodomain release is critical for activation of EGFR ligands, highlighting the importance of identifying EGFR ligand sheddases. Here, we uncovered the sheddases for six EGFR ligands using mouse embryonic cells lacking candidate-releasing enzymes (a disintegrin and metalloprotease [ADAM] 9, 10, 12, 15, 17, and 19). ADAM10 emerged as the main sheddase of EGF and betacellulin, and ADAM17 as the major convertase of epiregulin, transforming growth factor alpha, amphiregulin, and heparin-binding EGF-like growth factor in these cells. Analysis of adam9/12/15/17-/- knockout mice corroborated the essential role of adam17-/- in activating the EGFR in vivo. This comprehensive evaluation of EGFR ligand shedding in a defined experimental system demonstrates that ADAMs have critical roles in releasing all EGFR ligands tested here. Identification of EGFR ligand sheddases is a crucial step toward understanding the mechanism underlying ectodomain release, and has implications for designing novel inhibitors of EGFR-dependent tumors.", "author" : [ { "dropping-particle" : "", "family" : "Sahin", "given" : "Umut", "non-dropping-particle" : "", "parse-names" : false, "suffix" : "" }, { "dropping-particle" : "", "family" : "Weskamp", "given" : "Gisela", "non-dropping-particle" : "", "parse-names" : false, "suffix" : "" }, { "dropping-particle" : "", "family" : "Kelly", "given" : "Kristine", "non-dropping-particle" : "", "parse-names" : false, "suffix" : "" }, { "dropping-particle" : "", "family" : "Zhou", "given" : "Hong-Ming", "non-dropping-particle" : "", "parse-names" : false, "suffix" : "" }, { "dropping-particle" : "", "family" : "Higashiyama", "given" : "Shigeki", "non-dropping-particle" : "", "parse-names" : false, "suffix" : "" }, { "dropping-particle" : "", "family" : "Peschon", "given" : "Jacques", "non-dropping-particle" : "", "parse-names" : false, "suffix" : "" }, { "dropping-particle" : "", "family" : "Hartmann", "given" : "Dieter", "non-dropping-particle" : "", "parse-names" : false, "suffix" : "" }, { "dropping-particle" : "", "family" : "Saftig", "given" : "Paul", "non-dropping-particle" : "", "parse-names" : false, "suffix" : "" }, { "dropping-particle" : "", "family" : "Blobel", "given" : "Carl P", "non-dropping-particle" : "", "parse-names" : false, "suffix" : "" } ], "container-title" : "The Journal of cell biology", "id" : "ITEM-1", "issue" : "5", "issued" : { "date-parts" : [ [ "2004", "3", "1" ] ] }, "page" : "769-79", "title" : "Distinct roles for ADAM10 and ADAM17 in ectodomain shedding of six EGFR ligands.", "type" : "article-journal", "volume" : "164" }, "uris" : [ "http://www.mendeley.com/documents/?uuid=a8f1c189-1440-4ec4-b832-e8cc04d0ae5c" ] } ], "mendeley" : { "formattedCitation" : "&lt;sup&gt;[16]&lt;/sup&gt;", "plainTextFormattedCitation" : "[16]", "previouslyFormattedCitation" : "&lt;sup&gt;[16]&lt;/sup&gt;" }, "properties" : { "noteIndex" : 0 }, "schema" : "https://github.com/citation-style-language/schema/raw/master/csl-citation.json" }</w:instrText>
      </w:r>
      <w:r w:rsidRPr="007D5B4E">
        <w:rPr>
          <w:rFonts w:ascii="Book Antiqua" w:hAnsi="Book Antiqua"/>
        </w:rPr>
        <w:fldChar w:fldCharType="separate"/>
      </w:r>
      <w:r w:rsidR="006A05BF" w:rsidRPr="007D5B4E">
        <w:rPr>
          <w:rFonts w:ascii="Book Antiqua" w:hAnsi="Book Antiqua"/>
          <w:noProof/>
          <w:vertAlign w:val="superscript"/>
        </w:rPr>
        <w:t>[16]</w:t>
      </w:r>
      <w:r w:rsidRPr="007D5B4E">
        <w:rPr>
          <w:rFonts w:ascii="Book Antiqua" w:hAnsi="Book Antiqua"/>
        </w:rPr>
        <w:fldChar w:fldCharType="end"/>
      </w:r>
      <w:r w:rsidRPr="007D5B4E">
        <w:rPr>
          <w:rFonts w:ascii="Book Antiqua" w:hAnsi="Book Antiqua"/>
        </w:rPr>
        <w:t>.</w:t>
      </w:r>
    </w:p>
    <w:p w14:paraId="76E5E139" w14:textId="570EE412" w:rsidR="00F950CC" w:rsidRPr="007D5B4E" w:rsidRDefault="00F950CC" w:rsidP="00240E68">
      <w:pPr>
        <w:spacing w:after="0" w:line="360" w:lineRule="auto"/>
        <w:ind w:firstLineChars="200" w:firstLine="480"/>
        <w:jc w:val="both"/>
        <w:rPr>
          <w:rFonts w:ascii="Book Antiqua" w:hAnsi="Book Antiqua"/>
        </w:rPr>
      </w:pPr>
      <w:r w:rsidRPr="007D5B4E">
        <w:rPr>
          <w:rFonts w:ascii="Book Antiqua" w:hAnsi="Book Antiqua"/>
        </w:rPr>
        <w:t xml:space="preserve">When </w:t>
      </w:r>
      <w:proofErr w:type="spellStart"/>
      <w:r w:rsidRPr="007D5B4E">
        <w:rPr>
          <w:rFonts w:ascii="Book Antiqua" w:hAnsi="Book Antiqua"/>
        </w:rPr>
        <w:t>liganded</w:t>
      </w:r>
      <w:proofErr w:type="spellEnd"/>
      <w:r w:rsidRPr="007D5B4E">
        <w:rPr>
          <w:rFonts w:ascii="Book Antiqua" w:hAnsi="Book Antiqua"/>
        </w:rPr>
        <w:t xml:space="preserve">, the EGFR undergoes </w:t>
      </w:r>
      <w:proofErr w:type="spellStart"/>
      <w:r w:rsidRPr="007D5B4E">
        <w:rPr>
          <w:rFonts w:ascii="Book Antiqua" w:hAnsi="Book Antiqua"/>
        </w:rPr>
        <w:t>autophosphorylation</w:t>
      </w:r>
      <w:proofErr w:type="spellEnd"/>
      <w:r w:rsidRPr="007D5B4E">
        <w:rPr>
          <w:rFonts w:ascii="Book Antiqua" w:hAnsi="Book Antiqua"/>
        </w:rPr>
        <w:t xml:space="preserve"> </w:t>
      </w:r>
      <w:r w:rsidRPr="007D5B4E">
        <w:rPr>
          <w:rFonts w:ascii="Book Antiqua" w:hAnsi="Book Antiqua"/>
          <w:i/>
        </w:rPr>
        <w:t>in trans</w:t>
      </w:r>
      <w:r w:rsidRPr="007D5B4E">
        <w:rPr>
          <w:rFonts w:ascii="Book Antiqua" w:hAnsi="Book Antiqua"/>
        </w:rPr>
        <w:t xml:space="preserve"> in the cytoplasmic kinase domain. Phosphorylated tyrosine residues function as docking sites that are recognized by adapter or effector proteins that contain </w:t>
      </w:r>
      <w:proofErr w:type="spellStart"/>
      <w:r w:rsidRPr="007D5B4E">
        <w:rPr>
          <w:rFonts w:ascii="Book Antiqua" w:hAnsi="Book Antiqua"/>
        </w:rPr>
        <w:t>src</w:t>
      </w:r>
      <w:proofErr w:type="spellEnd"/>
      <w:r w:rsidRPr="007D5B4E">
        <w:rPr>
          <w:rFonts w:ascii="Book Antiqua" w:hAnsi="Book Antiqua"/>
        </w:rPr>
        <w:t xml:space="preserve"> homology 2 (SH2) domains or protein tyrosine binding (PTB) domains. EGFR signal responses are cell-type specific and modulated by the specific activating EGFR ligand, the particular homo or heterodimeric </w:t>
      </w:r>
      <w:proofErr w:type="spellStart"/>
      <w:r w:rsidRPr="007D5B4E">
        <w:rPr>
          <w:rFonts w:ascii="Book Antiqua" w:hAnsi="Book Antiqua"/>
        </w:rPr>
        <w:t>ErbB</w:t>
      </w:r>
      <w:proofErr w:type="spellEnd"/>
      <w:r w:rsidRPr="007D5B4E">
        <w:rPr>
          <w:rFonts w:ascii="Book Antiqua" w:hAnsi="Book Antiqua"/>
        </w:rPr>
        <w:t xml:space="preserve"> partners formed and the availability of downstream effector pathways</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"10.3978/j.issn.2218-6751.2014.05.01", "ISSN" : "0732-183X (Print)", "PMID" : "11560969", "abstract" : "Approximately two decades ago, the epidermal growth factor receptor (EGFR) was discovered to be the proto-oncogene of the mutant, constitutively active oncogenic v-erbB tyrosine kinase, which induces avian erythroblastosis. Unlike the mutant oncogene, the EGFR requires activation by binding of ligand to its extracellular (EC) domain, whereas its cellular effects depend on activation of its cytoplasmic tyrosine kinase. The overexpression of EGFR and its ligands in several human carcinomas and their association with accelerated tumor progression provided a rationale for targeting this network with tumor-selective strategies. Two of those antireceptor approaches, both solidly based on the known structure and function of the EGFR, are discussed. The first strategy involves the development of humanized monoclonal antibodies against the nonconserved receptor's EC domain. These antibodies block ligand binding and can induce receptor endocytosis and downregulation. The second approach is the generation of ATP mimetics that compete with ATP for binding to the receptor's kinase pocket, thus disabling signal transduction. Preclinical and early clinical studies already suggest that both of these approaches, either alone or in combination with standard anticancer therapies, will be able to alter the natural history of EGFR-expressing cancers with little to no toxicity to the tumor-bearing host.", "author" : [ { "dropping-particle" : "", "family" : "Arteaga", "given" : "C L", "non-dropping-particle" : "", "parse-names" : false, "suffix" : "" } ], "container-title" : "Journal of clinical oncology : official journal of the American Society of Clinical Oncology", "id" : "ITEM-1", "issue" : "18 Suppl", "issued" : { "date-parts" : [ [ "2001", "9" ] ] }, "page" : "32S-40S", "publisher-place" : "United States", "title" : "The epidermal growth factor receptor: from mutant oncogene in nonhuman cancers to therapeutic target in human neoplasia.", "type" : "article-journal", "volume" : "19" }, "uris" : [ "http://www.mendeley.com/documents/?uuid=f6a556b2-dd2b-4ced-ad59-0be01db7a2dd" ] } ], "mendeley" : { "formattedCitation" : "&lt;sup&gt;[17]&lt;/sup&gt;", "plainTextFormattedCitation" : "[17]", "previouslyFormattedCitation" : "&lt;sup&gt;[17]&lt;/sup&gt;"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[17]</w:t>
      </w:r>
      <w:r w:rsidRPr="007D5B4E">
        <w:rPr>
          <w:rFonts w:ascii="Book Antiqua" w:hAnsi="Book Antiqua"/>
          <w:vertAlign w:val="superscript"/>
        </w:rPr>
        <w:fldChar w:fldCharType="end"/>
      </w:r>
      <w:r w:rsidRPr="007D5B4E">
        <w:rPr>
          <w:rFonts w:ascii="Book Antiqua" w:hAnsi="Book Antiqua"/>
        </w:rPr>
        <w:t xml:space="preserve">. </w:t>
      </w:r>
    </w:p>
    <w:p w14:paraId="4869AD1E" w14:textId="17ACBFDA" w:rsidR="009259AF" w:rsidRPr="007D5B4E" w:rsidRDefault="00F950CC" w:rsidP="00240E68">
      <w:pPr>
        <w:spacing w:after="0" w:line="360" w:lineRule="auto"/>
        <w:ind w:firstLineChars="200" w:firstLine="480"/>
        <w:jc w:val="both"/>
        <w:rPr>
          <w:rFonts w:ascii="Book Antiqua" w:eastAsia="宋体" w:hAnsi="Book Antiqua"/>
          <w:lang w:eastAsia="zh-CN"/>
        </w:rPr>
      </w:pPr>
      <w:r w:rsidRPr="007D5B4E">
        <w:rPr>
          <w:rFonts w:ascii="Book Antiqua" w:hAnsi="Book Antiqua"/>
        </w:rPr>
        <w:t>EGFR is expressed in 60</w:t>
      </w:r>
      <w:r w:rsidR="007D5B4E" w:rsidRPr="007D5B4E">
        <w:rPr>
          <w:rFonts w:ascii="Book Antiqua" w:eastAsia="宋体" w:hAnsi="Book Antiqua"/>
          <w:lang w:eastAsia="zh-CN"/>
        </w:rPr>
        <w:t>%</w:t>
      </w:r>
      <w:r w:rsidRPr="007D5B4E">
        <w:rPr>
          <w:rFonts w:ascii="Book Antiqua" w:hAnsi="Book Antiqua"/>
        </w:rPr>
        <w:t>-80% of CRCs</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"10.3816/CCC.2003.n.006", "ISSN" : "1533-0028", "PMID" : "12620146", "abstract" : "The epidermal growth factor receptor (EGFR) is widely expressed in advanced colorectal cancers (CRCs), and higher levels of EGFR are inversely related to survival in these patients. Two general strategies have been used to block EGFR signaling: preventing ligand binding with anti-EGFR monoclonal antibodies (eg, cetuximab and ABX-EGF) and inhibiting its intrinsic tyrosine kinase with small molecules (eg, gefitinib [Iressa] and erlotinib [OSI-774,Tarceva]). Phase II trials of cetuximab suggest that it might be an effective treatment option alone or in combination with standard therapies as first- or second-line therapy. Phase I studies evaluating other EGFR inhibitors in patients with CRC have been reported. The inclusion of anti-EGFR therapies into standard treatment is the subject of current clinical trials.", "author" : [ { "dropping-particle" : "", "family" : "Cohen", "given" : "Roger B", "non-dropping-particle" : "", "parse-names" : false, "suffix" : "" } ], "container-title" : "Clinical colorectal cancer", "id" : "ITEM-1", "issue" : "4", "issued" : { "date-parts" : [ [ "2003" ] ] }, "page" : "246-251", "publisher" : "Elsevier Inc.", "title" : "Epidermal growth factor receptor as a therapeutic target in colorectal cancer.", "type" : "article-journal", "volume" : "2" }, "uris" : [ "http://www.mendeley.com/documents/?uuid=bd7eef6b-e3eb-4920-8d41-7decda2dbe2c" ] } ], "mendeley" : { "formattedCitation" : "&lt;sup&gt;[2]&lt;/sup&gt;", "plainTextFormattedCitation" : "[2]", "previouslyFormattedCitation" : "&lt;sup&gt;[2]&lt;/sup&gt;"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[2]</w:t>
      </w:r>
      <w:r w:rsidRPr="007D5B4E">
        <w:rPr>
          <w:rFonts w:ascii="Book Antiqua" w:hAnsi="Book Antiqua"/>
          <w:vertAlign w:val="superscript"/>
        </w:rPr>
        <w:fldChar w:fldCharType="end"/>
      </w:r>
      <w:r w:rsidRPr="007D5B4E">
        <w:rPr>
          <w:rFonts w:ascii="Book Antiqua" w:hAnsi="Book Antiqua"/>
        </w:rPr>
        <w:t xml:space="preserve">. The mechanisms by which EGFR promotes tumorigenesis are diverse and involve both cell cycle dysregulation and the promotion of factors that aid in tumor survival. Studies in other tumors have dissected some of the mechanisms involved. In breast cancer cells, </w:t>
      </w:r>
      <w:r w:rsidRPr="007D5B4E">
        <w:rPr>
          <w:rFonts w:ascii="Book Antiqua" w:hAnsi="Book Antiqua"/>
        </w:rPr>
        <w:lastRenderedPageBreak/>
        <w:t xml:space="preserve">increased levels of EGFR have been associated with increased proliferative and </w:t>
      </w:r>
      <w:proofErr w:type="spellStart"/>
      <w:r w:rsidRPr="007D5B4E">
        <w:rPr>
          <w:rFonts w:ascii="Book Antiqua" w:hAnsi="Book Antiqua"/>
        </w:rPr>
        <w:t>angiogenic</w:t>
      </w:r>
      <w:proofErr w:type="spellEnd"/>
      <w:r w:rsidRPr="007D5B4E">
        <w:rPr>
          <w:rFonts w:ascii="Book Antiqua" w:hAnsi="Book Antiqua"/>
        </w:rPr>
        <w:t xml:space="preserve"> activity. Increased proliferation and angiogenesi</w:t>
      </w:r>
      <w:r w:rsidR="007D5B4E" w:rsidRPr="007D5B4E">
        <w:rPr>
          <w:rFonts w:ascii="Book Antiqua" w:hAnsi="Book Antiqua"/>
        </w:rPr>
        <w:t>s are thought to be induced TGF</w:t>
      </w:r>
      <w:r w:rsidR="007D5B4E" w:rsidRPr="007D5B4E">
        <w:rPr>
          <w:rFonts w:ascii="Book Antiqua" w:eastAsia="宋体" w:hAnsi="Book Antiqua"/>
          <w:lang w:eastAsia="zh-CN"/>
        </w:rPr>
        <w:t xml:space="preserve">, </w:t>
      </w:r>
      <w:r w:rsidRPr="007D5B4E">
        <w:rPr>
          <w:rFonts w:ascii="Book Antiqua" w:hAnsi="Book Antiqua"/>
        </w:rPr>
        <w:t>which correlated with increased mitotic activity. EGFR ligands TGF</w:t>
      </w:r>
      <w:r w:rsidRPr="007D5B4E">
        <w:rPr>
          <w:rFonts w:ascii="Book Antiqua" w:hAnsi="Book Antiqua"/>
        </w:rPr>
        <w:t></w:t>
      </w:r>
      <w:r w:rsidRPr="007D5B4E">
        <w:rPr>
          <w:rFonts w:ascii="Book Antiqua" w:hAnsi="Book Antiqua"/>
        </w:rPr>
        <w:t xml:space="preserve">and EGF have also been shown to function as </w:t>
      </w:r>
      <w:proofErr w:type="spellStart"/>
      <w:r w:rsidRPr="007D5B4E">
        <w:rPr>
          <w:rFonts w:ascii="Book Antiqua" w:hAnsi="Book Antiqua"/>
        </w:rPr>
        <w:t>chemoattractants</w:t>
      </w:r>
      <w:proofErr w:type="spellEnd"/>
      <w:r w:rsidRPr="007D5B4E">
        <w:rPr>
          <w:rFonts w:ascii="Book Antiqua" w:hAnsi="Book Antiqua"/>
        </w:rPr>
        <w:t xml:space="preserve"> for endothelial cells, with TGF</w:t>
      </w:r>
      <w:r w:rsidRPr="007D5B4E">
        <w:rPr>
          <w:rFonts w:ascii="Book Antiqua" w:hAnsi="Book Antiqua"/>
        </w:rPr>
        <w:t></w:t>
      </w:r>
      <w:r w:rsidRPr="007D5B4E">
        <w:rPr>
          <w:rFonts w:ascii="Book Antiqua" w:hAnsi="Book Antiqua"/>
        </w:rPr>
        <w:t>additionally promoting the expression of VEGF</w:t>
      </w:r>
      <w:r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"10.1002/(SICI)1096-9896(199801)184:1&lt;53::AID-PATH6&gt;3.0.CO;2-7", "ISSN" : "0022-3417", "PMID" : "9582527", "abstract" : "Growth factors may play an important role in tumour growth and angiogenesis by their influence on tumour cell proliferation or their effect on neovascularization. The aim of the present study was to determine which of the growth factors, growth-inhibiting factors, and their receptors investigated in a previous study are correlated with proliferation and angiogenesis in invasive breast cancer, with emphasis on the impact of possible autocrine and paracrine loops. Five growth factors and their receptors: platelet-derived growth factor A chain (PDGF-AA) and PDGF alpha receptor (PDGF alpha R), PDGF-BB and PDGF beta receptor (PDGF beta R), transforming growth factor alpha (TGF alpha) and its receptor epidermal growth factor receptor (EGFR), and vascular endothelial growth factor (VEGF) and its receptors (Flt-1 and Flk-1/KDR; two growth-inhibiting factors: transforming growth factor beta-1 (TGF beta 1) and TGF beta 2 and their receptor couple TGF beta R-I and TGF beta R-II; and basic fibroblast growth factor (bFGF) were stained in 45 cases of invasive breast cancer by standard immunohistochemistry on frozen sections. Staining in tumour cells, stromal cells, and endothelial cells was scored as negative or positive. Proliferation was determined by assessment of the mitotic activity index (MAI) and the degree of angiogenesis was measure by counting the number of microvessels (microvessel density: MVD) in the most vascularized area of the tumour. bFGF and EGFR showed positive correlations with the MAI, while TGF beta 2 showed a negative correlation. Expression of bFGF, TGF alpha, TGF beta 2, and EGFR correlated positively with the MVD. Co-expression of the TGF alpha/EGFR growth factor/receptor combination showed a stronger correlation with the MAI and the MVD than EGFR or TGF alpha alone, and the TGF beta 2/TGF beta R-I/TGE beta R-II combination showed a positive correlation with the MVD. In conclusion, the expression of several growth factors, growth factor receptors and growth-inhibiting factors showed correlations with the rate of proliferation and the degree of angiogenesis in invasive breast cancer. Some growth factor/receptor combinations showed stronger correlations with proliferation and angiogenesis than the growth factor or receptor alone, pointing to the importance of possible auto- and paracrine loops for stimulation of proliferation and angiogenesis by growth factors and their receptors.", "author" : [ { "dropping-particle" : "", "family" : "Jong", "given" : "J S", "non-dropping-particle" : "de", "parse-names" : false, "suffix" : "" }, { "dropping-particle" : "", "family" : "Diest", "given" : "P J", "non-dropping-particle" : "van", "parse-names" : false, "suffix" : "" }, { "dropping-particle" : "", "family" : "Valk", "given" : "P", "non-dropping-particle" : "van der", "parse-names" : false, "suffix" : "" }, { "dropping-particle" : "", "family" : "Baak", "given" : "J P", "non-dropping-particle" : "", "parse-names" : false, "suffix" : "" } ], "container-title" : "The Journal of pathology", "id" : "ITEM-1", "issue" : "1", "issued" : { "date-parts" : [ [ "1998", "1" ] ] }, "page" : "53-7", "title" : "Expression of growth factors, growth-inhibiting factors, and their receptors in invasive breast cancer. II: Correlations with proliferation and angiogenesis.", "type" : "article-journal", "volume" : "184" }, "uris" : [ "http://www.mendeley.com/documents/?uuid=e20e335a-e070-4911-9b01-794d8a99b286" ] }, { "id" : "ITEM-2", "itemData" : { "DOI" : "10.1002/jcp.1041390323", "ISSN" : "0021-9541 (Print)", "PMID" : "2786881", "abstract" : "We report here that epidermal growth factor (EGF) isolated from male mouse salivary glands is active as a potent chemoattractant for a rat heart vascular endothelial cell line (RHEC). Human EGF and transforming growth factor-alpha (TGF-alpha) produced in Escherichia coli are also active as chemoattractants for these cells. The chemotactic response of the cells is induced by concentrations of murine EGF that ranged from 0.01 to 1.0 nM with similar specific activities for both the human EGF and TGF-alpha. Other growth factors such as fibroblast growth factor (FGF), TGF-beta, platelet-derived growth factor (PDGF), insulin, or IGF were not active as chemoattractants for these cells. The chemotactic response exhibited similar kinetics to those reported for connective tissue cells responding to PDGF (2-6 h) and required both RNA and protein synthesis. However, in contrast to NIH/3T3 cells responding to PDGF, the proliferating cultures of RHEC respond as well as growth-arrested cultures in the chemotaxis assay. In in vivo studies of connective tissue regeneration it appears that EGF-like factors are present in wound fluid collected from rats. Acid extracts of wound fluid contained a RHEC chemotactic activity that was neutralized with anti-EGF antisera. These studies indicate that EGF-like factors may function in vivo to control in part the angiogenic events that occur during tissue repair.", "author" : [ { "dropping-particle" : "", "family" : "Grotendorst", "given" : "G R", "non-dropping-particle" : "", "parse-names" : false, "suffix" : "" }, { "dropping-particle" : "", "family" : "Soma", "given" : "Y", "non-dropping-particle" : "", "parse-names" : false, "suffix" : "" }, { "dropping-particle" : "", "family" : "Takehara", "given" : "K", "non-dropping-particle" : "", "parse-names" : false, "suffix" : "" }, { "dropping-particle" : "", "family" : "Charette", "given" : "M", "non-dropping-particle" : "", "parse-names" : false, "suffix" : "" } ], "container-title" : "Journal of cellular physiology", "id" : "ITEM-2", "issue" : "3", "issued" : { "date-parts" : [ [ "1989", "6" ] ] }, "page" : "617-623", "publisher-place" : "UNITED STATES", "title" : "EGF and TGF-alpha are potent chemoattractants for endothelial cells and EGF-like  peptides are present at sites of tissue regeneration.", "type" : "article-journal", "volume" : "139" }, "uris" : [ "http://www.mendeley.com/documents/?uuid=a6a9d30d-3c2a-427d-b22d-0afc22d6cdb9" ] }, { "id" : "ITEM-3", "itemData" : { "DOI" : "10.1093/emboj/16.4.750", "PMID" : "9049304", "abstract" : "Jens Gille1, Robert A. Swerlick2 and S. Wright Caughman21 Zentrum der Dermatologie, Klinikum der J.W.Goethe\u2010Universit\u00e4t, Theodor\u2010Stern\u2010Kai 7, D\u201060590, Frankfurt am Main, Germany2 Emory Skin Diseases Research Center, Department of Dermatology, Emory University, 1639 Pierce Drive, Atlanta, GA, 30322, USAAbstract The endothelial cell\u2010specific mitogen vascular permeability factor/vascular endothelial growth factor (VPF/VEGF) represents a central regulator of cutaneous angiogenesis. Increased VPF/VEGF expression has recently been reported in psoriatic skin and healing wounds, both conditions in which transforming growth factor\u2010\u03b1 (TGF\u03b1) and its ligand, the epidermal growth factor receptor, are markedly up\u2010regulated. Since TGF\u03b1 strongly induces VPF/VEGF synthesis in keratinocytes, TGF\u03b1\u2010mediated VPF/VEGF expression is likely to play a significant role in the initiation and maintenance of increased vascular hyperpermeability and hyperproliferation in skin biology. The objectives of the present studies were to determine the molecular mechanisms responsible for TGF\u03b1\u2010induced transcriptional activation of the VPF/VEGF gene. We have identified a GC\u2010rich TGF\u03b1\u2010responsive region between \u221288 bp and \u221265 bp of the VPF/VEGF promoter that is necessary for constitutive and TGF\u03b1\u2010inducible transcriptional activation. In electrophoretic mobility shift assays, this region binds Sp1\u2010dependent protein complexes constitutively and an additional TGF\u03b1\u2010inducible protein complex that is distinct from Sp1 protein. Both AP\u20102 and Egr\u20101 transcription factors were detected as components of the TGF\u03b1\u2010inducible protein complex in supershift EMSA studies. In co\u2010transfection studies, an AP\u20102 but not an Egr\u20101 expression vector activated VPF/VEGF transcription, thus indicating that AP\u20102 protein is functionally important in TGF\u03b1\u2010induced VPF/VEGF gene expression. By clarifying regulatory mechanisms that are critical for angiogenic processes in the skin, these studies may form the basis for new therapeutic strategies to modulate VPF/VEGF expression in cutaneous inflammation and wound healing.gene expression regulationTGF\u03b1transcription factorsVEGFVPFReceived May 29, 1996.Revision received October 15, 1996.Copyright \u00a9 1997 European Molecular Biology Organization", "author" : [ { "dropping-particle" : "", "family" : "Gille", "given" : "Jens", "non-dropping-particle" : "", "parse-names" : false, "suffix" : "" }, { "dropping-particle" : "", "family" : "Swerlick", "given" : "Robert A", "non-dropping-particle" : "", "parse-names" : false, "suffix" : "" }, { "dropping-particle" : "", "family" : "Caughman", "given" : "S Wright", "non-dropping-particle" : "", "parse-names" : false, "suffix" : "" } ], "container-title" : "The EMBO Journal", "id" : "ITEM-3", "issue" : "4", "issued" : { "date-parts" : [ [ "1997", "2", "15" ] ] }, "page" : "750-759", "title" : "Transforming growth factor\u2010\u03b1\u2010induced transcriptional activation of the vascular permeability factor (VPF/VEGF) gene requires AP\u20102\u2010dependent DNA binding and transactivation", "type" : "article-journal", "volume" : "16" }, "uris" : [ "http://www.mendeley.com/documents/?uuid=04af709e-f71d-41cc-a83f-9110751f3c68" ] } ], "mendeley" : { "formattedCitation" : "&lt;sup&gt;[18\u201320]&lt;/sup&gt;", "plainTextFormattedCitation" : "[18\u201320]", "previouslyFormattedCitation" : "&lt;sup&gt;[18\u201320]&lt;/sup&gt;" }, "properties" : { "noteIndex" : 0 }, "schema" : "https://github.com/citation-style-language/schema/raw/master/csl-citation.json" }</w:instrText>
      </w:r>
      <w:r w:rsidRPr="007D5B4E">
        <w:rPr>
          <w:rFonts w:ascii="Book Antiqua" w:hAnsi="Book Antiqua"/>
        </w:rPr>
        <w:fldChar w:fldCharType="separate"/>
      </w:r>
      <w:r w:rsidR="006A05BF" w:rsidRPr="007D5B4E">
        <w:rPr>
          <w:rFonts w:ascii="Book Antiqua" w:hAnsi="Book Antiqua"/>
          <w:noProof/>
          <w:vertAlign w:val="superscript"/>
        </w:rPr>
        <w:t>[18–20]</w:t>
      </w:r>
      <w:r w:rsidRPr="007D5B4E">
        <w:rPr>
          <w:rFonts w:ascii="Book Antiqua" w:hAnsi="Book Antiqua"/>
        </w:rPr>
        <w:fldChar w:fldCharType="end"/>
      </w:r>
      <w:r w:rsidRPr="007D5B4E">
        <w:rPr>
          <w:rFonts w:ascii="Book Antiqua" w:hAnsi="Book Antiqua"/>
        </w:rPr>
        <w:t xml:space="preserve">.  EGFR overexpression blocks apoptosis through various mechanisms - in prostate cancer, the </w:t>
      </w:r>
      <w:proofErr w:type="spellStart"/>
      <w:r w:rsidRPr="007D5B4E">
        <w:rPr>
          <w:rFonts w:ascii="Book Antiqua" w:hAnsi="Book Antiqua"/>
        </w:rPr>
        <w:t>Ras</w:t>
      </w:r>
      <w:proofErr w:type="spellEnd"/>
      <w:r w:rsidRPr="007D5B4E">
        <w:rPr>
          <w:rFonts w:ascii="Book Antiqua" w:hAnsi="Book Antiqua"/>
        </w:rPr>
        <w:t>/</w:t>
      </w:r>
      <w:proofErr w:type="spellStart"/>
      <w:r w:rsidRPr="007D5B4E">
        <w:rPr>
          <w:rFonts w:ascii="Book Antiqua" w:hAnsi="Book Antiqua"/>
        </w:rPr>
        <w:t>Raf</w:t>
      </w:r>
      <w:proofErr w:type="spellEnd"/>
      <w:r w:rsidRPr="007D5B4E">
        <w:rPr>
          <w:rFonts w:ascii="Book Antiqua" w:hAnsi="Book Antiqua"/>
        </w:rPr>
        <w:t xml:space="preserve">/MEK cascade and the </w:t>
      </w:r>
      <w:proofErr w:type="spellStart"/>
      <w:r w:rsidRPr="007D5B4E">
        <w:rPr>
          <w:rFonts w:ascii="Book Antiqua" w:hAnsi="Book Antiqua"/>
        </w:rPr>
        <w:t>Rac</w:t>
      </w:r>
      <w:proofErr w:type="spellEnd"/>
      <w:r w:rsidRPr="007D5B4E">
        <w:rPr>
          <w:rFonts w:ascii="Book Antiqua" w:hAnsi="Book Antiqua"/>
        </w:rPr>
        <w:t xml:space="preserve">/PAK1 signaling pathway have been implicated in the inactivation of the </w:t>
      </w:r>
      <w:proofErr w:type="spellStart"/>
      <w:r w:rsidRPr="007D5B4E">
        <w:rPr>
          <w:rFonts w:ascii="Book Antiqua" w:hAnsi="Book Antiqua"/>
        </w:rPr>
        <w:t>proapoptotic</w:t>
      </w:r>
      <w:proofErr w:type="spellEnd"/>
      <w:r w:rsidRPr="007D5B4E">
        <w:rPr>
          <w:rFonts w:ascii="Book Antiqua" w:hAnsi="Book Antiqua"/>
        </w:rPr>
        <w:t xml:space="preserve"> protein BAD that is inhibited by phosphorylation</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"10.1074/jbc.M511485200", "ISBN" : "3367137650", "ISSN" : "0021-9258", "PMID" : "16847055", "abstract" : "Protection from apoptosis by receptor tyrosine kinases, resistant to the inhibition of phosphatidylinositol 3 '-kinase/Akt and Ras/MEK pathways, has been reported in several cell types, including fibroblasts and epithelial prostate cancer cells; however, mechanisms of this effect were not clear. Here we report that in prostate cancer cells, epidermal growth factor activates two antiapoptotic signaling pathways that impinge on the proapoptotic protein BAD. One signaling cascade operates via the Ras/MEK module and induces BAD phosphorylation on Ser112. Another pathway predominantly relies on Rac/PAK1 signaling that leads to BAD phosphorylation on Ser136. Each of these two pathways is sufficient to protect cells from apoptosis, and therefore both have to be inhibited simultaneously to block epidermal growth factor-dependent survival. Redundancy of antiapoptotic signaling pathways should be considered when therapies targeting antiapoptotic mechanisms are designed.", "author" : [ { "dropping-particle" : "", "family" : "Sastry", "given" : "Konduru S R", "non-dropping-particle" : "", "parse-names" : false, "suffix" : "" }, { "dropping-particle" : "", "family" : "Karpova", "given" : "Yelena", "non-dropping-particle" : "", "parse-names" : false, "suffix" : "" }, { "dropping-particle" : "", "family" : "Kulik", "given" : "George", "non-dropping-particle" : "", "parse-names" : false, "suffix" : "" } ], "container-title" : "The Journal of biological chemistry", "id" : "ITEM-1", "issue" : "37", "issued" : { "date-parts" : [ [ "2006" ] ] }, "page" : "27367-27377", "title" : "Epidermal growth factor protects prostate cancer cells from apoptosis by inducing BAD phosphorylation via redundant signaling pathways.", "type" : "article-journal", "volume" : "281" }, "uris" : [ "http://www.mendeley.com/documents/?uuid=d039aa72-495b-4ffc-bc43-9eaeafecfff3" ] } ], "mendeley" : { "formattedCitation" : "&lt;sup&gt;[21]&lt;/sup&gt;", "plainTextFormattedCitation" : "[21]", "previouslyFormattedCitation" : "&lt;sup&gt;[21]&lt;/sup&gt;"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[21]</w:t>
      </w:r>
      <w:r w:rsidRPr="007D5B4E">
        <w:rPr>
          <w:rFonts w:ascii="Book Antiqua" w:hAnsi="Book Antiqua"/>
          <w:vertAlign w:val="superscript"/>
        </w:rPr>
        <w:fldChar w:fldCharType="end"/>
      </w:r>
      <w:r w:rsidRPr="007D5B4E">
        <w:rPr>
          <w:rFonts w:ascii="Book Antiqua" w:hAnsi="Book Antiqua"/>
        </w:rPr>
        <w:t xml:space="preserve">. </w:t>
      </w:r>
      <w:r w:rsidR="00691394" w:rsidRPr="007D5B4E">
        <w:rPr>
          <w:rFonts w:ascii="Book Antiqua" w:hAnsi="Book Antiqua"/>
        </w:rPr>
        <w:t>In</w:t>
      </w:r>
      <w:r w:rsidRPr="007D5B4E">
        <w:rPr>
          <w:rFonts w:ascii="Book Antiqua" w:hAnsi="Book Antiqua"/>
        </w:rPr>
        <w:t xml:space="preserve"> breast cancer EGF and </w:t>
      </w:r>
      <w:proofErr w:type="spellStart"/>
      <w:r w:rsidRPr="007D5B4E">
        <w:rPr>
          <w:rFonts w:ascii="Book Antiqua" w:hAnsi="Book Antiqua"/>
        </w:rPr>
        <w:t>amphiregulin</w:t>
      </w:r>
      <w:proofErr w:type="spellEnd"/>
      <w:r w:rsidRPr="007D5B4E">
        <w:rPr>
          <w:rFonts w:ascii="Book Antiqua" w:hAnsi="Book Antiqua"/>
        </w:rPr>
        <w:t xml:space="preserve"> upregulated the expression of certain matrix </w:t>
      </w:r>
      <w:proofErr w:type="spellStart"/>
      <w:r w:rsidRPr="007D5B4E">
        <w:rPr>
          <w:rFonts w:ascii="Book Antiqua" w:hAnsi="Book Antiqua"/>
        </w:rPr>
        <w:t>metalloproteinases</w:t>
      </w:r>
      <w:proofErr w:type="spellEnd"/>
      <w:r w:rsidRPr="007D5B4E">
        <w:rPr>
          <w:rFonts w:ascii="Book Antiqua" w:hAnsi="Book Antiqua"/>
        </w:rPr>
        <w:t xml:space="preserve"> implicated in tumor progression and metastasis even in the presence of EGFR inhibition that blocked cell proliferation, suggesting that low levels of EGFR activation may promote MMP9 induction</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"10.1002/(SICI)1097-0215(19970317)70:6&lt;722::AID-IJC15&gt;3.0.CO;2-B", "ISSN" : "0020-7136", "PMID" : "9096655", "abstract" : "The EGF family of proteins encompasses several polypeptides such as epidermal growth factor (EGF), transforming growth factor alpha (TGF alpha), amphiregulin (AR) and heregulin (HRG-beta 1). These polypeptides regulate proliferation in breast cancer cells through interaction with membrane receptors. It has been previously shown that high EGF receptor number correlates with aggressive behavior and increased metastasis in human breast cancer. In the present study, we investigated the association between EGF and EGF-like ligand-induced DNA synthesis and secretion of MMP-9 and MMP-2 in metastatic SKBR-3 and non-metastatic MCF-7 breast cancer cells. Exposure of SKBR-3 cells to EGF or AR induces expression of MMP-9 but has no effect on MMP-2 secretion. In contrast to EGF and AR, HRG had no effect on gelatinase induction. None of the EGF polypeptides had any effect on gelatinase induction in MCF-7 non-metastatic breast cancer cells. While a relatively specific inhibitor of EGF receptor tyrosine kinase, PD 153035, inhibited EGF-, AR- and HRG-induced cell proliferation, it had no effect on MMP-9 induced by EGF and AR. Experimental evidence suggests that signaling mechanisms for cell proliferation and MMP-9 induction are mediated by different pathways down-stream of EGF receptor autophosphorylation or that low levels of EGF-induced signal that escape inhibition are sufficient to induce MMP-9 but unable to support cell proliferation. In addition, our results suggest that EGF and AR may modulate invasion of metastatic breast cancer cells by increasing the expression of MMPs.", "author" : [ { "dropping-particle" : "", "family" : "Kondapaka", "given" : "S B", "non-dropping-particle" : "", "parse-names" : false, "suffix" : "" }, { "dropping-particle" : "", "family" : "Fridman", "given" : "R", "non-dropping-particle" : "", "parse-names" : false, "suffix" : "" }, { "dropping-particle" : "", "family" : "Reddy", "given" : "K B", "non-dropping-particle" : "", "parse-names" : false, "suffix" : "" } ], "container-title" : "International journal of cancer. Journal international du cancer", "id" : "ITEM-1", "issue" : "November 1996", "issued" : { "date-parts" : [ [ "1997" ] ] }, "page" : "722-726", "title" : "Epidermal growth factor and amphiregulin up-regulate matrix metalloproteinase-9 (MMP-9) in human breast cancer cells.", "type" : "article-journal", "volume" : "70" }, "uris" : [ "http://www.mendeley.com/documents/?uuid=8814a80e-748b-495e-8237-cd24f4f95246" ] } ], "mendeley" : { "formattedCitation" : "&lt;sup&gt;[22]&lt;/sup&gt;", "plainTextFormattedCitation" : "[22]", "previouslyFormattedCitation" : "&lt;sup&gt;[22]&lt;/sup&gt;"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[22]</w:t>
      </w:r>
      <w:r w:rsidRPr="007D5B4E">
        <w:rPr>
          <w:rFonts w:ascii="Book Antiqua" w:hAnsi="Book Antiqua"/>
          <w:vertAlign w:val="superscript"/>
        </w:rPr>
        <w:fldChar w:fldCharType="end"/>
      </w:r>
      <w:r w:rsidRPr="007D5B4E">
        <w:rPr>
          <w:rFonts w:ascii="Book Antiqua" w:hAnsi="Book Antiqua"/>
        </w:rPr>
        <w:t xml:space="preserve">. </w:t>
      </w:r>
      <w:r w:rsidR="00691394" w:rsidRPr="007D5B4E">
        <w:rPr>
          <w:rFonts w:ascii="Book Antiqua" w:hAnsi="Book Antiqua"/>
        </w:rPr>
        <w:t>Finally, microRNAs have been shown to mediate EGFR effects on tumorigenesis. Specifically, mi</w:t>
      </w:r>
      <w:r w:rsidR="006C6EC0" w:rsidRPr="007D5B4E">
        <w:rPr>
          <w:rFonts w:ascii="Book Antiqua" w:hAnsi="Book Antiqua"/>
        </w:rPr>
        <w:t xml:space="preserve">RNA-143 and -145 have been demonstrated to be downregulated when </w:t>
      </w:r>
      <w:r w:rsidR="00A2382F" w:rsidRPr="007D5B4E">
        <w:rPr>
          <w:rFonts w:ascii="Book Antiqua" w:hAnsi="Book Antiqua"/>
        </w:rPr>
        <w:t xml:space="preserve">mice with </w:t>
      </w:r>
      <w:r w:rsidR="006C6EC0" w:rsidRPr="007D5B4E">
        <w:rPr>
          <w:rFonts w:ascii="Book Antiqua" w:hAnsi="Book Antiqua"/>
        </w:rPr>
        <w:t xml:space="preserve">wild type EGFR are fed a western diet high in fat, with increased expression of RAS and MYC </w:t>
      </w:r>
      <w:r w:rsidR="009259AF" w:rsidRPr="007D5B4E">
        <w:rPr>
          <w:rFonts w:ascii="Book Antiqua" w:hAnsi="Book Antiqua"/>
        </w:rPr>
        <w:t>implicated as some of the several important G1 regulators</w:t>
      </w:r>
      <w:r w:rsidR="006C6EC0" w:rsidRPr="007D5B4E">
        <w:rPr>
          <w:rFonts w:ascii="Book Antiqua" w:hAnsi="Book Antiqua"/>
        </w:rPr>
        <w:t xml:space="preserve"> </w:t>
      </w:r>
      <w:r w:rsidR="009259AF" w:rsidRPr="007D5B4E">
        <w:rPr>
          <w:rFonts w:ascii="Book Antiqua" w:hAnsi="Book Antiqua"/>
        </w:rPr>
        <w:t>mediating</w:t>
      </w:r>
      <w:r w:rsidR="006C6EC0" w:rsidRPr="007D5B4E">
        <w:rPr>
          <w:rFonts w:ascii="Book Antiqua" w:hAnsi="Book Antiqua"/>
        </w:rPr>
        <w:t xml:space="preserve"> </w:t>
      </w:r>
      <w:r w:rsidR="00F86DB6" w:rsidRPr="007D5B4E">
        <w:rPr>
          <w:rFonts w:ascii="Book Antiqua" w:hAnsi="Book Antiqua"/>
        </w:rPr>
        <w:t>this oncogenic effect.</w:t>
      </w:r>
      <w:r w:rsidR="006C6EC0" w:rsidRPr="007D5B4E">
        <w:rPr>
          <w:rFonts w:ascii="Book Antiqua" w:hAnsi="Book Antiqua"/>
        </w:rPr>
        <w:t xml:space="preserve"> Colon cancers seen in EGFR mutant spe</w:t>
      </w:r>
      <w:r w:rsidR="009259AF" w:rsidRPr="007D5B4E">
        <w:rPr>
          <w:rFonts w:ascii="Book Antiqua" w:hAnsi="Book Antiqua"/>
        </w:rPr>
        <w:t>cimens demonstrated an increase</w:t>
      </w:r>
      <w:r w:rsidR="006C6EC0" w:rsidRPr="007D5B4E">
        <w:rPr>
          <w:rFonts w:ascii="Book Antiqua" w:hAnsi="Book Antiqua"/>
        </w:rPr>
        <w:t xml:space="preserve"> in these </w:t>
      </w:r>
      <w:r w:rsidR="009259AF" w:rsidRPr="007D5B4E">
        <w:rPr>
          <w:rFonts w:ascii="Book Antiqua" w:hAnsi="Book Antiqua"/>
        </w:rPr>
        <w:t xml:space="preserve">same </w:t>
      </w:r>
      <w:r w:rsidR="006037E6" w:rsidRPr="007D5B4E">
        <w:rPr>
          <w:rFonts w:ascii="Book Antiqua" w:hAnsi="Book Antiqua"/>
        </w:rPr>
        <w:t xml:space="preserve">miRNAs without an </w:t>
      </w:r>
      <w:r w:rsidR="006C6EC0" w:rsidRPr="007D5B4E">
        <w:rPr>
          <w:rFonts w:ascii="Book Antiqua" w:hAnsi="Book Antiqua"/>
        </w:rPr>
        <w:t>increase in RAS and MYC activity, suggesting an alternate pathway of tumorigenesis in these</w:t>
      </w:r>
      <w:r w:rsidR="009D5C16" w:rsidRPr="007D5B4E">
        <w:rPr>
          <w:rFonts w:ascii="Book Antiqua" w:hAnsi="Book Antiqua"/>
        </w:rPr>
        <w:t xml:space="preserve"> </w:t>
      </w:r>
      <w:r w:rsidR="006037E6" w:rsidRPr="007D5B4E">
        <w:rPr>
          <w:rFonts w:ascii="Book Antiqua" w:hAnsi="Book Antiqua"/>
        </w:rPr>
        <w:t>tumors</w:t>
      </w:r>
      <w:r w:rsidR="009259AF"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"10.1158/1541-7786.MCR-10-0531", "ISBN" : "1557-3125 (Electronic)\\n1541-7786 (Linking)", "ISSN" : "1541-7786", "PMID" : "21653642", "abstract" : "Epidermal growth factor receptors (EGFR) contribute to colonic tumorigenesis in experimental models of colon cancer. We previously showed that EGFR was also required for colonic tumor promotion by Western diet. The goal of this study was to identify EGFR-regulated microRNAs that contribute to diet-promoted colonic tumorigenesis. Murine colonic tumors from Egfr(wt) and hypomorphic Egfr(wa2) mice were screened using micro RNA (miRNA) arrays and miR-143 and miR-145 changes confirmed by Northern, real-time PCR, and in situ analysis. Rodent and human sporadic and ulcerative colitis (UC)-associated colon cancers were examined for miR-143 and miR-145. Effects of EGFR on miR-143 and miR-145 expression were assessed in murine and human colonic cells and their putative targets examined in vitro and in vivo. miR-143 and miR-145 were readily detected in normal colonocytes and comparable in Egfr(wt) and Egfr(wa2) mice. These miRNAs were downregulated in azoxymethane and inflammation-associated colonic tumors from Egfr(wt) mice but upregulated in Egfr(wa2) tumors. They were also reduced in human sporadic and UC colon cancers. EGFR signals suppressed miR-143 and miR-145 in human and murine colonic cells. Transfected miR-143 and miR-145 inhibited HCT116 cell growth in vitro and in vivo and downregulated G(1) regulators, K-Ras, MYC, CCND2, cdk6, and E2F3, putative or established targets of these miRNAs. miRNA targets Ras and MYC were increased in colonic tumors from Egfr(wt) but not Egfr(wa2) mice fed a Western diet. EGFR suppresses miR-143 and miR-145 in murine models of colon cancer. Furthermore, Western diet unmasks the tumor suppressor roles of these EGFR-regulated miRNAs.", "author" : [ { "dropping-particle" : "", "family" : "Zhu", "given" : "Hongyan", "non-dropping-particle" : "", "parse-names" : false, "suffix" : "" }, { "dropping-particle" : "", "family" : "Dougherty", "given" : "Urszula", "non-dropping-particle" : "", "parse-names" : false, "suffix" : "" }, { "dropping-particle" : "", "family" : "Robinson", "given" : "Victoria", "non-dropping-particle" : "", "parse-names" : false, "suffix" : "" }, { "dropping-particle" : "", "family" : "Mustafi", "given" : "Reba", "non-dropping-particle" : "", "parse-names" : false, "suffix" : "" }, { "dropping-particle" : "", "family" : "Pekow", "given" : "Joel", "non-dropping-particle" : "", "parse-names" : false, "suffix" : "" }, { "dropping-particle" : "", "family" : "Kupfer", "given" : "Sonia", "non-dropping-particle" : "", "parse-names" : false, "suffix" : "" }, { "dropping-particle" : "", "family" : "Li", "given" : "Yan-Chun", "non-dropping-particle" : "", "parse-names" : false, "suffix" : "" }, { "dropping-particle" : "", "family" : "Hart", "given" : "John", "non-dropping-particle" : "", "parse-names" : false, "suffix" : "" }, { "dropping-particle" : "", "family" : "Goss", "given" : "Kathleen", "non-dropping-particle" : "", "parse-names" : false, "suffix" : "" }, { "dropping-particle" : "", "family" : "Fichera", "given" : "Alessandro", "non-dropping-particle" : "", "parse-names" : false, "suffix" : "" }, { "dropping-particle" : "", "family" : "Joseph", "given" : "Loren", "non-dropping-particle" : "", "parse-names" : false, "suffix" : "" }, { "dropping-particle" : "", "family" : "Bissonnette", "given" : "Marc", "non-dropping-particle" : "", "parse-names" : false, "suffix" : "" } ], "container-title" : "Molecular cancer research : MCR", "id" : "ITEM-1", "issue" : "July", "issued" : { "date-parts" : [ [ "2011" ] ] }, "page" : "960-975", "title" : "EGFR signals downregulate tumor suppressors miR-143 and miR-145 in Western diet-promoted murine colon cancer: role of G1 regulators.", "type" : "article-journal", "volume" : "9" }, "uris" : [ "http://www.mendeley.com/documents/?uuid=f0c0d02a-27c8-43fe-8925-be3ea027900c" ] } ], "mendeley" : { "formattedCitation" : "&lt;sup&gt;[23]&lt;/sup&gt;", "plainTextFormattedCitation" : "[23]", "previouslyFormattedCitation" : "&lt;sup&gt;[23]&lt;/sup&gt;" }, "properties" : { "noteIndex" : 0 }, "schema" : "https://github.com/citation-style-language/schema/raw/master/csl-citation.json" }</w:instrText>
      </w:r>
      <w:r w:rsidR="009259AF" w:rsidRPr="007D5B4E">
        <w:rPr>
          <w:rFonts w:ascii="Book Antiqua" w:hAnsi="Book Antiqua"/>
        </w:rPr>
        <w:fldChar w:fldCharType="separate"/>
      </w:r>
      <w:r w:rsidR="009259AF" w:rsidRPr="007D5B4E">
        <w:rPr>
          <w:rFonts w:ascii="Book Antiqua" w:hAnsi="Book Antiqua"/>
          <w:noProof/>
          <w:vertAlign w:val="superscript"/>
        </w:rPr>
        <w:t>[23]</w:t>
      </w:r>
      <w:r w:rsidR="009259AF" w:rsidRPr="007D5B4E">
        <w:rPr>
          <w:rFonts w:ascii="Book Antiqua" w:hAnsi="Book Antiqua"/>
        </w:rPr>
        <w:fldChar w:fldCharType="end"/>
      </w:r>
      <w:r w:rsidR="006C6EC0" w:rsidRPr="007D5B4E">
        <w:rPr>
          <w:rFonts w:ascii="Book Antiqua" w:hAnsi="Book Antiqua"/>
        </w:rPr>
        <w:t>.</w:t>
      </w:r>
    </w:p>
    <w:p w14:paraId="5948C531" w14:textId="77777777" w:rsidR="007D5B4E" w:rsidRPr="007D5B4E" w:rsidRDefault="007D5B4E" w:rsidP="00240E68">
      <w:pPr>
        <w:spacing w:after="0" w:line="360" w:lineRule="auto"/>
        <w:ind w:firstLineChars="200" w:firstLine="480"/>
        <w:jc w:val="both"/>
        <w:rPr>
          <w:rFonts w:ascii="Book Antiqua" w:eastAsia="宋体" w:hAnsi="Book Antiqua"/>
          <w:lang w:eastAsia="zh-CN"/>
        </w:rPr>
      </w:pPr>
    </w:p>
    <w:p w14:paraId="140E337F" w14:textId="77777777" w:rsidR="00F950CC" w:rsidRPr="007D5B4E" w:rsidRDefault="00F950CC" w:rsidP="00240E68">
      <w:pPr>
        <w:spacing w:after="0" w:line="360" w:lineRule="auto"/>
        <w:jc w:val="both"/>
        <w:rPr>
          <w:rFonts w:ascii="Book Antiqua" w:hAnsi="Book Antiqua"/>
          <w:b/>
          <w:bCs/>
          <w:caps/>
        </w:rPr>
      </w:pPr>
      <w:r w:rsidRPr="007D5B4E">
        <w:rPr>
          <w:rFonts w:ascii="Book Antiqua" w:hAnsi="Book Antiqua"/>
          <w:b/>
          <w:bCs/>
          <w:caps/>
        </w:rPr>
        <w:t>EGFR, Diet, and Chemoprevention</w:t>
      </w:r>
    </w:p>
    <w:p w14:paraId="7FDA4FCC" w14:textId="37AE1D7E" w:rsidR="00F950CC" w:rsidRPr="007D5B4E" w:rsidRDefault="00F950CC" w:rsidP="00240E68">
      <w:pPr>
        <w:spacing w:after="0" w:line="360" w:lineRule="auto"/>
        <w:jc w:val="both"/>
        <w:rPr>
          <w:rFonts w:ascii="Book Antiqua" w:hAnsi="Book Antiqua"/>
        </w:rPr>
      </w:pPr>
      <w:r w:rsidRPr="007D5B4E">
        <w:rPr>
          <w:rFonts w:ascii="Book Antiqua" w:hAnsi="Book Antiqua"/>
        </w:rPr>
        <w:t>There is a strong association between Western diet and the incidence of colorectal cancer. This association was initially observed in the late 1960s, in epidemiological studies of the incidence of colon cancer in Japanese-American emigrants over the course of two generations following their adoption of a Western style diet, high in animal fat and red meat</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"ISSN" : "0027-8874 (Print)", "PMID" : "5635018", "author" : [ { "dropping-particle" : "", "family" : "Haenszel", "given" : "W", "non-dropping-particle" : "", "parse-names" : false, "suffix" : "" }, { "dropping-particle" : "", "family" : "Kurihara", "given" : "M", "non-dropping-particle" : "", "parse-names" : false, "suffix" : "" } ], "container-title" : "Journal of the National Cancer Institute", "id" : "ITEM-1", "issue" : "1", "issued" : { "date-parts" : [ [ "1968", "1" ] ] }, "page" : "43-68", "publisher-place" : "UNITED STATES", "title" : "Studies of Japanese migrants. I. Mortality from cancer and other diseases among Japanese in the United States.", "type" : "article-journal", "volume" : "40" }, "uris" : [ "http://www.mendeley.com/documents/?uuid=6a9f5cce-cf23-4844-bae5-8c910e2763c1" ] } ], "mendeley" : { "formattedCitation" : "&lt;sup&gt;[24]&lt;/sup&gt;", "plainTextFormattedCitation" : "[24]", "previouslyFormattedCitation" : "&lt;sup&gt;[24]&lt;/sup&gt;"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[24]</w:t>
      </w:r>
      <w:r w:rsidRPr="007D5B4E">
        <w:rPr>
          <w:rFonts w:ascii="Book Antiqua" w:hAnsi="Book Antiqua"/>
          <w:vertAlign w:val="superscript"/>
        </w:rPr>
        <w:fldChar w:fldCharType="end"/>
      </w:r>
      <w:r w:rsidRPr="007D5B4E">
        <w:rPr>
          <w:rFonts w:ascii="Book Antiqua" w:hAnsi="Book Antiqua"/>
        </w:rPr>
        <w:t xml:space="preserve">. This association has been investigated in the </w:t>
      </w:r>
      <w:proofErr w:type="spellStart"/>
      <w:r w:rsidRPr="007D5B4E">
        <w:rPr>
          <w:rFonts w:ascii="Book Antiqua" w:hAnsi="Book Antiqua"/>
        </w:rPr>
        <w:t>azoxymethane</w:t>
      </w:r>
      <w:proofErr w:type="spellEnd"/>
      <w:r w:rsidRPr="007D5B4E">
        <w:rPr>
          <w:rFonts w:ascii="Book Antiqua" w:hAnsi="Book Antiqua"/>
        </w:rPr>
        <w:t xml:space="preserve"> (AOM) model of colon cancer that mimics many of the clinical, histological and molecular features of sporadic human colon cancer. AOM causes O6 methylation of DNA guanine bases resulting in </w:t>
      </w:r>
      <w:r w:rsidRPr="007D5B4E">
        <w:rPr>
          <w:rFonts w:ascii="Book Antiqua" w:hAnsi="Book Antiqua"/>
        </w:rPr>
        <w:lastRenderedPageBreak/>
        <w:t>activating mutations in K-</w:t>
      </w:r>
      <w:proofErr w:type="spellStart"/>
      <w:r w:rsidRPr="007D5B4E">
        <w:rPr>
          <w:rFonts w:ascii="Book Antiqua" w:hAnsi="Book Antiqua"/>
        </w:rPr>
        <w:t>ras</w:t>
      </w:r>
      <w:proofErr w:type="spellEnd"/>
      <w:r w:rsidRPr="007D5B4E">
        <w:rPr>
          <w:rFonts w:ascii="Book Antiqua" w:hAnsi="Book Antiqua"/>
        </w:rPr>
        <w:t xml:space="preserve"> and CTNNB1 (which codes fo</w:t>
      </w:r>
      <w:r w:rsidR="007D5B4E" w:rsidRPr="007D5B4E">
        <w:rPr>
          <w:rFonts w:ascii="Book Antiqua" w:hAnsi="Book Antiqua"/>
        </w:rPr>
        <w:t xml:space="preserve">r </w:t>
      </w:r>
      <w:r w:rsidRPr="007D5B4E">
        <w:rPr>
          <w:rFonts w:ascii="Book Antiqua" w:hAnsi="Book Antiqua"/>
        </w:rPr>
        <w:t>-</w:t>
      </w:r>
      <w:r w:rsidR="007D5B4E" w:rsidRPr="007D5B4E">
        <w:rPr>
          <w:rFonts w:ascii="Book Antiqua" w:eastAsia="宋体" w:hAnsi="Book Antiqua"/>
          <w:lang w:eastAsia="zh-CN"/>
        </w:rPr>
        <w:t xml:space="preserve"> </w:t>
      </w:r>
      <w:r w:rsidRPr="007D5B4E">
        <w:rPr>
          <w:rFonts w:ascii="Book Antiqua" w:hAnsi="Book Antiqua"/>
        </w:rPr>
        <w:t>catenin)</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"10.1111/j.1349-7006.2004.tb03235.x", "ISSN" : "1349-7006", "PMID" : "15182426", "author" : [ { "dropping-particle" : "", "family" : "Takahashi", "given" : "Mami", "non-dropping-particle" : "", "parse-names" : false, "suffix" : "" }, { "dropping-particle" : "", "family" : "Wakabayashi", "given" : "Keiji", "non-dropping-particle" : "", "parse-names" : false, "suffix" : "" } ], "container-title" : "Cancer Science", "id" : "ITEM-1", "issue" : "6", "issued" : { "date-parts" : [ [ "2004", "6", "1" ] ] }, "page" : "475-480", "publisher" : "Blackwell Publishing Ltd", "title" : "Gene mutations and altered gene expression in azoxymethane-induced colon carcinogenesis in rodents", "type" : "article-journal", "volume" : "95" }, "uris" : [ "http://www.mendeley.com/documents/?uuid=1fdbbc7f-546b-4861-b86d-e43b3cb1023b" ] } ], "mendeley" : { "formattedCitation" : "&lt;sup&gt;[25]&lt;/sup&gt;", "plainTextFormattedCitation" : "[25]", "previouslyFormattedCitation" : "&lt;sup&gt;[25]&lt;/sup&gt;"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[25]</w:t>
      </w:r>
      <w:r w:rsidRPr="007D5B4E">
        <w:rPr>
          <w:rFonts w:ascii="Book Antiqua" w:hAnsi="Book Antiqua"/>
          <w:vertAlign w:val="superscript"/>
        </w:rPr>
        <w:fldChar w:fldCharType="end"/>
      </w:r>
      <w:r w:rsidRPr="007D5B4E">
        <w:rPr>
          <w:rFonts w:ascii="Book Antiqua" w:hAnsi="Book Antiqua"/>
        </w:rPr>
        <w:t>. In this model, EGFR is required for tumor promotion by Western diet</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"10.1158/0008-5472.CAN-05-3343", "ISBN" : "0008-5472 (Print)", "ISSN" : "00085472", "PMID" : "17234795", "abstract" : "Colonic carcinogenesis involves the progressive dysregulation of homeostatic mechanisms that control growth. The epidermal growth factor (EGF) receptor (EGFR) regulates colonocyte growth and differentiation and is overexpressed in many human colon cancers. A requirement for EGFR in colonic premalignancy, however, has not been shown. In the current study, we used a specific EGFR antagonist, gefitinib, to investigate this role of the receptor in azoxymethane colonic premalignancy. The azoxymethane model shares many clinical, histologic, and molecular features of human colon cancer. Mice received azoxymethane i.p. (5 mg/kg/wk) or saline for 6 weeks. Animals were also gavaged with gefitinib (10 mg/kg body weight) or vehicle (DMSO) thrice weekly for 18 weeks, a dose schedule that inhibited normal receptor activation by exogenous EGF. Compared with control colonocytes [bromodeoxyuridine (BrdUrd), 2.2+/-1.2%], azoxymethane significantly increased proliferation (BrdUrd, 12.6+/-2.8%), whereas gefitinib inhibited this hyperproliferation (BrdUrd, 6.2+/-4.0%; &lt;0.005). Azoxymethane significantly induced pro-transforming growth factor-alpha (6.4+/-1.3-fold) and increased phospho-(active) EGFR (5.9+/-1.1-fold), phospho-(active) ErbB2 (2.3+/-0.2-fold), and phospho-(active) extracellular signal-regulated kinase (3.3+/-0.4-fold) in premalignant colonocytes. Gefitinib inhibited activations of these kinases by &gt;75% (P&lt;0.05). Gefitinib also significantly reduced the number of large aberrant crypt foci and decreased the incidence of colonic microadenomas from 75% to 33% (P&lt;0.05). Gefitinib concomitantly decreased cell cycle-regulating cyclin D1 and prostanoid biosynthetic enzyme cyclooxygenase-2 in microadenomas, suggesting that these regulators are key targets of EGFR in colonic carcinogenesis. These results show for the first time that EGFR signaling is required for early stages of colonic carcinogenesis. Our findings suggest, moreover, that inhibitors of EGFR might be useful in chemopreventive strategies in individuals at increased risk for colonic malignancies.", "author" : [ { "dropping-particle" : "", "family" : "Fichera", "given" : "Alessandro", "non-dropping-particle" : "", "parse-names" : false, "suffix" : "" }, { "dropping-particle" : "", "family" : "Little", "given" : "Nathaniel", "non-dropping-particle" : "", "parse-names" : false, "suffix" : "" }, { "dropping-particle" : "", "family" : "Jagadeeswaran", "given" : "Sujatha", "non-dropping-particle" : "", "parse-names" : false, "suffix" : "" }, { "dropping-particle" : "", "family" : "Dougherty", "given" : "Urszula", "non-dropping-particle" : "", "parse-names" : false, "suffix" : "" }, { "dropping-particle" : "", "family" : "Sehdev", "given" : "Amikar", "non-dropping-particle" : "", "parse-names" : false, "suffix" : "" }, { "dropping-particle" : "", "family" : "Mustafi", "given" : "Reba", "non-dropping-particle" : "", "parse-names" : false, "suffix" : "" }, { "dropping-particle" : "", "family" : "Cerda", "given" : "Sonia", "non-dropping-particle" : "", "parse-names" : false, "suffix" : "" }, { "dropping-particle" : "", "family" : "Yuan", "given" : "Weihua", "non-dropping-particle" : "", "parse-names" : false, "suffix" : "" }, { "dropping-particle" : "", "family" : "Khare", "given" : "Sharad", "non-dropping-particle" : "", "parse-names" : false, "suffix" : "" }, { "dropping-particle" : "", "family" : "Tretiakova", "given" : "Maria", "non-dropping-particle" : "", "parse-names" : false, "suffix" : "" }, { "dropping-particle" : "", "family" : "Gong", "given" : "Can", "non-dropping-particle" : "", "parse-names" : false, "suffix" : "" }, { "dropping-particle" : "", "family" : "Tallerico", "given" : "Michael", "non-dropping-particle" : "", "parse-names" : false, "suffix" : "" }, { "dropping-particle" : "", "family" : "Cohen", "given" : "Greg", "non-dropping-particle" : "", "parse-names" : false, "suffix" : "" }, { "dropping-particle" : "", "family" : "Joseph", "given" : "Loren", "non-dropping-particle" : "", "parse-names" : false, "suffix" : "" }, { "dropping-particle" : "", "family" : "Hart", "given" : "John", "non-dropping-particle" : "", "parse-names" : false, "suffix" : "" }, { "dropping-particle" : "", "family" : "Turner", "given" : "Jerrold R.", "non-dropping-particle" : "", "parse-names" : false, "suffix" : "" }, { "dropping-particle" : "", "family" : "Bissonnette", "given" : "Marc", "non-dropping-particle" : "", "parse-names" : false, "suffix" : "" } ], "container-title" : "Cancer Research", "id" : "ITEM-1", "issue" : "2", "issued" : { "date-parts" : [ [ "2007" ] ] }, "page" : "827-835", "title" : "Epidermal growth factor receptor signaling is required for microadenoma formation in the mouse azoxymethane model of colonic carcinogenesis", "type" : "article-journal", "volume" : "67" }, "uris" : [ "http://www.mendeley.com/documents/?uuid=755ef830-1692-4512-8127-9e4d816e2cd4" ] }, { "id" : "ITEM-2", "itemData" : { "DOI" : "10.1158/1078-0432.CCR-07-4926", "ISSN" : "10780432", "PMID" : "18413814", "abstract" : "PURPOSE: Colonic carcinogenesis deranges growth-regulating epidermal growth factor receptors (EGFR). We previously showed that EGFR signals were up-regulated in human aberrant crypt foci (ACF), putative colon cancer precursors. The azoxymethane model of colon cancer recapitulates many aspects of human colonic tumors. Recent studies indicate that flat dysplastic ACF with increased beta-catenin are tumor precursors in this model. We asked, therefore, if EGFR signals are required for flat dysplastic ACF development and cancer progression. EXPERIMENTAL DESIGN: Rats received azoxymethane or saline, and standard chow or chow supplemented with gefitinib, an EGFR inhibitor, for 44 weeks. EGFR signals were quantified in normal colon, flat ACF, and tumors by computerized analysis of immunostains and Western blots. K-ras mutations were assessed by PCR and mRNA for egfr ligands by quantitative real-time PCR. RESULTS: EGFR inhibition with gefitinib decreased the incidence of flat dysplastic ACF from 66% to 36% and tumors from 71% to 22% (P &lt; 0.05). This inhibitor also reduced the overexpressions of cyclin D1 and Cox-2 in flat ACF. Furthermore, in flat ACF, EGFR blockade decreased the up-regulation of c-Jun, FosB, phosphorylated active signal transducers and activators of transcription 3, and CCAAT/enhancer binding protein-beta, potential regulators of cyclin D1 and Cox-2. In colonic tumors, EGFR blockade significantly decreased angiogenesis, proliferation, and progression while also increasing apoptosis (P &lt; 0.05). Gefitinib also inhibited the activations of extracellular signal-regulated kinase, Src, and AKT pathways in tumors. CONCLUSIONS: We have shown for the first time that EGFR promotes the development of flat dysplastic ACF and the progression of malignant colonic tumors. Furthermore, we have mechanistically identified several transcription factors and their targets as EGFR effectors in colonic carcinogenesis.", "author" : [ { "dropping-particle" : "", "family" : "Dougherty", "given" : "Urszula", "non-dropping-particle" : "", "parse-names" : false, "suffix" : "" }, { "dropping-particle" : "", "family" : "Sehdev", "given" : "Amikar", "non-dropping-particle" : "", "parse-names" : false, "suffix" : "" }, { "dropping-particle" : "", "family" : "Cerda", "given" : "Sonia", "non-dropping-particle" : "", "parse-names" : false, "suffix" : "" }, { "dropping-particle" : "", "family" : "Mustafi", "given" : "Reba", "non-dropping-particle" : "", "parse-names" : false, "suffix" : "" }, { "dropping-particle" : "", "family" : "Little", "given" : "Nathaniel", "non-dropping-particle" : "", "parse-names" : false, "suffix" : "" }, { "dropping-particle" : "", "family" : "Yuan", "given" : "Weihua", "non-dropping-particle" : "", "parse-names" : false, "suffix" : "" }, { "dropping-particle" : "", "family" : "Jagadeeswaran", "given" : "Sujatha", "non-dropping-particle" : "", "parse-names" : false, "suffix" : "" }, { "dropping-particle" : "", "family" : "Chumsangsri", "given" : "Anusara", "non-dropping-particle" : "", "parse-names" : false, "suffix" : "" }, { "dropping-particle" : "", "family" : "Delgado", "given" : "Jorge", "non-dropping-particle" : "", "parse-names" : false, "suffix" : "" }, { "dropping-particle" : "", "family" : "Tretiakova", "given" : "Maria", "non-dropping-particle" : "", "parse-names" : false, "suffix" : "" }, { "dropping-particle" : "", "family" : "Joseph", "given" : "Loren", "non-dropping-particle" : "", "parse-names" : false, "suffix" : "" }, { "dropping-particle" : "", "family" : "Hart", "given" : "John", "non-dropping-particle" : "", "parse-names" : false, "suffix" : "" }, { "dropping-particle" : "", "family" : "Cohen", "given" : "Ezra E W", "non-dropping-particle" : "", "parse-names" : false, "suffix" : "" }, { "dropping-particle" : "", "family" : "Aluri", "given" : "Lata", "non-dropping-particle" : "", "parse-names" : false, "suffix" : "" }, { "dropping-particle" : "", "family" : "Fichera", "given" : "Alessandro", "non-dropping-particle" : "", "parse-names" : false, "suffix" : "" }, { "dropping-particle" : "", "family" : "Bissonnette", "given" : "Marc", "non-dropping-particle" : "", "parse-names" : false, "suffix" : "" } ], "container-title" : "Clinical Cancer Research", "id" : "ITEM-2", "issue" : "5", "issued" : { "date-parts" : [ [ "2008" ] ] }, "page" : "2253-2262", "title" : "Epidermal growth factor receptor controls flat dysplastic aberrant crypt foci development and colon cancer progression in the rat azoxymethane model", "type" : "article-journal", "volume" : "14" }, "uris" : [ "http://www.mendeley.com/documents/?uuid=a1eb9d08-6694-4cf2-8445-255773741fc5" ] } ], "mendeley" : { "formattedCitation" : "&lt;sup&gt;[26,27]&lt;/sup&gt;", "plainTextFormattedCitation" : "[26,27]", "previouslyFormattedCitation" : "&lt;sup&gt;[26,27]&lt;/sup&gt;"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[26,27]</w:t>
      </w:r>
      <w:r w:rsidRPr="007D5B4E">
        <w:rPr>
          <w:rFonts w:ascii="Book Antiqua" w:hAnsi="Book Antiqua"/>
        </w:rPr>
        <w:fldChar w:fldCharType="end"/>
      </w:r>
      <w:r w:rsidRPr="007D5B4E">
        <w:rPr>
          <w:rFonts w:ascii="Book Antiqua" w:hAnsi="Book Antiqua"/>
        </w:rPr>
        <w:t xml:space="preserve">. To demonstrate EGFR requirement, mice with wild type </w:t>
      </w:r>
      <w:proofErr w:type="spellStart"/>
      <w:r w:rsidRPr="007D5B4E">
        <w:rPr>
          <w:rFonts w:ascii="Book Antiqua" w:hAnsi="Book Antiqua"/>
        </w:rPr>
        <w:t>Egfr</w:t>
      </w:r>
      <w:proofErr w:type="spellEnd"/>
      <w:r w:rsidRPr="007D5B4E">
        <w:rPr>
          <w:rFonts w:ascii="Book Antiqua" w:hAnsi="Book Antiqua"/>
        </w:rPr>
        <w:t xml:space="preserve"> and mice homozygous for loss-of-function Waved-2 </w:t>
      </w:r>
      <w:proofErr w:type="spellStart"/>
      <w:r w:rsidRPr="007D5B4E">
        <w:rPr>
          <w:rFonts w:ascii="Book Antiqua" w:hAnsi="Book Antiqua"/>
        </w:rPr>
        <w:t>Egfr</w:t>
      </w:r>
      <w:proofErr w:type="spellEnd"/>
      <w:r w:rsidRPr="007D5B4E">
        <w:rPr>
          <w:rFonts w:ascii="Book Antiqua" w:hAnsi="Book Antiqua"/>
        </w:rPr>
        <w:t xml:space="preserve"> mutations were fed standard vs high-fat diets and cancer was induced by treating with AOM, followed by tumor promoting dextran sulfate sodium (DSS). The Waved-2 </w:t>
      </w:r>
      <w:proofErr w:type="spellStart"/>
      <w:r w:rsidRPr="007D5B4E">
        <w:rPr>
          <w:rFonts w:ascii="Book Antiqua" w:hAnsi="Book Antiqua"/>
        </w:rPr>
        <w:t>Egfr</w:t>
      </w:r>
      <w:proofErr w:type="spellEnd"/>
      <w:r w:rsidRPr="007D5B4E">
        <w:rPr>
          <w:rFonts w:ascii="Book Antiqua" w:hAnsi="Book Antiqua"/>
        </w:rPr>
        <w:t xml:space="preserve"> lacks 90% of wild type receptor kinase activity. The </w:t>
      </w:r>
      <w:proofErr w:type="spellStart"/>
      <w:r w:rsidRPr="007D5B4E">
        <w:rPr>
          <w:rFonts w:ascii="Book Antiqua" w:hAnsi="Book Antiqua"/>
        </w:rPr>
        <w:t>Egfr</w:t>
      </w:r>
      <w:proofErr w:type="spellEnd"/>
      <w:r w:rsidRPr="007D5B4E">
        <w:rPr>
          <w:rFonts w:ascii="Book Antiqua" w:hAnsi="Book Antiqua"/>
        </w:rPr>
        <w:t xml:space="preserve"> wild type mice in the high-fat group had a significantly higher tumor incidence compared to mice on standard diet but this tumor promoting effect of high fat diet did not occur in mice with mutant </w:t>
      </w:r>
      <w:proofErr w:type="spellStart"/>
      <w:r w:rsidRPr="007D5B4E">
        <w:rPr>
          <w:rFonts w:ascii="Book Antiqua" w:hAnsi="Book Antiqua"/>
        </w:rPr>
        <w:t>Egfr</w:t>
      </w:r>
      <w:proofErr w:type="spellEnd"/>
      <w:r w:rsidRPr="007D5B4E">
        <w:rPr>
          <w:rFonts w:ascii="Book Antiqua" w:hAnsi="Book Antiqua"/>
        </w:rPr>
        <w:fldChar w:fldCharType="begin" w:fldLock="1"/>
      </w:r>
      <w:r w:rsidR="00261459" w:rsidRPr="007D5B4E">
        <w:rPr>
          <w:rFonts w:ascii="Book Antiqua" w:hAnsi="Book Antiqua"/>
        </w:rPr>
        <w:instrText>ADDIN CSL_CITATION { "citationItems" : [ { "id" : "ITEM-1", "itemData" : { "DOI" : "10.1158/1078-0432.CCR-09-1678", "ISSN" : "10780432", "PMID" : "19903783", "author" : [ { "dropping-particle" : "", "family" : "Dougherty", "given" : "Urszula", "non-dropping-particle" : "", "parse-names" : false, "suffix" : "" }, { "dropping-particle" : "", "family" : "Cerasi", "given" : "Dario", "non-dropping-particle" : "", "parse-names" : false, "suffix" : "" }, { "dropping-particle" : "", "family" : "Taylor", "given" : "Ieva", "non-dropping-particle" : "", "parse-names" : false, "suffix" : "" }, { "dropping-particle" : "", "family" : "Kocherginsky", "given" : "Masha", "non-dropping-particle" : "", "parse-names" : false, "suffix" : "" }, { "dropping-particle" : "", "family" : "Tekin", "given" : "Ummuhan", "non-dropping-particle" : "", "parse-names" : false, "suffix" : "" }, { "dropping-particle" : "", "family" : "Badal", "given" : "Shamiram", "non-dropping-particle" : "", "parse-names" : false, "suffix" : "" }, { "dropping-particle" : "", "family" : "Aluri", "given" : "Lata", "non-dropping-particle" : "", "parse-names" : false, "suffix" : "" }, { "dropping-particle" : "", "family" : "Sehdev", "given" : "Amikar", "non-dropping-particle" : "", "parse-names" : false, "suffix" : "" }, { "dropping-particle" : "", "family" : "Cerda", "given" : "Sonia", "non-dropping-particle" : "", "parse-names" : false, "suffix" : "" }, { "dropping-particle" : "", "family" : "Mustafi", "given" : "Reba", "non-dropping-particle" : "", "parse-names" : false, "suffix" : "" }, { "dropping-particle" : "", "family" : "Delgado", "given" : "Jorge", "non-dropping-particle" : "", "parse-names" : false, "suffix" : "" }, { "dropping-particle" : "", "family" : "Joseph", "given" : "Loren", "non-dropping-particle" : "", "parse-names" : false, "suffix" : "" }, { "dropping-particle" : "", "family" : "Zhu", "given" : "Hongyan", "non-dropping-particle" : "", "parse-names" : false, "suffix" : "" }, { "dropping-particle" : "", "family" : "Hart", "given" : "John", "non-dropping-particle" : "", "parse-names" : false, "suffix" : "" }, { "dropping-particle" : "", "family" : "Threadgill", "given" : "David", "non-dropping-particle" : "", "parse-names" : false, "suffix" : "" }, { "dropping-particle" : "", "family" : "Fichera", "given" : "Alessandro", "non-dropping-particle" : "", "parse-names" : false, "suffix" : "" }, { "dropping-particle" : "", "family" : "Bissonnette", "given" : "Marc", "non-dropping-particle" : "", "parse-names" : false, "suffix" : "" } ], "container-title" : "Clinical Cancer Research", "id" : "ITEM-1", "issue" : "22", "issued" : { "date-parts" : [ [ "2009" ] ] }, "page" : "6780-6789", "title" : "Epidermal growth factor receptor is required for colonic tumor promotion by dietary fat in the azoxymethane/dextran sulfate sodium model: Roles of transforming growth factor-\u03b1 and PTGS2", "type" : "article-journal", "volume" : "15" }, "uris" : [ "http://www.mendeley.com/documents/?uuid=0554a292-9c32-4cb9-9339-e99b5bc57030" ] } ], "mendeley" : { "formattedCitation" : "&lt;sup&gt;[7]&lt;/sup&gt;", "plainTextFormattedCitation" : "[7]", "previouslyFormattedCitation" : "&lt;sup&gt;[7]&lt;/sup&gt;" }, "properties" : { "noteIndex" : 0 }, "schema" : "https://github.com/citation-style-language/schema/raw/master/csl-citation.json" }</w:instrText>
      </w:r>
      <w:r w:rsidRPr="007D5B4E">
        <w:rPr>
          <w:rFonts w:ascii="Book Antiqua" w:hAnsi="Book Antiqua"/>
        </w:rPr>
        <w:fldChar w:fldCharType="separate"/>
      </w:r>
      <w:r w:rsidR="006A05BF" w:rsidRPr="007D5B4E">
        <w:rPr>
          <w:rFonts w:ascii="Book Antiqua" w:hAnsi="Book Antiqua"/>
          <w:noProof/>
          <w:vertAlign w:val="superscript"/>
        </w:rPr>
        <w:t>[7]</w:t>
      </w:r>
      <w:r w:rsidRPr="007D5B4E">
        <w:rPr>
          <w:rFonts w:ascii="Book Antiqua" w:hAnsi="Book Antiqua"/>
        </w:rPr>
        <w:fldChar w:fldCharType="end"/>
      </w:r>
      <w:r w:rsidRPr="007D5B4E">
        <w:rPr>
          <w:rFonts w:ascii="Book Antiqua" w:hAnsi="Book Antiqua"/>
        </w:rPr>
        <w:t>. The proto-oncogenes CTNNB1, MYC, CNND1, and PTGS2 and the EGFR ligand TGF</w:t>
      </w:r>
      <w:r w:rsidRPr="007D5B4E">
        <w:rPr>
          <w:rFonts w:ascii="Book Antiqua" w:hAnsi="Book Antiqua"/>
        </w:rPr>
        <w:t></w:t>
      </w:r>
      <w:r w:rsidRPr="007D5B4E">
        <w:rPr>
          <w:rFonts w:ascii="Book Antiqua" w:hAnsi="Book Antiqua"/>
        </w:rPr>
        <w:t></w:t>
      </w:r>
      <w:r w:rsidRPr="007D5B4E" w:rsidDel="00016740">
        <w:rPr>
          <w:rFonts w:ascii="Book Antiqua" w:hAnsi="Book Antiqua"/>
        </w:rPr>
        <w:t xml:space="preserve"> </w:t>
      </w:r>
      <w:r w:rsidRPr="007D5B4E">
        <w:rPr>
          <w:rFonts w:ascii="Book Antiqua" w:hAnsi="Book Antiqua"/>
        </w:rPr>
        <w:t xml:space="preserve">were also found to be expressed at significantly higher levels in tumors from </w:t>
      </w:r>
      <w:proofErr w:type="spellStart"/>
      <w:r w:rsidRPr="007D5B4E">
        <w:rPr>
          <w:rFonts w:ascii="Book Antiqua" w:hAnsi="Book Antiqua"/>
        </w:rPr>
        <w:t>Egfr</w:t>
      </w:r>
      <w:proofErr w:type="spellEnd"/>
      <w:r w:rsidRPr="007D5B4E">
        <w:rPr>
          <w:rFonts w:ascii="Book Antiqua" w:hAnsi="Book Antiqua"/>
        </w:rPr>
        <w:t xml:space="preserve"> wild type mice treated with the high fat diet compared to tumors from mice with mutant </w:t>
      </w:r>
      <w:proofErr w:type="spellStart"/>
      <w:r w:rsidRPr="007D5B4E">
        <w:rPr>
          <w:rFonts w:ascii="Book Antiqua" w:hAnsi="Book Antiqua"/>
        </w:rPr>
        <w:t>Egfr</w:t>
      </w:r>
      <w:proofErr w:type="spellEnd"/>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"10.1158/1078-0432.CCR-09-1678", "ISSN" : "10780432", "PMID" : "19903783", "author" : [ { "dropping-particle" : "", "family" : "Dougherty", "given" : "Urszula", "non-dropping-particle" : "", "parse-names" : false, "suffix" : "" }, { "dropping-particle" : "", "family" : "Cerasi", "given" : "Dario", "non-dropping-particle" : "", "parse-names" : false, "suffix" : "" }, { "dropping-particle" : "", "family" : "Taylor", "given" : "Ieva", "non-dropping-particle" : "", "parse-names" : false, "suffix" : "" }, { "dropping-particle" : "", "family" : "Kocherginsky", "given" : "Masha", "non-dropping-particle" : "", "parse-names" : false, "suffix" : "" }, { "dropping-particle" : "", "family" : "Tekin", "given" : "Ummuhan", "non-dropping-particle" : "", "parse-names" : false, "suffix" : "" }, { "dropping-particle" : "", "family" : "Badal", "given" : "Shamiram", "non-dropping-particle" : "", "parse-names" : false, "suffix" : "" }, { "dropping-particle" : "", "family" : "Aluri", "given" : "Lata", "non-dropping-particle" : "", "parse-names" : false, "suffix" : "" }, { "dropping-particle" : "", "family" : "Sehdev", "given" : "Amikar", "non-dropping-particle" : "", "parse-names" : false, "suffix" : "" }, { "dropping-particle" : "", "family" : "Cerda", "given" : "Sonia", "non-dropping-particle" : "", "parse-names" : false, "suffix" : "" }, { "dropping-particle" : "", "family" : "Mustafi", "given" : "Reba", "non-dropping-particle" : "", "parse-names" : false, "suffix" : "" }, { "dropping-particle" : "", "family" : "Delgado", "given" : "Jorge", "non-dropping-particle" : "", "parse-names" : false, "suffix" : "" }, { "dropping-particle" : "", "family" : "Joseph", "given" : "Loren", "non-dropping-particle" : "", "parse-names" : false, "suffix" : "" }, { "dropping-particle" : "", "family" : "Zhu", "given" : "Hongyan", "non-dropping-particle" : "", "parse-names" : false, "suffix" : "" }, { "dropping-particle" : "", "family" : "Hart", "given" : "John", "non-dropping-particle" : "", "parse-names" : false, "suffix" : "" }, { "dropping-particle" : "", "family" : "Threadgill", "given" : "David", "non-dropping-particle" : "", "parse-names" : false, "suffix" : "" }, { "dropping-particle" : "", "family" : "Fichera", "given" : "Alessandro", "non-dropping-particle" : "", "parse-names" : false, "suffix" : "" }, { "dropping-particle" : "", "family" : "Bissonnette", "given" : "Marc", "non-dropping-particle" : "", "parse-names" : false, "suffix" : "" } ], "container-title" : "Clinical Cancer Research", "id" : "ITEM-1", "issue" : "22", "issued" : { "date-parts" : [ [ "2009" ] ] }, "page" : "6780-6789", "title" : "Epidermal growth factor receptor is required for colonic tumor promotion by dietary fat in the azoxymethane/dextran sulfate sodium model: Roles of transforming growth factor-\u03b1 and PTGS2", "type" : "article-journal", "volume" : "15" }, "uris" : [ "http://www.mendeley.com/documents/?uuid=0554a292-9c32-4cb9-9339-e99b5bc57030" ] } ], "mendeley" : { "formattedCitation" : "&lt;sup&gt;[7]&lt;/sup&gt;", "plainTextFormattedCitation" : "[7]", "previouslyFormattedCitation" : "&lt;sup&gt;[7]&lt;/sup&gt;"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[7]</w:t>
      </w:r>
      <w:r w:rsidRPr="007D5B4E">
        <w:rPr>
          <w:rFonts w:ascii="Book Antiqua" w:hAnsi="Book Antiqua"/>
          <w:vertAlign w:val="superscript"/>
        </w:rPr>
        <w:fldChar w:fldCharType="end"/>
      </w:r>
      <w:r w:rsidRPr="007D5B4E">
        <w:rPr>
          <w:rFonts w:ascii="Book Antiqua" w:hAnsi="Book Antiqua"/>
        </w:rPr>
        <w:t>.</w:t>
      </w:r>
    </w:p>
    <w:p w14:paraId="75343BF1" w14:textId="7F89831E" w:rsidR="00F950CC" w:rsidRPr="007D5B4E" w:rsidRDefault="00F950CC" w:rsidP="00240E68">
      <w:pPr>
        <w:pStyle w:val="NormalWeb"/>
        <w:spacing w:before="0" w:beforeAutospacing="0" w:after="0" w:afterAutospacing="0" w:line="360" w:lineRule="auto"/>
        <w:ind w:firstLineChars="200" w:firstLine="480"/>
        <w:jc w:val="both"/>
        <w:rPr>
          <w:rFonts w:ascii="Book Antiqua" w:hAnsi="Book Antiqua"/>
          <w:sz w:val="24"/>
          <w:szCs w:val="24"/>
        </w:rPr>
      </w:pPr>
      <w:r w:rsidRPr="007D5B4E">
        <w:rPr>
          <w:rFonts w:ascii="Book Antiqua" w:hAnsi="Book Antiqua"/>
          <w:sz w:val="24"/>
          <w:szCs w:val="24"/>
        </w:rPr>
        <w:t>In more recent preliminary studies we showed that Western diet increases ADAM17 expression and up-regulates EGFR ligands TGF-</w:t>
      </w:r>
      <w:r w:rsidRPr="007D5B4E">
        <w:rPr>
          <w:rFonts w:ascii="Book Antiqua" w:hAnsi="Book Antiqua"/>
          <w:sz w:val="24"/>
          <w:szCs w:val="24"/>
        </w:rPr>
        <w:t xml:space="preserve">and </w:t>
      </w:r>
      <w:proofErr w:type="spellStart"/>
      <w:r w:rsidRPr="007D5B4E">
        <w:rPr>
          <w:rFonts w:ascii="Book Antiqua" w:hAnsi="Book Antiqua"/>
          <w:sz w:val="24"/>
          <w:szCs w:val="24"/>
        </w:rPr>
        <w:t>amphiregulin</w:t>
      </w:r>
      <w:proofErr w:type="spellEnd"/>
      <w:r w:rsidRPr="007D5B4E">
        <w:rPr>
          <w:rFonts w:ascii="Book Antiqua" w:hAnsi="Book Antiqua"/>
          <w:sz w:val="24"/>
          <w:szCs w:val="24"/>
        </w:rPr>
        <w:fldChar w:fldCharType="begin" w:fldLock="1"/>
      </w:r>
      <w:r w:rsidR="007C7B04" w:rsidRPr="007D5B4E">
        <w:rPr>
          <w:rFonts w:ascii="Book Antiqua" w:hAnsi="Book Antiqua"/>
          <w:sz w:val="24"/>
          <w:szCs w:val="24"/>
        </w:rPr>
        <w:instrText>ADDIN CSL_CITATION { "citationItems" : [ { "id" : "ITEM-1", "itemData" : { "DOI" : "10.1016/S0016-5085(15)30338-3", "author" : [ { "dropping-particle" : "al", "family" : "Dougherty U", "given" : "et", "non-dropping-particle" : "", "parse-names" : false, "suffix" : "" } ], "container-title" : "Gastroenterology", "id" : "ITEM-1", "issued" : { "date-parts" : [ [ "2015" ] ] }, "title" : "Western diet up-regulates ADAM17, a key meditator of EGFR signaling via activation of colonic renin-angiotensin system and inhibition of miR-145,-148a and -152", "type" : "article-journal" }, "uris" : [ "http://www.mendeley.com/documents/?uuid=bb477dde-208f-42dd-a342-cfed1444d0ee" ] } ], "mendeley" : { "formattedCitation" : "&lt;sup&gt;[28]&lt;/sup&gt;", "plainTextFormattedCitation" : "[28]", "previouslyFormattedCitation" : "&lt;sup&gt;[28]&lt;/sup&gt;" }, "properties" : { "noteIndex" : 0 }, "schema" : "https://github.com/citation-style-language/schema/raw/master/csl-citation.json" }</w:instrText>
      </w:r>
      <w:r w:rsidRPr="007D5B4E">
        <w:rPr>
          <w:rFonts w:ascii="Book Antiqua" w:hAnsi="Book Antiqua"/>
          <w:sz w:val="24"/>
          <w:szCs w:val="24"/>
        </w:rPr>
        <w:fldChar w:fldCharType="separate"/>
      </w:r>
      <w:r w:rsidR="009259AF" w:rsidRPr="007D5B4E">
        <w:rPr>
          <w:rFonts w:ascii="Book Antiqua" w:hAnsi="Book Antiqua"/>
          <w:noProof/>
          <w:sz w:val="24"/>
          <w:szCs w:val="24"/>
          <w:vertAlign w:val="superscript"/>
        </w:rPr>
        <w:t>[28]</w:t>
      </w:r>
      <w:r w:rsidRPr="007D5B4E">
        <w:rPr>
          <w:rFonts w:ascii="Book Antiqua" w:hAnsi="Book Antiqua"/>
          <w:sz w:val="24"/>
          <w:szCs w:val="24"/>
        </w:rPr>
        <w:fldChar w:fldCharType="end"/>
      </w:r>
      <w:r w:rsidR="007D5B4E" w:rsidRPr="007D5B4E">
        <w:rPr>
          <w:rFonts w:ascii="Book Antiqua" w:hAnsi="Book Antiqua"/>
          <w:sz w:val="24"/>
          <w:szCs w:val="24"/>
        </w:rPr>
        <w:t xml:space="preserve">.  </w:t>
      </w:r>
      <w:r w:rsidRPr="007D5B4E">
        <w:rPr>
          <w:rFonts w:ascii="Book Antiqua" w:hAnsi="Book Antiqua"/>
          <w:sz w:val="24"/>
          <w:szCs w:val="24"/>
        </w:rPr>
        <w:t>Stro</w:t>
      </w:r>
      <w:r w:rsidR="007D5B4E" w:rsidRPr="007D5B4E">
        <w:rPr>
          <w:rFonts w:ascii="Book Antiqua" w:hAnsi="Book Antiqua"/>
          <w:sz w:val="24"/>
          <w:szCs w:val="24"/>
        </w:rPr>
        <w:t>ma-derived factor 1 alpha (Sdf1</w:t>
      </w:r>
      <w:r w:rsidRPr="007D5B4E">
        <w:rPr>
          <w:rFonts w:ascii="Book Antiqua" w:hAnsi="Book Antiqua"/>
          <w:sz w:val="24"/>
          <w:szCs w:val="24"/>
        </w:rPr>
        <w:t>) was also increased by WD.  Sdf1</w:t>
      </w:r>
      <w:r w:rsidRPr="007D5B4E">
        <w:rPr>
          <w:rFonts w:ascii="Book Antiqua" w:hAnsi="Book Antiqua"/>
          <w:sz w:val="24"/>
          <w:szCs w:val="24"/>
        </w:rPr>
        <w:t> is a ligand for the G-protein coupled receptor CXCR4.  In other preliminary colon cancer studies we showed that Sdf1</w:t>
      </w:r>
      <w:r w:rsidRPr="007D5B4E">
        <w:rPr>
          <w:rFonts w:ascii="Book Antiqua" w:hAnsi="Book Antiqua"/>
          <w:sz w:val="24"/>
          <w:szCs w:val="24"/>
        </w:rPr>
        <w:t> induces the activation of EGFR (EGFR transactivation) by stimulating ADAM17 (Figure 1).  ADAM17 is increased in human colon cancer that likely contributes to increases in EGFR ligands and signals observed in these tumors</w:t>
      </w:r>
      <w:r w:rsidRPr="007D5B4E">
        <w:rPr>
          <w:rFonts w:ascii="Book Antiqua" w:hAnsi="Book Antiqua"/>
          <w:sz w:val="24"/>
          <w:szCs w:val="24"/>
        </w:rPr>
        <w:fldChar w:fldCharType="begin" w:fldLock="1"/>
      </w:r>
      <w:r w:rsidR="007C7B04" w:rsidRPr="007D5B4E">
        <w:rPr>
          <w:rFonts w:ascii="Book Antiqua" w:hAnsi="Book Antiqua"/>
          <w:sz w:val="24"/>
          <w:szCs w:val="24"/>
        </w:rPr>
        <w:instrText>ADDIN CSL_CITATION { "citationItems" : [ { "id" : "ITEM-1", "itemData" : { "DOI" : "10.1002/path.1814", "ISSN" : "00223417", "PMID" : "16041691", "abstract" : "The ADAM17 metalloproteinase (a disintegrin and metalloprotease 17) controls epidermal growth factor receptor (EGFR) activation through regulated shedding of EGFR ligands. With the advent of new therapeutic options targeting EGFR signalling in colon carcinoma, it was decided to determine ADAM17 status in relation to clinico-pathological parameters and EGFR status. To this end, a series of 39 colon carcinomas were analysed. Immunohistochemistry and immunofluorescence were used to localize ADAM17, EGFR, and the activated forms of EGFR. The activated form of ADAM17 was assessed in primary cancers and colon cell lines by immunoblotting. ADAM17 and EGFR mRNA levels were assessed by quantitative RT-PCR. Chromogenic in situ hybridization (CISH) was used to quantify the HER1 gene. ADAM17 was strongly expressed in all tumours, by both neoplastic and endothelial cells. It was expressed both as a pro- and as an active form in tumours and colonic cancer cell lines. ADAM17 mRNA was up-regulated in 90% of colon carcinomas relative to the paired normal mucosa, whatever the tumour grade or stage. When present, activated EGFR was co-expressed with ADAM17 by colon carcinomas, although at a variable level among tumour cells, and by endothelial cells. EGFR mRNA was overexpressed in 77% of colon carcinomas compared with the paired normal mucosa. One case showed high-level amplification of HER1. In conclusion, this study is the first demonstration that ADAM17 is overexpressed in human primary colon carcinoma, whatever the tumour stage and differentiation and whatever the level of EGFR expression. Its co-expression with EGFR, in both neoplastic and endothelial cells, suggests a role for ADAM17 in tumour growth and angiogenesis.", "author" : [ { "dropping-particle" : "", "family" : "Blanchot-Jossic", "given" : "Fr\u00e9d\u00e9rique", "non-dropping-particle" : "", "parse-names" : false, "suffix" : "" }, { "dropping-particle" : "", "family" : "Jarry", "given" : "Anne", "non-dropping-particle" : "", "parse-names" : false, "suffix" : "" }, { "dropping-particle" : "", "family" : "Masson", "given" : "Damien", "non-dropping-particle" : "", "parse-names" : false, "suffix" : "" }, { "dropping-particle" : "", "family" : "Bach-Ngohou", "given" : "Kalyane", "non-dropping-particle" : "", "parse-names" : false, "suffix" : "" }, { "dropping-particle" : "", "family" : "Paineau", "given" : "Jacques", "non-dropping-particle" : "", "parse-names" : false, "suffix" : "" }, { "dropping-particle" : "", "family" : "Denis", "given" : "Marc G.", "non-dropping-particle" : "", "parse-names" : false, "suffix" : "" }, { "dropping-particle" : "", "family" : "Laboisse", "given" : "Christian L.", "non-dropping-particle" : "", "parse-names" : false, "suffix" : "" }, { "dropping-particle" : "", "family" : "Mosnier", "given" : "Jean Fran\u00e7ois", "non-dropping-particle" : "", "parse-names" : false, "suffix" : "" } ], "container-title" : "Journal of Pathology", "id" : "ITEM-1", "issue" : "July", "issued" : { "date-parts" : [ [ "2005" ] ] }, "page" : "156-163", "title" : "Up-regulated expression of ADAM17 in human colon carcinoma: Co-expression with EGFR in neoplastic and endothelial cells", "type" : "article-journal", "volume" : "207" }, "uris" : [ "http://www.mendeley.com/documents/?uuid=204ce5d9-1919-4556-addf-feaacc7a6143" ] } ], "mendeley" : { "formattedCitation" : "&lt;sup&gt;[29]&lt;/sup&gt;", "plainTextFormattedCitation" : "[29]", "previouslyFormattedCitation" : "&lt;sup&gt;[29]&lt;/sup&gt;" }, "properties" : { "noteIndex" : 0 }, "schema" : "https://github.com/citation-style-language/schema/raw/master/csl-citation.json" }</w:instrText>
      </w:r>
      <w:r w:rsidRPr="007D5B4E">
        <w:rPr>
          <w:rFonts w:ascii="Book Antiqua" w:hAnsi="Book Antiqua"/>
          <w:sz w:val="24"/>
          <w:szCs w:val="24"/>
        </w:rPr>
        <w:fldChar w:fldCharType="separate"/>
      </w:r>
      <w:r w:rsidR="009259AF" w:rsidRPr="007D5B4E">
        <w:rPr>
          <w:rFonts w:ascii="Book Antiqua" w:hAnsi="Book Antiqua"/>
          <w:noProof/>
          <w:sz w:val="24"/>
          <w:szCs w:val="24"/>
          <w:vertAlign w:val="superscript"/>
        </w:rPr>
        <w:t>[29]</w:t>
      </w:r>
      <w:r w:rsidRPr="007D5B4E">
        <w:rPr>
          <w:rFonts w:ascii="Book Antiqua" w:hAnsi="Book Antiqua"/>
          <w:sz w:val="24"/>
          <w:szCs w:val="24"/>
        </w:rPr>
        <w:fldChar w:fldCharType="end"/>
      </w:r>
      <w:r w:rsidRPr="007D5B4E">
        <w:rPr>
          <w:rFonts w:ascii="Book Antiqua" w:hAnsi="Book Antiqua"/>
          <w:sz w:val="24"/>
          <w:szCs w:val="24"/>
        </w:rPr>
        <w:t>. This mechanism of ligand-driven EGFR signals contrasts with activating EGFR mutations or gene amplification seen in other cancers such as brain and lung cancer</w:t>
      </w:r>
      <w:r w:rsidRPr="007D5B4E">
        <w:rPr>
          <w:rFonts w:ascii="Book Antiqua" w:hAnsi="Book Antiqua"/>
          <w:sz w:val="24"/>
          <w:szCs w:val="24"/>
        </w:rPr>
        <w:fldChar w:fldCharType="begin" w:fldLock="1"/>
      </w:r>
      <w:r w:rsidR="007C7B04" w:rsidRPr="007D5B4E">
        <w:rPr>
          <w:rFonts w:ascii="Book Antiqua" w:hAnsi="Book Antiqua"/>
          <w:sz w:val="24"/>
          <w:szCs w:val="24"/>
        </w:rPr>
        <w:instrText>ADDIN CSL_CITATION { "citationItems" : [ { "id" : "ITEM-1", "itemData" : { "DOI" : "10.1056/NEJM200412303512724", "ISBN" : "1533-4406 (Electronic)\\n0028-4793 (Linking)", "ISSN" : "1533-4406", "PMID" : "15625347", "author" : [ { "dropping-particle" : "", "family" : "Barber", "given" : "Thomas D", "non-dropping-particle" : "", "parse-names" : false, "suffix" : "" }, { "dropping-particle" : "", "family" : "Vogelstein", "given" : "Bert", "non-dropping-particle" : "", "parse-names" : false, "suffix" : "" }, { "dropping-particle" : "", "family" : "Kinzler", "given" : "Kenneth W", "non-dropping-particle" : "", "parse-names" : false, "suffix" : "" }, { "dropping-particle" : "", "family" : "Velculescu", "given" : "Victor E", "non-dropping-particle" : "", "parse-names" : false, "suffix" : "" } ], "container-title" : "The New England journal of medicine", "id" : "ITEM-1", "issued" : { "date-parts" : [ [ "2004" ] ] }, "page" : "2883", "title" : "Somatic mutations of EGFR in colorectal cancers and glioblastomas.", "type" : "article-journal", "volume" : "351" }, "uris" : [ "http://www.mendeley.com/documents/?uuid=8b87aacb-f8a9-4c89-87e8-61663da2848f" ] } ], "mendeley" : { "formattedCitation" : "&lt;sup&gt;[30]&lt;/sup&gt;", "plainTextFormattedCitation" : "[30]", "previouslyFormattedCitation" : "&lt;sup&gt;[30]&lt;/sup&gt;" }, "properties" : { "noteIndex" : 0 }, "schema" : "https://github.com/citation-style-language/schema/raw/master/csl-citation.json" }</w:instrText>
      </w:r>
      <w:r w:rsidRPr="007D5B4E">
        <w:rPr>
          <w:rFonts w:ascii="Book Antiqua" w:hAnsi="Book Antiqua"/>
          <w:sz w:val="24"/>
          <w:szCs w:val="24"/>
        </w:rPr>
        <w:fldChar w:fldCharType="separate"/>
      </w:r>
      <w:r w:rsidR="009259AF" w:rsidRPr="007D5B4E">
        <w:rPr>
          <w:rFonts w:ascii="Book Antiqua" w:hAnsi="Book Antiqua"/>
          <w:noProof/>
          <w:sz w:val="24"/>
          <w:szCs w:val="24"/>
          <w:vertAlign w:val="superscript"/>
        </w:rPr>
        <w:t>[30]</w:t>
      </w:r>
      <w:r w:rsidRPr="007D5B4E">
        <w:rPr>
          <w:rFonts w:ascii="Book Antiqua" w:hAnsi="Book Antiqua"/>
          <w:sz w:val="24"/>
          <w:szCs w:val="24"/>
        </w:rPr>
        <w:fldChar w:fldCharType="end"/>
      </w:r>
      <w:r w:rsidRPr="007D5B4E">
        <w:rPr>
          <w:rFonts w:ascii="Book Antiqua" w:hAnsi="Book Antiqua"/>
          <w:sz w:val="24"/>
          <w:szCs w:val="24"/>
        </w:rPr>
        <w:t>.</w:t>
      </w:r>
    </w:p>
    <w:p w14:paraId="6FEC900C" w14:textId="04C3D941" w:rsidR="00F950CC" w:rsidRPr="007D5B4E" w:rsidRDefault="00F950CC" w:rsidP="00240E68">
      <w:pPr>
        <w:spacing w:after="0" w:line="360" w:lineRule="auto"/>
        <w:ind w:firstLineChars="200" w:firstLine="480"/>
        <w:jc w:val="both"/>
        <w:rPr>
          <w:rFonts w:ascii="Book Antiqua" w:eastAsia="宋体" w:hAnsi="Book Antiqua"/>
          <w:lang w:eastAsia="zh-CN"/>
        </w:rPr>
      </w:pPr>
      <w:r w:rsidRPr="007D5B4E">
        <w:rPr>
          <w:rFonts w:ascii="Book Antiqua" w:hAnsi="Book Antiqua"/>
        </w:rPr>
        <w:t xml:space="preserve">CTNNB1 codes for </w:t>
      </w:r>
      <w:r w:rsidRPr="007D5B4E">
        <w:rPr>
          <w:rFonts w:ascii="Book Antiqua" w:hAnsi="Book Antiqua"/>
        </w:rPr>
        <w:t></w:t>
      </w:r>
      <w:proofErr w:type="spellStart"/>
      <w:r w:rsidRPr="007D5B4E">
        <w:rPr>
          <w:rFonts w:ascii="Book Antiqua" w:hAnsi="Book Antiqua"/>
        </w:rPr>
        <w:t>ccatenin</w:t>
      </w:r>
      <w:proofErr w:type="spellEnd"/>
      <w:r w:rsidRPr="007D5B4E">
        <w:rPr>
          <w:rFonts w:ascii="Book Antiqua" w:hAnsi="Book Antiqua"/>
        </w:rPr>
        <w:t xml:space="preserve"> which is an integral part of the cell cytoskeleton as well as an important transcription f</w:t>
      </w:r>
      <w:r w:rsidR="007D5B4E" w:rsidRPr="007D5B4E">
        <w:rPr>
          <w:rFonts w:ascii="Book Antiqua" w:hAnsi="Book Antiqua"/>
        </w:rPr>
        <w:t>actor in colonic tumorigenesis</w:t>
      </w:r>
      <w:r w:rsidR="007D5B4E" w:rsidRPr="007D5B4E">
        <w:rPr>
          <w:rFonts w:ascii="Book Antiqua" w:eastAsia="宋体" w:hAnsi="Book Antiqua"/>
          <w:lang w:eastAsia="zh-CN"/>
        </w:rPr>
        <w:t xml:space="preserve">, which </w:t>
      </w:r>
      <w:r w:rsidRPr="007D5B4E">
        <w:rPr>
          <w:rFonts w:ascii="Book Antiqua" w:hAnsi="Book Antiqua"/>
        </w:rPr>
        <w:t xml:space="preserve">regulates many key tumor-promoting genes including </w:t>
      </w:r>
      <w:r w:rsidRPr="00FD1F45">
        <w:rPr>
          <w:rFonts w:ascii="Book Antiqua" w:hAnsi="Book Antiqua"/>
          <w:i/>
        </w:rPr>
        <w:t>MYC</w:t>
      </w:r>
      <w:r w:rsidRPr="007D5B4E">
        <w:rPr>
          <w:rFonts w:ascii="Book Antiqua" w:hAnsi="Book Antiqua"/>
        </w:rPr>
        <w:t xml:space="preserve">, </w:t>
      </w:r>
      <w:r w:rsidRPr="00FD1F45">
        <w:rPr>
          <w:rFonts w:ascii="Book Antiqua" w:hAnsi="Book Antiqua"/>
          <w:i/>
        </w:rPr>
        <w:t>CCND1</w:t>
      </w:r>
      <w:r w:rsidRPr="007D5B4E">
        <w:rPr>
          <w:rFonts w:ascii="Book Antiqua" w:hAnsi="Book Antiqua"/>
        </w:rPr>
        <w:t xml:space="preserve">, and </w:t>
      </w:r>
      <w:r w:rsidRPr="00FD1F45">
        <w:rPr>
          <w:rFonts w:ascii="Book Antiqua" w:hAnsi="Book Antiqua"/>
          <w:i/>
        </w:rPr>
        <w:t>PTGS2</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"10.1126/science.281.5382.1509", "ISSN" : "0036-8075 (Print)", "PMID" : "9727977", "abstract" : "The adenomatous polyposis coli gene (APC) is a tumor suppressor gene that is inactivated in most colorectal cancers. Mutations of APC cause aberrant accumulation of beta-catenin, which then binds T cell factor-4 (Tcf-4), causing increased transcriptional activation of unknown genes. Here, the c-MYC oncogene is identified as a target gene in this signaling pathway. Expression of c-MYC was shown to be repressed by wild-type APC and activated by beta-catenin, and these effects were mediated through Tcf-4 binding sites in the c-MYC promoter. These results provide a molecular framework for understanding the previously enigmatic overexpression of c-MYC in colorectal cancers.", "author" : [ { "dropping-particle" : "", "family" : "He", "given" : "T C", "non-dropping-particle" : "", "parse-names" : false, "suffix" : "" }, { "dropping-particle" : "", "family" : "Sparks", "given" : "A B", "non-dropping-particle" : "", "parse-names" : false, "suffix" : "" }, { "dropping-particle" : "", "family" : "Rago", "given" : "C", "non-dropping-particle" : "", "parse-names" : false, "suffix" : "" }, { "dropping-particle" : "", "family" : "Hermeking", "given" : "H", "non-dropping-particle" : "", "parse-names" : false, "suffix" : "" }, { "dropping-particle" : "", "family" : "Zawel", "given" : "L", "non-dropping-particle" : "", "parse-names" : false, "suffix" : "" }, { "dropping-particle" : "", "family" : "Costa", "given" : "L T", "non-dropping-particle" : "da", "parse-names" : false, "suffix" : "" }, { "dropping-particle" : "", "family" : "Morin", "given" : "P J", "non-dropping-particle" : "", "parse-names" : false, "suffix" : "" }, { "dropping-particle" : "", "family" : "Vogelstein", "given" : "B", "non-dropping-particle" : "", "parse-names" : false, "suffix" : "" }, { "dropping-particle" : "", "family" : "Kinzler", "given" : "K W", "non-dropping-particle" : "", "parse-names" : false, "suffix" : "" } ], "container-title" : "Science (New York, N.Y.)", "id" : "ITEM-1", "issue" : "5382", "issued" : { "date-parts" : [ [ "1998", "9" ] ] }, "page" : "1509-1512", "publisher-place" : "UNITED STATES", "title" : "Identification of c-MYC as a target of the APC pathway.", "type" : "article-journal", "volume" : "281" }, "uris" : [ "http://www.mendeley.com/documents/?uuid=6e251279-41f6-47b5-ba96-ff9db404e99e" ] }, { "id" : "ITEM-2", "itemData" : { "ISSN" : "0008-5472 (Print)", "PMID" : "12566320", "abstract" : "Mutations in the adenomatous polyposis coli (APC) gene and K-ras occur in the majority of human colorectal cancers. Loss of functional APC protein activates the Wnt signal transduction pathway, allowing the nuclear accumulation of beta-catenin, which then binds to T-cell factor-4 (Tcf-4), causing increased transcriptional activation of downstream target genes. We investigated the hypothesis that the activation of the WNT pathway regulates cyclooxygenase-2 (COX-2). COX-2 was down-regulated after the induction of full-length APC in the HT29-APC cell line. We identified a Tcf-4-binding element (TBE) in the COX-2 promoter that specifically bound to Tcf-4 in an electrophoretic mobility shift assay. COX-2 promoter luciferase activity is down-regulated by APC in a promoter reporter construct containing the, TBE but not with mutant TBE. Mutant beta-catenin expression up-regulated the COX-2 promoter activity and the endogenous COX-2 mRNA expression in HuH7, hepatocellular carcinoma cell line, which is partially abrogated by cotransfection with a dominant-negative Tcf-4 expression vector. Although beta-catenin alone did not increase COX-2 protein to detectable levels in HuH7 cells, coexpression of both mutant beta-catenin and mutant K-ras increased COX-2 protein expression, which is consistent with the previous reports that K-ras can stabilize COX-2 mRNA. Taken together, our data support the hypothesis that COX-2 is down-regulated by APC and up-regulated by nuclear beta-catenin accumulation, and additionally implicate the Wnt signal transduction pathway in colon and liver carcinogenesis.", "author" : [ { "dropping-particle" : "", "family" : "Araki", "given" : "Yuzuru", "non-dropping-particle" : "", "parse-names" : false, "suffix" : "" }, { "dropping-particle" : "", "family" : "Okamura", "given" : "Shu", "non-dropping-particle" : "", "parse-names" : false, "suffix" : "" }, { "dropping-particle" : "", "family" : "Hussain", "given" : "S Perwez", "non-dropping-particle" : "", "parse-names" : false, "suffix" : "" }, { "dropping-particle" : "", "family" : "Nagashima", "given" : "Makoto", "non-dropping-particle" : "", "parse-names" : false, "suffix" : "" }, { "dropping-particle" : "", "family" : "He", "given" : "Peijun", "non-dropping-particle" : "", "parse-names" : false, "suffix" : "" }, { "dropping-particle" : "", "family" : "Shiseki", "given" : "Masayuki", "non-dropping-particle" : "", "parse-names" : false, "suffix" : "" }, { "dropping-particle" : "", "family" : "Miura", "given" : "Koh", "non-dropping-particle" : "", "parse-names" : false, "suffix" : "" }, { "dropping-particle" : "", "family" : "Harris", "given" : "Curtis C", "non-dropping-particle" : "", "parse-names" : false, "suffix" : "" } ], "container-title" : "Cancer research", "id" : "ITEM-2", "issue" : "3", "issued" : { "date-parts" : [ [ "2003", "2" ] ] }, "page" : "728-734", "publisher-place" : "United States", "title" : "Regulation of cyclooxygenase-2 expression by the Wnt and ras pathways.", "type" : "article-journal", "volume" : "63" }, "uris" : [ "http://www.mendeley.com/documents/?uuid=0785dee2-f2f5-4866-a2da-fab2dadf48c9" ] }, { "id" : "ITEM-3", "itemData" : { "DOI" : "10.1038/18884", "ISSN" : "0028-0836 (Print)", "PMID" : "10201372", "abstract" : "Mutations in the adenomatous polyposis coli (APC) tumour-suppressor gene occur in most human colon cancers. Loss of functional APC protein results in the accumulation of beta-catenin. Mutant forms of beta-catenin have been discovered in colon cancers that retain wild-type APC genes, and also in melanomas, medulloblastomas, prostate cancer and gastric and hepatocellular carcinomas. The accumulation of beta-catenin activates genes that are responsive to transcription factors of the TCF/LEF family, with which beta-catenin interacts. Here we show that beta-catenin activates transcription from the cyclin D1 promoter, and that sequences within the promoter that are related to consensus TCF/LEF-binding sites are necessary for activation. The oncoprotein p21ras further activates transcription of the cyclin D1 gene, through sites within the promoter that bind the transcriptional regulators Ets or CREB. Cells expressing mutant beta-catenin produce high levels of cyclin D1 messenger RNA and protein constitutively. Furthermore, expression of a dominant-negative form of TCF in colon-cancer cells strongly inhibits expression of cyclin D1 without affecting expression of cyclin D2, cyclin E, or cyclin-dependent kinases 2, 4 or 6. This dominant-negative TCF causes cells to arrest in the G1 phase of the cell cycle; this phenotype can be rescued by expression of cyclin D1 under the cytomegalovirus promoter. Abnormal levels of beta-catenin may therefore contribute to neoplastic transformation by causing accumulation of cyclin D1.", "author" : [ { "dropping-particle" : "", "family" : "Tetsu", "given" : "O", "non-dropping-particle" : "", "parse-names" : false, "suffix" : "" }, { "dropping-particle" : "", "family" : "McCormick", "given" : "F", "non-dropping-particle" : "", "parse-names" : false, "suffix" : "" } ], "container-title" : "Nature", "id" : "ITEM-3", "issue" : "6726", "issued" : { "date-parts" : [ [ "1999", "4" ] ] }, "page" : "422-426", "publisher-place" : "ENGLAND", "title" : "Beta-catenin regulates expression of cyclin D1 in colon carcinoma cells.", "type" : "article-journal", "volume" : "398" }, "uris" : [ "http://www.mendeley.com/documents/?uuid=b69eef0f-ef96-4fa4-9b53-23361dc5a179" ] } ], "mendeley" : { "formattedCitation" : "&lt;sup&gt;[31\u201333]&lt;/sup&gt;", "plainTextFormattedCitation" : "[31\u201333]", "previouslyFormattedCitation" : "&lt;sup&gt;[31\u201333]&lt;/sup&gt;"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[31–33]</w:t>
      </w:r>
      <w:r w:rsidRPr="007D5B4E">
        <w:rPr>
          <w:rFonts w:ascii="Book Antiqua" w:hAnsi="Book Antiqua"/>
        </w:rPr>
        <w:fldChar w:fldCharType="end"/>
      </w:r>
      <w:r w:rsidRPr="007D5B4E">
        <w:rPr>
          <w:rFonts w:ascii="Book Antiqua" w:hAnsi="Book Antiqua"/>
        </w:rPr>
        <w:t xml:space="preserve">. EGFR is an upstream regulator of causing </w:t>
      </w:r>
      <w:proofErr w:type="spellStart"/>
      <w:r w:rsidRPr="007D5B4E">
        <w:rPr>
          <w:rFonts w:ascii="Book Antiqua" w:hAnsi="Book Antiqua"/>
        </w:rPr>
        <w:t>deacetylation</w:t>
      </w:r>
      <w:proofErr w:type="spellEnd"/>
      <w:r w:rsidRPr="007D5B4E">
        <w:rPr>
          <w:rFonts w:ascii="Book Antiqua" w:hAnsi="Book Antiqua"/>
        </w:rPr>
        <w:t xml:space="preserve"> and nuclear localization of this molecule</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"10.1074/jbc.C700185200", "ISSN" : "00219258", "PMID" : "18356165", "author" : [ { "dropping-particle" : "", "family" : "Li", "given" : "Yu", "non-dropping-particle" : "", "parse-names" : false, "suffix" : "" }, { "dropping-particle" : "", "family" : "Zhang", "given" : "Xiaowu", "non-dropping-particle" : "", "parse-names" : false, "suffix" : "" }, { "dropping-particle" : "", "family" : "Polakiewicz", "given" : "Roberto D.", "non-dropping-particle" : "", "parse-names" : false, "suffix" : "" }, { "dropping-particle" : "", "family" : "Yao", "given" : "Tso Pang", "non-dropping-particle" : "", "parse-names" : false, "suffix" : "" }, { "dropping-particle" : "", "family" : "Comb", "given" : "Michael J.", "non-dropping-particle" : "", "parse-names" : false, "suffix" : "" } ], "container-title" : "Journal of Biological Chemistry", "id" : "ITEM-1", "issue" : "19", "issued" : { "date-parts" : [ [ "2008" ] ] }, "page" : "12686-12690", "title" : "HDAC6 is required for epidermal growth factor-induced \u03b2-catenin nuclear localization", "type" : "article-journal", "volume" : "283" }, "uris" : [ "http://www.mendeley.com/documents/?uuid=ba531ff1-c9c9-491d-9342-d1e9fb5c0868" ] } ], "mendeley" : { "formattedCitation" : "&lt;sup&gt;[34]&lt;/sup&gt;", "plainTextFormattedCitation" : "[34]", "previouslyFormattedCitation" : "&lt;sup&gt;[34]&lt;/sup&gt;"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[34]</w:t>
      </w:r>
      <w:r w:rsidRPr="007D5B4E">
        <w:rPr>
          <w:rFonts w:ascii="Book Antiqua" w:hAnsi="Book Antiqua"/>
        </w:rPr>
        <w:fldChar w:fldCharType="end"/>
      </w:r>
      <w:r w:rsidRPr="007D5B4E">
        <w:rPr>
          <w:rFonts w:ascii="Book Antiqua" w:hAnsi="Book Antiqua"/>
        </w:rPr>
        <w:t xml:space="preserve">. Nuclear </w:t>
      </w:r>
      <w:proofErr w:type="spellStart"/>
      <w:r w:rsidRPr="007D5B4E">
        <w:rPr>
          <w:rFonts w:ascii="Book Antiqua" w:hAnsi="Book Antiqua"/>
        </w:rPr>
        <w:t>uclearSL</w:t>
      </w:r>
      <w:proofErr w:type="spellEnd"/>
      <w:r w:rsidR="007D5B4E" w:rsidRPr="007D5B4E">
        <w:rPr>
          <w:rFonts w:ascii="Book Antiqua" w:eastAsia="宋体" w:hAnsi="Book Antiqua"/>
          <w:lang w:eastAsia="zh-CN"/>
        </w:rPr>
        <w:t xml:space="preserve"> </w:t>
      </w:r>
      <w:r w:rsidRPr="007D5B4E">
        <w:rPr>
          <w:rFonts w:ascii="Book Antiqua" w:hAnsi="Book Antiqua"/>
        </w:rPr>
        <w:t xml:space="preserve">was increased in all tumors. MYC was also expressed in all tumors and was highest in the mice with wild type </w:t>
      </w:r>
      <w:proofErr w:type="spellStart"/>
      <w:r w:rsidRPr="007D5B4E">
        <w:rPr>
          <w:rFonts w:ascii="Book Antiqua" w:hAnsi="Book Antiqua"/>
        </w:rPr>
        <w:t>Egfr</w:t>
      </w:r>
      <w:proofErr w:type="spellEnd"/>
      <w:r w:rsidRPr="007D5B4E">
        <w:rPr>
          <w:rFonts w:ascii="Book Antiqua" w:hAnsi="Book Antiqua"/>
        </w:rPr>
        <w:t xml:space="preserve"> fed a Western diet. CCND1 codes for cyclin D1 that controls G1-&gt; S cell </w:t>
      </w:r>
      <w:r w:rsidRPr="007D5B4E">
        <w:rPr>
          <w:rFonts w:ascii="Book Antiqua" w:hAnsi="Book Antiqua"/>
        </w:rPr>
        <w:lastRenderedPageBreak/>
        <w:t xml:space="preserve">cycle progression and its expression was greater in mice with wild type </w:t>
      </w:r>
      <w:proofErr w:type="spellStart"/>
      <w:r w:rsidRPr="007D5B4E">
        <w:rPr>
          <w:rFonts w:ascii="Book Antiqua" w:hAnsi="Book Antiqua"/>
        </w:rPr>
        <w:t>Egfr</w:t>
      </w:r>
      <w:proofErr w:type="spellEnd"/>
      <w:r w:rsidRPr="007D5B4E">
        <w:rPr>
          <w:rFonts w:ascii="Book Antiqua" w:hAnsi="Book Antiqua"/>
        </w:rPr>
        <w:t xml:space="preserve"> compared to those with mutant </w:t>
      </w:r>
      <w:proofErr w:type="spellStart"/>
      <w:r w:rsidRPr="007D5B4E">
        <w:rPr>
          <w:rFonts w:ascii="Book Antiqua" w:hAnsi="Book Antiqua"/>
        </w:rPr>
        <w:t>Egfr</w:t>
      </w:r>
      <w:proofErr w:type="spellEnd"/>
      <w:r w:rsidRPr="007D5B4E">
        <w:rPr>
          <w:rFonts w:ascii="Book Antiqua" w:hAnsi="Book Antiqua"/>
        </w:rPr>
        <w:t xml:space="preserve">. PTGS2 codes for Cox-2 that is also linked to </w:t>
      </w:r>
      <w:proofErr w:type="spellStart"/>
      <w:r w:rsidRPr="007D5B4E">
        <w:rPr>
          <w:rFonts w:ascii="Book Antiqua" w:hAnsi="Book Antiqua"/>
        </w:rPr>
        <w:t>Egfr</w:t>
      </w:r>
      <w:proofErr w:type="spellEnd"/>
      <w:r w:rsidRPr="007D5B4E">
        <w:rPr>
          <w:rFonts w:ascii="Book Antiqua" w:hAnsi="Book Antiqua"/>
        </w:rPr>
        <w:t xml:space="preserve"> status, with Cox-2 being 7-8 fold higher in mice with wild type </w:t>
      </w:r>
      <w:proofErr w:type="spellStart"/>
      <w:r w:rsidRPr="007D5B4E">
        <w:rPr>
          <w:rFonts w:ascii="Book Antiqua" w:hAnsi="Book Antiqua"/>
        </w:rPr>
        <w:t>Egfr</w:t>
      </w:r>
      <w:proofErr w:type="spellEnd"/>
      <w:r w:rsidRPr="007D5B4E">
        <w:rPr>
          <w:rFonts w:ascii="Book Antiqua" w:hAnsi="Book Antiqua"/>
        </w:rPr>
        <w:t xml:space="preserve"> fed a Western diet compared to standard diet. This finding is of particular interest as prior studies have demonstrated that K-</w:t>
      </w:r>
      <w:proofErr w:type="spellStart"/>
      <w:r w:rsidRPr="007D5B4E">
        <w:rPr>
          <w:rFonts w:ascii="Book Antiqua" w:hAnsi="Book Antiqua"/>
        </w:rPr>
        <w:t>Ras</w:t>
      </w:r>
      <w:proofErr w:type="spellEnd"/>
      <w:r w:rsidRPr="007D5B4E">
        <w:rPr>
          <w:rFonts w:ascii="Book Antiqua" w:hAnsi="Book Antiqua"/>
        </w:rPr>
        <w:t xml:space="preserve"> and -catenin are required to induce Cox-2 in colon cancer cells, underscoring the importance of the EGFR-Kras-Cox-2 signaling cascade. Finally, the expression of the EGFR ligand TGF</w:t>
      </w:r>
      <w:r w:rsidR="007D5B4E" w:rsidRPr="007D5B4E">
        <w:rPr>
          <w:rFonts w:ascii="Book Antiqua" w:eastAsia="宋体" w:hAnsi="Book Antiqua"/>
          <w:lang w:eastAsia="zh-CN"/>
        </w:rPr>
        <w:t xml:space="preserve"> </w:t>
      </w:r>
      <w:r w:rsidRPr="007D5B4E">
        <w:rPr>
          <w:rFonts w:ascii="Book Antiqua" w:hAnsi="Book Antiqua"/>
        </w:rPr>
        <w:t xml:space="preserve">was shown to correlate with tumor burden in both genotypes, with a stronger association with the wild type </w:t>
      </w:r>
      <w:proofErr w:type="spellStart"/>
      <w:r w:rsidRPr="007D5B4E">
        <w:rPr>
          <w:rFonts w:ascii="Book Antiqua" w:hAnsi="Book Antiqua"/>
        </w:rPr>
        <w:t>Egfr</w:t>
      </w:r>
      <w:proofErr w:type="spellEnd"/>
      <w:r w:rsidRPr="007D5B4E">
        <w:rPr>
          <w:rFonts w:ascii="Book Antiqua" w:hAnsi="Book Antiqua"/>
        </w:rPr>
        <w:t xml:space="preserve"> noted</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"10.1158/1078-0432.CCR-09-1678", "ISSN" : "10780432", "PMID" : "19903783", "author" : [ { "dropping-particle" : "", "family" : "Dougherty", "given" : "Urszula", "non-dropping-particle" : "", "parse-names" : false, "suffix" : "" }, { "dropping-particle" : "", "family" : "Cerasi", "given" : "Dario", "non-dropping-particle" : "", "parse-names" : false, "suffix" : "" }, { "dropping-particle" : "", "family" : "Taylor", "given" : "Ieva", "non-dropping-particle" : "", "parse-names" : false, "suffix" : "" }, { "dropping-particle" : "", "family" : "Kocherginsky", "given" : "Masha", "non-dropping-particle" : "", "parse-names" : false, "suffix" : "" }, { "dropping-particle" : "", "family" : "Tekin", "given" : "Ummuhan", "non-dropping-particle" : "", "parse-names" : false, "suffix" : "" }, { "dropping-particle" : "", "family" : "Badal", "given" : "Shamiram", "non-dropping-particle" : "", "parse-names" : false, "suffix" : "" }, { "dropping-particle" : "", "family" : "Aluri", "given" : "Lata", "non-dropping-particle" : "", "parse-names" : false, "suffix" : "" }, { "dropping-particle" : "", "family" : "Sehdev", "given" : "Amikar", "non-dropping-particle" : "", "parse-names" : false, "suffix" : "" }, { "dropping-particle" : "", "family" : "Cerda", "given" : "Sonia", "non-dropping-particle" : "", "parse-names" : false, "suffix" : "" }, { "dropping-particle" : "", "family" : "Mustafi", "given" : "Reba", "non-dropping-particle" : "", "parse-names" : false, "suffix" : "" }, { "dropping-particle" : "", "family" : "Delgado", "given" : "Jorge", "non-dropping-particle" : "", "parse-names" : false, "suffix" : "" }, { "dropping-particle" : "", "family" : "Joseph", "given" : "Loren", "non-dropping-particle" : "", "parse-names" : false, "suffix" : "" }, { "dropping-particle" : "", "family" : "Zhu", "given" : "Hongyan", "non-dropping-particle" : "", "parse-names" : false, "suffix" : "" }, { "dropping-particle" : "", "family" : "Hart", "given" : "John", "non-dropping-particle" : "", "parse-names" : false, "suffix" : "" }, { "dropping-particle" : "", "family" : "Threadgill", "given" : "David", "non-dropping-particle" : "", "parse-names" : false, "suffix" : "" }, { "dropping-particle" : "", "family" : "Fichera", "given" : "Alessandro", "non-dropping-particle" : "", "parse-names" : false, "suffix" : "" }, { "dropping-particle" : "", "family" : "Bissonnette", "given" : "Marc", "non-dropping-particle" : "", "parse-names" : false, "suffix" : "" } ], "container-title" : "Clinical Cancer Research", "id" : "ITEM-1", "issue" : "22", "issued" : { "date-parts" : [ [ "2009" ] ] }, "page" : "6780-6789", "title" : "Epidermal growth factor receptor is required for colonic tumor promotion by dietary fat in the azoxymethane/dextran sulfate sodium model: Roles of transforming growth factor-\u03b1 and PTGS2", "type" : "article-journal", "volume" : "15" }, "uris" : [ "http://www.mendeley.com/documents/?uuid=0554a292-9c32-4cb9-9339-e99b5bc57030" ] } ], "mendeley" : { "formattedCitation" : "&lt;sup&gt;[7]&lt;/sup&gt;", "plainTextFormattedCitation" : "[7]", "previouslyFormattedCitation" : "&lt;sup&gt;[7]&lt;/sup&gt;"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[7]</w:t>
      </w:r>
      <w:r w:rsidRPr="007D5B4E">
        <w:rPr>
          <w:rFonts w:ascii="Book Antiqua" w:hAnsi="Book Antiqua"/>
          <w:vertAlign w:val="superscript"/>
        </w:rPr>
        <w:fldChar w:fldCharType="end"/>
      </w:r>
      <w:r w:rsidRPr="007D5B4E">
        <w:rPr>
          <w:rFonts w:ascii="Book Antiqua" w:hAnsi="Book Antiqua"/>
        </w:rPr>
        <w:t>.</w:t>
      </w:r>
    </w:p>
    <w:p w14:paraId="53EF48F3" w14:textId="77777777" w:rsidR="007D5B4E" w:rsidRPr="007D5B4E" w:rsidRDefault="00F950CC" w:rsidP="00240E68">
      <w:pPr>
        <w:spacing w:after="0" w:line="360" w:lineRule="auto"/>
        <w:ind w:firstLineChars="200" w:firstLine="480"/>
        <w:jc w:val="both"/>
        <w:rPr>
          <w:rFonts w:ascii="Book Antiqua" w:eastAsia="宋体" w:hAnsi="Book Antiqua"/>
          <w:lang w:eastAsia="zh-CN"/>
        </w:rPr>
      </w:pPr>
      <w:r w:rsidRPr="007D5B4E">
        <w:rPr>
          <w:rFonts w:ascii="Book Antiqua" w:hAnsi="Book Antiqua"/>
        </w:rPr>
        <w:t>In addition to EGFR other factors have been implicated in high-fat diet promoted tumorigenesis, including increases in colonic secondary bile acids, elevations of serum insulin, insulin-like growth factor (IGF) which can also stimulate EGFR through various mechanisms, and diet-induced changes in the microbiome</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"ISSN" : "0192-0790", "PMID" : "15681903", "abstract" : "Epidemiologic studies have demonstrated variations in the incidence of colon cancer between populations and socioeconomic groups. Differences in dietary habits have been implicated in the risk of developing colon cancer. Diet appears to influence our colonic microflora. Such variations may allow for future utilization of the fecal flora as markers for screening and diagnosis of colon cancer. The composition of the diet not only dictates the available substrates for the flora but also helps to establish predictable and competitive relationships between intestinal bacteria. To appreciate the significance of populations deemed high and low risk based on host flora, an understanding of several dynamic microbial relationships and metabolites produced is necessary. In this review, we explore the critical relationships between bile acid 7\u03b1-dehydroxylation, sulfidogenesis, methanogenesis, and how they relate to carbohydrate and bile acid metabolism. We summarize the chemopreventative, anticarcinogenic, and detoxifying activity of probiotics and prebiotics, as well as potential mechanisms for protection against colon cancer.", "author" : [ { "dropping-particle" : "", "family" : "McGarr", "given" : "Sean E", "non-dropping-particle" : "", "parse-names" : false, "suffix" : "" }, { "dropping-particle" : "", "family" : "Ridlon", "given" : "Jason M", "non-dropping-particle" : "", "parse-names" : false, "suffix" : "" }, { "dropping-particle" : "", "family" : "Hylemon", "given" : "Phillip B", "non-dropping-particle" : "", "parse-names" : false, "suffix" : "" } ], "container-title" : "Journal of Clinical Gastroenterology", "id" : "ITEM-1", "issue" : "2", "issued" : { "date-parts" : [ [ "2005" ] ] }, "page" : "98-109", "title" : "Diet, Anaerobic Bacterial Metabolism, and Colon Cancer: A Review of the Literature", "type" : "article-journal", "volume" : "39" }, "uris" : [ "http://www.mendeley.com/documents/?uuid=3fd9562e-6720-4cb4-9ed7-6bf65cf1c4e4" ] }, { "id" : "ITEM-2", "itemData" : { "DOI" : "10.1038/nrc2536", "ISSN" : "1474-175X", "PMID" : "19029956", "author" : [ { "dropping-particle" : "", "family" : "Pollak", "given" : "Michael", "non-dropping-particle" : "", "parse-names" : false, "suffix" : "" } ], "container-title" : "Nat Rev Cancer", "id" : "ITEM-2", "issue" : "12", "issued" : { "date-parts" : [ [ "2008", "12" ] ] }, "note" : "10.1038/nrc2536", "page" : "915-928", "publisher" : "Nature Publishing Group", "title" : "Insulin and insulin-like growth factor signalling in neoplasia", "type" : "article-journal", "volume" : "8" }, "uris" : [ "http://www.mendeley.com/documents/?uuid=685ebdc2-062a-4261-8c40-9f598b4f03cb" ] }, { "id" : "ITEM-3", "itemData" : { "DOI" : "10.2174/156800909789271495", "ISSN" : "1873-5576 (Electronic)", "PMID" : "19754359", "abstract" : "Both the epidermal growth factor receptor (EGFR) and the insulin-like growth factor-1 receptor (IGF-1R) can contribute to tumor development and -progression through their effects on cell proliferation, inhibition of apoptosis, angiogenesis, anchorage-independent growth and tumor-associated inflammation. EGFR-targeting monoclonal antibodies and small molecule tyrosine kinase inhibitors are currently in clinical use for the treatment of several types of cancer. However, primary and acquired resistance to these agents often occurs and thereby limits the clinical efficacy of mono-specific targeted therapy. Results from both in vitro and in vivo studies indicate that cross-talk between EGFR and IGF-1R can lead to acquired resistance against EGFR-targeted drugs. This review describes the interface between the EGFR and IGF-1R signaling networks and the implications of the extensive cross-talk between these two receptor systems for cancer therapy. EGFR and IGF-1R interact on multiple levels, either through a direct association between the two receptors, by mediating the availability of each others ligands, or indirectly, via common interaction partners such as G protein coupled receptors (GPCR) or downstream signaling molecules. This multi-layered cross-talk and its involvement in the induction of resistance to targeted therapies provide a clear rationale for dual targeting of EGFR and IGF-1R. We discuss several (potential) strategies to simultaneously inhibit EGFR and IGF-1R signaling as promising novel therapeutic approaches.", "author" : [ { "dropping-particle" : "", "family" : "Veeken", "given" : "J", "non-dropping-particle" : "van der", "parse-names" : false, "suffix" : "" }, { "dropping-particle" : "", "family" : "Oliveira", "given" : "S", "non-dropping-particle" : "", "parse-names" : false, "suffix" : "" }, { "dropping-particle" : "", "family" : "Schiffelers", "given" : "R M", "non-dropping-particle" : "", "parse-names" : false, "suffix" : "" }, { "dropping-particle" : "", "family" : "Storm", "given" : "G", "non-dropping-particle" : "", "parse-names" : false, "suffix" : "" }, { "dropping-particle" : "", "family" : "Bergen En Henegouwen", "given" : "P M P", "non-dropping-particle" : "van", "parse-names" : false, "suffix" : "" }, { "dropping-particle" : "", "family" : "Roovers", "given" : "R C", "non-dropping-particle" : "", "parse-names" : false, "suffix" : "" } ], "container-title" : "Current cancer drug targets", "id" : "ITEM-3", "issue" : "6", "issued" : { "date-parts" : [ [ "2009", "9" ] ] }, "page" : "748-760", "publisher-place" : "Netherlands", "title" : "Crosstalk between epidermal growth factor receptor- and insulin-like growth factor-1 receptor signaling: implications for cancer therapy.", "type" : "article-journal", "volume" : "9" }, "uris" : [ "http://www.mendeley.com/documents/?uuid=cf22d24b-cf90-48a3-a9b7-b27ae8ca2876" ] }, { "id" : "ITEM-4", "itemData" : { "DOI" : "10.1128/mBio.00692-13", "ISSN" : "2150-7511 (Electronic)", "PMID" : "24194538", "abstract" : "Recent studies have shown that individuals with colorectal cancer have an altered gut microbiome compared to healthy controls. It remains unclear whether these differences are a response to tumorigenesis or actively drive tumorigenesis. To determine the role of the gut microbiome in the development of colorectal cancer, we characterized the gut microbiome in a murine model of inflammation-associated colorectal cancer that mirrors what is seen in humans. We followed the development of an abnormal microbial community structure associated with inflammation and tumorigenesis in the colon. Tumor-bearing mice showed enrichment in operational taxonomic units (OTUs) affiliated with members of the Bacteroides, Odoribacter, and Akkermansia genera and decreases in OTUs affiliated with members of the Prevotellaceae and Porphyromonadaceae families. Conventionalization of germfree mice with microbiota from tumor-bearing mice significantly increased tumorigenesis in the colon compared to that for animals colonized with a healthy gut microbiome from untreated mice. Furthermore, at the end of the model, germfree mice colonized with microbiota from tumor-bearing mice harbored a higher relative abundance of populations associated with tumor formation in conventional animals. Manipulation of the gut microbiome with antibiotics resulted in a dramatic decrease in both the number and size of tumors. Our results demonstrate that changes in the gut microbiome associated with inflammation and tumorigenesis directly contribute to tumorigenesis and suggest that interventions affecting the composition of the microbiome may be a strategy to prevent the development of colon cancer. IMPORTANCE: The trillions of bacteria that live in the gut, known collectively as the gut microbiome, are important for normal functioning of the intestine. There is now growing evidence that disruptive changes in the gut microbiome are strongly associated with the development colorectal cancer. However, how the gut microbiome changes with time during tumorigenesis and whether these changes directly contribute to disease have not been determined. We demonstrate using a mouse model of inflammation-driven colon cancer that there are dramatic, continual alterations in the microbiome during the development of tumors, which are directly responsible for tumor development. Our results suggest that interventions that target these changes in the microbiome may be an effective strategy for preventing the development\u2026", "author" : [ { "dropping-particle" : "", "family" : "Zackular", "given" : "Joseph P", "non-dropping-particle" : "", "parse-names" : false, "suffix" : "" }, { "dropping-particle" : "", "family" : "Baxter", "given" : "Nielson T", "non-dropping-particle" : "", "parse-names" : false, "suffix" : "" }, { "dropping-particle" : "", "family" : "Iverson", "given" : "Kathryn D", "non-dropping-particle" : "", "parse-names" : false, "suffix" : "" }, { "dropping-particle" : "", "family" : "Sadler", "given" : "William D", "non-dropping-particle" : "", "parse-names" : false, "suffix" : "" }, { "dropping-particle" : "", "family" : "Petrosino", "given" : "Joseph F", "non-dropping-particle" : "", "parse-names" : false, "suffix" : "" }, { "dropping-particle" : "", "family" : "Chen", "given" : "Grace Y", "non-dropping-particle" : "", "parse-names" : false, "suffix" : "" }, { "dropping-particle" : "", "family" : "Schloss", "given" : "Patrick D", "non-dropping-particle" : "", "parse-names" : false, "suffix" : "" } ], "container-title" : "mBio", "id" : "ITEM-4", "issue" : "6", "issued" : { "date-parts" : [ [ "2013" ] ] }, "page" : "e00692-13", "publisher-place" : "United States", "title" : "The gut microbiome modulates colon tumorigenesis.", "type" : "article-journal", "volume" : "4" }, "uris" : [ "http://www.mendeley.com/documents/?uuid=cf2e86d0-7cea-49e6-aa1c-780fd7cb0c8e" ] } ], "mendeley" : { "formattedCitation" : "&lt;sup&gt;[35\u201338]&lt;/sup&gt;", "plainTextFormattedCitation" : "[35\u201338]", "previouslyFormattedCitation" : "&lt;sup&gt;[35\u201338]&lt;/sup&gt;"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[35–38]</w:t>
      </w:r>
      <w:r w:rsidRPr="007D5B4E">
        <w:rPr>
          <w:rFonts w:ascii="Book Antiqua" w:hAnsi="Book Antiqua"/>
        </w:rPr>
        <w:fldChar w:fldCharType="end"/>
      </w:r>
      <w:r w:rsidRPr="007D5B4E">
        <w:rPr>
          <w:rFonts w:ascii="Book Antiqua" w:hAnsi="Book Antiqua"/>
        </w:rPr>
        <w:t>.</w:t>
      </w:r>
    </w:p>
    <w:p w14:paraId="1795A08C" w14:textId="1DCE63E1" w:rsidR="00F950CC" w:rsidRPr="007D5B4E" w:rsidRDefault="00F950CC" w:rsidP="00240E68">
      <w:pPr>
        <w:spacing w:after="0" w:line="360" w:lineRule="auto"/>
        <w:ind w:firstLineChars="200" w:firstLine="480"/>
        <w:jc w:val="both"/>
        <w:rPr>
          <w:rFonts w:ascii="Book Antiqua" w:eastAsia="宋体" w:hAnsi="Book Antiqua"/>
          <w:lang w:eastAsia="zh-CN"/>
        </w:rPr>
      </w:pPr>
      <w:r w:rsidRPr="007D5B4E">
        <w:rPr>
          <w:rFonts w:ascii="Book Antiqua" w:hAnsi="Book Antiqua"/>
        </w:rPr>
        <w:t>In the study showing EGFR was required for Western diet to promote tumorigenesis, mice fed a Western diet exhibited weight gain, increased visceral fat and insulin resistance, consistent with the development of a metabolic syndrome, which is also implicated in colon cancer causation</w:t>
      </w:r>
      <w:r w:rsidRPr="007D5B4E">
        <w:rPr>
          <w:rFonts w:ascii="Book Antiqua" w:hAnsi="Book Antiqua"/>
          <w:vertAlign w:val="superscript"/>
        </w:rPr>
        <w:fldChar w:fldCharType="begin" w:fldLock="1"/>
      </w:r>
      <w:r w:rsidR="00261459" w:rsidRPr="007D5B4E">
        <w:rPr>
          <w:rFonts w:ascii="Book Antiqua" w:hAnsi="Book Antiqua"/>
          <w:vertAlign w:val="superscript"/>
        </w:rPr>
        <w:instrText>ADDIN CSL_CITATION { "citationItems" : [ { "id" : "ITEM-1", "itemData" : { "DOI" : "10.1158/1078-0432.CCR-09-1678", "ISSN" : "10780432", "PMID" : "19903783", "author" : [ { "dropping-particle" : "", "family" : "Dougherty", "given" : "Urszula", "non-dropping-particle" : "", "parse-names" : false, "suffix" : "" }, { "dropping-particle" : "", "family" : "Cerasi", "given" : "Dario", "non-dropping-particle" : "", "parse-names" : false, "suffix" : "" }, { "dropping-particle" : "", "family" : "Taylor", "given" : "Ieva", "non-dropping-particle" : "", "parse-names" : false, "suffix" : "" }, { "dropping-particle" : "", "family" : "Kocherginsky", "given" : "Masha", "non-dropping-particle" : "", "parse-names" : false, "suffix" : "" }, { "dropping-particle" : "", "family" : "Tekin", "given" : "Ummuhan", "non-dropping-particle" : "", "parse-names" : false, "suffix" : "" }, { "dropping-particle" : "", "family" : "Badal", "given" : "Shamiram", "non-dropping-particle" : "", "parse-names" : false, "suffix" : "" }, { "dropping-particle" : "", "family" : "Aluri", "given" : "Lata", "non-dropping-particle" : "", "parse-names" : false, "suffix" : "" }, { "dropping-particle" : "", "family" : "Sehdev", "given" : "Amikar", "non-dropping-particle" : "", "parse-names" : false, "suffix" : "" }, { "dropping-particle" : "", "family" : "Cerda", "given" : "Sonia", "non-dropping-particle" : "", "parse-names" : false, "suffix" : "" }, { "dropping-particle" : "", "family" : "Mustafi", "given" : "Reba", "non-dropping-particle" : "", "parse-names" : false, "suffix" : "" }, { "dropping-particle" : "", "family" : "Delgado", "given" : "Jorge", "non-dropping-particle" : "", "parse-names" : false, "suffix" : "" }, { "dropping-particle" : "", "family" : "Joseph", "given" : "Loren", "non-dropping-particle" : "", "parse-names" : false, "suffix" : "" }, { "dropping-particle" : "", "family" : "Zhu", "given" : "Hongyan", "non-dropping-particle" : "", "parse-names" : false, "suffix" : "" }, { "dropping-particle" : "", "family" : "Hart", "given" : "John", "non-dropping-particle" : "", "parse-names" : false, "suffix" : "" }, { "dropping-particle" : "", "family" : "Threadgill", "given" : "David", "non-dropping-particle" : "", "parse-names" : false, "suffix" : "" }, { "dropping-particle" : "", "family" : "Fichera", "given" : "Alessandro", "non-dropping-particle" : "", "parse-names" : false, "suffix" : "" }, { "dropping-particle" : "", "family" : "Bissonnette", "given" : "Marc", "non-dropping-particle" : "", "parse-names" : false, "suffix" : "" } ], "container-title" : "Clinical Cancer Research", "id" : "ITEM-1", "issue" : "22", "issued" : { "date-parts" : [ [ "2009" ] ] }, "page" : "6780-6789", "title" : "Epidermal growth factor receptor is required for colonic tumor promotion by dietary fat in the azoxymethane/dextran sulfate sodium model: Roles of transforming growth factor-\u03b1 and PTGS2", "type" : "article-journal", "volume" : "15" }, "uris" : [ "http://www.mendeley.com/documents/?uuid=0554a292-9c32-4cb9-9339-e99b5bc57030" ] } ], "mendeley" : { "formattedCitation" : "&lt;sup&gt;[7]&lt;/sup&gt;", "plainTextFormattedCitation" : "[7]", "previouslyFormattedCitation" : "&lt;sup&gt;[7]&lt;/sup&gt;" }, "properties" : { "noteIndex" : 0 }, "schema" : "https://github.com/citation-style-language/schema/raw/master/csl-citation.json" }</w:instrText>
      </w:r>
      <w:r w:rsidRPr="007D5B4E">
        <w:rPr>
          <w:rFonts w:ascii="Book Antiqua" w:hAnsi="Book Antiqua"/>
          <w:vertAlign w:val="superscript"/>
        </w:rPr>
        <w:fldChar w:fldCharType="separate"/>
      </w:r>
      <w:r w:rsidR="006A05BF" w:rsidRPr="007D5B4E">
        <w:rPr>
          <w:rFonts w:ascii="Book Antiqua" w:hAnsi="Book Antiqua"/>
          <w:noProof/>
          <w:vertAlign w:val="superscript"/>
        </w:rPr>
        <w:t>[7]</w:t>
      </w:r>
      <w:r w:rsidRPr="007D5B4E">
        <w:rPr>
          <w:rFonts w:ascii="Book Antiqua" w:hAnsi="Book Antiqua"/>
          <w:vertAlign w:val="superscript"/>
        </w:rPr>
        <w:fldChar w:fldCharType="end"/>
      </w:r>
      <w:r w:rsidRPr="007D5B4E">
        <w:rPr>
          <w:rFonts w:ascii="Book Antiqua" w:hAnsi="Book Antiqua"/>
        </w:rPr>
        <w:t>.</w:t>
      </w:r>
    </w:p>
    <w:p w14:paraId="11DA71CD" w14:textId="77777777" w:rsidR="007D5B4E" w:rsidRPr="007D5B4E" w:rsidRDefault="007D5B4E" w:rsidP="00240E68">
      <w:pPr>
        <w:spacing w:after="0" w:line="360" w:lineRule="auto"/>
        <w:ind w:firstLineChars="200" w:firstLine="480"/>
        <w:jc w:val="both"/>
        <w:rPr>
          <w:rFonts w:ascii="Book Antiqua" w:eastAsia="宋体" w:hAnsi="Book Antiqua"/>
          <w:lang w:eastAsia="zh-CN"/>
        </w:rPr>
      </w:pPr>
    </w:p>
    <w:p w14:paraId="623CD60D" w14:textId="7291A87F" w:rsidR="00F950CC" w:rsidRPr="007D5B4E" w:rsidRDefault="007D5B4E" w:rsidP="00240E68">
      <w:pPr>
        <w:spacing w:after="0" w:line="360" w:lineRule="auto"/>
        <w:jc w:val="both"/>
        <w:rPr>
          <w:rFonts w:ascii="Book Antiqua" w:hAnsi="Book Antiqua"/>
          <w:b/>
          <w:bCs/>
          <w:i/>
          <w:iCs/>
          <w:caps/>
        </w:rPr>
      </w:pPr>
      <w:r w:rsidRPr="007D5B4E">
        <w:rPr>
          <w:rFonts w:ascii="Book Antiqua" w:hAnsi="Book Antiqua"/>
          <w:b/>
          <w:bCs/>
          <w:i/>
          <w:iCs/>
        </w:rPr>
        <w:t>Ginseng</w:t>
      </w:r>
    </w:p>
    <w:p w14:paraId="52EC9D98" w14:textId="0940EE96" w:rsidR="00F950CC" w:rsidRPr="007D5B4E" w:rsidRDefault="00F950CC" w:rsidP="00240E68">
      <w:pPr>
        <w:spacing w:after="0" w:line="360" w:lineRule="auto"/>
        <w:jc w:val="both"/>
        <w:rPr>
          <w:rFonts w:ascii="Book Antiqua" w:hAnsi="Book Antiqua"/>
        </w:rPr>
      </w:pPr>
      <w:r w:rsidRPr="007D5B4E">
        <w:rPr>
          <w:rFonts w:ascii="Book Antiqua" w:hAnsi="Book Antiqua"/>
        </w:rPr>
        <w:t xml:space="preserve">The high morbidity and mortality rates of late stage presentation of colon cancer have prompted more investigation into preventative strategies. Ginseng as a </w:t>
      </w:r>
      <w:proofErr w:type="spellStart"/>
      <w:r w:rsidRPr="007D5B4E">
        <w:rPr>
          <w:rFonts w:ascii="Book Antiqua" w:hAnsi="Book Antiqua"/>
        </w:rPr>
        <w:t>chemopreventive</w:t>
      </w:r>
      <w:proofErr w:type="spellEnd"/>
      <w:r w:rsidRPr="007D5B4E">
        <w:rPr>
          <w:rFonts w:ascii="Book Antiqua" w:hAnsi="Book Antiqua"/>
        </w:rPr>
        <w:t xml:space="preserve"> agent has been shown to decrease the incidence of various forms of cancer in case control and prospective cohort studies</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"ISSN" : "1055-9965 (Print)", "PMID" : "7655337", "abstract" : "This study presents the risk of various cancers in relation to ginseng intake based on the data from a case-control study conducted in the Korea Cancer Center Hospital. Ginseng intakers had a decreased risk [odds ratio = 0.50, 95% confidence interval (CI) = 0.44-0.58] for cancer compared with nonintakers. On the type of ginseng, the odds ratios for cancer were 0.37 (95% CI = 0.29-0.46) for fresh ginseng extract intakers, 0.57 (95% CI = 0.48-0.68) for white ginseng extract intakers, 0.30 (95% CI = 0.22-0.41) for white ginseng powder intakers, and 0.20 (95% CI = 0.08-0.50) for red ginseng intakers. Intakers of fresh ginseng slice, fresh ginseng juice, and white ginseng tea, however, showed no decreasing risk. There was a decrease in risk with the rising frequency and duration of ginseng intake, showing a dose-response relationship. On the site of cancer, the odds ratios were 0.47 for cancer of the lip, oral cavity, and pharynx; 0.20 for esophageal cancer; 0.36 for stomach cancer; 0.42 for colorectal cancer; 0.48 for liver cancer; 0.22 for pancreatic cancer; 0.18 for laryngeal cancer; 0.55 for lung cancer; and 0.15 for ovarian cancer. In cancers of the female breast, uterine cervix, urinary bladder, and thyroid gland, however, there was no association with ginseng intake. In cancers of the lung, lip, oral cavity and pharynx, and liver, smokers with ginseng intake showed decreased odds ratios compared with smokers without ginseng intake. These findings support the view that ginseng intakers had a decreased risk for most cancers compared with nonintakers.(ABSTRACT TRUNCATED AT 250 WORDS)", "author" : [ { "dropping-particle" : "", "family" : "Yun", "given" : "T K", "non-dropping-particle" : "", "parse-names" : false, "suffix" : "" }, { "dropping-particle" : "", "family" : "Choi", "given" : "S Y", "non-dropping-particle" : "", "parse-names" : false, "suffix" : "" } ], "container-title" : "Cancer epidemiology, biomarkers &amp; prevention : a publication of the American Association for Cancer Research, cosponsored by the American Society of Preventive Oncology", "id" : "ITEM-1", "issue" : "4", "issued" : { "date-parts" : [ [ "1995", "6" ] ] }, "page" : "401-408", "publisher-place" : "UNITED STATES", "title" : "Preventive effect of ginseng intake against various human cancers: a case-control study on 1987 pairs.", "type" : "article-journal", "volume" : "4" }, "uris" : [ "http://www.mendeley.com/documents/?uuid=eaa3bd7b-941e-4c69-8d69-5f54564dd97a" ] }, { "id" : "ITEM-2", "itemData" : { "DOI" : "10.1089/jmf.2009.1275", "ISBN" : "1096-620X", "ISSN" : "1096-620X", "PMID" : "20521975", "abstract" : "Previously, two case-control studies and a cohort study strongly suggested that Panax ginseng C.A. Meyer exerted non-organ-specific preventive effects against cancer. The purpose of the present study was to evaluate the effects of red ginseng extract on the incidence of human primary cancer. We conducted a randomized, double-blinded, placebo-controlled trial on 643 chronic atrophic gastritis patients in four hospitals in Zhejiang Province, China. Red ginseng extract powder (1 g) was administered orally to each patient per week for 3 years and followed up for 8 years. The development of various cancers in the red ginseng subjects was compared to that of a placebo group. The red ginseng extract powder was specified in terms of its components. Twenty-four cancers of various organs were diagnosed from these subjects during the 11 years: eight lung cancers, six stomach cancers, two liver cancers, two colorectal cancers, and one cancer each of the nasopharynx, esophagus, pancreas, urinary bladder, prostate, and gallbladder. The red ginseng group, which included both genders, demonstrated a relative cancer risk of 0.54 (95% confidence interval, 0.23-1.28; P = .13) compared to the placebo group, which was not statistically significant. Among the 24 cancer patients, 21 were male. The male red ginseng group showed a relative cancer risk of 0.35 (95% confidence interval, 0.13-0.96; P = .03) compared to the male placebo group, which was highly significant statistically. In the present clinical trial on chronic atrophic gastritis patients, administration of red ginseng extract powder for 3 years exerted significant preventive effects on the incidence of non-organ-specific human cancers in males.", "author" : [ { "dropping-particle" : "", "family" : "Yun", "given" : "Taik-Koo", "non-dropping-particle" : "", "parse-names" : false, "suffix" : "" }, { "dropping-particle" : "", "family" : "Zheng", "given" : "Shu", "non-dropping-particle" : "", "parse-names" : false, "suffix" : "" }, { "dropping-particle" : "", "family" : "Choi", "given" : "Soo-Yong", "non-dropping-particle" : "", "parse-names" : false, "suffix" : "" }, { "dropping-particle" : "", "family" : "Cai", "given" : "Shan Rong", "non-dropping-particle" : "", "parse-names" : false, "suffix" : "" }, { "dropping-particle" : "", "family" : "Lee", "given" : "Yun-Sil", "non-dropping-particle" : "", "parse-names" : false, "suffix" : "" }, { "dropping-particle" : "", "family" : "Liu", "given" : "Xi Yong", "non-dropping-particle" : "", "parse-names" : false, "suffix" : "" }, { "dropping-particle" : "", "family" : "Cho", "given" : "Kyung Ja", "non-dropping-particle" : "", "parse-names" : false, "suffix" : "" }, { "dropping-particle" : "", "family" : "Park", "given" : "Kun Young", "non-dropping-particle" : "", "parse-names" : false, "suffix" : "" } ], "container-title" : "Journal of medicinal food", "id" : "ITEM-2", "issue" : "3", "issued" : { "date-parts" : [ [ "2010" ] ] }, "page" : "489-494", "title" : "Non-organ-specific preventive effect of long-term administration of Korean red ginseng extract on incidence of human cancers.", "type" : "article-journal", "volume" : "13" }, "uris" : [ "http://www.mendeley.com/documents/?uuid=23b775ad-4c54-44d6-b6be-3b3bab904a26" ] }, { "id" : "ITEM-3", "itemData" : { "DOI" : "10.1093/ije/27.3.359", "ISSN" : "03005771", "PMID" : "9698120", "abstract" : "BACKGROUND: A number of studies have reported that increased consumption of natural products reduced the risk of cancer. Our previous case-control studies have shown a significant reduction in the risk of cancer development among those who regularly consumed ginseng. We conducted a prospective cohort study to evaluate the preventive effect of ginseng against cancer on a population residing in a ginseng cultivation area on the basis of the result of case-control studies. METHODS: This study was conducted in Kangwha-eup from August 1987 to December 1992. We studied 4634 people over 40 years old who completed a questionnaire on ginseng intake. In an attempt to obtain detailed information about ginseng intake, we asked them to specify their age at initial intake, their frequency and duration of ginseng intake, the kind of ginseng, etc. Multiple logistic regression was used to estimate relative risks (RR) when controlling simultaneously for covariates. RESULTS: Ginseng consumers had a decreased risk (RR = 0.40, 95% confidence interval [CI] : 0.28-0.56) compared with non-consumers. On the type of ginseng, the RR was 0.31 (95% CI: 0.13-0.74) for fresh ginseng extract consumers and 0.34 (95% CI: 0.20-0.53) for consumers of multiple combinations. There was no cancer death among 24 red ginseng consumers. There was a decreased risk with a rise in the frequency of ginseng intake, showing a dose-response relationship. The RR of ginseng consumers were 0.33 (95% CI: 0.18-0.57) in gastric cancer and 0.30 (95% CI : 0.14-0.65) in lung cancer. Among ginseng preparations, fresh ginseng extract consumers were significantly associated with a decreased risk of gastric cancer (RR = 0.33, 95% CI: 0.12-0.88). CONCLUSIONS: These results strongly suggest that Panax ginseng C.A. Meyer has non-organ specific preventive effect against cancer, providing support for the previous case-control studies.", "author" : [ { "dropping-particle" : "", "family" : "Yun", "given" : "Taik Koo", "non-dropping-particle" : "", "parse-names" : false, "suffix" : "" }, { "dropping-particle" : "", "family" : "Choi", "given" : "Soo Yong", "non-dropping-particle" : "", "parse-names" : false, "suffix" : "" } ], "container-title" : "International Journal of Epidemiology", "id" : "ITEM-3", "issued" : { "date-parts" : [ [ "1998" ] ] }, "page" : "359-364", "title" : "Non-organ specific cancer prevention of ginseng: A prospective study in Korea", "type" : "article-journal", "volume" : "27" }, "uris" : [ "http://www.mendeley.com/documents/?uuid=b957f433-8eec-4d74-884f-6d88faac6fca" ] } ], "mendeley" : { "formattedCitation" : "&lt;sup&gt;[39\u201341]&lt;/sup&gt;", "plainTextFormattedCitation" : "[39\u201341]", "previouslyFormattedCitation" : "&lt;sup&gt;[39\u201341]&lt;/sup&gt;"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[39</w:t>
      </w:r>
      <w:r w:rsidR="007D5B4E" w:rsidRPr="007D5B4E">
        <w:rPr>
          <w:rFonts w:ascii="Book Antiqua" w:eastAsia="宋体" w:hAnsi="Book Antiqua"/>
          <w:noProof/>
          <w:vertAlign w:val="superscript"/>
          <w:lang w:eastAsia="zh-CN"/>
        </w:rPr>
        <w:t>-</w:t>
      </w:r>
      <w:r w:rsidR="009259AF" w:rsidRPr="007D5B4E">
        <w:rPr>
          <w:rFonts w:ascii="Book Antiqua" w:hAnsi="Book Antiqua"/>
          <w:noProof/>
          <w:vertAlign w:val="superscript"/>
        </w:rPr>
        <w:t>41]</w:t>
      </w:r>
      <w:r w:rsidRPr="007D5B4E">
        <w:rPr>
          <w:rFonts w:ascii="Book Antiqua" w:hAnsi="Book Antiqua"/>
        </w:rPr>
        <w:fldChar w:fldCharType="end"/>
      </w:r>
      <w:r w:rsidRPr="007D5B4E">
        <w:rPr>
          <w:rFonts w:ascii="Book Antiqua" w:hAnsi="Book Antiqua"/>
        </w:rPr>
        <w:t xml:space="preserve">. Several studies have demonstrated the anti-tumor effects of ginseng extract, focusing on the diverse group of biologically active chemical structures called </w:t>
      </w:r>
      <w:proofErr w:type="spellStart"/>
      <w:r w:rsidRPr="007D5B4E">
        <w:rPr>
          <w:rFonts w:ascii="Book Antiqua" w:hAnsi="Book Antiqua"/>
        </w:rPr>
        <w:t>ginsenosides</w:t>
      </w:r>
      <w:proofErr w:type="spellEnd"/>
      <w:r w:rsidRPr="007D5B4E">
        <w:rPr>
          <w:rFonts w:ascii="Book Antiqua" w:hAnsi="Book Antiqua"/>
        </w:rPr>
        <w:t xml:space="preserve">, glycosides with </w:t>
      </w:r>
      <w:proofErr w:type="spellStart"/>
      <w:r w:rsidRPr="007D5B4E">
        <w:rPr>
          <w:rFonts w:ascii="Book Antiqua" w:hAnsi="Book Antiqua"/>
        </w:rPr>
        <w:t>dammarane</w:t>
      </w:r>
      <w:proofErr w:type="spellEnd"/>
      <w:r w:rsidRPr="007D5B4E">
        <w:rPr>
          <w:rFonts w:ascii="Book Antiqua" w:hAnsi="Book Antiqua"/>
        </w:rPr>
        <w:t xml:space="preserve"> skeletons with varying sugar types, numbers, and linkage positions. Several have been isolated and administered to mice, resulting in statistically significant decreases in lung tumor incidence and reduced growth of colon tumor xenografts.  Several mechanisms have been implicated in the anti-</w:t>
      </w:r>
      <w:r w:rsidRPr="007D5B4E">
        <w:rPr>
          <w:rFonts w:ascii="Book Antiqua" w:hAnsi="Book Antiqua"/>
        </w:rPr>
        <w:lastRenderedPageBreak/>
        <w:t>tumorigenic properties of ginseng including antioxidant, anti-proliferative, pro-apoptotic and anti-inflammatory actions of ginseng and more recently EGFR inhibitory effects have been identified</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"10.1016/S0027-5107(02)00322-6", "ISSN" : "00275107", "PMID" : "12628504", "abstract" : "Panax ginseng C.A. Meyer has been the most highly recognized medicinal herb in the Orient. The prolonged administration of red ginseng extract significantly inhibits the incidence of hepatoma and also proliferation of pulmonary tumors induced by aflatoxin B1 and urethane. Statistically significant anticarcinogenic effects were in aged or heat treated extracts of ginseng and red ginseng made by steaming in a 9 weeks medium-term anticarcinogenicity test using benzo[a]pyrene. In case\u2013control studies, odds ratios (OR) of the cancer of lip, oral cavity and pharynx, larynx, lung, esophagus, stomach, liver, pancreas, ovary, and colorectum were significantly reduced. As to the type of ginseng, the ORs for cancer were reduced in user of fresh ginseng extract intakers, white ginseng extract, white ginseng powder, and red ginseng. In a cohort study with 5 years follow-up conducted in a ginseng cultivation area, ginseng users had a decreased relative risk (RR) compared with non-users. The relative risks (RRs) of ginseng users were decreased in gastric cancer and lung cancer. These findings strongly suggest that Panax ginseng C.A. Meyer cultivated in Korea has non-organ specific cancer preventive effects against various cancers. To investigate the active components for cancer prevention, several fractions of fresh and red ginseng and four semi-synthetic ginsenoside Rh1, Rh2, Rg3 and Rg5, the major saponin components in red ginseng, were prepared among the ginsenosides. By using Yun\u2019s model, Rg3 and Rg5 showed statistically significant reduction of lung tumor incidence and Rh2 had a tendency to decrease the incidence. In conclusion, these results strongly suggested that Panax ginseng C.A. Meyer cultivated in Korea is a non-organ specific cancer preventive against human cancers and also indicated that the anticarcinogenicity or human cancer preventive effect of Panax ginseng is due to ginsenoside Rg3, Rg5 and Rh2.", "author" : [ { "dropping-particle" : "", "family" : "Yun", "given" : "Taik-Koo", "non-dropping-particle" : "", "parse-names" : false, "suffix" : "" } ], "container-title" : "Mutation Research/Fundamental and Molecular Mechanisms of Mutagenesis", "id" : "ITEM-1", "issued" : { "date-parts" : [ [ "2003", "2" ] ] }, "page" : "63-74", "title" : "Experimental and epidemiological evidence on non-organ specific cancer preventive effect of Korean ginseng and identification of active compounds", "type" : "article-journal", "volume" : "523-524" }, "uris" : [ "http://www.mendeley.com/documents/?uuid=326fed2e-05e9-41f3-8610-787d4f79746b" ] }, { "id" : "ITEM-2", "itemData" : { "DOI" : "10.1016/j.bcp.2010.06.023", "ISSN" : "1873-2968", "PMID" : "20599804", "abstract" : "Ginseng has a prominent position on the list of best-selling herbal products in the world, and its main active constituents are thought to be ginsenosides. Compared with the long history of use and widespread research on Asian ginseng, studies of American ginseng are relatively limited, especially regarding cancer chemoprevention. In recent studies of American ginseng, steaming or heating altered the ginsenoside profile and thereby increased anticancer effects. Yet the ginsenoside structures and their activities have not been systematically elucidated. In this commentary, we introduce the different ginsenosides in American ginseng, both the naturally occurring compounds and those resulting from steaming or biotransformation. We briefly review American ginseng's reported anticancer effects and their mechanisms of action, and explore the possible structural-function relationship with a focus on sugar molecules, hydroxyl groups and stereoselectivity in ginsenosides. Understanding these relationships may produce insights into chemical and pharmacological approaches for enhancing the chemopreventive effects of ginsenoside and for developing novel anticancer agents.", "author" : [ { "dropping-particle" : "", "family" : "Qi", "given" : "Lian-Wen", "non-dropping-particle" : "", "parse-names" : false, "suffix" : "" }, { "dropping-particle" : "", "family" : "Wang", "given" : "Chong-Zhi", "non-dropping-particle" : "", "parse-names" : false, "suffix" : "" }, { "dropping-particle" : "", "family" : "Yuan", "given" : "Chun-Su", "non-dropping-particle" : "", "parse-names" : false, "suffix" : "" } ], "container-title" : "Biochemical pharmacology", "id" : "ITEM-2", "issue" : "7", "issued" : { "date-parts" : [ [ "2010", "10", "1" ] ] }, "page" : "947-54", "title" : "American ginseng: potential structure-function relationship in cancer chemoprevention.", "type" : "article-journal", "volume" : "80" }, "uris" : [ "http://www.mendeley.com/documents/?uuid=ecddf1e3-d462-44e9-b3d8-d459c954f2a5" ] }, { "id" : "ITEM-3", "itemData" : { "DOI" : "200112s006 [pii]", "ISBN" : "1011-8934 (Print)\\r1011-8934 (Linking)", "ISSN" : "10118934", "PMID" : "11748383", "abstract" : "The failure to improve the five-year survival rate of cancer patients, from one in three in the 1960s to one in two in the 1970s, stimulated awareness of the importance of primary prevention of cancer. Korean investigators carried out extensive long-term anticarcinogenicity experiments with 2000 newborn mice to investigate whether Panax ginseng C.A. Meyer inhibited carcinogenesis induced by several chemical carcinogens in 1978. There was a 22% decrease (p&lt;0.05) in the incidence of urethane induced lung adenoma by the combined use of red ginseng extract. In the group sacrificed at 56 weeks after the treatment with aflatoxin B1, the incidence of hepatoma significantly decreased to 75% by the addition of red ginseng extract (p&lt;0.05). The result showed that natural products can provide hope for human cancer prevention. By the newly established '9 week medium-term anticarcinogenicity test model of lung tumors in mice' (Yun's model), we confirmed significant anticarcinogenic effects of powders and extracts of the 6- yr-old dried fresh ginseng, 5- and 6-yr old white ginsengs, and 4-, 5-, and 6-yr old red ginseng. We also demonstrated that the anticarcinogencity of ginseng was more prominent in aged or heat treated extracts of ginseng and red ginseng made by steaming. To investigate the active components for cancer prevention, several fractions of 6-yr old fresh ginseng and red ginseng, four semi-synthetic ginsenoside Rh1, Rh2, Rg3 and Rg5, major saponin components in red ginseng, were prepared. Among the ginsenosides, Rg3 and Rg5 showed statistically significant reduction of lung tumor incidence and Rh2 had a tendency of decreasing the incidence. Ginsenoside Rg3, Rg5 and Rh2 were found to be active anticarcinogenic compounds. Rg3, Rg5 and Rh2 are active components in red ginseng, and they prevent cancer either singularly or synergistically.", "author" : [ { "dropping-particle" : "", "family" : "Yun", "given" : "T. K.", "non-dropping-particle" : "", "parse-names" : false, "suffix" : "" }, { "dropping-particle" : "", "family" : "Lee", "given" : "Y. S.", "non-dropping-particle" : "", "parse-names" : false, "suffix" : "" }, { "dropping-particle" : "", "family" : "Lee", "given" : "Y. H.", "non-dropping-particle" : "", "parse-names" : false, "suffix" : "" }, { "dropping-particle" : "", "family" : "Kim", "given" : "S. I.", "non-dropping-particle" : "", "parse-names" : false, "suffix" : "" }, { "dropping-particle" : "", "family" : "Yun", "given" : "H. Y.", "non-dropping-particle" : "", "parse-names" : false, "suffix" : "" } ], "container-title" : "Journal of Korean medical science", "id" : "ITEM-3", "issue" : "100", "issued" : { "date-parts" : [ [ "2001" ] ] }, "page" : "6-18", "title" : "Anticarcinogenic effect of Panax ginseng C.A. Meyer and identification of active compounds.", "type" : "article-journal", "volume" : "16 Suppl" }, "uris" : [ "http://www.mendeley.com/documents/?uuid=1c0c7b76-4828-4b99-965d-48c57e531638" ] }, { "id" : "ITEM-4", "itemData" : { "DOI" : "10.1055/s-2002-35659", "ISSN" : "00320943", "PMID" : "12451485", "abstract" : "Recent epidemiological studies have demonstrated that ginseng intake is associated with a reduced risk for environmentally related cancers. However, the effects of ginsenosides on the proliferation of renal proximal tubule cells have not yet elucidated. This study investigated the effect of total ginsenosides, protopanaxatriol (PT) saponin, and protopanaxadiol (PD) saponin fraction on epidermal growth factor (EGF)-induced renal cell proliferation and, furthermore, c-fos and c-jun gene expression. In the present study, total ginsenosides (10 -6 g/ml) completely blocked EGF-induced DNA synthesis and cell growth. In contrast, the PT and PD fractions partially blocked it. In addition, the EGF-induced increase of c-fos and c-jun gene expression was completely blocked by total ginsenosides and partially by PT and PD saponins. In conclusion, ginsenosides, in part, inhibit EGF-induced cell proliferation via decrease of c-fos and c-jun gene expression in primary cultured rabbit renal proximal tubular cells (PTCs). Abbreviations. EGF:epidermal growth factor PD:protopanaxadiol PT:protopanaxatriol PTCs:primary cultured renal proximal tubule cells", "author" : [ { "dropping-particle" : "", "family" : "Han", "given" : "Ho Jae", "non-dropping-particle" : "", "parse-names" : false, "suffix" : "" }, { "dropping-particle" : "", "family" : "Yoon", "given" : "Byeong Cheol", "non-dropping-particle" : "", "parse-names" : false, "suffix" : "" }, { "dropping-particle" : "", "family" : "Lee", "given" : "Sang Hern", "non-dropping-particle" : "", "parse-names" : false, "suffix" : "" }, { "dropping-particle" : "", "family" : "Park", "given" : "Soo Hyun", "non-dropping-particle" : "", "parse-names" : false, "suffix" : "" }, { "dropping-particle" : "", "family" : "Park", "given" : "Ji Yeong", "non-dropping-particle" : "", "parse-names" : false, "suffix" : "" }, { "dropping-particle" : "", "family" : "Oh", "given" : "Young Joon", "non-dropping-particle" : "", "parse-names" : false, "suffix" : "" }, { "dropping-particle" : "", "family" : "Lee", "given" : "Yun Jung", "non-dropping-particle" : "", "parse-names" : false, "suffix" : "" } ], "container-title" : "Planta Medica", "id" : "ITEM-4", "issued" : { "date-parts" : [ [ "2002" ] ] }, "page" : "971-974", "title" : "Ginsenosides inhibit EGF-induced proliferation of renal proximal tubule cells via decrease of c-fos and c-jun gene expression in vitro", "type" : "article-journal", "volume" : "68" }, "uris" : [ "http://www.mendeley.com/documents/?uuid=fb85d711-545e-497b-8632-a5df93cb778b" ] } ], "mendeley" : { "formattedCitation" : "&lt;sup&gt;[42\u201345]&lt;/sup&gt;", "plainTextFormattedCitation" : "[42\u201345]", "previouslyFormattedCitation" : "&lt;sup&gt;[42\u201345]&lt;/sup&gt;"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[42–45]</w:t>
      </w:r>
      <w:r w:rsidRPr="007D5B4E">
        <w:rPr>
          <w:rFonts w:ascii="Book Antiqua" w:hAnsi="Book Antiqua"/>
        </w:rPr>
        <w:fldChar w:fldCharType="end"/>
      </w:r>
      <w:r w:rsidRPr="007D5B4E">
        <w:rPr>
          <w:rFonts w:ascii="Book Antiqua" w:hAnsi="Book Antiqua"/>
        </w:rPr>
        <w:t>.  Additionally, in a mouse model of colitis-associated colon cancer, American ginseng was shown to inhibit inflammation and suppress EGFR signaling, effects that are postulated to contribute to ginseng's anti tumorigenic properties</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"10.1093/carcin/bgq163", "ISSN" : "01433334", "PMID" : "20729391", "abstract" : "We have recently shown that American ginseng (AG) prevents and treats mouse colitis. Because both mice and humans with chronic colitis have a high colon cancer risk, we tested the hypothesis that AG can be used to prevent colitis-driven colon cancer. Using the azoxymethane (AOM)/dextran sulfate sodium (DSS) mouse model of ulcerative colitis, we show that AG can suppress colon cancer associated with colitis. To explore the molecular mechanisms of the anticancer effects of AG, we also carried out antibody array experiments on colon cells isolated at a precancerous stage. We found there were 82 protein end points that were either significantly higher (41 proteins) or significantly lower (41 proteins) in the AOM + DSS group compared with the AOM-alone (control) group. In contrast, there were only 19 protein end points that were either significantly higher (10 proteins) or significantly lower (9 proteins) in the AOM + DSS + AG group compared with the AOM-alone (control) group. Overall, these results suggest that AG keeps the colon environment in metabolic equilibrium when mice are treated with AOM + DSS and gives insight into the mechanisms by which AG protects from colon cancer associated with colitis.", "author" : [ { "dropping-particle" : "", "family" : "Cui", "given" : "Xiangli", "non-dropping-particle" : "", "parse-names" : false, "suffix" : "" }, { "dropping-particle" : "", "family" : "Jin", "given" : "Yu", "non-dropping-particle" : "", "parse-names" : false, "suffix" : "" }, { "dropping-particle" : "", "family" : "Poudyal", "given" : "Deepak", "non-dropping-particle" : "", "parse-names" : false, "suffix" : "" }, { "dropping-particle" : "", "family" : "Chumanevich", "given" : "Alexander a.", "non-dropping-particle" : "", "parse-names" : false, "suffix" : "" }, { "dropping-particle" : "", "family" : "Davis", "given" : "Tia", "non-dropping-particle" : "", "parse-names" : false, "suffix" : "" }, { "dropping-particle" : "", "family" : "Windust", "given" : "Anthony", "non-dropping-particle" : "", "parse-names" : false, "suffix" : "" }, { "dropping-particle" : "", "family" : "Hofseth", "given" : "Anne", "non-dropping-particle" : "", "parse-names" : false, "suffix" : "" }, { "dropping-particle" : "", "family" : "Wu", "given" : "Wensong", "non-dropping-particle" : "", "parse-names" : false, "suffix" : "" }, { "dropping-particle" : "", "family" : "Habiger", "given" : "Joshua", "non-dropping-particle" : "", "parse-names" : false, "suffix" : "" }, { "dropping-particle" : "", "family" : "Pena", "given" : "Edsel", "non-dropping-particle" : "", "parse-names" : false, "suffix" : "" }, { "dropping-particle" : "", "family" : "Wood", "given" : "Patricia", "non-dropping-particle" : "", "parse-names" : false, "suffix" : "" }, { "dropping-particle" : "", "family" : "Nagarkatti", "given" : "Mitzi", "non-dropping-particle" : "", "parse-names" : false, "suffix" : "" }, { "dropping-particle" : "", "family" : "Nagarkatti", "given" : "Prakash S.", "non-dropping-particle" : "", "parse-names" : false, "suffix" : "" }, { "dropping-particle" : "", "family" : "Hofseth", "given" : "Lorne", "non-dropping-particle" : "", "parse-names" : false, "suffix" : "" } ], "container-title" : "Carcinogenesis", "id" : "ITEM-1", "issue" : "10", "issued" : { "date-parts" : [ [ "2010" ] ] }, "page" : "1734-1741", "title" : "Mechanistic insight into the ability of American ginseng to suppress colon cancer associated with colitis", "type" : "article-journal", "volume" : "31" }, "uris" : [ "http://www.mendeley.com/documents/?uuid=666b1d93-27ab-4a81-931d-c6119376e1d5" ] } ], "mendeley" : { "formattedCitation" : "&lt;sup&gt;[46]&lt;/sup&gt;", "plainTextFormattedCitation" : "[46]", "previouslyFormattedCitation" : "&lt;sup&gt;[46]&lt;/sup&gt;"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[46]</w:t>
      </w:r>
      <w:r w:rsidRPr="007D5B4E">
        <w:rPr>
          <w:rFonts w:ascii="Book Antiqua" w:hAnsi="Book Antiqua"/>
        </w:rPr>
        <w:fldChar w:fldCharType="end"/>
      </w:r>
      <w:r w:rsidRPr="007D5B4E">
        <w:rPr>
          <w:rFonts w:ascii="Book Antiqua" w:hAnsi="Book Antiqua"/>
        </w:rPr>
        <w:t xml:space="preserve"> (Figure 1). </w:t>
      </w:r>
    </w:p>
    <w:p w14:paraId="5A66A722" w14:textId="3E1EB253" w:rsidR="00F950CC" w:rsidRPr="007D5B4E" w:rsidRDefault="00F950CC" w:rsidP="00240E68">
      <w:pPr>
        <w:spacing w:after="0" w:line="360" w:lineRule="auto"/>
        <w:ind w:firstLineChars="200" w:firstLine="480"/>
        <w:jc w:val="both"/>
        <w:rPr>
          <w:rFonts w:ascii="Book Antiqua" w:eastAsia="宋体" w:hAnsi="Book Antiqua"/>
          <w:lang w:eastAsia="zh-CN"/>
        </w:rPr>
      </w:pPr>
      <w:r w:rsidRPr="007D5B4E">
        <w:rPr>
          <w:rFonts w:ascii="Book Antiqua" w:hAnsi="Book Antiqua"/>
        </w:rPr>
        <w:t xml:space="preserve">In studies of mice treated with a combination of Western diet alone or WD plus ginseng, colonic mucosal EGFR signals were noted to be increased in the Western diet group and Ginseng inhibited these increases. Ginseng also appears to inhibit tumorigenesis through other mechanisms, including the induction of apoptosis. Ginseng’s anti tumor effects likely require ginseng metabolite activation by the colonic microbiome as several biologically active metabolites of </w:t>
      </w:r>
      <w:proofErr w:type="spellStart"/>
      <w:r w:rsidRPr="007D5B4E">
        <w:rPr>
          <w:rFonts w:ascii="Book Antiqua" w:hAnsi="Book Antiqua"/>
        </w:rPr>
        <w:t>ginsenosides</w:t>
      </w:r>
      <w:proofErr w:type="spellEnd"/>
      <w:r w:rsidRPr="007D5B4E">
        <w:rPr>
          <w:rFonts w:ascii="Book Antiqua" w:hAnsi="Book Antiqua"/>
        </w:rPr>
        <w:t xml:space="preserve"> are synthesized by gut microbes. One metabolite in particular, 20-O-b-(D-</w:t>
      </w:r>
      <w:proofErr w:type="spellStart"/>
      <w:r w:rsidRPr="007D5B4E">
        <w:rPr>
          <w:rFonts w:ascii="Book Antiqua" w:hAnsi="Book Antiqua"/>
        </w:rPr>
        <w:t>glucopyranosyl</w:t>
      </w:r>
      <w:proofErr w:type="spellEnd"/>
      <w:r w:rsidRPr="007D5B4E">
        <w:rPr>
          <w:rFonts w:ascii="Book Antiqua" w:hAnsi="Book Antiqua"/>
        </w:rPr>
        <w:t>)-20(S)-</w:t>
      </w:r>
      <w:proofErr w:type="spellStart"/>
      <w:r w:rsidRPr="007D5B4E">
        <w:rPr>
          <w:rFonts w:ascii="Book Antiqua" w:hAnsi="Book Antiqua"/>
        </w:rPr>
        <w:t>protopanaxadiol</w:t>
      </w:r>
      <w:proofErr w:type="spellEnd"/>
      <w:r w:rsidRPr="007D5B4E">
        <w:rPr>
          <w:rFonts w:ascii="Book Antiqua" w:hAnsi="Book Antiqua"/>
        </w:rPr>
        <w:t xml:space="preserve"> or compound K, was shown to suppress growth of colon tumor xenografts</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"10.1186/1472-6882-11-111", "ISBN" : "1472-6882 (Electronic)\\r1472-6882 (Linking)", "ISSN" : "1472-6882", "PMID" : "22070864", "abstract" : "BACKGROUND: Western diets increase colon cancer risk. Epidemiological evidence and experimental studies suggest that ginseng can inhibit colon cancer development. In this study we asked if ginseng could inhibit Western diet (20% fat) promoted colonic tumorigenesis and if compound K, a microbial metabolite of ginseng could suppress colon cancer xenograft growth.\\n\\nMETHODS: Mice were initiated with azoxymethane (AOM) and, two weeks later fed a Western diet (WD, 20% fat) alone, or WD supplemented with 250-ppm ginseng. After 1 wk, mice received 2.5% dextran sulfate sodium (DSS) for 5 days and were sacrificed 12 wks after AOM. Tumors were harvested and cell proliferation measured by Ki67 staining and apoptosis by TUNEL assay. Levels of EGF-related signaling molecules and apoptosis regulators were determined by Western blotting. Anti-tumor effects of intraperitoneal compound K were examined using a tumor xenograft model and compound K absorption measured following oral ginseng gavage by UPLC-mass spectrometry. Effects of dietary ginseng on microbial diversity were measured by analysis of bacterial 16S rRNA.\\n\\nRESULTS: Ginseng significantly inhibited colonic inflammation and tumorigenesis and concomitantly reduced proliferation and increased apoptosis. The EGFR cascade was up-regulated in colonic tumors and ginseng significantly reduced EGFR and ErbB2 activation and Cox-2 expression. Dietary ginseng altered colonic microbial diversity, and bacterial suppression with metronidazole reduced serum compound K following ginseng gavage. Furthermore, compound K significantly inhibited tumor xenograft growth.\\n\\nCONCLUSIONS: Ginseng inhibited colonic inflammation and tumorigenesis promoted by Western diet. We speculate that the ginseng metabolite compound K contributes to the chemopreventive effects of this agent in colonic tumorigenesis.", "author" : [ { "dropping-particle" : "", "family" : "Dougherty", "given" : "Urszula", "non-dropping-particle" : "", "parse-names" : false, "suffix" : "" }, { "dropping-particle" : "", "family" : "Mustafi", "given" : "Reba", "non-dropping-particle" : "", "parse-names" : false, "suffix" : "" }, { "dropping-particle" : "", "family" : "Wang", "given" : "Yunwei", "non-dropping-particle" : "", "parse-names" : false, "suffix" : "" }, { "dropping-particle" : "", "family" : "Musch", "given" : "Mark W", "non-dropping-particle" : "", "parse-names" : false, "suffix" : "" }, { "dropping-particle" : "", "family" : "Wang", "given" : "Chong-Zhi", "non-dropping-particle" : "", "parse-names" : false, "suffix" : "" }, { "dropping-particle" : "", "family" : "Konda", "given" : "Vani J", "non-dropping-particle" : "", "parse-names" : false, "suffix" : "" }, { "dropping-particle" : "", "family" : "Kulkarni", "given" : "Anirudh", "non-dropping-particle" : "", "parse-names" : false, "suffix" : "" }, { "dropping-particle" : "", "family" : "Hart", "given" : "John", "non-dropping-particle" : "", "parse-names" : false, "suffix" : "" }, { "dropping-particle" : "", "family" : "Dawson", "given" : "Glyn", "non-dropping-particle" : "", "parse-names" : false, "suffix" : "" }, { "dropping-particle" : "", "family" : "Kim", "given" : "Karen E", "non-dropping-particle" : "", "parse-names" : false, "suffix" : "" }, { "dropping-particle" : "", "family" : "Yuan", "given" : "Chun-Su", "non-dropping-particle" : "", "parse-names" : false, "suffix" : "" }, { "dropping-particle" : "", "family" : "Chang", "given" : "Eugene B", "non-dropping-particle" : "", "parse-names" : false, "suffix" : "" }, { "dropping-particle" : "", "family" : "Bissonnette", "given" : "Marc", "non-dropping-particle" : "", "parse-names" : false, "suffix" : "" } ], "container-title" : "BMC Complementary and Alternative Medicine", "id" : "ITEM-1", "issue" : "1", "issued" : { "date-parts" : [ [ "2011" ] ] }, "page" : "111", "publisher" : "BioMed Central Ltd", "title" : "American ginseng suppresses Western diet-promoted tumorigenesis in model of inflammation-associated colon cancer: role of EGFR", "type" : "article-journal", "volume" : "11" }, "uris" : [ "http://www.mendeley.com/documents/?uuid=bc190c27-3b35-45e2-85ce-53e0ad7cc508" ] } ], "mendeley" : { "formattedCitation" : "&lt;sup&gt;[47]&lt;/sup&gt;", "plainTextFormattedCitation" : "[47]", "previouslyFormattedCitation" : "&lt;sup&gt;[47]&lt;/sup&gt;"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[47]</w:t>
      </w:r>
      <w:r w:rsidRPr="007D5B4E">
        <w:rPr>
          <w:rFonts w:ascii="Book Antiqua" w:hAnsi="Book Antiqua"/>
          <w:vertAlign w:val="superscript"/>
        </w:rPr>
        <w:fldChar w:fldCharType="end"/>
      </w:r>
      <w:r w:rsidRPr="007D5B4E">
        <w:rPr>
          <w:rFonts w:ascii="Book Antiqua" w:hAnsi="Book Antiqua"/>
        </w:rPr>
        <w:t>.</w:t>
      </w:r>
    </w:p>
    <w:p w14:paraId="1B0DB009" w14:textId="77777777" w:rsidR="007D5B4E" w:rsidRPr="007D5B4E" w:rsidRDefault="007D5B4E" w:rsidP="00240E68">
      <w:pPr>
        <w:spacing w:after="0" w:line="360" w:lineRule="auto"/>
        <w:ind w:firstLineChars="200" w:firstLine="480"/>
        <w:jc w:val="both"/>
        <w:rPr>
          <w:rFonts w:ascii="Book Antiqua" w:eastAsia="宋体" w:hAnsi="Book Antiqua"/>
          <w:lang w:eastAsia="zh-CN"/>
        </w:rPr>
      </w:pPr>
    </w:p>
    <w:p w14:paraId="2F26B82B" w14:textId="2DE8FAFE" w:rsidR="00F950CC" w:rsidRPr="007D5B4E" w:rsidRDefault="00F950CC" w:rsidP="00240E68">
      <w:pPr>
        <w:spacing w:after="0" w:line="360" w:lineRule="auto"/>
        <w:jc w:val="both"/>
        <w:rPr>
          <w:rFonts w:ascii="Book Antiqua" w:hAnsi="Book Antiqua"/>
          <w:b/>
          <w:bCs/>
          <w:i/>
          <w:iCs/>
          <w:caps/>
        </w:rPr>
      </w:pPr>
      <w:r w:rsidRPr="007D5B4E">
        <w:rPr>
          <w:rFonts w:ascii="Book Antiqua" w:hAnsi="Book Antiqua"/>
          <w:b/>
          <w:bCs/>
          <w:i/>
          <w:iCs/>
          <w:caps/>
        </w:rPr>
        <w:t>G</w:t>
      </w:r>
      <w:r w:rsidR="007D5B4E" w:rsidRPr="007D5B4E">
        <w:rPr>
          <w:rFonts w:ascii="Book Antiqua" w:hAnsi="Book Antiqua"/>
          <w:b/>
          <w:bCs/>
          <w:i/>
          <w:iCs/>
        </w:rPr>
        <w:t>reen tea</w:t>
      </w:r>
    </w:p>
    <w:p w14:paraId="7B7403E9" w14:textId="707D5A4B" w:rsidR="00F950CC" w:rsidRPr="007D5B4E" w:rsidRDefault="00F950CC" w:rsidP="00240E68">
      <w:pPr>
        <w:spacing w:after="0" w:line="360" w:lineRule="auto"/>
        <w:jc w:val="both"/>
        <w:rPr>
          <w:rFonts w:ascii="Book Antiqua" w:eastAsia="宋体" w:hAnsi="Book Antiqua"/>
          <w:lang w:eastAsia="zh-CN"/>
        </w:rPr>
      </w:pPr>
      <w:r w:rsidRPr="007D5B4E">
        <w:rPr>
          <w:rFonts w:ascii="Book Antiqua" w:hAnsi="Book Antiqua"/>
        </w:rPr>
        <w:t xml:space="preserve">Several other naturally occurring products have been studied as potential </w:t>
      </w:r>
      <w:proofErr w:type="spellStart"/>
      <w:r w:rsidRPr="007D5B4E">
        <w:rPr>
          <w:rFonts w:ascii="Book Antiqua" w:hAnsi="Book Antiqua"/>
        </w:rPr>
        <w:t>chemopreventative</w:t>
      </w:r>
      <w:proofErr w:type="spellEnd"/>
      <w:r w:rsidRPr="007D5B4E">
        <w:rPr>
          <w:rFonts w:ascii="Book Antiqua" w:hAnsi="Book Antiqua"/>
        </w:rPr>
        <w:t xml:space="preserve"> agents and been shown to inhibit EGFR signals. A bioactive green tea polyphenol, epigallocatechin-3-gallate (EGCG), has been shown to selectively inhibit EGF-dependent signaling in cervical cancer cells, leading to growth cessation and cell apoptosis. The mechanism of this selective inhibition was shown to involve suppression of EGFR-induced ERK1/2 (aka MAPK1 and 3) and AKT activation as well as direct suppression of ERK and AKT</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"10.1074/jbc.M312333200", "ISSN" : "00219258", "PMID" : "14701854", "abstract" : "Epidermal growth factor receptor (EGFR) activation is absolutely required for cervical cell proliferation. This suggests that EGFR-inhibitory agents may be of therapeutic value. In the present study, we investigated the effects of epigallocatechin-3-gallate (EGCG), a bioactive green tea polyphenol, on EGFR signaling in cervical cells. EGCG inhibits epidermal growth factor-dependent activation of EGFR, and EGFR-dependent activation of the mitogen-activated protein kinases ERK1/2. EGCG also inhibits EGFR-dependent AKT activity. The EGCG-dependent reduction in ERK and AKT activity is associated with reduced phosphorylation of downstream substrates, including p90RSK, FKHR, and BAD. These changes are associated with increased p53, p21(WAF-1), and p27(KIP-1) levels, reduced cyclin E level, and reduced CDK2 kinase activity. Consistent with these findings, flow cytometry and TUNEL (terminal deoxynucleotidyl-transferase-mediated dUTP nick end labeling) staining revealed EGCG-dependent G(1) arrest. Moreover, sustained EGCG treatment caused apoptotic cell death. In addition to inhibiting EGFR, cell-free studies demonstrated that EGCG directly inhibits ERK1/2 and AKT, suggesting that EGCG acts simultaneously at multiple levels to inhibit EGF-dependent signaling. Importantly, the EGCG inhibition is selective, as EGCG does not effect the EGFR-dependent activation of JNK. These results suggest that EGCG acts to selectively inhibit multiple EGF-dependent kinases to inhibit cell proliferation.", "author" : [ { "dropping-particle" : "", "family" : "Sah", "given" : "Jerome F.", "non-dropping-particle" : "", "parse-names" : false, "suffix" : "" }, { "dropping-particle" : "", "family" : "Balasubramanian", "given" : "Sivaprakasam", "non-dropping-particle" : "", "parse-names" : false, "suffix" : "" }, { "dropping-particle" : "", "family" : "Eckert", "given" : "Richard L.", "non-dropping-particle" : "", "parse-names" : false, "suffix" : "" }, { "dropping-particle" : "", "family" : "Rorke", "given" : "Ellen a.", "non-dropping-particle" : "", "parse-names" : false, "suffix" : "" } ], "container-title" : "Journal of Biological Chemistry", "id" : "ITEM-1", "issue" : "13", "issued" : { "date-parts" : [ [ "2004" ] ] }, "page" : "12755-12762", "title" : "Epigallocatechin-3-gallate inhibits epidermal growth factor receptor signaling pathway: Evidence for direct inhibition of ERK1/2 and AKT kinases", "type" : "article-journal", "volume" : "279" }, "uris" : [ "http://www.mendeley.com/documents/?uuid=3b7f977d-57d4-4aee-b041-b4b46fe684de" ] } ], "mendeley" : { "formattedCitation" : "&lt;sup&gt;[48]&lt;/sup&gt;", "plainTextFormattedCitation" : "[48]", "previouslyFormattedCitation" : "&lt;sup&gt;[48]&lt;/sup&gt;"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[48]</w:t>
      </w:r>
      <w:r w:rsidRPr="007D5B4E">
        <w:rPr>
          <w:rFonts w:ascii="Book Antiqua" w:hAnsi="Book Antiqua"/>
        </w:rPr>
        <w:fldChar w:fldCharType="end"/>
      </w:r>
      <w:r w:rsidRPr="007D5B4E">
        <w:rPr>
          <w:rFonts w:ascii="Book Antiqua" w:hAnsi="Book Antiqua"/>
        </w:rPr>
        <w:t xml:space="preserve"> (Figure 1). These kinases have been implicated in cell cycle progression; ERK1/2 signals both activation of the intrinsic or extrinsic apoptotic pathway depending on the ligand and cell type, and AKT has been shown to regulate cell proliferation and survival, with constitutive up-regulation of activated AKT demonstrated in many types of human cancers</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"10.1016/S0898-6568(01)00271-6", "ISSN" : "08986568", "PMID" : "11882383", "abstract" : "Protein kinase B or Akt (PKB/Akt) is a serine/threonine kinase, which in mammals comprises three highly homologous members known as PKB\u03b1 (Akt1), PKB\u03b2 (Akt2), and PKB\u03b3 (Akt3). PKB/Akt is activated in cells exposed to diverse stimuli such as hormones, growth factors, and extracellular matrix components. The activation mechanism remains to be fully characterised but occurs downstream of phosphoinositide 3-kinase (PI-3K). PI-3K generates phosphatidylinositol-3,4,5-trisphosphate (PIP3), a lipid second messenger essential for the translocation of PKB/Akt to the plasma membrane where it is phosphorylated and activated by phosphoinositide-dependent kinase-1 (PDK-1) and possibly other kinases. PKB/Akt phosphorylates and regulates the function of many cellular proteins involved in processes that include metabolism, apoptosis, and proliferation. Recent evidence indicates that PKB/Akt is frequently constitutively active in many types of human cancer. Constitutive PKB/Akt activation can occur due to amplification of PKB/Akt genes or as a result of mutations in components of the signalling pathway that activates PKB/Akt. Although the mechanisms have not yet been fully characterised, constitutive PKB/Akt signalling is believed to promote proliferation and increased cell survival and thereby contributing to cancer progression. This review surveys recent developments in understanding the mechanisms and consequences of PKB/Akt activation in human malignancy.", "author" : [ { "dropping-particle" : "", "family" : "Nicholson", "given" : "Karleen M", "non-dropping-particle" : "", "parse-names" : false, "suffix" : "" }, { "dropping-particle" : "", "family" : "Anderson", "given" : "Neil G", "non-dropping-particle" : "", "parse-names" : false, "suffix" : "" } ], "container-title" : "Cellular Signalling", "id" : "ITEM-1", "issue" : "5", "issued" : { "date-parts" : [ [ "2002", "5" ] ] }, "page" : "381-395", "title" : "The protein kinase B/Akt signalling pathway in human malignancy", "type" : "article-journal", "volume" : "14" }, "uris" : [ "http://www.mendeley.com/documents/?uuid=1046c23a-47a0-4de9-bba7-85db5ddf4541" ] }, { "id" : "ITEM-2", "itemData" : { "ISSN" : "1044-579X (Print)", "PMID" : "7803762", "abstract" : "The MAP kinases are ubiquitous enzymes that are activated in a complex fashion and inactivated by multiple phosphatases including a dedicated dual specificity enzyme. These kinases have a diverse array of substrates with important functions that result in their substantial regulatory impact. The ERK/MAP kinase cascade displays not only downstream but also upstream interactions as well as cross talk with other signaling pathways which fine tunes the cascade in a cell type-specific fashion. Transforming agents utilize this cascade in inducing cell proliferation.", "author" : [ { "dropping-particle" : "", "family" : "Cobb", "given" : "M H", "non-dropping-particle" : "", "parse-names" : false, "suffix" : "" }, { "dropping-particle" : "", "family" : "Hepler", "given" : "J E", "non-dropping-particle" : "", "parse-names" : false, "suffix" : "" }, { "dropping-particle" : "", "family" : "Cheng", "given" : "M", "non-dropping-particle" : "", "parse-names" : false, "suffix" : "" }, { "dropping-particle" : "", "family" : "Robbins", "given" : "D", "non-dropping-particle" : "", "parse-names" : false, "suffix" : "" } ], "container-title" : "Seminars in cancer biology", "id" : "ITEM-2", "issue" : "4", "issued" : { "date-parts" : [ [ "1994", "8" ] ] }, "page" : "261-268", "publisher-place" : "UNITED STATES", "title" : "The mitogen-activated protein kinases, ERK1 and ERK2.", "type" : "article-journal", "volume" : "5" }, "uris" : [ "http://www.mendeley.com/documents/?uuid=c3e2f4db-a780-4292-bcb9-47b1dc6fa07e" ] }, { "id" : "ITEM-3", "itemData" : { "DOI" : "10.1111/j.1742-4658.2009.07366.x", "ISBN" : "1742-4658 (Electronic)\\n1742-464X (Linking)", "ISSN" : "1742464X", "PMID" : "19843174", "abstract" : "The Ras/Raf/extracellular signal-regulated kinase (ERK) signaling pathway plays a crucial role in almost all cell functions and therefore requires exquisite control of its spatiotemporal activity. Depending on the cell type and stimulus, ERK activity will mediate different antiproliferative events, such as apoptosis, autophagy and senescence in vitro and in vivo. ERK activity can promote either intrinsic or extrinsic apoptotic pathways by induction of mitochondrial cytochrome c release or caspase-8 activation, permanent cell cycle arrest or autophagic vacuolization. These unusual effects require sustained ERK activity in specific subcellular compartments and could depend on the presence of reactive oxygen species. We will summarize the mechanisms involved in Ras/Raf/ERK antiproliferative functions.", "author" : [ { "dropping-particle" : "", "family" : "Cagnol", "given" : "Sebastien", "non-dropping-particle" : "", "parse-names" : false, "suffix" : "" }, { "dropping-particle" : "", "family" : "Chambard", "given" : "Jean Claude", "non-dropping-particle" : "", "parse-names" : false, "suffix" : "" } ], "container-title" : "FEBS Journal", "id" : "ITEM-3", "issued" : { "date-parts" : [ [ "2010" ] ] }, "page" : "2-21", "title" : "ERK and cell death: Mechanisms of ERK-induced cell death - Apoptosis, autophagy and senescence", "type" : "article-journal", "volume" : "277" }, "uris" : [ "http://www.mendeley.com/documents/?uuid=a4d01157-0673-41bd-a8b6-af817d2ca6ef" ] } ], "mendeley" : { "formattedCitation" : "&lt;sup&gt;[49\u201351]&lt;/sup&gt;", "plainTextFormattedCitation" : "[49\u201351]", "previouslyFormattedCitation" : "&lt;sup&gt;[49\u201351]&lt;/sup&gt;"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[49–51]</w:t>
      </w:r>
      <w:r w:rsidRPr="007D5B4E">
        <w:rPr>
          <w:rFonts w:ascii="Book Antiqua" w:hAnsi="Book Antiqua"/>
        </w:rPr>
        <w:fldChar w:fldCharType="end"/>
      </w:r>
      <w:r w:rsidRPr="007D5B4E">
        <w:rPr>
          <w:rFonts w:ascii="Book Antiqua" w:hAnsi="Book Antiqua"/>
        </w:rPr>
        <w:t xml:space="preserve">. The importance of these cellular pathways is underscored by the observation that only selective kinases downstream of EGFR </w:t>
      </w:r>
      <w:r w:rsidRPr="007D5B4E">
        <w:rPr>
          <w:rFonts w:ascii="Book Antiqua" w:hAnsi="Book Antiqua"/>
        </w:rPr>
        <w:lastRenderedPageBreak/>
        <w:t>were inhibited, but not others.  Increasing concentrations of EGCG exerted both short term reversible effects on cell cycle progression and long term cellular changes with increased rates of apoptosis</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"10.1016/S0898-6568(01)00271-6", "ISSN" : "08986568", "PMID" : "11882383", "abstract" : "Protein kinase B or Akt (PKB/Akt) is a serine/threonine kinase, which in mammals comprises three highly homologous members known as PKB\u03b1 (Akt1), PKB\u03b2 (Akt2), and PKB\u03b3 (Akt3). PKB/Akt is activated in cells exposed to diverse stimuli such as hormones, growth factors, and extracellular matrix components. The activation mechanism remains to be fully characterised but occurs downstream of phosphoinositide 3-kinase (PI-3K). PI-3K generates phosphatidylinositol-3,4,5-trisphosphate (PIP3), a lipid second messenger essential for the translocation of PKB/Akt to the plasma membrane where it is phosphorylated and activated by phosphoinositide-dependent kinase-1 (PDK-1) and possibly other kinases. PKB/Akt phosphorylates and regulates the function of many cellular proteins involved in processes that include metabolism, apoptosis, and proliferation. Recent evidence indicates that PKB/Akt is frequently constitutively active in many types of human cancer. Constitutive PKB/Akt activation can occur due to amplification of PKB/Akt genes or as a result of mutations in components of the signalling pathway that activates PKB/Akt. Although the mechanisms have not yet been fully characterised, constitutive PKB/Akt signalling is believed to promote proliferation and increased cell survival and thereby contributing to cancer progression. This review surveys recent developments in understanding the mechanisms and consequences of PKB/Akt activation in human malignancy.", "author" : [ { "dropping-particle" : "", "family" : "Nicholson", "given" : "Karleen M", "non-dropping-particle" : "", "parse-names" : false, "suffix" : "" }, { "dropping-particle" : "", "family" : "Anderson", "given" : "Neil G", "non-dropping-particle" : "", "parse-names" : false, "suffix" : "" } ], "container-title" : "Cellular Signalling", "id" : "ITEM-1", "issue" : "5", "issued" : { "date-parts" : [ [ "2002", "5" ] ] }, "page" : "381-395", "title" : "The protein kinase B/Akt signalling pathway in human malignancy", "type" : "article-journal", "volume" : "14" }, "uris" : [ "http://www.mendeley.com/documents/?uuid=1046c23a-47a0-4de9-bba7-85db5ddf4541" ] } ], "mendeley" : { "formattedCitation" : "&lt;sup&gt;[49]&lt;/sup&gt;", "plainTextFormattedCitation" : "[49]", "previouslyFormattedCitation" : "&lt;sup&gt;[49]&lt;/sup&gt;"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[49]</w:t>
      </w:r>
      <w:r w:rsidRPr="007D5B4E">
        <w:rPr>
          <w:rFonts w:ascii="Book Antiqua" w:hAnsi="Book Antiqua"/>
        </w:rPr>
        <w:fldChar w:fldCharType="end"/>
      </w:r>
      <w:r w:rsidRPr="007D5B4E">
        <w:rPr>
          <w:rFonts w:ascii="Book Antiqua" w:hAnsi="Book Antiqua"/>
        </w:rPr>
        <w:t xml:space="preserve">. </w:t>
      </w:r>
    </w:p>
    <w:p w14:paraId="5DF1A016" w14:textId="77777777" w:rsidR="007D5B4E" w:rsidRPr="007D5B4E" w:rsidRDefault="007D5B4E" w:rsidP="00240E68">
      <w:pPr>
        <w:spacing w:after="0" w:line="360" w:lineRule="auto"/>
        <w:jc w:val="both"/>
        <w:rPr>
          <w:rFonts w:ascii="Book Antiqua" w:eastAsia="宋体" w:hAnsi="Book Antiqua"/>
          <w:lang w:eastAsia="zh-CN"/>
        </w:rPr>
      </w:pPr>
    </w:p>
    <w:p w14:paraId="2CC70DFD" w14:textId="6046F589" w:rsidR="00F950CC" w:rsidRPr="007D5B4E" w:rsidRDefault="00F950CC" w:rsidP="00240E68">
      <w:pPr>
        <w:spacing w:after="0" w:line="360" w:lineRule="auto"/>
        <w:jc w:val="both"/>
        <w:rPr>
          <w:rFonts w:ascii="Book Antiqua" w:hAnsi="Book Antiqua"/>
          <w:b/>
          <w:bCs/>
          <w:i/>
          <w:iCs/>
          <w:caps/>
        </w:rPr>
      </w:pPr>
      <w:r w:rsidRPr="007D5B4E">
        <w:rPr>
          <w:rFonts w:ascii="Book Antiqua" w:hAnsi="Book Antiqua"/>
          <w:b/>
          <w:bCs/>
          <w:i/>
          <w:iCs/>
          <w:caps/>
        </w:rPr>
        <w:t>C</w:t>
      </w:r>
      <w:r w:rsidR="007D5B4E" w:rsidRPr="007D5B4E">
        <w:rPr>
          <w:rFonts w:ascii="Book Antiqua" w:hAnsi="Book Antiqua"/>
          <w:b/>
          <w:bCs/>
          <w:i/>
          <w:iCs/>
        </w:rPr>
        <w:t>urcumin</w:t>
      </w:r>
    </w:p>
    <w:p w14:paraId="6B705EA0" w14:textId="7AAEE1FA" w:rsidR="00F950CC" w:rsidRPr="007D5B4E" w:rsidRDefault="00F950CC" w:rsidP="00240E68">
      <w:pPr>
        <w:spacing w:after="0" w:line="360" w:lineRule="auto"/>
        <w:jc w:val="both"/>
        <w:rPr>
          <w:rFonts w:ascii="Book Antiqua" w:eastAsia="宋体" w:hAnsi="Book Antiqua"/>
          <w:lang w:eastAsia="zh-CN"/>
        </w:rPr>
      </w:pPr>
      <w:r w:rsidRPr="007D5B4E">
        <w:rPr>
          <w:rFonts w:ascii="Book Antiqua" w:hAnsi="Book Antiqua"/>
        </w:rPr>
        <w:t xml:space="preserve">Another naturally occurring substance that has drawn the attention of the scientific community is curcumin, the yellow pigment of </w:t>
      </w:r>
      <w:proofErr w:type="spellStart"/>
      <w:r w:rsidRPr="007D5B4E">
        <w:rPr>
          <w:rFonts w:ascii="Book Antiqua" w:hAnsi="Book Antiqua"/>
        </w:rPr>
        <w:t>tumeric</w:t>
      </w:r>
      <w:proofErr w:type="spellEnd"/>
      <w:r w:rsidRPr="007D5B4E">
        <w:rPr>
          <w:rFonts w:ascii="Book Antiqua" w:hAnsi="Book Antiqua"/>
        </w:rPr>
        <w:t xml:space="preserve"> found in curry. It is produced by the rhizome of the plant </w:t>
      </w:r>
      <w:proofErr w:type="spellStart"/>
      <w:r w:rsidRPr="007D5B4E">
        <w:rPr>
          <w:rFonts w:ascii="Book Antiqua" w:hAnsi="Book Antiqua"/>
        </w:rPr>
        <w:t>tumeric</w:t>
      </w:r>
      <w:proofErr w:type="spellEnd"/>
      <w:r w:rsidRPr="007D5B4E">
        <w:rPr>
          <w:rFonts w:ascii="Book Antiqua" w:hAnsi="Book Antiqua"/>
        </w:rPr>
        <w:t xml:space="preserve"> and has been safely consumed and utilized for its medicinal properties for centuries. This substance has been shown to inhibit the growth of cancer cells by suppressing gene expression of cyclinD1 and EGFR</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"10.1152/ajpgi.00209.2004", "PMID" : "15486348", "abstract" : "Anping Chen1,2 and Jianye Xu1Departments of 1Pathology and 2Cellular Biology and Anatomy, Louisiana State University Health Sciences Center in Shreveport, Shreveport, LouisianaAddress for reprint requests and other correspondence: A. Chen, Depts. of Pathology, Louisiana State Univ. Health Sciences Center in Shreveport, 1501 Kings Hwy, Shreveport, LA 71130 (E-mail: achen{at}lsuhsc.edu)Submitted 6 May 2004.Accepted 9 October 2004.Abstract Colorectal cancer is a leading cause of cancer-related morbidity and mortality in the United States. Curcumin, the yellow pigment in turmeric, possesses inhibitory effects on growth of a variety of tumor cells by reducing cell proliferation and inducing apoptosis. Effects of the peroxisome proliferator-activated receptor-\u03b3 (PPAR\u03b3) on stimulating cell differentiation and on inducing cell cycle arrest have attracted attention from the perspective of treatment and prevention of cancer. The aim of this study was to elucidate the mechanisms by which curcumin inhibits colon cancer cell growth. In the present report, we observed that curcumin, in a dose-dependent manner, inhibited the growth of Moser cells, a human colon cancer-derived cell line, and stimulated the trans-activating activity of PPAR\u03b3. Further studies demonstrated that activation of PPAR\u03b3 was required for curcumin to inhibit Moser cell growth. Activation of PPAR\u03b3 mediated curcumin suppression of the expression of cyclin D1, a critical protein in the cell cycle, in Moser cells. In addition, curcumin blocked EGF signaling by inhibiting EGF receptor (EGFR) tyrosine phosphorylation and suppressing the gene expression of EGFR mediated by activation of PPAR\u03b3. In addition to curcumin reduction of the level of phosphorylated PPAR\u03b3, inhibition of cyclin D1 expression played a major and significant role in curcumin stimulation of PPAR\u03b3 activity in Moser cells. Taken together, our results demonstrated for the first time that curcumin activation of PPAR\u03b3 inhibited Moser cell growth and mediated the suppression of the gene expression of cyclin D1 and EGFR. These results provided a novel insight into the roles and mechanisms of curcumin in inhibition of colon cancer cell growth and potential therapeutic strategies for treatment of colon cancer. colon cancerreceptorsphytochemicalsgene expressionchemopreventionCopyright \u00a9 2005 the American Physiological Society", "author" : [ { "dropping-particle" : "", "family" : "Chen", "given" : "Anping", "non-dropping-particle" : "", "parse-names" : false, "suffix" : "" }, { "dropping-particle" : "", "family" : "Xu", "given" : "Jianye", "non-dropping-particle" : "", "parse-names" : false, "suffix" : "" } ], "container-title" : "American Journal of Physiology - Gastrointestinal and Liver Physiology", "id" : "ITEM-1", "issue" : "3", "issued" : { "date-parts" : [ [ "2005", "2", "7" ] ] }, "page" : "G447-G456", "title" : "Activation of PPAR\u03b3 by curcumin inhibits Moser cell growth and mediates suppression of gene expression of cyclin D1 and EGFR", "type" : "article-journal", "volume" : "288" }, "uris" : [ "http://www.mendeley.com/documents/?uuid=3a40cfcd-a109-4e0f-b277-6aea107e441d" ] } ], "mendeley" : { "formattedCitation" : "&lt;sup&gt;[52]&lt;/sup&gt;", "plainTextFormattedCitation" : "[52]", "previouslyFormattedCitation" : "&lt;sup&gt;[52]&lt;/sup&gt;"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[52]</w:t>
      </w:r>
      <w:r w:rsidRPr="007D5B4E">
        <w:rPr>
          <w:rFonts w:ascii="Book Antiqua" w:hAnsi="Book Antiqua"/>
        </w:rPr>
        <w:fldChar w:fldCharType="end"/>
      </w:r>
      <w:r w:rsidRPr="007D5B4E">
        <w:rPr>
          <w:rFonts w:ascii="Book Antiqua" w:hAnsi="Book Antiqua"/>
        </w:rPr>
        <w:t xml:space="preserve">. Recent studies have demonstrated that curcumin inhibits binding of the transcription factor EGR-1 to the EGFR promoter as well as </w:t>
      </w:r>
      <w:proofErr w:type="spellStart"/>
      <w:r w:rsidRPr="007D5B4E">
        <w:rPr>
          <w:rFonts w:ascii="Book Antiqua" w:hAnsi="Book Antiqua"/>
        </w:rPr>
        <w:t>suppresing</w:t>
      </w:r>
      <w:proofErr w:type="spellEnd"/>
      <w:r w:rsidRPr="007D5B4E">
        <w:rPr>
          <w:rFonts w:ascii="Book Antiqua" w:hAnsi="Book Antiqua"/>
        </w:rPr>
        <w:t xml:space="preserve"> </w:t>
      </w:r>
      <w:r w:rsidRPr="00FD1F45">
        <w:rPr>
          <w:rFonts w:ascii="Book Antiqua" w:hAnsi="Book Antiqua"/>
          <w:i/>
        </w:rPr>
        <w:t>EGR</w:t>
      </w:r>
      <w:r w:rsidRPr="007D5B4E">
        <w:rPr>
          <w:rFonts w:ascii="Book Antiqua" w:hAnsi="Book Antiqua"/>
        </w:rPr>
        <w:t xml:space="preserve">-1 gene expression through the ERK signal pathway, thereby suppressing </w:t>
      </w:r>
      <w:r w:rsidRPr="00FD1F45">
        <w:rPr>
          <w:rFonts w:ascii="Book Antiqua" w:hAnsi="Book Antiqua"/>
          <w:i/>
        </w:rPr>
        <w:t>EGR-1</w:t>
      </w:r>
      <w:r w:rsidRPr="007D5B4E">
        <w:rPr>
          <w:rFonts w:ascii="Book Antiqua" w:hAnsi="Book Antiqua"/>
        </w:rPr>
        <w:t xml:space="preserve"> transactivation activity</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"10.1038/sj.onc.1209019", "ISSN" : "0950-9232 (Print)", "PMID" : "16170359", "abstract" : "High expression of epidermal growth factor receptor (EGFR) is found in a variety  of solid tumors, including colorectal cancer. EGFR has been identified as a rational target for anticancer therapy. Curcumin, the yellow pigment of turmeric in curry, has received attention as a promising dietary supplement for cancer prevention and treatment. We recently reported that curcumin inhibited the growth of human colon cancer-derived Moser cells by suppressing gene expression of cyclinD1 and EGFR. The aim of the present study was to explore the molecular mechanisms underlying curcumin inhibition of gene expression of EGFR in colon cancer cells. The generality of the inhibitory effect of curcumin on gene expression of EGFR was verified in other human colon cancer-derived cell lines, including Caco-2 and HT-29 cells. Promoter deletion assays and site-directed mutageneses identified a binding site for the transcription factor early growth response-1 (Egr-1) in egfr promoter as a putative curcumin response element in regulating the promoter activity of the gene in Moser cells. Electrophoretic mobility shift assays demonstrated that curcumin significantly reduced the DNA-binding activity of the transcription factor Egr-1 to the curcumin response element. In addition, curcumin reduced the trans-activation activity of Egr-1 by suppressing egr-1 gene expression, which required interruption of the ERK signal pathway and reduction of the level of phosphorylation of Elk-1 and its activity. Taken together, our results demonstrated that curcumin inhibited human colon cancer cell growth by suppressing gene expression of EGFR through reducing the trans-activation activity of Egr-1. These results provided novel insights into the mechanisms of curcumin inhibition of colon cancer cell growth and potential therapeutic strategies for treatment of colon cancer.", "author" : [ { "dropping-particle" : "", "family" : "Chen", "given" : "A", "non-dropping-particle" : "", "parse-names" : false, "suffix" : "" }, { "dropping-particle" : "", "family" : "Xu", "given" : "J", "non-dropping-particle" : "", "parse-names" : false, "suffix" : "" }, { "dropping-particle" : "", "family" : "Johnson", "given" : "A C", "non-dropping-particle" : "", "parse-names" : false, "suffix" : "" } ], "container-title" : "Oncogene", "id" : "ITEM-1", "issue" : "2", "issued" : { "date-parts" : [ [ "2006", "1" ] ] }, "page" : "278-287", "publisher-place" : "England", "title" : "Curcumin inhibits human colon cancer cell growth by suppressing gene expression of epidermal growth factor receptor through reducing the activity of the transcription factor Egr-1.", "type" : "article-journal", "volume" : "25" }, "uris" : [ "http://www.mendeley.com/documents/?uuid=e1e9460a-8444-4579-8719-8c5b89fcf285" ] } ], "mendeley" : { "formattedCitation" : "&lt;sup&gt;[53]&lt;/sup&gt;", "plainTextFormattedCitation" : "[53]", "previouslyFormattedCitation" : "&lt;sup&gt;[53]&lt;/sup&gt;"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[53]</w:t>
      </w:r>
      <w:r w:rsidRPr="007D5B4E">
        <w:rPr>
          <w:rFonts w:ascii="Book Antiqua" w:hAnsi="Book Antiqua"/>
        </w:rPr>
        <w:fldChar w:fldCharType="end"/>
      </w:r>
      <w:r w:rsidRPr="007D5B4E">
        <w:rPr>
          <w:rFonts w:ascii="Book Antiqua" w:hAnsi="Book Antiqua"/>
        </w:rPr>
        <w:t xml:space="preserve"> (Figure 1). Of note, the concentrations required to achieve this growth suppression </w:t>
      </w:r>
      <w:r w:rsidRPr="007D5B4E">
        <w:rPr>
          <w:rFonts w:ascii="Book Antiqua" w:hAnsi="Book Antiqua"/>
          <w:i/>
        </w:rPr>
        <w:t>in vitro</w:t>
      </w:r>
      <w:r w:rsidRPr="007D5B4E">
        <w:rPr>
          <w:rFonts w:ascii="Book Antiqua" w:hAnsi="Book Antiqua"/>
        </w:rPr>
        <w:t xml:space="preserve">, are much higher than those normally achieved in blood and tissue </w:t>
      </w:r>
      <w:r w:rsidRPr="007D5B4E">
        <w:rPr>
          <w:rFonts w:ascii="Book Antiqua" w:hAnsi="Book Antiqua"/>
          <w:i/>
        </w:rPr>
        <w:t>in vivo</w:t>
      </w:r>
      <w:r w:rsidRPr="007D5B4E">
        <w:rPr>
          <w:rFonts w:ascii="Book Antiqua" w:hAnsi="Book Antiqua"/>
        </w:rPr>
        <w:t xml:space="preserve"> following curcumin ingestion, but for colon cancer prevention colonic luminal concentrations may be more relevant.  Recent developments of more stable curcumin analogues may also increase the efficacy of this compound</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"10.1007/s11095-010-0336-y", "ISSN" : "1573-904X (Electronic)", "PMID" : "21161336", "abstract" : "PURPOSE: Recurrence of colon cancer, which affects nearly 50% of patients treated by conventional therapeutics, is thought to be due to re-emergence of chemotherapy-resistant cancer stem/stem-like cells (CSCs). Therefore, development of therapeutic strategies for targeted elimination of CSCs would be a novel strategy. The current study examines whether difluorinated-curcumin (CDF), a novel analog of the dietary ingredient of curcumin, in combination with 5-fluorouracil and oxaliplatin (5-FU + Ox), the mainstay of colon cancer chemotherapeutic, would be effective in eliminating colon CSCs. METHODS: Multiple methodologies that include real-time RT-PCR, Western blot, MTT assay, caspase-3 activity, colonosphere formation, Hoechst-33342 dye exclusion and NF-kappaB-ELISA were used. RESULTS: We observed that CDF together with 5-FU + Ox were more potent than curcumin in reducing CD44 and CD166 in chemo-resistant colon cancer cells, accompanied by inhibition of growth, induction of apoptosis and disintegration of colonospheres. These changes were associated with down-regulation of the membrane transporter ABCG2 and attenuation of EGFR, IGF-1R, and NF-kappaB signaling consistent with inactivation of beta-catenin, COX-2, c-Myc and Bcl-xL and activation of the pro-apoptotic Bax. CONCLUSIONS: Our results suggest that CDF together with the conventional chemotherapeutics could be an effective treatment strategy for preventing the emergence of chemo-resistant colon cancer cells by eliminating CSCs.", "author" : [ { "dropping-particle" : "", "family" : "Kanwar", "given" : "Shailender Singh", "non-dropping-particle" : "", "parse-names" : false, "suffix" : "" }, { "dropping-particle" : "", "family" : "Yu", "given" : "Yingjie", "non-dropping-particle" : "", "parse-names" : false, "suffix" : "" }, { "dropping-particle" : "", "family" : "Nautiyal", "given" : "Jyoti", "non-dropping-particle" : "", "parse-names" : false, "suffix" : "" }, { "dropping-particle" : "", "family" : "Patel", "given" : "Bhaumik B", "non-dropping-particle" : "", "parse-names" : false, "suffix" : "" }, { "dropping-particle" : "", "family" : "Padhye", "given" : "Subhash", "non-dropping-particle" : "", "parse-names" : false, "suffix" : "" }, { "dropping-particle" : "", "family" : "Sarkar", "given" : "Fazlul H", "non-dropping-particle" : "", "parse-names" : false, "suffix" : "" }, { "dropping-particle" : "", "family" : "Majumdar", "given" : "Adhip P N", "non-dropping-particle" : "", "parse-names" : false, "suffix" : "" } ], "container-title" : "Pharmaceutical research", "id" : "ITEM-1", "issue" : "4", "issued" : { "date-parts" : [ [ "2011", "4" ] ] }, "page" : "827-838", "publisher-place" : "United States", "title" : "Difluorinated-curcumin (CDF): a novel curcumin analog is a potent inhibitor of colon cancer stem-like cells.", "type" : "article-journal", "volume" : "28" }, "uris" : [ "http://www.mendeley.com/documents/?uuid=e0dce5fc-13d9-499b-8dd1-e8aa815ae231" ] } ], "mendeley" : { "formattedCitation" : "&lt;sup&gt;[54]&lt;/sup&gt;", "plainTextFormattedCitation" : "[54]", "previouslyFormattedCitation" : "&lt;sup&gt;[54]&lt;/sup&gt;"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[54]</w:t>
      </w:r>
      <w:r w:rsidRPr="007D5B4E">
        <w:rPr>
          <w:rFonts w:ascii="Book Antiqua" w:hAnsi="Book Antiqua"/>
        </w:rPr>
        <w:fldChar w:fldCharType="end"/>
      </w:r>
      <w:r w:rsidR="00093D70" w:rsidRPr="007D5B4E">
        <w:rPr>
          <w:rFonts w:ascii="Book Antiqua" w:eastAsia="宋体" w:hAnsi="Book Antiqua"/>
          <w:lang w:eastAsia="zh-CN"/>
        </w:rPr>
        <w:t>.</w:t>
      </w:r>
    </w:p>
    <w:p w14:paraId="22201C7F" w14:textId="77777777" w:rsidR="00093D70" w:rsidRPr="007D5B4E" w:rsidRDefault="00093D70" w:rsidP="00240E68">
      <w:pPr>
        <w:spacing w:after="0" w:line="360" w:lineRule="auto"/>
        <w:jc w:val="both"/>
        <w:rPr>
          <w:rFonts w:ascii="Book Antiqua" w:eastAsia="宋体" w:hAnsi="Book Antiqua"/>
          <w:lang w:eastAsia="zh-CN"/>
        </w:rPr>
      </w:pPr>
    </w:p>
    <w:p w14:paraId="50EB1769" w14:textId="77777777" w:rsidR="00F950CC" w:rsidRPr="007D5B4E" w:rsidRDefault="00F950CC" w:rsidP="00240E68">
      <w:pPr>
        <w:spacing w:after="0" w:line="360" w:lineRule="auto"/>
        <w:jc w:val="both"/>
        <w:rPr>
          <w:rFonts w:ascii="Book Antiqua" w:hAnsi="Book Antiqua"/>
          <w:b/>
          <w:bCs/>
          <w:caps/>
        </w:rPr>
      </w:pPr>
      <w:r w:rsidRPr="007D5B4E">
        <w:rPr>
          <w:rFonts w:ascii="Book Antiqua" w:hAnsi="Book Antiqua"/>
          <w:b/>
          <w:bCs/>
          <w:caps/>
        </w:rPr>
        <w:t>EGFR as a Chemotherapeutic Target</w:t>
      </w:r>
    </w:p>
    <w:p w14:paraId="65EDF793" w14:textId="77777777" w:rsidR="00F950CC" w:rsidRPr="007D5B4E" w:rsidRDefault="00F950CC" w:rsidP="00240E68">
      <w:pPr>
        <w:spacing w:after="0" w:line="360" w:lineRule="auto"/>
        <w:jc w:val="both"/>
        <w:rPr>
          <w:rFonts w:ascii="Book Antiqua" w:hAnsi="Book Antiqua"/>
        </w:rPr>
      </w:pPr>
      <w:r w:rsidRPr="007D5B4E">
        <w:rPr>
          <w:rFonts w:ascii="Book Antiqua" w:hAnsi="Book Antiqua"/>
        </w:rPr>
        <w:t xml:space="preserve">With the potential central role of EGFR in tumorigenesis, several groups have successfully developed neutralizing antibodies or kinase inhibitors. Of particular interest are the monoclonal antibodies </w:t>
      </w:r>
      <w:proofErr w:type="spellStart"/>
      <w:r w:rsidRPr="007D5B4E">
        <w:rPr>
          <w:rFonts w:ascii="Book Antiqua" w:hAnsi="Book Antiqua"/>
        </w:rPr>
        <w:t>cetuximab</w:t>
      </w:r>
      <w:proofErr w:type="spellEnd"/>
      <w:r w:rsidRPr="007D5B4E">
        <w:rPr>
          <w:rFonts w:ascii="Book Antiqua" w:hAnsi="Book Antiqua"/>
        </w:rPr>
        <w:t xml:space="preserve"> and </w:t>
      </w:r>
      <w:proofErr w:type="spellStart"/>
      <w:r w:rsidRPr="007D5B4E">
        <w:rPr>
          <w:rFonts w:ascii="Book Antiqua" w:hAnsi="Book Antiqua"/>
        </w:rPr>
        <w:t>panitumaumab</w:t>
      </w:r>
      <w:proofErr w:type="spellEnd"/>
      <w:r w:rsidRPr="007D5B4E">
        <w:rPr>
          <w:rFonts w:ascii="Book Antiqua" w:hAnsi="Book Antiqua"/>
        </w:rPr>
        <w:t xml:space="preserve">, as well as the small molecule inhibitors </w:t>
      </w:r>
      <w:proofErr w:type="spellStart"/>
      <w:r w:rsidRPr="007D5B4E">
        <w:rPr>
          <w:rFonts w:ascii="Book Antiqua" w:hAnsi="Book Antiqua"/>
        </w:rPr>
        <w:t>gefitinib</w:t>
      </w:r>
      <w:proofErr w:type="spellEnd"/>
      <w:r w:rsidRPr="007D5B4E">
        <w:rPr>
          <w:rFonts w:ascii="Book Antiqua" w:hAnsi="Book Antiqua"/>
        </w:rPr>
        <w:t xml:space="preserve"> and </w:t>
      </w:r>
      <w:proofErr w:type="spellStart"/>
      <w:r w:rsidRPr="007D5B4E">
        <w:rPr>
          <w:rFonts w:ascii="Book Antiqua" w:hAnsi="Book Antiqua"/>
        </w:rPr>
        <w:t>erlotinib</w:t>
      </w:r>
      <w:proofErr w:type="spellEnd"/>
      <w:r w:rsidRPr="007D5B4E">
        <w:rPr>
          <w:rFonts w:ascii="Book Antiqua" w:hAnsi="Book Antiqua"/>
        </w:rPr>
        <w:t>.</w:t>
      </w:r>
    </w:p>
    <w:p w14:paraId="753FB9D6" w14:textId="6F073D9A" w:rsidR="00F950CC" w:rsidRPr="007D5B4E" w:rsidRDefault="00F950CC" w:rsidP="00240E68">
      <w:pPr>
        <w:spacing w:after="0" w:line="360" w:lineRule="auto"/>
        <w:ind w:firstLineChars="200" w:firstLine="480"/>
        <w:jc w:val="both"/>
        <w:rPr>
          <w:rFonts w:ascii="Book Antiqua" w:hAnsi="Book Antiqua"/>
        </w:rPr>
      </w:pPr>
      <w:proofErr w:type="spellStart"/>
      <w:r w:rsidRPr="007D5B4E">
        <w:rPr>
          <w:rFonts w:ascii="Book Antiqua" w:hAnsi="Book Antiqua"/>
        </w:rPr>
        <w:t>Cetuximab</w:t>
      </w:r>
      <w:proofErr w:type="spellEnd"/>
      <w:r w:rsidRPr="007D5B4E">
        <w:rPr>
          <w:rFonts w:ascii="Book Antiqua" w:hAnsi="Book Antiqua"/>
        </w:rPr>
        <w:t xml:space="preserve"> and </w:t>
      </w:r>
      <w:proofErr w:type="spellStart"/>
      <w:r w:rsidRPr="007D5B4E">
        <w:rPr>
          <w:rFonts w:ascii="Book Antiqua" w:hAnsi="Book Antiqua"/>
        </w:rPr>
        <w:t>panitumumab</w:t>
      </w:r>
      <w:proofErr w:type="spellEnd"/>
      <w:r w:rsidRPr="007D5B4E">
        <w:rPr>
          <w:rFonts w:ascii="Book Antiqua" w:hAnsi="Book Antiqua"/>
        </w:rPr>
        <w:t xml:space="preserve"> act by binding the extracellular domain of EGFR and thereby inhibiting ligand-dependent activation and receptor dimerization. </w:t>
      </w:r>
      <w:proofErr w:type="spellStart"/>
      <w:r w:rsidRPr="007D5B4E">
        <w:rPr>
          <w:rFonts w:ascii="Book Antiqua" w:hAnsi="Book Antiqua"/>
        </w:rPr>
        <w:t>Cetuximab</w:t>
      </w:r>
      <w:proofErr w:type="spellEnd"/>
      <w:r w:rsidRPr="007D5B4E">
        <w:rPr>
          <w:rFonts w:ascii="Book Antiqua" w:hAnsi="Book Antiqua"/>
        </w:rPr>
        <w:t xml:space="preserve"> also may induce an immune response by antibody-dependent cell-mediated cytotoxicity</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"author" : [ { "dropping-particle" : "", "family" : "Chabner", "given" : "BA", "non-dropping-particle" : "", "parse-names" : false, "suffix" : "" }, { "dropping-particle" : "", "family" : "Barnes", "given" : "J", "non-dropping-particle" : "", "parse-names" : false, "suffix" : "" }, { "dropping-particle" : "", "family" : "Neal", "given" : "J", "non-dropping-particle" : "", "parse-names" : false, "suffix" : "" }, { "dropping-particle" : "", "family" : "Olson", "given" : "E", "non-dropping-particle" : "", "parse-names" : false, "suffix" : "" }, { "dropping-particle" : "", "family" : "Mujagic", "given" : "H", "non-dropping-particle" : "", "parse-names" : false, "suffix" : "" }, { "dropping-particle" : "", "family" : "Sequist", "given" : "L", "non-dropping-particle" : "", "parse-names" : false, "suffix" : "" }, { "dropping-particle" : "", "family" : "Wilson", "given" : "W", "non-dropping-particle" : "", "parse-names" : false, "suffix" : "" }, { "dropping-particle" : "", "family" : "Longo", "given" : "DL", "non-dropping-particle" : "", "parse-names" : false, "suffix" : "" }, { "dropping-particle" : "", "family" : "Mitsiades", "given" : "C", "non-dropping-particle" : "", "parse-names" : false, "suffix" : "" }, { "dropping-particle" : "", "family" : "Richardson", "given" : "P", "non-dropping-particle" : "", "parse-names" : false, "suffix" : "" } ], "container-title" : "Goodman &amp; Gilman's The Pharmacological Basis of Therapeutics", "edition" : "12e", "id" : "ITEM-1", "issued" : { "date-parts" : [ [ "2011" ] ] }, "page" : "Chapter 62", "publisher" : "New York, NY: McGraw-Hill", "title" : "Targeted Therapies: Tyrosine Kinase Inhibitors, Monoclonal Antibodies, and Cytokines", "type" : "chapter" }, "uris" : [ "http://www.mendeley.com/documents/?uuid=6c9a0a09-5b76-496c-b91b-48ad6c6ec664" ] }, { "id" : "ITEM-2", "itemData" : { "ISSN" : "1078-0432 (Print)", "PMID" : "9815926", "abstract" : "The epidermal growth factor receptor (EGFR) is a protein tyrosine kinase expressed on many types of tumor cells, including breast, ovarian, bladder, head and neck, and prostatic carcinoma. There seems to be an association between up-regulation of the EGFR and poor clinical prognosis for a number of human cancers. The 225 antibody is a highly specific murine monoclonal antibody that binds specifically to the human EGFR with an affinity equal to its ligand, competes with the ligand for binding, and blocks activation of the receptor tyrosine kinase. In addition, 225 has been shown to inhibit the growth of human tumor xenografts in athymic nude mice. The 225 antibody has recently been chimerized with human IgG1 in its constant region to increase its clinical utility by decreasing the potential for generation of human antimouse antibodies in recipients. This report compares the biological effects of 225 and its chimeric counterpart (designated C225) against established A431 tumor xenografts in nude mice. The results of these experiments indicated that C225 was more effective than 225 in inhibiting tumor growth in this model. In addition, many of the animals treated with C225 were tumor free at the end of each treatment protocol. It was determined that the dissociation constant of C225 was about 5-fold lower than 225. This suggested that the increased capacity of C225 to compete with ligand for binding to the EGFR was responsible for its enhanced in vivo antitumor effect.", "author" : [ { "dropping-particle" : "", "family" : "Goldstein", "given" : "N I", "non-dropping-particle" : "", "parse-names" : false, "suffix" : "" }, { "dropping-particle" : "", "family" : "Prewett", "given" : "M", "non-dropping-particle" : "", "parse-names" : false, "suffix" : "" }, { "dropping-particle" : "", "family" : "Zuklys", "given" : "K", "non-dropping-particle" : "", "parse-names" : false, "suffix" : "" }, { "dropping-particle" : "", "family" : "Rockwell", "given" : "P", "non-dropping-particle" : "", "parse-names" : false, "suffix" : "" }, { "dropping-particle" : "", "family" : "Mendelsohn", "given" : "J", "non-dropping-particle" : "", "parse-names" : false, "suffix" : "" } ], "container-title" : "Clinical cancer research : an official journal of the American Association for Cancer Research", "id" : "ITEM-2", "issue" : "11", "issued" : { "date-parts" : [ [ "1995", "11" ] ] }, "page" : "1311-1318", "publisher-place" : "UNITED STATES", "title" : "Biological efficacy of a chimeric antibody to the epidermal growth factor receptor in a human tumor xenograft model.", "type" : "article-journal", "volume" : "1" }, "uris" : [ "http://www.mendeley.com/documents/?uuid=4229f971-0582-4cca-bb70-48d8c563fd99" ] }, { "id" : "ITEM-3", "itemData" : { "DOI" : "10.1016/j.ccr.2005.03.003", "ISSN" : "15356108", "PMID" : "15837620", "abstract" : "Recent structural studies of epidermal growth factor receptor (EGFR) family extracellular regions have identified an unexpected mechanism for ligand-induced receptor dimerization that has important implications for activation and inhibition of these receptors. Here we describe the 2.8 ?? resolution X-ray crystal structure of the antigen binding (Fab) fragment from cetuximab (Erbitux), an inhibitory anti-EGFR antibody, in complex with the soluble extracellular region of EGFR (sEGFR). The sEGFR is in the characteristic \"autoinhibited\" or \"tethered\" inactive configuration. Cetuximab interacts exclusively with domain III of sEGFR, partially occluding the ligand binding region on this domain and sterically preventing the receptor from adopting the extended conformation required for dimerization. We suggest that both these effects contribute to potent inhibition of EGFR activation. Copyright ?? 2005 Elsevier Inc.", "author" : [ { "dropping-particle" : "", "family" : "Li", "given" : "Shiqing", "non-dropping-particle" : "", "parse-names" : false, "suffix" : "" }, { "dropping-particle" : "", "family" : "Schmitz", "given" : "Karl R.", "non-dropping-particle" : "", "parse-names" : false, "suffix" : "" }, { "dropping-particle" : "", "family" : "Jeffrey", "given" : "Philip D.", "non-dropping-particle" : "", "parse-names" : false, "suffix" : "" }, { "dropping-particle" : "", "family" : "Wiltzius", "given" : "Jed J W", "non-dropping-particle" : "", "parse-names" : false, "suffix" : "" }, { "dropping-particle" : "", "family" : "Kussie", "given" : "Paul", "non-dropping-particle" : "", "parse-names" : false, "suffix" : "" }, { "dropping-particle" : "", "family" : "Ferguson", "given" : "Kathryn M.", "non-dropping-particle" : "", "parse-names" : false, "suffix" : "" } ], "container-title" : "Cancer Cell", "id" : "ITEM-3", "issue" : "April", "issued" : { "date-parts" : [ [ "2005" ] ] }, "page" : "301-311", "title" : "Structural basis for inhibition of the epidermal growth factor receptor by cetuximab", "type" : "article-journal", "volume" : "7" }, "uris" : [ "http://www.mendeley.com/documents/?uuid=1601e969-5dde-4c49-a427-06617a8bab24" ] }, { "id" : "ITEM-4", "itemData" : { "DOI" : "10.1158/1078-0432.CCR-06-1726", "ISSN" : "10780432", "PMID" : "17332301", "abstract" : "Purpose: Epidermal growth factor receptor (EGFR) is commonly overexpressed in lung cancer. Cetuximab is a chimeric mouse-human antibody targeted against EGFR. Compared with its inhibitory properties, its immunologic mechanisms have not been well studied. In this study, we investigated the antibody-dependent cellular cytotoxicity (ADCC) activity of cetuximab against lung cancer cell lines. Experimental Design: We studied the correlation between EGFR expression in lung cancer cell lines and the ADCC activity of cetuximab as well as the influence of interleukin-2 and chemotherapy on the ADCC activity. EGFR expression was measured by a quantitative flow cytometric analysis and immunohistochemistry. The ADCC activity was assessed by a 4-h Cr-51 release assay. Peripheral blood mononuclear cells, purified T cells, natural killer (NK) cells, and monocytes from healthy donors or lung cancer patients were used as effector cells. Results: Fresh peripheral blood mononuclear cells exhibited cetuximab-mediated ADCC activity against lung cancer cell lines at a low concentration of cetuximab (0.25 mu g/mL). A logarithmic correlation was observed between the number of EGFRs and ADCC activity. Even low EGFR expression, which was weakly detectable by immunohistochemistry, was sufficient for maximum ADCC activity, and further increases in EGFR expression on the target cells had no further effect on the ADCC activity. In addition, ADCC activity was enhanced by interleukin-2 mainly through activation of NK cells and was less susceptible to immunosuppression by chemotherapy than NK activity in lung cancer patients. Conclusions: These observations suggest the importance of ADCC activity as an immunologic mechanism of cetuximab in biological therapy for lung cancer patients.", "author" : [ { "dropping-particle" : "", "family" : "Kurai", "given" : "Jun", "non-dropping-particle" : "", "parse-names" : false, "suffix" : "" }, { "dropping-particle" : "", "family" : "Chikumi", "given" : "Hiroki", "non-dropping-particle" : "", "parse-names" : false, "suffix" : "" }, { "dropping-particle" : "", "family" : "Hashimoto", "given" : "Kiyoshi", "non-dropping-particle" : "", "parse-names" : false, "suffix" : "" }, { "dropping-particle" : "", "family" : "Yamaguchi", "given" : "Kosuke", "non-dropping-particle" : "", "parse-names" : false, "suffix" : "" }, { "dropping-particle" : "", "family" : "Yamasaki", "given" : "Akira", "non-dropping-particle" : "", "parse-names" : false, "suffix" : "" }, { "dropping-particle" : "", "family" : "Sako", "given" : "Takanori", "non-dropping-particle" : "", "parse-names" : false, "suffix" : "" }, { "dropping-particle" : "", "family" : "Touge", "given" : "Hirokazu", "non-dropping-particle" : "", "parse-names" : false, "suffix" : "" }, { "dropping-particle" : "", "family" : "Makino", "given" : "Haruhiko", "non-dropping-particle" : "", "parse-names" : false, "suffix" : "" }, { "dropping-particle" : "", "family" : "Takata", "given" : "Miyako", "non-dropping-particle" : "", "parse-names" : false, "suffix" : "" }, { "dropping-particle" : "", "family" : "Miyata", "given" : "Masanori", "non-dropping-particle" : "", "parse-names" : false, "suffix" : "" }, { "dropping-particle" : "", "family" : "Nakamoto", "given" : "Masaki", "non-dropping-particle" : "", "parse-names" : false, "suffix" : "" }, { "dropping-particle" : "", "family" : "Burioka", "given" : "Naoto", "non-dropping-particle" : "", "parse-names" : false, "suffix" : "" }, { "dropping-particle" : "", "family" : "Shimizu", "given" : "Eiji", "non-dropping-particle" : "", "parse-names" : false, "suffix" : "" } ], "container-title" : "Clinical Cancer Research", "id" : "ITEM-4", "issue" : "5", "issued" : { "date-parts" : [ [ "2007" ] ] }, "page" : "1552-1561", "title" : "Antibody-dependent cellular cytotoxicity mediated by cetuximab against lung cancer cell lines", "type" : "article-journal", "volume" : "13" }, "uris" : [ "http://www.mendeley.com/documents/?uuid=190e971d-7c41-4cdd-b95d-298cfb55a160" ] } ], "mendeley" : { "formattedCitation" : "&lt;sup&gt;[55\u201358]&lt;/sup&gt;", "plainTextFormattedCitation" : "[55\u201358]", "previouslyFormattedCitation" : "&lt;sup&gt;[55\u201358]&lt;/sup&gt;"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[55–58]</w:t>
      </w:r>
      <w:r w:rsidRPr="007D5B4E">
        <w:rPr>
          <w:rFonts w:ascii="Book Antiqua" w:hAnsi="Book Antiqua"/>
        </w:rPr>
        <w:fldChar w:fldCharType="end"/>
      </w:r>
      <w:r w:rsidRPr="007D5B4E">
        <w:rPr>
          <w:rFonts w:ascii="Book Antiqua" w:hAnsi="Book Antiqua"/>
        </w:rPr>
        <w:t xml:space="preserve"> (Figure 1).  In colon cancer, </w:t>
      </w:r>
      <w:proofErr w:type="spellStart"/>
      <w:r w:rsidRPr="007D5B4E">
        <w:rPr>
          <w:rFonts w:ascii="Book Antiqua" w:hAnsi="Book Antiqua"/>
        </w:rPr>
        <w:t>cetuximab</w:t>
      </w:r>
      <w:proofErr w:type="spellEnd"/>
      <w:r w:rsidRPr="007D5B4E">
        <w:rPr>
          <w:rFonts w:ascii="Book Antiqua" w:hAnsi="Book Antiqua"/>
        </w:rPr>
        <w:t xml:space="preserve"> is currently FDA approved for EGFR-positive metastatic disease in patients who </w:t>
      </w:r>
      <w:r w:rsidRPr="007D5B4E">
        <w:rPr>
          <w:rFonts w:ascii="Book Antiqua" w:hAnsi="Book Antiqua"/>
        </w:rPr>
        <w:lastRenderedPageBreak/>
        <w:t xml:space="preserve">cannot tolerate </w:t>
      </w:r>
      <w:proofErr w:type="spellStart"/>
      <w:r w:rsidRPr="007D5B4E">
        <w:rPr>
          <w:rFonts w:ascii="Book Antiqua" w:hAnsi="Book Antiqua"/>
        </w:rPr>
        <w:t>irinotecan</w:t>
      </w:r>
      <w:proofErr w:type="spellEnd"/>
      <w:r w:rsidRPr="007D5B4E">
        <w:rPr>
          <w:rFonts w:ascii="Book Antiqua" w:hAnsi="Book Antiqua"/>
        </w:rPr>
        <w:t xml:space="preserve">-based therapy, or in combination with </w:t>
      </w:r>
      <w:proofErr w:type="spellStart"/>
      <w:r w:rsidRPr="007D5B4E">
        <w:rPr>
          <w:rFonts w:ascii="Book Antiqua" w:hAnsi="Book Antiqua"/>
        </w:rPr>
        <w:t>oxaliplatin</w:t>
      </w:r>
      <w:proofErr w:type="spellEnd"/>
      <w:r w:rsidRPr="007D5B4E">
        <w:rPr>
          <w:rFonts w:ascii="Book Antiqua" w:hAnsi="Book Antiqua"/>
        </w:rPr>
        <w:t xml:space="preserve">, </w:t>
      </w:r>
      <w:proofErr w:type="spellStart"/>
      <w:r w:rsidRPr="007D5B4E">
        <w:rPr>
          <w:rFonts w:ascii="Book Antiqua" w:hAnsi="Book Antiqua"/>
        </w:rPr>
        <w:t>irinotecan</w:t>
      </w:r>
      <w:proofErr w:type="spellEnd"/>
      <w:r w:rsidRPr="007D5B4E">
        <w:rPr>
          <w:rFonts w:ascii="Book Antiqua" w:hAnsi="Book Antiqua"/>
        </w:rPr>
        <w:t xml:space="preserve">, and 5-FU. These recommendations are based on a 2009 study that examined the use of </w:t>
      </w:r>
      <w:proofErr w:type="spellStart"/>
      <w:r w:rsidRPr="007D5B4E">
        <w:rPr>
          <w:rFonts w:ascii="Book Antiqua" w:hAnsi="Book Antiqua"/>
        </w:rPr>
        <w:t>cetuximab</w:t>
      </w:r>
      <w:proofErr w:type="spellEnd"/>
      <w:r w:rsidRPr="007D5B4E">
        <w:rPr>
          <w:rFonts w:ascii="Book Antiqua" w:hAnsi="Book Antiqua"/>
        </w:rPr>
        <w:t xml:space="preserve"> as a first-line treatment with FOLFOX, with assessment of tumor response in KRAS </w:t>
      </w:r>
      <w:proofErr w:type="spellStart"/>
      <w:r w:rsidRPr="007D5B4E">
        <w:rPr>
          <w:rFonts w:ascii="Book Antiqua" w:hAnsi="Book Antiqua"/>
        </w:rPr>
        <w:t>wildtype</w:t>
      </w:r>
      <w:proofErr w:type="spellEnd"/>
      <w:r w:rsidRPr="007D5B4E">
        <w:rPr>
          <w:rFonts w:ascii="Book Antiqua" w:hAnsi="Book Antiqua"/>
        </w:rPr>
        <w:t xml:space="preserve"> versus KRAS mutant tumors. Tumors with KRAS mutations resulting in constitutively active GTP-binding protein were shown to be resistant to EGFR inhibitors</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"10.1158/0008-5472.CAN-06-0191", "ISBN" : "0008-5472 (Print) 0008-5472 (Linking)", "ISSN" : "00085472", "PMID" : "16618717", "abstract" : "The anti-epidermal growth factor receptor (anti-EGFR) cetuximab has been proven to be efficient in metastatic colorectal cancer. The molecular mechanisms underlying the clinical response to this drug remain unknown. Genetic alterations of the intracellular effectors involved in EGFR-related signaling pathways may have an effect on response to this targeted therapy. In this study, tumors from 30 metastatic colorectal cancer patients treated by cetuximab were screened for KRAS, BRAF, and PIK3CA mutation by direct sequencing and for EGFR copy number by chromogenic in situ hybridization. Eleven of the 30 patients (37%) responded to cetuximab. A KRAS mutation was found in 13 tumors (43%) and was significantly associated with the absence of response to cetuximab (KRAS mutation in 0% of the 11 responder patients versus 68.4% of the 19 nonresponder patients; P = 0.0003). The overall survival of patients without KRAS mutation in their tumor was significantly higher compared with those patients with a mutated tumor (P = 0.016; median, 16.3 versus 6.9 months). An increased EGFR copy number was found in 3 patients (10%) and was significantly associated with an objective tumor response to cetuximab (P = 0.04). In conclusion, in this study, KRAS mutations are a predictor of resistance to cetuximab therapy and are associated with a worse prognosis. The EGFR amplification, which is not as frequent as initially reported, is also associated with response to this treatment.", "author" : [ { "dropping-particle" : "", "family" : "Li\u00e8vre", "given" : "Astrid", "non-dropping-particle" : "", "parse-names" : false, "suffix" : "" }, { "dropping-particle" : "", "family" : "Bachet", "given" : "Jean Baptiste", "non-dropping-particle" : "", "parse-names" : false, "suffix" : "" }, { "dropping-particle" : "", "family" : "Corre", "given" : "Delphine", "non-dropping-particle" : "Le", "parse-names" : false, "suffix" : "" }, { "dropping-particle" : "", "family" : "Boige", "given" : "Val\u00e9rie", "non-dropping-particle" : "", "parse-names" : false, "suffix" : "" }, { "dropping-particle" : "", "family" : "Landi", "given" : "Bruno", "non-dropping-particle" : "", "parse-names" : false, "suffix" : "" }, { "dropping-particle" : "", "family" : "Emile", "given" : "Jean Fran\u00e7ois", "non-dropping-particle" : "", "parse-names" : false, "suffix" : "" }, { "dropping-particle" : "", "family" : "C\u00f4t\u00e9", "given" : "Jean Fran\u00e7ois", "non-dropping-particle" : "", "parse-names" : false, "suffix" : "" }, { "dropping-particle" : "", "family" : "Tomasic", "given" : "Gorana", "non-dropping-particle" : "", "parse-names" : false, "suffix" : "" }, { "dropping-particle" : "", "family" : "Penna", "given" : "Christophe", "non-dropping-particle" : "", "parse-names" : false, "suffix" : "" }, { "dropping-particle" : "", "family" : "Ducreux", "given" : "Michel", "non-dropping-particle" : "", "parse-names" : false, "suffix" : "" }, { "dropping-particle" : "", "family" : "Rougier", "given" : "Philippe", "non-dropping-particle" : "", "parse-names" : false, "suffix" : "" }, { "dropping-particle" : "", "family" : "Penault-Llorca", "given" : "Fr\u00e9d\u00e9rique", "non-dropping-particle" : "", "parse-names" : false, "suffix" : "" }, { "dropping-particle" : "", "family" : "Laurent-Puig", "given" : "Pierre", "non-dropping-particle" : "", "parse-names" : false, "suffix" : "" } ], "container-title" : "Cancer Research", "id" : "ITEM-1", "issue" : "8", "issued" : { "date-parts" : [ [ "2006" ] ] }, "page" : "3992-3995", "title" : "KRAS mutation status is predictive of response to cetuximab therapy in colorectal cancer", "type" : "article-journal", "volume" : "66" }, "uris" : [ "http://www.mendeley.com/documents/?uuid=5e4849ed-e5e5-4291-99ca-0dcaa7383f93" ] }, { "id" : "ITEM-2", "itemData" : { "DOI" : "10.1093/annonc/mdm496", "ISBN" : "1569-8041 (Electronic)", "ISSN" : "09237534", "PMID" : "17998284", "abstract" : "BACKGROUND: KRAS mutation status is a candidate marker for predicting survival in patients with metastatic colorectal cancer (mCRC) treated with cetuximab (CTX). PATIENTS AND METHODS: We studied the KRAS mutation status of 113 patients with irinotecan refractory mCRC treated with CTX in clinical trials. A predictive model for objective response (OR), progression-free survival (PFS) and overall survival (OS) was constructed using logistic and Cox regression. RESULTS: OR was seen in 27 of 66 KRAS wild-type (WT) patients versus 0 of 42 in KRAS mutants. Median OS was significantly better in KRAS WT versus mutants (43.0 versus 27.3 weeks; P = 0.020). Decrease in tumor sizes was significantly larger at all time points in WT patients. KRAS WT patients with an initial relative decrease of tumor size &gt;9.66% at week 6 had a significantly better median OS compared with all other patients (74.9 versus 30.6 weeks; P = 0.0000025). Within KRAS WT patients OS was significantly better in patients with an initial decrease compared with those without [median OS: 74.9 versus 30.6 weeks (P = 0.00000012)]. CONCLUSIONS: KRAS WT status is associated to survival benefit in CTX treated mCRC. This benefit is even more pronounced in those patients with early radiological response. These characteristics may be exploited for response prediction.", "author" : [ { "dropping-particle" : "", "family" : "Roock", "given" : "W.", "non-dropping-particle" : "De", "parse-names" : false, "suffix" : "" }, { "dropping-particle" : "", "family" : "Piessevaux", "given" : "H.", "non-dropping-particle" : "", "parse-names" : false, "suffix" : "" }, { "dropping-particle" : "", "family" : "Schutter", "given" : "J.", "non-dropping-particle" : "De", "parse-names" : false, "suffix" : "" }, { "dropping-particle" : "", "family" : "Janssens", "given" : "M.", "non-dropping-particle" : "", "parse-names" : false, "suffix" : "" }, { "dropping-particle" : "", "family" : "Hertogh", "given" : "G.", "non-dropping-particle" : "De", "parse-names" : false, "suffix" : "" }, { "dropping-particle" : "", "family" : "Personeni", "given" : "N.", "non-dropping-particle" : "", "parse-names" : false, "suffix" : "" }, { "dropping-particle" : "", "family" : "Biesmans", "given" : "B.", "non-dropping-particle" : "", "parse-names" : false, "suffix" : "" }, { "dropping-particle" : "", "family" : "Laethem", "given" : "J. L.", "non-dropping-particle" : "Van", "parse-names" : false, "suffix" : "" }, { "dropping-particle" : "", "family" : "Peeters", "given" : "M.", "non-dropping-particle" : "", "parse-names" : false, "suffix" : "" }, { "dropping-particle" : "", "family" : "Humblet", "given" : "Y.", "non-dropping-particle" : "", "parse-names" : false, "suffix" : "" }, { "dropping-particle" : "", "family" : "Cutsem", "given" : "E.", "non-dropping-particle" : "Van", "parse-names" : false, "suffix" : "" }, { "dropping-particle" : "", "family" : "Tejpar", "given" : "Sabine", "non-dropping-particle" : "", "parse-names" : false, "suffix" : "" } ], "container-title" : "Annals of Oncology", "id" : "ITEM-2", "issue" : "November 2007", "issued" : { "date-parts" : [ [ "2008" ] ] }, "page" : "508-515", "title" : "KRAS wild-type state predicts survival and is associated to early radiological response in metastatic colorectal cancer treated with cetuximab", "type" : "article-journal", "volume" : "19" }, "uris" : [ "http://www.mendeley.com/documents/?uuid=a4ffd200-9601-4840-a6cf-b6e3a3dfe2e7" ] } ], "mendeley" : { "formattedCitation" : "&lt;sup&gt;[59,60]&lt;/sup&gt;", "plainTextFormattedCitation" : "[59,60]", "previouslyFormattedCitation" : "&lt;sup&gt;[59,60]&lt;/sup&gt;"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[59,60]</w:t>
      </w:r>
      <w:r w:rsidRPr="007D5B4E">
        <w:rPr>
          <w:rFonts w:ascii="Book Antiqua" w:hAnsi="Book Antiqua"/>
          <w:vertAlign w:val="superscript"/>
        </w:rPr>
        <w:fldChar w:fldCharType="end"/>
      </w:r>
      <w:r w:rsidRPr="007D5B4E">
        <w:rPr>
          <w:rFonts w:ascii="Book Antiqua" w:hAnsi="Book Antiqua"/>
        </w:rPr>
        <w:t xml:space="preserve">. This trial confirmed previous findings and demonstrated significant differences between tumor response and risk of disease progression in the KRAS mutant and KRAS WT groups with the addition of </w:t>
      </w:r>
      <w:proofErr w:type="spellStart"/>
      <w:r w:rsidRPr="007D5B4E">
        <w:rPr>
          <w:rFonts w:ascii="Book Antiqua" w:hAnsi="Book Antiqua"/>
        </w:rPr>
        <w:t>cetuximab</w:t>
      </w:r>
      <w:proofErr w:type="spellEnd"/>
      <w:r w:rsidRPr="007D5B4E">
        <w:rPr>
          <w:rFonts w:ascii="Book Antiqua" w:hAnsi="Book Antiqua"/>
        </w:rPr>
        <w:t>, though a difference of progression-free survival was not detected</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"10.1200/JCO.2008.20.8397", "ISSN" : "0732183X", "PMID" : "19114683", "abstract" : "PURPOSE: This randomized study assessed whether the best overall response rate (ORR) of cetuximab combined with oxaliplatin, leucovorin, and fluorouracil (FOLFOX-4) was superior to that of FOLFOX-4 alone as first-line treatment for metastatic colorectal cancer. The influence of KRAS mutation status was investigated. PATIENTS AND METHODS: Patients received cetuximab (400 mg/m(2) initial dose followed by 250 mg/m(2)/wk thereafter) plus FOLFOX-4 (oxaliplatin 85 mg/m(2) on day 1, plus leucovorin 200 mg/m(2) and fluorouracil as a 400 mg/m(2) bolus followed by a 600 mg/m(2) infusion during 22 hours on days 1 and 2; n = 169) or FOLFOX-4 alone (n = 168). Treatment was continued until disease progression or unacceptable toxicity. KRAS mutation status was assessed in the subset of patients with assessable tumor samples (n = 233). RESULTS: The confirmed ORR for cetuximab plus FOLFOX-4 was higher than with FOLFOX-4 alone (46% v 36%). A statistically significant increase in the odds for a response with the addition of cetuximab to FOLFOX-4 could not be established (odds ratio = 1.52; P = .064). In patients with KRAS wild-type tumors, the addition of cetuximab to FOLFOX-4 was associated with a clinically significant increased chance of response (ORR = 61% v 37%; odds ratio = 2.54; P = .011) and a lower risk of disease progression (hazard ratio = 0.57; P = .0163) compared with FOLFOX-4 alone. Cetuximab plus FOLFOX-4 was generally well tolerated. CONCLUSION: KRAS mutational status was shown to be a highly predictive selection criterion in relation to the treatment decision regarding the addition of cetuximab to FOLFOX-4 for previously untreated patients with metastatic colorectal cancer.", "author" : [ { "dropping-particle" : "", "family" : "Bokemeyer", "given" : "Carsten", "non-dropping-particle" : "", "parse-names" : false, "suffix" : "" }, { "dropping-particle" : "", "family" : "Bondarenko", "given" : "Igor", "non-dropping-particle" : "", "parse-names" : false, "suffix" : "" }, { "dropping-particle" : "", "family" : "Makhson", "given" : "Anatoly", "non-dropping-particle" : "", "parse-names" : false, "suffix" : "" }, { "dropping-particle" : "", "family" : "Hartmann", "given" : "Joerg T.", "non-dropping-particle" : "", "parse-names" : false, "suffix" : "" }, { "dropping-particle" : "", "family" : "Aparicio", "given" : "Jorge", "non-dropping-particle" : "", "parse-names" : false, "suffix" : "" }, { "dropping-particle" : "", "family" : "Braud", "given" : "Filippo", "non-dropping-particle" : "De", "parse-names" : false, "suffix" : "" }, { "dropping-particle" : "", "family" : "Donea", "given" : "Serban", "non-dropping-particle" : "", "parse-names" : false, "suffix" : "" }, { "dropping-particle" : "", "family" : "Ludwig", "given" : "Heinz", "non-dropping-particle" : "", "parse-names" : false, "suffix" : "" }, { "dropping-particle" : "", "family" : "Schuch", "given" : "Gunter", "non-dropping-particle" : "", "parse-names" : false, "suffix" : "" }, { "dropping-particle" : "", "family" : "Stroh", "given" : "Christopher", "non-dropping-particle" : "", "parse-names" : false, "suffix" : "" }, { "dropping-particle" : "", "family" : "Loos", "given" : "Anja H.", "non-dropping-particle" : "", "parse-names" : false, "suffix" : "" }, { "dropping-particle" : "", "family" : "Zubel", "given" : "Angela", "non-dropping-particle" : "", "parse-names" : false, "suffix" : "" }, { "dropping-particle" : "", "family" : "Koralewski", "given" : "Piotr", "non-dropping-particle" : "", "parse-names" : false, "suffix" : "" } ], "container-title" : "Journal of Clinical Oncology", "id" : "ITEM-1", "issue" : "5", "issued" : { "date-parts" : [ [ "2009" ] ] }, "page" : "663-671", "title" : "Fluorouracil, leucovorin, and oxaliplatin with and without cetuximab in the first-line treatment of metastatic colorectal cancer", "type" : "article-journal", "volume" : "27" }, "uris" : [ "http://www.mendeley.com/documents/?uuid=326a0bda-6519-4248-8824-cece440ea996" ] } ], "mendeley" : { "formattedCitation" : "&lt;sup&gt;[61]&lt;/sup&gt;", "plainTextFormattedCitation" : "[61]", "previouslyFormattedCitation" : "&lt;sup&gt;[61]&lt;/sup&gt;"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[61]</w:t>
      </w:r>
      <w:r w:rsidRPr="007D5B4E">
        <w:rPr>
          <w:rFonts w:ascii="Book Antiqua" w:hAnsi="Book Antiqua"/>
          <w:vertAlign w:val="superscript"/>
        </w:rPr>
        <w:fldChar w:fldCharType="end"/>
      </w:r>
      <w:r w:rsidRPr="007D5B4E">
        <w:rPr>
          <w:rFonts w:ascii="Book Antiqua" w:hAnsi="Book Antiqua"/>
        </w:rPr>
        <w:t xml:space="preserve">. </w:t>
      </w:r>
      <w:proofErr w:type="spellStart"/>
      <w:r w:rsidRPr="007D5B4E">
        <w:rPr>
          <w:rFonts w:ascii="Book Antiqua" w:hAnsi="Book Antiqua"/>
        </w:rPr>
        <w:t>Panitumumab</w:t>
      </w:r>
      <w:proofErr w:type="spellEnd"/>
      <w:r w:rsidRPr="007D5B4E">
        <w:rPr>
          <w:rFonts w:ascii="Book Antiqua" w:hAnsi="Book Antiqua"/>
        </w:rPr>
        <w:t xml:space="preserve"> is also used in metastatic CRC and also requires WT KRAS for efficacy</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"10.1200/JCO.2007.14.7116", "ISSN" : "1527-7755 (Electronic)", "PMID" : "18316791", "abstract" : "PURPOSE: Panitumumab, a fully human antibody against the epidermal growth factor receptor (EGFR), has activity in a subset of patients with metastatic colorectal cancer (mCRC). Although activating mutations in KRAS, a small G-protein downstream of EGFR, correlate with poor response to anti-EGFR antibodies in mCRC, their role as a selection marker has not been established in randomized trials. PATIENTS AND METHODS: KRAS mutations were detected using polymerase chain reaction on DNA from tumor sections collected in a phase III mCRC trial comparing panitumumab monotherapy to best supportive care (BSC). We tested whether the effect of panitumumab on progression-free survival (PFS) differed by KRAS status. RESULTS: KRAS status was ascertained in 427 (92%) of 463 patients (208 panitumumab, 219 BSC). KRAS mutations were found in 43% of patients. The treatment effect on PFS in the wild-type (WT) KRAS group (hazard ratio [HR], 0.45; 95% CI: 0.34 to 0.59) was significantly greater (P &lt; .0001) than in the mutant group (HR, 0.99; 95% CI, 0.73 to 1.36). Median PFS in the WT KRAS group was 12.3 weeks for panitumumab and 7.3 weeks for BSC. Response rates to panitumumab were 17% and 0%, for the WT and mutant groups, respectively. WT KRAS patients had longer overall survival (HR, 0.67; 95% CI, 0.55 to 0.82; treatment arms combined). Consistent with longer exposure, more grade III treatment-related toxicities occurred in the WT KRAS group. No significant differences in toxicity were observed between the WT KRAS group and the overall population. CONCLUSION: Panitumumab monotherapy efficacy in mCRC is confined to patients with WT KRAS tumors. KRAS status should be considered in selecting patients with mCRC as candidates for panitumumab monotherapy.", "author" : [ { "dropping-particle" : "", "family" : "Amado", "given" : "Rafael G", "non-dropping-particle" : "", "parse-names" : false, "suffix" : "" }, { "dropping-particle" : "", "family" : "Wolf", "given" : "Michael", "non-dropping-particle" : "", "parse-names" : false, "suffix" : "" }, { "dropping-particle" : "", "family" : "Peeters", "given" : "Marc", "non-dropping-particle" : "", "parse-names" : false, "suffix" : "" }, { "dropping-particle" : "", "family" : "Cutsem", "given" : "Eric", "non-dropping-particle" : "Van", "parse-names" : false, "suffix" : "" }, { "dropping-particle" : "", "family" : "Siena", "given" : "Salvatore", "non-dropping-particle" : "", "parse-names" : false, "suffix" : "" }, { "dropping-particle" : "", "family" : "Freeman", "given" : "Daniel J", "non-dropping-particle" : "", "parse-names" : false, "suffix" : "" }, { "dropping-particle" : "", "family" : "Juan", "given" : "Todd", "non-dropping-particle" : "", "parse-names" : false, "suffix" : "" }, { "dropping-particle" : "", "family" : "Sikorski", "given" : "Robert", "non-dropping-particle" : "", "parse-names" : false, "suffix" : "" }, { "dropping-particle" : "", "family" : "Suggs", "given" : "Sid", "non-dropping-particle" : "", "parse-names" : false, "suffix" : "" }, { "dropping-particle" : "", "family" : "Radinsky", "given" : "Robert", "non-dropping-particle" : "", "parse-names" : false, "suffix" : "" }, { "dropping-particle" : "", "family" : "Patterson", "given" : "Scott D", "non-dropping-particle" : "", "parse-names" : false, "suffix" : "" }, { "dropping-particle" : "", "family" : "Chang", "given" : "David D", "non-dropping-particle" : "", "parse-names" : false, "suffix" : "" } ], "container-title" : "Journal of clinical oncology : official journal of the American Society of Clinical Oncology", "id" : "ITEM-1", "issue" : "10", "issued" : { "date-parts" : [ [ "2008", "4" ] ] }, "page" : "1626-1634", "publisher-place" : "United States", "title" : "Wild-type KRAS is required for panitumumab efficacy in patients with metastatic colorectal cancer.", "type" : "article-journal", "volume" : "26" }, "uris" : [ "http://www.mendeley.com/documents/?uuid=2ceb9119-f690-4a6f-b680-0c4e15a552ea" ] } ], "mendeley" : { "formattedCitation" : "&lt;sup&gt;[62]&lt;/sup&gt;", "plainTextFormattedCitation" : "[62]", "previouslyFormattedCitation" : "&lt;sup&gt;[62]&lt;/sup&gt;"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[62]</w:t>
      </w:r>
      <w:r w:rsidRPr="007D5B4E">
        <w:rPr>
          <w:rFonts w:ascii="Book Antiqua" w:hAnsi="Book Antiqua"/>
          <w:vertAlign w:val="superscript"/>
        </w:rPr>
        <w:fldChar w:fldCharType="end"/>
      </w:r>
      <w:r w:rsidRPr="007D5B4E">
        <w:rPr>
          <w:rFonts w:ascii="Book Antiqua" w:hAnsi="Book Antiqua"/>
        </w:rPr>
        <w:t xml:space="preserve">. More recently a study suggested that tumors with KRAS mutations in codon 13 may remain susceptible to </w:t>
      </w:r>
      <w:proofErr w:type="spellStart"/>
      <w:r w:rsidRPr="007D5B4E">
        <w:rPr>
          <w:rFonts w:ascii="Book Antiqua" w:hAnsi="Book Antiqua"/>
        </w:rPr>
        <w:t>Cetuximab</w:t>
      </w:r>
      <w:proofErr w:type="spellEnd"/>
      <w:r w:rsidRPr="007D5B4E">
        <w:rPr>
          <w:rFonts w:ascii="Book Antiqua" w:hAnsi="Book Antiqua"/>
        </w:rPr>
        <w:t>, whereas those with KRAS codon 12 mutations did not</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"10.1200/JCO.2012.42.2592", "ISBN" : "1527-7755 (Electronic)\\n0732-183X (Linking)", "ISSN" : "0732183X", "PMID" : "22734028", "abstract" : "PURPOSE: We investigated in the first-line setting our previous finding that patients with chemorefractory KRAS G13D-mutated metastatic colorectal cancer (mCRC) benefit from cetuximab treatment. METHODS: Associations between tumor KRAS mutation status (wild-type, G13D, G12V, or other mutations) and progression-free survival (PFS), survival, and response were investigated in pooled data from 1,378 evaluable patients from the CRYSTAL and OPUS studies. Multivariate analysis correcting for differences in baseline prognostic factors was performed. RESULTS: Of 533 patients (39%) with KRAS-mutant tumors, 83 (16%) had G13D, 125 (23%) had G12V, and 325 (61%) had other mutations. Significant variations in treatment effects were found for tumor response (P = .005) and PFS (P = .046) in patients with G13D-mutant tumors versus all other mutations (including G12V). Within KRAS mutation subgroups, cetuximab plus chemotherapy versus chemotherapy alone significantly improved PFS (median, 7.4 v 6.0 months; hazard ratio [HR], 0.47; P = .039) and tumor response (40.5% v 22.0%; odds ratio, 3.38; P = .042) but not survival (median, 15.4 v 14.7 months; HR, 0.89; P = .68) in patients with G13D-mutant tumors. Patients with G12V and other mutations did not benefit from this treatment combination. Patients with KRAS G13D-mutated tumors receiving chemotherapy alone experienced worse outcomes (response, 22.0% v 43.2%; odds ratio, 0.40; P = .032) than those with other mutations. Effects were similar in the separate CRYSTAL and OPUS studies. CONCLUSION: The addition of cetuximab to first-line chemotherapy seems to benefit patients with KRAS G13D-mutant tumors. Relative treatment effects were similar to those in patients with KRAS wild-type tumors but with lower absolute values.", "author" : [ { "dropping-particle" : "", "family" : "Tejpar", "given" : "Sabine", "non-dropping-particle" : "", "parse-names" : false, "suffix" : "" }, { "dropping-particle" : "", "family" : "Celik", "given" : "Ilhan", "non-dropping-particle" : "", "parse-names" : false, "suffix" : "" }, { "dropping-particle" : "", "family" : "Schlichting", "given" : "Michael", "non-dropping-particle" : "", "parse-names" : false, "suffix" : "" }, { "dropping-particle" : "", "family" : "Sartorius", "given" : "Ute", "non-dropping-particle" : "", "parse-names" : false, "suffix" : "" }, { "dropping-particle" : "", "family" : "Bokemeyer", "given" : "Carsten", "non-dropping-particle" : "", "parse-names" : false, "suffix" : "" }, { "dropping-particle" : "", "family" : "Cutsem", "given" : "Eric", "non-dropping-particle" : "Van", "parse-names" : false, "suffix" : "" } ], "container-title" : "Journal of Clinical Oncology", "id" : "ITEM-1", "issue" : "29", "issued" : { "date-parts" : [ [ "2012" ] ] }, "page" : "3570-3577", "title" : "Association of KRAS G13D tumor mutations with outcome in patients with metastatic colorectal cancer treated with first-line chemotherapy with or without cetuximab", "type" : "article-journal", "volume" : "30" }, "uris" : [ "http://www.mendeley.com/documents/?uuid=ba5e942a-69b5-4f8d-a4b1-4fa067a1937f" ] } ], "mendeley" : { "formattedCitation" : "&lt;sup&gt;[63]&lt;/sup&gt;", "plainTextFormattedCitation" : "[63]", "previouslyFormattedCitation" : "&lt;sup&gt;[63]&lt;/sup&gt;"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[63]</w:t>
      </w:r>
      <w:r w:rsidRPr="007D5B4E">
        <w:rPr>
          <w:rFonts w:ascii="Book Antiqua" w:hAnsi="Book Antiqua"/>
          <w:vertAlign w:val="superscript"/>
        </w:rPr>
        <w:fldChar w:fldCharType="end"/>
      </w:r>
      <w:r w:rsidRPr="007D5B4E">
        <w:rPr>
          <w:rFonts w:ascii="Book Antiqua" w:hAnsi="Book Antiqua"/>
        </w:rPr>
        <w:t xml:space="preserve">. </w:t>
      </w:r>
    </w:p>
    <w:p w14:paraId="28C9351D" w14:textId="145D74BA" w:rsidR="00F950CC" w:rsidRPr="007D5B4E" w:rsidRDefault="00F950CC" w:rsidP="00240E68">
      <w:pPr>
        <w:spacing w:after="0" w:line="360" w:lineRule="auto"/>
        <w:ind w:firstLineChars="200" w:firstLine="480"/>
        <w:jc w:val="both"/>
        <w:rPr>
          <w:rFonts w:ascii="Book Antiqua" w:hAnsi="Book Antiqua"/>
        </w:rPr>
      </w:pPr>
      <w:r w:rsidRPr="007D5B4E">
        <w:rPr>
          <w:rFonts w:ascii="Book Antiqua" w:hAnsi="Book Antiqua"/>
        </w:rPr>
        <w:t xml:space="preserve">Small molecule EGFR receptor tyrosine kinase inhibitors, </w:t>
      </w:r>
      <w:proofErr w:type="spellStart"/>
      <w:r w:rsidRPr="007D5B4E">
        <w:rPr>
          <w:rFonts w:ascii="Book Antiqua" w:hAnsi="Book Antiqua"/>
        </w:rPr>
        <w:t>gefitinib</w:t>
      </w:r>
      <w:proofErr w:type="spellEnd"/>
      <w:r w:rsidRPr="007D5B4E">
        <w:rPr>
          <w:rFonts w:ascii="Book Antiqua" w:hAnsi="Book Antiqua"/>
        </w:rPr>
        <w:t xml:space="preserve"> and </w:t>
      </w:r>
      <w:proofErr w:type="spellStart"/>
      <w:r w:rsidRPr="007D5B4E">
        <w:rPr>
          <w:rFonts w:ascii="Book Antiqua" w:hAnsi="Book Antiqua"/>
        </w:rPr>
        <w:t>erlotinib</w:t>
      </w:r>
      <w:proofErr w:type="spellEnd"/>
      <w:r w:rsidRPr="007D5B4E">
        <w:rPr>
          <w:rFonts w:ascii="Book Antiqua" w:hAnsi="Book Antiqua"/>
        </w:rPr>
        <w:t xml:space="preserve"> are not used in the treatment of CRC. </w:t>
      </w:r>
      <w:proofErr w:type="spellStart"/>
      <w:r w:rsidRPr="007D5B4E">
        <w:rPr>
          <w:rFonts w:ascii="Book Antiqua" w:hAnsi="Book Antiqua"/>
        </w:rPr>
        <w:t>Gefitinib</w:t>
      </w:r>
      <w:proofErr w:type="spellEnd"/>
      <w:r w:rsidRPr="007D5B4E">
        <w:rPr>
          <w:rFonts w:ascii="Book Antiqua" w:hAnsi="Book Antiqua"/>
        </w:rPr>
        <w:t xml:space="preserve"> was initially approved for third-line treatment of patients with NSCLC based on preliminary small clinical trials but later studies demonstrated conflicting results of its efficacy</w:t>
      </w:r>
      <w:r w:rsidRPr="007D5B4E">
        <w:rPr>
          <w:rFonts w:ascii="Book Antiqua" w:hAnsi="Book Antiqua"/>
        </w:rPr>
        <w:fldChar w:fldCharType="begin" w:fldLock="1"/>
      </w:r>
      <w:r w:rsidR="007C7B04" w:rsidRPr="007D5B4E">
        <w:rPr>
          <w:rFonts w:ascii="Book Antiqua" w:hAnsi="Book Antiqua"/>
        </w:rPr>
        <w:instrText>ADDIN CSL_CITATION { "citationItems" : [ { "id" : "ITEM-1", "itemData" : { "DOI" : "10.1200/JCO.2007.15.0185", "ISSN" : "1527-7755 (Electronic)", "PMID" : "18779611", "abstract" : "PURPOSE: This phase III study (V-15-32) compared gefitinib (250 mg/d) with docetaxel (60 mg/m(2)) in patients (N = 489) with advanced/metastatic non-small-cell lung cancer (NSCLC) who had failed one or two chemotherapy regimens. METHODS: The primary objective was to compare overall survival to demonstrate noninferiority for gefitinib relative to docetaxel. An unadjusted Cox regression model was used for the primary analysis. RESULTS: Noninferiority in overall survival was not achieved (hazard ratio [HR], 1.12; 95.24% CI, 0.89 to 1.40) according to the predefined criterion (upper CI limit for HR &lt;or= 1.25); however, no significant difference in overall survival (P = .330) was apparent between treatments. Poststudy, 36% of gefitinib-treated patients received subsequent docetaxel, and 53% of docetaxel-treated patients received subsequent gefitinib. Gefitinib significantly improved objective response rate and quality of life versus docetaxel; progression-free survival, disease control rates, and symptom improvement were similar for the two treatments. Grades 3 to 4 adverse events occurred in 40.6% (gefitinib) and 81.6% (docetaxel) of patients. Incidence of interstitial lung disease was 5.7% (gefitinib) and 2.9% (docetaxel). Four deaths occurred due to adverse events in the gefitinib arm (three deaths as a result of interstitial lung disease, judged to be treatment related; one as a result of pneumonia, not treatment related), and none occurred in the docetaxel arm. CONCLUSION: Noninferiority in overall survival between gefitinib and docetaxel was not demonstrated according to predefined criteria; however, there was no statistically significant difference in overall survival. Secondary end points showed similar or superior efficacy for gefitinib compared with docetaxel. Gefitinib remains an effective treatment option for previously treated Japanese patients with NSCLC.", "author" : [ { "dropping-particle" : "", "family" : "Maruyama", "given" : "Riichiroh", "non-dropping-particle" : "", "parse-names" : false, "suffix" : "" }, { "dropping-particle" : "", "family" : "Nishiwaki", "given" : "Yutaka", "non-dropping-particle" : "", "parse-names" : false, "suffix" : "" }, { "dropping-particle" : "", "family" : "Tamura", "given" : "Tomohide", "non-dropping-particle" : "", "parse-names" : false, "suffix" : "" }, { "dropping-particle" : "", "family" : "Yamamoto", "given" : "Nobuyuki", "non-dropping-particle" : "", "parse-names" : false, "suffix" : "" }, { "dropping-particle" : "", "family" : "Tsuboi", "given" : "Masahiro", "non-dropping-particle" : "", "parse-names" : false, "suffix" : "" }, { "dropping-particle" : "", "family" : "Nakagawa", "given" : "Kazuhiko", "non-dropping-particle" : "", "parse-names" : false, "suffix" : "" }, { "dropping-particle" : "", "family" : "Shinkai", "given" : "Tetsu", "non-dropping-particle" : "", "parse-names" : false, "suffix" : "" }, { "dropping-particle" : "", "family" : "Negoro", "given" : "Shunichi", "non-dropping-particle" : "", "parse-names" : false, "suffix" : "" }, { "dropping-particle" : "", "family" : "Imamura", "given" : "Fumio", "non-dropping-particle" : "", "parse-names" : false, "suffix" : "" }, { "dropping-particle" : "", "family" : "Eguchi", "given" : "Kenji", "non-dropping-particle" : "", "parse-names" : false, "suffix" : "" }, { "dropping-particle" : "", "family" : "Takeda", "given" : "Koji", "non-dropping-particle" : "", "parse-names" : false, "suffix" : "" }, { "dropping-particle" : "", "family" : "Inoue", "given" : "Akira", "non-dropping-particle" : "", "parse-names" : false, "suffix" : "" }, { "dropping-particle" : "", "family" : "Tomii", "given" : "Keisuke", "non-dropping-particle" : "", "parse-names" : false, "suffix" : "" }, { "dropping-particle" : "", "family" : "Harada", "given" : "Masao", "non-dropping-particle" : "", "parse-names" : false, "suffix" : "" }, { "dropping-particle" : "", "family" : "Masuda", "given" : "Noriyuki", "non-dropping-particle" : "", "parse-names" : false, "suffix" : "" }, { "dropping-particle" : "", "family" : "Jiang", "given" : "Haiyi", "non-dropping-particle" : "", "parse-names" : false, "suffix" : "" }, { "dropping-particle" : "", "family" : "Itoh", "given" : "Yohji", "non-dropping-particle" : "", "parse-names" : false, "suffix" : "" }, { "dropping-particle" : "", "family" : "Ichinose", "given" : "Yukito", "non-dropping-particle" : "", "parse-names" : false, "suffix" : "" }, { "dropping-particle" : "", "family" : "Saijo", "given" : "Nagahiro", "non-dropping-particle" : "", "parse-names" : false, "suffix" : "" }, { "dropping-particle" : "", "family" : "Fukuoka", "given" : "Masahiro", "non-dropping-particle" : "", "parse-names" : false, "suffix" : "" } ], "container-title" : "Journal of clinical oncology : official journal of the American Society of Clinical Oncology", "id" : "ITEM-1", "issue" : "26", "issued" : { "date-parts" : [ [ "2008", "9" ] ] }, "page" : "4244-4252", "publisher-place" : "United States", "title" : "Phase III study, V-15-32, of gefitinib versus docetaxel in previously treated Japanese patients with non-small-cell lung cancer.", "type" : "article-journal", "volume" : "26" }, "uris" : [ "http://www.mendeley.com/documents/?uuid=a5834340-4ec4-45b6-8203-fd76a0c05de2" ] } ], "mendeley" : { "formattedCitation" : "&lt;sup&gt;[64]&lt;/sup&gt;", "plainTextFormattedCitation" : "[64]", "previouslyFormattedCitation" : "&lt;sup&gt;[64]&lt;/sup&gt;" }, "properties" : { "noteIndex" : 0 }, "schema" : "https://github.com/citation-style-language/schema/raw/master/csl-citation.json" }</w:instrText>
      </w:r>
      <w:r w:rsidRPr="007D5B4E">
        <w:rPr>
          <w:rFonts w:ascii="Book Antiqua" w:hAnsi="Book Antiqua"/>
        </w:rPr>
        <w:fldChar w:fldCharType="separate"/>
      </w:r>
      <w:r w:rsidR="009259AF" w:rsidRPr="007D5B4E">
        <w:rPr>
          <w:rFonts w:ascii="Book Antiqua" w:hAnsi="Book Antiqua"/>
          <w:noProof/>
          <w:vertAlign w:val="superscript"/>
        </w:rPr>
        <w:t>[64]</w:t>
      </w:r>
      <w:r w:rsidRPr="007D5B4E">
        <w:rPr>
          <w:rFonts w:ascii="Book Antiqua" w:hAnsi="Book Antiqua"/>
        </w:rPr>
        <w:fldChar w:fldCharType="end"/>
      </w:r>
      <w:r w:rsidRPr="007D5B4E">
        <w:rPr>
          <w:rFonts w:ascii="Book Antiqua" w:hAnsi="Book Antiqua"/>
        </w:rPr>
        <w:t xml:space="preserve">.  A phase II RCT of FOLFIRI versus </w:t>
      </w:r>
      <w:proofErr w:type="spellStart"/>
      <w:r w:rsidRPr="007D5B4E">
        <w:rPr>
          <w:rFonts w:ascii="Book Antiqua" w:hAnsi="Book Antiqua"/>
        </w:rPr>
        <w:t>gefitinib</w:t>
      </w:r>
      <w:proofErr w:type="spellEnd"/>
      <w:r w:rsidRPr="007D5B4E">
        <w:rPr>
          <w:rFonts w:ascii="Book Antiqua" w:hAnsi="Book Antiqua"/>
        </w:rPr>
        <w:t xml:space="preserve"> plus FOLFIRI did not show any benefit and demonstrated high toxicity</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"10.1093/annonc/mdn401", "ISSN" : "09237534", "PMID" : "18667394", "author" : [ { "dropping-particle" : "", "family" : "Santoro", "given" : "A.", "non-dropping-particle" : "", "parse-names" : false, "suffix" : "" }, { "dropping-particle" : "", "family" : "Comandone", "given" : "A.", "non-dropping-particle" : "", "parse-names" : false, "suffix" : "" }, { "dropping-particle" : "", "family" : "Rimassa", "given" : "L.", "non-dropping-particle" : "", "parse-names" : false, "suffix" : "" }, { "dropping-particle" : "", "family" : "Granetti", "given" : "C.", "non-dropping-particle" : "", "parse-names" : false, "suffix" : "" }, { "dropping-particle" : "", "family" : "Lorusso", "given" : "V.", "non-dropping-particle" : "", "parse-names" : false, "suffix" : "" }, { "dropping-particle" : "", "family" : "Oliva", "given" : "C.", "non-dropping-particle" : "", "parse-names" : false, "suffix" : "" }, { "dropping-particle" : "", "family" : "Ronzoni", "given" : "M.", "non-dropping-particle" : "", "parse-names" : false, "suffix" : "" }, { "dropping-particle" : "", "family" : "Siena", "given" : "S.", "non-dropping-particle" : "", "parse-names" : false, "suffix" : "" }, { "dropping-particle" : "", "family" : "Zuradelli", "given" : "M.", "non-dropping-particle" : "", "parse-names" : false, "suffix" : "" }, { "dropping-particle" : "", "family" : "Mari", "given" : "E.", "non-dropping-particle" : "", "parse-names" : false, "suffix" : "" }, { "dropping-particle" : "", "family" : "Pressiani", "given" : "T.", "non-dropping-particle" : "", "parse-names" : false, "suffix" : "" }, { "dropping-particle" : "", "family" : "Carnaghi", "given" : "Carlo", "non-dropping-particle" : "", "parse-names" : false, "suffix" : "" } ], "container-title" : "Annals of Oncology", "id" : "ITEM-1", "issue" : "July", "issued" : { "date-parts" : [ [ "2008" ] ] }, "page" : "1888-1893", "title" : "A phase II randomized multicenter trial of gefitinib plus FOLFIRI and FOLFIRI alone in patients with metastatic colorectal cancer", "type" : "article-journal", "volume" : "19" }, "uris" : [ "http://www.mendeley.com/documents/?uuid=8b2ee8f8-8df3-40a6-9e02-54c12de7daaa" ] } ], "mendeley" : { "formattedCitation" : "&lt;sup&gt;[65]&lt;/sup&gt;", "plainTextFormattedCitation" : "[65]", "previouslyFormattedCitation" : "&lt;sup&gt;[65]&lt;/sup&gt;"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[65]</w:t>
      </w:r>
      <w:r w:rsidRPr="007D5B4E">
        <w:rPr>
          <w:rFonts w:ascii="Book Antiqua" w:hAnsi="Book Antiqua"/>
          <w:vertAlign w:val="superscript"/>
        </w:rPr>
        <w:fldChar w:fldCharType="end"/>
      </w:r>
      <w:r w:rsidRPr="007D5B4E">
        <w:rPr>
          <w:rFonts w:ascii="Book Antiqua" w:hAnsi="Book Antiqua"/>
        </w:rPr>
        <w:t xml:space="preserve">. There have since been studies looking at the efficacy of </w:t>
      </w:r>
      <w:proofErr w:type="spellStart"/>
      <w:r w:rsidRPr="007D5B4E">
        <w:rPr>
          <w:rFonts w:ascii="Book Antiqua" w:hAnsi="Book Antiqua"/>
        </w:rPr>
        <w:t>gefitinib</w:t>
      </w:r>
      <w:proofErr w:type="spellEnd"/>
      <w:r w:rsidRPr="007D5B4E">
        <w:rPr>
          <w:rFonts w:ascii="Book Antiqua" w:hAnsi="Book Antiqua"/>
        </w:rPr>
        <w:t xml:space="preserve"> in select groups of patients, initially based on demographic considerations such as non-smokers, Asians, and women, and later based on specific activating mutations</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"10.1056/NEJMoa0810699", "ISSN" : "0028-4793", "PMID" : "19692680", "author" : [ { "dropping-particle" : "", "family" : "Mok", "given" : "Tony S", "non-dropping-particle" : "", "parse-names" : false, "suffix" : "" }, { "dropping-particle" : "", "family" : "Wu", "given" : "Yi-Long", "non-dropping-particle" : "", "parse-names" : false, "suffix" : "" }, { "dropping-particle" : "", "family" : "Thongprasert", "given" : "Sumitra", "non-dropping-particle" : "", "parse-names" : false, "suffix" : "" }, { "dropping-particle" : "", "family" : "Yang", "given" : "Chih-Hsin", "non-dropping-particle" : "", "parse-names" : false, "suffix" : "" }, { "dropping-particle" : "", "family" : "Chu", "given" : "Da-Tong", "non-dropping-particle" : "", "parse-names" : false, "suffix" : "" }, { "dropping-particle" : "", "family" : "Saijo", "given" : "Nagahiro", "non-dropping-particle" : "", "parse-names" : false, "suffix" : "" }, { "dropping-particle" : "", "family" : "Sunpaweravong", "given" : "Patrapim", "non-dropping-particle" : "", "parse-names" : false, "suffix" : "" }, { "dropping-particle" : "", "family" : "Han", "given" : "Baohui", "non-dropping-particle" : "", "parse-names" : false, "suffix" : "" }, { "dropping-particle" : "", "family" : "Margono", "given" : "Benjamin", "non-dropping-particle" : "", "parse-names" : false, "suffix" : "" }, { "dropping-particle" : "", "family" : "Ichinose", "given" : "Yukito", "non-dropping-particle" : "", "parse-names" : false, "suffix" : "" }, { "dropping-particle" : "", "family" : "Nishiwaki", "given" : "Yutaka", "non-dropping-particle" : "", "parse-names" : false, "suffix" : "" }, { "dropping-particle" : "", "family" : "Ohe", "given" : "Yuichiro", "non-dropping-particle" : "", "parse-names" : false, "suffix" : "" }, { "dropping-particle" : "", "family" : "Yang", "given" : "Jin-Ji", "non-dropping-particle" : "", "parse-names" : false, "suffix" : "" }, { "dropping-particle" : "", "family" : "Chewaskulyong", "given" : "Busyamas", "non-dropping-particle" : "", "parse-names" : false, "suffix" : "" }, { "dropping-particle" : "", "family" : "Jiang", "given" : "Haiyi", "non-dropping-particle" : "", "parse-names" : false, "suffix" : "" }, { "dropping-particle" : "", "family" : "Duffield", "given" : "Emma L", "non-dropping-particle" : "", "parse-names" : false, "suffix" : "" }, { "dropping-particle" : "", "family" : "Watkins", "given" : "Claire L", "non-dropping-particle" : "", "parse-names" : false, "suffix" : "" }, { "dropping-particle" : "", "family" : "Armour", "given" : "Alison A", "non-dropping-particle" : "", "parse-names" : false, "suffix" : "" }, { "dropping-particle" : "", "family" : "Fukuoka", "given" : "Masahiro", "non-dropping-particle" : "", "parse-names" : false, "suffix" : "" } ], "container-title" : "New England Journal of Medicine", "id" : "ITEM-1", "issue" : "10", "issued" : { "date-parts" : [ [ "2009", "8", "31" ] ] }, "note" : "doi: 10.1056/NEJMoa0810699", "page" : "947-957", "publisher" : "Massachusetts Medical Society", "title" : "Gefitinib or Carboplatin\u2013Paclitaxel in Pulmonary Adenocarcinoma", "type" : "article-journal", "volume" : "361" }, "uris" : [ "http://www.mendeley.com/documents/?uuid=62619916-fe69-4aa5-8921-20ef11abe831" ] }, { "id" : "ITEM-2", "itemData" : { "DOI" : "10.1056/NEJMoa0909530", "ISSN" : "0028-4793", "PMID" : "20573926", "author" : [ { "dropping-particle" : "", "family" : "Maemondo", "given" : "Makoto", "non-dropping-particle" : "", "parse-names" : false, "suffix" : "" }, { "dropping-particle" : "", "family" : "Inoue", "given" : "Akira", "non-dropping-particle" : "", "parse-names" : false, "suffix" : "" }, { "dropping-particle" : "", "family" : "Kobayashi", "given" : "Kunihiko", "non-dropping-particle" : "", "parse-names" : false, "suffix" : "" }, { "dropping-particle" : "", "family" : "Sugawara", "given" : "Shunichi", "non-dropping-particle" : "", "parse-names" : false, "suffix" : "" }, { "dropping-particle" : "", "family" : "Oizumi", "given" : "Satoshi", "non-dropping-particle" : "", "parse-names" : false, "suffix" : "" }, { "dropping-particle" : "", "family" : "Isobe", "given" : "Hiroshi", "non-dropping-particle" : "", "parse-names" : false, "suffix" : "" }, { "dropping-particle" : "", "family" : "Gemma", "given" : "Akihiko", "non-dropping-particle" : "", "parse-names" : false, "suffix" : "" }, { "dropping-particle" : "", "family" : "Harada", "given" : "Masao", "non-dropping-particle" : "", "parse-names" : false, "suffix" : "" }, { "dropping-particle" : "", "family" : "Yoshizawa", "given" : "Hirohisa", "non-dropping-particle" : "", "parse-names" : false, "suffix" : "" }, { "dropping-particle" : "", "family" : "Kinoshita", "given" : "Ichiro", "non-dropping-particle" : "", "parse-names" : false, "suffix" : "" }, { "dropping-particle" : "", "family" : "Fujita", "given" : "Yuka", "non-dropping-particle" : "", "parse-names" : false, "suffix" : "" }, { "dropping-particle" : "", "family" : "Okinaga", "given" : "Shoji", "non-dropping-particle" : "", "parse-names" : false, "suffix" : "" }, { "dropping-particle" : "", "family" : "Hirano", "given" : "Haruto", "non-dropping-particle" : "", "parse-names" : false, "suffix" : "" }, { "dropping-particle" : "", "family" : "Yoshimori", "given" : "Kozo", "non-dropping-particle" : "", "parse-names" : false, "suffix" : "" }, { "dropping-particle" : "", "family" : "Harada", "given" : "Toshiyuki", "non-dropping-particle" : "", "parse-names" : false, "suffix" : "" }, { "dropping-particle" : "", "family" : "Ogura", "given" : "Takashi", "non-dropping-particle" : "", "parse-names" : false, "suffix" : "" }, { "dropping-particle" : "", "family" : "Ando", "given" : "Masahiro", "non-dropping-particle" : "", "parse-names" : false, "suffix" : "" }, { "dropping-particle" : "", "family" : "Miyazawa", "given" : "Hitoshi", "non-dropping-particle" : "", "parse-names" : false, "suffix" : "" }, { "dropping-particle" : "", "family" : "Tanaka", "given" : "Tomoaki", "non-dropping-particle" : "", "parse-names" : false, "suffix" : "" }, { "dropping-particle" : "", "family" : "Saijo", "given" : "Yasuo", "non-dropping-particle" : "", "parse-names" : false, "suffix" : "" }, { "dropping-particle" : "", "family" : "Hagiwara", "given" : "Koichi", "non-dropping-particle" : "", "parse-names" : false, "suffix" : "" }, { "dropping-particle" : "", "family" : "Morita", "given" : "Satoshi", "non-dropping-particle" : "", "parse-names" : false, "suffix" : "" }, { "dropping-particle" : "", "family" : "Nukiwa", "given" : "Toshihiro", "non-dropping-particle" : "", "parse-names" : false, "suffix" : "" } ], "container-title" : "New England Journal of Medicine", "id" : "ITEM-2", "issue" : "25", "issued" : { "date-parts" : [ [ "2010", "6", "24" ] ] }, "note" : "doi: 10.1056/NEJMoa0909530", "page" : "2380-2388", "publisher" : "Massachusetts Medical Society", "title" : "Gefitinib or Chemotherapy for Non\u2013Small-Cell Lung Cancer with Mutated EGFR", "type" : "article-journal", "volume" : "362" }, "uris" : [ "http://www.mendeley.com/documents/?uuid=ab796b26-3a0a-41cf-9177-cc4ff28f3421" ] } ], "mendeley" : { "formattedCitation" : "&lt;sup&gt;[66,67]&lt;/sup&gt;", "plainTextFormattedCitation" : "[66,67]", "previouslyFormattedCitation" : "&lt;sup&gt;[66,67]&lt;/sup&gt;"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[66,67]</w:t>
      </w:r>
      <w:r w:rsidRPr="007D5B4E">
        <w:rPr>
          <w:rFonts w:ascii="Book Antiqua" w:hAnsi="Book Antiqua"/>
          <w:vertAlign w:val="superscript"/>
        </w:rPr>
        <w:fldChar w:fldCharType="end"/>
      </w:r>
      <w:r w:rsidRPr="007D5B4E">
        <w:rPr>
          <w:rFonts w:ascii="Book Antiqua" w:hAnsi="Book Antiqua"/>
        </w:rPr>
        <w:t xml:space="preserve">, underscoring the importance of careful patient selection in maximizing the success of these targeted agents. </w:t>
      </w:r>
      <w:proofErr w:type="spellStart"/>
      <w:r w:rsidRPr="007D5B4E">
        <w:rPr>
          <w:rFonts w:ascii="Book Antiqua" w:hAnsi="Book Antiqua"/>
        </w:rPr>
        <w:t>Erlotinib</w:t>
      </w:r>
      <w:proofErr w:type="spellEnd"/>
      <w:r w:rsidRPr="007D5B4E">
        <w:rPr>
          <w:rFonts w:ascii="Book Antiqua" w:hAnsi="Book Antiqua"/>
        </w:rPr>
        <w:t xml:space="preserve"> is currently approved for second-line treatment of patients with locally advanced or metastatic NSCLC and first-line treatment for patients with locally advanced, </w:t>
      </w:r>
      <w:proofErr w:type="spellStart"/>
      <w:r w:rsidRPr="007D5B4E">
        <w:rPr>
          <w:rFonts w:ascii="Book Antiqua" w:hAnsi="Book Antiqua"/>
        </w:rPr>
        <w:t>unresectable</w:t>
      </w:r>
      <w:proofErr w:type="spellEnd"/>
      <w:r w:rsidRPr="007D5B4E">
        <w:rPr>
          <w:rFonts w:ascii="Book Antiqua" w:hAnsi="Book Antiqua"/>
        </w:rPr>
        <w:t>, or metastatic pancreatic cancer in combination with gemcitabine</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"author" : [ { "dropping-particle" : "", "family" : "Chabner", "given" : "BA", "non-dropping-particle" : "", "parse-names" : false, "suffix" : "" }, { "dropping-particle" : "", "family" : "Barnes", "given" : "J", "non-dropping-particle" : "", "parse-names" : false, "suffix" : "" }, { "dropping-particle" : "", "family" : "Neal", "given" : "J", "non-dropping-particle" : "", "parse-names" : false, "suffix" : "" }, { "dropping-particle" : "", "family" : "Olson", "given" : "E", "non-dropping-particle" : "", "parse-names" : false, "suffix" : "" }, { "dropping-particle" : "", "family" : "Mujagic", "given" : "H", "non-dropping-particle" : "", "parse-names" : false, "suffix" : "" }, { "dropping-particle" : "", "family" : "Sequist", "given" : "L", "non-dropping-particle" : "", "parse-names" : false, "suffix" : "" }, { "dropping-particle" : "", "family" : "Wilson", "given" : "W", "non-dropping-particle" : "", "parse-names" : false, "suffix" : "" }, { "dropping-particle" : "", "family" : "Longo", "given" : "DL", "non-dropping-particle" : "", "parse-names" : false, "suffix" : "" }, { "dropping-particle" : "", "family" : "Mitsiades", "given" : "C", "non-dropping-particle" : "", "parse-names" : false, "suffix" : "" }, { "dropping-particle" : "", "family" : "Richardson", "given" : "P", "non-dropping-particle" : "", "parse-names" : false, "suffix" : "" } ], "container-title" : "Goodman &amp; Gilman's The Pharmacological Basis of Therapeutics", "edition" : "12e", "id" : "ITEM-1", "issued" : { "date-parts" : [ [ "2011" ] ] }, "page" : "Chapter 62", "publisher" : "New York, NY: McGraw-Hill", "title" : "Targeted Therapies: Tyrosine Kinase Inhibitors, Monoclonal Antibodies, and Cytokines", "type" : "chapter" }, "uris" : [ "http://www.mendeley.com/documents/?uuid=6c9a0a09-5b76-496c-b91b-48ad6c6ec664" ] } ], "mendeley" : { "formattedCitation" : "&lt;sup&gt;[55]&lt;/sup&gt;", "plainTextFormattedCitation" : "[55]", "previouslyFormattedCitation" : "&lt;sup&gt;[55]&lt;/sup&gt;"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[55]</w:t>
      </w:r>
      <w:r w:rsidRPr="007D5B4E">
        <w:rPr>
          <w:rFonts w:ascii="Book Antiqua" w:hAnsi="Book Antiqua"/>
          <w:vertAlign w:val="superscript"/>
        </w:rPr>
        <w:fldChar w:fldCharType="end"/>
      </w:r>
      <w:r w:rsidRPr="007D5B4E">
        <w:rPr>
          <w:rFonts w:ascii="Book Antiqua" w:hAnsi="Book Antiqua"/>
        </w:rPr>
        <w:t xml:space="preserve">. Recent studies have looked at the combination of </w:t>
      </w:r>
      <w:proofErr w:type="spellStart"/>
      <w:r w:rsidRPr="007D5B4E">
        <w:rPr>
          <w:rFonts w:ascii="Book Antiqua" w:hAnsi="Book Antiqua"/>
        </w:rPr>
        <w:t>cetuximab</w:t>
      </w:r>
      <w:proofErr w:type="spellEnd"/>
      <w:r w:rsidRPr="007D5B4E">
        <w:rPr>
          <w:rFonts w:ascii="Book Antiqua" w:hAnsi="Book Antiqua"/>
        </w:rPr>
        <w:t xml:space="preserve"> and </w:t>
      </w:r>
      <w:proofErr w:type="spellStart"/>
      <w:r w:rsidRPr="007D5B4E">
        <w:rPr>
          <w:rFonts w:ascii="Book Antiqua" w:hAnsi="Book Antiqua"/>
        </w:rPr>
        <w:t>erlotinib</w:t>
      </w:r>
      <w:proofErr w:type="spellEnd"/>
      <w:r w:rsidRPr="007D5B4E">
        <w:rPr>
          <w:rFonts w:ascii="Book Antiqua" w:hAnsi="Book Antiqua"/>
        </w:rPr>
        <w:t xml:space="preserve"> in the treatment of chemotherapy-refractory metastatic CRC with promising results. These studies demonstrated improvement in response rates </w:t>
      </w:r>
      <w:r w:rsidRPr="007D5B4E">
        <w:rPr>
          <w:rFonts w:ascii="Book Antiqua" w:hAnsi="Book Antiqua"/>
        </w:rPr>
        <w:lastRenderedPageBreak/>
        <w:t>and progression free survival (PFS) in patients with tumors having wild type EGFR compared to failures in the patients with tumors having mutant EGFR</w:t>
      </w:r>
      <w:r w:rsidRPr="007D5B4E">
        <w:rPr>
          <w:rFonts w:ascii="Book Antiqua" w:hAnsi="Book Antiqua"/>
          <w:vertAlign w:val="superscript"/>
        </w:rPr>
        <w:fldChar w:fldCharType="begin" w:fldLock="1"/>
      </w:r>
      <w:r w:rsidR="007C7B04" w:rsidRPr="007D5B4E">
        <w:rPr>
          <w:rFonts w:ascii="Book Antiqua" w:hAnsi="Book Antiqua"/>
          <w:vertAlign w:val="superscript"/>
        </w:rPr>
        <w:instrText>ADDIN CSL_CITATION { "citationItems" : [ { "id" : "ITEM-1", "itemData" : { "DOI" : "10.1200/JCO.2011.38.6599", "ISSN" : "0732-183X", "PMID" : "22412142", "abstract" : "PURPOSEThis preclinical and phase II study evaluated the efficacy and safety of the combination of cetuximab and erlotinib in metastatic colorectal cancer (mCRC). PATIENTS AND METHODSThe activity and mechanism of action of the combination of cetuximab plus erlotinib were investigated in vitro in colorectal cancer cell lines. In the clinical study, patients with chemotherapy-refractory mCRC were treated with cetuximab 400 mg/m(2) as a loading dose and then weekly cetuximab 250 mg/m(2) with erlotinib 100 mg orally daily. The primary end point was response rate (RR), which was evaluated separately in KRAS wild-type (WT) versus KRAS mutant tumors. Secondary end points included toxicity, progression-free survival (PFS), and overall survival. Target accrual was 50 patients, with a one-stage design.ResultsPreclinical studies demonstrated synergistic activity of cetuximab and erlotinib cotreatment on growth inhibition of colon cancer cell lines both as a result of enhanced inhibition of the epidermal growth factor receptor pathway and differential effects on STAT3. In the clinical study, 50 patients were enrolled, with 48 patients evaluable for response. The overall RR was 31% (95% CI, 26% to 57%), with a median PFS of 4.6 months (95% CI, 2.8 to 5.6 months). RR was 41% (95% CI, 26% to 57%) in KRAS WT tumors, with a median PFS of 5.6 months (95% CI, 2.9 to 5.6 months). There was no response in 11 patients with KRAS mutations. Frequent grade 3 and 4 toxicities were rash (48%), hypomagnesaemia (18%), and fatigue (10%). CONCLUSIONThe combination of cetuximab and erlotinib synergistically inhibits growth of colon cancer cell lines, achieves promising efficacy in patients with KRAS WT mCRC, and merits evaluation in further randomized studies.", "author" : [ { "dropping-particle" : "", "family" : "Weickhardt", "given" : "a. J.", "non-dropping-particle" : "", "parse-names" : false, "suffix" : "" }, { "dropping-particle" : "", "family" : "Price", "given" : "T. J.", "non-dropping-particle" : "", "parse-names" : false, "suffix" : "" }, { "dropping-particle" : "", "family" : "Chong", "given" : "G.", "non-dropping-particle" : "", "parse-names" : false, "suffix" : "" }, { "dropping-particle" : "", "family" : "Gebski", "given" : "V.", "non-dropping-particle" : "", "parse-names" : false, "suffix" : "" }, { "dropping-particle" : "", "family" : "Pavlakis", "given" : "N.", "non-dropping-particle" : "", "parse-names" : false, "suffix" : "" }, { "dropping-particle" : "", "family" : "Johns", "given" : "T. G.", "non-dropping-particle" : "", "parse-names" : false, "suffix" : "" }, { "dropping-particle" : "", "family" : "Azad", "given" : "a.", "non-dropping-particle" : "", "parse-names" : false, "suffix" : "" }, { "dropping-particle" : "", "family" : "Skrinos", "given" : "E.", "non-dropping-particle" : "", "parse-names" : false, "suffix" : "" }, { "dropping-particle" : "", "family" : "Fluck", "given" : "K.", "non-dropping-particle" : "", "parse-names" : false, "suffix" : "" }, { "dropping-particle" : "", "family" : "Dobrovic", "given" : "a.", "non-dropping-particle" : "", "parse-names" : false, "suffix" : "" }, { "dropping-particle" : "", "family" : "Salemi", "given" : "R.", "non-dropping-particle" : "", "parse-names" : false, "suffix" : "" }, { "dropping-particle" : "", "family" : "Scott", "given" : "a. M.", "non-dropping-particle" : "", "parse-names" : false, "suffix" : "" }, { "dropping-particle" : "", "family" : "Mariadason", "given" : "J. M.", "non-dropping-particle" : "", "parse-names" : false, "suffix" : "" }, { "dropping-particle" : "", "family" : "Tebbutt", "given" : "N. C.", "non-dropping-particle" : "", "parse-names" : false, "suffix" : "" } ], "container-title" : "Journal of Clinical Oncology", "id" : "ITEM-1", "issue" : "13", "issued" : { "date-parts" : [ [ "2012" ] ] }, "page" : "1505-1512", "title" : "Dual Targeting of the Epidermal Growth Factor Receptor Using the Combination of Cetuximab and Erlotinib: Preclinical Evaluation and Results of the Phase II DUX Study in Chemotherapy-Refractory, Advanced Colorectal Cancer", "type" : "article-journal", "volume" : "30" }, "uris" : [ "http://www.mendeley.com/documents/?uuid=3fed4e4a-4258-4a73-ab4c-31f9407d868a" ] } ], "mendeley" : { "formattedCitation" : "&lt;sup&gt;[68]&lt;/sup&gt;", "plainTextFormattedCitation" : "[68]", "previouslyFormattedCitation" : "&lt;sup&gt;[68]&lt;/sup&gt;" }, "properties" : { "noteIndex" : 0 }, "schema" : "https://github.com/citation-style-language/schema/raw/master/csl-citation.json" }</w:instrText>
      </w:r>
      <w:r w:rsidRPr="007D5B4E">
        <w:rPr>
          <w:rFonts w:ascii="Book Antiqua" w:hAnsi="Book Antiqua"/>
          <w:vertAlign w:val="superscript"/>
        </w:rPr>
        <w:fldChar w:fldCharType="separate"/>
      </w:r>
      <w:r w:rsidR="009259AF" w:rsidRPr="007D5B4E">
        <w:rPr>
          <w:rFonts w:ascii="Book Antiqua" w:hAnsi="Book Antiqua"/>
          <w:noProof/>
          <w:vertAlign w:val="superscript"/>
        </w:rPr>
        <w:t>[68]</w:t>
      </w:r>
      <w:r w:rsidRPr="007D5B4E">
        <w:rPr>
          <w:rFonts w:ascii="Book Antiqua" w:hAnsi="Book Antiqua"/>
          <w:vertAlign w:val="superscript"/>
        </w:rPr>
        <w:fldChar w:fldCharType="end"/>
      </w:r>
      <w:r w:rsidRPr="007D5B4E">
        <w:rPr>
          <w:rFonts w:ascii="Book Antiqua" w:hAnsi="Book Antiqua"/>
        </w:rPr>
        <w:t>.</w:t>
      </w:r>
    </w:p>
    <w:p w14:paraId="0F24FBD5" w14:textId="77777777" w:rsidR="007D5B4E" w:rsidRPr="007D5B4E" w:rsidRDefault="00F950CC" w:rsidP="00240E68">
      <w:pPr>
        <w:pStyle w:val="NormalWeb"/>
        <w:spacing w:before="0" w:beforeAutospacing="0" w:after="0" w:afterAutospacing="0" w:line="360" w:lineRule="auto"/>
        <w:ind w:firstLineChars="200" w:firstLine="480"/>
        <w:jc w:val="both"/>
        <w:divId w:val="1281885178"/>
        <w:rPr>
          <w:rFonts w:ascii="Book Antiqua" w:eastAsia="宋体" w:hAnsi="Book Antiqua"/>
          <w:sz w:val="24"/>
          <w:szCs w:val="24"/>
          <w:lang w:eastAsia="zh-CN"/>
        </w:rPr>
      </w:pPr>
      <w:r w:rsidRPr="007D5B4E">
        <w:rPr>
          <w:rFonts w:ascii="Book Antiqua" w:hAnsi="Book Antiqua"/>
          <w:sz w:val="24"/>
          <w:szCs w:val="24"/>
        </w:rPr>
        <w:t>These studies point to the importance of assessing the mutation status of EGFR and KRAS when using EGFR targeted therapies. It should be noted that there are many other factors that determine a given patient's initial and subsequent response to therapy. This is highlighted by the fact that KRAS mutations only account for approximately 30</w:t>
      </w:r>
      <w:r w:rsidR="007D5B4E" w:rsidRPr="007D5B4E">
        <w:rPr>
          <w:rFonts w:ascii="Book Antiqua" w:eastAsia="宋体" w:hAnsi="Book Antiqua"/>
          <w:sz w:val="24"/>
          <w:szCs w:val="24"/>
          <w:lang w:eastAsia="zh-CN"/>
        </w:rPr>
        <w:t>%</w:t>
      </w:r>
      <w:r w:rsidRPr="007D5B4E">
        <w:rPr>
          <w:rFonts w:ascii="Book Antiqua" w:hAnsi="Book Antiqua"/>
          <w:sz w:val="24"/>
          <w:szCs w:val="24"/>
        </w:rPr>
        <w:t xml:space="preserve">-40% of nonresponsive </w:t>
      </w:r>
      <w:proofErr w:type="gramStart"/>
      <w:r w:rsidRPr="007D5B4E">
        <w:rPr>
          <w:rFonts w:ascii="Book Antiqua" w:hAnsi="Book Antiqua"/>
          <w:sz w:val="24"/>
          <w:szCs w:val="24"/>
        </w:rPr>
        <w:t>patients</w:t>
      </w:r>
      <w:r w:rsidR="007D5B4E" w:rsidRPr="007D5B4E">
        <w:rPr>
          <w:rFonts w:ascii="Book Antiqua" w:eastAsia="宋体" w:hAnsi="Book Antiqua"/>
          <w:sz w:val="24"/>
          <w:szCs w:val="24"/>
          <w:vertAlign w:val="superscript"/>
          <w:lang w:eastAsia="zh-CN"/>
        </w:rPr>
        <w:t>[</w:t>
      </w:r>
      <w:proofErr w:type="gramEnd"/>
      <w:r w:rsidR="007D5B4E" w:rsidRPr="007D5B4E">
        <w:rPr>
          <w:rFonts w:ascii="Book Antiqua" w:eastAsia="宋体" w:hAnsi="Book Antiqua"/>
          <w:sz w:val="24"/>
          <w:szCs w:val="24"/>
          <w:vertAlign w:val="superscript"/>
          <w:lang w:eastAsia="zh-CN"/>
        </w:rPr>
        <w:t>60,69]</w:t>
      </w:r>
      <w:r w:rsidRPr="007D5B4E">
        <w:rPr>
          <w:rFonts w:ascii="Book Antiqua" w:hAnsi="Book Antiqua"/>
          <w:sz w:val="24"/>
          <w:szCs w:val="24"/>
        </w:rPr>
        <w:t xml:space="preserve">. Mutations in other downstream signaling molecules such as BRAF have been shown to correlate with unresponsiveness to </w:t>
      </w:r>
      <w:proofErr w:type="spellStart"/>
      <w:r w:rsidRPr="007D5B4E">
        <w:rPr>
          <w:rFonts w:ascii="Book Antiqua" w:hAnsi="Book Antiqua"/>
          <w:sz w:val="24"/>
          <w:szCs w:val="24"/>
        </w:rPr>
        <w:t>cetuximab</w:t>
      </w:r>
      <w:proofErr w:type="spellEnd"/>
      <w:r w:rsidRPr="007D5B4E">
        <w:rPr>
          <w:rFonts w:ascii="Book Antiqua" w:hAnsi="Book Antiqua"/>
          <w:sz w:val="24"/>
          <w:szCs w:val="24"/>
        </w:rPr>
        <w:t xml:space="preserve"> and </w:t>
      </w:r>
      <w:proofErr w:type="spellStart"/>
      <w:r w:rsidRPr="007D5B4E">
        <w:rPr>
          <w:rFonts w:ascii="Book Antiqua" w:hAnsi="Book Antiqua"/>
          <w:sz w:val="24"/>
          <w:szCs w:val="24"/>
        </w:rPr>
        <w:t>panitumumab</w:t>
      </w:r>
      <w:proofErr w:type="spellEnd"/>
      <w:r w:rsidRPr="007D5B4E">
        <w:rPr>
          <w:rFonts w:ascii="Book Antiqua" w:hAnsi="Book Antiqua"/>
          <w:sz w:val="24"/>
          <w:szCs w:val="24"/>
          <w:vertAlign w:val="superscript"/>
        </w:rPr>
        <w:fldChar w:fldCharType="begin" w:fldLock="1"/>
      </w:r>
      <w:r w:rsidR="007C7B04" w:rsidRPr="007D5B4E">
        <w:rPr>
          <w:rFonts w:ascii="Book Antiqua" w:hAnsi="Book Antiqua"/>
          <w:sz w:val="24"/>
          <w:szCs w:val="24"/>
          <w:vertAlign w:val="superscript"/>
        </w:rPr>
        <w:instrText>ADDIN CSL_CITATION { "citationItems" : [ { "id" : "ITEM-1", "itemData" : { "DOI" : "10.1200/JCO.2008.18.0786", "ISBN" : "10.1200/JCO.2007.14.7116", "ISSN" : "0732183X", "PMID" : "19001320", "abstract" : "PURPOSE Cetuximab or panitumumab are effective in 10% to 20% unselected metastatic colorectal cancer (CRC) patients. KRAS mutations account for approximately 30% to 40% patients who are not responsive. The serine-threonine kinase BRAF is the principal effector of KRAS. We hypothesized that, in KRAS wild-type patients, BRAF mutations could have a predictive/prognostic value. PATIENTS AND METHODS We retrospectively analyzed objective tumor responses, time to progression, overall survival (OS), and the mutational status of KRAS and BRAF in 113 tumors from cetuximab- or panitumumab-treated metastatic CRC patients. The effect of the BRAF V600E mutation on cetuximab or panitumumab response was also assessed using cellular models of CRC. Results KRAS mutations were present in 30% of the patients and were associated with resistance to cetuximab or panitumumab (P = .011). The BRAF V600E mutation was detected in 11 of 79 patients who had wild-type KRAS. None of the BRAF-mutated patients responded to treatment, whereas none of the responders carried BRAF mutations (P = .029). BRAF-mutated patients had significantly shorter progression-free survival (P = .011) and OS (P &lt; .0001) than wild-type patients. In CRC cells, the introduction of BRAF V600E allele impaired the therapeutic effect of cetuximab or panitumumab. Treatment with the BRAF inhibitor sorafenib restored sensitivity to panitumumab or cetuximab of CRC cells carrying the V600E allele. CONCLUSION BRAF wild-type is required for response to panitumumab or cetuximab and could be used to select patients who are eligible for the treatment. Double-hit therapies aimed at simultaneous inhibition of epidermal growth factor receptor and BRAF warrant exploration in CRC patients carrying the V600E oncogenic mutation.", "author" : [ { "dropping-particle" : "", "family" : "Nicolantonio", "given" : "Federica", "non-dropping-particle" : "Di", "parse-names" : false, "suffix" : "" }, { "dropping-particle" : "", "family" : "Martini", "given" : "Miriam", "non-dropping-particle" : "", "parse-names" : false, "suffix" : "" }, { "dropping-particle" : "", "family" : "Molinari", "given" : "Francesca", "non-dropping-particle" : "", "parse-names" : false, "suffix" : "" }, { "dropping-particle" : "", "family" : "Sartore-Bianchi", "given" : "Andrea", "non-dropping-particle" : "", "parse-names" : false, "suffix" : "" }, { "dropping-particle" : "", "family" : "Arena", "given" : "Sabrina", "non-dropping-particle" : "", "parse-names" : false, "suffix" : "" }, { "dropping-particle" : "", "family" : "Saletti", "given" : "Piercarlo", "non-dropping-particle" : "", "parse-names" : false, "suffix" : "" }, { "dropping-particle" : "", "family" : "Dosso", "given" : "Sara", "non-dropping-particle" : "De", "parse-names" : false, "suffix" : "" }, { "dropping-particle" : "", "family" : "Mazzucchelli", "given" : "Luca", "non-dropping-particle" : "", "parse-names" : false, "suffix" : "" }, { "dropping-particle" : "", "family" : "Frattini", "given" : "Milo", "non-dropping-particle" : "", "parse-names" : false, "suffix" : "" }, { "dropping-particle" : "", "family" : "Siena", "given" : "Salvatore", "non-dropping-particle" : "", "parse-names" : false, "suffix" : "" }, { "dropping-particle" : "", "family" : "Bardelli", "given" : "Alberto", "non-dropping-particle" : "", "parse-names" : false, "suffix" : "" } ], "container-title" : "Journal of Clinical Oncology", "id" : "ITEM-1", "issue" : "35", "issued" : { "date-parts" : [ [ "2008" ] ] }, "page" : "5705-5712", "title" : "Wild-type BRAF is required for response to panitumumab or cetuximab in metastatic colorectal cancer", "type" : "article-journal", "volume" : "26" }, "uris" : [ "http://www.mendeley.com/documents/?uuid=b7844189-e3c8-4fb3-9176-d5f439059966" ] } ], "mendeley" : { "formattedCitation" : "&lt;sup&gt;[70]&lt;/sup&gt;", "plainTextFormattedCitation" : "[70]", "previouslyFormattedCitation" : "&lt;sup&gt;[70]&lt;/sup&gt;" }, "properties" : { "noteIndex" : 0 }, "schema" : "https://github.com/citation-style-language/schema/raw/master/csl-citation.json" }</w:instrText>
      </w:r>
      <w:r w:rsidRPr="007D5B4E">
        <w:rPr>
          <w:rFonts w:ascii="Book Antiqua" w:hAnsi="Book Antiqua"/>
          <w:sz w:val="24"/>
          <w:szCs w:val="24"/>
          <w:vertAlign w:val="superscript"/>
        </w:rPr>
        <w:fldChar w:fldCharType="separate"/>
      </w:r>
      <w:r w:rsidR="009259AF" w:rsidRPr="007D5B4E">
        <w:rPr>
          <w:rFonts w:ascii="Book Antiqua" w:hAnsi="Book Antiqua"/>
          <w:noProof/>
          <w:sz w:val="24"/>
          <w:szCs w:val="24"/>
          <w:vertAlign w:val="superscript"/>
        </w:rPr>
        <w:t>[70]</w:t>
      </w:r>
      <w:r w:rsidRPr="007D5B4E">
        <w:rPr>
          <w:rFonts w:ascii="Book Antiqua" w:hAnsi="Book Antiqua"/>
          <w:sz w:val="24"/>
          <w:szCs w:val="24"/>
          <w:vertAlign w:val="superscript"/>
        </w:rPr>
        <w:fldChar w:fldCharType="end"/>
      </w:r>
      <w:r w:rsidRPr="007D5B4E">
        <w:rPr>
          <w:rFonts w:ascii="Book Antiqua" w:hAnsi="Book Antiqua"/>
          <w:sz w:val="24"/>
          <w:szCs w:val="24"/>
        </w:rPr>
        <w:t xml:space="preserve">. </w:t>
      </w:r>
      <w:proofErr w:type="spellStart"/>
      <w:r w:rsidRPr="007D5B4E">
        <w:rPr>
          <w:rFonts w:ascii="Book Antiqua" w:hAnsi="Book Antiqua"/>
          <w:sz w:val="24"/>
          <w:szCs w:val="24"/>
        </w:rPr>
        <w:t>Raf</w:t>
      </w:r>
      <w:proofErr w:type="spellEnd"/>
      <w:r w:rsidRPr="007D5B4E">
        <w:rPr>
          <w:rFonts w:ascii="Book Antiqua" w:hAnsi="Book Antiqua"/>
          <w:sz w:val="24"/>
          <w:szCs w:val="24"/>
        </w:rPr>
        <w:t xml:space="preserve"> proteins are principal downstream effectors of KRAS in the RAS-RAF-MEK-MAPKs signaling cascade.  They are activated directly by KRAS and serve to phosphorylate and activate the downstream kinase MEK, which phosphorylates ERK leading to numerous </w:t>
      </w:r>
      <w:proofErr w:type="spellStart"/>
      <w:r w:rsidRPr="007D5B4E">
        <w:rPr>
          <w:rFonts w:ascii="Book Antiqua" w:hAnsi="Book Antiqua"/>
          <w:sz w:val="24"/>
          <w:szCs w:val="24"/>
        </w:rPr>
        <w:t>Ras</w:t>
      </w:r>
      <w:proofErr w:type="spellEnd"/>
      <w:r w:rsidRPr="007D5B4E">
        <w:rPr>
          <w:rFonts w:ascii="Book Antiqua" w:hAnsi="Book Antiqua"/>
          <w:sz w:val="24"/>
          <w:szCs w:val="24"/>
        </w:rPr>
        <w:t>-induced cellular responses</w:t>
      </w:r>
      <w:r w:rsidRPr="007D5B4E">
        <w:rPr>
          <w:rFonts w:ascii="Book Antiqua" w:hAnsi="Book Antiqua"/>
          <w:sz w:val="24"/>
          <w:szCs w:val="24"/>
          <w:vertAlign w:val="superscript"/>
        </w:rPr>
        <w:fldChar w:fldCharType="begin" w:fldLock="1"/>
      </w:r>
      <w:r w:rsidR="007C7B04" w:rsidRPr="007D5B4E">
        <w:rPr>
          <w:rFonts w:ascii="Book Antiqua" w:hAnsi="Book Antiqua"/>
          <w:sz w:val="24"/>
          <w:szCs w:val="24"/>
          <w:vertAlign w:val="superscript"/>
        </w:rPr>
        <w:instrText>ADDIN CSL_CITATION { "citationItems" : [ { "id" : "ITEM-1", "itemData" : { "DOI" : "10.1016/0092-8674(95)90403-4", "ISSN" : "00928674", "PMID" : "7834740", "author" : [ { "dropping-particle" : "", "family" : "Hill", "given" : "Caroline S", "non-dropping-particle" : "", "parse-names" : false, "suffix" : "" }, { "dropping-particle" : "", "family" : "Treisman", "given" : "Richard", "non-dropping-particle" : "", "parse-names" : false, "suffix" : "" } ], "container-title" : "Cell", "id" : "ITEM-1", "issue" : "2", "issued" : { "date-parts" : [ [ "1995", "1" ] ] }, "page" : "199-211", "title" : "Transcriptional Regulation by Extracellular signals: Mechanisms and Specificity", "type" : "article-journal", "volume" : "80" }, "uris" : [ "http://www.mendeley.com/documents/?uuid=32819c67-a3df-4589-8df3-50beea1ae5c9" ] }, { "id" : "ITEM-2", "itemData" : { "DOI" : "10.1093/emboj/19.20.5429", "ISSN" : "0261-4189", "PMID" : "11032810", "abstract" : "The Raf kinase family serves as a central intermediate to relay signals from Ras to ERK. The precise molecular mechanism for Raf activation is still not fully understood. Here we report that phosphorylation of Thr598 and Ser601, which lie between kinase subdomains VII and VIII, is essential for B-Raf activation by Ras. Substitution of these residues by alanine (B-RafAA) abolished Ras-induced B-Raf activation without altering the association of B-Raf with other signaling proteins. Phosphopeptide mapping and immunoblotting with phospho-specific antibodies confirmed that Thr598 and Ser601 are in vivo phosphorylation sites induced by Ras. Furthermore, replacement of these two sites by acidic residues (B-RafED) renders B-Raf constitutively active. Con sistent with these data, B-RafAA and B-RafED exhibited diminished and enhanced ability, respectively, to stimulate ERK activation and Elk-dependent transcription. Moreover, functional studies revealed that B-RafED was able to promote NIH 3T3 cell transformation and PC12 cell differentiation. Since Thr598 and Ser601 are conserved in all Raf family members from Caenorhabditis elegans to mammals, we propose that phosphorylation of these two residues may be a general mechanism for Raf activation.", "author" : [ { "dropping-particle" : "", "family" : "Zhang", "given" : "B H", "non-dropping-particle" : "", "parse-names" : false, "suffix" : "" }, { "dropping-particle" : "", "family" : "Guan", "given" : "K L", "non-dropping-particle" : "", "parse-names" : false, "suffix" : "" } ], "container-title" : "The EMBO journal", "id" : "ITEM-2", "issue" : "20", "issued" : { "date-parts" : [ [ "2000" ] ] }, "page" : "5429-5439", "title" : "Activation of B-Raf kinase requires phosphorylation of the conserved residues Thr598 and Ser601.", "type" : "article-journal", "volume" : "19" }, "uris" : [ "http://www.mendeley.com/documents/?uuid=61d99d3c-0dab-46c1-b389-2885754ac06f" ] } ], "mendeley" : { "formattedCitation" : "&lt;sup&gt;[71,72]&lt;/sup&gt;", "plainTextFormattedCitation" : "[71,72]", "previouslyFormattedCitation" : "&lt;sup&gt;[71,72]&lt;/sup&gt;" }, "properties" : { "noteIndex" : 0 }, "schema" : "https://github.com/citation-style-language/schema/raw/master/csl-citation.json" }</w:instrText>
      </w:r>
      <w:r w:rsidRPr="007D5B4E">
        <w:rPr>
          <w:rFonts w:ascii="Book Antiqua" w:hAnsi="Book Antiqua"/>
          <w:sz w:val="24"/>
          <w:szCs w:val="24"/>
          <w:vertAlign w:val="superscript"/>
        </w:rPr>
        <w:fldChar w:fldCharType="separate"/>
      </w:r>
      <w:r w:rsidR="009259AF" w:rsidRPr="007D5B4E">
        <w:rPr>
          <w:rFonts w:ascii="Book Antiqua" w:hAnsi="Book Antiqua"/>
          <w:noProof/>
          <w:sz w:val="24"/>
          <w:szCs w:val="24"/>
          <w:vertAlign w:val="superscript"/>
        </w:rPr>
        <w:t>[71,72]</w:t>
      </w:r>
      <w:r w:rsidRPr="007D5B4E">
        <w:rPr>
          <w:rFonts w:ascii="Book Antiqua" w:hAnsi="Book Antiqua"/>
          <w:sz w:val="24"/>
          <w:szCs w:val="24"/>
          <w:vertAlign w:val="superscript"/>
        </w:rPr>
        <w:fldChar w:fldCharType="end"/>
      </w:r>
      <w:r w:rsidRPr="007D5B4E">
        <w:rPr>
          <w:rFonts w:ascii="Book Antiqua" w:hAnsi="Book Antiqua"/>
          <w:sz w:val="24"/>
          <w:szCs w:val="24"/>
        </w:rPr>
        <w:t>. Specifically, BRAF has a higher affinity for MEK leading to stronger MEK stimulation than A-</w:t>
      </w:r>
      <w:proofErr w:type="spellStart"/>
      <w:r w:rsidRPr="007D5B4E">
        <w:rPr>
          <w:rFonts w:ascii="Book Antiqua" w:hAnsi="Book Antiqua"/>
          <w:sz w:val="24"/>
          <w:szCs w:val="24"/>
        </w:rPr>
        <w:t>Raf</w:t>
      </w:r>
      <w:proofErr w:type="spellEnd"/>
      <w:r w:rsidRPr="007D5B4E">
        <w:rPr>
          <w:rFonts w:ascii="Book Antiqua" w:hAnsi="Book Antiqua"/>
          <w:sz w:val="24"/>
          <w:szCs w:val="24"/>
        </w:rPr>
        <w:t xml:space="preserve"> or c-</w:t>
      </w:r>
      <w:proofErr w:type="spellStart"/>
      <w:r w:rsidRPr="007D5B4E">
        <w:rPr>
          <w:rFonts w:ascii="Book Antiqua" w:hAnsi="Book Antiqua"/>
          <w:sz w:val="24"/>
          <w:szCs w:val="24"/>
        </w:rPr>
        <w:t>Raf</w:t>
      </w:r>
      <w:proofErr w:type="spellEnd"/>
      <w:r w:rsidRPr="007D5B4E">
        <w:rPr>
          <w:rFonts w:ascii="Book Antiqua" w:hAnsi="Book Antiqua"/>
          <w:sz w:val="24"/>
          <w:szCs w:val="24"/>
        </w:rPr>
        <w:t>, and plays a critical role in promoting cell survival by activating the MAPK pathway</w:t>
      </w:r>
      <w:r w:rsidRPr="007D5B4E">
        <w:rPr>
          <w:rFonts w:ascii="Book Antiqua" w:hAnsi="Book Antiqua"/>
          <w:sz w:val="24"/>
          <w:szCs w:val="24"/>
          <w:vertAlign w:val="superscript"/>
        </w:rPr>
        <w:fldChar w:fldCharType="begin" w:fldLock="1"/>
      </w:r>
      <w:r w:rsidR="007C7B04" w:rsidRPr="007D5B4E">
        <w:rPr>
          <w:rFonts w:ascii="Book Antiqua" w:hAnsi="Book Antiqua"/>
          <w:sz w:val="24"/>
          <w:szCs w:val="24"/>
          <w:vertAlign w:val="superscript"/>
        </w:rPr>
        <w:instrText>ADDIN CSL_CITATION { "citationItems" : [ { "id" : "ITEM-1", "itemData" : { "ISBN" : "0270-7306", "ISSN" : "0270-7306", "PMID" : "10409722", "abstract" : "Growth factor-dependent kinases, such as phosphatidylinositol 3-kinase (PI 3-kinase) and Raf kinases, have been implicated in the suppression of apoptosis. We have recently established Rat-1 fibroblast cell lines overexpressing B-Raf, leading to activation of the MEK/Erk mitogen-activated protein kinase pathway. Overexpression of B-Raf confers resistance to apoptosis induced by growth factor withdrawal or PI 3-kinase inhibition. This is accompanied by constitutive activation of Erk without effects on the PI 3-kinase/Akt pathway. The activity of MEK is essential for cell survival mediated by B-Raf overexpression, since either treatment with the specific MEK inhibitor PD98059 or expression of a dominant inhibitory MEK mutant blocks the antiapoptotic activity of B-Raf. Activation of MEK is not only necessary but also sufficient for cell survival because overexpression of constitutively activated MEK, Ras, or Raf-1, like B-Raf, prevents apoptosis after growth factor deprivation. Overexpression of B-Raf did not interfere with the release of cytochrome c from mitochondria after growth factor deprivation. However, the addition of cytochrome c to cytosols of cells overexpressing B-Raf failed to induce caspase activation. It thus appears that the B-Raf/MEK/Erk pathway confers protection against apoptosis at the level of cytosolic caspase activation, downstream of the release of cytochrome c from mitochondria.", "author" : [ { "dropping-particle" : "", "family" : "Erhardt", "given" : "P", "non-dropping-particle" : "", "parse-names" : false, "suffix" : "" }, { "dropping-particle" : "", "family" : "Schremser", "given" : "E J", "non-dropping-particle" : "", "parse-names" : false, "suffix" : "" }, { "dropping-particle" : "", "family" : "Cooper", "given" : "G M", "non-dropping-particle" : "", "parse-names" : false, "suffix" : "" } ], "container-title" : "Molecular and cellular biology", "id" : "ITEM-1", "issue" : "8", "issued" : { "date-parts" : [ [ "1999" ] ] }, "page" : "5308-5315", "title" : "B-Raf inhibits programmed cell death downstream of cytochrome c release from mitochondria by activating the MEK/Erk pathway.", "type" : "article-journal", "volume" : "19" }, "uris" : [ "http://www.mendeley.com/documents/?uuid=fcb0c41e-7087-4ffb-862e-ec9b27769a4b" ] } ], "mendeley" : { "formattedCitation" : "&lt;sup&gt;[73]&lt;/sup&gt;", "plainTextFormattedCitation" : "[73]", "previouslyFormattedCitation" : "&lt;sup&gt;[73]&lt;/sup&gt;" }, "properties" : { "noteIndex" : 0 }, "schema" : "https://github.com/citation-style-language/schema/raw/master/csl-citation.json" }</w:instrText>
      </w:r>
      <w:r w:rsidRPr="007D5B4E">
        <w:rPr>
          <w:rFonts w:ascii="Book Antiqua" w:hAnsi="Book Antiqua"/>
          <w:sz w:val="24"/>
          <w:szCs w:val="24"/>
          <w:vertAlign w:val="superscript"/>
        </w:rPr>
        <w:fldChar w:fldCharType="separate"/>
      </w:r>
      <w:r w:rsidR="009259AF" w:rsidRPr="007D5B4E">
        <w:rPr>
          <w:rFonts w:ascii="Book Antiqua" w:hAnsi="Book Antiqua"/>
          <w:noProof/>
          <w:sz w:val="24"/>
          <w:szCs w:val="24"/>
          <w:vertAlign w:val="superscript"/>
        </w:rPr>
        <w:t>[73]</w:t>
      </w:r>
      <w:r w:rsidRPr="007D5B4E">
        <w:rPr>
          <w:rFonts w:ascii="Book Antiqua" w:hAnsi="Book Antiqua"/>
          <w:sz w:val="24"/>
          <w:szCs w:val="24"/>
          <w:vertAlign w:val="superscript"/>
        </w:rPr>
        <w:fldChar w:fldCharType="end"/>
      </w:r>
      <w:r w:rsidRPr="007D5B4E">
        <w:rPr>
          <w:rFonts w:ascii="Book Antiqua" w:hAnsi="Book Antiqua"/>
          <w:sz w:val="24"/>
          <w:szCs w:val="24"/>
        </w:rPr>
        <w:t xml:space="preserve">. </w:t>
      </w:r>
      <w:r w:rsidR="00D51A49" w:rsidRPr="007D5B4E">
        <w:rPr>
          <w:rFonts w:ascii="Book Antiqua" w:hAnsi="Book Antiqua"/>
          <w:sz w:val="24"/>
          <w:szCs w:val="24"/>
        </w:rPr>
        <w:t xml:space="preserve">The </w:t>
      </w:r>
      <w:r w:rsidR="00FA1363" w:rsidRPr="007D5B4E">
        <w:rPr>
          <w:rFonts w:ascii="Book Antiqua" w:hAnsi="Book Antiqua"/>
          <w:sz w:val="24"/>
          <w:szCs w:val="24"/>
        </w:rPr>
        <w:t xml:space="preserve">prognostic </w:t>
      </w:r>
      <w:r w:rsidR="00D51A49" w:rsidRPr="007D5B4E">
        <w:rPr>
          <w:rFonts w:ascii="Book Antiqua" w:hAnsi="Book Antiqua"/>
          <w:sz w:val="24"/>
          <w:szCs w:val="24"/>
        </w:rPr>
        <w:t>significanc</w:t>
      </w:r>
      <w:r w:rsidR="00FA1363" w:rsidRPr="007D5B4E">
        <w:rPr>
          <w:rFonts w:ascii="Book Antiqua" w:hAnsi="Book Antiqua"/>
          <w:sz w:val="24"/>
          <w:szCs w:val="24"/>
        </w:rPr>
        <w:t xml:space="preserve">e of these mutations </w:t>
      </w:r>
      <w:r w:rsidR="00D51A49" w:rsidRPr="007D5B4E">
        <w:rPr>
          <w:rFonts w:ascii="Book Antiqua" w:hAnsi="Book Antiqua"/>
          <w:sz w:val="24"/>
          <w:szCs w:val="24"/>
        </w:rPr>
        <w:t xml:space="preserve">with respect to survival is less clear, with some data indicating that gender may </w:t>
      </w:r>
      <w:r w:rsidR="00261459" w:rsidRPr="007D5B4E">
        <w:rPr>
          <w:rFonts w:ascii="Book Antiqua" w:hAnsi="Book Antiqua"/>
          <w:sz w:val="24"/>
          <w:szCs w:val="24"/>
        </w:rPr>
        <w:t xml:space="preserve">a role how these mutations affect tumor </w:t>
      </w:r>
      <w:r w:rsidR="00FA1363" w:rsidRPr="007D5B4E">
        <w:rPr>
          <w:rFonts w:ascii="Book Antiqua" w:hAnsi="Book Antiqua"/>
          <w:sz w:val="24"/>
          <w:szCs w:val="24"/>
        </w:rPr>
        <w:t>virulence</w:t>
      </w:r>
      <w:r w:rsidR="00D51A49" w:rsidRPr="007D5B4E">
        <w:rPr>
          <w:rFonts w:ascii="Book Antiqua" w:hAnsi="Book Antiqua"/>
          <w:sz w:val="24"/>
          <w:szCs w:val="24"/>
        </w:rPr>
        <w:t xml:space="preserve">. In one </w:t>
      </w:r>
      <w:r w:rsidR="00261459" w:rsidRPr="007D5B4E">
        <w:rPr>
          <w:rFonts w:ascii="Book Antiqua" w:hAnsi="Book Antiqua"/>
          <w:sz w:val="24"/>
          <w:szCs w:val="24"/>
        </w:rPr>
        <w:t xml:space="preserve">prospective cohort </w:t>
      </w:r>
      <w:r w:rsidR="00D51A49" w:rsidRPr="007D5B4E">
        <w:rPr>
          <w:rFonts w:ascii="Book Antiqua" w:hAnsi="Book Antiqua"/>
          <w:sz w:val="24"/>
          <w:szCs w:val="24"/>
        </w:rPr>
        <w:t>study,</w:t>
      </w:r>
      <w:r w:rsidR="006C541A" w:rsidRPr="007D5B4E">
        <w:rPr>
          <w:rFonts w:ascii="Book Antiqua" w:hAnsi="Book Antiqua"/>
          <w:sz w:val="24"/>
          <w:szCs w:val="24"/>
        </w:rPr>
        <w:t xml:space="preserve"> BRAF mutations were associated with a reduced cancer specific survival in men,</w:t>
      </w:r>
      <w:r w:rsidR="00261459" w:rsidRPr="007D5B4E">
        <w:rPr>
          <w:rFonts w:ascii="Book Antiqua" w:hAnsi="Book Antiqua"/>
          <w:sz w:val="24"/>
          <w:szCs w:val="24"/>
        </w:rPr>
        <w:t xml:space="preserve"> particularly in lymph node positive disease, when compared to women.</w:t>
      </w:r>
      <w:r w:rsidR="006C541A" w:rsidRPr="007D5B4E">
        <w:rPr>
          <w:rFonts w:ascii="Book Antiqua" w:hAnsi="Book Antiqua"/>
          <w:sz w:val="24"/>
          <w:szCs w:val="24"/>
        </w:rPr>
        <w:t xml:space="preserve"> </w:t>
      </w:r>
      <w:r w:rsidR="00261459" w:rsidRPr="007D5B4E">
        <w:rPr>
          <w:rFonts w:ascii="Book Antiqua" w:hAnsi="Book Antiqua"/>
          <w:sz w:val="24"/>
          <w:szCs w:val="24"/>
        </w:rPr>
        <w:t>Additionally in</w:t>
      </w:r>
      <w:r w:rsidR="006C541A" w:rsidRPr="007D5B4E">
        <w:rPr>
          <w:rFonts w:ascii="Book Antiqua" w:hAnsi="Book Antiqua"/>
          <w:sz w:val="24"/>
          <w:szCs w:val="24"/>
        </w:rPr>
        <w:t xml:space="preserve"> microsatel</w:t>
      </w:r>
      <w:r w:rsidR="00261459" w:rsidRPr="007D5B4E">
        <w:rPr>
          <w:rFonts w:ascii="Book Antiqua" w:hAnsi="Book Antiqua"/>
          <w:sz w:val="24"/>
          <w:szCs w:val="24"/>
        </w:rPr>
        <w:t>lite stable tumors</w:t>
      </w:r>
      <w:r w:rsidR="006C541A" w:rsidRPr="007D5B4E">
        <w:rPr>
          <w:rFonts w:ascii="Book Antiqua" w:hAnsi="Book Antiqua"/>
          <w:sz w:val="24"/>
          <w:szCs w:val="24"/>
        </w:rPr>
        <w:t xml:space="preserve">, BRAF was found to be </w:t>
      </w:r>
      <w:r w:rsidR="00261459" w:rsidRPr="007D5B4E">
        <w:rPr>
          <w:rFonts w:ascii="Book Antiqua" w:hAnsi="Book Antiqua"/>
          <w:sz w:val="24"/>
          <w:szCs w:val="24"/>
        </w:rPr>
        <w:t>an independent predictor of poor prognosis in men</w:t>
      </w:r>
      <w:r w:rsidR="00261459" w:rsidRPr="007D5B4E">
        <w:rPr>
          <w:rFonts w:ascii="Book Antiqua" w:hAnsi="Book Antiqua"/>
          <w:sz w:val="24"/>
          <w:szCs w:val="24"/>
        </w:rPr>
        <w:fldChar w:fldCharType="begin" w:fldLock="1"/>
      </w:r>
      <w:r w:rsidR="007C7B04" w:rsidRPr="007D5B4E">
        <w:rPr>
          <w:rFonts w:ascii="Book Antiqua" w:hAnsi="Book Antiqua"/>
          <w:sz w:val="24"/>
          <w:szCs w:val="24"/>
        </w:rPr>
        <w:instrText>ADDIN CSL_CITATION { "citationItems" : [ { "id" : "ITEM-1", "itemData" : { "DOI" : "10.1186/2042-6410-4-17", "ISSN" : "2042-6410", "PMID" : "24020794", "abstract" : "BACKGROUND: Activating KRAS and BRAF mutations predict unresponsiveness to EGFR-targeting therapies in colorectal cancer (CRC), but their prognostic value needs further validation. In this study, we investigated the impact of KRAS codons 12 and 13, and BRAF mutations on survival from CRC, overall and stratified by sex, in a large prospective cohort study.\n\nMETHODS: KRAS codons 12 and 13, and BRAF mutations were analysed by pyrosequencing of tumours from 525 and 524 incident CRC cases in The Malm\u00f6 Diet and Cancer Study. Associations with cancer-specific survival (CSS) were explored by Cox proportional hazards regression, unadjusted and adjusted for age, TNM stage, differentiation grade, vascular invasion and microsatellite instability (MSI) status.\n\nRESULTS: KRAS and BRAF mutations were mutually exclusive. KRAS mutations were found in 191/ 525 (36.4%) cases, 82.2% of these mutations were in codon 12, 17.3% were in codon 13, and 0.5% cases had mutations in both codons. BRAF mutations were found in 78/524 (14.9%) cases. Overall, mutation in KRAS codon 13, but not codon 12, was associated with a significantly reduced CSS in unadjusted, but not in adjusted analysis, and BRAF mutation did not significantly affect survival. However, in microsatellite stable (MSS), but not in MSI tumours, an adverse prognostic impact of BRAF mutation was observed in unadjusted, but not in adjusted analysis. While KRAS mutation status was not significantly associated with sex, BRAF mutations were more common in women. BRAF mutation was not prognostic in women; but in men, BRAF mutation was associated with a significantly reduced CSS in overall adjusted analysis (HR = 3.50; 95% CI = 1.41-8.70), but not in unadjusted analysis. In men with MSS tumours, BRAF mutation was an independent factor of poor prognosis (HR = 4.91; 95% CI = 1.99-12.12). KRAS codon 13 mutation was associated with a significantly reduced CSS in women, but not in men in unadjusted, but not in adjusted analysis.\n\nCONCLUSIONS: Results from this cohort study demonstrate sex-related differences in the prognostic value of BRAF mutations in colorectal cancer, being particularly evident in men. These findings are novel and merit further validation.", "author" : [ { "dropping-particle" : "", "family" : "Wangefjord", "given" : "Sakarias", "non-dropping-particle" : "", "parse-names" : false, "suffix" : "" }, { "dropping-particle" : "", "family" : "Sundstr\u00f6m", "given" : "Magnus", "non-dropping-particle" : "", "parse-names" : false, "suffix" : "" }, { "dropping-particle" : "", "family" : "Zendehrokh", "given" : "Nooreldin", "non-dropping-particle" : "", "parse-names" : false, "suffix" : "" }, { "dropping-particle" : "", "family" : "Lindquist", "given" : "Kajsa Ericson", "non-dropping-particle" : "", "parse-names" : false, "suffix" : "" }, { "dropping-particle" : "", "family" : "Nodin", "given" : "Bj\u00f6rn", "non-dropping-particle" : "", "parse-names" : false, "suffix" : "" }, { "dropping-particle" : "", "family" : "Jirstr\u00f6m", "given" : "Karin", "non-dropping-particle" : "", "parse-names" : false, "suffix" : "" }, { "dropping-particle" : "", "family" : "Eberhard", "given" : "Jakob", "non-dropping-particle" : "", "parse-names" : false, "suffix" : "" } ], "container-title" : "Biology of sex differences", "id" : "ITEM-1", "issue" : "1", "issued" : { "date-parts" : [ [ "2013", "1" ] ] }, "page" : "17", "title" : "Sex differences in the prognostic significance of KRAS codons 12 and 13, and BRAF mutations in colorectal cancer: a cohort study.", "type" : "article-journal", "volume" : "4" }, "uris" : [ "http://www.mendeley.com/documents/?uuid=d1db97d4-1ab6-407f-af2d-205ac1456883" ] } ], "mendeley" : { "formattedCitation" : "&lt;sup&gt;[74]&lt;/sup&gt;", "plainTextFormattedCitation" : "[74]", "previouslyFormattedCitation" : "&lt;sup&gt;[74]&lt;/sup&gt;" }, "properties" : { "noteIndex" : 0 }, "schema" : "https://github.com/citation-style-language/schema/raw/master/csl-citation.json" }</w:instrText>
      </w:r>
      <w:r w:rsidR="00261459" w:rsidRPr="007D5B4E">
        <w:rPr>
          <w:rFonts w:ascii="Book Antiqua" w:hAnsi="Book Antiqua"/>
          <w:sz w:val="24"/>
          <w:szCs w:val="24"/>
        </w:rPr>
        <w:fldChar w:fldCharType="separate"/>
      </w:r>
      <w:r w:rsidR="009259AF" w:rsidRPr="007D5B4E">
        <w:rPr>
          <w:rFonts w:ascii="Book Antiqua" w:hAnsi="Book Antiqua"/>
          <w:noProof/>
          <w:sz w:val="24"/>
          <w:szCs w:val="24"/>
          <w:vertAlign w:val="superscript"/>
        </w:rPr>
        <w:t>[74]</w:t>
      </w:r>
      <w:r w:rsidR="00261459" w:rsidRPr="007D5B4E">
        <w:rPr>
          <w:rFonts w:ascii="Book Antiqua" w:hAnsi="Book Antiqua"/>
          <w:sz w:val="24"/>
          <w:szCs w:val="24"/>
        </w:rPr>
        <w:fldChar w:fldCharType="end"/>
      </w:r>
      <w:r w:rsidR="00D51A49" w:rsidRPr="007D5B4E">
        <w:rPr>
          <w:rFonts w:ascii="Book Antiqua" w:hAnsi="Book Antiqua"/>
          <w:sz w:val="24"/>
          <w:szCs w:val="24"/>
        </w:rPr>
        <w:t xml:space="preserve">. </w:t>
      </w:r>
      <w:r w:rsidR="00261459" w:rsidRPr="007D5B4E">
        <w:rPr>
          <w:rFonts w:ascii="Book Antiqua" w:hAnsi="Book Antiqua"/>
          <w:sz w:val="24"/>
          <w:szCs w:val="24"/>
        </w:rPr>
        <w:t xml:space="preserve">The </w:t>
      </w:r>
      <w:r w:rsidR="00FA1363" w:rsidRPr="007D5B4E">
        <w:rPr>
          <w:rFonts w:ascii="Book Antiqua" w:hAnsi="Book Antiqua"/>
          <w:sz w:val="24"/>
          <w:szCs w:val="24"/>
        </w:rPr>
        <w:t xml:space="preserve">exact </w:t>
      </w:r>
      <w:r w:rsidR="00261459" w:rsidRPr="007D5B4E">
        <w:rPr>
          <w:rFonts w:ascii="Book Antiqua" w:hAnsi="Book Antiqua"/>
          <w:sz w:val="24"/>
          <w:szCs w:val="24"/>
        </w:rPr>
        <w:t xml:space="preserve">mechanisms of how gender may interact with </w:t>
      </w:r>
      <w:r w:rsidR="00FA1363" w:rsidRPr="007D5B4E">
        <w:rPr>
          <w:rFonts w:ascii="Book Antiqua" w:hAnsi="Book Antiqua"/>
          <w:sz w:val="24"/>
          <w:szCs w:val="24"/>
        </w:rPr>
        <w:t xml:space="preserve">BRAF </w:t>
      </w:r>
      <w:r w:rsidR="00261459" w:rsidRPr="007D5B4E">
        <w:rPr>
          <w:rFonts w:ascii="Book Antiqua" w:hAnsi="Book Antiqua"/>
          <w:sz w:val="24"/>
          <w:szCs w:val="24"/>
        </w:rPr>
        <w:t xml:space="preserve">mutation status are not yet </w:t>
      </w:r>
      <w:r w:rsidR="00FA1363" w:rsidRPr="007D5B4E">
        <w:rPr>
          <w:rFonts w:ascii="Book Antiqua" w:hAnsi="Book Antiqua"/>
          <w:sz w:val="24"/>
          <w:szCs w:val="24"/>
        </w:rPr>
        <w:t>clear</w:t>
      </w:r>
      <w:r w:rsidR="00261459" w:rsidRPr="007D5B4E">
        <w:rPr>
          <w:rFonts w:ascii="Book Antiqua" w:hAnsi="Book Antiqua"/>
          <w:sz w:val="24"/>
          <w:szCs w:val="24"/>
        </w:rPr>
        <w:t xml:space="preserve">. </w:t>
      </w:r>
      <w:r w:rsidR="00D51A49" w:rsidRPr="007D5B4E">
        <w:rPr>
          <w:rFonts w:ascii="Book Antiqua" w:hAnsi="Book Antiqua"/>
          <w:sz w:val="24"/>
          <w:szCs w:val="24"/>
        </w:rPr>
        <w:t>However, e</w:t>
      </w:r>
      <w:r w:rsidRPr="007D5B4E">
        <w:rPr>
          <w:rFonts w:ascii="Book Antiqua" w:hAnsi="Book Antiqua"/>
          <w:sz w:val="24"/>
          <w:szCs w:val="24"/>
        </w:rPr>
        <w:t xml:space="preserve">ven when adjusting for BRAF mutant tumors to assess </w:t>
      </w:r>
      <w:proofErr w:type="spellStart"/>
      <w:r w:rsidRPr="007D5B4E">
        <w:rPr>
          <w:rFonts w:ascii="Book Antiqua" w:hAnsi="Book Antiqua"/>
          <w:sz w:val="24"/>
          <w:szCs w:val="24"/>
        </w:rPr>
        <w:t>nonresponders</w:t>
      </w:r>
      <w:proofErr w:type="spellEnd"/>
      <w:r w:rsidRPr="007D5B4E">
        <w:rPr>
          <w:rFonts w:ascii="Book Antiqua" w:hAnsi="Book Antiqua"/>
          <w:sz w:val="24"/>
          <w:szCs w:val="24"/>
        </w:rPr>
        <w:t xml:space="preserve"> to </w:t>
      </w:r>
      <w:proofErr w:type="spellStart"/>
      <w:r w:rsidRPr="007D5B4E">
        <w:rPr>
          <w:rFonts w:ascii="Book Antiqua" w:hAnsi="Book Antiqua"/>
          <w:sz w:val="24"/>
          <w:szCs w:val="24"/>
        </w:rPr>
        <w:t>cetuximab</w:t>
      </w:r>
      <w:proofErr w:type="spellEnd"/>
      <w:r w:rsidRPr="007D5B4E">
        <w:rPr>
          <w:rFonts w:ascii="Book Antiqua" w:hAnsi="Book Antiqua"/>
          <w:sz w:val="24"/>
          <w:szCs w:val="24"/>
        </w:rPr>
        <w:t xml:space="preserve"> and </w:t>
      </w:r>
      <w:proofErr w:type="spellStart"/>
      <w:r w:rsidRPr="007D5B4E">
        <w:rPr>
          <w:rFonts w:ascii="Book Antiqua" w:hAnsi="Book Antiqua"/>
          <w:sz w:val="24"/>
          <w:szCs w:val="24"/>
        </w:rPr>
        <w:t>panitumumab</w:t>
      </w:r>
      <w:proofErr w:type="spellEnd"/>
      <w:r w:rsidRPr="007D5B4E">
        <w:rPr>
          <w:rFonts w:ascii="Book Antiqua" w:hAnsi="Book Antiqua"/>
          <w:sz w:val="24"/>
          <w:szCs w:val="24"/>
        </w:rPr>
        <w:t xml:space="preserve">, approximately 41% of </w:t>
      </w:r>
      <w:proofErr w:type="spellStart"/>
      <w:r w:rsidRPr="007D5B4E">
        <w:rPr>
          <w:rFonts w:ascii="Book Antiqua" w:hAnsi="Book Antiqua"/>
          <w:sz w:val="24"/>
          <w:szCs w:val="24"/>
        </w:rPr>
        <w:t>nonresponders</w:t>
      </w:r>
      <w:proofErr w:type="spellEnd"/>
      <w:r w:rsidRPr="007D5B4E">
        <w:rPr>
          <w:rFonts w:ascii="Book Antiqua" w:hAnsi="Book Antiqua"/>
          <w:sz w:val="24"/>
          <w:szCs w:val="24"/>
        </w:rPr>
        <w:t xml:space="preserve"> are left unaccounted for, suggesting the presence of other unknown mechanisms of resistance</w:t>
      </w:r>
      <w:r w:rsidRPr="007D5B4E">
        <w:rPr>
          <w:rFonts w:ascii="Book Antiqua" w:hAnsi="Book Antiqua"/>
          <w:sz w:val="24"/>
          <w:szCs w:val="24"/>
          <w:vertAlign w:val="superscript"/>
        </w:rPr>
        <w:fldChar w:fldCharType="begin" w:fldLock="1"/>
      </w:r>
      <w:r w:rsidR="007C7B04" w:rsidRPr="007D5B4E">
        <w:rPr>
          <w:rFonts w:ascii="Book Antiqua" w:hAnsi="Book Antiqua"/>
          <w:sz w:val="24"/>
          <w:szCs w:val="24"/>
          <w:vertAlign w:val="superscript"/>
        </w:rPr>
        <w:instrText>ADDIN CSL_CITATION { "citationItems" : [ { "id" : "ITEM-1", "itemData" : { "DOI" : "10.1200/JCO.2008.18.0786", "ISBN" : "10.1200/JCO.2007.14.7116", "ISSN" : "0732183X", "PMID" : "19001320", "abstract" : "PURPOSE Cetuximab or panitumumab are effective in 10% to 20% unselected metastatic colorectal cancer (CRC) patients. KRAS mutations account for approximately 30% to 40% patients who are not responsive. The serine-threonine kinase BRAF is the principal effector of KRAS. We hypothesized that, in KRAS wild-type patients, BRAF mutations could have a predictive/prognostic value. PATIENTS AND METHODS We retrospectively analyzed objective tumor responses, time to progression, overall survival (OS), and the mutational status of KRAS and BRAF in 113 tumors from cetuximab- or panitumumab-treated metastatic CRC patients. The effect of the BRAF V600E mutation on cetuximab or panitumumab response was also assessed using cellular models of CRC. Results KRAS mutations were present in 30% of the patients and were associated with resistance to cetuximab or panitumumab (P = .011). The BRAF V600E mutation was detected in 11 of 79 patients who had wild-type KRAS. None of the BRAF-mutated patients responded to treatment, whereas none of the responders carried BRAF mutations (P = .029). BRAF-mutated patients had significantly shorter progression-free survival (P = .011) and OS (P &lt; .0001) than wild-type patients. In CRC cells, the introduction of BRAF V600E allele impaired the therapeutic effect of cetuximab or panitumumab. Treatment with the BRAF inhibitor sorafenib restored sensitivity to panitumumab or cetuximab of CRC cells carrying the V600E allele. CONCLUSION BRAF wild-type is required for response to panitumumab or cetuximab and could be used to select patients who are eligible for the treatment. Double-hit therapies aimed at simultaneous inhibition of epidermal growth factor receptor and BRAF warrant exploration in CRC patients carrying the V600E oncogenic mutation.", "author" : [ { "dropping-particle" : "", "family" : "Nicolantonio", "given" : "Federica", "non-dropping-particle" : "Di", "parse-names" : false, "suffix" : "" }, { "dropping-particle" : "", "family" : "Martini", "given" : "Miriam", "non-dropping-particle" : "", "parse-names" : false, "suffix" : "" }, { "dropping-particle" : "", "family" : "Molinari", "given" : "Francesca", "non-dropping-particle" : "", "parse-names" : false, "suffix" : "" }, { "dropping-particle" : "", "family" : "Sartore-Bianchi", "given" : "Andrea", "non-dropping-particle" : "", "parse-names" : false, "suffix" : "" }, { "dropping-particle" : "", "family" : "Arena", "given" : "Sabrina", "non-dropping-particle" : "", "parse-names" : false, "suffix" : "" }, { "dropping-particle" : "", "family" : "Saletti", "given" : "Piercarlo", "non-dropping-particle" : "", "parse-names" : false, "suffix" : "" }, { "dropping-particle" : "", "family" : "Dosso", "given" : "Sara", "non-dropping-particle" : "De", "parse-names" : false, "suffix" : "" }, { "dropping-particle" : "", "family" : "Mazzucchelli", "given" : "Luca", "non-dropping-particle" : "", "parse-names" : false, "suffix" : "" }, { "dropping-particle" : "", "family" : "Frattini", "given" : "Milo", "non-dropping-particle" : "", "parse-names" : false, "suffix" : "" }, { "dropping-particle" : "", "family" : "Siena", "given" : "Salvatore", "non-dropping-particle" : "", "parse-names" : false, "suffix" : "" }, { "dropping-particle" : "", "family" : "Bardelli", "given" : "Alberto", "non-dropping-particle" : "", "parse-names" : false, "suffix" : "" } ], "container-title" : "Journal of Clinical Oncology", "id" : "ITEM-1", "issue" : "35", "issued" : { "date-parts" : [ [ "2008" ] ] }, "page" : "5705-5712", "title" : "Wild-type BRAF is required for response to panitumumab or cetuximab in metastatic colorectal cancer", "type" : "article-journal", "volume" : "26" }, "uris" : [ "http://www.mendeley.com/documents/?uuid=b7844189-e3c8-4fb3-9176-d5f439059966" ] } ], "mendeley" : { "formattedCitation" : "&lt;sup&gt;[70]&lt;/sup&gt;", "plainTextFormattedCitation" : "[70]", "previouslyFormattedCitation" : "&lt;sup&gt;[70]&lt;/sup&gt;" }, "properties" : { "noteIndex" : 0 }, "schema" : "https://github.com/citation-style-language/schema/raw/master/csl-citation.json" }</w:instrText>
      </w:r>
      <w:r w:rsidRPr="007D5B4E">
        <w:rPr>
          <w:rFonts w:ascii="Book Antiqua" w:hAnsi="Book Antiqua"/>
          <w:sz w:val="24"/>
          <w:szCs w:val="24"/>
          <w:vertAlign w:val="superscript"/>
        </w:rPr>
        <w:fldChar w:fldCharType="separate"/>
      </w:r>
      <w:r w:rsidR="009259AF" w:rsidRPr="007D5B4E">
        <w:rPr>
          <w:rFonts w:ascii="Book Antiqua" w:hAnsi="Book Antiqua"/>
          <w:noProof/>
          <w:sz w:val="24"/>
          <w:szCs w:val="24"/>
          <w:vertAlign w:val="superscript"/>
        </w:rPr>
        <w:t>[70]</w:t>
      </w:r>
      <w:r w:rsidRPr="007D5B4E">
        <w:rPr>
          <w:rFonts w:ascii="Book Antiqua" w:hAnsi="Book Antiqua"/>
          <w:sz w:val="24"/>
          <w:szCs w:val="24"/>
          <w:vertAlign w:val="superscript"/>
        </w:rPr>
        <w:fldChar w:fldCharType="end"/>
      </w:r>
      <w:r w:rsidRPr="007D5B4E">
        <w:rPr>
          <w:rFonts w:ascii="Book Antiqua" w:hAnsi="Book Antiqua"/>
          <w:sz w:val="24"/>
          <w:szCs w:val="24"/>
        </w:rPr>
        <w:t xml:space="preserve">. </w:t>
      </w:r>
    </w:p>
    <w:p w14:paraId="185858C7" w14:textId="509772E1" w:rsidR="00F950CC" w:rsidRPr="007D5B4E" w:rsidRDefault="00F950CC" w:rsidP="00240E68">
      <w:pPr>
        <w:pStyle w:val="NormalWeb"/>
        <w:spacing w:before="0" w:beforeAutospacing="0" w:after="0" w:afterAutospacing="0" w:line="360" w:lineRule="auto"/>
        <w:ind w:firstLineChars="250" w:firstLine="600"/>
        <w:jc w:val="both"/>
        <w:divId w:val="1281885178"/>
        <w:rPr>
          <w:rFonts w:ascii="Book Antiqua" w:hAnsi="Book Antiqua"/>
          <w:sz w:val="24"/>
          <w:szCs w:val="24"/>
        </w:rPr>
      </w:pPr>
      <w:r w:rsidRPr="007D5B4E">
        <w:rPr>
          <w:rFonts w:ascii="Book Antiqua" w:hAnsi="Book Antiqua"/>
          <w:sz w:val="24"/>
          <w:szCs w:val="24"/>
        </w:rPr>
        <w:t xml:space="preserve">Responses even in selected groups of patients with wild type EGFR, KRAS, and BRAF alleles is not uniform, and all patients will ultimately develop acquired resistance to targeted therapy with monoclonal antibodies. Increased </w:t>
      </w:r>
      <w:r w:rsidRPr="007D5B4E">
        <w:rPr>
          <w:rFonts w:ascii="Book Antiqua" w:hAnsi="Book Antiqua"/>
          <w:sz w:val="24"/>
          <w:szCs w:val="24"/>
        </w:rPr>
        <w:lastRenderedPageBreak/>
        <w:t xml:space="preserve">ERBB2 signaling has been shown to be one such mediator in resistant clones of previously </w:t>
      </w:r>
      <w:proofErr w:type="spellStart"/>
      <w:r w:rsidRPr="007D5B4E">
        <w:rPr>
          <w:rFonts w:ascii="Book Antiqua" w:hAnsi="Book Antiqua"/>
          <w:sz w:val="24"/>
          <w:szCs w:val="24"/>
        </w:rPr>
        <w:t>cetuximab</w:t>
      </w:r>
      <w:proofErr w:type="spellEnd"/>
      <w:r w:rsidRPr="007D5B4E">
        <w:rPr>
          <w:rFonts w:ascii="Book Antiqua" w:hAnsi="Book Antiqua"/>
          <w:sz w:val="24"/>
          <w:szCs w:val="24"/>
        </w:rPr>
        <w:t>-sensitive cell lines via the up-regulation of ERK1/2 signaling</w:t>
      </w:r>
      <w:r w:rsidRPr="007D5B4E">
        <w:rPr>
          <w:rFonts w:ascii="Book Antiqua" w:hAnsi="Book Antiqua"/>
          <w:sz w:val="24"/>
          <w:szCs w:val="24"/>
          <w:vertAlign w:val="superscript"/>
        </w:rPr>
        <w:fldChar w:fldCharType="begin" w:fldLock="1"/>
      </w:r>
      <w:r w:rsidR="007C7B04" w:rsidRPr="007D5B4E">
        <w:rPr>
          <w:rFonts w:ascii="Book Antiqua" w:hAnsi="Book Antiqua"/>
          <w:sz w:val="24"/>
          <w:szCs w:val="24"/>
          <w:vertAlign w:val="superscript"/>
        </w:rPr>
        <w:instrText>ADDIN CSL_CITATION { "citationItems" : [ { "id" : "ITEM-1", "itemData" : { "DOI" : "10.1126/scitranslmed.3002442", "ISSN" : "1946-6242 (Electronic)", "PMID" : "21900593", "abstract" : "Cetuximab, an antibody directed against the epidermal growth factor receptor, is an effective clinical therapy for patients with colorectal, head and neck, and non-small cell lung cancer, particularly for those with KRAS and BRAF wild-type cancers. Treatment in all patients is limited eventually by the development of acquired resistance, but little is known about the underlying mechanism. Here, we show that activation of ERBB2 signaling in cell lines, either through ERBB2 amplification or through heregulin up-regulation, leads to persistent extracellular signal-regulated kinase 1/2 signaling and consequently to cetuximab resistance. Inhibition of ERBB2 or disruption of ERBB2/ERBB3 heterodimerization restores cetuximab sensitivity in vitro and in vivo. A subset of colorectal cancer patients who exhibit either de novo or acquired resistance to cetuximab-based therapy has ERBB2 amplification or high levels of circulating heregulin. Collectively, these findings identify two distinct resistance mechanisms, both of which promote aberrant ERBB2 signaling, that mediate cetuximab resistance. Moreover, these results suggest that ERBB2 inhibitors, in combination with cetuximab, represent a rational therapeutic strategy that should be assessed in patients with cetuximab-resistant cancers.", "author" : [ { "dropping-particle" : "", "family" : "Yonesaka", "given" : "Kimio", "non-dropping-particle" : "", "parse-names" : false, "suffix" : "" }, { "dropping-particle" : "", "family" : "Zejnullahu", "given" : "Kreshnik", "non-dropping-particle" : "", "parse-names" : false, "suffix" : "" }, { "dropping-particle" : "", "family" : "Okamoto", "given" : "Isamu", "non-dropping-particle" : "", "parse-names" : false, "suffix" : "" }, { "dropping-particle" : "", "family" : "Satoh", "given" : "Taroh", "non-dropping-particle" : "", "parse-names" : false, "suffix" : "" }, { "dropping-particle" : "", "family" : "Cappuzzo", "given" : "Federico", "non-dropping-particle" : "", "parse-names" : false, "suffix" : "" }, { "dropping-particle" : "", "family" : "Souglakos", "given" : "John", "non-dropping-particle" : "", "parse-names" : false, "suffix" : "" }, { "dropping-particle" : "", "family" : "Ercan", "given" : "Dalia", "non-dropping-particle" : "", "parse-names" : false, "suffix" : "" }, { "dropping-particle" : "", "family" : "Rogers", "given" : "Andrew", "non-dropping-particle" : "", "parse-names" : false, "suffix" : "" }, { "dropping-particle" : "", "family" : "Roncalli", "given" : "Massimo", "non-dropping-particle" : "", "parse-names" : false, "suffix" : "" }, { "dropping-particle" : "", "family" : "Takeda", "given" : "Masayuki", "non-dropping-particle" : "", "parse-names" : false, "suffix" : "" }, { "dropping-particle" : "", "family" : "Fujisaka", "given" : "Yasuhito", "non-dropping-particle" : "", "parse-names" : false, "suffix" : "" }, { "dropping-particle" : "", "family" : "Philips", "given" : "Juliet", "non-dropping-particle" : "", "parse-names" : false, "suffix" : "" }, { "dropping-particle" : "", "family" : "Shimizu", "given" : "Toshio", "non-dropping-particle" : "", "parse-names" : false, "suffix" : "" }, { "dropping-particle" : "", "family" : "Maenishi", "given" : "Osamu", "non-dropping-particle" : "", "parse-names" : false, "suffix" : "" }, { "dropping-particle" : "", "family" : "Cho", "given" : "Yonggon", "non-dropping-particle" : "", "parse-names" : false, "suffix" : "" }, { "dropping-particle" : "", "family" : "Sun", "given" : "Jason", "non-dropping-particle" : "", "parse-names" : false, "suffix" : "" }, { "dropping-particle" : "", "family" : "Destro", "given" : "Annarita", "non-dropping-particle" : "", "parse-names" : false, "suffix" : "" }, { "dropping-particle" : "", "family" : "Taira", "given" : "Koichi", "non-dropping-particle" : "", "parse-names" : false, "suffix" : "" }, { "dropping-particle" : "", "family" : "Takeda", "given" : "Koji", "non-dropping-particle" : "", "parse-names" : false, "suffix" : "" }, { "dropping-particle" : "", "family" : "Okabe", "given" : "Takafumi", "non-dropping-particle" : "", "parse-names" : false, "suffix" : "" }, { "dropping-particle" : "", "family" : "Swanson", "given" : "Jeffrey", "non-dropping-particle" : "", "parse-names" : false, "suffix" : "" }, { "dropping-particle" : "", "family" : "Itoh", "given" : "Hiroyuki", "non-dropping-particle" : "", "parse-names" : false, "suffix" : "" }, { "dropping-particle" : "", "family" : "Takada", "given" : "Minoru", "non-dropping-particle" : "", "parse-names" : false, "suffix" : "" }, { "dropping-particle" : "", "family" : "Lifshits", "given" : "Eugene", "non-dropping-particle" : "", "parse-names" : false, "suffix" : "" }, { "dropping-particle" : "", "family" : "Okuno", "given" : "Kiyotaka", "non-dropping-particle" : "", "parse-names" : false, "suffix" : "" }, { "dropping-particle" : "", "family" : "Engelman", "given" : "Jeffrey A", "non-dropping-particle" : "", "parse-names" : false, "suffix" : "" }, { "dropping-particle" : "", "family" : "Shivdasani", "given" : "Ramesh A", "non-dropping-particle" : "", "parse-names" : false, "suffix" : "" }, { "dropping-particle" : "", "family" : "Nishio", "given" : "Kazuto", "non-dropping-particle" : "", "parse-names" : false, "suffix" : "" }, { "dropping-particle" : "", "family" : "Fukuoka", "given" : "Masahiro", "non-dropping-particle" : "", "parse-names" : false, "suffix" : "" }, { "dropping-particle" : "", "family" : "Varella-Garcia", "given" : "Marileila", "non-dropping-particle" : "", "parse-names" : false, "suffix" : "" }, { "dropping-particle" : "", "family" : "Nakagawa", "given" : "Kazuhiko", "non-dropping-particle" : "", "parse-names" : false, "suffix" : "" }, { "dropping-particle" : "", "family" : "Janne", "given" : "Pasi A", "non-dropping-particle" : "", "parse-names" : false, "suffix" : "" } ], "container-title" : "Science translational medicine", "id" : "ITEM-1", "issue" : "99", "issued" : { "date-parts" : [ [ "2011", "9" ] ] }, "page" : "99ra86", "publisher-place" : "United States", "title" : "Activation of ERBB2 signaling causes resistance to the EGFR-directed therapeutic antibody cetuximab.", "type" : "article-journal", "volume" : "3" }, "uris" : [ "http://www.mendeley.com/documents/?uuid=98f5bd75-3180-4388-bc23-37ceabe715dd" ] } ], "mendeley" : { "formattedCitation" : "&lt;sup&gt;[75]&lt;/sup&gt;", "plainTextFormattedCitation" : "[75]", "previouslyFormattedCitation" : "&lt;sup&gt;[75]&lt;/sup&gt;" }, "properties" : { "noteIndex" : 0 }, "schema" : "https://github.com/citation-style-language/schema/raw/master/csl-citation.json" }</w:instrText>
      </w:r>
      <w:r w:rsidRPr="007D5B4E">
        <w:rPr>
          <w:rFonts w:ascii="Book Antiqua" w:hAnsi="Book Antiqua"/>
          <w:sz w:val="24"/>
          <w:szCs w:val="24"/>
          <w:vertAlign w:val="superscript"/>
        </w:rPr>
        <w:fldChar w:fldCharType="separate"/>
      </w:r>
      <w:r w:rsidR="009259AF" w:rsidRPr="007D5B4E">
        <w:rPr>
          <w:rFonts w:ascii="Book Antiqua" w:hAnsi="Book Antiqua"/>
          <w:noProof/>
          <w:sz w:val="24"/>
          <w:szCs w:val="24"/>
          <w:vertAlign w:val="superscript"/>
        </w:rPr>
        <w:t>[75]</w:t>
      </w:r>
      <w:r w:rsidRPr="007D5B4E">
        <w:rPr>
          <w:rFonts w:ascii="Book Antiqua" w:hAnsi="Book Antiqua"/>
          <w:sz w:val="24"/>
          <w:szCs w:val="24"/>
          <w:vertAlign w:val="superscript"/>
        </w:rPr>
        <w:fldChar w:fldCharType="end"/>
      </w:r>
      <w:r w:rsidRPr="007D5B4E">
        <w:rPr>
          <w:rFonts w:ascii="Book Antiqua" w:hAnsi="Book Antiqua"/>
          <w:sz w:val="24"/>
          <w:szCs w:val="24"/>
        </w:rPr>
        <w:t xml:space="preserve">. This can occur through the amplification of ERBB2 itself or through the overexpression of </w:t>
      </w:r>
      <w:proofErr w:type="spellStart"/>
      <w:r w:rsidRPr="007D5B4E">
        <w:rPr>
          <w:rFonts w:ascii="Book Antiqua" w:hAnsi="Book Antiqua"/>
          <w:sz w:val="24"/>
          <w:szCs w:val="24"/>
        </w:rPr>
        <w:t>hereguglin</w:t>
      </w:r>
      <w:proofErr w:type="spellEnd"/>
      <w:r w:rsidRPr="007D5B4E">
        <w:rPr>
          <w:rFonts w:ascii="Book Antiqua" w:hAnsi="Book Antiqua"/>
          <w:sz w:val="24"/>
          <w:szCs w:val="24"/>
        </w:rPr>
        <w:t>, one of the ERBB3 ligands. Increased c-Met signaling may be another mechani</w:t>
      </w:r>
      <w:r w:rsidR="007D5B4E" w:rsidRPr="007D5B4E">
        <w:rPr>
          <w:rFonts w:ascii="Book Antiqua" w:hAnsi="Book Antiqua"/>
          <w:sz w:val="24"/>
          <w:szCs w:val="24"/>
        </w:rPr>
        <w:t>sm for EGFR antibody resistance</w:t>
      </w:r>
      <w:r w:rsidRPr="007D5B4E">
        <w:rPr>
          <w:rFonts w:ascii="Book Antiqua" w:hAnsi="Book Antiqua"/>
          <w:sz w:val="24"/>
          <w:szCs w:val="24"/>
        </w:rPr>
        <w:fldChar w:fldCharType="begin" w:fldLock="1"/>
      </w:r>
      <w:r w:rsidR="007C7B04" w:rsidRPr="007D5B4E">
        <w:rPr>
          <w:rFonts w:ascii="Book Antiqua" w:hAnsi="Book Antiqua"/>
          <w:sz w:val="24"/>
          <w:szCs w:val="24"/>
        </w:rPr>
        <w:instrText>ADDIN CSL_CITATION { "citationItems" : [ { "id" : "ITEM-1", "itemData" : { "DOI" : "10.1016/j.clcc.2011.03.028", "ISSN" : "1938-0674 (Electronic)", "PMID" : "21729677", "abstract" : "BACKGROUND: The KRAS mutation is not responsible for all cases of resistance to anti-epidermal growth factor receptors (EGFRs) in metastatic colorectal cancer (mCRC), and new predictive and prognostic factors are actively being sought. PATIENTS AND METHODS: We retrospectively evaluated the efficacy of a cetuximab-containing treatment in 73 patients with mCRC according to KRAS and BRAF mutational status as well as PTEN, c-MET, and insulin-like growth factor receptor (IGF1R) expression. RESULTS: Overall response rate (ORR), median progression-free survival (mPFS), and median overall survival (mOS) were significantly lower in patients with KRAS mutation than in patients with KRAS wild-type; among the population with KRAS wild-type, only 2 patients with BRAF mutations were found and neither of them achieved a response. No significant association was found between PTEN and clinical outcome. Compared with low/normal expression, c-MET overexpression significantly correlated with shorter mPFS and mOS: 3 vs. 5 months (P = .018) and 11 vs. 10 months (P = .037), respectively. In patients with high IGF1R expression, mOS was significantly longer than in those with low/normal expression (14 vs. 8 months; P = .015). CONCLUSION: KRAS mutation significantly correlates with a worse outcome in patients treated with cetuximab, whereas no definitive inference can be drawn about the role of BRAF mutation and PTEN loss of expression. Instead, c-MET overexpression might represent a negative prognostic factor in mCRC and may have a role in resistance to anti-EGFR therapy. Interestingly, IGF1R overexpression seems a favorable prognostic factor in mCRC.", "author" : [ { "dropping-particle" : "", "family" : "Inno", "given" : "Alessandro", "non-dropping-particle" : "", "parse-names" : false, "suffix" : "" }, { "dropping-particle" : "", "family" : "Salvatore", "given" : "Mariantonietta", "non-dropping-particle" : "Di", "parse-names" : false, "suffix" : "" }, { "dropping-particle" : "", "family" : "Cenci", "given" : "Tonia", "non-dropping-particle" : "", "parse-names" : false, "suffix" : "" }, { "dropping-particle" : "", "family" : "Martini", "given" : "Maurizio", "non-dropping-particle" : "", "parse-names" : false, "suffix" : "" }, { "dropping-particle" : "", "family" : "Orlandi", "given" : "Armando", "non-dropping-particle" : "", "parse-names" : false, "suffix" : "" }, { "dropping-particle" : "", "family" : "Strippoli", "given" : "Antonia", "non-dropping-particle" : "", "parse-names" : false, "suffix" : "" }, { "dropping-particle" : "", "family" : "Ferrara", "given" : "Anna Maria", "non-dropping-particle" : "", "parse-names" : false, "suffix" : "" }, { "dropping-particle" : "", "family" : "Bagala", "given" : "Cinzia", "non-dropping-particle" : "", "parse-names" : false, "suffix" : "" }, { "dropping-particle" : "", "family" : "Cassano", "given" : "Alessandra", "non-dropping-particle" : "", "parse-names" : false, "suffix" : "" }, { "dropping-particle" : "", "family" : "Larocca", "given" : "Luigi Maria", "non-dropping-particle" : "", "parse-names" : false, "suffix" : "" }, { "dropping-particle" : "", "family" : "Barone", "given" : "Carlo", "non-dropping-particle" : "", "parse-names" : false, "suffix" : "" } ], "container-title" : "Clinical colorectal cancer", "id" : "ITEM-1", "issue" : "4", "issued" : { "date-parts" : [ [ "2011", "12" ] ] }, "page" : "325-332", "publisher-place" : "United States", "title" : "Is there a role for IGF1R and c-MET pathways in resistance to cetuximab in metastatic colorectal cancer?", "type" : "article-journal", "volume" : "10" }, "uris" : [ "http://www.mendeley.com/documents/?uuid=c82f129c-35bd-43c7-a72e-5bc80c18fb50" ] }, { "id" : "ITEM-2", "itemData" : { "ISSN" : "0950-9232 (Print)", "PMID" : "1741162", "abstract" : "The epidermal growth factor receptor (EGFR) and the protein products of c-erbB-2  and c-met proto-oncogenes belong to a family of growth factor receptors with tyrosine kinase activity. In human colonic carcinomas, the expression of the EGFR and c-erbB-2 have been studied at the protein level only, while c-met expression has not been reported. We have examined the mRNA expression of these genes in human normal colorectal mucosa and primary carcinomas. The results demonstrate that the normal mucosa shows highly variable levels of EGFR and c-erbB-2 mRNAs, but expresses consistently low amounts of c-met mRNA. Colorectal carcinomas did not express significantly higher levels of the EGFR and c-erbB-2 mRNAs than the normal mucosa. In contrast, c-met was consistently and significantly overexpressed (mean sixfold) in carcinomas as compared with normal mucosa. Seventy percent of paired normal-tumor specimens showed a tumor to normal c-met mRNA ratio of greater than 4. The expression of c-met mRNA was also enhanced in the adenomas, suggesting that over-expression of this proto-oncogene may have mechanistic significance in the early stages of human colorectal carcinogenesis.", "author" : [ { "dropping-particle" : "", "family" : "Liu", "given" : "C", "non-dropping-particle" : "", "parse-names" : false, "suffix" : "" }, { "dropping-particle" : "", "family" : "Park", "given" : "M", "non-dropping-particle" : "", "parse-names" : false, "suffix" : "" }, { "dropping-particle" : "", "family" : "Tsao", "given" : "M S", "non-dropping-particle" : "", "parse-names" : false, "suffix" : "" } ], "container-title" : "Oncogene", "id" : "ITEM-2", "issue" : "1", "issued" : { "date-parts" : [ [ "1992", "1" ] ] }, "page" : "181-185", "publisher-place" : "ENGLAND", "title" : "Overexpression of c-met proto-oncogene but not epidermal growth factor receptor or c-erbB-2 in primary human colorectal carcinomas.", "type" : "article-journal", "volume" : "7" }, "uris" : [ "http://www.mendeley.com/documents/?uuid=74e7ec9a-52a7-4e49-962a-759937a2e0c7" ] } ], "mendeley" : { "formattedCitation" : "&lt;sup&gt;[76,77]&lt;/sup&gt;", "plainTextFormattedCitation" : "[76,77]", "previouslyFormattedCitation" : "&lt;sup&gt;[76,77]&lt;/sup&gt;" }, "properties" : { "noteIndex" : 0 }, "schema" : "https://github.com/citation-style-language/schema/raw/master/csl-citation.json" }</w:instrText>
      </w:r>
      <w:r w:rsidRPr="007D5B4E">
        <w:rPr>
          <w:rFonts w:ascii="Book Antiqua" w:hAnsi="Book Antiqua"/>
          <w:sz w:val="24"/>
          <w:szCs w:val="24"/>
        </w:rPr>
        <w:fldChar w:fldCharType="separate"/>
      </w:r>
      <w:r w:rsidR="009259AF" w:rsidRPr="007D5B4E">
        <w:rPr>
          <w:rFonts w:ascii="Book Antiqua" w:hAnsi="Book Antiqua"/>
          <w:noProof/>
          <w:sz w:val="24"/>
          <w:szCs w:val="24"/>
          <w:vertAlign w:val="superscript"/>
        </w:rPr>
        <w:t>[76,77]</w:t>
      </w:r>
      <w:r w:rsidRPr="007D5B4E">
        <w:rPr>
          <w:rFonts w:ascii="Book Antiqua" w:hAnsi="Book Antiqua"/>
          <w:sz w:val="24"/>
          <w:szCs w:val="24"/>
        </w:rPr>
        <w:fldChar w:fldCharType="end"/>
      </w:r>
      <w:r w:rsidRPr="007D5B4E">
        <w:rPr>
          <w:rFonts w:ascii="Book Antiqua" w:hAnsi="Book Antiqua"/>
          <w:sz w:val="24"/>
          <w:szCs w:val="24"/>
        </w:rPr>
        <w:t xml:space="preserve">. Importantly, restoration of sensitivity to </w:t>
      </w:r>
      <w:proofErr w:type="spellStart"/>
      <w:r w:rsidRPr="007D5B4E">
        <w:rPr>
          <w:rFonts w:ascii="Book Antiqua" w:hAnsi="Book Antiqua"/>
          <w:sz w:val="24"/>
          <w:szCs w:val="24"/>
        </w:rPr>
        <w:t>cetuximab</w:t>
      </w:r>
      <w:proofErr w:type="spellEnd"/>
      <w:r w:rsidRPr="007D5B4E">
        <w:rPr>
          <w:rFonts w:ascii="Book Antiqua" w:hAnsi="Book Antiqua"/>
          <w:sz w:val="24"/>
          <w:szCs w:val="24"/>
        </w:rPr>
        <w:t xml:space="preserve"> has been demonstrated with the application of interfering RNA or small molecule inhibitors such as </w:t>
      </w:r>
      <w:proofErr w:type="spellStart"/>
      <w:r w:rsidRPr="007D5B4E">
        <w:rPr>
          <w:rFonts w:ascii="Book Antiqua" w:hAnsi="Book Antiqua"/>
          <w:sz w:val="24"/>
          <w:szCs w:val="24"/>
        </w:rPr>
        <w:t>gefitinib</w:t>
      </w:r>
      <w:proofErr w:type="spellEnd"/>
      <w:r w:rsidRPr="007D5B4E">
        <w:rPr>
          <w:rFonts w:ascii="Book Antiqua" w:hAnsi="Book Antiqua"/>
          <w:sz w:val="24"/>
          <w:szCs w:val="24"/>
        </w:rPr>
        <w:t>, suggesting a potential valuable role of these small molecule kinase inhibitors in restoring efficacy of EGFR targeted therapies.</w:t>
      </w:r>
    </w:p>
    <w:p w14:paraId="21AD1EB5" w14:textId="77777777" w:rsidR="005C5A11" w:rsidRPr="007D5B4E" w:rsidRDefault="005C5A11" w:rsidP="00240E68">
      <w:pPr>
        <w:spacing w:after="0" w:line="360" w:lineRule="auto"/>
        <w:jc w:val="both"/>
        <w:rPr>
          <w:rFonts w:ascii="Book Antiqua" w:hAnsi="Book Antiqua"/>
        </w:rPr>
      </w:pPr>
    </w:p>
    <w:p w14:paraId="105287F6" w14:textId="3156CCBA" w:rsidR="00F950CC" w:rsidRPr="007D5B4E" w:rsidRDefault="007D5B4E" w:rsidP="00240E68">
      <w:pPr>
        <w:spacing w:after="0" w:line="360" w:lineRule="auto"/>
        <w:jc w:val="both"/>
        <w:rPr>
          <w:rFonts w:ascii="Book Antiqua" w:eastAsia="宋体" w:hAnsi="Book Antiqua"/>
          <w:b/>
          <w:lang w:eastAsia="zh-CN"/>
        </w:rPr>
      </w:pPr>
      <w:r w:rsidRPr="007D5B4E">
        <w:rPr>
          <w:rFonts w:ascii="Book Antiqua" w:eastAsia="宋体" w:hAnsi="Book Antiqua"/>
          <w:b/>
          <w:lang w:eastAsia="zh-CN"/>
        </w:rPr>
        <w:t>CONCLUSION</w:t>
      </w:r>
    </w:p>
    <w:p w14:paraId="4936AEA6" w14:textId="2BCE6202" w:rsidR="0062175B" w:rsidRDefault="00F950CC" w:rsidP="00240E68">
      <w:pPr>
        <w:spacing w:after="0" w:line="360" w:lineRule="auto"/>
        <w:jc w:val="both"/>
        <w:rPr>
          <w:rFonts w:ascii="Book Antiqua" w:hAnsi="Book Antiqua"/>
        </w:rPr>
      </w:pPr>
      <w:r w:rsidRPr="007D5B4E">
        <w:rPr>
          <w:rFonts w:ascii="Book Antiqua" w:hAnsi="Book Antiqua"/>
        </w:rPr>
        <w:t xml:space="preserve">We have reviewed the risk factors and current treatment paradigm for colorectal cancer, with an emphasis on the role of targeted chemotherapy and chemoprevention as they relate to EGFR blockade. The complex interplay between other growth promoting pathways that cross talk with EGFR and downstream EGFR effectors that can be driven by activating mutations make strategies that target EGFR vulnerable to several escape mechanisms. The role of Western diet and the exciting field of chemoprevention offer opportunities to target EGFR signaling cascade which plays a critical role in tumor promotion and progression. Future development of anti-EGFR directed nanoparticles restricted to the gut that could inhibit over active EGFR signals might hold promise to safely reduce colorectal cancer risk.  </w:t>
      </w:r>
    </w:p>
    <w:p w14:paraId="2792AB10" w14:textId="77777777" w:rsidR="0062175B" w:rsidRDefault="0062175B" w:rsidP="00240E68">
      <w:pPr>
        <w:spacing w:after="0" w:line="360" w:lineRule="auto"/>
        <w:jc w:val="both"/>
        <w:rPr>
          <w:rFonts w:ascii="Book Antiqua" w:hAnsi="Book Antiqua"/>
        </w:rPr>
      </w:pPr>
      <w:r>
        <w:rPr>
          <w:rFonts w:ascii="Book Antiqua" w:hAnsi="Book Antiqua"/>
        </w:rPr>
        <w:br w:type="page"/>
      </w:r>
    </w:p>
    <w:p w14:paraId="40B95177" w14:textId="77777777" w:rsidR="0062175B" w:rsidRPr="00FD1F45" w:rsidRDefault="0062175B" w:rsidP="00240E68">
      <w:pPr>
        <w:spacing w:after="0" w:line="360" w:lineRule="auto"/>
        <w:jc w:val="both"/>
        <w:rPr>
          <w:rFonts w:ascii="Book Antiqua" w:eastAsia="宋体" w:hAnsi="Book Antiqua"/>
          <w:b/>
          <w:lang w:eastAsia="zh-CN"/>
        </w:rPr>
      </w:pPr>
      <w:r w:rsidRPr="00FD1F45">
        <w:rPr>
          <w:rFonts w:ascii="Book Antiqua" w:eastAsia="宋体" w:hAnsi="Book Antiqua"/>
          <w:b/>
          <w:lang w:eastAsia="zh-CN"/>
        </w:rPr>
        <w:lastRenderedPageBreak/>
        <w:t>REFERENCES</w:t>
      </w:r>
    </w:p>
    <w:p w14:paraId="293565C6"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1 </w:t>
      </w:r>
      <w:r w:rsidRPr="007C570D">
        <w:rPr>
          <w:rFonts w:ascii="Book Antiqua" w:eastAsia="宋体" w:hAnsi="Book Antiqua" w:cs="宋体"/>
          <w:b/>
          <w:bCs/>
          <w:color w:val="000000" w:themeColor="text1"/>
        </w:rPr>
        <w:t>Siegel R</w:t>
      </w:r>
      <w:r w:rsidRPr="007C570D">
        <w:rPr>
          <w:rFonts w:ascii="Book Antiqua" w:eastAsia="宋体" w:hAnsi="Book Antiqua" w:cs="宋体"/>
          <w:color w:val="000000" w:themeColor="text1"/>
        </w:rPr>
        <w:t xml:space="preserve">, Ma J, Zou Z, </w:t>
      </w:r>
      <w:proofErr w:type="spellStart"/>
      <w:r w:rsidRPr="007C570D">
        <w:rPr>
          <w:rFonts w:ascii="Book Antiqua" w:eastAsia="宋体" w:hAnsi="Book Antiqua" w:cs="宋体"/>
          <w:color w:val="000000" w:themeColor="text1"/>
        </w:rPr>
        <w:t>Jemal</w:t>
      </w:r>
      <w:proofErr w:type="spellEnd"/>
      <w:r w:rsidRPr="007C570D">
        <w:rPr>
          <w:rFonts w:ascii="Book Antiqua" w:eastAsia="宋体" w:hAnsi="Book Antiqua" w:cs="宋体"/>
          <w:color w:val="000000" w:themeColor="text1"/>
        </w:rPr>
        <w:t xml:space="preserve"> A. Cancer statistics. </w:t>
      </w:r>
      <w:r w:rsidRPr="007C570D">
        <w:rPr>
          <w:rFonts w:ascii="Book Antiqua" w:eastAsia="宋体" w:hAnsi="Book Antiqua" w:cs="宋体"/>
          <w:i/>
          <w:iCs/>
          <w:color w:val="000000" w:themeColor="text1"/>
        </w:rPr>
        <w:t xml:space="preserve">CA Cancer 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color w:val="000000" w:themeColor="text1"/>
        </w:rPr>
        <w:t xml:space="preserve"> </w:t>
      </w:r>
      <w:r w:rsidRPr="00374AD1">
        <w:rPr>
          <w:rFonts w:ascii="Book Antiqua" w:eastAsia="宋体" w:hAnsi="Book Antiqua" w:cs="宋体" w:hint="eastAsia"/>
          <w:color w:val="000000" w:themeColor="text1"/>
        </w:rPr>
        <w:t>2014</w:t>
      </w:r>
      <w:r w:rsidRPr="007C570D">
        <w:rPr>
          <w:rFonts w:ascii="Book Antiqua" w:eastAsia="宋体" w:hAnsi="Book Antiqua" w:cs="宋体"/>
          <w:color w:val="000000" w:themeColor="text1"/>
        </w:rPr>
        <w:t xml:space="preserve">; </w:t>
      </w:r>
      <w:r w:rsidRPr="007C570D">
        <w:rPr>
          <w:rFonts w:ascii="Book Antiqua" w:eastAsia="宋体" w:hAnsi="Book Antiqua" w:cs="宋体"/>
          <w:b/>
          <w:bCs/>
          <w:color w:val="000000" w:themeColor="text1"/>
        </w:rPr>
        <w:t>64</w:t>
      </w:r>
      <w:r w:rsidRPr="007C570D">
        <w:rPr>
          <w:rFonts w:ascii="Book Antiqua" w:eastAsia="宋体" w:hAnsi="Book Antiqua" w:cs="宋体"/>
          <w:color w:val="000000" w:themeColor="text1"/>
        </w:rPr>
        <w:t>: 9-29 [PMID: 24399786 DOI: 10.3322/caac.21208]</w:t>
      </w:r>
    </w:p>
    <w:p w14:paraId="008E31C1" w14:textId="77777777" w:rsidR="0062175B" w:rsidRPr="007C570D"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2 </w:t>
      </w:r>
      <w:r w:rsidRPr="007C570D">
        <w:rPr>
          <w:rFonts w:ascii="Book Antiqua" w:eastAsia="宋体" w:hAnsi="Book Antiqua" w:cs="宋体"/>
          <w:b/>
          <w:bCs/>
          <w:color w:val="000000" w:themeColor="text1"/>
        </w:rPr>
        <w:t>Cohen RB</w:t>
      </w:r>
      <w:r w:rsidRPr="007C570D">
        <w:rPr>
          <w:rFonts w:ascii="Book Antiqua" w:eastAsia="宋体" w:hAnsi="Book Antiqua" w:cs="宋体"/>
          <w:color w:val="000000" w:themeColor="text1"/>
        </w:rPr>
        <w:t>.</w:t>
      </w:r>
      <w:proofErr w:type="gramEnd"/>
      <w:r w:rsidRPr="007C570D">
        <w:rPr>
          <w:rFonts w:ascii="Book Antiqua" w:eastAsia="宋体" w:hAnsi="Book Antiqua" w:cs="宋体"/>
          <w:color w:val="000000" w:themeColor="text1"/>
        </w:rPr>
        <w:t xml:space="preserve"> </w:t>
      </w:r>
      <w:proofErr w:type="gramStart"/>
      <w:r w:rsidRPr="007C570D">
        <w:rPr>
          <w:rFonts w:ascii="Book Antiqua" w:eastAsia="宋体" w:hAnsi="Book Antiqua" w:cs="宋体"/>
          <w:color w:val="000000" w:themeColor="text1"/>
        </w:rPr>
        <w:t>Epidermal growth factor receptor as a therapeutic target in colorectal cancer.</w:t>
      </w:r>
      <w:proofErr w:type="gramEnd"/>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Colorectal Cancer</w:t>
      </w:r>
      <w:r w:rsidRPr="007C570D">
        <w:rPr>
          <w:rFonts w:ascii="Book Antiqua" w:eastAsia="宋体" w:hAnsi="Book Antiqua" w:cs="宋体"/>
          <w:color w:val="000000" w:themeColor="text1"/>
        </w:rPr>
        <w:t xml:space="preserve"> 2003; </w:t>
      </w:r>
      <w:r w:rsidRPr="007C570D">
        <w:rPr>
          <w:rFonts w:ascii="Book Antiqua" w:eastAsia="宋体" w:hAnsi="Book Antiqua" w:cs="宋体"/>
          <w:b/>
          <w:bCs/>
          <w:color w:val="000000" w:themeColor="text1"/>
        </w:rPr>
        <w:t>2</w:t>
      </w:r>
      <w:r w:rsidRPr="007C570D">
        <w:rPr>
          <w:rFonts w:ascii="Book Antiqua" w:eastAsia="宋体" w:hAnsi="Book Antiqua" w:cs="宋体"/>
          <w:color w:val="000000" w:themeColor="text1"/>
        </w:rPr>
        <w:t>: 246-251 [PMID: 12620146 DOI: 10.3816/CCC.2003.n.006]</w:t>
      </w:r>
    </w:p>
    <w:p w14:paraId="6A175DE7"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 </w:t>
      </w:r>
      <w:proofErr w:type="spellStart"/>
      <w:r w:rsidRPr="007C570D">
        <w:rPr>
          <w:rFonts w:ascii="Book Antiqua" w:eastAsia="宋体" w:hAnsi="Book Antiqua" w:cs="宋体"/>
          <w:b/>
          <w:bCs/>
          <w:color w:val="000000" w:themeColor="text1"/>
        </w:rPr>
        <w:t>Hampel</w:t>
      </w:r>
      <w:proofErr w:type="spellEnd"/>
      <w:r w:rsidRPr="007C570D">
        <w:rPr>
          <w:rFonts w:ascii="Book Antiqua" w:eastAsia="宋体" w:hAnsi="Book Antiqua" w:cs="宋体"/>
          <w:b/>
          <w:bCs/>
          <w:color w:val="000000" w:themeColor="text1"/>
        </w:rPr>
        <w:t xml:space="preserve"> H</w:t>
      </w:r>
      <w:r w:rsidRPr="007C570D">
        <w:rPr>
          <w:rFonts w:ascii="Book Antiqua" w:eastAsia="宋体" w:hAnsi="Book Antiqua" w:cs="宋体"/>
          <w:color w:val="000000" w:themeColor="text1"/>
        </w:rPr>
        <w:t xml:space="preserve">, Frankel WL, Martin E, Arnold M, </w:t>
      </w:r>
      <w:proofErr w:type="spellStart"/>
      <w:r w:rsidRPr="007C570D">
        <w:rPr>
          <w:rFonts w:ascii="Book Antiqua" w:eastAsia="宋体" w:hAnsi="Book Antiqua" w:cs="宋体"/>
          <w:color w:val="000000" w:themeColor="text1"/>
        </w:rPr>
        <w:t>Khanduja</w:t>
      </w:r>
      <w:proofErr w:type="spellEnd"/>
      <w:r w:rsidRPr="007C570D">
        <w:rPr>
          <w:rFonts w:ascii="Book Antiqua" w:eastAsia="宋体" w:hAnsi="Book Antiqua" w:cs="宋体"/>
          <w:color w:val="000000" w:themeColor="text1"/>
        </w:rPr>
        <w:t xml:space="preserve"> K, </w:t>
      </w:r>
      <w:proofErr w:type="spellStart"/>
      <w:r w:rsidRPr="007C570D">
        <w:rPr>
          <w:rFonts w:ascii="Book Antiqua" w:eastAsia="宋体" w:hAnsi="Book Antiqua" w:cs="宋体"/>
          <w:color w:val="000000" w:themeColor="text1"/>
        </w:rPr>
        <w:t>Kuebler</w:t>
      </w:r>
      <w:proofErr w:type="spellEnd"/>
      <w:r w:rsidRPr="007C570D">
        <w:rPr>
          <w:rFonts w:ascii="Book Antiqua" w:eastAsia="宋体" w:hAnsi="Book Antiqua" w:cs="宋体"/>
          <w:color w:val="000000" w:themeColor="text1"/>
        </w:rPr>
        <w:t xml:space="preserve"> P, </w:t>
      </w:r>
      <w:proofErr w:type="spellStart"/>
      <w:r w:rsidRPr="007C570D">
        <w:rPr>
          <w:rFonts w:ascii="Book Antiqua" w:eastAsia="宋体" w:hAnsi="Book Antiqua" w:cs="宋体"/>
          <w:color w:val="000000" w:themeColor="text1"/>
        </w:rPr>
        <w:t>Clendenning</w:t>
      </w:r>
      <w:proofErr w:type="spellEnd"/>
      <w:r w:rsidRPr="007C570D">
        <w:rPr>
          <w:rFonts w:ascii="Book Antiqua" w:eastAsia="宋体" w:hAnsi="Book Antiqua" w:cs="宋体"/>
          <w:color w:val="000000" w:themeColor="text1"/>
        </w:rPr>
        <w:t xml:space="preserve"> M, </w:t>
      </w:r>
      <w:proofErr w:type="spellStart"/>
      <w:r w:rsidRPr="007C570D">
        <w:rPr>
          <w:rFonts w:ascii="Book Antiqua" w:eastAsia="宋体" w:hAnsi="Book Antiqua" w:cs="宋体"/>
          <w:color w:val="000000" w:themeColor="text1"/>
        </w:rPr>
        <w:t>Sotamaa</w:t>
      </w:r>
      <w:proofErr w:type="spellEnd"/>
      <w:r w:rsidRPr="007C570D">
        <w:rPr>
          <w:rFonts w:ascii="Book Antiqua" w:eastAsia="宋体" w:hAnsi="Book Antiqua" w:cs="宋体"/>
          <w:color w:val="000000" w:themeColor="text1"/>
        </w:rPr>
        <w:t xml:space="preserve"> K, Prior T, </w:t>
      </w:r>
      <w:proofErr w:type="spellStart"/>
      <w:r w:rsidRPr="007C570D">
        <w:rPr>
          <w:rFonts w:ascii="Book Antiqua" w:eastAsia="宋体" w:hAnsi="Book Antiqua" w:cs="宋体"/>
          <w:color w:val="000000" w:themeColor="text1"/>
        </w:rPr>
        <w:t>Westman</w:t>
      </w:r>
      <w:proofErr w:type="spellEnd"/>
      <w:r w:rsidRPr="007C570D">
        <w:rPr>
          <w:rFonts w:ascii="Book Antiqua" w:eastAsia="宋体" w:hAnsi="Book Antiqua" w:cs="宋体"/>
          <w:color w:val="000000" w:themeColor="text1"/>
        </w:rPr>
        <w:t xml:space="preserve"> JA, </w:t>
      </w:r>
      <w:proofErr w:type="spellStart"/>
      <w:r w:rsidRPr="007C570D">
        <w:rPr>
          <w:rFonts w:ascii="Book Antiqua" w:eastAsia="宋体" w:hAnsi="Book Antiqua" w:cs="宋体"/>
          <w:color w:val="000000" w:themeColor="text1"/>
        </w:rPr>
        <w:t>Panescu</w:t>
      </w:r>
      <w:proofErr w:type="spellEnd"/>
      <w:r w:rsidRPr="007C570D">
        <w:rPr>
          <w:rFonts w:ascii="Book Antiqua" w:eastAsia="宋体" w:hAnsi="Book Antiqua" w:cs="宋体"/>
          <w:color w:val="000000" w:themeColor="text1"/>
        </w:rPr>
        <w:t xml:space="preserve"> J, Fix D, </w:t>
      </w:r>
      <w:proofErr w:type="spellStart"/>
      <w:r w:rsidRPr="007C570D">
        <w:rPr>
          <w:rFonts w:ascii="Book Antiqua" w:eastAsia="宋体" w:hAnsi="Book Antiqua" w:cs="宋体"/>
          <w:color w:val="000000" w:themeColor="text1"/>
        </w:rPr>
        <w:t>Lockman</w:t>
      </w:r>
      <w:proofErr w:type="spellEnd"/>
      <w:r w:rsidRPr="007C570D">
        <w:rPr>
          <w:rFonts w:ascii="Book Antiqua" w:eastAsia="宋体" w:hAnsi="Book Antiqua" w:cs="宋体"/>
          <w:color w:val="000000" w:themeColor="text1"/>
        </w:rPr>
        <w:t xml:space="preserve"> J, </w:t>
      </w:r>
      <w:proofErr w:type="spellStart"/>
      <w:r w:rsidRPr="007C570D">
        <w:rPr>
          <w:rFonts w:ascii="Book Antiqua" w:eastAsia="宋体" w:hAnsi="Book Antiqua" w:cs="宋体"/>
          <w:color w:val="000000" w:themeColor="text1"/>
        </w:rPr>
        <w:t>LaJeunesse</w:t>
      </w:r>
      <w:proofErr w:type="spellEnd"/>
      <w:r w:rsidRPr="007C570D">
        <w:rPr>
          <w:rFonts w:ascii="Book Antiqua" w:eastAsia="宋体" w:hAnsi="Book Antiqua" w:cs="宋体"/>
          <w:color w:val="000000" w:themeColor="text1"/>
        </w:rPr>
        <w:t xml:space="preserve"> J, </w:t>
      </w:r>
      <w:proofErr w:type="spellStart"/>
      <w:r w:rsidRPr="007C570D">
        <w:rPr>
          <w:rFonts w:ascii="Book Antiqua" w:eastAsia="宋体" w:hAnsi="Book Antiqua" w:cs="宋体"/>
          <w:color w:val="000000" w:themeColor="text1"/>
        </w:rPr>
        <w:t>Comeras</w:t>
      </w:r>
      <w:proofErr w:type="spellEnd"/>
      <w:r w:rsidRPr="007C570D">
        <w:rPr>
          <w:rFonts w:ascii="Book Antiqua" w:eastAsia="宋体" w:hAnsi="Book Antiqua" w:cs="宋体"/>
          <w:color w:val="000000" w:themeColor="text1"/>
        </w:rPr>
        <w:t xml:space="preserve"> I, de la </w:t>
      </w:r>
      <w:proofErr w:type="spellStart"/>
      <w:r w:rsidRPr="007C570D">
        <w:rPr>
          <w:rFonts w:ascii="Book Antiqua" w:eastAsia="宋体" w:hAnsi="Book Antiqua" w:cs="宋体"/>
          <w:color w:val="000000" w:themeColor="text1"/>
        </w:rPr>
        <w:t>Chapelle</w:t>
      </w:r>
      <w:proofErr w:type="spellEnd"/>
      <w:r w:rsidRPr="007C570D">
        <w:rPr>
          <w:rFonts w:ascii="Book Antiqua" w:eastAsia="宋体" w:hAnsi="Book Antiqua" w:cs="宋体"/>
          <w:color w:val="000000" w:themeColor="text1"/>
        </w:rPr>
        <w:t xml:space="preserve"> A. Feasibility of screening for Lynch syndrome among patients with colorectal cancer.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26</w:t>
      </w:r>
      <w:r w:rsidRPr="007C570D">
        <w:rPr>
          <w:rFonts w:ascii="Book Antiqua" w:eastAsia="宋体" w:hAnsi="Book Antiqua" w:cs="宋体"/>
          <w:color w:val="000000" w:themeColor="text1"/>
        </w:rPr>
        <w:t>: 5783-5788 [PMID: 18809606 DOI: 10.1200/JCO.2008.17.5950]</w:t>
      </w:r>
    </w:p>
    <w:p w14:paraId="1D7A47E1"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4 </w:t>
      </w:r>
      <w:proofErr w:type="spellStart"/>
      <w:r w:rsidRPr="007C570D">
        <w:rPr>
          <w:rFonts w:ascii="Book Antiqua" w:eastAsia="宋体" w:hAnsi="Book Antiqua" w:cs="宋体"/>
          <w:b/>
          <w:bCs/>
          <w:color w:val="000000" w:themeColor="text1"/>
        </w:rPr>
        <w:t>Bülow</w:t>
      </w:r>
      <w:proofErr w:type="spellEnd"/>
      <w:r w:rsidRPr="007C570D">
        <w:rPr>
          <w:rFonts w:ascii="Book Antiqua" w:eastAsia="宋体" w:hAnsi="Book Antiqua" w:cs="宋体"/>
          <w:b/>
          <w:bCs/>
          <w:color w:val="000000" w:themeColor="text1"/>
        </w:rPr>
        <w:t xml:space="preserve"> S</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Faurschou</w:t>
      </w:r>
      <w:proofErr w:type="spellEnd"/>
      <w:r w:rsidRPr="007C570D">
        <w:rPr>
          <w:rFonts w:ascii="Book Antiqua" w:eastAsia="宋体" w:hAnsi="Book Antiqua" w:cs="宋体"/>
          <w:color w:val="000000" w:themeColor="text1"/>
        </w:rPr>
        <w:t xml:space="preserve"> Nielsen T, </w:t>
      </w:r>
      <w:proofErr w:type="spellStart"/>
      <w:r w:rsidRPr="007C570D">
        <w:rPr>
          <w:rFonts w:ascii="Book Antiqua" w:eastAsia="宋体" w:hAnsi="Book Antiqua" w:cs="宋体"/>
          <w:color w:val="000000" w:themeColor="text1"/>
        </w:rPr>
        <w:t>Bülow</w:t>
      </w:r>
      <w:proofErr w:type="spellEnd"/>
      <w:r w:rsidRPr="007C570D">
        <w:rPr>
          <w:rFonts w:ascii="Book Antiqua" w:eastAsia="宋体" w:hAnsi="Book Antiqua" w:cs="宋体"/>
          <w:color w:val="000000" w:themeColor="text1"/>
        </w:rPr>
        <w:t xml:space="preserve"> C, </w:t>
      </w:r>
      <w:proofErr w:type="spellStart"/>
      <w:r w:rsidRPr="007C570D">
        <w:rPr>
          <w:rFonts w:ascii="Book Antiqua" w:eastAsia="宋体" w:hAnsi="Book Antiqua" w:cs="宋体"/>
          <w:color w:val="000000" w:themeColor="text1"/>
        </w:rPr>
        <w:t>Bisgaard</w:t>
      </w:r>
      <w:proofErr w:type="spellEnd"/>
      <w:r w:rsidRPr="007C570D">
        <w:rPr>
          <w:rFonts w:ascii="Book Antiqua" w:eastAsia="宋体" w:hAnsi="Book Antiqua" w:cs="宋体"/>
          <w:color w:val="000000" w:themeColor="text1"/>
        </w:rPr>
        <w:t xml:space="preserve"> ML, </w:t>
      </w:r>
      <w:proofErr w:type="spellStart"/>
      <w:r w:rsidRPr="007C570D">
        <w:rPr>
          <w:rFonts w:ascii="Book Antiqua" w:eastAsia="宋体" w:hAnsi="Book Antiqua" w:cs="宋体"/>
          <w:color w:val="000000" w:themeColor="text1"/>
        </w:rPr>
        <w:t>Karlsen</w:t>
      </w:r>
      <w:proofErr w:type="spellEnd"/>
      <w:r w:rsidRPr="007C570D">
        <w:rPr>
          <w:rFonts w:ascii="Book Antiqua" w:eastAsia="宋体" w:hAnsi="Book Antiqua" w:cs="宋体"/>
          <w:color w:val="000000" w:themeColor="text1"/>
        </w:rPr>
        <w:t xml:space="preserve"> L, </w:t>
      </w:r>
      <w:proofErr w:type="spellStart"/>
      <w:r w:rsidRPr="007C570D">
        <w:rPr>
          <w:rFonts w:ascii="Book Antiqua" w:eastAsia="宋体" w:hAnsi="Book Antiqua" w:cs="宋体"/>
          <w:color w:val="000000" w:themeColor="text1"/>
        </w:rPr>
        <w:t>Moesgaard</w:t>
      </w:r>
      <w:proofErr w:type="spellEnd"/>
      <w:r w:rsidRPr="007C570D">
        <w:rPr>
          <w:rFonts w:ascii="Book Antiqua" w:eastAsia="宋体" w:hAnsi="Book Antiqua" w:cs="宋体"/>
          <w:color w:val="000000" w:themeColor="text1"/>
        </w:rPr>
        <w:t xml:space="preserve"> F. </w:t>
      </w:r>
      <w:proofErr w:type="gramStart"/>
      <w:r w:rsidRPr="007C570D">
        <w:rPr>
          <w:rFonts w:ascii="Book Antiqua" w:eastAsia="宋体" w:hAnsi="Book Antiqua" w:cs="宋体"/>
          <w:color w:val="000000" w:themeColor="text1"/>
        </w:rPr>
        <w:t>The incidence rate of familial adenomatous polyposis.</w:t>
      </w:r>
      <w:proofErr w:type="gramEnd"/>
      <w:r w:rsidRPr="007C570D">
        <w:rPr>
          <w:rFonts w:ascii="Book Antiqua" w:eastAsia="宋体" w:hAnsi="Book Antiqua" w:cs="宋体"/>
          <w:color w:val="000000" w:themeColor="text1"/>
        </w:rPr>
        <w:t xml:space="preserve"> Results from the Danish Polyposis Register. </w:t>
      </w:r>
      <w:proofErr w:type="spellStart"/>
      <w:r w:rsidRPr="007C570D">
        <w:rPr>
          <w:rFonts w:ascii="Book Antiqua" w:eastAsia="宋体" w:hAnsi="Book Antiqua" w:cs="宋体"/>
          <w:i/>
          <w:iCs/>
          <w:color w:val="000000" w:themeColor="text1"/>
        </w:rPr>
        <w:t>Int</w:t>
      </w:r>
      <w:proofErr w:type="spellEnd"/>
      <w:r w:rsidRPr="007C570D">
        <w:rPr>
          <w:rFonts w:ascii="Book Antiqua" w:eastAsia="宋体" w:hAnsi="Book Antiqua" w:cs="宋体"/>
          <w:i/>
          <w:iCs/>
          <w:color w:val="000000" w:themeColor="text1"/>
        </w:rPr>
        <w:t xml:space="preserve"> J Colorectal Dis</w:t>
      </w:r>
      <w:r w:rsidRPr="007C570D">
        <w:rPr>
          <w:rFonts w:ascii="Book Antiqua" w:eastAsia="宋体" w:hAnsi="Book Antiqua" w:cs="宋体"/>
          <w:color w:val="000000" w:themeColor="text1"/>
        </w:rPr>
        <w:t xml:space="preserve"> 1996; </w:t>
      </w:r>
      <w:r w:rsidRPr="007C570D">
        <w:rPr>
          <w:rFonts w:ascii="Book Antiqua" w:eastAsia="宋体" w:hAnsi="Book Antiqua" w:cs="宋体"/>
          <w:b/>
          <w:bCs/>
          <w:color w:val="000000" w:themeColor="text1"/>
        </w:rPr>
        <w:t>11</w:t>
      </w:r>
      <w:r w:rsidRPr="007C570D">
        <w:rPr>
          <w:rFonts w:ascii="Book Antiqua" w:eastAsia="宋体" w:hAnsi="Book Antiqua" w:cs="宋体"/>
          <w:color w:val="000000" w:themeColor="text1"/>
        </w:rPr>
        <w:t>: 88-91 [PMID: 8739833 DOI: 10.1007/BF00342466]</w:t>
      </w:r>
    </w:p>
    <w:p w14:paraId="77244353"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 </w:t>
      </w:r>
      <w:proofErr w:type="spellStart"/>
      <w:r w:rsidRPr="007C570D">
        <w:rPr>
          <w:rFonts w:ascii="Book Antiqua" w:eastAsia="宋体" w:hAnsi="Book Antiqua" w:cs="宋体"/>
          <w:b/>
          <w:bCs/>
          <w:color w:val="000000" w:themeColor="text1"/>
        </w:rPr>
        <w:t>Fedirko</w:t>
      </w:r>
      <w:proofErr w:type="spellEnd"/>
      <w:r w:rsidRPr="007C570D">
        <w:rPr>
          <w:rFonts w:ascii="Book Antiqua" w:eastAsia="宋体" w:hAnsi="Book Antiqua" w:cs="宋体"/>
          <w:b/>
          <w:bCs/>
          <w:color w:val="000000" w:themeColor="text1"/>
        </w:rPr>
        <w:t xml:space="preserve"> V</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Tramacere</w:t>
      </w:r>
      <w:proofErr w:type="spellEnd"/>
      <w:r w:rsidRPr="007C570D">
        <w:rPr>
          <w:rFonts w:ascii="Book Antiqua" w:eastAsia="宋体" w:hAnsi="Book Antiqua" w:cs="宋体"/>
          <w:color w:val="000000" w:themeColor="text1"/>
        </w:rPr>
        <w:t xml:space="preserve"> I, </w:t>
      </w:r>
      <w:proofErr w:type="spellStart"/>
      <w:r w:rsidRPr="007C570D">
        <w:rPr>
          <w:rFonts w:ascii="Book Antiqua" w:eastAsia="宋体" w:hAnsi="Book Antiqua" w:cs="宋体"/>
          <w:color w:val="000000" w:themeColor="text1"/>
        </w:rPr>
        <w:t>Bagnardi</w:t>
      </w:r>
      <w:proofErr w:type="spellEnd"/>
      <w:r w:rsidRPr="007C570D">
        <w:rPr>
          <w:rFonts w:ascii="Book Antiqua" w:eastAsia="宋体" w:hAnsi="Book Antiqua" w:cs="宋体"/>
          <w:color w:val="000000" w:themeColor="text1"/>
        </w:rPr>
        <w:t xml:space="preserve"> V, Rota M, </w:t>
      </w:r>
      <w:proofErr w:type="spellStart"/>
      <w:r w:rsidRPr="007C570D">
        <w:rPr>
          <w:rFonts w:ascii="Book Antiqua" w:eastAsia="宋体" w:hAnsi="Book Antiqua" w:cs="宋体"/>
          <w:color w:val="000000" w:themeColor="text1"/>
        </w:rPr>
        <w:t>Scotti</w:t>
      </w:r>
      <w:proofErr w:type="spellEnd"/>
      <w:r w:rsidRPr="007C570D">
        <w:rPr>
          <w:rFonts w:ascii="Book Antiqua" w:eastAsia="宋体" w:hAnsi="Book Antiqua" w:cs="宋体"/>
          <w:color w:val="000000" w:themeColor="text1"/>
        </w:rPr>
        <w:t xml:space="preserve"> L, </w:t>
      </w:r>
      <w:proofErr w:type="spellStart"/>
      <w:r w:rsidRPr="007C570D">
        <w:rPr>
          <w:rFonts w:ascii="Book Antiqua" w:eastAsia="宋体" w:hAnsi="Book Antiqua" w:cs="宋体"/>
          <w:color w:val="000000" w:themeColor="text1"/>
        </w:rPr>
        <w:t>Islami</w:t>
      </w:r>
      <w:proofErr w:type="spellEnd"/>
      <w:r w:rsidRPr="007C570D">
        <w:rPr>
          <w:rFonts w:ascii="Book Antiqua" w:eastAsia="宋体" w:hAnsi="Book Antiqua" w:cs="宋体"/>
          <w:color w:val="000000" w:themeColor="text1"/>
        </w:rPr>
        <w:t xml:space="preserve"> F, </w:t>
      </w:r>
      <w:proofErr w:type="spellStart"/>
      <w:r w:rsidRPr="007C570D">
        <w:rPr>
          <w:rFonts w:ascii="Book Antiqua" w:eastAsia="宋体" w:hAnsi="Book Antiqua" w:cs="宋体"/>
          <w:color w:val="000000" w:themeColor="text1"/>
        </w:rPr>
        <w:t>Negri</w:t>
      </w:r>
      <w:proofErr w:type="spellEnd"/>
      <w:r w:rsidRPr="007C570D">
        <w:rPr>
          <w:rFonts w:ascii="Book Antiqua" w:eastAsia="宋体" w:hAnsi="Book Antiqua" w:cs="宋体"/>
          <w:color w:val="000000" w:themeColor="text1"/>
        </w:rPr>
        <w:t xml:space="preserve"> E, </w:t>
      </w:r>
      <w:proofErr w:type="spellStart"/>
      <w:r w:rsidRPr="007C570D">
        <w:rPr>
          <w:rFonts w:ascii="Book Antiqua" w:eastAsia="宋体" w:hAnsi="Book Antiqua" w:cs="宋体"/>
          <w:color w:val="000000" w:themeColor="text1"/>
        </w:rPr>
        <w:t>Straif</w:t>
      </w:r>
      <w:proofErr w:type="spellEnd"/>
      <w:r w:rsidRPr="007C570D">
        <w:rPr>
          <w:rFonts w:ascii="Book Antiqua" w:eastAsia="宋体" w:hAnsi="Book Antiqua" w:cs="宋体"/>
          <w:color w:val="000000" w:themeColor="text1"/>
        </w:rPr>
        <w:t xml:space="preserve"> K, </w:t>
      </w:r>
      <w:proofErr w:type="spellStart"/>
      <w:r w:rsidRPr="007C570D">
        <w:rPr>
          <w:rFonts w:ascii="Book Antiqua" w:eastAsia="宋体" w:hAnsi="Book Antiqua" w:cs="宋体"/>
          <w:color w:val="000000" w:themeColor="text1"/>
        </w:rPr>
        <w:t>Romieu</w:t>
      </w:r>
      <w:proofErr w:type="spellEnd"/>
      <w:r w:rsidRPr="007C570D">
        <w:rPr>
          <w:rFonts w:ascii="Book Antiqua" w:eastAsia="宋体" w:hAnsi="Book Antiqua" w:cs="宋体"/>
          <w:color w:val="000000" w:themeColor="text1"/>
        </w:rPr>
        <w:t xml:space="preserve"> I, La </w:t>
      </w:r>
      <w:proofErr w:type="spellStart"/>
      <w:r w:rsidRPr="007C570D">
        <w:rPr>
          <w:rFonts w:ascii="Book Antiqua" w:eastAsia="宋体" w:hAnsi="Book Antiqua" w:cs="宋体"/>
          <w:color w:val="000000" w:themeColor="text1"/>
        </w:rPr>
        <w:t>Vecchia</w:t>
      </w:r>
      <w:proofErr w:type="spellEnd"/>
      <w:r w:rsidRPr="007C570D">
        <w:rPr>
          <w:rFonts w:ascii="Book Antiqua" w:eastAsia="宋体" w:hAnsi="Book Antiqua" w:cs="宋体"/>
          <w:color w:val="000000" w:themeColor="text1"/>
        </w:rPr>
        <w:t xml:space="preserve"> C, </w:t>
      </w:r>
      <w:proofErr w:type="spellStart"/>
      <w:r w:rsidRPr="007C570D">
        <w:rPr>
          <w:rFonts w:ascii="Book Antiqua" w:eastAsia="宋体" w:hAnsi="Book Antiqua" w:cs="宋体"/>
          <w:color w:val="000000" w:themeColor="text1"/>
        </w:rPr>
        <w:t>Boffetta</w:t>
      </w:r>
      <w:proofErr w:type="spellEnd"/>
      <w:r w:rsidRPr="007C570D">
        <w:rPr>
          <w:rFonts w:ascii="Book Antiqua" w:eastAsia="宋体" w:hAnsi="Book Antiqua" w:cs="宋体"/>
          <w:color w:val="000000" w:themeColor="text1"/>
        </w:rPr>
        <w:t xml:space="preserve"> P, </w:t>
      </w:r>
      <w:proofErr w:type="spellStart"/>
      <w:r w:rsidRPr="007C570D">
        <w:rPr>
          <w:rFonts w:ascii="Book Antiqua" w:eastAsia="宋体" w:hAnsi="Book Antiqua" w:cs="宋体"/>
          <w:color w:val="000000" w:themeColor="text1"/>
        </w:rPr>
        <w:t>Jenab</w:t>
      </w:r>
      <w:proofErr w:type="spellEnd"/>
      <w:r w:rsidRPr="007C570D">
        <w:rPr>
          <w:rFonts w:ascii="Book Antiqua" w:eastAsia="宋体" w:hAnsi="Book Antiqua" w:cs="宋体"/>
          <w:color w:val="000000" w:themeColor="text1"/>
        </w:rPr>
        <w:t xml:space="preserve"> M. Alcohol drinking and colorectal cancer risk: an overall and dose-response meta-analysis of published studies. </w:t>
      </w:r>
      <w:r w:rsidRPr="007C570D">
        <w:rPr>
          <w:rFonts w:ascii="Book Antiqua" w:eastAsia="宋体" w:hAnsi="Book Antiqua" w:cs="宋体"/>
          <w:i/>
          <w:iCs/>
          <w:color w:val="000000" w:themeColor="text1"/>
        </w:rPr>
        <w:t xml:space="preserve">Ann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2011; </w:t>
      </w:r>
      <w:r w:rsidRPr="007C570D">
        <w:rPr>
          <w:rFonts w:ascii="Book Antiqua" w:eastAsia="宋体" w:hAnsi="Book Antiqua" w:cs="宋体"/>
          <w:b/>
          <w:bCs/>
          <w:color w:val="000000" w:themeColor="text1"/>
        </w:rPr>
        <w:t>22</w:t>
      </w:r>
      <w:r w:rsidRPr="007C570D">
        <w:rPr>
          <w:rFonts w:ascii="Book Antiqua" w:eastAsia="宋体" w:hAnsi="Book Antiqua" w:cs="宋体"/>
          <w:color w:val="000000" w:themeColor="text1"/>
        </w:rPr>
        <w:t>: 1958-1972 [PMID: 21307158 DOI: 10.1093/</w:t>
      </w:r>
      <w:proofErr w:type="spellStart"/>
      <w:r w:rsidRPr="007C570D">
        <w:rPr>
          <w:rFonts w:ascii="Book Antiqua" w:eastAsia="宋体" w:hAnsi="Book Antiqua" w:cs="宋体"/>
          <w:color w:val="000000" w:themeColor="text1"/>
        </w:rPr>
        <w:t>annonc</w:t>
      </w:r>
      <w:proofErr w:type="spellEnd"/>
      <w:r w:rsidRPr="007C570D">
        <w:rPr>
          <w:rFonts w:ascii="Book Antiqua" w:eastAsia="宋体" w:hAnsi="Book Antiqua" w:cs="宋体"/>
          <w:color w:val="000000" w:themeColor="text1"/>
        </w:rPr>
        <w:t>/mdq653]</w:t>
      </w:r>
    </w:p>
    <w:p w14:paraId="4537B705"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 </w:t>
      </w:r>
      <w:r w:rsidRPr="007C570D">
        <w:rPr>
          <w:rFonts w:ascii="Book Antiqua" w:eastAsia="宋体" w:hAnsi="Book Antiqua" w:cs="宋体"/>
          <w:b/>
          <w:bCs/>
          <w:color w:val="000000" w:themeColor="text1"/>
        </w:rPr>
        <w:t>Henderson TO</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Oeffinger</w:t>
      </w:r>
      <w:proofErr w:type="spellEnd"/>
      <w:r w:rsidRPr="007C570D">
        <w:rPr>
          <w:rFonts w:ascii="Book Antiqua" w:eastAsia="宋体" w:hAnsi="Book Antiqua" w:cs="宋体"/>
          <w:color w:val="000000" w:themeColor="text1"/>
        </w:rPr>
        <w:t xml:space="preserve"> KC, Whitton J, </w:t>
      </w:r>
      <w:proofErr w:type="spellStart"/>
      <w:r w:rsidRPr="007C570D">
        <w:rPr>
          <w:rFonts w:ascii="Book Antiqua" w:eastAsia="宋体" w:hAnsi="Book Antiqua" w:cs="宋体"/>
          <w:color w:val="000000" w:themeColor="text1"/>
        </w:rPr>
        <w:t>Leisenring</w:t>
      </w:r>
      <w:proofErr w:type="spellEnd"/>
      <w:r w:rsidRPr="007C570D">
        <w:rPr>
          <w:rFonts w:ascii="Book Antiqua" w:eastAsia="宋体" w:hAnsi="Book Antiqua" w:cs="宋体"/>
          <w:color w:val="000000" w:themeColor="text1"/>
        </w:rPr>
        <w:t xml:space="preserve"> W, </w:t>
      </w:r>
      <w:proofErr w:type="spellStart"/>
      <w:r w:rsidRPr="007C570D">
        <w:rPr>
          <w:rFonts w:ascii="Book Antiqua" w:eastAsia="宋体" w:hAnsi="Book Antiqua" w:cs="宋体"/>
          <w:color w:val="000000" w:themeColor="text1"/>
        </w:rPr>
        <w:t>Neglia</w:t>
      </w:r>
      <w:proofErr w:type="spellEnd"/>
      <w:r w:rsidRPr="007C570D">
        <w:rPr>
          <w:rFonts w:ascii="Book Antiqua" w:eastAsia="宋体" w:hAnsi="Book Antiqua" w:cs="宋体"/>
          <w:color w:val="000000" w:themeColor="text1"/>
        </w:rPr>
        <w:t xml:space="preserve"> J, Meadows A, Crotty C, Rubin DT, Diller L, </w:t>
      </w:r>
      <w:proofErr w:type="spellStart"/>
      <w:r w:rsidRPr="007C570D">
        <w:rPr>
          <w:rFonts w:ascii="Book Antiqua" w:eastAsia="宋体" w:hAnsi="Book Antiqua" w:cs="宋体"/>
          <w:color w:val="000000" w:themeColor="text1"/>
        </w:rPr>
        <w:t>Inskip</w:t>
      </w:r>
      <w:proofErr w:type="spellEnd"/>
      <w:r w:rsidRPr="007C570D">
        <w:rPr>
          <w:rFonts w:ascii="Book Antiqua" w:eastAsia="宋体" w:hAnsi="Book Antiqua" w:cs="宋体"/>
          <w:color w:val="000000" w:themeColor="text1"/>
        </w:rPr>
        <w:t xml:space="preserve"> P, Smith SA, Stovall M, </w:t>
      </w:r>
      <w:proofErr w:type="spellStart"/>
      <w:r w:rsidRPr="007C570D">
        <w:rPr>
          <w:rFonts w:ascii="Book Antiqua" w:eastAsia="宋体" w:hAnsi="Book Antiqua" w:cs="宋体"/>
          <w:color w:val="000000" w:themeColor="text1"/>
        </w:rPr>
        <w:t>Constine</w:t>
      </w:r>
      <w:proofErr w:type="spellEnd"/>
      <w:r w:rsidRPr="007C570D">
        <w:rPr>
          <w:rFonts w:ascii="Book Antiqua" w:eastAsia="宋体" w:hAnsi="Book Antiqua" w:cs="宋体"/>
          <w:color w:val="000000" w:themeColor="text1"/>
        </w:rPr>
        <w:t xml:space="preserve"> LS, Hammond S, Armstrong GT, Robison LL, Nathan PC. Secondary gastrointestinal cancer in childhood cancer survivors: a cohort study. </w:t>
      </w:r>
      <w:r w:rsidRPr="007C570D">
        <w:rPr>
          <w:rFonts w:ascii="Book Antiqua" w:eastAsia="宋体" w:hAnsi="Book Antiqua" w:cs="宋体"/>
          <w:i/>
          <w:iCs/>
          <w:color w:val="000000" w:themeColor="text1"/>
        </w:rPr>
        <w:t>Ann Intern Med</w:t>
      </w:r>
      <w:r w:rsidRPr="007C570D">
        <w:rPr>
          <w:rFonts w:ascii="Book Antiqua" w:eastAsia="宋体" w:hAnsi="Book Antiqua" w:cs="宋体"/>
          <w:color w:val="000000" w:themeColor="text1"/>
        </w:rPr>
        <w:t xml:space="preserve"> 2012; </w:t>
      </w:r>
      <w:r w:rsidRPr="007C570D">
        <w:rPr>
          <w:rFonts w:ascii="Book Antiqua" w:eastAsia="宋体" w:hAnsi="Book Antiqua" w:cs="宋体"/>
          <w:b/>
          <w:bCs/>
          <w:color w:val="000000" w:themeColor="text1"/>
        </w:rPr>
        <w:t>156</w:t>
      </w:r>
      <w:r w:rsidRPr="007C570D">
        <w:rPr>
          <w:rFonts w:ascii="Book Antiqua" w:eastAsia="宋体" w:hAnsi="Book Antiqua" w:cs="宋体"/>
          <w:color w:val="000000" w:themeColor="text1"/>
        </w:rPr>
        <w:t>: 757-</w:t>
      </w:r>
      <w:r w:rsidRPr="00374AD1">
        <w:rPr>
          <w:rFonts w:ascii="Book Antiqua" w:eastAsia="宋体" w:hAnsi="Book Antiqua" w:cs="宋体" w:hint="eastAsia"/>
          <w:color w:val="000000" w:themeColor="text1"/>
        </w:rPr>
        <w:t>7</w:t>
      </w:r>
      <w:r w:rsidRPr="007C570D">
        <w:rPr>
          <w:rFonts w:ascii="Book Antiqua" w:eastAsia="宋体" w:hAnsi="Book Antiqua" w:cs="宋体"/>
          <w:color w:val="000000" w:themeColor="text1"/>
        </w:rPr>
        <w:t>66, W-260 [PMID: 22665813 DOI: 10.7326/0003-4819-156-11-201206050-00002]</w:t>
      </w:r>
    </w:p>
    <w:p w14:paraId="05751C01"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7 </w:t>
      </w:r>
      <w:r w:rsidRPr="007C570D">
        <w:rPr>
          <w:rFonts w:ascii="Book Antiqua" w:eastAsia="宋体" w:hAnsi="Book Antiqua" w:cs="宋体"/>
          <w:b/>
          <w:bCs/>
          <w:color w:val="000000" w:themeColor="text1"/>
        </w:rPr>
        <w:t>Dougherty U</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Cerasi</w:t>
      </w:r>
      <w:proofErr w:type="spellEnd"/>
      <w:r w:rsidRPr="007C570D">
        <w:rPr>
          <w:rFonts w:ascii="Book Antiqua" w:eastAsia="宋体" w:hAnsi="Book Antiqua" w:cs="宋体"/>
          <w:color w:val="000000" w:themeColor="text1"/>
        </w:rPr>
        <w:t xml:space="preserve"> D, Taylor I, </w:t>
      </w:r>
      <w:proofErr w:type="spellStart"/>
      <w:r w:rsidRPr="007C570D">
        <w:rPr>
          <w:rFonts w:ascii="Book Antiqua" w:eastAsia="宋体" w:hAnsi="Book Antiqua" w:cs="宋体"/>
          <w:color w:val="000000" w:themeColor="text1"/>
        </w:rPr>
        <w:t>Kocherginsky</w:t>
      </w:r>
      <w:proofErr w:type="spellEnd"/>
      <w:r w:rsidRPr="007C570D">
        <w:rPr>
          <w:rFonts w:ascii="Book Antiqua" w:eastAsia="宋体" w:hAnsi="Book Antiqua" w:cs="宋体"/>
          <w:color w:val="000000" w:themeColor="text1"/>
        </w:rPr>
        <w:t xml:space="preserve"> M, </w:t>
      </w:r>
      <w:proofErr w:type="spellStart"/>
      <w:r w:rsidRPr="007C570D">
        <w:rPr>
          <w:rFonts w:ascii="Book Antiqua" w:eastAsia="宋体" w:hAnsi="Book Antiqua" w:cs="宋体"/>
          <w:color w:val="000000" w:themeColor="text1"/>
        </w:rPr>
        <w:t>Tekin</w:t>
      </w:r>
      <w:proofErr w:type="spellEnd"/>
      <w:r w:rsidRPr="007C570D">
        <w:rPr>
          <w:rFonts w:ascii="Book Antiqua" w:eastAsia="宋体" w:hAnsi="Book Antiqua" w:cs="宋体"/>
          <w:color w:val="000000" w:themeColor="text1"/>
        </w:rPr>
        <w:t xml:space="preserve"> U, </w:t>
      </w:r>
      <w:proofErr w:type="spellStart"/>
      <w:r w:rsidRPr="007C570D">
        <w:rPr>
          <w:rFonts w:ascii="Book Antiqua" w:eastAsia="宋体" w:hAnsi="Book Antiqua" w:cs="宋体"/>
          <w:color w:val="000000" w:themeColor="text1"/>
        </w:rPr>
        <w:t>Badal</w:t>
      </w:r>
      <w:proofErr w:type="spellEnd"/>
      <w:r w:rsidRPr="007C570D">
        <w:rPr>
          <w:rFonts w:ascii="Book Antiqua" w:eastAsia="宋体" w:hAnsi="Book Antiqua" w:cs="宋体"/>
          <w:color w:val="000000" w:themeColor="text1"/>
        </w:rPr>
        <w:t xml:space="preserve"> S, </w:t>
      </w:r>
      <w:proofErr w:type="spellStart"/>
      <w:r w:rsidRPr="007C570D">
        <w:rPr>
          <w:rFonts w:ascii="Book Antiqua" w:eastAsia="宋体" w:hAnsi="Book Antiqua" w:cs="宋体"/>
          <w:color w:val="000000" w:themeColor="text1"/>
        </w:rPr>
        <w:t>Aluri</w:t>
      </w:r>
      <w:proofErr w:type="spellEnd"/>
      <w:r w:rsidRPr="007C570D">
        <w:rPr>
          <w:rFonts w:ascii="Book Antiqua" w:eastAsia="宋体" w:hAnsi="Book Antiqua" w:cs="宋体"/>
          <w:color w:val="000000" w:themeColor="text1"/>
        </w:rPr>
        <w:t xml:space="preserve"> L, </w:t>
      </w:r>
      <w:proofErr w:type="spellStart"/>
      <w:r w:rsidRPr="007C570D">
        <w:rPr>
          <w:rFonts w:ascii="Book Antiqua" w:eastAsia="宋体" w:hAnsi="Book Antiqua" w:cs="宋体"/>
          <w:color w:val="000000" w:themeColor="text1"/>
        </w:rPr>
        <w:t>Sehdev</w:t>
      </w:r>
      <w:proofErr w:type="spellEnd"/>
      <w:r w:rsidRPr="007C570D">
        <w:rPr>
          <w:rFonts w:ascii="Book Antiqua" w:eastAsia="宋体" w:hAnsi="Book Antiqua" w:cs="宋体"/>
          <w:color w:val="000000" w:themeColor="text1"/>
        </w:rPr>
        <w:t xml:space="preserve"> A, Cerda S, </w:t>
      </w:r>
      <w:proofErr w:type="spellStart"/>
      <w:r w:rsidRPr="007C570D">
        <w:rPr>
          <w:rFonts w:ascii="Book Antiqua" w:eastAsia="宋体" w:hAnsi="Book Antiqua" w:cs="宋体"/>
          <w:color w:val="000000" w:themeColor="text1"/>
        </w:rPr>
        <w:t>Mustafi</w:t>
      </w:r>
      <w:proofErr w:type="spellEnd"/>
      <w:r w:rsidRPr="007C570D">
        <w:rPr>
          <w:rFonts w:ascii="Book Antiqua" w:eastAsia="宋体" w:hAnsi="Book Antiqua" w:cs="宋体"/>
          <w:color w:val="000000" w:themeColor="text1"/>
        </w:rPr>
        <w:t xml:space="preserve"> R, Delgado J, Joseph L, Zhu H, Hart J, </w:t>
      </w:r>
      <w:proofErr w:type="spellStart"/>
      <w:r w:rsidRPr="007C570D">
        <w:rPr>
          <w:rFonts w:ascii="Book Antiqua" w:eastAsia="宋体" w:hAnsi="Book Antiqua" w:cs="宋体"/>
          <w:color w:val="000000" w:themeColor="text1"/>
        </w:rPr>
        <w:t>Threadgill</w:t>
      </w:r>
      <w:proofErr w:type="spellEnd"/>
      <w:r w:rsidRPr="007C570D">
        <w:rPr>
          <w:rFonts w:ascii="Book Antiqua" w:eastAsia="宋体" w:hAnsi="Book Antiqua" w:cs="宋体"/>
          <w:color w:val="000000" w:themeColor="text1"/>
        </w:rPr>
        <w:t xml:space="preserve"> D, </w:t>
      </w:r>
      <w:proofErr w:type="spellStart"/>
      <w:r w:rsidRPr="007C570D">
        <w:rPr>
          <w:rFonts w:ascii="Book Antiqua" w:eastAsia="宋体" w:hAnsi="Book Antiqua" w:cs="宋体"/>
          <w:color w:val="000000" w:themeColor="text1"/>
        </w:rPr>
        <w:t>Fichera</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Bissonnette</w:t>
      </w:r>
      <w:proofErr w:type="spellEnd"/>
      <w:r w:rsidRPr="007C570D">
        <w:rPr>
          <w:rFonts w:ascii="Book Antiqua" w:eastAsia="宋体" w:hAnsi="Book Antiqua" w:cs="宋体"/>
          <w:color w:val="000000" w:themeColor="text1"/>
        </w:rPr>
        <w:t xml:space="preserve"> M. Epidermal growth factor receptor is required for colonic tumor promotion by dietary fat in the </w:t>
      </w:r>
      <w:proofErr w:type="spellStart"/>
      <w:r w:rsidRPr="007C570D">
        <w:rPr>
          <w:rFonts w:ascii="Book Antiqua" w:eastAsia="宋体" w:hAnsi="Book Antiqua" w:cs="宋体"/>
          <w:color w:val="000000" w:themeColor="text1"/>
        </w:rPr>
        <w:t>azoxymethane</w:t>
      </w:r>
      <w:proofErr w:type="spellEnd"/>
      <w:r w:rsidRPr="007C570D">
        <w:rPr>
          <w:rFonts w:ascii="Book Antiqua" w:eastAsia="宋体" w:hAnsi="Book Antiqua" w:cs="宋体"/>
          <w:color w:val="000000" w:themeColor="text1"/>
        </w:rPr>
        <w:t xml:space="preserve">/dextran sulfate sodium model: roles of transforming growth factor-{alpha} and PTGS2.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r w:rsidRPr="007C570D">
        <w:rPr>
          <w:rFonts w:ascii="Book Antiqua" w:eastAsia="宋体" w:hAnsi="Book Antiqua" w:cs="宋体"/>
          <w:i/>
          <w:iCs/>
          <w:color w:val="000000" w:themeColor="text1"/>
        </w:rPr>
        <w:lastRenderedPageBreak/>
        <w:t>Cancer Res</w:t>
      </w:r>
      <w:r w:rsidRPr="007C570D">
        <w:rPr>
          <w:rFonts w:ascii="Book Antiqua" w:eastAsia="宋体" w:hAnsi="Book Antiqua" w:cs="宋体"/>
          <w:color w:val="000000" w:themeColor="text1"/>
        </w:rPr>
        <w:t xml:space="preserve"> 2009; </w:t>
      </w:r>
      <w:r w:rsidRPr="007C570D">
        <w:rPr>
          <w:rFonts w:ascii="Book Antiqua" w:eastAsia="宋体" w:hAnsi="Book Antiqua" w:cs="宋体"/>
          <w:b/>
          <w:bCs/>
          <w:color w:val="000000" w:themeColor="text1"/>
        </w:rPr>
        <w:t>15</w:t>
      </w:r>
      <w:r w:rsidRPr="007C570D">
        <w:rPr>
          <w:rFonts w:ascii="Book Antiqua" w:eastAsia="宋体" w:hAnsi="Book Antiqua" w:cs="宋体"/>
          <w:color w:val="000000" w:themeColor="text1"/>
        </w:rPr>
        <w:t>: 6780-6789 [PMID: 19903783 DOI: 10.1158/1078-0432.CCR-09-1678]</w:t>
      </w:r>
    </w:p>
    <w:p w14:paraId="78BFF607"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8 </w:t>
      </w:r>
      <w:proofErr w:type="spellStart"/>
      <w:r w:rsidRPr="007C570D">
        <w:rPr>
          <w:rFonts w:ascii="Book Antiqua" w:eastAsia="宋体" w:hAnsi="Book Antiqua" w:cs="宋体"/>
          <w:b/>
          <w:bCs/>
          <w:color w:val="000000" w:themeColor="text1"/>
        </w:rPr>
        <w:t>Botteri</w:t>
      </w:r>
      <w:proofErr w:type="spellEnd"/>
      <w:r w:rsidRPr="007C570D">
        <w:rPr>
          <w:rFonts w:ascii="Book Antiqua" w:eastAsia="宋体" w:hAnsi="Book Antiqua" w:cs="宋体"/>
          <w:b/>
          <w:bCs/>
          <w:color w:val="000000" w:themeColor="text1"/>
        </w:rPr>
        <w:t xml:space="preserve"> E</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Iodice</w:t>
      </w:r>
      <w:proofErr w:type="spellEnd"/>
      <w:r w:rsidRPr="007C570D">
        <w:rPr>
          <w:rFonts w:ascii="Book Antiqua" w:eastAsia="宋体" w:hAnsi="Book Antiqua" w:cs="宋体"/>
          <w:color w:val="000000" w:themeColor="text1"/>
        </w:rPr>
        <w:t xml:space="preserve"> S, </w:t>
      </w:r>
      <w:proofErr w:type="spellStart"/>
      <w:r w:rsidRPr="007C570D">
        <w:rPr>
          <w:rFonts w:ascii="Book Antiqua" w:eastAsia="宋体" w:hAnsi="Book Antiqua" w:cs="宋体"/>
          <w:color w:val="000000" w:themeColor="text1"/>
        </w:rPr>
        <w:t>Bagnardi</w:t>
      </w:r>
      <w:proofErr w:type="spellEnd"/>
      <w:r w:rsidRPr="007C570D">
        <w:rPr>
          <w:rFonts w:ascii="Book Antiqua" w:eastAsia="宋体" w:hAnsi="Book Antiqua" w:cs="宋体"/>
          <w:color w:val="000000" w:themeColor="text1"/>
        </w:rPr>
        <w:t xml:space="preserve"> V, Raimondi S, </w:t>
      </w:r>
      <w:proofErr w:type="spellStart"/>
      <w:r w:rsidRPr="007C570D">
        <w:rPr>
          <w:rFonts w:ascii="Book Antiqua" w:eastAsia="宋体" w:hAnsi="Book Antiqua" w:cs="宋体"/>
          <w:color w:val="000000" w:themeColor="text1"/>
        </w:rPr>
        <w:t>Lowenfels</w:t>
      </w:r>
      <w:proofErr w:type="spellEnd"/>
      <w:r w:rsidRPr="007C570D">
        <w:rPr>
          <w:rFonts w:ascii="Book Antiqua" w:eastAsia="宋体" w:hAnsi="Book Antiqua" w:cs="宋体"/>
          <w:color w:val="000000" w:themeColor="text1"/>
        </w:rPr>
        <w:t xml:space="preserve"> AB, Maisonneuve P. Smoking and colorectal cancer: a meta-analysis. </w:t>
      </w:r>
      <w:r w:rsidRPr="007C570D">
        <w:rPr>
          <w:rFonts w:ascii="Book Antiqua" w:eastAsia="宋体" w:hAnsi="Book Antiqua" w:cs="宋体"/>
          <w:i/>
          <w:iCs/>
          <w:color w:val="000000" w:themeColor="text1"/>
        </w:rPr>
        <w:t>JAMA</w:t>
      </w:r>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300</w:t>
      </w:r>
      <w:r w:rsidRPr="007C570D">
        <w:rPr>
          <w:rFonts w:ascii="Book Antiqua" w:eastAsia="宋体" w:hAnsi="Book Antiqua" w:cs="宋体"/>
          <w:color w:val="000000" w:themeColor="text1"/>
        </w:rPr>
        <w:t>: 2765-2778 [PMID: 19088354 DOI: 10.1001/jama.2008.839]</w:t>
      </w:r>
    </w:p>
    <w:p w14:paraId="774E5610"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9 </w:t>
      </w:r>
      <w:r w:rsidRPr="007C570D">
        <w:rPr>
          <w:rFonts w:ascii="Book Antiqua" w:eastAsia="宋体" w:hAnsi="Book Antiqua" w:cs="宋体"/>
          <w:b/>
          <w:bCs/>
          <w:color w:val="000000" w:themeColor="text1"/>
        </w:rPr>
        <w:t>Atkin WS</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Morson</w:t>
      </w:r>
      <w:proofErr w:type="spellEnd"/>
      <w:r w:rsidRPr="007C570D">
        <w:rPr>
          <w:rFonts w:ascii="Book Antiqua" w:eastAsia="宋体" w:hAnsi="Book Antiqua" w:cs="宋体"/>
          <w:color w:val="000000" w:themeColor="text1"/>
        </w:rPr>
        <w:t xml:space="preserve"> BC, </w:t>
      </w:r>
      <w:proofErr w:type="spellStart"/>
      <w:r w:rsidRPr="007C570D">
        <w:rPr>
          <w:rFonts w:ascii="Book Antiqua" w:eastAsia="宋体" w:hAnsi="Book Antiqua" w:cs="宋体"/>
          <w:color w:val="000000" w:themeColor="text1"/>
        </w:rPr>
        <w:t>Cuzick</w:t>
      </w:r>
      <w:proofErr w:type="spellEnd"/>
      <w:r w:rsidRPr="007C570D">
        <w:rPr>
          <w:rFonts w:ascii="Book Antiqua" w:eastAsia="宋体" w:hAnsi="Book Antiqua" w:cs="宋体"/>
          <w:color w:val="000000" w:themeColor="text1"/>
        </w:rPr>
        <w:t xml:space="preserve"> J. Long-term risk of colorectal cancer after excision of </w:t>
      </w:r>
      <w:proofErr w:type="spellStart"/>
      <w:r w:rsidRPr="007C570D">
        <w:rPr>
          <w:rFonts w:ascii="Book Antiqua" w:eastAsia="宋体" w:hAnsi="Book Antiqua" w:cs="宋体"/>
          <w:color w:val="000000" w:themeColor="text1"/>
        </w:rPr>
        <w:t>rectosigmoid</w:t>
      </w:r>
      <w:proofErr w:type="spellEnd"/>
      <w:r w:rsidRPr="007C570D">
        <w:rPr>
          <w:rFonts w:ascii="Book Antiqua" w:eastAsia="宋体" w:hAnsi="Book Antiqua" w:cs="宋体"/>
          <w:color w:val="000000" w:themeColor="text1"/>
        </w:rPr>
        <w:t xml:space="preserve"> adenomas. </w:t>
      </w:r>
      <w:r w:rsidRPr="007C570D">
        <w:rPr>
          <w:rFonts w:ascii="Book Antiqua" w:eastAsia="宋体" w:hAnsi="Book Antiqua" w:cs="宋体"/>
          <w:i/>
          <w:iCs/>
          <w:color w:val="000000" w:themeColor="text1"/>
        </w:rPr>
        <w:t xml:space="preserve">N </w:t>
      </w:r>
      <w:proofErr w:type="spellStart"/>
      <w:r w:rsidRPr="007C570D">
        <w:rPr>
          <w:rFonts w:ascii="Book Antiqua" w:eastAsia="宋体" w:hAnsi="Book Antiqua" w:cs="宋体"/>
          <w:i/>
          <w:iCs/>
          <w:color w:val="000000" w:themeColor="text1"/>
        </w:rPr>
        <w:t>Engl</w:t>
      </w:r>
      <w:proofErr w:type="spellEnd"/>
      <w:r w:rsidRPr="007C570D">
        <w:rPr>
          <w:rFonts w:ascii="Book Antiqua" w:eastAsia="宋体" w:hAnsi="Book Antiqua" w:cs="宋体"/>
          <w:i/>
          <w:iCs/>
          <w:color w:val="000000" w:themeColor="text1"/>
        </w:rPr>
        <w:t xml:space="preserve"> J Med</w:t>
      </w:r>
      <w:r w:rsidRPr="007C570D">
        <w:rPr>
          <w:rFonts w:ascii="Book Antiqua" w:eastAsia="宋体" w:hAnsi="Book Antiqua" w:cs="宋体"/>
          <w:color w:val="000000" w:themeColor="text1"/>
        </w:rPr>
        <w:t xml:space="preserve"> 1992; </w:t>
      </w:r>
      <w:r w:rsidRPr="007C570D">
        <w:rPr>
          <w:rFonts w:ascii="Book Antiqua" w:eastAsia="宋体" w:hAnsi="Book Antiqua" w:cs="宋体"/>
          <w:b/>
          <w:bCs/>
          <w:color w:val="000000" w:themeColor="text1"/>
        </w:rPr>
        <w:t>326</w:t>
      </w:r>
      <w:r w:rsidRPr="007C570D">
        <w:rPr>
          <w:rFonts w:ascii="Book Antiqua" w:eastAsia="宋体" w:hAnsi="Book Antiqua" w:cs="宋体"/>
          <w:color w:val="000000" w:themeColor="text1"/>
        </w:rPr>
        <w:t>: 658-662 [PMID: 1736104 DOI: 10.1056/NEJM199203053261002]</w:t>
      </w:r>
    </w:p>
    <w:p w14:paraId="134896D5" w14:textId="77777777" w:rsidR="0062175B" w:rsidRPr="007C570D"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10 </w:t>
      </w:r>
      <w:r w:rsidRPr="007C570D">
        <w:rPr>
          <w:rFonts w:ascii="Book Antiqua" w:eastAsia="宋体" w:hAnsi="Book Antiqua" w:cs="宋体"/>
          <w:b/>
          <w:bCs/>
          <w:color w:val="000000" w:themeColor="text1"/>
        </w:rPr>
        <w:t>Rex DK</w:t>
      </w:r>
      <w:r w:rsidRPr="007C570D">
        <w:rPr>
          <w:rFonts w:ascii="Book Antiqua" w:eastAsia="宋体" w:hAnsi="Book Antiqua" w:cs="宋体"/>
          <w:color w:val="000000" w:themeColor="text1"/>
        </w:rPr>
        <w:t xml:space="preserve">, Johnson DA, Anderson JC, </w:t>
      </w:r>
      <w:proofErr w:type="spellStart"/>
      <w:r w:rsidRPr="007C570D">
        <w:rPr>
          <w:rFonts w:ascii="Book Antiqua" w:eastAsia="宋体" w:hAnsi="Book Antiqua" w:cs="宋体"/>
          <w:color w:val="000000" w:themeColor="text1"/>
        </w:rPr>
        <w:t>Schoenfeld</w:t>
      </w:r>
      <w:proofErr w:type="spellEnd"/>
      <w:r w:rsidRPr="007C570D">
        <w:rPr>
          <w:rFonts w:ascii="Book Antiqua" w:eastAsia="宋体" w:hAnsi="Book Antiqua" w:cs="宋体"/>
          <w:color w:val="000000" w:themeColor="text1"/>
        </w:rPr>
        <w:t xml:space="preserve"> PS, Burke CA, </w:t>
      </w:r>
      <w:proofErr w:type="spellStart"/>
      <w:r w:rsidRPr="007C570D">
        <w:rPr>
          <w:rFonts w:ascii="Book Antiqua" w:eastAsia="宋体" w:hAnsi="Book Antiqua" w:cs="宋体"/>
          <w:color w:val="000000" w:themeColor="text1"/>
        </w:rPr>
        <w:t>Inadomi</w:t>
      </w:r>
      <w:proofErr w:type="spellEnd"/>
      <w:r w:rsidRPr="007C570D">
        <w:rPr>
          <w:rFonts w:ascii="Book Antiqua" w:eastAsia="宋体" w:hAnsi="Book Antiqua" w:cs="宋体"/>
          <w:color w:val="000000" w:themeColor="text1"/>
        </w:rPr>
        <w:t xml:space="preserve"> JM.</w:t>
      </w:r>
      <w:proofErr w:type="gramEnd"/>
      <w:r w:rsidRPr="007C570D">
        <w:rPr>
          <w:rFonts w:ascii="Book Antiqua" w:eastAsia="宋体" w:hAnsi="Book Antiqua" w:cs="宋体"/>
          <w:color w:val="000000" w:themeColor="text1"/>
        </w:rPr>
        <w:t xml:space="preserve"> American College of Gastroenterology guidelines for colorectal cancer screening 2009 [corrected]. </w:t>
      </w:r>
      <w:r w:rsidRPr="007C570D">
        <w:rPr>
          <w:rFonts w:ascii="Book Antiqua" w:eastAsia="宋体" w:hAnsi="Book Antiqua" w:cs="宋体"/>
          <w:i/>
          <w:iCs/>
          <w:color w:val="000000" w:themeColor="text1"/>
        </w:rPr>
        <w:t xml:space="preserve">Am J </w:t>
      </w:r>
      <w:proofErr w:type="spellStart"/>
      <w:r w:rsidRPr="007C570D">
        <w:rPr>
          <w:rFonts w:ascii="Book Antiqua" w:eastAsia="宋体" w:hAnsi="Book Antiqua" w:cs="宋体"/>
          <w:i/>
          <w:iCs/>
          <w:color w:val="000000" w:themeColor="text1"/>
        </w:rPr>
        <w:t>Gastroenterol</w:t>
      </w:r>
      <w:proofErr w:type="spellEnd"/>
      <w:r w:rsidRPr="007C570D">
        <w:rPr>
          <w:rFonts w:ascii="Book Antiqua" w:eastAsia="宋体" w:hAnsi="Book Antiqua" w:cs="宋体"/>
          <w:color w:val="000000" w:themeColor="text1"/>
        </w:rPr>
        <w:t xml:space="preserve"> 2009; </w:t>
      </w:r>
      <w:r w:rsidRPr="007C570D">
        <w:rPr>
          <w:rFonts w:ascii="Book Antiqua" w:eastAsia="宋体" w:hAnsi="Book Antiqua" w:cs="宋体"/>
          <w:b/>
          <w:bCs/>
          <w:color w:val="000000" w:themeColor="text1"/>
        </w:rPr>
        <w:t>104</w:t>
      </w:r>
      <w:r w:rsidRPr="007C570D">
        <w:rPr>
          <w:rFonts w:ascii="Book Antiqua" w:eastAsia="宋体" w:hAnsi="Book Antiqua" w:cs="宋体"/>
          <w:color w:val="000000" w:themeColor="text1"/>
        </w:rPr>
        <w:t>: 739-750 [PMID: 19240699 DOI: 10.1038/ajg.2009.104]</w:t>
      </w:r>
    </w:p>
    <w:p w14:paraId="62CF15F6"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11 </w:t>
      </w:r>
      <w:r w:rsidRPr="007C570D">
        <w:rPr>
          <w:rFonts w:ascii="Book Antiqua" w:eastAsia="宋体" w:hAnsi="Book Antiqua" w:cs="宋体"/>
          <w:b/>
          <w:bCs/>
          <w:color w:val="000000" w:themeColor="text1"/>
        </w:rPr>
        <w:t>Amos-</w:t>
      </w:r>
      <w:proofErr w:type="spellStart"/>
      <w:r w:rsidRPr="007C570D">
        <w:rPr>
          <w:rFonts w:ascii="Book Antiqua" w:eastAsia="宋体" w:hAnsi="Book Antiqua" w:cs="宋体"/>
          <w:b/>
          <w:bCs/>
          <w:color w:val="000000" w:themeColor="text1"/>
        </w:rPr>
        <w:t>Landgraf</w:t>
      </w:r>
      <w:proofErr w:type="spellEnd"/>
      <w:r w:rsidRPr="007C570D">
        <w:rPr>
          <w:rFonts w:ascii="Book Antiqua" w:eastAsia="宋体" w:hAnsi="Book Antiqua" w:cs="宋体"/>
          <w:b/>
          <w:bCs/>
          <w:color w:val="000000" w:themeColor="text1"/>
        </w:rPr>
        <w:t xml:space="preserve"> JM</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Heijmans</w:t>
      </w:r>
      <w:proofErr w:type="spellEnd"/>
      <w:r w:rsidRPr="007C570D">
        <w:rPr>
          <w:rFonts w:ascii="Book Antiqua" w:eastAsia="宋体" w:hAnsi="Book Antiqua" w:cs="宋体"/>
          <w:color w:val="000000" w:themeColor="text1"/>
        </w:rPr>
        <w:t xml:space="preserve"> J, </w:t>
      </w:r>
      <w:proofErr w:type="spellStart"/>
      <w:r w:rsidRPr="007C570D">
        <w:rPr>
          <w:rFonts w:ascii="Book Antiqua" w:eastAsia="宋体" w:hAnsi="Book Antiqua" w:cs="宋体"/>
          <w:color w:val="000000" w:themeColor="text1"/>
        </w:rPr>
        <w:t>Wielenga</w:t>
      </w:r>
      <w:proofErr w:type="spellEnd"/>
      <w:r w:rsidRPr="007C570D">
        <w:rPr>
          <w:rFonts w:ascii="Book Antiqua" w:eastAsia="宋体" w:hAnsi="Book Antiqua" w:cs="宋体"/>
          <w:color w:val="000000" w:themeColor="text1"/>
        </w:rPr>
        <w:t xml:space="preserve"> MC, Dunkin E, </w:t>
      </w:r>
      <w:proofErr w:type="spellStart"/>
      <w:r w:rsidRPr="007C570D">
        <w:rPr>
          <w:rFonts w:ascii="Book Antiqua" w:eastAsia="宋体" w:hAnsi="Book Antiqua" w:cs="宋体"/>
          <w:color w:val="000000" w:themeColor="text1"/>
        </w:rPr>
        <w:t>Krentz</w:t>
      </w:r>
      <w:proofErr w:type="spellEnd"/>
      <w:r w:rsidRPr="007C570D">
        <w:rPr>
          <w:rFonts w:ascii="Book Antiqua" w:eastAsia="宋体" w:hAnsi="Book Antiqua" w:cs="宋体"/>
          <w:color w:val="000000" w:themeColor="text1"/>
        </w:rPr>
        <w:t xml:space="preserve"> KJ, </w:t>
      </w:r>
      <w:proofErr w:type="spellStart"/>
      <w:r w:rsidRPr="007C570D">
        <w:rPr>
          <w:rFonts w:ascii="Book Antiqua" w:eastAsia="宋体" w:hAnsi="Book Antiqua" w:cs="宋体"/>
          <w:color w:val="000000" w:themeColor="text1"/>
        </w:rPr>
        <w:t>Clipson</w:t>
      </w:r>
      <w:proofErr w:type="spellEnd"/>
      <w:r w:rsidRPr="007C570D">
        <w:rPr>
          <w:rFonts w:ascii="Book Antiqua" w:eastAsia="宋体" w:hAnsi="Book Antiqua" w:cs="宋体"/>
          <w:color w:val="000000" w:themeColor="text1"/>
        </w:rPr>
        <w:t xml:space="preserve"> L, </w:t>
      </w:r>
      <w:proofErr w:type="spellStart"/>
      <w:r w:rsidRPr="007C570D">
        <w:rPr>
          <w:rFonts w:ascii="Book Antiqua" w:eastAsia="宋体" w:hAnsi="Book Antiqua" w:cs="宋体"/>
          <w:color w:val="000000" w:themeColor="text1"/>
        </w:rPr>
        <w:t>Ederveen</w:t>
      </w:r>
      <w:proofErr w:type="spellEnd"/>
      <w:r w:rsidRPr="007C570D">
        <w:rPr>
          <w:rFonts w:ascii="Book Antiqua" w:eastAsia="宋体" w:hAnsi="Book Antiqua" w:cs="宋体"/>
          <w:color w:val="000000" w:themeColor="text1"/>
        </w:rPr>
        <w:t xml:space="preserve"> AG, </w:t>
      </w:r>
      <w:proofErr w:type="spellStart"/>
      <w:r w:rsidRPr="007C570D">
        <w:rPr>
          <w:rFonts w:ascii="Book Antiqua" w:eastAsia="宋体" w:hAnsi="Book Antiqua" w:cs="宋体"/>
          <w:color w:val="000000" w:themeColor="text1"/>
        </w:rPr>
        <w:t>Groothuis</w:t>
      </w:r>
      <w:proofErr w:type="spellEnd"/>
      <w:r w:rsidRPr="007C570D">
        <w:rPr>
          <w:rFonts w:ascii="Book Antiqua" w:eastAsia="宋体" w:hAnsi="Book Antiqua" w:cs="宋体"/>
          <w:color w:val="000000" w:themeColor="text1"/>
        </w:rPr>
        <w:t xml:space="preserve"> PG, </w:t>
      </w:r>
      <w:proofErr w:type="spellStart"/>
      <w:r w:rsidRPr="007C570D">
        <w:rPr>
          <w:rFonts w:ascii="Book Antiqua" w:eastAsia="宋体" w:hAnsi="Book Antiqua" w:cs="宋体"/>
          <w:color w:val="000000" w:themeColor="text1"/>
        </w:rPr>
        <w:t>Mosselman</w:t>
      </w:r>
      <w:proofErr w:type="spellEnd"/>
      <w:r w:rsidRPr="007C570D">
        <w:rPr>
          <w:rFonts w:ascii="Book Antiqua" w:eastAsia="宋体" w:hAnsi="Book Antiqua" w:cs="宋体"/>
          <w:color w:val="000000" w:themeColor="text1"/>
        </w:rPr>
        <w:t xml:space="preserve"> S, </w:t>
      </w:r>
      <w:proofErr w:type="spellStart"/>
      <w:r w:rsidRPr="007C570D">
        <w:rPr>
          <w:rFonts w:ascii="Book Antiqua" w:eastAsia="宋体" w:hAnsi="Book Antiqua" w:cs="宋体"/>
          <w:color w:val="000000" w:themeColor="text1"/>
        </w:rPr>
        <w:t>Muncan</w:t>
      </w:r>
      <w:proofErr w:type="spellEnd"/>
      <w:r w:rsidRPr="007C570D">
        <w:rPr>
          <w:rFonts w:ascii="Book Antiqua" w:eastAsia="宋体" w:hAnsi="Book Antiqua" w:cs="宋体"/>
          <w:color w:val="000000" w:themeColor="text1"/>
        </w:rPr>
        <w:t xml:space="preserve"> V, Hommes DW, </w:t>
      </w:r>
      <w:proofErr w:type="spellStart"/>
      <w:r w:rsidRPr="007C570D">
        <w:rPr>
          <w:rFonts w:ascii="Book Antiqua" w:eastAsia="宋体" w:hAnsi="Book Antiqua" w:cs="宋体"/>
          <w:color w:val="000000" w:themeColor="text1"/>
        </w:rPr>
        <w:t>Shedlovsky</w:t>
      </w:r>
      <w:proofErr w:type="spellEnd"/>
      <w:r w:rsidRPr="007C570D">
        <w:rPr>
          <w:rFonts w:ascii="Book Antiqua" w:eastAsia="宋体" w:hAnsi="Book Antiqua" w:cs="宋体"/>
          <w:color w:val="000000" w:themeColor="text1"/>
        </w:rPr>
        <w:t xml:space="preserve"> A, Dove WF, van den Brink GR. Sex disparity in colonic </w:t>
      </w:r>
      <w:proofErr w:type="spellStart"/>
      <w:r w:rsidRPr="007C570D">
        <w:rPr>
          <w:rFonts w:ascii="Book Antiqua" w:eastAsia="宋体" w:hAnsi="Book Antiqua" w:cs="宋体"/>
          <w:color w:val="000000" w:themeColor="text1"/>
        </w:rPr>
        <w:t>adenomagenesis</w:t>
      </w:r>
      <w:proofErr w:type="spellEnd"/>
      <w:r w:rsidRPr="007C570D">
        <w:rPr>
          <w:rFonts w:ascii="Book Antiqua" w:eastAsia="宋体" w:hAnsi="Book Antiqua" w:cs="宋体"/>
          <w:color w:val="000000" w:themeColor="text1"/>
        </w:rPr>
        <w:t xml:space="preserve"> involves promotion by male hormones, not protection by female hormones. </w:t>
      </w:r>
      <w:proofErr w:type="spellStart"/>
      <w:r w:rsidRPr="007C570D">
        <w:rPr>
          <w:rFonts w:ascii="Book Antiqua" w:eastAsia="宋体" w:hAnsi="Book Antiqua" w:cs="宋体"/>
          <w:i/>
          <w:iCs/>
          <w:color w:val="000000" w:themeColor="text1"/>
        </w:rPr>
        <w:t>Proc</w:t>
      </w:r>
      <w:proofErr w:type="spellEnd"/>
      <w:r w:rsidRPr="007C570D">
        <w:rPr>
          <w:rFonts w:ascii="Book Antiqua" w:eastAsia="宋体" w:hAnsi="Book Antiqua" w:cs="宋体"/>
          <w:i/>
          <w:iCs/>
          <w:color w:val="000000" w:themeColor="text1"/>
        </w:rPr>
        <w:t xml:space="preserve"> Natl </w:t>
      </w:r>
      <w:proofErr w:type="spellStart"/>
      <w:r w:rsidRPr="007C570D">
        <w:rPr>
          <w:rFonts w:ascii="Book Antiqua" w:eastAsia="宋体" w:hAnsi="Book Antiqua" w:cs="宋体"/>
          <w:i/>
          <w:iCs/>
          <w:color w:val="000000" w:themeColor="text1"/>
        </w:rPr>
        <w:t>Acad</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Sci</w:t>
      </w:r>
      <w:proofErr w:type="spellEnd"/>
      <w:r w:rsidRPr="007C570D">
        <w:rPr>
          <w:rFonts w:ascii="Book Antiqua" w:eastAsia="宋体" w:hAnsi="Book Antiqua" w:cs="宋体"/>
          <w:i/>
          <w:iCs/>
          <w:color w:val="000000" w:themeColor="text1"/>
        </w:rPr>
        <w:t xml:space="preserve"> U S A</w:t>
      </w:r>
      <w:r w:rsidRPr="007C570D">
        <w:rPr>
          <w:rFonts w:ascii="Book Antiqua" w:eastAsia="宋体" w:hAnsi="Book Antiqua" w:cs="宋体"/>
          <w:color w:val="000000" w:themeColor="text1"/>
        </w:rPr>
        <w:t xml:space="preserve"> 2014; </w:t>
      </w:r>
      <w:r w:rsidRPr="007C570D">
        <w:rPr>
          <w:rFonts w:ascii="Book Antiqua" w:eastAsia="宋体" w:hAnsi="Book Antiqua" w:cs="宋体"/>
          <w:b/>
          <w:bCs/>
          <w:color w:val="000000" w:themeColor="text1"/>
        </w:rPr>
        <w:t>111</w:t>
      </w:r>
      <w:r w:rsidRPr="007C570D">
        <w:rPr>
          <w:rFonts w:ascii="Book Antiqua" w:eastAsia="宋体" w:hAnsi="Book Antiqua" w:cs="宋体"/>
          <w:color w:val="000000" w:themeColor="text1"/>
        </w:rPr>
        <w:t>: 16514-16519 [PMID: 25368192 DOI: 10.1073/pnas.1323064111]</w:t>
      </w:r>
    </w:p>
    <w:p w14:paraId="3D8A5B21" w14:textId="77777777" w:rsidR="0062175B" w:rsidRPr="007C570D"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12 </w:t>
      </w:r>
      <w:r w:rsidRPr="00374AD1">
        <w:rPr>
          <w:rFonts w:ascii="Book Antiqua" w:eastAsia="宋体" w:hAnsi="Book Antiqua" w:cs="宋体"/>
          <w:b/>
          <w:color w:val="000000" w:themeColor="text1"/>
        </w:rPr>
        <w:t>Cancer Genome Atlas Network</w:t>
      </w:r>
      <w:r w:rsidRPr="007C570D">
        <w:rPr>
          <w:rFonts w:ascii="Book Antiqua" w:eastAsia="宋体" w:hAnsi="Book Antiqua" w:cs="宋体"/>
          <w:b/>
          <w:color w:val="000000" w:themeColor="text1"/>
        </w:rPr>
        <w:t>.</w:t>
      </w:r>
      <w:proofErr w:type="gramEnd"/>
      <w:r w:rsidRPr="007C570D">
        <w:rPr>
          <w:rFonts w:ascii="Book Antiqua" w:eastAsia="宋体" w:hAnsi="Book Antiqua" w:cs="宋体"/>
          <w:color w:val="000000" w:themeColor="text1"/>
        </w:rPr>
        <w:t xml:space="preserve"> </w:t>
      </w:r>
      <w:proofErr w:type="gramStart"/>
      <w:r w:rsidRPr="007C570D">
        <w:rPr>
          <w:rFonts w:ascii="Book Antiqua" w:eastAsia="宋体" w:hAnsi="Book Antiqua" w:cs="宋体"/>
          <w:color w:val="000000" w:themeColor="text1"/>
        </w:rPr>
        <w:t>Comprehensive molecular characterization of human colon and rectal cancer.</w:t>
      </w:r>
      <w:proofErr w:type="gram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Nature</w:t>
      </w:r>
      <w:r w:rsidRPr="007C570D">
        <w:rPr>
          <w:rFonts w:ascii="Book Antiqua" w:eastAsia="宋体" w:hAnsi="Book Antiqua" w:cs="宋体"/>
          <w:color w:val="000000" w:themeColor="text1"/>
        </w:rPr>
        <w:t xml:space="preserve"> 2012; </w:t>
      </w:r>
      <w:r w:rsidRPr="007C570D">
        <w:rPr>
          <w:rFonts w:ascii="Book Antiqua" w:eastAsia="宋体" w:hAnsi="Book Antiqua" w:cs="宋体"/>
          <w:b/>
          <w:bCs/>
          <w:color w:val="000000" w:themeColor="text1"/>
        </w:rPr>
        <w:t>487</w:t>
      </w:r>
      <w:r w:rsidRPr="007C570D">
        <w:rPr>
          <w:rFonts w:ascii="Book Antiqua" w:eastAsia="宋体" w:hAnsi="Book Antiqua" w:cs="宋体"/>
          <w:color w:val="000000" w:themeColor="text1"/>
        </w:rPr>
        <w:t>: 330-337 [PMID: 22810696 DOI: 10.1038/nature11252]</w:t>
      </w:r>
    </w:p>
    <w:p w14:paraId="7FD6D5E1" w14:textId="3C28D8DD" w:rsidR="0062175B" w:rsidRPr="00374AD1" w:rsidRDefault="0062175B" w:rsidP="00240E68">
      <w:pPr>
        <w:spacing w:after="0" w:line="360" w:lineRule="auto"/>
        <w:jc w:val="both"/>
        <w:rPr>
          <w:rFonts w:ascii="Book Antiqua" w:eastAsia="宋体" w:hAnsi="Book Antiqua" w:cs="宋体"/>
          <w:color w:val="000000" w:themeColor="text1"/>
          <w:lang w:eastAsia="zh-CN"/>
        </w:rPr>
      </w:pPr>
      <w:r w:rsidRPr="00374AD1">
        <w:rPr>
          <w:rFonts w:ascii="Book Antiqua" w:eastAsia="宋体" w:hAnsi="Book Antiqua" w:cs="宋体"/>
          <w:color w:val="000000" w:themeColor="text1"/>
        </w:rPr>
        <w:t>13</w:t>
      </w:r>
      <w:r w:rsidRPr="00374AD1">
        <w:rPr>
          <w:rFonts w:ascii="Book Antiqua" w:eastAsia="宋体" w:hAnsi="Book Antiqua" w:cs="宋体" w:hint="eastAsia"/>
          <w:color w:val="000000" w:themeColor="text1"/>
        </w:rPr>
        <w:t xml:space="preserve"> </w:t>
      </w:r>
      <w:proofErr w:type="spellStart"/>
      <w:r w:rsidRPr="007C570D">
        <w:rPr>
          <w:rFonts w:ascii="Book Antiqua" w:eastAsia="宋体" w:hAnsi="Book Antiqua" w:cs="宋体"/>
          <w:b/>
          <w:color w:val="000000" w:themeColor="text1"/>
        </w:rPr>
        <w:t>Fensterheim</w:t>
      </w:r>
      <w:proofErr w:type="spellEnd"/>
      <w:r w:rsidRPr="007C570D">
        <w:rPr>
          <w:rFonts w:ascii="Book Antiqua" w:eastAsia="宋体" w:hAnsi="Book Antiqua" w:cs="宋体"/>
          <w:b/>
          <w:color w:val="000000" w:themeColor="text1"/>
        </w:rPr>
        <w:t xml:space="preserve"> R. </w:t>
      </w:r>
      <w:r w:rsidR="00E951FE" w:rsidRPr="00E951FE">
        <w:rPr>
          <w:rFonts w:ascii="Book Antiqua" w:eastAsia="宋体" w:hAnsi="Book Antiqua" w:cs="宋体" w:hint="eastAsia"/>
          <w:color w:val="000000" w:themeColor="text1"/>
          <w:lang w:eastAsia="zh-CN"/>
        </w:rPr>
        <w:t xml:space="preserve">Colon </w:t>
      </w:r>
      <w:proofErr w:type="gramStart"/>
      <w:r w:rsidR="00E951FE" w:rsidRPr="00E951FE">
        <w:rPr>
          <w:rFonts w:ascii="Book Antiqua" w:eastAsia="宋体" w:hAnsi="Book Antiqua" w:cs="宋体" w:hint="eastAsia"/>
          <w:color w:val="000000" w:themeColor="text1"/>
          <w:lang w:eastAsia="zh-CN"/>
        </w:rPr>
        <w:t>cancer</w:t>
      </w:r>
      <w:proofErr w:type="gramEnd"/>
      <w:r w:rsidR="00E951FE" w:rsidRPr="00E951FE">
        <w:rPr>
          <w:rFonts w:ascii="Book Antiqua" w:eastAsia="宋体" w:hAnsi="Book Antiqua" w:cs="宋体" w:hint="eastAsia"/>
          <w:color w:val="000000" w:themeColor="text1"/>
          <w:lang w:eastAsia="zh-CN"/>
        </w:rPr>
        <w:t xml:space="preserve">. </w:t>
      </w:r>
      <w:r w:rsidRPr="007C570D">
        <w:rPr>
          <w:rFonts w:ascii="Book Antiqua" w:eastAsia="宋体" w:hAnsi="Book Antiqua" w:cs="宋体"/>
          <w:color w:val="000000" w:themeColor="text1"/>
        </w:rPr>
        <w:t xml:space="preserve">NCCN Guidelines. </w:t>
      </w:r>
      <w:proofErr w:type="spellStart"/>
      <w:r w:rsidRPr="0062175B">
        <w:rPr>
          <w:rFonts w:ascii="Book Antiqua" w:eastAsia="宋体" w:hAnsi="Book Antiqua" w:cs="宋体" w:hint="eastAsia"/>
          <w:color w:val="000000" w:themeColor="text1"/>
          <w:lang w:eastAsia="zh-CN"/>
        </w:rPr>
        <w:t>A</w:t>
      </w:r>
      <w:r>
        <w:rPr>
          <w:rFonts w:ascii="Book Antiqua" w:eastAsia="宋体" w:hAnsi="Book Antiqua" w:cs="宋体" w:hint="eastAsia"/>
          <w:color w:val="000000" w:themeColor="text1"/>
          <w:lang w:eastAsia="zh-CN"/>
        </w:rPr>
        <w:t>vailbale</w:t>
      </w:r>
      <w:proofErr w:type="spellEnd"/>
      <w:r>
        <w:rPr>
          <w:rFonts w:ascii="Book Antiqua" w:eastAsia="宋体" w:hAnsi="Book Antiqua" w:cs="宋体" w:hint="eastAsia"/>
          <w:color w:val="000000" w:themeColor="text1"/>
          <w:lang w:eastAsia="zh-CN"/>
        </w:rPr>
        <w:t xml:space="preserve"> from: </w:t>
      </w:r>
      <w:r>
        <w:rPr>
          <w:rFonts w:ascii="Book Antiqua" w:eastAsia="宋体" w:hAnsi="Book Antiqua" w:cs="宋体"/>
          <w:color w:val="000000" w:themeColor="text1"/>
          <w:lang w:eastAsia="zh-CN"/>
        </w:rPr>
        <w:t>URL</w:t>
      </w:r>
      <w:r>
        <w:rPr>
          <w:rFonts w:ascii="Book Antiqua" w:eastAsia="宋体" w:hAnsi="Book Antiqua" w:cs="宋体" w:hint="eastAsia"/>
          <w:color w:val="000000" w:themeColor="text1"/>
          <w:lang w:eastAsia="zh-CN"/>
        </w:rPr>
        <w:t xml:space="preserve">: </w:t>
      </w:r>
      <w:r w:rsidRPr="0062175B">
        <w:rPr>
          <w:rFonts w:ascii="Book Antiqua" w:eastAsia="宋体" w:hAnsi="Book Antiqua" w:cs="宋体"/>
          <w:color w:val="000000" w:themeColor="text1"/>
          <w:lang w:eastAsia="zh-CN"/>
        </w:rPr>
        <w:t>http://www.nccn.org/about/nhl.pdf</w:t>
      </w:r>
    </w:p>
    <w:p w14:paraId="6FD81138"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14 </w:t>
      </w:r>
      <w:proofErr w:type="spellStart"/>
      <w:r w:rsidRPr="007C570D">
        <w:rPr>
          <w:rFonts w:ascii="Book Antiqua" w:eastAsia="宋体" w:hAnsi="Book Antiqua" w:cs="宋体"/>
          <w:b/>
          <w:bCs/>
          <w:color w:val="000000" w:themeColor="text1"/>
        </w:rPr>
        <w:t>Czito</w:t>
      </w:r>
      <w:proofErr w:type="spellEnd"/>
      <w:r w:rsidRPr="007C570D">
        <w:rPr>
          <w:rFonts w:ascii="Book Antiqua" w:eastAsia="宋体" w:hAnsi="Book Antiqua" w:cs="宋体"/>
          <w:b/>
          <w:bCs/>
          <w:color w:val="000000" w:themeColor="text1"/>
        </w:rPr>
        <w:t xml:space="preserve"> BG</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Bendell</w:t>
      </w:r>
      <w:proofErr w:type="spellEnd"/>
      <w:r w:rsidRPr="007C570D">
        <w:rPr>
          <w:rFonts w:ascii="Book Antiqua" w:eastAsia="宋体" w:hAnsi="Book Antiqua" w:cs="宋体"/>
          <w:color w:val="000000" w:themeColor="text1"/>
        </w:rPr>
        <w:t xml:space="preserve"> J, Willett CG. </w:t>
      </w:r>
      <w:proofErr w:type="gramStart"/>
      <w:r w:rsidRPr="007C570D">
        <w:rPr>
          <w:rFonts w:ascii="Book Antiqua" w:eastAsia="宋体" w:hAnsi="Book Antiqua" w:cs="宋体"/>
          <w:color w:val="000000" w:themeColor="text1"/>
        </w:rPr>
        <w:t xml:space="preserve">Radiation therapy for </w:t>
      </w:r>
      <w:proofErr w:type="spellStart"/>
      <w:r w:rsidRPr="007C570D">
        <w:rPr>
          <w:rFonts w:ascii="Book Antiqua" w:eastAsia="宋体" w:hAnsi="Book Antiqua" w:cs="宋体"/>
          <w:color w:val="000000" w:themeColor="text1"/>
        </w:rPr>
        <w:t>resectable</w:t>
      </w:r>
      <w:proofErr w:type="spellEnd"/>
      <w:r w:rsidRPr="007C570D">
        <w:rPr>
          <w:rFonts w:ascii="Book Antiqua" w:eastAsia="宋体" w:hAnsi="Book Antiqua" w:cs="宋体"/>
          <w:color w:val="000000" w:themeColor="text1"/>
        </w:rPr>
        <w:t xml:space="preserve"> colon cancer.</w:t>
      </w:r>
      <w:proofErr w:type="gramEnd"/>
      <w:r w:rsidRPr="007C570D">
        <w:rPr>
          <w:rFonts w:ascii="Book Antiqua" w:eastAsia="宋体" w:hAnsi="Book Antiqua" w:cs="宋体"/>
          <w:color w:val="000000" w:themeColor="text1"/>
        </w:rPr>
        <w:t xml:space="preserve"> Is there a role in the modern chemotherapy era? </w:t>
      </w:r>
      <w:r w:rsidRPr="007C570D">
        <w:rPr>
          <w:rFonts w:ascii="Book Antiqua" w:eastAsia="宋体" w:hAnsi="Book Antiqua" w:cs="宋体"/>
          <w:i/>
          <w:iCs/>
          <w:color w:val="000000" w:themeColor="text1"/>
        </w:rPr>
        <w:t xml:space="preserve">Oncology </w:t>
      </w:r>
      <w:r w:rsidRPr="007C570D">
        <w:rPr>
          <w:rFonts w:ascii="Book Antiqua" w:eastAsia="宋体" w:hAnsi="Book Antiqua" w:cs="宋体"/>
          <w:iCs/>
          <w:color w:val="000000" w:themeColor="text1"/>
        </w:rPr>
        <w:t>(Williston Park)</w:t>
      </w:r>
      <w:r w:rsidRPr="007C570D">
        <w:rPr>
          <w:rFonts w:ascii="Book Antiqua" w:eastAsia="宋体" w:hAnsi="Book Antiqua" w:cs="宋体"/>
          <w:color w:val="000000" w:themeColor="text1"/>
        </w:rPr>
        <w:t xml:space="preserve"> 2006; </w:t>
      </w:r>
      <w:r w:rsidRPr="007C570D">
        <w:rPr>
          <w:rFonts w:ascii="Book Antiqua" w:eastAsia="宋体" w:hAnsi="Book Antiqua" w:cs="宋体"/>
          <w:b/>
          <w:bCs/>
          <w:color w:val="000000" w:themeColor="text1"/>
        </w:rPr>
        <w:t>20</w:t>
      </w:r>
      <w:r w:rsidRPr="007C570D">
        <w:rPr>
          <w:rFonts w:ascii="Book Antiqua" w:eastAsia="宋体" w:hAnsi="Book Antiqua" w:cs="宋体"/>
          <w:color w:val="000000" w:themeColor="text1"/>
        </w:rPr>
        <w:t>: 179-</w:t>
      </w:r>
      <w:r w:rsidRPr="00374AD1">
        <w:rPr>
          <w:rFonts w:ascii="Book Antiqua" w:eastAsia="宋体" w:hAnsi="Book Antiqua" w:cs="宋体" w:hint="eastAsia"/>
          <w:color w:val="000000" w:themeColor="text1"/>
        </w:rPr>
        <w:t>1</w:t>
      </w:r>
      <w:r w:rsidRPr="007C570D">
        <w:rPr>
          <w:rFonts w:ascii="Book Antiqua" w:eastAsia="宋体" w:hAnsi="Book Antiqua" w:cs="宋体"/>
          <w:color w:val="000000" w:themeColor="text1"/>
        </w:rPr>
        <w:t>87; discussion 187-</w:t>
      </w:r>
      <w:r w:rsidRPr="00374AD1">
        <w:rPr>
          <w:rFonts w:ascii="Book Antiqua" w:eastAsia="宋体" w:hAnsi="Book Antiqua" w:cs="宋体" w:hint="eastAsia"/>
          <w:color w:val="000000" w:themeColor="text1"/>
        </w:rPr>
        <w:t>18</w:t>
      </w:r>
      <w:r w:rsidRPr="007C570D">
        <w:rPr>
          <w:rFonts w:ascii="Book Antiqua" w:eastAsia="宋体" w:hAnsi="Book Antiqua" w:cs="宋体"/>
          <w:color w:val="000000" w:themeColor="text1"/>
        </w:rPr>
        <w:t>8, 192 [PMID: 16562650]</w:t>
      </w:r>
    </w:p>
    <w:p w14:paraId="4F19948B" w14:textId="77777777" w:rsidR="0062175B" w:rsidRPr="00374AD1"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15 </w:t>
      </w:r>
      <w:r w:rsidRPr="007C570D">
        <w:rPr>
          <w:rFonts w:ascii="Book Antiqua" w:eastAsia="宋体" w:hAnsi="Book Antiqua" w:cs="宋体"/>
          <w:b/>
          <w:bCs/>
          <w:color w:val="000000" w:themeColor="text1"/>
        </w:rPr>
        <w:t>Wells A</w:t>
      </w:r>
      <w:r w:rsidRPr="007C570D">
        <w:rPr>
          <w:rFonts w:ascii="Book Antiqua" w:eastAsia="宋体" w:hAnsi="Book Antiqua" w:cs="宋体"/>
          <w:color w:val="000000" w:themeColor="text1"/>
        </w:rPr>
        <w:t>. EGF receptor.</w:t>
      </w:r>
      <w:proofErr w:type="gramEnd"/>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i/>
          <w:iCs/>
          <w:color w:val="000000" w:themeColor="text1"/>
        </w:rPr>
        <w:t>Int</w:t>
      </w:r>
      <w:proofErr w:type="spellEnd"/>
      <w:r w:rsidRPr="007C570D">
        <w:rPr>
          <w:rFonts w:ascii="Book Antiqua" w:eastAsia="宋体" w:hAnsi="Book Antiqua" w:cs="宋体"/>
          <w:i/>
          <w:iCs/>
          <w:color w:val="000000" w:themeColor="text1"/>
        </w:rPr>
        <w:t xml:space="preserve"> J </w:t>
      </w:r>
      <w:proofErr w:type="spellStart"/>
      <w:r w:rsidRPr="007C570D">
        <w:rPr>
          <w:rFonts w:ascii="Book Antiqua" w:eastAsia="宋体" w:hAnsi="Book Antiqua" w:cs="宋体"/>
          <w:i/>
          <w:iCs/>
          <w:color w:val="000000" w:themeColor="text1"/>
        </w:rPr>
        <w:t>Biochem</w:t>
      </w:r>
      <w:proofErr w:type="spellEnd"/>
      <w:r w:rsidRPr="007C570D">
        <w:rPr>
          <w:rFonts w:ascii="Book Antiqua" w:eastAsia="宋体" w:hAnsi="Book Antiqua" w:cs="宋体"/>
          <w:i/>
          <w:iCs/>
          <w:color w:val="000000" w:themeColor="text1"/>
        </w:rPr>
        <w:t xml:space="preserve"> Cell </w:t>
      </w:r>
      <w:proofErr w:type="spellStart"/>
      <w:r w:rsidRPr="007C570D">
        <w:rPr>
          <w:rFonts w:ascii="Book Antiqua" w:eastAsia="宋体" w:hAnsi="Book Antiqua" w:cs="宋体"/>
          <w:i/>
          <w:iCs/>
          <w:color w:val="000000" w:themeColor="text1"/>
        </w:rPr>
        <w:t>Biol</w:t>
      </w:r>
      <w:proofErr w:type="spellEnd"/>
      <w:r w:rsidRPr="007C570D">
        <w:rPr>
          <w:rFonts w:ascii="Book Antiqua" w:eastAsia="宋体" w:hAnsi="Book Antiqua" w:cs="宋体"/>
          <w:color w:val="000000" w:themeColor="text1"/>
        </w:rPr>
        <w:t xml:space="preserve"> 1999; </w:t>
      </w:r>
      <w:r w:rsidRPr="007C570D">
        <w:rPr>
          <w:rFonts w:ascii="Book Antiqua" w:eastAsia="宋体" w:hAnsi="Book Antiqua" w:cs="宋体"/>
          <w:b/>
          <w:bCs/>
          <w:color w:val="000000" w:themeColor="text1"/>
        </w:rPr>
        <w:t>31</w:t>
      </w:r>
      <w:r w:rsidRPr="007C570D">
        <w:rPr>
          <w:rFonts w:ascii="Book Antiqua" w:eastAsia="宋体" w:hAnsi="Book Antiqua" w:cs="宋体"/>
          <w:color w:val="000000" w:themeColor="text1"/>
        </w:rPr>
        <w:t>: 637-643 [PMID: 10404636 DOI: 10.1016/S1357-2725(99)00015-1]</w:t>
      </w:r>
    </w:p>
    <w:p w14:paraId="2364746F"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16 </w:t>
      </w:r>
      <w:proofErr w:type="spellStart"/>
      <w:r w:rsidRPr="007C570D">
        <w:rPr>
          <w:rFonts w:ascii="Book Antiqua" w:eastAsia="宋体" w:hAnsi="Book Antiqua" w:cs="宋体"/>
          <w:b/>
          <w:bCs/>
          <w:color w:val="000000" w:themeColor="text1"/>
        </w:rPr>
        <w:t>Sahin</w:t>
      </w:r>
      <w:proofErr w:type="spellEnd"/>
      <w:r w:rsidRPr="007C570D">
        <w:rPr>
          <w:rFonts w:ascii="Book Antiqua" w:eastAsia="宋体" w:hAnsi="Book Antiqua" w:cs="宋体"/>
          <w:b/>
          <w:bCs/>
          <w:color w:val="000000" w:themeColor="text1"/>
        </w:rPr>
        <w:t xml:space="preserve"> U</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Weskamp</w:t>
      </w:r>
      <w:proofErr w:type="spellEnd"/>
      <w:r w:rsidRPr="007C570D">
        <w:rPr>
          <w:rFonts w:ascii="Book Antiqua" w:eastAsia="宋体" w:hAnsi="Book Antiqua" w:cs="宋体"/>
          <w:color w:val="000000" w:themeColor="text1"/>
        </w:rPr>
        <w:t xml:space="preserve"> G, Kelly K, Zhou HM, Higashiyama S, </w:t>
      </w:r>
      <w:proofErr w:type="spellStart"/>
      <w:r w:rsidRPr="007C570D">
        <w:rPr>
          <w:rFonts w:ascii="Book Antiqua" w:eastAsia="宋体" w:hAnsi="Book Antiqua" w:cs="宋体"/>
          <w:color w:val="000000" w:themeColor="text1"/>
        </w:rPr>
        <w:t>Peschon</w:t>
      </w:r>
      <w:proofErr w:type="spellEnd"/>
      <w:r w:rsidRPr="007C570D">
        <w:rPr>
          <w:rFonts w:ascii="Book Antiqua" w:eastAsia="宋体" w:hAnsi="Book Antiqua" w:cs="宋体"/>
          <w:color w:val="000000" w:themeColor="text1"/>
        </w:rPr>
        <w:t xml:space="preserve"> J, Hartmann D, </w:t>
      </w:r>
      <w:proofErr w:type="spellStart"/>
      <w:r w:rsidRPr="007C570D">
        <w:rPr>
          <w:rFonts w:ascii="Book Antiqua" w:eastAsia="宋体" w:hAnsi="Book Antiqua" w:cs="宋体"/>
          <w:color w:val="000000" w:themeColor="text1"/>
        </w:rPr>
        <w:t>Saftig</w:t>
      </w:r>
      <w:proofErr w:type="spellEnd"/>
      <w:r w:rsidRPr="007C570D">
        <w:rPr>
          <w:rFonts w:ascii="Book Antiqua" w:eastAsia="宋体" w:hAnsi="Book Antiqua" w:cs="宋体"/>
          <w:color w:val="000000" w:themeColor="text1"/>
        </w:rPr>
        <w:t xml:space="preserve"> P, </w:t>
      </w:r>
      <w:proofErr w:type="spellStart"/>
      <w:r w:rsidRPr="007C570D">
        <w:rPr>
          <w:rFonts w:ascii="Book Antiqua" w:eastAsia="宋体" w:hAnsi="Book Antiqua" w:cs="宋体"/>
          <w:color w:val="000000" w:themeColor="text1"/>
        </w:rPr>
        <w:t>Blobel</w:t>
      </w:r>
      <w:proofErr w:type="spellEnd"/>
      <w:r w:rsidRPr="007C570D">
        <w:rPr>
          <w:rFonts w:ascii="Book Antiqua" w:eastAsia="宋体" w:hAnsi="Book Antiqua" w:cs="宋体"/>
          <w:color w:val="000000" w:themeColor="text1"/>
        </w:rPr>
        <w:t xml:space="preserve"> CP. Distinct roles for ADAM10 and ADAM17 in </w:t>
      </w:r>
      <w:proofErr w:type="spellStart"/>
      <w:r w:rsidRPr="007C570D">
        <w:rPr>
          <w:rFonts w:ascii="Book Antiqua" w:eastAsia="宋体" w:hAnsi="Book Antiqua" w:cs="宋体"/>
          <w:color w:val="000000" w:themeColor="text1"/>
        </w:rPr>
        <w:lastRenderedPageBreak/>
        <w:t>ectodomain</w:t>
      </w:r>
      <w:proofErr w:type="spellEnd"/>
      <w:r w:rsidRPr="007C570D">
        <w:rPr>
          <w:rFonts w:ascii="Book Antiqua" w:eastAsia="宋体" w:hAnsi="Book Antiqua" w:cs="宋体"/>
          <w:color w:val="000000" w:themeColor="text1"/>
        </w:rPr>
        <w:t xml:space="preserve"> shedding of six EGFR ligands. </w:t>
      </w:r>
      <w:r w:rsidRPr="007C570D">
        <w:rPr>
          <w:rFonts w:ascii="Book Antiqua" w:eastAsia="宋体" w:hAnsi="Book Antiqua" w:cs="宋体"/>
          <w:i/>
          <w:iCs/>
          <w:color w:val="000000" w:themeColor="text1"/>
        </w:rPr>
        <w:t xml:space="preserve">J Cell </w:t>
      </w:r>
      <w:proofErr w:type="spellStart"/>
      <w:r w:rsidRPr="007C570D">
        <w:rPr>
          <w:rFonts w:ascii="Book Antiqua" w:eastAsia="宋体" w:hAnsi="Book Antiqua" w:cs="宋体"/>
          <w:i/>
          <w:iCs/>
          <w:color w:val="000000" w:themeColor="text1"/>
        </w:rPr>
        <w:t>Biol</w:t>
      </w:r>
      <w:proofErr w:type="spellEnd"/>
      <w:r w:rsidRPr="007C570D">
        <w:rPr>
          <w:rFonts w:ascii="Book Antiqua" w:eastAsia="宋体" w:hAnsi="Book Antiqua" w:cs="宋体"/>
          <w:color w:val="000000" w:themeColor="text1"/>
        </w:rPr>
        <w:t xml:space="preserve"> 2004; </w:t>
      </w:r>
      <w:r w:rsidRPr="007C570D">
        <w:rPr>
          <w:rFonts w:ascii="Book Antiqua" w:eastAsia="宋体" w:hAnsi="Book Antiqua" w:cs="宋体"/>
          <w:b/>
          <w:bCs/>
          <w:color w:val="000000" w:themeColor="text1"/>
        </w:rPr>
        <w:t>164</w:t>
      </w:r>
      <w:r w:rsidRPr="007C570D">
        <w:rPr>
          <w:rFonts w:ascii="Book Antiqua" w:eastAsia="宋体" w:hAnsi="Book Antiqua" w:cs="宋体"/>
          <w:color w:val="000000" w:themeColor="text1"/>
        </w:rPr>
        <w:t>: 769-779 [PMID: 14993236 DOI: 10.1083/jcb.200307137]</w:t>
      </w:r>
    </w:p>
    <w:p w14:paraId="5FD39B4B" w14:textId="77777777" w:rsidR="0062175B" w:rsidRPr="007C570D"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17 </w:t>
      </w:r>
      <w:r w:rsidRPr="007C570D">
        <w:rPr>
          <w:rFonts w:ascii="Book Antiqua" w:eastAsia="宋体" w:hAnsi="Book Antiqua" w:cs="宋体"/>
          <w:b/>
          <w:bCs/>
          <w:color w:val="000000" w:themeColor="text1"/>
        </w:rPr>
        <w:t>Arteaga CL</w:t>
      </w:r>
      <w:r w:rsidRPr="007C570D">
        <w:rPr>
          <w:rFonts w:ascii="Book Antiqua" w:eastAsia="宋体" w:hAnsi="Book Antiqua" w:cs="宋体"/>
          <w:color w:val="000000" w:themeColor="text1"/>
        </w:rPr>
        <w:t>.</w:t>
      </w:r>
      <w:proofErr w:type="gramEnd"/>
      <w:r w:rsidRPr="007C570D">
        <w:rPr>
          <w:rFonts w:ascii="Book Antiqua" w:eastAsia="宋体" w:hAnsi="Book Antiqua" w:cs="宋体"/>
          <w:color w:val="000000" w:themeColor="text1"/>
        </w:rPr>
        <w:t xml:space="preserve"> The epidermal growth factor receptor: from mutant oncogene in nonhuman cancers to therapeutic target in human neoplasia.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2001; </w:t>
      </w:r>
      <w:r w:rsidRPr="007C570D">
        <w:rPr>
          <w:rFonts w:ascii="Book Antiqua" w:eastAsia="宋体" w:hAnsi="Book Antiqua" w:cs="宋体"/>
          <w:b/>
          <w:bCs/>
          <w:color w:val="000000" w:themeColor="text1"/>
        </w:rPr>
        <w:t>19</w:t>
      </w:r>
      <w:r w:rsidRPr="007C570D">
        <w:rPr>
          <w:rFonts w:ascii="Book Antiqua" w:eastAsia="宋体" w:hAnsi="Book Antiqua" w:cs="宋体"/>
          <w:color w:val="000000" w:themeColor="text1"/>
        </w:rPr>
        <w:t>: 32S-40S [PMID: 11560969 DOI: 10.3978/j.issn.2218-6751.2014.05.01]</w:t>
      </w:r>
    </w:p>
    <w:p w14:paraId="53F96556"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18 </w:t>
      </w:r>
      <w:r w:rsidRPr="007C570D">
        <w:rPr>
          <w:rFonts w:ascii="Book Antiqua" w:eastAsia="宋体" w:hAnsi="Book Antiqua" w:cs="宋体"/>
          <w:b/>
          <w:bCs/>
          <w:color w:val="000000" w:themeColor="text1"/>
        </w:rPr>
        <w:t>de Jong JS</w:t>
      </w:r>
      <w:r w:rsidRPr="007C570D">
        <w:rPr>
          <w:rFonts w:ascii="Book Antiqua" w:eastAsia="宋体" w:hAnsi="Book Antiqua" w:cs="宋体"/>
          <w:color w:val="000000" w:themeColor="text1"/>
        </w:rPr>
        <w:t xml:space="preserve">, van </w:t>
      </w:r>
      <w:proofErr w:type="spellStart"/>
      <w:r w:rsidRPr="007C570D">
        <w:rPr>
          <w:rFonts w:ascii="Book Antiqua" w:eastAsia="宋体" w:hAnsi="Book Antiqua" w:cs="宋体"/>
          <w:color w:val="000000" w:themeColor="text1"/>
        </w:rPr>
        <w:t>Diest</w:t>
      </w:r>
      <w:proofErr w:type="spellEnd"/>
      <w:r w:rsidRPr="007C570D">
        <w:rPr>
          <w:rFonts w:ascii="Book Antiqua" w:eastAsia="宋体" w:hAnsi="Book Antiqua" w:cs="宋体"/>
          <w:color w:val="000000" w:themeColor="text1"/>
        </w:rPr>
        <w:t xml:space="preserve"> PJ, van der </w:t>
      </w:r>
      <w:proofErr w:type="spellStart"/>
      <w:r w:rsidRPr="007C570D">
        <w:rPr>
          <w:rFonts w:ascii="Book Antiqua" w:eastAsia="宋体" w:hAnsi="Book Antiqua" w:cs="宋体"/>
          <w:color w:val="000000" w:themeColor="text1"/>
        </w:rPr>
        <w:t>Valk</w:t>
      </w:r>
      <w:proofErr w:type="spellEnd"/>
      <w:r w:rsidRPr="007C570D">
        <w:rPr>
          <w:rFonts w:ascii="Book Antiqua" w:eastAsia="宋体" w:hAnsi="Book Antiqua" w:cs="宋体"/>
          <w:color w:val="000000" w:themeColor="text1"/>
        </w:rPr>
        <w:t xml:space="preserve"> P, </w:t>
      </w:r>
      <w:proofErr w:type="spellStart"/>
      <w:r w:rsidRPr="007C570D">
        <w:rPr>
          <w:rFonts w:ascii="Book Antiqua" w:eastAsia="宋体" w:hAnsi="Book Antiqua" w:cs="宋体"/>
          <w:color w:val="000000" w:themeColor="text1"/>
        </w:rPr>
        <w:t>Baak</w:t>
      </w:r>
      <w:proofErr w:type="spellEnd"/>
      <w:r w:rsidRPr="007C570D">
        <w:rPr>
          <w:rFonts w:ascii="Book Antiqua" w:eastAsia="宋体" w:hAnsi="Book Antiqua" w:cs="宋体"/>
          <w:color w:val="000000" w:themeColor="text1"/>
        </w:rPr>
        <w:t xml:space="preserve"> JP. </w:t>
      </w:r>
      <w:proofErr w:type="gramStart"/>
      <w:r w:rsidRPr="007C570D">
        <w:rPr>
          <w:rFonts w:ascii="Book Antiqua" w:eastAsia="宋体" w:hAnsi="Book Antiqua" w:cs="宋体"/>
          <w:color w:val="000000" w:themeColor="text1"/>
        </w:rPr>
        <w:t>Expression of growth factors, growth-inhibiting factors, and their receptors in invasive breast cancer.</w:t>
      </w:r>
      <w:proofErr w:type="gramEnd"/>
      <w:r w:rsidRPr="007C570D">
        <w:rPr>
          <w:rFonts w:ascii="Book Antiqua" w:eastAsia="宋体" w:hAnsi="Book Antiqua" w:cs="宋体"/>
          <w:color w:val="000000" w:themeColor="text1"/>
        </w:rPr>
        <w:t xml:space="preserve"> II: Correlations with proliferation and angiogenesis.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Pathol</w:t>
      </w:r>
      <w:proofErr w:type="spellEnd"/>
      <w:r w:rsidRPr="007C570D">
        <w:rPr>
          <w:rFonts w:ascii="Book Antiqua" w:eastAsia="宋体" w:hAnsi="Book Antiqua" w:cs="宋体"/>
          <w:color w:val="000000" w:themeColor="text1"/>
        </w:rPr>
        <w:t xml:space="preserve"> 1998; </w:t>
      </w:r>
      <w:r w:rsidRPr="007C570D">
        <w:rPr>
          <w:rFonts w:ascii="Book Antiqua" w:eastAsia="宋体" w:hAnsi="Book Antiqua" w:cs="宋体"/>
          <w:b/>
          <w:bCs/>
          <w:color w:val="000000" w:themeColor="text1"/>
        </w:rPr>
        <w:t>184</w:t>
      </w:r>
      <w:r w:rsidRPr="007C570D">
        <w:rPr>
          <w:rFonts w:ascii="Book Antiqua" w:eastAsia="宋体" w:hAnsi="Book Antiqua" w:cs="宋体"/>
          <w:color w:val="000000" w:themeColor="text1"/>
        </w:rPr>
        <w:t>: 53-57 [PMID: 9582527 DOI: 10.1002/(</w:t>
      </w:r>
      <w:proofErr w:type="gramStart"/>
      <w:r w:rsidRPr="007C570D">
        <w:rPr>
          <w:rFonts w:ascii="Book Antiqua" w:eastAsia="宋体" w:hAnsi="Book Antiqua" w:cs="宋体"/>
          <w:color w:val="000000" w:themeColor="text1"/>
        </w:rPr>
        <w:t>SICI)1096</w:t>
      </w:r>
      <w:proofErr w:type="gramEnd"/>
      <w:r w:rsidRPr="007C570D">
        <w:rPr>
          <w:rFonts w:ascii="Book Antiqua" w:eastAsia="宋体" w:hAnsi="Book Antiqua" w:cs="宋体"/>
          <w:color w:val="000000" w:themeColor="text1"/>
        </w:rPr>
        <w:t>-9896(199801)184: 1&lt;53: : AID-PATH6&gt;3.0.CO; 2-7]</w:t>
      </w:r>
    </w:p>
    <w:p w14:paraId="21B16CF6"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19 </w:t>
      </w:r>
      <w:proofErr w:type="spellStart"/>
      <w:r w:rsidRPr="007C570D">
        <w:rPr>
          <w:rFonts w:ascii="Book Antiqua" w:eastAsia="宋体" w:hAnsi="Book Antiqua" w:cs="宋体"/>
          <w:b/>
          <w:bCs/>
          <w:color w:val="000000" w:themeColor="text1"/>
        </w:rPr>
        <w:t>Grotendorst</w:t>
      </w:r>
      <w:proofErr w:type="spellEnd"/>
      <w:r w:rsidRPr="007C570D">
        <w:rPr>
          <w:rFonts w:ascii="Book Antiqua" w:eastAsia="宋体" w:hAnsi="Book Antiqua" w:cs="宋体"/>
          <w:b/>
          <w:bCs/>
          <w:color w:val="000000" w:themeColor="text1"/>
        </w:rPr>
        <w:t xml:space="preserve"> GR</w:t>
      </w:r>
      <w:r w:rsidRPr="007C570D">
        <w:rPr>
          <w:rFonts w:ascii="Book Antiqua" w:eastAsia="宋体" w:hAnsi="Book Antiqua" w:cs="宋体"/>
          <w:color w:val="000000" w:themeColor="text1"/>
        </w:rPr>
        <w:t xml:space="preserve">, Soma Y, </w:t>
      </w:r>
      <w:proofErr w:type="spellStart"/>
      <w:r w:rsidRPr="007C570D">
        <w:rPr>
          <w:rFonts w:ascii="Book Antiqua" w:eastAsia="宋体" w:hAnsi="Book Antiqua" w:cs="宋体"/>
          <w:color w:val="000000" w:themeColor="text1"/>
        </w:rPr>
        <w:t>Takehara</w:t>
      </w:r>
      <w:proofErr w:type="spellEnd"/>
      <w:r w:rsidRPr="007C570D">
        <w:rPr>
          <w:rFonts w:ascii="Book Antiqua" w:eastAsia="宋体" w:hAnsi="Book Antiqua" w:cs="宋体"/>
          <w:color w:val="000000" w:themeColor="text1"/>
        </w:rPr>
        <w:t xml:space="preserve"> K, </w:t>
      </w:r>
      <w:proofErr w:type="spellStart"/>
      <w:r w:rsidRPr="007C570D">
        <w:rPr>
          <w:rFonts w:ascii="Book Antiqua" w:eastAsia="宋体" w:hAnsi="Book Antiqua" w:cs="宋体"/>
          <w:color w:val="000000" w:themeColor="text1"/>
        </w:rPr>
        <w:t>Charette</w:t>
      </w:r>
      <w:proofErr w:type="spellEnd"/>
      <w:r w:rsidRPr="007C570D">
        <w:rPr>
          <w:rFonts w:ascii="Book Antiqua" w:eastAsia="宋体" w:hAnsi="Book Antiqua" w:cs="宋体"/>
          <w:color w:val="000000" w:themeColor="text1"/>
        </w:rPr>
        <w:t xml:space="preserve"> M. EGF and TGF-alpha are potent </w:t>
      </w:r>
      <w:proofErr w:type="spellStart"/>
      <w:r w:rsidRPr="007C570D">
        <w:rPr>
          <w:rFonts w:ascii="Book Antiqua" w:eastAsia="宋体" w:hAnsi="Book Antiqua" w:cs="宋体"/>
          <w:color w:val="000000" w:themeColor="text1"/>
        </w:rPr>
        <w:t>chemoattractants</w:t>
      </w:r>
      <w:proofErr w:type="spellEnd"/>
      <w:r w:rsidRPr="007C570D">
        <w:rPr>
          <w:rFonts w:ascii="Book Antiqua" w:eastAsia="宋体" w:hAnsi="Book Antiqua" w:cs="宋体"/>
          <w:color w:val="000000" w:themeColor="text1"/>
        </w:rPr>
        <w:t xml:space="preserve"> for endothelial cells and EGF-like peptides are present at sites of tissue regeneration. </w:t>
      </w:r>
      <w:r w:rsidRPr="007C570D">
        <w:rPr>
          <w:rFonts w:ascii="Book Antiqua" w:eastAsia="宋体" w:hAnsi="Book Antiqua" w:cs="宋体"/>
          <w:i/>
          <w:iCs/>
          <w:color w:val="000000" w:themeColor="text1"/>
        </w:rPr>
        <w:t xml:space="preserve">J Cell </w:t>
      </w:r>
      <w:proofErr w:type="spellStart"/>
      <w:r w:rsidRPr="007C570D">
        <w:rPr>
          <w:rFonts w:ascii="Book Antiqua" w:eastAsia="宋体" w:hAnsi="Book Antiqua" w:cs="宋体"/>
          <w:i/>
          <w:iCs/>
          <w:color w:val="000000" w:themeColor="text1"/>
        </w:rPr>
        <w:t>Physiol</w:t>
      </w:r>
      <w:proofErr w:type="spellEnd"/>
      <w:r w:rsidRPr="007C570D">
        <w:rPr>
          <w:rFonts w:ascii="Book Antiqua" w:eastAsia="宋体" w:hAnsi="Book Antiqua" w:cs="宋体"/>
          <w:color w:val="000000" w:themeColor="text1"/>
        </w:rPr>
        <w:t xml:space="preserve"> 1989; </w:t>
      </w:r>
      <w:r w:rsidRPr="007C570D">
        <w:rPr>
          <w:rFonts w:ascii="Book Antiqua" w:eastAsia="宋体" w:hAnsi="Book Antiqua" w:cs="宋体"/>
          <w:b/>
          <w:bCs/>
          <w:color w:val="000000" w:themeColor="text1"/>
        </w:rPr>
        <w:t>139</w:t>
      </w:r>
      <w:r w:rsidRPr="007C570D">
        <w:rPr>
          <w:rFonts w:ascii="Book Antiqua" w:eastAsia="宋体" w:hAnsi="Book Antiqua" w:cs="宋体"/>
          <w:color w:val="000000" w:themeColor="text1"/>
        </w:rPr>
        <w:t>: 617-623 [PMID: 2786881 DOI: 10.1002/jcp.1041390323]</w:t>
      </w:r>
    </w:p>
    <w:p w14:paraId="2EADCF3E"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20 </w:t>
      </w:r>
      <w:proofErr w:type="spellStart"/>
      <w:r w:rsidRPr="007C570D">
        <w:rPr>
          <w:rFonts w:ascii="Book Antiqua" w:eastAsia="宋体" w:hAnsi="Book Antiqua" w:cs="宋体"/>
          <w:b/>
          <w:bCs/>
          <w:color w:val="000000" w:themeColor="text1"/>
        </w:rPr>
        <w:t>Gille</w:t>
      </w:r>
      <w:proofErr w:type="spellEnd"/>
      <w:r w:rsidRPr="007C570D">
        <w:rPr>
          <w:rFonts w:ascii="Book Antiqua" w:eastAsia="宋体" w:hAnsi="Book Antiqua" w:cs="宋体"/>
          <w:b/>
          <w:bCs/>
          <w:color w:val="000000" w:themeColor="text1"/>
        </w:rPr>
        <w:t xml:space="preserve"> J</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Swerlick</w:t>
      </w:r>
      <w:proofErr w:type="spellEnd"/>
      <w:r w:rsidRPr="007C570D">
        <w:rPr>
          <w:rFonts w:ascii="Book Antiqua" w:eastAsia="宋体" w:hAnsi="Book Antiqua" w:cs="宋体"/>
          <w:color w:val="000000" w:themeColor="text1"/>
        </w:rPr>
        <w:t xml:space="preserve"> RA, </w:t>
      </w:r>
      <w:proofErr w:type="spellStart"/>
      <w:r w:rsidRPr="007C570D">
        <w:rPr>
          <w:rFonts w:ascii="Book Antiqua" w:eastAsia="宋体" w:hAnsi="Book Antiqua" w:cs="宋体"/>
          <w:color w:val="000000" w:themeColor="text1"/>
        </w:rPr>
        <w:t>Caughman</w:t>
      </w:r>
      <w:proofErr w:type="spellEnd"/>
      <w:r w:rsidRPr="007C570D">
        <w:rPr>
          <w:rFonts w:ascii="Book Antiqua" w:eastAsia="宋体" w:hAnsi="Book Antiqua" w:cs="宋体"/>
          <w:color w:val="000000" w:themeColor="text1"/>
        </w:rPr>
        <w:t xml:space="preserve"> SW. Transforming growth factor-alpha-induced transcriptional activation of the vascular permeability factor (VPF/VEGF) gene requires AP-2-dependent DNA binding and transactivation. </w:t>
      </w:r>
      <w:r w:rsidRPr="007C570D">
        <w:rPr>
          <w:rFonts w:ascii="Book Antiqua" w:eastAsia="宋体" w:hAnsi="Book Antiqua" w:cs="宋体"/>
          <w:i/>
          <w:iCs/>
          <w:color w:val="000000" w:themeColor="text1"/>
        </w:rPr>
        <w:t>EMBO J</w:t>
      </w:r>
      <w:r w:rsidRPr="007C570D">
        <w:rPr>
          <w:rFonts w:ascii="Book Antiqua" w:eastAsia="宋体" w:hAnsi="Book Antiqua" w:cs="宋体"/>
          <w:color w:val="000000" w:themeColor="text1"/>
        </w:rPr>
        <w:t xml:space="preserve"> 1997; </w:t>
      </w:r>
      <w:r w:rsidRPr="007C570D">
        <w:rPr>
          <w:rFonts w:ascii="Book Antiqua" w:eastAsia="宋体" w:hAnsi="Book Antiqua" w:cs="宋体"/>
          <w:b/>
          <w:bCs/>
          <w:color w:val="000000" w:themeColor="text1"/>
        </w:rPr>
        <w:t>16</w:t>
      </w:r>
      <w:r w:rsidRPr="007C570D">
        <w:rPr>
          <w:rFonts w:ascii="Book Antiqua" w:eastAsia="宋体" w:hAnsi="Book Antiqua" w:cs="宋体"/>
          <w:color w:val="000000" w:themeColor="text1"/>
        </w:rPr>
        <w:t>: 750-759 [PMID: 9049304 DOI: 10.1093/</w:t>
      </w:r>
      <w:proofErr w:type="spellStart"/>
      <w:r w:rsidRPr="007C570D">
        <w:rPr>
          <w:rFonts w:ascii="Book Antiqua" w:eastAsia="宋体" w:hAnsi="Book Antiqua" w:cs="宋体"/>
          <w:color w:val="000000" w:themeColor="text1"/>
        </w:rPr>
        <w:t>emboj</w:t>
      </w:r>
      <w:proofErr w:type="spellEnd"/>
      <w:r w:rsidRPr="007C570D">
        <w:rPr>
          <w:rFonts w:ascii="Book Antiqua" w:eastAsia="宋体" w:hAnsi="Book Antiqua" w:cs="宋体"/>
          <w:color w:val="000000" w:themeColor="text1"/>
        </w:rPr>
        <w:t>/16.4.750]</w:t>
      </w:r>
    </w:p>
    <w:p w14:paraId="5CF44800"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21 </w:t>
      </w:r>
      <w:proofErr w:type="spellStart"/>
      <w:r w:rsidRPr="007C570D">
        <w:rPr>
          <w:rFonts w:ascii="Book Antiqua" w:eastAsia="宋体" w:hAnsi="Book Antiqua" w:cs="宋体"/>
          <w:b/>
          <w:bCs/>
          <w:color w:val="000000" w:themeColor="text1"/>
        </w:rPr>
        <w:t>Sastry</w:t>
      </w:r>
      <w:proofErr w:type="spellEnd"/>
      <w:r w:rsidRPr="007C570D">
        <w:rPr>
          <w:rFonts w:ascii="Book Antiqua" w:eastAsia="宋体" w:hAnsi="Book Antiqua" w:cs="宋体"/>
          <w:b/>
          <w:bCs/>
          <w:color w:val="000000" w:themeColor="text1"/>
        </w:rPr>
        <w:t xml:space="preserve"> KS</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Karpova</w:t>
      </w:r>
      <w:proofErr w:type="spellEnd"/>
      <w:r w:rsidRPr="007C570D">
        <w:rPr>
          <w:rFonts w:ascii="Book Antiqua" w:eastAsia="宋体" w:hAnsi="Book Antiqua" w:cs="宋体"/>
          <w:color w:val="000000" w:themeColor="text1"/>
        </w:rPr>
        <w:t xml:space="preserve"> Y, </w:t>
      </w:r>
      <w:proofErr w:type="spellStart"/>
      <w:r w:rsidRPr="007C570D">
        <w:rPr>
          <w:rFonts w:ascii="Book Antiqua" w:eastAsia="宋体" w:hAnsi="Book Antiqua" w:cs="宋体"/>
          <w:color w:val="000000" w:themeColor="text1"/>
        </w:rPr>
        <w:t>Kulik</w:t>
      </w:r>
      <w:proofErr w:type="spellEnd"/>
      <w:r w:rsidRPr="007C570D">
        <w:rPr>
          <w:rFonts w:ascii="Book Antiqua" w:eastAsia="宋体" w:hAnsi="Book Antiqua" w:cs="宋体"/>
          <w:color w:val="000000" w:themeColor="text1"/>
        </w:rPr>
        <w:t xml:space="preserve"> G. Epidermal growth factor protects prostate cancer cells from apoptosis by inducing BAD phosphorylation via redundant signaling pathways.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Biol</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Chem</w:t>
      </w:r>
      <w:proofErr w:type="spellEnd"/>
      <w:r w:rsidRPr="007C570D">
        <w:rPr>
          <w:rFonts w:ascii="Book Antiqua" w:eastAsia="宋体" w:hAnsi="Book Antiqua" w:cs="宋体"/>
          <w:color w:val="000000" w:themeColor="text1"/>
        </w:rPr>
        <w:t xml:space="preserve"> 2006; </w:t>
      </w:r>
      <w:r w:rsidRPr="007C570D">
        <w:rPr>
          <w:rFonts w:ascii="Book Antiqua" w:eastAsia="宋体" w:hAnsi="Book Antiqua" w:cs="宋体"/>
          <w:b/>
          <w:bCs/>
          <w:color w:val="000000" w:themeColor="text1"/>
        </w:rPr>
        <w:t>281</w:t>
      </w:r>
      <w:r w:rsidRPr="007C570D">
        <w:rPr>
          <w:rFonts w:ascii="Book Antiqua" w:eastAsia="宋体" w:hAnsi="Book Antiqua" w:cs="宋体"/>
          <w:color w:val="000000" w:themeColor="text1"/>
        </w:rPr>
        <w:t>: 27367-27377 [PMID: 16847055 DOI: 10.1074/jbc.M511485200]</w:t>
      </w:r>
    </w:p>
    <w:p w14:paraId="227B16F9"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22 </w:t>
      </w:r>
      <w:proofErr w:type="spellStart"/>
      <w:r w:rsidRPr="007C570D">
        <w:rPr>
          <w:rFonts w:ascii="Book Antiqua" w:eastAsia="宋体" w:hAnsi="Book Antiqua" w:cs="宋体"/>
          <w:b/>
          <w:bCs/>
          <w:color w:val="000000" w:themeColor="text1"/>
        </w:rPr>
        <w:t>Kondapaka</w:t>
      </w:r>
      <w:proofErr w:type="spellEnd"/>
      <w:r w:rsidRPr="007C570D">
        <w:rPr>
          <w:rFonts w:ascii="Book Antiqua" w:eastAsia="宋体" w:hAnsi="Book Antiqua" w:cs="宋体"/>
          <w:b/>
          <w:bCs/>
          <w:color w:val="000000" w:themeColor="text1"/>
        </w:rPr>
        <w:t xml:space="preserve"> SB</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Fridman</w:t>
      </w:r>
      <w:proofErr w:type="spellEnd"/>
      <w:r w:rsidRPr="007C570D">
        <w:rPr>
          <w:rFonts w:ascii="Book Antiqua" w:eastAsia="宋体" w:hAnsi="Book Antiqua" w:cs="宋体"/>
          <w:color w:val="000000" w:themeColor="text1"/>
        </w:rPr>
        <w:t xml:space="preserve"> R, Reddy KB. Epidermal growth factor and </w:t>
      </w:r>
      <w:proofErr w:type="spellStart"/>
      <w:r w:rsidRPr="007C570D">
        <w:rPr>
          <w:rFonts w:ascii="Book Antiqua" w:eastAsia="宋体" w:hAnsi="Book Antiqua" w:cs="宋体"/>
          <w:color w:val="000000" w:themeColor="text1"/>
        </w:rPr>
        <w:t>amphiregulin</w:t>
      </w:r>
      <w:proofErr w:type="spellEnd"/>
      <w:r w:rsidRPr="007C570D">
        <w:rPr>
          <w:rFonts w:ascii="Book Antiqua" w:eastAsia="宋体" w:hAnsi="Book Antiqua" w:cs="宋体"/>
          <w:color w:val="000000" w:themeColor="text1"/>
        </w:rPr>
        <w:t xml:space="preserve"> up-regulate matrix metalloproteinase-9 (MMP-9) in human breast cancer cells. </w:t>
      </w:r>
      <w:proofErr w:type="spellStart"/>
      <w:r w:rsidRPr="007C570D">
        <w:rPr>
          <w:rFonts w:ascii="Book Antiqua" w:eastAsia="宋体" w:hAnsi="Book Antiqua" w:cs="宋体"/>
          <w:i/>
          <w:iCs/>
          <w:color w:val="000000" w:themeColor="text1"/>
        </w:rPr>
        <w:t>Int</w:t>
      </w:r>
      <w:proofErr w:type="spellEnd"/>
      <w:r w:rsidRPr="007C570D">
        <w:rPr>
          <w:rFonts w:ascii="Book Antiqua" w:eastAsia="宋体" w:hAnsi="Book Antiqua" w:cs="宋体"/>
          <w:i/>
          <w:iCs/>
          <w:color w:val="000000" w:themeColor="text1"/>
        </w:rPr>
        <w:t xml:space="preserve"> J Cancer</w:t>
      </w:r>
      <w:r w:rsidRPr="007C570D">
        <w:rPr>
          <w:rFonts w:ascii="Book Antiqua" w:eastAsia="宋体" w:hAnsi="Book Antiqua" w:cs="宋体"/>
          <w:color w:val="000000" w:themeColor="text1"/>
        </w:rPr>
        <w:t xml:space="preserve"> 1997; </w:t>
      </w:r>
      <w:r w:rsidRPr="007C570D">
        <w:rPr>
          <w:rFonts w:ascii="Book Antiqua" w:eastAsia="宋体" w:hAnsi="Book Antiqua" w:cs="宋体"/>
          <w:b/>
          <w:bCs/>
          <w:color w:val="000000" w:themeColor="text1"/>
        </w:rPr>
        <w:t>70</w:t>
      </w:r>
      <w:r w:rsidRPr="007C570D">
        <w:rPr>
          <w:rFonts w:ascii="Book Antiqua" w:eastAsia="宋体" w:hAnsi="Book Antiqua" w:cs="宋体"/>
          <w:color w:val="000000" w:themeColor="text1"/>
        </w:rPr>
        <w:t>: 722-726 [PMID: 9096655 DOI: 10.1002/(</w:t>
      </w:r>
      <w:proofErr w:type="gramStart"/>
      <w:r w:rsidRPr="007C570D">
        <w:rPr>
          <w:rFonts w:ascii="Book Antiqua" w:eastAsia="宋体" w:hAnsi="Book Antiqua" w:cs="宋体"/>
          <w:color w:val="000000" w:themeColor="text1"/>
        </w:rPr>
        <w:t>SICI)1097</w:t>
      </w:r>
      <w:proofErr w:type="gramEnd"/>
      <w:r w:rsidRPr="007C570D">
        <w:rPr>
          <w:rFonts w:ascii="Book Antiqua" w:eastAsia="宋体" w:hAnsi="Book Antiqua" w:cs="宋体"/>
          <w:color w:val="000000" w:themeColor="text1"/>
        </w:rPr>
        <w:t>-0215(19970317)70: 6&lt;722: : AID-IJC15&gt;3.0.CO; 2-B]</w:t>
      </w:r>
    </w:p>
    <w:p w14:paraId="672D024E"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23 </w:t>
      </w:r>
      <w:r w:rsidRPr="007C570D">
        <w:rPr>
          <w:rFonts w:ascii="Book Antiqua" w:eastAsia="宋体" w:hAnsi="Book Antiqua" w:cs="宋体"/>
          <w:b/>
          <w:bCs/>
          <w:color w:val="000000" w:themeColor="text1"/>
        </w:rPr>
        <w:t>Zhu H</w:t>
      </w:r>
      <w:r w:rsidRPr="007C570D">
        <w:rPr>
          <w:rFonts w:ascii="Book Antiqua" w:eastAsia="宋体" w:hAnsi="Book Antiqua" w:cs="宋体"/>
          <w:color w:val="000000" w:themeColor="text1"/>
        </w:rPr>
        <w:t xml:space="preserve">, Dougherty U, Robinson V, </w:t>
      </w:r>
      <w:proofErr w:type="spellStart"/>
      <w:r w:rsidRPr="007C570D">
        <w:rPr>
          <w:rFonts w:ascii="Book Antiqua" w:eastAsia="宋体" w:hAnsi="Book Antiqua" w:cs="宋体"/>
          <w:color w:val="000000" w:themeColor="text1"/>
        </w:rPr>
        <w:t>Mustafi</w:t>
      </w:r>
      <w:proofErr w:type="spellEnd"/>
      <w:r w:rsidRPr="007C570D">
        <w:rPr>
          <w:rFonts w:ascii="Book Antiqua" w:eastAsia="宋体" w:hAnsi="Book Antiqua" w:cs="宋体"/>
          <w:color w:val="000000" w:themeColor="text1"/>
        </w:rPr>
        <w:t xml:space="preserve"> R, </w:t>
      </w:r>
      <w:proofErr w:type="spellStart"/>
      <w:r w:rsidRPr="007C570D">
        <w:rPr>
          <w:rFonts w:ascii="Book Antiqua" w:eastAsia="宋体" w:hAnsi="Book Antiqua" w:cs="宋体"/>
          <w:color w:val="000000" w:themeColor="text1"/>
        </w:rPr>
        <w:t>Pekow</w:t>
      </w:r>
      <w:proofErr w:type="spellEnd"/>
      <w:r w:rsidRPr="007C570D">
        <w:rPr>
          <w:rFonts w:ascii="Book Antiqua" w:eastAsia="宋体" w:hAnsi="Book Antiqua" w:cs="宋体"/>
          <w:color w:val="000000" w:themeColor="text1"/>
        </w:rPr>
        <w:t xml:space="preserve"> J, </w:t>
      </w:r>
      <w:proofErr w:type="spellStart"/>
      <w:r w:rsidRPr="007C570D">
        <w:rPr>
          <w:rFonts w:ascii="Book Antiqua" w:eastAsia="宋体" w:hAnsi="Book Antiqua" w:cs="宋体"/>
          <w:color w:val="000000" w:themeColor="text1"/>
        </w:rPr>
        <w:t>Kupfer</w:t>
      </w:r>
      <w:proofErr w:type="spellEnd"/>
      <w:r w:rsidRPr="007C570D">
        <w:rPr>
          <w:rFonts w:ascii="Book Antiqua" w:eastAsia="宋体" w:hAnsi="Book Antiqua" w:cs="宋体"/>
          <w:color w:val="000000" w:themeColor="text1"/>
        </w:rPr>
        <w:t xml:space="preserve"> S, Li YC, Hart J, Goss K, </w:t>
      </w:r>
      <w:proofErr w:type="spellStart"/>
      <w:r w:rsidRPr="007C570D">
        <w:rPr>
          <w:rFonts w:ascii="Book Antiqua" w:eastAsia="宋体" w:hAnsi="Book Antiqua" w:cs="宋体"/>
          <w:color w:val="000000" w:themeColor="text1"/>
        </w:rPr>
        <w:t>Fichera</w:t>
      </w:r>
      <w:proofErr w:type="spellEnd"/>
      <w:r w:rsidRPr="007C570D">
        <w:rPr>
          <w:rFonts w:ascii="Book Antiqua" w:eastAsia="宋体" w:hAnsi="Book Antiqua" w:cs="宋体"/>
          <w:color w:val="000000" w:themeColor="text1"/>
        </w:rPr>
        <w:t xml:space="preserve"> A, Joseph L, </w:t>
      </w:r>
      <w:proofErr w:type="spellStart"/>
      <w:r w:rsidRPr="007C570D">
        <w:rPr>
          <w:rFonts w:ascii="Book Antiqua" w:eastAsia="宋体" w:hAnsi="Book Antiqua" w:cs="宋体"/>
          <w:color w:val="000000" w:themeColor="text1"/>
        </w:rPr>
        <w:t>Bissonnette</w:t>
      </w:r>
      <w:proofErr w:type="spellEnd"/>
      <w:r w:rsidRPr="007C570D">
        <w:rPr>
          <w:rFonts w:ascii="Book Antiqua" w:eastAsia="宋体" w:hAnsi="Book Antiqua" w:cs="宋体"/>
          <w:color w:val="000000" w:themeColor="text1"/>
        </w:rPr>
        <w:t xml:space="preserve"> M. EGFR signals downregulate tumor suppressors miR-143 and miR-145 in Western diet-promoted murine colon </w:t>
      </w:r>
      <w:r w:rsidRPr="007C570D">
        <w:rPr>
          <w:rFonts w:ascii="Book Antiqua" w:eastAsia="宋体" w:hAnsi="Book Antiqua" w:cs="宋体"/>
          <w:color w:val="000000" w:themeColor="text1"/>
        </w:rPr>
        <w:lastRenderedPageBreak/>
        <w:t xml:space="preserve">cancer: role of G1 regulators. </w:t>
      </w:r>
      <w:proofErr w:type="spellStart"/>
      <w:r w:rsidRPr="007C570D">
        <w:rPr>
          <w:rFonts w:ascii="Book Antiqua" w:eastAsia="宋体" w:hAnsi="Book Antiqua" w:cs="宋体"/>
          <w:i/>
          <w:iCs/>
          <w:color w:val="000000" w:themeColor="text1"/>
        </w:rPr>
        <w:t>Mol</w:t>
      </w:r>
      <w:proofErr w:type="spellEnd"/>
      <w:r w:rsidRPr="007C570D">
        <w:rPr>
          <w:rFonts w:ascii="Book Antiqua" w:eastAsia="宋体" w:hAnsi="Book Antiqua" w:cs="宋体"/>
          <w:i/>
          <w:iCs/>
          <w:color w:val="000000" w:themeColor="text1"/>
        </w:rPr>
        <w:t xml:space="preserve"> Cancer Res</w:t>
      </w:r>
      <w:r w:rsidRPr="007C570D">
        <w:rPr>
          <w:rFonts w:ascii="Book Antiqua" w:eastAsia="宋体" w:hAnsi="Book Antiqua" w:cs="宋体"/>
          <w:color w:val="000000" w:themeColor="text1"/>
        </w:rPr>
        <w:t xml:space="preserve"> 2011; </w:t>
      </w:r>
      <w:r w:rsidRPr="007C570D">
        <w:rPr>
          <w:rFonts w:ascii="Book Antiqua" w:eastAsia="宋体" w:hAnsi="Book Antiqua" w:cs="宋体"/>
          <w:b/>
          <w:bCs/>
          <w:color w:val="000000" w:themeColor="text1"/>
        </w:rPr>
        <w:t>9</w:t>
      </w:r>
      <w:r w:rsidRPr="007C570D">
        <w:rPr>
          <w:rFonts w:ascii="Book Antiqua" w:eastAsia="宋体" w:hAnsi="Book Antiqua" w:cs="宋体"/>
          <w:color w:val="000000" w:themeColor="text1"/>
        </w:rPr>
        <w:t>: 960-975 [PMID: 21653642 DOI: 10.1158/1541-7786.MCR-10-0531]</w:t>
      </w:r>
    </w:p>
    <w:p w14:paraId="44BE5ED9"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24 </w:t>
      </w:r>
      <w:proofErr w:type="spellStart"/>
      <w:r w:rsidRPr="007C570D">
        <w:rPr>
          <w:rFonts w:ascii="Book Antiqua" w:eastAsia="宋体" w:hAnsi="Book Antiqua" w:cs="宋体"/>
          <w:b/>
          <w:bCs/>
          <w:color w:val="000000" w:themeColor="text1"/>
        </w:rPr>
        <w:t>Haenszel</w:t>
      </w:r>
      <w:proofErr w:type="spellEnd"/>
      <w:r w:rsidRPr="007C570D">
        <w:rPr>
          <w:rFonts w:ascii="Book Antiqua" w:eastAsia="宋体" w:hAnsi="Book Antiqua" w:cs="宋体"/>
          <w:b/>
          <w:bCs/>
          <w:color w:val="000000" w:themeColor="text1"/>
        </w:rPr>
        <w:t xml:space="preserve"> W</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Kurihara</w:t>
      </w:r>
      <w:proofErr w:type="spellEnd"/>
      <w:r w:rsidRPr="007C570D">
        <w:rPr>
          <w:rFonts w:ascii="Book Antiqua" w:eastAsia="宋体" w:hAnsi="Book Antiqua" w:cs="宋体"/>
          <w:color w:val="000000" w:themeColor="text1"/>
        </w:rPr>
        <w:t xml:space="preserve"> M. Studies of Japanese migrants. I. Mortality from cancer and other diseases among Japanese in the United States. </w:t>
      </w:r>
      <w:r w:rsidRPr="007C570D">
        <w:rPr>
          <w:rFonts w:ascii="Book Antiqua" w:eastAsia="宋体" w:hAnsi="Book Antiqua" w:cs="宋体"/>
          <w:i/>
          <w:iCs/>
          <w:color w:val="000000" w:themeColor="text1"/>
        </w:rPr>
        <w:t xml:space="preserve">J Natl Cancer </w:t>
      </w:r>
      <w:proofErr w:type="spellStart"/>
      <w:r w:rsidRPr="007C570D">
        <w:rPr>
          <w:rFonts w:ascii="Book Antiqua" w:eastAsia="宋体" w:hAnsi="Book Antiqua" w:cs="宋体"/>
          <w:i/>
          <w:iCs/>
          <w:color w:val="000000" w:themeColor="text1"/>
        </w:rPr>
        <w:t>Inst</w:t>
      </w:r>
      <w:proofErr w:type="spellEnd"/>
      <w:r w:rsidRPr="007C570D">
        <w:rPr>
          <w:rFonts w:ascii="Book Antiqua" w:eastAsia="宋体" w:hAnsi="Book Antiqua" w:cs="宋体"/>
          <w:color w:val="000000" w:themeColor="text1"/>
        </w:rPr>
        <w:t xml:space="preserve"> 1968; </w:t>
      </w:r>
      <w:r w:rsidRPr="007C570D">
        <w:rPr>
          <w:rFonts w:ascii="Book Antiqua" w:eastAsia="宋体" w:hAnsi="Book Antiqua" w:cs="宋体"/>
          <w:b/>
          <w:bCs/>
          <w:color w:val="000000" w:themeColor="text1"/>
        </w:rPr>
        <w:t>40</w:t>
      </w:r>
      <w:r w:rsidRPr="007C570D">
        <w:rPr>
          <w:rFonts w:ascii="Book Antiqua" w:eastAsia="宋体" w:hAnsi="Book Antiqua" w:cs="宋体"/>
          <w:color w:val="000000" w:themeColor="text1"/>
        </w:rPr>
        <w:t>: 43-68 [PMID: 5635018]</w:t>
      </w:r>
    </w:p>
    <w:p w14:paraId="564995FA" w14:textId="77777777" w:rsidR="0062175B" w:rsidRPr="00374AD1"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25 </w:t>
      </w:r>
      <w:r w:rsidRPr="007C570D">
        <w:rPr>
          <w:rFonts w:ascii="Book Antiqua" w:eastAsia="宋体" w:hAnsi="Book Antiqua" w:cs="宋体"/>
          <w:b/>
          <w:bCs/>
          <w:color w:val="000000" w:themeColor="text1"/>
        </w:rPr>
        <w:t>Takahashi M</w:t>
      </w:r>
      <w:r w:rsidRPr="007C570D">
        <w:rPr>
          <w:rFonts w:ascii="Book Antiqua" w:eastAsia="宋体" w:hAnsi="Book Antiqua" w:cs="宋体"/>
          <w:color w:val="000000" w:themeColor="text1"/>
        </w:rPr>
        <w:t xml:space="preserve">, Wakabayashi K. Gene mutations and altered gene expression in </w:t>
      </w:r>
      <w:proofErr w:type="spellStart"/>
      <w:r w:rsidRPr="007C570D">
        <w:rPr>
          <w:rFonts w:ascii="Book Antiqua" w:eastAsia="宋体" w:hAnsi="Book Antiqua" w:cs="宋体"/>
          <w:color w:val="000000" w:themeColor="text1"/>
        </w:rPr>
        <w:t>azoxymethane</w:t>
      </w:r>
      <w:proofErr w:type="spellEnd"/>
      <w:r w:rsidRPr="007C570D">
        <w:rPr>
          <w:rFonts w:ascii="Book Antiqua" w:eastAsia="宋体" w:hAnsi="Book Antiqua" w:cs="宋体"/>
          <w:color w:val="000000" w:themeColor="text1"/>
        </w:rPr>
        <w:t>-induced colon carcinogenesis in rodents.</w:t>
      </w:r>
      <w:proofErr w:type="gram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 xml:space="preserve">Cancer </w:t>
      </w:r>
      <w:proofErr w:type="spellStart"/>
      <w:r w:rsidRPr="007C570D">
        <w:rPr>
          <w:rFonts w:ascii="Book Antiqua" w:eastAsia="宋体" w:hAnsi="Book Antiqua" w:cs="宋体"/>
          <w:i/>
          <w:iCs/>
          <w:color w:val="000000" w:themeColor="text1"/>
        </w:rPr>
        <w:t>Sci</w:t>
      </w:r>
      <w:proofErr w:type="spellEnd"/>
      <w:r w:rsidRPr="007C570D">
        <w:rPr>
          <w:rFonts w:ascii="Book Antiqua" w:eastAsia="宋体" w:hAnsi="Book Antiqua" w:cs="宋体"/>
          <w:color w:val="000000" w:themeColor="text1"/>
        </w:rPr>
        <w:t xml:space="preserve"> 2004; </w:t>
      </w:r>
      <w:r w:rsidRPr="007C570D">
        <w:rPr>
          <w:rFonts w:ascii="Book Antiqua" w:eastAsia="宋体" w:hAnsi="Book Antiqua" w:cs="宋体"/>
          <w:b/>
          <w:bCs/>
          <w:color w:val="000000" w:themeColor="text1"/>
        </w:rPr>
        <w:t>95</w:t>
      </w:r>
      <w:r w:rsidRPr="007C570D">
        <w:rPr>
          <w:rFonts w:ascii="Book Antiqua" w:eastAsia="宋体" w:hAnsi="Book Antiqua" w:cs="宋体"/>
          <w:color w:val="000000" w:themeColor="text1"/>
        </w:rPr>
        <w:t>: 475-480 [PMID: 15182426 DOI: 10.1111/j.1349-7006.2004.tb03235.x]</w:t>
      </w:r>
    </w:p>
    <w:p w14:paraId="600B8E48"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26 </w:t>
      </w:r>
      <w:proofErr w:type="spellStart"/>
      <w:r w:rsidRPr="007C570D">
        <w:rPr>
          <w:rFonts w:ascii="Book Antiqua" w:eastAsia="宋体" w:hAnsi="Book Antiqua" w:cs="宋体"/>
          <w:b/>
          <w:bCs/>
          <w:color w:val="000000" w:themeColor="text1"/>
        </w:rPr>
        <w:t>Fichera</w:t>
      </w:r>
      <w:proofErr w:type="spellEnd"/>
      <w:r w:rsidRPr="007C570D">
        <w:rPr>
          <w:rFonts w:ascii="Book Antiqua" w:eastAsia="宋体" w:hAnsi="Book Antiqua" w:cs="宋体"/>
          <w:b/>
          <w:bCs/>
          <w:color w:val="000000" w:themeColor="text1"/>
        </w:rPr>
        <w:t xml:space="preserve"> A</w:t>
      </w:r>
      <w:r w:rsidRPr="007C570D">
        <w:rPr>
          <w:rFonts w:ascii="Book Antiqua" w:eastAsia="宋体" w:hAnsi="Book Antiqua" w:cs="宋体"/>
          <w:color w:val="000000" w:themeColor="text1"/>
        </w:rPr>
        <w:t xml:space="preserve">, Little N, </w:t>
      </w:r>
      <w:proofErr w:type="spellStart"/>
      <w:r w:rsidRPr="007C570D">
        <w:rPr>
          <w:rFonts w:ascii="Book Antiqua" w:eastAsia="宋体" w:hAnsi="Book Antiqua" w:cs="宋体"/>
          <w:color w:val="000000" w:themeColor="text1"/>
        </w:rPr>
        <w:t>Jagadeeswaran</w:t>
      </w:r>
      <w:proofErr w:type="spellEnd"/>
      <w:r w:rsidRPr="007C570D">
        <w:rPr>
          <w:rFonts w:ascii="Book Antiqua" w:eastAsia="宋体" w:hAnsi="Book Antiqua" w:cs="宋体"/>
          <w:color w:val="000000" w:themeColor="text1"/>
        </w:rPr>
        <w:t xml:space="preserve"> S, Dougherty U, </w:t>
      </w:r>
      <w:proofErr w:type="spellStart"/>
      <w:r w:rsidRPr="007C570D">
        <w:rPr>
          <w:rFonts w:ascii="Book Antiqua" w:eastAsia="宋体" w:hAnsi="Book Antiqua" w:cs="宋体"/>
          <w:color w:val="000000" w:themeColor="text1"/>
        </w:rPr>
        <w:t>Sehdev</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Mustafi</w:t>
      </w:r>
      <w:proofErr w:type="spellEnd"/>
      <w:r w:rsidRPr="007C570D">
        <w:rPr>
          <w:rFonts w:ascii="Book Antiqua" w:eastAsia="宋体" w:hAnsi="Book Antiqua" w:cs="宋体"/>
          <w:color w:val="000000" w:themeColor="text1"/>
        </w:rPr>
        <w:t xml:space="preserve"> R, Cerda S, Yuan W, </w:t>
      </w:r>
      <w:proofErr w:type="spellStart"/>
      <w:r w:rsidRPr="007C570D">
        <w:rPr>
          <w:rFonts w:ascii="Book Antiqua" w:eastAsia="宋体" w:hAnsi="Book Antiqua" w:cs="宋体"/>
          <w:color w:val="000000" w:themeColor="text1"/>
        </w:rPr>
        <w:t>Khare</w:t>
      </w:r>
      <w:proofErr w:type="spellEnd"/>
      <w:r w:rsidRPr="007C570D">
        <w:rPr>
          <w:rFonts w:ascii="Book Antiqua" w:eastAsia="宋体" w:hAnsi="Book Antiqua" w:cs="宋体"/>
          <w:color w:val="000000" w:themeColor="text1"/>
        </w:rPr>
        <w:t xml:space="preserve"> S, </w:t>
      </w:r>
      <w:proofErr w:type="spellStart"/>
      <w:r w:rsidRPr="007C570D">
        <w:rPr>
          <w:rFonts w:ascii="Book Antiqua" w:eastAsia="宋体" w:hAnsi="Book Antiqua" w:cs="宋体"/>
          <w:color w:val="000000" w:themeColor="text1"/>
        </w:rPr>
        <w:t>Tretiakova</w:t>
      </w:r>
      <w:proofErr w:type="spellEnd"/>
      <w:r w:rsidRPr="007C570D">
        <w:rPr>
          <w:rFonts w:ascii="Book Antiqua" w:eastAsia="宋体" w:hAnsi="Book Antiqua" w:cs="宋体"/>
          <w:color w:val="000000" w:themeColor="text1"/>
        </w:rPr>
        <w:t xml:space="preserve"> M, Gong C, </w:t>
      </w:r>
      <w:proofErr w:type="spellStart"/>
      <w:r w:rsidRPr="007C570D">
        <w:rPr>
          <w:rFonts w:ascii="Book Antiqua" w:eastAsia="宋体" w:hAnsi="Book Antiqua" w:cs="宋体"/>
          <w:color w:val="000000" w:themeColor="text1"/>
        </w:rPr>
        <w:t>Tallerico</w:t>
      </w:r>
      <w:proofErr w:type="spellEnd"/>
      <w:r w:rsidRPr="007C570D">
        <w:rPr>
          <w:rFonts w:ascii="Book Antiqua" w:eastAsia="宋体" w:hAnsi="Book Antiqua" w:cs="宋体"/>
          <w:color w:val="000000" w:themeColor="text1"/>
        </w:rPr>
        <w:t xml:space="preserve"> M, Cohen G, Joseph L, Hart J, Turner JR, </w:t>
      </w:r>
      <w:proofErr w:type="spellStart"/>
      <w:r w:rsidRPr="007C570D">
        <w:rPr>
          <w:rFonts w:ascii="Book Antiqua" w:eastAsia="宋体" w:hAnsi="Book Antiqua" w:cs="宋体"/>
          <w:color w:val="000000" w:themeColor="text1"/>
        </w:rPr>
        <w:t>Bissonnette</w:t>
      </w:r>
      <w:proofErr w:type="spellEnd"/>
      <w:r w:rsidRPr="007C570D">
        <w:rPr>
          <w:rFonts w:ascii="Book Antiqua" w:eastAsia="宋体" w:hAnsi="Book Antiqua" w:cs="宋体"/>
          <w:color w:val="000000" w:themeColor="text1"/>
        </w:rPr>
        <w:t xml:space="preserve"> M. Epidermal growth factor receptor signaling is required for </w:t>
      </w:r>
      <w:proofErr w:type="spellStart"/>
      <w:r w:rsidRPr="007C570D">
        <w:rPr>
          <w:rFonts w:ascii="Book Antiqua" w:eastAsia="宋体" w:hAnsi="Book Antiqua" w:cs="宋体"/>
          <w:color w:val="000000" w:themeColor="text1"/>
        </w:rPr>
        <w:t>microadenoma</w:t>
      </w:r>
      <w:proofErr w:type="spellEnd"/>
      <w:r w:rsidRPr="007C570D">
        <w:rPr>
          <w:rFonts w:ascii="Book Antiqua" w:eastAsia="宋体" w:hAnsi="Book Antiqua" w:cs="宋体"/>
          <w:color w:val="000000" w:themeColor="text1"/>
        </w:rPr>
        <w:t xml:space="preserve"> formation in the mouse </w:t>
      </w:r>
      <w:proofErr w:type="spellStart"/>
      <w:r w:rsidRPr="007C570D">
        <w:rPr>
          <w:rFonts w:ascii="Book Antiqua" w:eastAsia="宋体" w:hAnsi="Book Antiqua" w:cs="宋体"/>
          <w:color w:val="000000" w:themeColor="text1"/>
        </w:rPr>
        <w:t>azoxymethane</w:t>
      </w:r>
      <w:proofErr w:type="spellEnd"/>
      <w:r w:rsidRPr="007C570D">
        <w:rPr>
          <w:rFonts w:ascii="Book Antiqua" w:eastAsia="宋体" w:hAnsi="Book Antiqua" w:cs="宋体"/>
          <w:color w:val="000000" w:themeColor="text1"/>
        </w:rPr>
        <w:t xml:space="preserve"> model of colonic carcinogenesis. </w:t>
      </w:r>
      <w:r w:rsidRPr="007C570D">
        <w:rPr>
          <w:rFonts w:ascii="Book Antiqua" w:eastAsia="宋体" w:hAnsi="Book Antiqua" w:cs="宋体"/>
          <w:i/>
          <w:iCs/>
          <w:color w:val="000000" w:themeColor="text1"/>
        </w:rPr>
        <w:t>Cancer Res</w:t>
      </w:r>
      <w:r w:rsidRPr="007C570D">
        <w:rPr>
          <w:rFonts w:ascii="Book Antiqua" w:eastAsia="宋体" w:hAnsi="Book Antiqua" w:cs="宋体"/>
          <w:color w:val="000000" w:themeColor="text1"/>
        </w:rPr>
        <w:t xml:space="preserve"> 2007; </w:t>
      </w:r>
      <w:r w:rsidRPr="007C570D">
        <w:rPr>
          <w:rFonts w:ascii="Book Antiqua" w:eastAsia="宋体" w:hAnsi="Book Antiqua" w:cs="宋体"/>
          <w:b/>
          <w:bCs/>
          <w:color w:val="000000" w:themeColor="text1"/>
        </w:rPr>
        <w:t>67</w:t>
      </w:r>
      <w:r w:rsidRPr="007C570D">
        <w:rPr>
          <w:rFonts w:ascii="Book Antiqua" w:eastAsia="宋体" w:hAnsi="Book Antiqua" w:cs="宋体"/>
          <w:color w:val="000000" w:themeColor="text1"/>
        </w:rPr>
        <w:t>: 827-835 [PMID: 17234795 DOI: 10.1158/0008-5472.CAN-05-3343]</w:t>
      </w:r>
    </w:p>
    <w:p w14:paraId="365E40AA"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27 </w:t>
      </w:r>
      <w:r w:rsidRPr="007C570D">
        <w:rPr>
          <w:rFonts w:ascii="Book Antiqua" w:eastAsia="宋体" w:hAnsi="Book Antiqua" w:cs="宋体"/>
          <w:b/>
          <w:bCs/>
          <w:color w:val="000000" w:themeColor="text1"/>
        </w:rPr>
        <w:t>Dougherty U</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Sehdev</w:t>
      </w:r>
      <w:proofErr w:type="spellEnd"/>
      <w:r w:rsidRPr="007C570D">
        <w:rPr>
          <w:rFonts w:ascii="Book Antiqua" w:eastAsia="宋体" w:hAnsi="Book Antiqua" w:cs="宋体"/>
          <w:color w:val="000000" w:themeColor="text1"/>
        </w:rPr>
        <w:t xml:space="preserve"> A, Cerda S, </w:t>
      </w:r>
      <w:proofErr w:type="spellStart"/>
      <w:r w:rsidRPr="007C570D">
        <w:rPr>
          <w:rFonts w:ascii="Book Antiqua" w:eastAsia="宋体" w:hAnsi="Book Antiqua" w:cs="宋体"/>
          <w:color w:val="000000" w:themeColor="text1"/>
        </w:rPr>
        <w:t>Mustafi</w:t>
      </w:r>
      <w:proofErr w:type="spellEnd"/>
      <w:r w:rsidRPr="007C570D">
        <w:rPr>
          <w:rFonts w:ascii="Book Antiqua" w:eastAsia="宋体" w:hAnsi="Book Antiqua" w:cs="宋体"/>
          <w:color w:val="000000" w:themeColor="text1"/>
        </w:rPr>
        <w:t xml:space="preserve"> R, Little N, Yuan W, </w:t>
      </w:r>
      <w:proofErr w:type="spellStart"/>
      <w:r w:rsidRPr="007C570D">
        <w:rPr>
          <w:rFonts w:ascii="Book Antiqua" w:eastAsia="宋体" w:hAnsi="Book Antiqua" w:cs="宋体"/>
          <w:color w:val="000000" w:themeColor="text1"/>
        </w:rPr>
        <w:t>Jagadeeswaran</w:t>
      </w:r>
      <w:proofErr w:type="spellEnd"/>
      <w:r w:rsidRPr="007C570D">
        <w:rPr>
          <w:rFonts w:ascii="Book Antiqua" w:eastAsia="宋体" w:hAnsi="Book Antiqua" w:cs="宋体"/>
          <w:color w:val="000000" w:themeColor="text1"/>
        </w:rPr>
        <w:t xml:space="preserve"> S, </w:t>
      </w:r>
      <w:proofErr w:type="spellStart"/>
      <w:r w:rsidRPr="007C570D">
        <w:rPr>
          <w:rFonts w:ascii="Book Antiqua" w:eastAsia="宋体" w:hAnsi="Book Antiqua" w:cs="宋体"/>
          <w:color w:val="000000" w:themeColor="text1"/>
        </w:rPr>
        <w:t>Chumsangsri</w:t>
      </w:r>
      <w:proofErr w:type="spellEnd"/>
      <w:r w:rsidRPr="007C570D">
        <w:rPr>
          <w:rFonts w:ascii="Book Antiqua" w:eastAsia="宋体" w:hAnsi="Book Antiqua" w:cs="宋体"/>
          <w:color w:val="000000" w:themeColor="text1"/>
        </w:rPr>
        <w:t xml:space="preserve"> A, Delgado J, </w:t>
      </w:r>
      <w:proofErr w:type="spellStart"/>
      <w:r w:rsidRPr="007C570D">
        <w:rPr>
          <w:rFonts w:ascii="Book Antiqua" w:eastAsia="宋体" w:hAnsi="Book Antiqua" w:cs="宋体"/>
          <w:color w:val="000000" w:themeColor="text1"/>
        </w:rPr>
        <w:t>Tretiakova</w:t>
      </w:r>
      <w:proofErr w:type="spellEnd"/>
      <w:r w:rsidRPr="007C570D">
        <w:rPr>
          <w:rFonts w:ascii="Book Antiqua" w:eastAsia="宋体" w:hAnsi="Book Antiqua" w:cs="宋体"/>
          <w:color w:val="000000" w:themeColor="text1"/>
        </w:rPr>
        <w:t xml:space="preserve"> M, Joseph L, Hart J, Cohen EE, </w:t>
      </w:r>
      <w:proofErr w:type="spellStart"/>
      <w:r w:rsidRPr="007C570D">
        <w:rPr>
          <w:rFonts w:ascii="Book Antiqua" w:eastAsia="宋体" w:hAnsi="Book Antiqua" w:cs="宋体"/>
          <w:color w:val="000000" w:themeColor="text1"/>
        </w:rPr>
        <w:t>Aluri</w:t>
      </w:r>
      <w:proofErr w:type="spellEnd"/>
      <w:r w:rsidRPr="007C570D">
        <w:rPr>
          <w:rFonts w:ascii="Book Antiqua" w:eastAsia="宋体" w:hAnsi="Book Antiqua" w:cs="宋体"/>
          <w:color w:val="000000" w:themeColor="text1"/>
        </w:rPr>
        <w:t xml:space="preserve"> L, </w:t>
      </w:r>
      <w:proofErr w:type="spellStart"/>
      <w:r w:rsidRPr="007C570D">
        <w:rPr>
          <w:rFonts w:ascii="Book Antiqua" w:eastAsia="宋体" w:hAnsi="Book Antiqua" w:cs="宋体"/>
          <w:color w:val="000000" w:themeColor="text1"/>
        </w:rPr>
        <w:t>Fichera</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Bissonnette</w:t>
      </w:r>
      <w:proofErr w:type="spellEnd"/>
      <w:r w:rsidRPr="007C570D">
        <w:rPr>
          <w:rFonts w:ascii="Book Antiqua" w:eastAsia="宋体" w:hAnsi="Book Antiqua" w:cs="宋体"/>
          <w:color w:val="000000" w:themeColor="text1"/>
        </w:rPr>
        <w:t xml:space="preserve"> M. Epidermal growth factor receptor controls flat dysplastic aberrant crypt foci development and colon cancer progression in the rat </w:t>
      </w:r>
      <w:proofErr w:type="spellStart"/>
      <w:r w:rsidRPr="007C570D">
        <w:rPr>
          <w:rFonts w:ascii="Book Antiqua" w:eastAsia="宋体" w:hAnsi="Book Antiqua" w:cs="宋体"/>
          <w:color w:val="000000" w:themeColor="text1"/>
        </w:rPr>
        <w:t>azoxymethane</w:t>
      </w:r>
      <w:proofErr w:type="spellEnd"/>
      <w:r w:rsidRPr="007C570D">
        <w:rPr>
          <w:rFonts w:ascii="Book Antiqua" w:eastAsia="宋体" w:hAnsi="Book Antiqua" w:cs="宋体"/>
          <w:color w:val="000000" w:themeColor="text1"/>
        </w:rPr>
        <w:t xml:space="preserve"> model.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Cancer Res</w:t>
      </w:r>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14</w:t>
      </w:r>
      <w:r w:rsidRPr="007C570D">
        <w:rPr>
          <w:rFonts w:ascii="Book Antiqua" w:eastAsia="宋体" w:hAnsi="Book Antiqua" w:cs="宋体"/>
          <w:color w:val="000000" w:themeColor="text1"/>
        </w:rPr>
        <w:t>: 2253-2262 [PMID: 18413814 DOI: 10.1158/1078-0432.CCR-07-4926]</w:t>
      </w:r>
    </w:p>
    <w:p w14:paraId="58E391CC" w14:textId="77777777" w:rsidR="0062175B" w:rsidRPr="00374AD1" w:rsidRDefault="0062175B" w:rsidP="00240E68">
      <w:pPr>
        <w:widowControl w:val="0"/>
        <w:spacing w:after="0" w:line="360" w:lineRule="auto"/>
        <w:jc w:val="both"/>
        <w:rPr>
          <w:rFonts w:ascii="Book Antiqua" w:eastAsia="宋体" w:hAnsi="Book Antiqua" w:cs="宋体"/>
          <w:color w:val="000000" w:themeColor="text1"/>
        </w:rPr>
      </w:pPr>
      <w:r w:rsidRPr="00374AD1">
        <w:rPr>
          <w:rFonts w:ascii="Book Antiqua" w:eastAsia="宋体" w:hAnsi="Book Antiqua" w:cs="宋体"/>
          <w:color w:val="000000" w:themeColor="text1"/>
        </w:rPr>
        <w:t xml:space="preserve">28 </w:t>
      </w:r>
      <w:r w:rsidRPr="00374AD1">
        <w:rPr>
          <w:rFonts w:ascii="Book Antiqua" w:eastAsia="宋体" w:hAnsi="Book Antiqua" w:cs="宋体"/>
          <w:b/>
          <w:color w:val="000000" w:themeColor="text1"/>
        </w:rPr>
        <w:t>Dougherty</w:t>
      </w:r>
      <w:r w:rsidRPr="00374AD1">
        <w:rPr>
          <w:rFonts w:ascii="Book Antiqua" w:eastAsia="宋体" w:hAnsi="Book Antiqua" w:cs="宋体" w:hint="eastAsia"/>
          <w:b/>
          <w:color w:val="000000" w:themeColor="text1"/>
        </w:rPr>
        <w:t xml:space="preserve"> U</w:t>
      </w:r>
      <w:r w:rsidRPr="00374AD1">
        <w:rPr>
          <w:rFonts w:ascii="Book Antiqua" w:eastAsia="宋体" w:hAnsi="Book Antiqua" w:cs="宋体"/>
          <w:b/>
          <w:color w:val="000000" w:themeColor="text1"/>
        </w:rPr>
        <w:t xml:space="preserve">, </w:t>
      </w:r>
      <w:proofErr w:type="spellStart"/>
      <w:r w:rsidRPr="00374AD1">
        <w:rPr>
          <w:rFonts w:ascii="Book Antiqua" w:eastAsia="宋体" w:hAnsi="Book Antiqua" w:cs="宋体"/>
          <w:color w:val="000000" w:themeColor="text1"/>
        </w:rPr>
        <w:t>Mustafi</w:t>
      </w:r>
      <w:proofErr w:type="spellEnd"/>
      <w:r w:rsidRPr="00374AD1">
        <w:rPr>
          <w:rFonts w:ascii="Book Antiqua" w:eastAsia="宋体" w:hAnsi="Book Antiqua" w:cs="宋体" w:hint="eastAsia"/>
          <w:color w:val="000000" w:themeColor="text1"/>
        </w:rPr>
        <w:t xml:space="preserve"> R</w:t>
      </w:r>
      <w:r w:rsidRPr="00374AD1">
        <w:rPr>
          <w:rFonts w:ascii="Book Antiqua" w:eastAsia="宋体" w:hAnsi="Book Antiqua" w:cs="宋体"/>
          <w:color w:val="000000" w:themeColor="text1"/>
        </w:rPr>
        <w:t xml:space="preserve">, </w:t>
      </w:r>
      <w:proofErr w:type="spellStart"/>
      <w:r w:rsidRPr="00374AD1">
        <w:rPr>
          <w:rFonts w:ascii="Book Antiqua" w:eastAsia="宋体" w:hAnsi="Book Antiqua" w:cs="宋体"/>
          <w:color w:val="000000" w:themeColor="text1"/>
        </w:rPr>
        <w:t>Valuckaite</w:t>
      </w:r>
      <w:proofErr w:type="spellEnd"/>
      <w:r w:rsidRPr="00374AD1">
        <w:rPr>
          <w:rFonts w:ascii="Book Antiqua" w:eastAsia="宋体" w:hAnsi="Book Antiqua" w:cs="宋体" w:hint="eastAsia"/>
          <w:color w:val="000000" w:themeColor="text1"/>
        </w:rPr>
        <w:t xml:space="preserve"> V</w:t>
      </w:r>
      <w:r w:rsidRPr="00374AD1">
        <w:rPr>
          <w:rFonts w:ascii="Book Antiqua" w:eastAsia="宋体" w:hAnsi="Book Antiqua" w:cs="宋体"/>
          <w:color w:val="000000" w:themeColor="text1"/>
        </w:rPr>
        <w:t>, Konda</w:t>
      </w:r>
      <w:r w:rsidRPr="00374AD1">
        <w:rPr>
          <w:rFonts w:ascii="Book Antiqua" w:eastAsia="宋体" w:hAnsi="Book Antiqua" w:cs="宋体" w:hint="eastAsia"/>
          <w:color w:val="000000" w:themeColor="text1"/>
        </w:rPr>
        <w:t xml:space="preserve"> VJ</w:t>
      </w:r>
      <w:r w:rsidRPr="00374AD1">
        <w:rPr>
          <w:rFonts w:ascii="Book Antiqua" w:eastAsia="宋体" w:hAnsi="Book Antiqua" w:cs="宋体"/>
          <w:color w:val="000000" w:themeColor="text1"/>
        </w:rPr>
        <w:t xml:space="preserve">, </w:t>
      </w:r>
      <w:proofErr w:type="spellStart"/>
      <w:r w:rsidRPr="00374AD1">
        <w:rPr>
          <w:rFonts w:ascii="Book Antiqua" w:eastAsia="宋体" w:hAnsi="Book Antiqua" w:cs="宋体"/>
          <w:color w:val="000000" w:themeColor="text1"/>
        </w:rPr>
        <w:t>Pekow</w:t>
      </w:r>
      <w:proofErr w:type="spellEnd"/>
      <w:r w:rsidRPr="00374AD1">
        <w:rPr>
          <w:rFonts w:ascii="Book Antiqua" w:eastAsia="宋体" w:hAnsi="Book Antiqua" w:cs="宋体" w:hint="eastAsia"/>
          <w:color w:val="000000" w:themeColor="text1"/>
        </w:rPr>
        <w:t xml:space="preserve"> J</w:t>
      </w:r>
      <w:r w:rsidRPr="00374AD1">
        <w:rPr>
          <w:rFonts w:ascii="Book Antiqua" w:eastAsia="宋体" w:hAnsi="Book Antiqua" w:cs="宋体"/>
          <w:color w:val="000000" w:themeColor="text1"/>
        </w:rPr>
        <w:t xml:space="preserve">, </w:t>
      </w:r>
      <w:proofErr w:type="spellStart"/>
      <w:r w:rsidRPr="00374AD1">
        <w:rPr>
          <w:rFonts w:ascii="Book Antiqua" w:eastAsia="宋体" w:hAnsi="Book Antiqua" w:cs="宋体"/>
          <w:color w:val="000000" w:themeColor="text1"/>
        </w:rPr>
        <w:t>Sadiq</w:t>
      </w:r>
      <w:proofErr w:type="spellEnd"/>
      <w:r w:rsidRPr="00374AD1">
        <w:rPr>
          <w:rFonts w:ascii="Book Antiqua" w:eastAsia="宋体" w:hAnsi="Book Antiqua" w:cs="宋体" w:hint="eastAsia"/>
          <w:color w:val="000000" w:themeColor="text1"/>
        </w:rPr>
        <w:t xml:space="preserve"> F</w:t>
      </w:r>
      <w:r w:rsidRPr="00374AD1">
        <w:rPr>
          <w:rFonts w:ascii="Book Antiqua" w:eastAsia="宋体" w:hAnsi="Book Antiqua" w:cs="宋体"/>
          <w:color w:val="000000" w:themeColor="text1"/>
        </w:rPr>
        <w:t xml:space="preserve">, </w:t>
      </w:r>
      <w:proofErr w:type="spellStart"/>
      <w:r w:rsidRPr="00374AD1">
        <w:rPr>
          <w:rFonts w:ascii="Book Antiqua" w:eastAsia="宋体" w:hAnsi="Book Antiqua" w:cs="宋体"/>
          <w:color w:val="000000" w:themeColor="text1"/>
        </w:rPr>
        <w:t>Haider</w:t>
      </w:r>
      <w:proofErr w:type="spellEnd"/>
      <w:r w:rsidRPr="00374AD1">
        <w:rPr>
          <w:rFonts w:ascii="Book Antiqua" w:eastAsia="宋体" w:hAnsi="Book Antiqua" w:cs="宋体" w:hint="eastAsia"/>
          <w:color w:val="000000" w:themeColor="text1"/>
        </w:rPr>
        <w:t xml:space="preserve"> HI</w:t>
      </w:r>
      <w:r w:rsidRPr="00374AD1">
        <w:rPr>
          <w:rFonts w:ascii="Book Antiqua" w:eastAsia="宋体" w:hAnsi="Book Antiqua" w:cs="宋体"/>
          <w:color w:val="000000" w:themeColor="text1"/>
        </w:rPr>
        <w:t xml:space="preserve">, </w:t>
      </w:r>
      <w:proofErr w:type="spellStart"/>
      <w:r w:rsidRPr="00374AD1">
        <w:rPr>
          <w:rFonts w:ascii="Book Antiqua" w:eastAsia="宋体" w:hAnsi="Book Antiqua" w:cs="宋体"/>
          <w:color w:val="000000" w:themeColor="text1"/>
        </w:rPr>
        <w:t>Adhikari</w:t>
      </w:r>
      <w:proofErr w:type="spellEnd"/>
      <w:r w:rsidRPr="00374AD1">
        <w:rPr>
          <w:rFonts w:ascii="Book Antiqua" w:eastAsia="宋体" w:hAnsi="Book Antiqua" w:cs="宋体" w:hint="eastAsia"/>
          <w:color w:val="000000" w:themeColor="text1"/>
        </w:rPr>
        <w:t xml:space="preserve"> S</w:t>
      </w:r>
      <w:r w:rsidRPr="00374AD1">
        <w:rPr>
          <w:rFonts w:ascii="Book Antiqua" w:eastAsia="宋体" w:hAnsi="Book Antiqua" w:cs="宋体"/>
          <w:color w:val="000000" w:themeColor="text1"/>
        </w:rPr>
        <w:t>, Hart</w:t>
      </w:r>
      <w:r w:rsidRPr="00374AD1">
        <w:rPr>
          <w:rFonts w:ascii="Book Antiqua" w:eastAsia="宋体" w:hAnsi="Book Antiqua" w:cs="宋体" w:hint="eastAsia"/>
          <w:color w:val="000000" w:themeColor="text1"/>
        </w:rPr>
        <w:t xml:space="preserve"> J</w:t>
      </w:r>
      <w:r w:rsidRPr="00374AD1">
        <w:rPr>
          <w:rFonts w:ascii="Book Antiqua" w:eastAsia="宋体" w:hAnsi="Book Antiqua" w:cs="宋体"/>
          <w:color w:val="000000" w:themeColor="text1"/>
        </w:rPr>
        <w:t>, Joseph</w:t>
      </w:r>
      <w:r w:rsidRPr="00374AD1">
        <w:rPr>
          <w:rFonts w:ascii="Book Antiqua" w:eastAsia="宋体" w:hAnsi="Book Antiqua" w:cs="宋体" w:hint="eastAsia"/>
          <w:color w:val="000000" w:themeColor="text1"/>
        </w:rPr>
        <w:t xml:space="preserve"> L</w:t>
      </w:r>
      <w:r w:rsidRPr="00374AD1">
        <w:rPr>
          <w:rFonts w:ascii="Book Antiqua" w:eastAsia="宋体" w:hAnsi="Book Antiqua" w:cs="宋体"/>
          <w:color w:val="000000" w:themeColor="text1"/>
        </w:rPr>
        <w:t>, Li</w:t>
      </w:r>
      <w:r w:rsidRPr="00374AD1">
        <w:rPr>
          <w:rFonts w:ascii="Book Antiqua" w:eastAsia="宋体" w:hAnsi="Book Antiqua" w:cs="宋体" w:hint="eastAsia"/>
          <w:color w:val="000000" w:themeColor="text1"/>
        </w:rPr>
        <w:t xml:space="preserve"> YC</w:t>
      </w:r>
      <w:r w:rsidRPr="00374AD1">
        <w:rPr>
          <w:rFonts w:ascii="Book Antiqua" w:eastAsia="宋体" w:hAnsi="Book Antiqua" w:cs="宋体"/>
          <w:color w:val="000000" w:themeColor="text1"/>
        </w:rPr>
        <w:t xml:space="preserve">, </w:t>
      </w:r>
      <w:proofErr w:type="spellStart"/>
      <w:r w:rsidRPr="00374AD1">
        <w:rPr>
          <w:rFonts w:ascii="Book Antiqua" w:eastAsia="宋体" w:hAnsi="Book Antiqua" w:cs="宋体"/>
          <w:color w:val="000000" w:themeColor="text1"/>
        </w:rPr>
        <w:t>Bissonnette</w:t>
      </w:r>
      <w:proofErr w:type="spellEnd"/>
      <w:r w:rsidRPr="00374AD1">
        <w:rPr>
          <w:rFonts w:ascii="Book Antiqua" w:eastAsia="宋体" w:hAnsi="Book Antiqua" w:cs="宋体" w:hint="eastAsia"/>
          <w:color w:val="000000" w:themeColor="text1"/>
        </w:rPr>
        <w:t xml:space="preserve"> M. </w:t>
      </w:r>
      <w:r w:rsidRPr="007C570D">
        <w:rPr>
          <w:rFonts w:ascii="Book Antiqua" w:eastAsia="宋体" w:hAnsi="Book Antiqua" w:cs="宋体"/>
          <w:color w:val="000000" w:themeColor="text1"/>
        </w:rPr>
        <w:t xml:space="preserve">Western diet up-regulates ADAM17, a key meditator of EGFR signaling via activation of colonic renin-angiotensin system and inhibition of miR-145,-148a and -152. </w:t>
      </w:r>
      <w:r w:rsidRPr="007C570D">
        <w:rPr>
          <w:rFonts w:ascii="Book Antiqua" w:eastAsia="宋体" w:hAnsi="Book Antiqua" w:cs="宋体"/>
          <w:i/>
          <w:color w:val="000000" w:themeColor="text1"/>
        </w:rPr>
        <w:t>Gastroenterology</w:t>
      </w:r>
      <w:r w:rsidRPr="007C570D">
        <w:rPr>
          <w:rFonts w:ascii="Book Antiqua" w:eastAsia="宋体" w:hAnsi="Book Antiqua" w:cs="宋体"/>
          <w:color w:val="000000" w:themeColor="text1"/>
        </w:rPr>
        <w:t xml:space="preserve"> 2015</w:t>
      </w:r>
      <w:r w:rsidRPr="00374AD1">
        <w:rPr>
          <w:rFonts w:ascii="Book Antiqua" w:eastAsia="宋体" w:hAnsi="Book Antiqua" w:cs="宋体" w:hint="eastAsia"/>
          <w:color w:val="000000" w:themeColor="text1"/>
        </w:rPr>
        <w:t>;</w:t>
      </w:r>
      <w:r w:rsidRPr="007C570D">
        <w:rPr>
          <w:rFonts w:ascii="Book Antiqua" w:eastAsia="宋体" w:hAnsi="Book Antiqua" w:cs="宋体"/>
          <w:color w:val="000000" w:themeColor="text1"/>
        </w:rPr>
        <w:t xml:space="preserve"> </w:t>
      </w:r>
      <w:r w:rsidRPr="00374AD1">
        <w:rPr>
          <w:rFonts w:ascii="Book Antiqua" w:eastAsia="宋体" w:hAnsi="Book Antiqua" w:cs="宋体" w:hint="eastAsia"/>
          <w:b/>
          <w:color w:val="000000" w:themeColor="text1"/>
        </w:rPr>
        <w:t>148</w:t>
      </w:r>
      <w:r w:rsidRPr="00374AD1">
        <w:rPr>
          <w:rFonts w:ascii="Book Antiqua" w:eastAsia="宋体" w:hAnsi="Book Antiqua" w:cs="宋体" w:hint="eastAsia"/>
          <w:color w:val="000000" w:themeColor="text1"/>
        </w:rPr>
        <w:t xml:space="preserve">: S-99 </w:t>
      </w:r>
      <w:r w:rsidRPr="007C570D">
        <w:rPr>
          <w:rFonts w:ascii="Book Antiqua" w:eastAsia="宋体" w:hAnsi="Book Antiqua" w:cs="宋体"/>
          <w:color w:val="000000" w:themeColor="text1"/>
        </w:rPr>
        <w:t xml:space="preserve">[DOI: 10.1016/S0016-5085(15)30338-3] </w:t>
      </w:r>
    </w:p>
    <w:p w14:paraId="2D5D295C"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29 </w:t>
      </w:r>
      <w:proofErr w:type="spellStart"/>
      <w:r w:rsidRPr="007C570D">
        <w:rPr>
          <w:rFonts w:ascii="Book Antiqua" w:eastAsia="宋体" w:hAnsi="Book Antiqua" w:cs="宋体"/>
          <w:b/>
          <w:bCs/>
          <w:color w:val="000000" w:themeColor="text1"/>
        </w:rPr>
        <w:t>Blanchot-Jossic</w:t>
      </w:r>
      <w:proofErr w:type="spellEnd"/>
      <w:r w:rsidRPr="007C570D">
        <w:rPr>
          <w:rFonts w:ascii="Book Antiqua" w:eastAsia="宋体" w:hAnsi="Book Antiqua" w:cs="宋体"/>
          <w:b/>
          <w:bCs/>
          <w:color w:val="000000" w:themeColor="text1"/>
        </w:rPr>
        <w:t xml:space="preserve"> F</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Jarry</w:t>
      </w:r>
      <w:proofErr w:type="spellEnd"/>
      <w:r w:rsidRPr="007C570D">
        <w:rPr>
          <w:rFonts w:ascii="Book Antiqua" w:eastAsia="宋体" w:hAnsi="Book Antiqua" w:cs="宋体"/>
          <w:color w:val="000000" w:themeColor="text1"/>
        </w:rPr>
        <w:t xml:space="preserve"> A, Masson D, Bach-</w:t>
      </w:r>
      <w:proofErr w:type="spellStart"/>
      <w:r w:rsidRPr="007C570D">
        <w:rPr>
          <w:rFonts w:ascii="Book Antiqua" w:eastAsia="宋体" w:hAnsi="Book Antiqua" w:cs="宋体"/>
          <w:color w:val="000000" w:themeColor="text1"/>
        </w:rPr>
        <w:t>Ngohou</w:t>
      </w:r>
      <w:proofErr w:type="spellEnd"/>
      <w:r w:rsidRPr="007C570D">
        <w:rPr>
          <w:rFonts w:ascii="Book Antiqua" w:eastAsia="宋体" w:hAnsi="Book Antiqua" w:cs="宋体"/>
          <w:color w:val="000000" w:themeColor="text1"/>
        </w:rPr>
        <w:t xml:space="preserve"> K, </w:t>
      </w:r>
      <w:proofErr w:type="spellStart"/>
      <w:r w:rsidRPr="007C570D">
        <w:rPr>
          <w:rFonts w:ascii="Book Antiqua" w:eastAsia="宋体" w:hAnsi="Book Antiqua" w:cs="宋体"/>
          <w:color w:val="000000" w:themeColor="text1"/>
        </w:rPr>
        <w:t>Paineau</w:t>
      </w:r>
      <w:proofErr w:type="spellEnd"/>
      <w:r w:rsidRPr="007C570D">
        <w:rPr>
          <w:rFonts w:ascii="Book Antiqua" w:eastAsia="宋体" w:hAnsi="Book Antiqua" w:cs="宋体"/>
          <w:color w:val="000000" w:themeColor="text1"/>
        </w:rPr>
        <w:t xml:space="preserve"> J, Denis MG, </w:t>
      </w:r>
      <w:proofErr w:type="spellStart"/>
      <w:r w:rsidRPr="007C570D">
        <w:rPr>
          <w:rFonts w:ascii="Book Antiqua" w:eastAsia="宋体" w:hAnsi="Book Antiqua" w:cs="宋体"/>
          <w:color w:val="000000" w:themeColor="text1"/>
        </w:rPr>
        <w:t>Laboisse</w:t>
      </w:r>
      <w:proofErr w:type="spellEnd"/>
      <w:r w:rsidRPr="007C570D">
        <w:rPr>
          <w:rFonts w:ascii="Book Antiqua" w:eastAsia="宋体" w:hAnsi="Book Antiqua" w:cs="宋体"/>
          <w:color w:val="000000" w:themeColor="text1"/>
        </w:rPr>
        <w:t xml:space="preserve"> CL, </w:t>
      </w:r>
      <w:proofErr w:type="spellStart"/>
      <w:r w:rsidRPr="007C570D">
        <w:rPr>
          <w:rFonts w:ascii="Book Antiqua" w:eastAsia="宋体" w:hAnsi="Book Antiqua" w:cs="宋体"/>
          <w:color w:val="000000" w:themeColor="text1"/>
        </w:rPr>
        <w:t>Mosnier</w:t>
      </w:r>
      <w:proofErr w:type="spellEnd"/>
      <w:r w:rsidRPr="007C570D">
        <w:rPr>
          <w:rFonts w:ascii="Book Antiqua" w:eastAsia="宋体" w:hAnsi="Book Antiqua" w:cs="宋体"/>
          <w:color w:val="000000" w:themeColor="text1"/>
        </w:rPr>
        <w:t xml:space="preserve"> JF. Up-regulated expression of ADAM17 in human colon carcinoma: co-expression with EGFR in neoplastic and endothelial cells.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Pathol</w:t>
      </w:r>
      <w:proofErr w:type="spellEnd"/>
      <w:r w:rsidRPr="007C570D">
        <w:rPr>
          <w:rFonts w:ascii="Book Antiqua" w:eastAsia="宋体" w:hAnsi="Book Antiqua" w:cs="宋体"/>
          <w:color w:val="000000" w:themeColor="text1"/>
        </w:rPr>
        <w:t xml:space="preserve"> 2005; </w:t>
      </w:r>
      <w:r w:rsidRPr="007C570D">
        <w:rPr>
          <w:rFonts w:ascii="Book Antiqua" w:eastAsia="宋体" w:hAnsi="Book Antiqua" w:cs="宋体"/>
          <w:b/>
          <w:bCs/>
          <w:color w:val="000000" w:themeColor="text1"/>
        </w:rPr>
        <w:t>207</w:t>
      </w:r>
      <w:r w:rsidRPr="007C570D">
        <w:rPr>
          <w:rFonts w:ascii="Book Antiqua" w:eastAsia="宋体" w:hAnsi="Book Antiqua" w:cs="宋体"/>
          <w:color w:val="000000" w:themeColor="text1"/>
        </w:rPr>
        <w:t>: 156-163 [PMID: 16041691 DOI: 10.1002/path.1814]</w:t>
      </w:r>
    </w:p>
    <w:p w14:paraId="6A0877A0"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lastRenderedPageBreak/>
        <w:t xml:space="preserve">30 </w:t>
      </w:r>
      <w:r w:rsidRPr="007C570D">
        <w:rPr>
          <w:rFonts w:ascii="Book Antiqua" w:eastAsia="宋体" w:hAnsi="Book Antiqua" w:cs="宋体"/>
          <w:b/>
          <w:bCs/>
          <w:color w:val="000000" w:themeColor="text1"/>
        </w:rPr>
        <w:t>Barber TD</w:t>
      </w:r>
      <w:r w:rsidRPr="007C570D">
        <w:rPr>
          <w:rFonts w:ascii="Book Antiqua" w:eastAsia="宋体" w:hAnsi="Book Antiqua" w:cs="宋体"/>
          <w:color w:val="000000" w:themeColor="text1"/>
        </w:rPr>
        <w:t xml:space="preserve">, Vogelstein B, </w:t>
      </w:r>
      <w:proofErr w:type="spellStart"/>
      <w:r w:rsidRPr="007C570D">
        <w:rPr>
          <w:rFonts w:ascii="Book Antiqua" w:eastAsia="宋体" w:hAnsi="Book Antiqua" w:cs="宋体"/>
          <w:color w:val="000000" w:themeColor="text1"/>
        </w:rPr>
        <w:t>Kinzler</w:t>
      </w:r>
      <w:proofErr w:type="spellEnd"/>
      <w:r w:rsidRPr="007C570D">
        <w:rPr>
          <w:rFonts w:ascii="Book Antiqua" w:eastAsia="宋体" w:hAnsi="Book Antiqua" w:cs="宋体"/>
          <w:color w:val="000000" w:themeColor="text1"/>
        </w:rPr>
        <w:t xml:space="preserve"> KW, </w:t>
      </w:r>
      <w:proofErr w:type="spellStart"/>
      <w:r w:rsidRPr="007C570D">
        <w:rPr>
          <w:rFonts w:ascii="Book Antiqua" w:eastAsia="宋体" w:hAnsi="Book Antiqua" w:cs="宋体"/>
          <w:color w:val="000000" w:themeColor="text1"/>
        </w:rPr>
        <w:t>Velculescu</w:t>
      </w:r>
      <w:proofErr w:type="spellEnd"/>
      <w:r w:rsidRPr="007C570D">
        <w:rPr>
          <w:rFonts w:ascii="Book Antiqua" w:eastAsia="宋体" w:hAnsi="Book Antiqua" w:cs="宋体"/>
          <w:color w:val="000000" w:themeColor="text1"/>
        </w:rPr>
        <w:t xml:space="preserve"> VE. </w:t>
      </w:r>
      <w:proofErr w:type="gramStart"/>
      <w:r w:rsidRPr="007C570D">
        <w:rPr>
          <w:rFonts w:ascii="Book Antiqua" w:eastAsia="宋体" w:hAnsi="Book Antiqua" w:cs="宋体"/>
          <w:color w:val="000000" w:themeColor="text1"/>
        </w:rPr>
        <w:t>Somatic mutations of EGFR in colorectal cancers and glioblastomas.</w:t>
      </w:r>
      <w:proofErr w:type="gram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 xml:space="preserve">N </w:t>
      </w:r>
      <w:proofErr w:type="spellStart"/>
      <w:r w:rsidRPr="007C570D">
        <w:rPr>
          <w:rFonts w:ascii="Book Antiqua" w:eastAsia="宋体" w:hAnsi="Book Antiqua" w:cs="宋体"/>
          <w:i/>
          <w:iCs/>
          <w:color w:val="000000" w:themeColor="text1"/>
        </w:rPr>
        <w:t>Engl</w:t>
      </w:r>
      <w:proofErr w:type="spellEnd"/>
      <w:r w:rsidRPr="007C570D">
        <w:rPr>
          <w:rFonts w:ascii="Book Antiqua" w:eastAsia="宋体" w:hAnsi="Book Antiqua" w:cs="宋体"/>
          <w:i/>
          <w:iCs/>
          <w:color w:val="000000" w:themeColor="text1"/>
        </w:rPr>
        <w:t xml:space="preserve"> J Med</w:t>
      </w:r>
      <w:r w:rsidRPr="007C570D">
        <w:rPr>
          <w:rFonts w:ascii="Book Antiqua" w:eastAsia="宋体" w:hAnsi="Book Antiqua" w:cs="宋体"/>
          <w:color w:val="000000" w:themeColor="text1"/>
        </w:rPr>
        <w:t xml:space="preserve"> 2004; </w:t>
      </w:r>
      <w:r w:rsidRPr="007C570D">
        <w:rPr>
          <w:rFonts w:ascii="Book Antiqua" w:eastAsia="宋体" w:hAnsi="Book Antiqua" w:cs="宋体"/>
          <w:b/>
          <w:bCs/>
          <w:color w:val="000000" w:themeColor="text1"/>
        </w:rPr>
        <w:t>351</w:t>
      </w:r>
      <w:r w:rsidRPr="007C570D">
        <w:rPr>
          <w:rFonts w:ascii="Book Antiqua" w:eastAsia="宋体" w:hAnsi="Book Antiqua" w:cs="宋体"/>
          <w:color w:val="000000" w:themeColor="text1"/>
        </w:rPr>
        <w:t>: 2883 [PMID: 15625347 DOI: 10.1056/NEJM200412303512724]</w:t>
      </w:r>
    </w:p>
    <w:p w14:paraId="61E220B8"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31 </w:t>
      </w:r>
      <w:r w:rsidRPr="007C570D">
        <w:rPr>
          <w:rFonts w:ascii="Book Antiqua" w:eastAsia="宋体" w:hAnsi="Book Antiqua" w:cs="宋体"/>
          <w:b/>
          <w:bCs/>
          <w:color w:val="000000" w:themeColor="text1"/>
        </w:rPr>
        <w:t>He TC</w:t>
      </w:r>
      <w:r w:rsidRPr="007C570D">
        <w:rPr>
          <w:rFonts w:ascii="Book Antiqua" w:eastAsia="宋体" w:hAnsi="Book Antiqua" w:cs="宋体"/>
          <w:color w:val="000000" w:themeColor="text1"/>
        </w:rPr>
        <w:t xml:space="preserve">, Sparks AB, </w:t>
      </w:r>
      <w:proofErr w:type="spellStart"/>
      <w:r w:rsidRPr="007C570D">
        <w:rPr>
          <w:rFonts w:ascii="Book Antiqua" w:eastAsia="宋体" w:hAnsi="Book Antiqua" w:cs="宋体"/>
          <w:color w:val="000000" w:themeColor="text1"/>
        </w:rPr>
        <w:t>Rago</w:t>
      </w:r>
      <w:proofErr w:type="spellEnd"/>
      <w:r w:rsidRPr="007C570D">
        <w:rPr>
          <w:rFonts w:ascii="Book Antiqua" w:eastAsia="宋体" w:hAnsi="Book Antiqua" w:cs="宋体"/>
          <w:color w:val="000000" w:themeColor="text1"/>
        </w:rPr>
        <w:t xml:space="preserve"> C, </w:t>
      </w:r>
      <w:proofErr w:type="spellStart"/>
      <w:r w:rsidRPr="007C570D">
        <w:rPr>
          <w:rFonts w:ascii="Book Antiqua" w:eastAsia="宋体" w:hAnsi="Book Antiqua" w:cs="宋体"/>
          <w:color w:val="000000" w:themeColor="text1"/>
        </w:rPr>
        <w:t>Hermeking</w:t>
      </w:r>
      <w:proofErr w:type="spellEnd"/>
      <w:r w:rsidRPr="007C570D">
        <w:rPr>
          <w:rFonts w:ascii="Book Antiqua" w:eastAsia="宋体" w:hAnsi="Book Antiqua" w:cs="宋体"/>
          <w:color w:val="000000" w:themeColor="text1"/>
        </w:rPr>
        <w:t xml:space="preserve"> H, </w:t>
      </w:r>
      <w:proofErr w:type="spellStart"/>
      <w:r w:rsidRPr="007C570D">
        <w:rPr>
          <w:rFonts w:ascii="Book Antiqua" w:eastAsia="宋体" w:hAnsi="Book Antiqua" w:cs="宋体"/>
          <w:color w:val="000000" w:themeColor="text1"/>
        </w:rPr>
        <w:t>Zawel</w:t>
      </w:r>
      <w:proofErr w:type="spellEnd"/>
      <w:r w:rsidRPr="007C570D">
        <w:rPr>
          <w:rFonts w:ascii="Book Antiqua" w:eastAsia="宋体" w:hAnsi="Book Antiqua" w:cs="宋体"/>
          <w:color w:val="000000" w:themeColor="text1"/>
        </w:rPr>
        <w:t xml:space="preserve"> L, da Costa LT, Morin PJ, Vogelstein B, </w:t>
      </w:r>
      <w:proofErr w:type="spellStart"/>
      <w:r w:rsidRPr="007C570D">
        <w:rPr>
          <w:rFonts w:ascii="Book Antiqua" w:eastAsia="宋体" w:hAnsi="Book Antiqua" w:cs="宋体"/>
          <w:color w:val="000000" w:themeColor="text1"/>
        </w:rPr>
        <w:t>Kinzler</w:t>
      </w:r>
      <w:proofErr w:type="spellEnd"/>
      <w:r w:rsidRPr="007C570D">
        <w:rPr>
          <w:rFonts w:ascii="Book Antiqua" w:eastAsia="宋体" w:hAnsi="Book Antiqua" w:cs="宋体"/>
          <w:color w:val="000000" w:themeColor="text1"/>
        </w:rPr>
        <w:t xml:space="preserve"> KW. </w:t>
      </w:r>
      <w:proofErr w:type="gramStart"/>
      <w:r w:rsidRPr="007C570D">
        <w:rPr>
          <w:rFonts w:ascii="Book Antiqua" w:eastAsia="宋体" w:hAnsi="Book Antiqua" w:cs="宋体"/>
          <w:color w:val="000000" w:themeColor="text1"/>
        </w:rPr>
        <w:t>Identification of c-MYC as a target of the APC pathway.</w:t>
      </w:r>
      <w:proofErr w:type="gram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Science</w:t>
      </w:r>
      <w:r w:rsidRPr="007C570D">
        <w:rPr>
          <w:rFonts w:ascii="Book Antiqua" w:eastAsia="宋体" w:hAnsi="Book Antiqua" w:cs="宋体"/>
          <w:color w:val="000000" w:themeColor="text1"/>
        </w:rPr>
        <w:t xml:space="preserve"> 1998; </w:t>
      </w:r>
      <w:r w:rsidRPr="007C570D">
        <w:rPr>
          <w:rFonts w:ascii="Book Antiqua" w:eastAsia="宋体" w:hAnsi="Book Antiqua" w:cs="宋体"/>
          <w:b/>
          <w:bCs/>
          <w:color w:val="000000" w:themeColor="text1"/>
        </w:rPr>
        <w:t>281</w:t>
      </w:r>
      <w:r w:rsidRPr="007C570D">
        <w:rPr>
          <w:rFonts w:ascii="Book Antiqua" w:eastAsia="宋体" w:hAnsi="Book Antiqua" w:cs="宋体"/>
          <w:color w:val="000000" w:themeColor="text1"/>
        </w:rPr>
        <w:t>: 1509-1512 [PMID: 9727977 DOI: 10.1126/science.281.5382.1509]</w:t>
      </w:r>
    </w:p>
    <w:p w14:paraId="3B0E2CC1"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32 </w:t>
      </w:r>
      <w:r w:rsidRPr="007C570D">
        <w:rPr>
          <w:rFonts w:ascii="Book Antiqua" w:eastAsia="宋体" w:hAnsi="Book Antiqua" w:cs="宋体"/>
          <w:b/>
          <w:bCs/>
          <w:color w:val="000000" w:themeColor="text1"/>
        </w:rPr>
        <w:t>Araki Y</w:t>
      </w:r>
      <w:r w:rsidRPr="007C570D">
        <w:rPr>
          <w:rFonts w:ascii="Book Antiqua" w:eastAsia="宋体" w:hAnsi="Book Antiqua" w:cs="宋体"/>
          <w:color w:val="000000" w:themeColor="text1"/>
        </w:rPr>
        <w:t xml:space="preserve">, Okamura S, Hussain SP, </w:t>
      </w:r>
      <w:proofErr w:type="spellStart"/>
      <w:r w:rsidRPr="007C570D">
        <w:rPr>
          <w:rFonts w:ascii="Book Antiqua" w:eastAsia="宋体" w:hAnsi="Book Antiqua" w:cs="宋体"/>
          <w:color w:val="000000" w:themeColor="text1"/>
        </w:rPr>
        <w:t>Nagashima</w:t>
      </w:r>
      <w:proofErr w:type="spellEnd"/>
      <w:r w:rsidRPr="007C570D">
        <w:rPr>
          <w:rFonts w:ascii="Book Antiqua" w:eastAsia="宋体" w:hAnsi="Book Antiqua" w:cs="宋体"/>
          <w:color w:val="000000" w:themeColor="text1"/>
        </w:rPr>
        <w:t xml:space="preserve"> M, He P, </w:t>
      </w:r>
      <w:proofErr w:type="spellStart"/>
      <w:r w:rsidRPr="007C570D">
        <w:rPr>
          <w:rFonts w:ascii="Book Antiqua" w:eastAsia="宋体" w:hAnsi="Book Antiqua" w:cs="宋体"/>
          <w:color w:val="000000" w:themeColor="text1"/>
        </w:rPr>
        <w:t>Shiseki</w:t>
      </w:r>
      <w:proofErr w:type="spellEnd"/>
      <w:r w:rsidRPr="007C570D">
        <w:rPr>
          <w:rFonts w:ascii="Book Antiqua" w:eastAsia="宋体" w:hAnsi="Book Antiqua" w:cs="宋体"/>
          <w:color w:val="000000" w:themeColor="text1"/>
        </w:rPr>
        <w:t xml:space="preserve"> M, Miura K, Harris CC. Regulation of cyclooxygenase-2 expression by the </w:t>
      </w:r>
      <w:proofErr w:type="spellStart"/>
      <w:r w:rsidRPr="007C570D">
        <w:rPr>
          <w:rFonts w:ascii="Book Antiqua" w:eastAsia="宋体" w:hAnsi="Book Antiqua" w:cs="宋体"/>
          <w:color w:val="000000" w:themeColor="text1"/>
        </w:rPr>
        <w:t>Wnt</w:t>
      </w:r>
      <w:proofErr w:type="spellEnd"/>
      <w:r w:rsidRPr="007C570D">
        <w:rPr>
          <w:rFonts w:ascii="Book Antiqua" w:eastAsia="宋体" w:hAnsi="Book Antiqua" w:cs="宋体"/>
          <w:color w:val="000000" w:themeColor="text1"/>
        </w:rPr>
        <w:t xml:space="preserve"> and </w:t>
      </w:r>
      <w:proofErr w:type="spellStart"/>
      <w:r w:rsidRPr="007C570D">
        <w:rPr>
          <w:rFonts w:ascii="Book Antiqua" w:eastAsia="宋体" w:hAnsi="Book Antiqua" w:cs="宋体"/>
          <w:color w:val="000000" w:themeColor="text1"/>
        </w:rPr>
        <w:t>ras</w:t>
      </w:r>
      <w:proofErr w:type="spellEnd"/>
      <w:r w:rsidRPr="007C570D">
        <w:rPr>
          <w:rFonts w:ascii="Book Antiqua" w:eastAsia="宋体" w:hAnsi="Book Antiqua" w:cs="宋体"/>
          <w:color w:val="000000" w:themeColor="text1"/>
        </w:rPr>
        <w:t xml:space="preserve"> pathways. </w:t>
      </w:r>
      <w:r w:rsidRPr="007C570D">
        <w:rPr>
          <w:rFonts w:ascii="Book Antiqua" w:eastAsia="宋体" w:hAnsi="Book Antiqua" w:cs="宋体"/>
          <w:i/>
          <w:iCs/>
          <w:color w:val="000000" w:themeColor="text1"/>
        </w:rPr>
        <w:t>Cancer Res</w:t>
      </w:r>
      <w:r w:rsidRPr="007C570D">
        <w:rPr>
          <w:rFonts w:ascii="Book Antiqua" w:eastAsia="宋体" w:hAnsi="Book Antiqua" w:cs="宋体"/>
          <w:color w:val="000000" w:themeColor="text1"/>
        </w:rPr>
        <w:t xml:space="preserve"> 2003; </w:t>
      </w:r>
      <w:r w:rsidRPr="007C570D">
        <w:rPr>
          <w:rFonts w:ascii="Book Antiqua" w:eastAsia="宋体" w:hAnsi="Book Antiqua" w:cs="宋体"/>
          <w:b/>
          <w:bCs/>
          <w:color w:val="000000" w:themeColor="text1"/>
        </w:rPr>
        <w:t>63</w:t>
      </w:r>
      <w:r w:rsidRPr="007C570D">
        <w:rPr>
          <w:rFonts w:ascii="Book Antiqua" w:eastAsia="宋体" w:hAnsi="Book Antiqua" w:cs="宋体"/>
          <w:color w:val="000000" w:themeColor="text1"/>
        </w:rPr>
        <w:t>: 728-734 [PMID: 12566320]</w:t>
      </w:r>
    </w:p>
    <w:p w14:paraId="29D7AFE5"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33 </w:t>
      </w:r>
      <w:proofErr w:type="spellStart"/>
      <w:r w:rsidRPr="007C570D">
        <w:rPr>
          <w:rFonts w:ascii="Book Antiqua" w:eastAsia="宋体" w:hAnsi="Book Antiqua" w:cs="宋体"/>
          <w:b/>
          <w:bCs/>
          <w:color w:val="000000" w:themeColor="text1"/>
        </w:rPr>
        <w:t>Tetsu</w:t>
      </w:r>
      <w:proofErr w:type="spellEnd"/>
      <w:r w:rsidRPr="007C570D">
        <w:rPr>
          <w:rFonts w:ascii="Book Antiqua" w:eastAsia="宋体" w:hAnsi="Book Antiqua" w:cs="宋体"/>
          <w:b/>
          <w:bCs/>
          <w:color w:val="000000" w:themeColor="text1"/>
        </w:rPr>
        <w:t xml:space="preserve"> O</w:t>
      </w:r>
      <w:r w:rsidRPr="007C570D">
        <w:rPr>
          <w:rFonts w:ascii="Book Antiqua" w:eastAsia="宋体" w:hAnsi="Book Antiqua" w:cs="宋体"/>
          <w:color w:val="000000" w:themeColor="text1"/>
        </w:rPr>
        <w:t xml:space="preserve">, McCormick F. Beta-catenin regulates expression of cyclin D1 in colon carcinoma cells. </w:t>
      </w:r>
      <w:r w:rsidRPr="007C570D">
        <w:rPr>
          <w:rFonts w:ascii="Book Antiqua" w:eastAsia="宋体" w:hAnsi="Book Antiqua" w:cs="宋体"/>
          <w:i/>
          <w:iCs/>
          <w:color w:val="000000" w:themeColor="text1"/>
        </w:rPr>
        <w:t>Nature</w:t>
      </w:r>
      <w:r w:rsidRPr="007C570D">
        <w:rPr>
          <w:rFonts w:ascii="Book Antiqua" w:eastAsia="宋体" w:hAnsi="Book Antiqua" w:cs="宋体"/>
          <w:color w:val="000000" w:themeColor="text1"/>
        </w:rPr>
        <w:t xml:space="preserve"> 1999; </w:t>
      </w:r>
      <w:r w:rsidRPr="007C570D">
        <w:rPr>
          <w:rFonts w:ascii="Book Antiqua" w:eastAsia="宋体" w:hAnsi="Book Antiqua" w:cs="宋体"/>
          <w:b/>
          <w:bCs/>
          <w:color w:val="000000" w:themeColor="text1"/>
        </w:rPr>
        <w:t>398</w:t>
      </w:r>
      <w:r w:rsidRPr="007C570D">
        <w:rPr>
          <w:rFonts w:ascii="Book Antiqua" w:eastAsia="宋体" w:hAnsi="Book Antiqua" w:cs="宋体"/>
          <w:color w:val="000000" w:themeColor="text1"/>
        </w:rPr>
        <w:t>: 422-426 [PMID: 10201372 DOI: 10.1038/18884]</w:t>
      </w:r>
    </w:p>
    <w:p w14:paraId="5283BE7B"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34 </w:t>
      </w:r>
      <w:r w:rsidRPr="007C570D">
        <w:rPr>
          <w:rFonts w:ascii="Book Antiqua" w:eastAsia="宋体" w:hAnsi="Book Antiqua" w:cs="宋体"/>
          <w:b/>
          <w:bCs/>
          <w:color w:val="000000" w:themeColor="text1"/>
        </w:rPr>
        <w:t>Li Y</w:t>
      </w:r>
      <w:r w:rsidRPr="007C570D">
        <w:rPr>
          <w:rFonts w:ascii="Book Antiqua" w:eastAsia="宋体" w:hAnsi="Book Antiqua" w:cs="宋体"/>
          <w:color w:val="000000" w:themeColor="text1"/>
        </w:rPr>
        <w:t xml:space="preserve">, Zhang X, </w:t>
      </w:r>
      <w:proofErr w:type="spellStart"/>
      <w:r w:rsidRPr="007C570D">
        <w:rPr>
          <w:rFonts w:ascii="Book Antiqua" w:eastAsia="宋体" w:hAnsi="Book Antiqua" w:cs="宋体"/>
          <w:color w:val="000000" w:themeColor="text1"/>
        </w:rPr>
        <w:t>Polakiewicz</w:t>
      </w:r>
      <w:proofErr w:type="spellEnd"/>
      <w:r w:rsidRPr="007C570D">
        <w:rPr>
          <w:rFonts w:ascii="Book Antiqua" w:eastAsia="宋体" w:hAnsi="Book Antiqua" w:cs="宋体"/>
          <w:color w:val="000000" w:themeColor="text1"/>
        </w:rPr>
        <w:t xml:space="preserve"> RD, Yao TP, Comb MJ. HDAC6 is required for epidermal growth factor-induced beta-catenin nuclear localization.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Biol</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Chem</w:t>
      </w:r>
      <w:proofErr w:type="spellEnd"/>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283</w:t>
      </w:r>
      <w:r w:rsidRPr="007C570D">
        <w:rPr>
          <w:rFonts w:ascii="Book Antiqua" w:eastAsia="宋体" w:hAnsi="Book Antiqua" w:cs="宋体"/>
          <w:color w:val="000000" w:themeColor="text1"/>
        </w:rPr>
        <w:t>: 12686-12690 [PMID: 18356165 DOI: 10.1074/jbc.C700185200]</w:t>
      </w:r>
    </w:p>
    <w:p w14:paraId="232F49CE"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35 </w:t>
      </w:r>
      <w:proofErr w:type="spellStart"/>
      <w:r w:rsidRPr="007C570D">
        <w:rPr>
          <w:rFonts w:ascii="Book Antiqua" w:eastAsia="宋体" w:hAnsi="Book Antiqua" w:cs="宋体"/>
          <w:b/>
          <w:bCs/>
          <w:color w:val="000000" w:themeColor="text1"/>
        </w:rPr>
        <w:t>McGarr</w:t>
      </w:r>
      <w:proofErr w:type="spellEnd"/>
      <w:r w:rsidRPr="007C570D">
        <w:rPr>
          <w:rFonts w:ascii="Book Antiqua" w:eastAsia="宋体" w:hAnsi="Book Antiqua" w:cs="宋体"/>
          <w:b/>
          <w:bCs/>
          <w:color w:val="000000" w:themeColor="text1"/>
        </w:rPr>
        <w:t xml:space="preserve"> SE</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Ridlon</w:t>
      </w:r>
      <w:proofErr w:type="spellEnd"/>
      <w:r w:rsidRPr="007C570D">
        <w:rPr>
          <w:rFonts w:ascii="Book Antiqua" w:eastAsia="宋体" w:hAnsi="Book Antiqua" w:cs="宋体"/>
          <w:color w:val="000000" w:themeColor="text1"/>
        </w:rPr>
        <w:t xml:space="preserve"> JM, </w:t>
      </w:r>
      <w:proofErr w:type="spellStart"/>
      <w:r w:rsidRPr="007C570D">
        <w:rPr>
          <w:rFonts w:ascii="Book Antiqua" w:eastAsia="宋体" w:hAnsi="Book Antiqua" w:cs="宋体"/>
          <w:color w:val="000000" w:themeColor="text1"/>
        </w:rPr>
        <w:t>Hylemon</w:t>
      </w:r>
      <w:proofErr w:type="spellEnd"/>
      <w:r w:rsidRPr="007C570D">
        <w:rPr>
          <w:rFonts w:ascii="Book Antiqua" w:eastAsia="宋体" w:hAnsi="Book Antiqua" w:cs="宋体"/>
          <w:color w:val="000000" w:themeColor="text1"/>
        </w:rPr>
        <w:t xml:space="preserve"> PB. Diet, anaerobic bacterial metabolism, and colon cancer: a review of the literature.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Gastroenterol</w:t>
      </w:r>
      <w:proofErr w:type="spellEnd"/>
      <w:r w:rsidRPr="007C570D">
        <w:rPr>
          <w:rFonts w:ascii="Book Antiqua" w:eastAsia="宋体" w:hAnsi="Book Antiqua" w:cs="宋体"/>
          <w:color w:val="000000" w:themeColor="text1"/>
        </w:rPr>
        <w:t xml:space="preserve"> 2005; </w:t>
      </w:r>
      <w:r w:rsidRPr="007C570D">
        <w:rPr>
          <w:rFonts w:ascii="Book Antiqua" w:eastAsia="宋体" w:hAnsi="Book Antiqua" w:cs="宋体"/>
          <w:b/>
          <w:bCs/>
          <w:color w:val="000000" w:themeColor="text1"/>
        </w:rPr>
        <w:t>39</w:t>
      </w:r>
      <w:r w:rsidRPr="007C570D">
        <w:rPr>
          <w:rFonts w:ascii="Book Antiqua" w:eastAsia="宋体" w:hAnsi="Book Antiqua" w:cs="宋体"/>
          <w:color w:val="000000" w:themeColor="text1"/>
        </w:rPr>
        <w:t>: 98-109 [PMID: 15681903]</w:t>
      </w:r>
    </w:p>
    <w:p w14:paraId="682F247F"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36 </w:t>
      </w:r>
      <w:proofErr w:type="spellStart"/>
      <w:r w:rsidRPr="007C570D">
        <w:rPr>
          <w:rFonts w:ascii="Book Antiqua" w:eastAsia="宋体" w:hAnsi="Book Antiqua" w:cs="宋体"/>
          <w:b/>
          <w:bCs/>
          <w:color w:val="000000" w:themeColor="text1"/>
        </w:rPr>
        <w:t>Pollak</w:t>
      </w:r>
      <w:proofErr w:type="spellEnd"/>
      <w:r w:rsidRPr="007C570D">
        <w:rPr>
          <w:rFonts w:ascii="Book Antiqua" w:eastAsia="宋体" w:hAnsi="Book Antiqua" w:cs="宋体"/>
          <w:b/>
          <w:bCs/>
          <w:color w:val="000000" w:themeColor="text1"/>
        </w:rPr>
        <w:t xml:space="preserve"> M</w:t>
      </w:r>
      <w:r w:rsidRPr="007C570D">
        <w:rPr>
          <w:rFonts w:ascii="Book Antiqua" w:eastAsia="宋体" w:hAnsi="Book Antiqua" w:cs="宋体"/>
          <w:color w:val="000000" w:themeColor="text1"/>
        </w:rPr>
        <w:t xml:space="preserve">. Insulin and insulin-like growth factor </w:t>
      </w:r>
      <w:proofErr w:type="spellStart"/>
      <w:r w:rsidRPr="007C570D">
        <w:rPr>
          <w:rFonts w:ascii="Book Antiqua" w:eastAsia="宋体" w:hAnsi="Book Antiqua" w:cs="宋体"/>
          <w:color w:val="000000" w:themeColor="text1"/>
        </w:rPr>
        <w:t>signalling</w:t>
      </w:r>
      <w:proofErr w:type="spellEnd"/>
      <w:r w:rsidRPr="007C570D">
        <w:rPr>
          <w:rFonts w:ascii="Book Antiqua" w:eastAsia="宋体" w:hAnsi="Book Antiqua" w:cs="宋体"/>
          <w:color w:val="000000" w:themeColor="text1"/>
        </w:rPr>
        <w:t xml:space="preserve"> in neoplasia. </w:t>
      </w:r>
      <w:r w:rsidRPr="007C570D">
        <w:rPr>
          <w:rFonts w:ascii="Book Antiqua" w:eastAsia="宋体" w:hAnsi="Book Antiqua" w:cs="宋体"/>
          <w:i/>
          <w:iCs/>
          <w:color w:val="000000" w:themeColor="text1"/>
        </w:rPr>
        <w:t>Nat Rev Cancer</w:t>
      </w:r>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8</w:t>
      </w:r>
      <w:r w:rsidRPr="007C570D">
        <w:rPr>
          <w:rFonts w:ascii="Book Antiqua" w:eastAsia="宋体" w:hAnsi="Book Antiqua" w:cs="宋体"/>
          <w:color w:val="000000" w:themeColor="text1"/>
        </w:rPr>
        <w:t>: 915-928 [PMID: 19029956 DOI: 10.1038/nrc2536]</w:t>
      </w:r>
    </w:p>
    <w:p w14:paraId="739812F8"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37 </w:t>
      </w:r>
      <w:r w:rsidRPr="007C570D">
        <w:rPr>
          <w:rFonts w:ascii="Book Antiqua" w:eastAsia="宋体" w:hAnsi="Book Antiqua" w:cs="宋体"/>
          <w:b/>
          <w:bCs/>
          <w:color w:val="000000" w:themeColor="text1"/>
        </w:rPr>
        <w:t xml:space="preserve">van der </w:t>
      </w:r>
      <w:proofErr w:type="spellStart"/>
      <w:r w:rsidRPr="007C570D">
        <w:rPr>
          <w:rFonts w:ascii="Book Antiqua" w:eastAsia="宋体" w:hAnsi="Book Antiqua" w:cs="宋体"/>
          <w:b/>
          <w:bCs/>
          <w:color w:val="000000" w:themeColor="text1"/>
        </w:rPr>
        <w:t>Veeken</w:t>
      </w:r>
      <w:proofErr w:type="spellEnd"/>
      <w:r w:rsidRPr="007C570D">
        <w:rPr>
          <w:rFonts w:ascii="Book Antiqua" w:eastAsia="宋体" w:hAnsi="Book Antiqua" w:cs="宋体"/>
          <w:b/>
          <w:bCs/>
          <w:color w:val="000000" w:themeColor="text1"/>
        </w:rPr>
        <w:t xml:space="preserve"> J</w:t>
      </w:r>
      <w:r w:rsidRPr="007C570D">
        <w:rPr>
          <w:rFonts w:ascii="Book Antiqua" w:eastAsia="宋体" w:hAnsi="Book Antiqua" w:cs="宋体"/>
          <w:color w:val="000000" w:themeColor="text1"/>
        </w:rPr>
        <w:t xml:space="preserve">, Oliveira S, </w:t>
      </w:r>
      <w:proofErr w:type="spellStart"/>
      <w:r w:rsidRPr="007C570D">
        <w:rPr>
          <w:rFonts w:ascii="Book Antiqua" w:eastAsia="宋体" w:hAnsi="Book Antiqua" w:cs="宋体"/>
          <w:color w:val="000000" w:themeColor="text1"/>
        </w:rPr>
        <w:t>Schiffelers</w:t>
      </w:r>
      <w:proofErr w:type="spellEnd"/>
      <w:r w:rsidRPr="007C570D">
        <w:rPr>
          <w:rFonts w:ascii="Book Antiqua" w:eastAsia="宋体" w:hAnsi="Book Antiqua" w:cs="宋体"/>
          <w:color w:val="000000" w:themeColor="text1"/>
        </w:rPr>
        <w:t xml:space="preserve"> RM, Storm G, van Bergen En </w:t>
      </w:r>
      <w:proofErr w:type="spellStart"/>
      <w:r w:rsidRPr="007C570D">
        <w:rPr>
          <w:rFonts w:ascii="Book Antiqua" w:eastAsia="宋体" w:hAnsi="Book Antiqua" w:cs="宋体"/>
          <w:color w:val="000000" w:themeColor="text1"/>
        </w:rPr>
        <w:t>Henegouwen</w:t>
      </w:r>
      <w:proofErr w:type="spellEnd"/>
      <w:r w:rsidRPr="007C570D">
        <w:rPr>
          <w:rFonts w:ascii="Book Antiqua" w:eastAsia="宋体" w:hAnsi="Book Antiqua" w:cs="宋体"/>
          <w:color w:val="000000" w:themeColor="text1"/>
        </w:rPr>
        <w:t xml:space="preserve"> PM, </w:t>
      </w:r>
      <w:proofErr w:type="spellStart"/>
      <w:r w:rsidRPr="007C570D">
        <w:rPr>
          <w:rFonts w:ascii="Book Antiqua" w:eastAsia="宋体" w:hAnsi="Book Antiqua" w:cs="宋体"/>
          <w:color w:val="000000" w:themeColor="text1"/>
        </w:rPr>
        <w:t>Roovers</w:t>
      </w:r>
      <w:proofErr w:type="spellEnd"/>
      <w:r w:rsidRPr="007C570D">
        <w:rPr>
          <w:rFonts w:ascii="Book Antiqua" w:eastAsia="宋体" w:hAnsi="Book Antiqua" w:cs="宋体"/>
          <w:color w:val="000000" w:themeColor="text1"/>
        </w:rPr>
        <w:t xml:space="preserve"> RC. Crosstalk between epidermal growth factor receptor- and insulin-like growth factor-1 receptor signaling: implications for cancer therapy. </w:t>
      </w:r>
      <w:proofErr w:type="spellStart"/>
      <w:r w:rsidRPr="007C570D">
        <w:rPr>
          <w:rFonts w:ascii="Book Antiqua" w:eastAsia="宋体" w:hAnsi="Book Antiqua" w:cs="宋体"/>
          <w:i/>
          <w:iCs/>
          <w:color w:val="000000" w:themeColor="text1"/>
        </w:rPr>
        <w:t>Curr</w:t>
      </w:r>
      <w:proofErr w:type="spellEnd"/>
      <w:r w:rsidRPr="007C570D">
        <w:rPr>
          <w:rFonts w:ascii="Book Antiqua" w:eastAsia="宋体" w:hAnsi="Book Antiqua" w:cs="宋体"/>
          <w:i/>
          <w:iCs/>
          <w:color w:val="000000" w:themeColor="text1"/>
        </w:rPr>
        <w:t xml:space="preserve"> Cancer Drug Targets</w:t>
      </w:r>
      <w:r w:rsidRPr="007C570D">
        <w:rPr>
          <w:rFonts w:ascii="Book Antiqua" w:eastAsia="宋体" w:hAnsi="Book Antiqua" w:cs="宋体"/>
          <w:color w:val="000000" w:themeColor="text1"/>
        </w:rPr>
        <w:t xml:space="preserve"> 2009; </w:t>
      </w:r>
      <w:r w:rsidRPr="007C570D">
        <w:rPr>
          <w:rFonts w:ascii="Book Antiqua" w:eastAsia="宋体" w:hAnsi="Book Antiqua" w:cs="宋体"/>
          <w:b/>
          <w:bCs/>
          <w:color w:val="000000" w:themeColor="text1"/>
        </w:rPr>
        <w:t>9</w:t>
      </w:r>
      <w:r w:rsidRPr="007C570D">
        <w:rPr>
          <w:rFonts w:ascii="Book Antiqua" w:eastAsia="宋体" w:hAnsi="Book Antiqua" w:cs="宋体"/>
          <w:color w:val="000000" w:themeColor="text1"/>
        </w:rPr>
        <w:t>: 748-760 [PMID: 19754359 DOI: 10.2174/156800909789271495]</w:t>
      </w:r>
    </w:p>
    <w:p w14:paraId="2C1CB772"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38 </w:t>
      </w:r>
      <w:proofErr w:type="spellStart"/>
      <w:r w:rsidRPr="007C570D">
        <w:rPr>
          <w:rFonts w:ascii="Book Antiqua" w:eastAsia="宋体" w:hAnsi="Book Antiqua" w:cs="宋体"/>
          <w:b/>
          <w:bCs/>
          <w:color w:val="000000" w:themeColor="text1"/>
        </w:rPr>
        <w:t>Zackular</w:t>
      </w:r>
      <w:proofErr w:type="spellEnd"/>
      <w:r w:rsidRPr="007C570D">
        <w:rPr>
          <w:rFonts w:ascii="Book Antiqua" w:eastAsia="宋体" w:hAnsi="Book Antiqua" w:cs="宋体"/>
          <w:b/>
          <w:bCs/>
          <w:color w:val="000000" w:themeColor="text1"/>
        </w:rPr>
        <w:t xml:space="preserve"> JP</w:t>
      </w:r>
      <w:r w:rsidRPr="007C570D">
        <w:rPr>
          <w:rFonts w:ascii="Book Antiqua" w:eastAsia="宋体" w:hAnsi="Book Antiqua" w:cs="宋体"/>
          <w:color w:val="000000" w:themeColor="text1"/>
        </w:rPr>
        <w:t xml:space="preserve">, Baxter NT, Iverson KD, Sadler WD, </w:t>
      </w:r>
      <w:proofErr w:type="spellStart"/>
      <w:r w:rsidRPr="007C570D">
        <w:rPr>
          <w:rFonts w:ascii="Book Antiqua" w:eastAsia="宋体" w:hAnsi="Book Antiqua" w:cs="宋体"/>
          <w:color w:val="000000" w:themeColor="text1"/>
        </w:rPr>
        <w:t>Petrosino</w:t>
      </w:r>
      <w:proofErr w:type="spellEnd"/>
      <w:r w:rsidRPr="007C570D">
        <w:rPr>
          <w:rFonts w:ascii="Book Antiqua" w:eastAsia="宋体" w:hAnsi="Book Antiqua" w:cs="宋体"/>
          <w:color w:val="000000" w:themeColor="text1"/>
        </w:rPr>
        <w:t xml:space="preserve"> JF, Chen GY, </w:t>
      </w:r>
      <w:proofErr w:type="spellStart"/>
      <w:r w:rsidRPr="007C570D">
        <w:rPr>
          <w:rFonts w:ascii="Book Antiqua" w:eastAsia="宋体" w:hAnsi="Book Antiqua" w:cs="宋体"/>
          <w:color w:val="000000" w:themeColor="text1"/>
        </w:rPr>
        <w:t>Schloss</w:t>
      </w:r>
      <w:proofErr w:type="spellEnd"/>
      <w:r w:rsidRPr="007C570D">
        <w:rPr>
          <w:rFonts w:ascii="Book Antiqua" w:eastAsia="宋体" w:hAnsi="Book Antiqua" w:cs="宋体"/>
          <w:color w:val="000000" w:themeColor="text1"/>
        </w:rPr>
        <w:t xml:space="preserve"> PD. The gut microbiome modulates colon tumorigenesis. </w:t>
      </w:r>
      <w:proofErr w:type="spellStart"/>
      <w:r w:rsidRPr="007C570D">
        <w:rPr>
          <w:rFonts w:ascii="Book Antiqua" w:eastAsia="宋体" w:hAnsi="Book Antiqua" w:cs="宋体"/>
          <w:i/>
          <w:iCs/>
          <w:color w:val="000000" w:themeColor="text1"/>
        </w:rPr>
        <w:t>MBio</w:t>
      </w:r>
      <w:proofErr w:type="spellEnd"/>
      <w:r w:rsidRPr="007C570D">
        <w:rPr>
          <w:rFonts w:ascii="Book Antiqua" w:eastAsia="宋体" w:hAnsi="Book Antiqua" w:cs="宋体"/>
          <w:color w:val="000000" w:themeColor="text1"/>
        </w:rPr>
        <w:t xml:space="preserve"> 2013; </w:t>
      </w:r>
      <w:r w:rsidRPr="007C570D">
        <w:rPr>
          <w:rFonts w:ascii="Book Antiqua" w:eastAsia="宋体" w:hAnsi="Book Antiqua" w:cs="宋体"/>
          <w:b/>
          <w:bCs/>
          <w:color w:val="000000" w:themeColor="text1"/>
        </w:rPr>
        <w:t>4</w:t>
      </w:r>
      <w:r w:rsidRPr="007C570D">
        <w:rPr>
          <w:rFonts w:ascii="Book Antiqua" w:eastAsia="宋体" w:hAnsi="Book Antiqua" w:cs="宋体"/>
          <w:color w:val="000000" w:themeColor="text1"/>
        </w:rPr>
        <w:t>: e00692-e00613 [PMID: 24194538 DOI: 10.1128/mBio.00692-13]</w:t>
      </w:r>
    </w:p>
    <w:p w14:paraId="64B653EC"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lastRenderedPageBreak/>
        <w:t xml:space="preserve">39 </w:t>
      </w:r>
      <w:r w:rsidRPr="007C570D">
        <w:rPr>
          <w:rFonts w:ascii="Book Antiqua" w:eastAsia="宋体" w:hAnsi="Book Antiqua" w:cs="宋体"/>
          <w:b/>
          <w:bCs/>
          <w:color w:val="000000" w:themeColor="text1"/>
        </w:rPr>
        <w:t>Yun TK</w:t>
      </w:r>
      <w:r w:rsidRPr="007C570D">
        <w:rPr>
          <w:rFonts w:ascii="Book Antiqua" w:eastAsia="宋体" w:hAnsi="Book Antiqua" w:cs="宋体"/>
          <w:color w:val="000000" w:themeColor="text1"/>
        </w:rPr>
        <w:t xml:space="preserve">, Choi SY. Preventive effect of ginseng intake against various human cancers: a case-control study on 1987 pairs. </w:t>
      </w:r>
      <w:r w:rsidRPr="007C570D">
        <w:rPr>
          <w:rFonts w:ascii="Book Antiqua" w:eastAsia="宋体" w:hAnsi="Book Antiqua" w:cs="宋体"/>
          <w:i/>
          <w:iCs/>
          <w:color w:val="000000" w:themeColor="text1"/>
        </w:rPr>
        <w:t xml:space="preserve">Cancer </w:t>
      </w:r>
      <w:proofErr w:type="spellStart"/>
      <w:r w:rsidRPr="007C570D">
        <w:rPr>
          <w:rFonts w:ascii="Book Antiqua" w:eastAsia="宋体" w:hAnsi="Book Antiqua" w:cs="宋体"/>
          <w:i/>
          <w:iCs/>
          <w:color w:val="000000" w:themeColor="text1"/>
        </w:rPr>
        <w:t>Epidemiol</w:t>
      </w:r>
      <w:proofErr w:type="spellEnd"/>
      <w:r w:rsidRPr="007C570D">
        <w:rPr>
          <w:rFonts w:ascii="Book Antiqua" w:eastAsia="宋体" w:hAnsi="Book Antiqua" w:cs="宋体"/>
          <w:i/>
          <w:iCs/>
          <w:color w:val="000000" w:themeColor="text1"/>
        </w:rPr>
        <w:t xml:space="preserve"> Biomarkers </w:t>
      </w:r>
      <w:proofErr w:type="spellStart"/>
      <w:r w:rsidRPr="007C570D">
        <w:rPr>
          <w:rFonts w:ascii="Book Antiqua" w:eastAsia="宋体" w:hAnsi="Book Antiqua" w:cs="宋体"/>
          <w:i/>
          <w:iCs/>
          <w:color w:val="000000" w:themeColor="text1"/>
        </w:rPr>
        <w:t>Prev</w:t>
      </w:r>
      <w:proofErr w:type="spellEnd"/>
      <w:r w:rsidRPr="007C570D">
        <w:rPr>
          <w:rFonts w:ascii="Book Antiqua" w:eastAsia="宋体" w:hAnsi="Book Antiqua" w:cs="宋体"/>
          <w:color w:val="000000" w:themeColor="text1"/>
        </w:rPr>
        <w:t xml:space="preserve"> 1995; </w:t>
      </w:r>
      <w:r w:rsidRPr="007C570D">
        <w:rPr>
          <w:rFonts w:ascii="Book Antiqua" w:eastAsia="宋体" w:hAnsi="Book Antiqua" w:cs="宋体"/>
          <w:b/>
          <w:bCs/>
          <w:color w:val="000000" w:themeColor="text1"/>
        </w:rPr>
        <w:t>4</w:t>
      </w:r>
      <w:r w:rsidRPr="007C570D">
        <w:rPr>
          <w:rFonts w:ascii="Book Antiqua" w:eastAsia="宋体" w:hAnsi="Book Antiqua" w:cs="宋体"/>
          <w:color w:val="000000" w:themeColor="text1"/>
        </w:rPr>
        <w:t>: 401-408 [PMID: 7655337]</w:t>
      </w:r>
    </w:p>
    <w:p w14:paraId="41BE77D3" w14:textId="77777777" w:rsidR="0062175B" w:rsidRPr="007C570D"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40 </w:t>
      </w:r>
      <w:r w:rsidRPr="007C570D">
        <w:rPr>
          <w:rFonts w:ascii="Book Antiqua" w:eastAsia="宋体" w:hAnsi="Book Antiqua" w:cs="宋体"/>
          <w:b/>
          <w:bCs/>
          <w:color w:val="000000" w:themeColor="text1"/>
        </w:rPr>
        <w:t>Yun TK</w:t>
      </w:r>
      <w:r w:rsidRPr="007C570D">
        <w:rPr>
          <w:rFonts w:ascii="Book Antiqua" w:eastAsia="宋体" w:hAnsi="Book Antiqua" w:cs="宋体"/>
          <w:color w:val="000000" w:themeColor="text1"/>
        </w:rPr>
        <w:t xml:space="preserve">, Zheng S, Choi SY, </w:t>
      </w:r>
      <w:proofErr w:type="spellStart"/>
      <w:r w:rsidRPr="007C570D">
        <w:rPr>
          <w:rFonts w:ascii="Book Antiqua" w:eastAsia="宋体" w:hAnsi="Book Antiqua" w:cs="宋体"/>
          <w:color w:val="000000" w:themeColor="text1"/>
        </w:rPr>
        <w:t>Cai</w:t>
      </w:r>
      <w:proofErr w:type="spellEnd"/>
      <w:r w:rsidRPr="007C570D">
        <w:rPr>
          <w:rFonts w:ascii="Book Antiqua" w:eastAsia="宋体" w:hAnsi="Book Antiqua" w:cs="宋体"/>
          <w:color w:val="000000" w:themeColor="text1"/>
        </w:rPr>
        <w:t xml:space="preserve"> SR, Lee YS, Liu XY, Cho KJ, Park KY.</w:t>
      </w:r>
      <w:proofErr w:type="gramEnd"/>
      <w:r w:rsidRPr="007C570D">
        <w:rPr>
          <w:rFonts w:ascii="Book Antiqua" w:eastAsia="宋体" w:hAnsi="Book Antiqua" w:cs="宋体"/>
          <w:color w:val="000000" w:themeColor="text1"/>
        </w:rPr>
        <w:t xml:space="preserve"> </w:t>
      </w:r>
      <w:proofErr w:type="gramStart"/>
      <w:r w:rsidRPr="007C570D">
        <w:rPr>
          <w:rFonts w:ascii="Book Antiqua" w:eastAsia="宋体" w:hAnsi="Book Antiqua" w:cs="宋体"/>
          <w:color w:val="000000" w:themeColor="text1"/>
        </w:rPr>
        <w:t>Non-organ-specific preventive effect of long-term administration of Korean red ginseng extract on incidence of human cancers.</w:t>
      </w:r>
      <w:proofErr w:type="gram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J Med Food</w:t>
      </w:r>
      <w:r w:rsidRPr="007C570D">
        <w:rPr>
          <w:rFonts w:ascii="Book Antiqua" w:eastAsia="宋体" w:hAnsi="Book Antiqua" w:cs="宋体"/>
          <w:color w:val="000000" w:themeColor="text1"/>
        </w:rPr>
        <w:t xml:space="preserve"> 2010; </w:t>
      </w:r>
      <w:r w:rsidRPr="007C570D">
        <w:rPr>
          <w:rFonts w:ascii="Book Antiqua" w:eastAsia="宋体" w:hAnsi="Book Antiqua" w:cs="宋体"/>
          <w:b/>
          <w:bCs/>
          <w:color w:val="000000" w:themeColor="text1"/>
        </w:rPr>
        <w:t>13</w:t>
      </w:r>
      <w:r w:rsidRPr="007C570D">
        <w:rPr>
          <w:rFonts w:ascii="Book Antiqua" w:eastAsia="宋体" w:hAnsi="Book Antiqua" w:cs="宋体"/>
          <w:color w:val="000000" w:themeColor="text1"/>
        </w:rPr>
        <w:t>: 489-494 [PMID: 20521975 DOI: 10.1089/jmf.2009.1275]</w:t>
      </w:r>
    </w:p>
    <w:p w14:paraId="4307B37E"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41 </w:t>
      </w:r>
      <w:r w:rsidRPr="007C570D">
        <w:rPr>
          <w:rFonts w:ascii="Book Antiqua" w:eastAsia="宋体" w:hAnsi="Book Antiqua" w:cs="宋体"/>
          <w:b/>
          <w:bCs/>
          <w:color w:val="000000" w:themeColor="text1"/>
        </w:rPr>
        <w:t>Yun TK</w:t>
      </w:r>
      <w:r w:rsidRPr="007C570D">
        <w:rPr>
          <w:rFonts w:ascii="Book Antiqua" w:eastAsia="宋体" w:hAnsi="Book Antiqua" w:cs="宋体"/>
          <w:color w:val="000000" w:themeColor="text1"/>
        </w:rPr>
        <w:t xml:space="preserve">, Choi SY. Non-organ specific cancer prevention of ginseng: a prospective study in Korea. </w:t>
      </w:r>
      <w:proofErr w:type="spellStart"/>
      <w:r w:rsidRPr="007C570D">
        <w:rPr>
          <w:rFonts w:ascii="Book Antiqua" w:eastAsia="宋体" w:hAnsi="Book Antiqua" w:cs="宋体"/>
          <w:i/>
          <w:iCs/>
          <w:color w:val="000000" w:themeColor="text1"/>
        </w:rPr>
        <w:t>Int</w:t>
      </w:r>
      <w:proofErr w:type="spellEnd"/>
      <w:r w:rsidRPr="007C570D">
        <w:rPr>
          <w:rFonts w:ascii="Book Antiqua" w:eastAsia="宋体" w:hAnsi="Book Antiqua" w:cs="宋体"/>
          <w:i/>
          <w:iCs/>
          <w:color w:val="000000" w:themeColor="text1"/>
        </w:rPr>
        <w:t xml:space="preserve"> J </w:t>
      </w:r>
      <w:proofErr w:type="spellStart"/>
      <w:r w:rsidRPr="007C570D">
        <w:rPr>
          <w:rFonts w:ascii="Book Antiqua" w:eastAsia="宋体" w:hAnsi="Book Antiqua" w:cs="宋体"/>
          <w:i/>
          <w:iCs/>
          <w:color w:val="000000" w:themeColor="text1"/>
        </w:rPr>
        <w:t>Epidemiol</w:t>
      </w:r>
      <w:proofErr w:type="spellEnd"/>
      <w:r w:rsidRPr="007C570D">
        <w:rPr>
          <w:rFonts w:ascii="Book Antiqua" w:eastAsia="宋体" w:hAnsi="Book Antiqua" w:cs="宋体"/>
          <w:color w:val="000000" w:themeColor="text1"/>
        </w:rPr>
        <w:t xml:space="preserve"> 1998; </w:t>
      </w:r>
      <w:r w:rsidRPr="007C570D">
        <w:rPr>
          <w:rFonts w:ascii="Book Antiqua" w:eastAsia="宋体" w:hAnsi="Book Antiqua" w:cs="宋体"/>
          <w:b/>
          <w:bCs/>
          <w:color w:val="000000" w:themeColor="text1"/>
        </w:rPr>
        <w:t>27</w:t>
      </w:r>
      <w:r w:rsidRPr="007C570D">
        <w:rPr>
          <w:rFonts w:ascii="Book Antiqua" w:eastAsia="宋体" w:hAnsi="Book Antiqua" w:cs="宋体"/>
          <w:color w:val="000000" w:themeColor="text1"/>
        </w:rPr>
        <w:t>: 359-364 [PMID: 9698120 DOI: 10.1093/</w:t>
      </w:r>
      <w:proofErr w:type="spellStart"/>
      <w:r w:rsidRPr="007C570D">
        <w:rPr>
          <w:rFonts w:ascii="Book Antiqua" w:eastAsia="宋体" w:hAnsi="Book Antiqua" w:cs="宋体"/>
          <w:color w:val="000000" w:themeColor="text1"/>
        </w:rPr>
        <w:t>ije</w:t>
      </w:r>
      <w:proofErr w:type="spellEnd"/>
      <w:r w:rsidRPr="007C570D">
        <w:rPr>
          <w:rFonts w:ascii="Book Antiqua" w:eastAsia="宋体" w:hAnsi="Book Antiqua" w:cs="宋体"/>
          <w:color w:val="000000" w:themeColor="text1"/>
        </w:rPr>
        <w:t>/27.3.359]</w:t>
      </w:r>
    </w:p>
    <w:p w14:paraId="197DBA73" w14:textId="77777777" w:rsidR="0062175B" w:rsidRPr="00374AD1"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42 </w:t>
      </w:r>
      <w:r w:rsidRPr="007C570D">
        <w:rPr>
          <w:rFonts w:ascii="Book Antiqua" w:eastAsia="宋体" w:hAnsi="Book Antiqua" w:cs="宋体"/>
          <w:b/>
          <w:bCs/>
          <w:color w:val="000000" w:themeColor="text1"/>
        </w:rPr>
        <w:t>Yun TK</w:t>
      </w:r>
      <w:r w:rsidRPr="007C570D">
        <w:rPr>
          <w:rFonts w:ascii="Book Antiqua" w:eastAsia="宋体" w:hAnsi="Book Antiqua" w:cs="宋体"/>
          <w:color w:val="000000" w:themeColor="text1"/>
        </w:rPr>
        <w:t>. Experimental and epidemiological evidence on non-organ specific cancer preventive effect of Korean ginseng and identification of active compounds.</w:t>
      </w:r>
      <w:proofErr w:type="gramEnd"/>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i/>
          <w:iCs/>
          <w:color w:val="000000" w:themeColor="text1"/>
        </w:rPr>
        <w:t>Mutat</w:t>
      </w:r>
      <w:proofErr w:type="spellEnd"/>
      <w:r w:rsidRPr="007C570D">
        <w:rPr>
          <w:rFonts w:ascii="Book Antiqua" w:eastAsia="宋体" w:hAnsi="Book Antiqua" w:cs="宋体"/>
          <w:i/>
          <w:iCs/>
          <w:color w:val="000000" w:themeColor="text1"/>
        </w:rPr>
        <w:t xml:space="preserve"> Res</w:t>
      </w:r>
      <w:r w:rsidRPr="007C570D">
        <w:rPr>
          <w:rFonts w:ascii="Book Antiqua" w:eastAsia="宋体" w:hAnsi="Book Antiqua" w:cs="宋体"/>
          <w:color w:val="000000" w:themeColor="text1"/>
        </w:rPr>
        <w:t xml:space="preserve"> </w:t>
      </w:r>
      <w:r w:rsidRPr="00374AD1">
        <w:rPr>
          <w:rFonts w:ascii="Book Antiqua" w:eastAsia="宋体" w:hAnsi="Book Antiqua" w:cs="宋体" w:hint="eastAsia"/>
          <w:color w:val="000000" w:themeColor="text1"/>
        </w:rPr>
        <w:t>2003</w:t>
      </w:r>
      <w:r w:rsidRPr="007C570D">
        <w:rPr>
          <w:rFonts w:ascii="Book Antiqua" w:eastAsia="宋体" w:hAnsi="Book Antiqua" w:cs="宋体"/>
          <w:color w:val="000000" w:themeColor="text1"/>
        </w:rPr>
        <w:t xml:space="preserve">; </w:t>
      </w:r>
      <w:r w:rsidRPr="007C570D">
        <w:rPr>
          <w:rFonts w:ascii="Book Antiqua" w:eastAsia="宋体" w:hAnsi="Book Antiqua" w:cs="宋体"/>
          <w:b/>
          <w:bCs/>
          <w:color w:val="000000" w:themeColor="text1"/>
        </w:rPr>
        <w:t>523-524</w:t>
      </w:r>
      <w:r w:rsidRPr="007C570D">
        <w:rPr>
          <w:rFonts w:ascii="Book Antiqua" w:eastAsia="宋体" w:hAnsi="Book Antiqua" w:cs="宋体"/>
          <w:color w:val="000000" w:themeColor="text1"/>
        </w:rPr>
        <w:t>: 63-74 [PMID: 12628504 DOI: 10.1016/S0027-5107(02)00322-6]</w:t>
      </w:r>
    </w:p>
    <w:p w14:paraId="076680CF"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43 </w:t>
      </w:r>
      <w:r w:rsidRPr="007C570D">
        <w:rPr>
          <w:rFonts w:ascii="Book Antiqua" w:eastAsia="宋体" w:hAnsi="Book Antiqua" w:cs="宋体"/>
          <w:b/>
          <w:bCs/>
          <w:color w:val="000000" w:themeColor="text1"/>
        </w:rPr>
        <w:t>Qi LW</w:t>
      </w:r>
      <w:r w:rsidRPr="007C570D">
        <w:rPr>
          <w:rFonts w:ascii="Book Antiqua" w:eastAsia="宋体" w:hAnsi="Book Antiqua" w:cs="宋体"/>
          <w:color w:val="000000" w:themeColor="text1"/>
        </w:rPr>
        <w:t xml:space="preserve">, Wang CZ, Yuan CS. American ginseng: potential structure-function relationship in cancer chemoprevention. </w:t>
      </w:r>
      <w:proofErr w:type="spellStart"/>
      <w:r w:rsidRPr="007C570D">
        <w:rPr>
          <w:rFonts w:ascii="Book Antiqua" w:eastAsia="宋体" w:hAnsi="Book Antiqua" w:cs="宋体"/>
          <w:i/>
          <w:iCs/>
          <w:color w:val="000000" w:themeColor="text1"/>
        </w:rPr>
        <w:t>Biochem</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Pharmacol</w:t>
      </w:r>
      <w:proofErr w:type="spellEnd"/>
      <w:r w:rsidRPr="007C570D">
        <w:rPr>
          <w:rFonts w:ascii="Book Antiqua" w:eastAsia="宋体" w:hAnsi="Book Antiqua" w:cs="宋体"/>
          <w:color w:val="000000" w:themeColor="text1"/>
        </w:rPr>
        <w:t xml:space="preserve"> 2010; </w:t>
      </w:r>
      <w:r w:rsidRPr="007C570D">
        <w:rPr>
          <w:rFonts w:ascii="Book Antiqua" w:eastAsia="宋体" w:hAnsi="Book Antiqua" w:cs="宋体"/>
          <w:b/>
          <w:bCs/>
          <w:color w:val="000000" w:themeColor="text1"/>
        </w:rPr>
        <w:t>80</w:t>
      </w:r>
      <w:r w:rsidRPr="007C570D">
        <w:rPr>
          <w:rFonts w:ascii="Book Antiqua" w:eastAsia="宋体" w:hAnsi="Book Antiqua" w:cs="宋体"/>
          <w:color w:val="000000" w:themeColor="text1"/>
        </w:rPr>
        <w:t>: 947-954 [PMID: 20599804 DOI: 10.1016/j.bcp.2010.06.023]</w:t>
      </w:r>
    </w:p>
    <w:p w14:paraId="02682D11" w14:textId="77777777" w:rsidR="0062175B" w:rsidRPr="007C570D"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44 </w:t>
      </w:r>
      <w:r w:rsidRPr="007C570D">
        <w:rPr>
          <w:rFonts w:ascii="Book Antiqua" w:eastAsia="宋体" w:hAnsi="Book Antiqua" w:cs="宋体"/>
          <w:b/>
          <w:bCs/>
          <w:color w:val="000000" w:themeColor="text1"/>
        </w:rPr>
        <w:t>Yun TK</w:t>
      </w:r>
      <w:r w:rsidRPr="007C570D">
        <w:rPr>
          <w:rFonts w:ascii="Book Antiqua" w:eastAsia="宋体" w:hAnsi="Book Antiqua" w:cs="宋体"/>
          <w:color w:val="000000" w:themeColor="text1"/>
        </w:rPr>
        <w:t>, Lee YS, Lee YH, Kim SI, Yun HY.</w:t>
      </w:r>
      <w:proofErr w:type="gramEnd"/>
      <w:r w:rsidRPr="007C570D">
        <w:rPr>
          <w:rFonts w:ascii="Book Antiqua" w:eastAsia="宋体" w:hAnsi="Book Antiqua" w:cs="宋体"/>
          <w:color w:val="000000" w:themeColor="text1"/>
        </w:rPr>
        <w:t xml:space="preserve"> </w:t>
      </w:r>
      <w:proofErr w:type="spellStart"/>
      <w:proofErr w:type="gramStart"/>
      <w:r w:rsidRPr="007C570D">
        <w:rPr>
          <w:rFonts w:ascii="Book Antiqua" w:eastAsia="宋体" w:hAnsi="Book Antiqua" w:cs="宋体"/>
          <w:color w:val="000000" w:themeColor="text1"/>
        </w:rPr>
        <w:t>Anticarcinogenic</w:t>
      </w:r>
      <w:proofErr w:type="spellEnd"/>
      <w:r w:rsidRPr="007C570D">
        <w:rPr>
          <w:rFonts w:ascii="Book Antiqua" w:eastAsia="宋体" w:hAnsi="Book Antiqua" w:cs="宋体"/>
          <w:color w:val="000000" w:themeColor="text1"/>
        </w:rPr>
        <w:t xml:space="preserve"> effect of </w:t>
      </w:r>
      <w:proofErr w:type="spellStart"/>
      <w:r w:rsidRPr="007C570D">
        <w:rPr>
          <w:rFonts w:ascii="Book Antiqua" w:eastAsia="宋体" w:hAnsi="Book Antiqua" w:cs="宋体"/>
          <w:color w:val="000000" w:themeColor="text1"/>
        </w:rPr>
        <w:t>Panax</w:t>
      </w:r>
      <w:proofErr w:type="spellEnd"/>
      <w:r w:rsidRPr="007C570D">
        <w:rPr>
          <w:rFonts w:ascii="Book Antiqua" w:eastAsia="宋体" w:hAnsi="Book Antiqua" w:cs="宋体"/>
          <w:color w:val="000000" w:themeColor="text1"/>
        </w:rPr>
        <w:t xml:space="preserve"> ginseng C.A. Meyer and identification of active compounds.</w:t>
      </w:r>
      <w:proofErr w:type="gram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 xml:space="preserve">J Korean Med </w:t>
      </w:r>
      <w:proofErr w:type="spellStart"/>
      <w:r w:rsidRPr="007C570D">
        <w:rPr>
          <w:rFonts w:ascii="Book Antiqua" w:eastAsia="宋体" w:hAnsi="Book Antiqua" w:cs="宋体"/>
          <w:i/>
          <w:iCs/>
          <w:color w:val="000000" w:themeColor="text1"/>
        </w:rPr>
        <w:t>Sci</w:t>
      </w:r>
      <w:proofErr w:type="spellEnd"/>
      <w:r w:rsidRPr="007C570D">
        <w:rPr>
          <w:rFonts w:ascii="Book Antiqua" w:eastAsia="宋体" w:hAnsi="Book Antiqua" w:cs="宋体"/>
          <w:color w:val="000000" w:themeColor="text1"/>
        </w:rPr>
        <w:t xml:space="preserve"> 2001; </w:t>
      </w:r>
      <w:r w:rsidRPr="007C570D">
        <w:rPr>
          <w:rFonts w:ascii="Book Antiqua" w:eastAsia="宋体" w:hAnsi="Book Antiqua" w:cs="宋体"/>
          <w:b/>
          <w:bCs/>
          <w:color w:val="000000" w:themeColor="text1"/>
        </w:rPr>
        <w:t xml:space="preserve">16 </w:t>
      </w:r>
      <w:proofErr w:type="spellStart"/>
      <w:r w:rsidRPr="007C570D">
        <w:rPr>
          <w:rFonts w:ascii="Book Antiqua" w:eastAsia="宋体" w:hAnsi="Book Antiqua" w:cs="宋体"/>
          <w:bCs/>
          <w:color w:val="000000" w:themeColor="text1"/>
        </w:rPr>
        <w:t>Suppl</w:t>
      </w:r>
      <w:proofErr w:type="spellEnd"/>
      <w:r w:rsidRPr="007C570D">
        <w:rPr>
          <w:rFonts w:ascii="Book Antiqua" w:eastAsia="宋体" w:hAnsi="Book Antiqua" w:cs="宋体"/>
          <w:color w:val="000000" w:themeColor="text1"/>
        </w:rPr>
        <w:t>: S6-18 [PMID: 11748383 DOI: 200112s006]</w:t>
      </w:r>
    </w:p>
    <w:p w14:paraId="71958A90"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45 </w:t>
      </w:r>
      <w:r w:rsidRPr="007C570D">
        <w:rPr>
          <w:rFonts w:ascii="Book Antiqua" w:eastAsia="宋体" w:hAnsi="Book Antiqua" w:cs="宋体"/>
          <w:b/>
          <w:bCs/>
          <w:color w:val="000000" w:themeColor="text1"/>
        </w:rPr>
        <w:t>Han HJ</w:t>
      </w:r>
      <w:r w:rsidRPr="007C570D">
        <w:rPr>
          <w:rFonts w:ascii="Book Antiqua" w:eastAsia="宋体" w:hAnsi="Book Antiqua" w:cs="宋体"/>
          <w:color w:val="000000" w:themeColor="text1"/>
        </w:rPr>
        <w:t xml:space="preserve">, Yoon BC, Lee SH, Park SH, Park JY, Oh YJ, Lee YJ. </w:t>
      </w:r>
      <w:proofErr w:type="spellStart"/>
      <w:r w:rsidRPr="007C570D">
        <w:rPr>
          <w:rFonts w:ascii="Book Antiqua" w:eastAsia="宋体" w:hAnsi="Book Antiqua" w:cs="宋体"/>
          <w:color w:val="000000" w:themeColor="text1"/>
        </w:rPr>
        <w:t>Ginsenosides</w:t>
      </w:r>
      <w:proofErr w:type="spellEnd"/>
      <w:r w:rsidRPr="007C570D">
        <w:rPr>
          <w:rFonts w:ascii="Book Antiqua" w:eastAsia="宋体" w:hAnsi="Book Antiqua" w:cs="宋体"/>
          <w:color w:val="000000" w:themeColor="text1"/>
        </w:rPr>
        <w:t xml:space="preserve"> inhibit EGF-induced proliferation of renal proximal tubule cells via decrease of c-</w:t>
      </w:r>
      <w:proofErr w:type="spellStart"/>
      <w:r w:rsidRPr="007C570D">
        <w:rPr>
          <w:rFonts w:ascii="Book Antiqua" w:eastAsia="宋体" w:hAnsi="Book Antiqua" w:cs="宋体"/>
          <w:color w:val="000000" w:themeColor="text1"/>
        </w:rPr>
        <w:t>fos</w:t>
      </w:r>
      <w:proofErr w:type="spellEnd"/>
      <w:r w:rsidRPr="007C570D">
        <w:rPr>
          <w:rFonts w:ascii="Book Antiqua" w:eastAsia="宋体" w:hAnsi="Book Antiqua" w:cs="宋体"/>
          <w:color w:val="000000" w:themeColor="text1"/>
        </w:rPr>
        <w:t xml:space="preserve"> and c-</w:t>
      </w:r>
      <w:proofErr w:type="spellStart"/>
      <w:r w:rsidRPr="007C570D">
        <w:rPr>
          <w:rFonts w:ascii="Book Antiqua" w:eastAsia="宋体" w:hAnsi="Book Antiqua" w:cs="宋体"/>
          <w:color w:val="000000" w:themeColor="text1"/>
        </w:rPr>
        <w:t>jun</w:t>
      </w:r>
      <w:proofErr w:type="spellEnd"/>
      <w:r w:rsidRPr="007C570D">
        <w:rPr>
          <w:rFonts w:ascii="Book Antiqua" w:eastAsia="宋体" w:hAnsi="Book Antiqua" w:cs="宋体"/>
          <w:color w:val="000000" w:themeColor="text1"/>
        </w:rPr>
        <w:t xml:space="preserve"> gene expression in vitro. </w:t>
      </w:r>
      <w:r w:rsidRPr="007C570D">
        <w:rPr>
          <w:rFonts w:ascii="Book Antiqua" w:eastAsia="宋体" w:hAnsi="Book Antiqua" w:cs="宋体"/>
          <w:i/>
          <w:iCs/>
          <w:color w:val="000000" w:themeColor="text1"/>
        </w:rPr>
        <w:t>Planta Med</w:t>
      </w:r>
      <w:r w:rsidRPr="007C570D">
        <w:rPr>
          <w:rFonts w:ascii="Book Antiqua" w:eastAsia="宋体" w:hAnsi="Book Antiqua" w:cs="宋体"/>
          <w:color w:val="000000" w:themeColor="text1"/>
        </w:rPr>
        <w:t xml:space="preserve"> 2002; </w:t>
      </w:r>
      <w:r w:rsidRPr="007C570D">
        <w:rPr>
          <w:rFonts w:ascii="Book Antiqua" w:eastAsia="宋体" w:hAnsi="Book Antiqua" w:cs="宋体"/>
          <w:b/>
          <w:bCs/>
          <w:color w:val="000000" w:themeColor="text1"/>
        </w:rPr>
        <w:t>68</w:t>
      </w:r>
      <w:r w:rsidRPr="007C570D">
        <w:rPr>
          <w:rFonts w:ascii="Book Antiqua" w:eastAsia="宋体" w:hAnsi="Book Antiqua" w:cs="宋体"/>
          <w:color w:val="000000" w:themeColor="text1"/>
        </w:rPr>
        <w:t>: 971-974 [PMID: 12451485 DOI: 10.1055/s-2002-35659]</w:t>
      </w:r>
    </w:p>
    <w:p w14:paraId="10F1A8A9"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46 </w:t>
      </w:r>
      <w:r w:rsidRPr="007C570D">
        <w:rPr>
          <w:rFonts w:ascii="Book Antiqua" w:eastAsia="宋体" w:hAnsi="Book Antiqua" w:cs="宋体"/>
          <w:b/>
          <w:bCs/>
          <w:color w:val="000000" w:themeColor="text1"/>
        </w:rPr>
        <w:t>Cui X</w:t>
      </w:r>
      <w:r w:rsidRPr="007C570D">
        <w:rPr>
          <w:rFonts w:ascii="Book Antiqua" w:eastAsia="宋体" w:hAnsi="Book Antiqua" w:cs="宋体"/>
          <w:color w:val="000000" w:themeColor="text1"/>
        </w:rPr>
        <w:t xml:space="preserve">, Jin Y, </w:t>
      </w:r>
      <w:proofErr w:type="spellStart"/>
      <w:r w:rsidRPr="007C570D">
        <w:rPr>
          <w:rFonts w:ascii="Book Antiqua" w:eastAsia="宋体" w:hAnsi="Book Antiqua" w:cs="宋体"/>
          <w:color w:val="000000" w:themeColor="text1"/>
        </w:rPr>
        <w:t>Poudyal</w:t>
      </w:r>
      <w:proofErr w:type="spellEnd"/>
      <w:r w:rsidRPr="007C570D">
        <w:rPr>
          <w:rFonts w:ascii="Book Antiqua" w:eastAsia="宋体" w:hAnsi="Book Antiqua" w:cs="宋体"/>
          <w:color w:val="000000" w:themeColor="text1"/>
        </w:rPr>
        <w:t xml:space="preserve"> D, </w:t>
      </w:r>
      <w:proofErr w:type="spellStart"/>
      <w:r w:rsidRPr="007C570D">
        <w:rPr>
          <w:rFonts w:ascii="Book Antiqua" w:eastAsia="宋体" w:hAnsi="Book Antiqua" w:cs="宋体"/>
          <w:color w:val="000000" w:themeColor="text1"/>
        </w:rPr>
        <w:t>Chumanevich</w:t>
      </w:r>
      <w:proofErr w:type="spellEnd"/>
      <w:r w:rsidRPr="007C570D">
        <w:rPr>
          <w:rFonts w:ascii="Book Antiqua" w:eastAsia="宋体" w:hAnsi="Book Antiqua" w:cs="宋体"/>
          <w:color w:val="000000" w:themeColor="text1"/>
        </w:rPr>
        <w:t xml:space="preserve"> AA, Davis T, </w:t>
      </w:r>
      <w:proofErr w:type="spellStart"/>
      <w:r w:rsidRPr="007C570D">
        <w:rPr>
          <w:rFonts w:ascii="Book Antiqua" w:eastAsia="宋体" w:hAnsi="Book Antiqua" w:cs="宋体"/>
          <w:color w:val="000000" w:themeColor="text1"/>
        </w:rPr>
        <w:t>Windust</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Hofseth</w:t>
      </w:r>
      <w:proofErr w:type="spellEnd"/>
      <w:r w:rsidRPr="007C570D">
        <w:rPr>
          <w:rFonts w:ascii="Book Antiqua" w:eastAsia="宋体" w:hAnsi="Book Antiqua" w:cs="宋体"/>
          <w:color w:val="000000" w:themeColor="text1"/>
        </w:rPr>
        <w:t xml:space="preserve"> A, Wu W, </w:t>
      </w:r>
      <w:proofErr w:type="spellStart"/>
      <w:r w:rsidRPr="007C570D">
        <w:rPr>
          <w:rFonts w:ascii="Book Antiqua" w:eastAsia="宋体" w:hAnsi="Book Antiqua" w:cs="宋体"/>
          <w:color w:val="000000" w:themeColor="text1"/>
        </w:rPr>
        <w:t>Habiger</w:t>
      </w:r>
      <w:proofErr w:type="spellEnd"/>
      <w:r w:rsidRPr="007C570D">
        <w:rPr>
          <w:rFonts w:ascii="Book Antiqua" w:eastAsia="宋体" w:hAnsi="Book Antiqua" w:cs="宋体"/>
          <w:color w:val="000000" w:themeColor="text1"/>
        </w:rPr>
        <w:t xml:space="preserve"> J, Pena E, Wood P, </w:t>
      </w:r>
      <w:proofErr w:type="spellStart"/>
      <w:r w:rsidRPr="007C570D">
        <w:rPr>
          <w:rFonts w:ascii="Book Antiqua" w:eastAsia="宋体" w:hAnsi="Book Antiqua" w:cs="宋体"/>
          <w:color w:val="000000" w:themeColor="text1"/>
        </w:rPr>
        <w:t>Nagarkatti</w:t>
      </w:r>
      <w:proofErr w:type="spellEnd"/>
      <w:r w:rsidRPr="007C570D">
        <w:rPr>
          <w:rFonts w:ascii="Book Antiqua" w:eastAsia="宋体" w:hAnsi="Book Antiqua" w:cs="宋体"/>
          <w:color w:val="000000" w:themeColor="text1"/>
        </w:rPr>
        <w:t xml:space="preserve"> M, </w:t>
      </w:r>
      <w:proofErr w:type="spellStart"/>
      <w:r w:rsidRPr="007C570D">
        <w:rPr>
          <w:rFonts w:ascii="Book Antiqua" w:eastAsia="宋体" w:hAnsi="Book Antiqua" w:cs="宋体"/>
          <w:color w:val="000000" w:themeColor="text1"/>
        </w:rPr>
        <w:t>Nagarkatti</w:t>
      </w:r>
      <w:proofErr w:type="spellEnd"/>
      <w:r w:rsidRPr="007C570D">
        <w:rPr>
          <w:rFonts w:ascii="Book Antiqua" w:eastAsia="宋体" w:hAnsi="Book Antiqua" w:cs="宋体"/>
          <w:color w:val="000000" w:themeColor="text1"/>
        </w:rPr>
        <w:t xml:space="preserve"> PS, </w:t>
      </w:r>
      <w:proofErr w:type="spellStart"/>
      <w:r w:rsidRPr="007C570D">
        <w:rPr>
          <w:rFonts w:ascii="Book Antiqua" w:eastAsia="宋体" w:hAnsi="Book Antiqua" w:cs="宋体"/>
          <w:color w:val="000000" w:themeColor="text1"/>
        </w:rPr>
        <w:t>Hofseth</w:t>
      </w:r>
      <w:proofErr w:type="spellEnd"/>
      <w:r w:rsidRPr="007C570D">
        <w:rPr>
          <w:rFonts w:ascii="Book Antiqua" w:eastAsia="宋体" w:hAnsi="Book Antiqua" w:cs="宋体"/>
          <w:color w:val="000000" w:themeColor="text1"/>
        </w:rPr>
        <w:t xml:space="preserve"> L. Mechanistic insight into the ability of American ginseng to suppress colon cancer associated with colitis. </w:t>
      </w:r>
      <w:r w:rsidRPr="007C570D">
        <w:rPr>
          <w:rFonts w:ascii="Book Antiqua" w:eastAsia="宋体" w:hAnsi="Book Antiqua" w:cs="宋体"/>
          <w:i/>
          <w:iCs/>
          <w:color w:val="000000" w:themeColor="text1"/>
        </w:rPr>
        <w:t>Carcinogenesis</w:t>
      </w:r>
      <w:r w:rsidRPr="007C570D">
        <w:rPr>
          <w:rFonts w:ascii="Book Antiqua" w:eastAsia="宋体" w:hAnsi="Book Antiqua" w:cs="宋体"/>
          <w:color w:val="000000" w:themeColor="text1"/>
        </w:rPr>
        <w:t xml:space="preserve"> 2010; </w:t>
      </w:r>
      <w:r w:rsidRPr="007C570D">
        <w:rPr>
          <w:rFonts w:ascii="Book Antiqua" w:eastAsia="宋体" w:hAnsi="Book Antiqua" w:cs="宋体"/>
          <w:b/>
          <w:bCs/>
          <w:color w:val="000000" w:themeColor="text1"/>
        </w:rPr>
        <w:t>31</w:t>
      </w:r>
      <w:r w:rsidRPr="007C570D">
        <w:rPr>
          <w:rFonts w:ascii="Book Antiqua" w:eastAsia="宋体" w:hAnsi="Book Antiqua" w:cs="宋体"/>
          <w:color w:val="000000" w:themeColor="text1"/>
        </w:rPr>
        <w:t>: 1734-1741 [PMID: 20729391 DOI: 10.1093/</w:t>
      </w:r>
      <w:proofErr w:type="spellStart"/>
      <w:r w:rsidRPr="007C570D">
        <w:rPr>
          <w:rFonts w:ascii="Book Antiqua" w:eastAsia="宋体" w:hAnsi="Book Antiqua" w:cs="宋体"/>
          <w:color w:val="000000" w:themeColor="text1"/>
        </w:rPr>
        <w:t>carcin</w:t>
      </w:r>
      <w:proofErr w:type="spellEnd"/>
      <w:r w:rsidRPr="007C570D">
        <w:rPr>
          <w:rFonts w:ascii="Book Antiqua" w:eastAsia="宋体" w:hAnsi="Book Antiqua" w:cs="宋体"/>
          <w:color w:val="000000" w:themeColor="text1"/>
        </w:rPr>
        <w:t>/bgq163]</w:t>
      </w:r>
    </w:p>
    <w:p w14:paraId="21E0067B"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lastRenderedPageBreak/>
        <w:t xml:space="preserve">47 </w:t>
      </w:r>
      <w:r w:rsidRPr="007C570D">
        <w:rPr>
          <w:rFonts w:ascii="Book Antiqua" w:eastAsia="宋体" w:hAnsi="Book Antiqua" w:cs="宋体"/>
          <w:b/>
          <w:bCs/>
          <w:color w:val="000000" w:themeColor="text1"/>
        </w:rPr>
        <w:t>Dougherty U</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Mustafi</w:t>
      </w:r>
      <w:proofErr w:type="spellEnd"/>
      <w:r w:rsidRPr="007C570D">
        <w:rPr>
          <w:rFonts w:ascii="Book Antiqua" w:eastAsia="宋体" w:hAnsi="Book Antiqua" w:cs="宋体"/>
          <w:color w:val="000000" w:themeColor="text1"/>
        </w:rPr>
        <w:t xml:space="preserve"> R, Wang Y, </w:t>
      </w:r>
      <w:proofErr w:type="spellStart"/>
      <w:r w:rsidRPr="007C570D">
        <w:rPr>
          <w:rFonts w:ascii="Book Antiqua" w:eastAsia="宋体" w:hAnsi="Book Antiqua" w:cs="宋体"/>
          <w:color w:val="000000" w:themeColor="text1"/>
        </w:rPr>
        <w:t>Musch</w:t>
      </w:r>
      <w:proofErr w:type="spellEnd"/>
      <w:r w:rsidRPr="007C570D">
        <w:rPr>
          <w:rFonts w:ascii="Book Antiqua" w:eastAsia="宋体" w:hAnsi="Book Antiqua" w:cs="宋体"/>
          <w:color w:val="000000" w:themeColor="text1"/>
        </w:rPr>
        <w:t xml:space="preserve"> MW, Wang CZ, Konda VJ, Kulkarni A, Hart J, Dawson G, Kim KE, Yuan CS, Chang EB, </w:t>
      </w:r>
      <w:proofErr w:type="spellStart"/>
      <w:r w:rsidRPr="007C570D">
        <w:rPr>
          <w:rFonts w:ascii="Book Antiqua" w:eastAsia="宋体" w:hAnsi="Book Antiqua" w:cs="宋体"/>
          <w:color w:val="000000" w:themeColor="text1"/>
        </w:rPr>
        <w:t>Bissonnette</w:t>
      </w:r>
      <w:proofErr w:type="spellEnd"/>
      <w:r w:rsidRPr="007C570D">
        <w:rPr>
          <w:rFonts w:ascii="Book Antiqua" w:eastAsia="宋体" w:hAnsi="Book Antiqua" w:cs="宋体"/>
          <w:color w:val="000000" w:themeColor="text1"/>
        </w:rPr>
        <w:t xml:space="preserve"> M. American ginseng suppresses Western diet-promoted tumorigenesis in model of inflammation-associated colon cancer: role of EGFR. </w:t>
      </w:r>
      <w:r w:rsidRPr="007C570D">
        <w:rPr>
          <w:rFonts w:ascii="Book Antiqua" w:eastAsia="宋体" w:hAnsi="Book Antiqua" w:cs="宋体"/>
          <w:i/>
          <w:iCs/>
          <w:color w:val="000000" w:themeColor="text1"/>
        </w:rPr>
        <w:t xml:space="preserve">BMC Complement </w:t>
      </w:r>
      <w:proofErr w:type="spellStart"/>
      <w:r w:rsidRPr="007C570D">
        <w:rPr>
          <w:rFonts w:ascii="Book Antiqua" w:eastAsia="宋体" w:hAnsi="Book Antiqua" w:cs="宋体"/>
          <w:i/>
          <w:iCs/>
          <w:color w:val="000000" w:themeColor="text1"/>
        </w:rPr>
        <w:t>Altern</w:t>
      </w:r>
      <w:proofErr w:type="spellEnd"/>
      <w:r w:rsidRPr="007C570D">
        <w:rPr>
          <w:rFonts w:ascii="Book Antiqua" w:eastAsia="宋体" w:hAnsi="Book Antiqua" w:cs="宋体"/>
          <w:i/>
          <w:iCs/>
          <w:color w:val="000000" w:themeColor="text1"/>
        </w:rPr>
        <w:t xml:space="preserve"> Med</w:t>
      </w:r>
      <w:r w:rsidRPr="007C570D">
        <w:rPr>
          <w:rFonts w:ascii="Book Antiqua" w:eastAsia="宋体" w:hAnsi="Book Antiqua" w:cs="宋体"/>
          <w:color w:val="000000" w:themeColor="text1"/>
        </w:rPr>
        <w:t xml:space="preserve"> 2011; </w:t>
      </w:r>
      <w:r w:rsidRPr="007C570D">
        <w:rPr>
          <w:rFonts w:ascii="Book Antiqua" w:eastAsia="宋体" w:hAnsi="Book Antiqua" w:cs="宋体"/>
          <w:b/>
          <w:bCs/>
          <w:color w:val="000000" w:themeColor="text1"/>
        </w:rPr>
        <w:t>11</w:t>
      </w:r>
      <w:r w:rsidRPr="007C570D">
        <w:rPr>
          <w:rFonts w:ascii="Book Antiqua" w:eastAsia="宋体" w:hAnsi="Book Antiqua" w:cs="宋体"/>
          <w:color w:val="000000" w:themeColor="text1"/>
        </w:rPr>
        <w:t>: 111 [PMID: 22070864 DOI: 10.1186/1472-6882-11-111]</w:t>
      </w:r>
    </w:p>
    <w:p w14:paraId="2A65612B"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48 </w:t>
      </w:r>
      <w:proofErr w:type="spellStart"/>
      <w:r w:rsidRPr="007C570D">
        <w:rPr>
          <w:rFonts w:ascii="Book Antiqua" w:eastAsia="宋体" w:hAnsi="Book Antiqua" w:cs="宋体"/>
          <w:b/>
          <w:bCs/>
          <w:color w:val="000000" w:themeColor="text1"/>
        </w:rPr>
        <w:t>Sah</w:t>
      </w:r>
      <w:proofErr w:type="spellEnd"/>
      <w:r w:rsidRPr="007C570D">
        <w:rPr>
          <w:rFonts w:ascii="Book Antiqua" w:eastAsia="宋体" w:hAnsi="Book Antiqua" w:cs="宋体"/>
          <w:b/>
          <w:bCs/>
          <w:color w:val="000000" w:themeColor="text1"/>
        </w:rPr>
        <w:t xml:space="preserve"> JF</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Balasubramanian</w:t>
      </w:r>
      <w:proofErr w:type="spellEnd"/>
      <w:r w:rsidRPr="007C570D">
        <w:rPr>
          <w:rFonts w:ascii="Book Antiqua" w:eastAsia="宋体" w:hAnsi="Book Antiqua" w:cs="宋体"/>
          <w:color w:val="000000" w:themeColor="text1"/>
        </w:rPr>
        <w:t xml:space="preserve"> S, Eckert RL, </w:t>
      </w:r>
      <w:proofErr w:type="spellStart"/>
      <w:r w:rsidRPr="007C570D">
        <w:rPr>
          <w:rFonts w:ascii="Book Antiqua" w:eastAsia="宋体" w:hAnsi="Book Antiqua" w:cs="宋体"/>
          <w:color w:val="000000" w:themeColor="text1"/>
        </w:rPr>
        <w:t>Rorke</w:t>
      </w:r>
      <w:proofErr w:type="spellEnd"/>
      <w:r w:rsidRPr="007C570D">
        <w:rPr>
          <w:rFonts w:ascii="Book Antiqua" w:eastAsia="宋体" w:hAnsi="Book Antiqua" w:cs="宋体"/>
          <w:color w:val="000000" w:themeColor="text1"/>
        </w:rPr>
        <w:t xml:space="preserve"> EA. Epigallocatechin-3-gallate inhibits epidermal growth factor receptor signaling pathway. </w:t>
      </w:r>
      <w:proofErr w:type="gramStart"/>
      <w:r w:rsidRPr="007C570D">
        <w:rPr>
          <w:rFonts w:ascii="Book Antiqua" w:eastAsia="宋体" w:hAnsi="Book Antiqua" w:cs="宋体"/>
          <w:color w:val="000000" w:themeColor="text1"/>
        </w:rPr>
        <w:t>Evidence for direct inhibition of ERK1/2 and AKT kinases.</w:t>
      </w:r>
      <w:proofErr w:type="gram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Biol</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Chem</w:t>
      </w:r>
      <w:proofErr w:type="spellEnd"/>
      <w:r w:rsidRPr="007C570D">
        <w:rPr>
          <w:rFonts w:ascii="Book Antiqua" w:eastAsia="宋体" w:hAnsi="Book Antiqua" w:cs="宋体"/>
          <w:color w:val="000000" w:themeColor="text1"/>
        </w:rPr>
        <w:t xml:space="preserve"> 2004; </w:t>
      </w:r>
      <w:r w:rsidRPr="007C570D">
        <w:rPr>
          <w:rFonts w:ascii="Book Antiqua" w:eastAsia="宋体" w:hAnsi="Book Antiqua" w:cs="宋体"/>
          <w:b/>
          <w:bCs/>
          <w:color w:val="000000" w:themeColor="text1"/>
        </w:rPr>
        <w:t>279</w:t>
      </w:r>
      <w:r w:rsidRPr="007C570D">
        <w:rPr>
          <w:rFonts w:ascii="Book Antiqua" w:eastAsia="宋体" w:hAnsi="Book Antiqua" w:cs="宋体"/>
          <w:color w:val="000000" w:themeColor="text1"/>
        </w:rPr>
        <w:t>: 12755-12762 [PMID: 14701854 DOI: 10.1074/jbc.M312333200]</w:t>
      </w:r>
    </w:p>
    <w:p w14:paraId="0E4D8936" w14:textId="77777777" w:rsidR="0062175B" w:rsidRPr="007C570D" w:rsidRDefault="0062175B" w:rsidP="00240E68">
      <w:pPr>
        <w:spacing w:after="0" w:line="360" w:lineRule="auto"/>
        <w:jc w:val="both"/>
        <w:rPr>
          <w:rFonts w:ascii="Book Antiqua" w:eastAsia="宋体" w:hAnsi="Book Antiqua" w:cs="宋体"/>
          <w:color w:val="000000" w:themeColor="text1"/>
        </w:rPr>
      </w:pPr>
      <w:proofErr w:type="gramStart"/>
      <w:r w:rsidRPr="007C570D">
        <w:rPr>
          <w:rFonts w:ascii="Book Antiqua" w:eastAsia="宋体" w:hAnsi="Book Antiqua" w:cs="宋体"/>
          <w:color w:val="000000" w:themeColor="text1"/>
        </w:rPr>
        <w:t xml:space="preserve">49 </w:t>
      </w:r>
      <w:r w:rsidRPr="007C570D">
        <w:rPr>
          <w:rFonts w:ascii="Book Antiqua" w:eastAsia="宋体" w:hAnsi="Book Antiqua" w:cs="宋体"/>
          <w:b/>
          <w:bCs/>
          <w:color w:val="000000" w:themeColor="text1"/>
        </w:rPr>
        <w:t>Nicholson KM</w:t>
      </w:r>
      <w:r w:rsidRPr="007C570D">
        <w:rPr>
          <w:rFonts w:ascii="Book Antiqua" w:eastAsia="宋体" w:hAnsi="Book Antiqua" w:cs="宋体"/>
          <w:color w:val="000000" w:themeColor="text1"/>
        </w:rPr>
        <w:t>, Anderson NG.</w:t>
      </w:r>
      <w:proofErr w:type="gramEnd"/>
      <w:r w:rsidRPr="007C570D">
        <w:rPr>
          <w:rFonts w:ascii="Book Antiqua" w:eastAsia="宋体" w:hAnsi="Book Antiqua" w:cs="宋体"/>
          <w:color w:val="000000" w:themeColor="text1"/>
        </w:rPr>
        <w:t xml:space="preserve"> </w:t>
      </w:r>
      <w:proofErr w:type="gramStart"/>
      <w:r w:rsidRPr="007C570D">
        <w:rPr>
          <w:rFonts w:ascii="Book Antiqua" w:eastAsia="宋体" w:hAnsi="Book Antiqua" w:cs="宋体"/>
          <w:color w:val="000000" w:themeColor="text1"/>
        </w:rPr>
        <w:t>The protein kinase B/</w:t>
      </w:r>
      <w:proofErr w:type="spellStart"/>
      <w:r w:rsidRPr="007C570D">
        <w:rPr>
          <w:rFonts w:ascii="Book Antiqua" w:eastAsia="宋体" w:hAnsi="Book Antiqua" w:cs="宋体"/>
          <w:color w:val="000000" w:themeColor="text1"/>
        </w:rPr>
        <w:t>Akt</w:t>
      </w:r>
      <w:proofErr w:type="spellEnd"/>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signalling</w:t>
      </w:r>
      <w:proofErr w:type="spellEnd"/>
      <w:r w:rsidRPr="007C570D">
        <w:rPr>
          <w:rFonts w:ascii="Book Antiqua" w:eastAsia="宋体" w:hAnsi="Book Antiqua" w:cs="宋体"/>
          <w:color w:val="000000" w:themeColor="text1"/>
        </w:rPr>
        <w:t xml:space="preserve"> pathway in human malignancy.</w:t>
      </w:r>
      <w:proofErr w:type="gram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Cell Signal</w:t>
      </w:r>
      <w:r w:rsidRPr="007C570D">
        <w:rPr>
          <w:rFonts w:ascii="Book Antiqua" w:eastAsia="宋体" w:hAnsi="Book Antiqua" w:cs="宋体"/>
          <w:color w:val="000000" w:themeColor="text1"/>
        </w:rPr>
        <w:t xml:space="preserve"> 2002; </w:t>
      </w:r>
      <w:r w:rsidRPr="007C570D">
        <w:rPr>
          <w:rFonts w:ascii="Book Antiqua" w:eastAsia="宋体" w:hAnsi="Book Antiqua" w:cs="宋体"/>
          <w:b/>
          <w:bCs/>
          <w:color w:val="000000" w:themeColor="text1"/>
        </w:rPr>
        <w:t>14</w:t>
      </w:r>
      <w:r w:rsidRPr="007C570D">
        <w:rPr>
          <w:rFonts w:ascii="Book Antiqua" w:eastAsia="宋体" w:hAnsi="Book Antiqua" w:cs="宋体"/>
          <w:color w:val="000000" w:themeColor="text1"/>
        </w:rPr>
        <w:t>: 381-395 [PMID: 11882383 DOI: 10.1016/S0898-6568(01)00271-6]</w:t>
      </w:r>
    </w:p>
    <w:p w14:paraId="4F95A73F"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50 </w:t>
      </w:r>
      <w:r w:rsidRPr="007C570D">
        <w:rPr>
          <w:rFonts w:ascii="Book Antiqua" w:eastAsia="宋体" w:hAnsi="Book Antiqua" w:cs="宋体"/>
          <w:b/>
          <w:bCs/>
          <w:color w:val="000000" w:themeColor="text1"/>
        </w:rPr>
        <w:t>Cobb MH</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Hepler</w:t>
      </w:r>
      <w:proofErr w:type="spellEnd"/>
      <w:r w:rsidRPr="007C570D">
        <w:rPr>
          <w:rFonts w:ascii="Book Antiqua" w:eastAsia="宋体" w:hAnsi="Book Antiqua" w:cs="宋体"/>
          <w:color w:val="000000" w:themeColor="text1"/>
        </w:rPr>
        <w:t xml:space="preserve"> JE, Cheng M, Robbins D. </w:t>
      </w:r>
      <w:proofErr w:type="gramStart"/>
      <w:r w:rsidRPr="007C570D">
        <w:rPr>
          <w:rFonts w:ascii="Book Antiqua" w:eastAsia="宋体" w:hAnsi="Book Antiqua" w:cs="宋体"/>
          <w:color w:val="000000" w:themeColor="text1"/>
        </w:rPr>
        <w:t>The mitogen-activated protein kinases, ERK1 and ERK2.</w:t>
      </w:r>
      <w:proofErr w:type="gramEnd"/>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i/>
          <w:iCs/>
          <w:color w:val="000000" w:themeColor="text1"/>
        </w:rPr>
        <w:t>Semin</w:t>
      </w:r>
      <w:proofErr w:type="spellEnd"/>
      <w:r w:rsidRPr="007C570D">
        <w:rPr>
          <w:rFonts w:ascii="Book Antiqua" w:eastAsia="宋体" w:hAnsi="Book Antiqua" w:cs="宋体"/>
          <w:i/>
          <w:iCs/>
          <w:color w:val="000000" w:themeColor="text1"/>
        </w:rPr>
        <w:t xml:space="preserve"> Cancer </w:t>
      </w:r>
      <w:proofErr w:type="spellStart"/>
      <w:r w:rsidRPr="007C570D">
        <w:rPr>
          <w:rFonts w:ascii="Book Antiqua" w:eastAsia="宋体" w:hAnsi="Book Antiqua" w:cs="宋体"/>
          <w:i/>
          <w:iCs/>
          <w:color w:val="000000" w:themeColor="text1"/>
        </w:rPr>
        <w:t>Biol</w:t>
      </w:r>
      <w:proofErr w:type="spellEnd"/>
      <w:r w:rsidRPr="007C570D">
        <w:rPr>
          <w:rFonts w:ascii="Book Antiqua" w:eastAsia="宋体" w:hAnsi="Book Antiqua" w:cs="宋体"/>
          <w:color w:val="000000" w:themeColor="text1"/>
        </w:rPr>
        <w:t xml:space="preserve"> 1994; </w:t>
      </w:r>
      <w:r w:rsidRPr="007C570D">
        <w:rPr>
          <w:rFonts w:ascii="Book Antiqua" w:eastAsia="宋体" w:hAnsi="Book Antiqua" w:cs="宋体"/>
          <w:b/>
          <w:bCs/>
          <w:color w:val="000000" w:themeColor="text1"/>
        </w:rPr>
        <w:t>5</w:t>
      </w:r>
      <w:r w:rsidRPr="007C570D">
        <w:rPr>
          <w:rFonts w:ascii="Book Antiqua" w:eastAsia="宋体" w:hAnsi="Book Antiqua" w:cs="宋体"/>
          <w:color w:val="000000" w:themeColor="text1"/>
        </w:rPr>
        <w:t>: 261-268 [PMID: 7803762]</w:t>
      </w:r>
    </w:p>
    <w:p w14:paraId="3B3DF26E"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51 </w:t>
      </w:r>
      <w:proofErr w:type="spellStart"/>
      <w:r w:rsidRPr="007C570D">
        <w:rPr>
          <w:rFonts w:ascii="Book Antiqua" w:eastAsia="宋体" w:hAnsi="Book Antiqua" w:cs="宋体"/>
          <w:b/>
          <w:bCs/>
          <w:color w:val="000000" w:themeColor="text1"/>
        </w:rPr>
        <w:t>Cagnol</w:t>
      </w:r>
      <w:proofErr w:type="spellEnd"/>
      <w:r w:rsidRPr="007C570D">
        <w:rPr>
          <w:rFonts w:ascii="Book Antiqua" w:eastAsia="宋体" w:hAnsi="Book Antiqua" w:cs="宋体"/>
          <w:b/>
          <w:bCs/>
          <w:color w:val="000000" w:themeColor="text1"/>
        </w:rPr>
        <w:t xml:space="preserve"> S</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Chambard</w:t>
      </w:r>
      <w:proofErr w:type="spellEnd"/>
      <w:r w:rsidRPr="007C570D">
        <w:rPr>
          <w:rFonts w:ascii="Book Antiqua" w:eastAsia="宋体" w:hAnsi="Book Antiqua" w:cs="宋体"/>
          <w:color w:val="000000" w:themeColor="text1"/>
        </w:rPr>
        <w:t xml:space="preserve"> JC. ERK and cell death: mechanisms of ERK-induced cell death--apoptosis, autophagy and senescence. </w:t>
      </w:r>
      <w:r w:rsidRPr="007C570D">
        <w:rPr>
          <w:rFonts w:ascii="Book Antiqua" w:eastAsia="宋体" w:hAnsi="Book Antiqua" w:cs="宋体"/>
          <w:i/>
          <w:iCs/>
          <w:color w:val="000000" w:themeColor="text1"/>
        </w:rPr>
        <w:t>FEBS J</w:t>
      </w:r>
      <w:r w:rsidRPr="007C570D">
        <w:rPr>
          <w:rFonts w:ascii="Book Antiqua" w:eastAsia="宋体" w:hAnsi="Book Antiqua" w:cs="宋体"/>
          <w:color w:val="000000" w:themeColor="text1"/>
        </w:rPr>
        <w:t xml:space="preserve"> 2010; </w:t>
      </w:r>
      <w:r w:rsidRPr="007C570D">
        <w:rPr>
          <w:rFonts w:ascii="Book Antiqua" w:eastAsia="宋体" w:hAnsi="Book Antiqua" w:cs="宋体"/>
          <w:b/>
          <w:bCs/>
          <w:color w:val="000000" w:themeColor="text1"/>
        </w:rPr>
        <w:t>277</w:t>
      </w:r>
      <w:r w:rsidRPr="007C570D">
        <w:rPr>
          <w:rFonts w:ascii="Book Antiqua" w:eastAsia="宋体" w:hAnsi="Book Antiqua" w:cs="宋体"/>
          <w:color w:val="000000" w:themeColor="text1"/>
        </w:rPr>
        <w:t>: 2-21 [PMID: 19843174 DOI: 10.1111/j.1742-4658.2009.07366.x]</w:t>
      </w:r>
    </w:p>
    <w:p w14:paraId="528A37EF"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52 </w:t>
      </w:r>
      <w:r w:rsidRPr="007C570D">
        <w:rPr>
          <w:rFonts w:ascii="Book Antiqua" w:eastAsia="宋体" w:hAnsi="Book Antiqua" w:cs="宋体"/>
          <w:b/>
          <w:bCs/>
          <w:color w:val="000000" w:themeColor="text1"/>
        </w:rPr>
        <w:t>Chen A</w:t>
      </w:r>
      <w:r w:rsidRPr="007C570D">
        <w:rPr>
          <w:rFonts w:ascii="Book Antiqua" w:eastAsia="宋体" w:hAnsi="Book Antiqua" w:cs="宋体"/>
          <w:color w:val="000000" w:themeColor="text1"/>
        </w:rPr>
        <w:t xml:space="preserve">, Xu J. Activation of </w:t>
      </w:r>
      <w:proofErr w:type="gramStart"/>
      <w:r w:rsidRPr="007C570D">
        <w:rPr>
          <w:rFonts w:ascii="Book Antiqua" w:eastAsia="宋体" w:hAnsi="Book Antiqua" w:cs="宋体"/>
          <w:color w:val="000000" w:themeColor="text1"/>
        </w:rPr>
        <w:t>PPAR{</w:t>
      </w:r>
      <w:proofErr w:type="gramEnd"/>
      <w:r w:rsidRPr="007C570D">
        <w:rPr>
          <w:rFonts w:ascii="Book Antiqua" w:eastAsia="宋体" w:hAnsi="Book Antiqua" w:cs="宋体"/>
          <w:color w:val="000000" w:themeColor="text1"/>
        </w:rPr>
        <w:t xml:space="preserve">gamma} by curcumin inhibits Moser cell growth and mediates suppression of gene expression of cyclin D1 and EGFR. </w:t>
      </w:r>
      <w:r w:rsidRPr="007C570D">
        <w:rPr>
          <w:rFonts w:ascii="Book Antiqua" w:eastAsia="宋体" w:hAnsi="Book Antiqua" w:cs="宋体"/>
          <w:i/>
          <w:iCs/>
          <w:color w:val="000000" w:themeColor="text1"/>
        </w:rPr>
        <w:t xml:space="preserve">Am J </w:t>
      </w:r>
      <w:proofErr w:type="spellStart"/>
      <w:r w:rsidRPr="007C570D">
        <w:rPr>
          <w:rFonts w:ascii="Book Antiqua" w:eastAsia="宋体" w:hAnsi="Book Antiqua" w:cs="宋体"/>
          <w:i/>
          <w:iCs/>
          <w:color w:val="000000" w:themeColor="text1"/>
        </w:rPr>
        <w:t>Physiol</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Gastrointest</w:t>
      </w:r>
      <w:proofErr w:type="spellEnd"/>
      <w:r w:rsidRPr="007C570D">
        <w:rPr>
          <w:rFonts w:ascii="Book Antiqua" w:eastAsia="宋体" w:hAnsi="Book Antiqua" w:cs="宋体"/>
          <w:i/>
          <w:iCs/>
          <w:color w:val="000000" w:themeColor="text1"/>
        </w:rPr>
        <w:t xml:space="preserve"> Liver </w:t>
      </w:r>
      <w:proofErr w:type="spellStart"/>
      <w:r w:rsidRPr="007C570D">
        <w:rPr>
          <w:rFonts w:ascii="Book Antiqua" w:eastAsia="宋体" w:hAnsi="Book Antiqua" w:cs="宋体"/>
          <w:i/>
          <w:iCs/>
          <w:color w:val="000000" w:themeColor="text1"/>
        </w:rPr>
        <w:t>Physiol</w:t>
      </w:r>
      <w:proofErr w:type="spellEnd"/>
      <w:r w:rsidRPr="007C570D">
        <w:rPr>
          <w:rFonts w:ascii="Book Antiqua" w:eastAsia="宋体" w:hAnsi="Book Antiqua" w:cs="宋体"/>
          <w:color w:val="000000" w:themeColor="text1"/>
        </w:rPr>
        <w:t xml:space="preserve"> 2005; </w:t>
      </w:r>
      <w:r w:rsidRPr="007C570D">
        <w:rPr>
          <w:rFonts w:ascii="Book Antiqua" w:eastAsia="宋体" w:hAnsi="Book Antiqua" w:cs="宋体"/>
          <w:b/>
          <w:bCs/>
          <w:color w:val="000000" w:themeColor="text1"/>
        </w:rPr>
        <w:t>288</w:t>
      </w:r>
      <w:r w:rsidRPr="007C570D">
        <w:rPr>
          <w:rFonts w:ascii="Book Antiqua" w:eastAsia="宋体" w:hAnsi="Book Antiqua" w:cs="宋体"/>
          <w:color w:val="000000" w:themeColor="text1"/>
        </w:rPr>
        <w:t>: G447-G456 [PMID: 15486348 DOI: 10.1152/ajpgi.00209.2004]</w:t>
      </w:r>
    </w:p>
    <w:p w14:paraId="1B909ABA"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53 </w:t>
      </w:r>
      <w:r w:rsidRPr="007C570D">
        <w:rPr>
          <w:rFonts w:ascii="Book Antiqua" w:eastAsia="宋体" w:hAnsi="Book Antiqua" w:cs="宋体"/>
          <w:b/>
          <w:bCs/>
          <w:color w:val="000000" w:themeColor="text1"/>
        </w:rPr>
        <w:t>Chen A</w:t>
      </w:r>
      <w:r w:rsidRPr="007C570D">
        <w:rPr>
          <w:rFonts w:ascii="Book Antiqua" w:eastAsia="宋体" w:hAnsi="Book Antiqua" w:cs="宋体"/>
          <w:color w:val="000000" w:themeColor="text1"/>
        </w:rPr>
        <w:t xml:space="preserve">, Xu J, Johnson AC. Curcumin inhibits human colon cancer cell growth by suppressing gene expression of epidermal growth factor receptor through reducing the activity of the transcription factor Egr-1. </w:t>
      </w:r>
      <w:r w:rsidRPr="007C570D">
        <w:rPr>
          <w:rFonts w:ascii="Book Antiqua" w:eastAsia="宋体" w:hAnsi="Book Antiqua" w:cs="宋体"/>
          <w:i/>
          <w:iCs/>
          <w:color w:val="000000" w:themeColor="text1"/>
        </w:rPr>
        <w:t>Oncogene</w:t>
      </w:r>
      <w:r w:rsidRPr="007C570D">
        <w:rPr>
          <w:rFonts w:ascii="Book Antiqua" w:eastAsia="宋体" w:hAnsi="Book Antiqua" w:cs="宋体"/>
          <w:color w:val="000000" w:themeColor="text1"/>
        </w:rPr>
        <w:t xml:space="preserve"> 2006; </w:t>
      </w:r>
      <w:r w:rsidRPr="007C570D">
        <w:rPr>
          <w:rFonts w:ascii="Book Antiqua" w:eastAsia="宋体" w:hAnsi="Book Antiqua" w:cs="宋体"/>
          <w:b/>
          <w:bCs/>
          <w:color w:val="000000" w:themeColor="text1"/>
        </w:rPr>
        <w:t>25</w:t>
      </w:r>
      <w:r w:rsidRPr="007C570D">
        <w:rPr>
          <w:rFonts w:ascii="Book Antiqua" w:eastAsia="宋体" w:hAnsi="Book Antiqua" w:cs="宋体"/>
          <w:color w:val="000000" w:themeColor="text1"/>
        </w:rPr>
        <w:t>: 278-287 [PMID: 16170359 DOI: 10.1038/sj.onc.1209019]</w:t>
      </w:r>
    </w:p>
    <w:p w14:paraId="158C8F50"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54 </w:t>
      </w:r>
      <w:proofErr w:type="spellStart"/>
      <w:r w:rsidRPr="007C570D">
        <w:rPr>
          <w:rFonts w:ascii="Book Antiqua" w:eastAsia="宋体" w:hAnsi="Book Antiqua" w:cs="宋体"/>
          <w:b/>
          <w:bCs/>
          <w:color w:val="000000" w:themeColor="text1"/>
        </w:rPr>
        <w:t>Kanwar</w:t>
      </w:r>
      <w:proofErr w:type="spellEnd"/>
      <w:r w:rsidRPr="007C570D">
        <w:rPr>
          <w:rFonts w:ascii="Book Antiqua" w:eastAsia="宋体" w:hAnsi="Book Antiqua" w:cs="宋体"/>
          <w:b/>
          <w:bCs/>
          <w:color w:val="000000" w:themeColor="text1"/>
        </w:rPr>
        <w:t xml:space="preserve"> SS</w:t>
      </w:r>
      <w:r w:rsidRPr="007C570D">
        <w:rPr>
          <w:rFonts w:ascii="Book Antiqua" w:eastAsia="宋体" w:hAnsi="Book Antiqua" w:cs="宋体"/>
          <w:color w:val="000000" w:themeColor="text1"/>
        </w:rPr>
        <w:t xml:space="preserve">, Yu Y, </w:t>
      </w:r>
      <w:proofErr w:type="spellStart"/>
      <w:r w:rsidRPr="007C570D">
        <w:rPr>
          <w:rFonts w:ascii="Book Antiqua" w:eastAsia="宋体" w:hAnsi="Book Antiqua" w:cs="宋体"/>
          <w:color w:val="000000" w:themeColor="text1"/>
        </w:rPr>
        <w:t>Nautiyal</w:t>
      </w:r>
      <w:proofErr w:type="spellEnd"/>
      <w:r w:rsidRPr="007C570D">
        <w:rPr>
          <w:rFonts w:ascii="Book Antiqua" w:eastAsia="宋体" w:hAnsi="Book Antiqua" w:cs="宋体"/>
          <w:color w:val="000000" w:themeColor="text1"/>
        </w:rPr>
        <w:t xml:space="preserve"> J, Patel BB, </w:t>
      </w:r>
      <w:proofErr w:type="spellStart"/>
      <w:r w:rsidRPr="007C570D">
        <w:rPr>
          <w:rFonts w:ascii="Book Antiqua" w:eastAsia="宋体" w:hAnsi="Book Antiqua" w:cs="宋体"/>
          <w:color w:val="000000" w:themeColor="text1"/>
        </w:rPr>
        <w:t>Padhye</w:t>
      </w:r>
      <w:proofErr w:type="spellEnd"/>
      <w:r w:rsidRPr="007C570D">
        <w:rPr>
          <w:rFonts w:ascii="Book Antiqua" w:eastAsia="宋体" w:hAnsi="Book Antiqua" w:cs="宋体"/>
          <w:color w:val="000000" w:themeColor="text1"/>
        </w:rPr>
        <w:t xml:space="preserve"> S, Sarkar FH, </w:t>
      </w:r>
      <w:proofErr w:type="spellStart"/>
      <w:r w:rsidRPr="007C570D">
        <w:rPr>
          <w:rFonts w:ascii="Book Antiqua" w:eastAsia="宋体" w:hAnsi="Book Antiqua" w:cs="宋体"/>
          <w:color w:val="000000" w:themeColor="text1"/>
        </w:rPr>
        <w:t>Majumdar</w:t>
      </w:r>
      <w:proofErr w:type="spellEnd"/>
      <w:r w:rsidRPr="007C570D">
        <w:rPr>
          <w:rFonts w:ascii="Book Antiqua" w:eastAsia="宋体" w:hAnsi="Book Antiqua" w:cs="宋体"/>
          <w:color w:val="000000" w:themeColor="text1"/>
        </w:rPr>
        <w:t xml:space="preserve"> AP. </w:t>
      </w:r>
      <w:proofErr w:type="spellStart"/>
      <w:r w:rsidRPr="007C570D">
        <w:rPr>
          <w:rFonts w:ascii="Book Antiqua" w:eastAsia="宋体" w:hAnsi="Book Antiqua" w:cs="宋体"/>
          <w:color w:val="000000" w:themeColor="text1"/>
        </w:rPr>
        <w:t>Difluorinated-curcumin</w:t>
      </w:r>
      <w:proofErr w:type="spellEnd"/>
      <w:r w:rsidRPr="007C570D">
        <w:rPr>
          <w:rFonts w:ascii="Book Antiqua" w:eastAsia="宋体" w:hAnsi="Book Antiqua" w:cs="宋体"/>
          <w:color w:val="000000" w:themeColor="text1"/>
        </w:rPr>
        <w:t xml:space="preserve"> (CDF): a novel curcumin analog is a potent inhibitor of colon cancer stem-like cells. </w:t>
      </w:r>
      <w:r w:rsidRPr="007C570D">
        <w:rPr>
          <w:rFonts w:ascii="Book Antiqua" w:eastAsia="宋体" w:hAnsi="Book Antiqua" w:cs="宋体"/>
          <w:i/>
          <w:iCs/>
          <w:color w:val="000000" w:themeColor="text1"/>
        </w:rPr>
        <w:t>Pharm Res</w:t>
      </w:r>
      <w:r w:rsidRPr="007C570D">
        <w:rPr>
          <w:rFonts w:ascii="Book Antiqua" w:eastAsia="宋体" w:hAnsi="Book Antiqua" w:cs="宋体"/>
          <w:color w:val="000000" w:themeColor="text1"/>
        </w:rPr>
        <w:t xml:space="preserve"> 2011; </w:t>
      </w:r>
      <w:r w:rsidRPr="007C570D">
        <w:rPr>
          <w:rFonts w:ascii="Book Antiqua" w:eastAsia="宋体" w:hAnsi="Book Antiqua" w:cs="宋体"/>
          <w:b/>
          <w:bCs/>
          <w:color w:val="000000" w:themeColor="text1"/>
        </w:rPr>
        <w:t>28</w:t>
      </w:r>
      <w:r w:rsidRPr="007C570D">
        <w:rPr>
          <w:rFonts w:ascii="Book Antiqua" w:eastAsia="宋体" w:hAnsi="Book Antiqua" w:cs="宋体"/>
          <w:color w:val="000000" w:themeColor="text1"/>
        </w:rPr>
        <w:t>: 827-838 [PMID: 21161336 DOI: 10.1007/s11095-010-0336-y]</w:t>
      </w:r>
    </w:p>
    <w:p w14:paraId="4C62BD50"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374AD1">
        <w:rPr>
          <w:rFonts w:ascii="Book Antiqua" w:eastAsia="宋体" w:hAnsi="Book Antiqua" w:cs="宋体"/>
          <w:color w:val="000000" w:themeColor="text1"/>
        </w:rPr>
        <w:lastRenderedPageBreak/>
        <w:t>55</w:t>
      </w:r>
      <w:r w:rsidRPr="00374AD1">
        <w:rPr>
          <w:rFonts w:ascii="Book Antiqua" w:eastAsia="宋体" w:hAnsi="Book Antiqua" w:cs="宋体" w:hint="eastAsia"/>
          <w:color w:val="000000" w:themeColor="text1"/>
        </w:rPr>
        <w:t xml:space="preserve"> </w:t>
      </w:r>
      <w:proofErr w:type="spellStart"/>
      <w:r w:rsidRPr="007C570D">
        <w:rPr>
          <w:rFonts w:ascii="Book Antiqua" w:eastAsia="宋体" w:hAnsi="Book Antiqua" w:cs="宋体"/>
          <w:b/>
          <w:color w:val="000000" w:themeColor="text1"/>
        </w:rPr>
        <w:t>Chabner</w:t>
      </w:r>
      <w:proofErr w:type="spellEnd"/>
      <w:r w:rsidRPr="007C570D">
        <w:rPr>
          <w:rFonts w:ascii="Book Antiqua" w:eastAsia="宋体" w:hAnsi="Book Antiqua" w:cs="宋体"/>
          <w:b/>
          <w:color w:val="000000" w:themeColor="text1"/>
        </w:rPr>
        <w:t xml:space="preserve"> B, </w:t>
      </w:r>
      <w:r w:rsidRPr="007C570D">
        <w:rPr>
          <w:rFonts w:ascii="Book Antiqua" w:eastAsia="宋体" w:hAnsi="Book Antiqua" w:cs="宋体"/>
          <w:color w:val="000000" w:themeColor="text1"/>
        </w:rPr>
        <w:t xml:space="preserve">Barnes J, Neal J, Olson E, </w:t>
      </w:r>
      <w:proofErr w:type="spellStart"/>
      <w:r w:rsidRPr="007C570D">
        <w:rPr>
          <w:rFonts w:ascii="Book Antiqua" w:eastAsia="宋体" w:hAnsi="Book Antiqua" w:cs="宋体"/>
          <w:color w:val="000000" w:themeColor="text1"/>
        </w:rPr>
        <w:t>Mujagic</w:t>
      </w:r>
      <w:proofErr w:type="spellEnd"/>
      <w:r w:rsidRPr="007C570D">
        <w:rPr>
          <w:rFonts w:ascii="Book Antiqua" w:eastAsia="宋体" w:hAnsi="Book Antiqua" w:cs="宋体"/>
          <w:color w:val="000000" w:themeColor="text1"/>
        </w:rPr>
        <w:t xml:space="preserve"> H, </w:t>
      </w:r>
      <w:proofErr w:type="spellStart"/>
      <w:r w:rsidRPr="007C570D">
        <w:rPr>
          <w:rFonts w:ascii="Book Antiqua" w:eastAsia="宋体" w:hAnsi="Book Antiqua" w:cs="宋体"/>
          <w:color w:val="000000" w:themeColor="text1"/>
        </w:rPr>
        <w:t>Sequist</w:t>
      </w:r>
      <w:proofErr w:type="spellEnd"/>
      <w:r w:rsidRPr="007C570D">
        <w:rPr>
          <w:rFonts w:ascii="Book Antiqua" w:eastAsia="宋体" w:hAnsi="Book Antiqua" w:cs="宋体"/>
          <w:color w:val="000000" w:themeColor="text1"/>
        </w:rPr>
        <w:t xml:space="preserve"> L, Wilson W, Longo D, </w:t>
      </w:r>
      <w:proofErr w:type="spellStart"/>
      <w:r w:rsidRPr="007C570D">
        <w:rPr>
          <w:rFonts w:ascii="Book Antiqua" w:eastAsia="宋体" w:hAnsi="Book Antiqua" w:cs="宋体"/>
          <w:color w:val="000000" w:themeColor="text1"/>
        </w:rPr>
        <w:t>Mitsiades</w:t>
      </w:r>
      <w:proofErr w:type="spellEnd"/>
      <w:r w:rsidRPr="007C570D">
        <w:rPr>
          <w:rFonts w:ascii="Book Antiqua" w:eastAsia="宋体" w:hAnsi="Book Antiqua" w:cs="宋体"/>
          <w:color w:val="000000" w:themeColor="text1"/>
        </w:rPr>
        <w:t xml:space="preserve"> C, Richardson P. Targeted Therapies: Tyrosine Kinase Inhibitors, Monoclonal Antibodies, and Cytokines. In: Goodman </w:t>
      </w:r>
      <w:r w:rsidRPr="00374AD1">
        <w:rPr>
          <w:rFonts w:ascii="Book Antiqua" w:eastAsia="宋体" w:hAnsi="Book Antiqua" w:cs="宋体"/>
          <w:color w:val="000000" w:themeColor="text1"/>
        </w:rPr>
        <w:t xml:space="preserve">and </w:t>
      </w:r>
      <w:r w:rsidRPr="007C570D">
        <w:rPr>
          <w:rFonts w:ascii="Book Antiqua" w:eastAsia="宋体" w:hAnsi="Book Antiqua" w:cs="宋体"/>
          <w:color w:val="000000" w:themeColor="text1"/>
        </w:rPr>
        <w:t>Gilman's The Pharmacological Basis of Therapeutics. New York, NY: McGraw-Hill; 2011</w:t>
      </w:r>
    </w:p>
    <w:p w14:paraId="03058A52"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56 </w:t>
      </w:r>
      <w:r w:rsidRPr="007C570D">
        <w:rPr>
          <w:rFonts w:ascii="Book Antiqua" w:eastAsia="宋体" w:hAnsi="Book Antiqua" w:cs="宋体"/>
          <w:b/>
          <w:bCs/>
          <w:color w:val="000000" w:themeColor="text1"/>
        </w:rPr>
        <w:t>Goldstein NI</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Prewett</w:t>
      </w:r>
      <w:proofErr w:type="spellEnd"/>
      <w:r w:rsidRPr="007C570D">
        <w:rPr>
          <w:rFonts w:ascii="Book Antiqua" w:eastAsia="宋体" w:hAnsi="Book Antiqua" w:cs="宋体"/>
          <w:color w:val="000000" w:themeColor="text1"/>
        </w:rPr>
        <w:t xml:space="preserve"> M, </w:t>
      </w:r>
      <w:proofErr w:type="spellStart"/>
      <w:r w:rsidRPr="007C570D">
        <w:rPr>
          <w:rFonts w:ascii="Book Antiqua" w:eastAsia="宋体" w:hAnsi="Book Antiqua" w:cs="宋体"/>
          <w:color w:val="000000" w:themeColor="text1"/>
        </w:rPr>
        <w:t>Zuklys</w:t>
      </w:r>
      <w:proofErr w:type="spellEnd"/>
      <w:r w:rsidRPr="007C570D">
        <w:rPr>
          <w:rFonts w:ascii="Book Antiqua" w:eastAsia="宋体" w:hAnsi="Book Antiqua" w:cs="宋体"/>
          <w:color w:val="000000" w:themeColor="text1"/>
        </w:rPr>
        <w:t xml:space="preserve"> K, Rockwell P, Mendelsohn J. Biological efficacy of a chimeric antibody to the epidermal growth factor receptor in a human tumor xenograft model.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Cancer Res</w:t>
      </w:r>
      <w:r w:rsidRPr="007C570D">
        <w:rPr>
          <w:rFonts w:ascii="Book Antiqua" w:eastAsia="宋体" w:hAnsi="Book Antiqua" w:cs="宋体"/>
          <w:color w:val="000000" w:themeColor="text1"/>
        </w:rPr>
        <w:t xml:space="preserve"> 1995; </w:t>
      </w:r>
      <w:r w:rsidRPr="007C570D">
        <w:rPr>
          <w:rFonts w:ascii="Book Antiqua" w:eastAsia="宋体" w:hAnsi="Book Antiqua" w:cs="宋体"/>
          <w:b/>
          <w:bCs/>
          <w:color w:val="000000" w:themeColor="text1"/>
        </w:rPr>
        <w:t>1</w:t>
      </w:r>
      <w:r w:rsidRPr="007C570D">
        <w:rPr>
          <w:rFonts w:ascii="Book Antiqua" w:eastAsia="宋体" w:hAnsi="Book Antiqua" w:cs="宋体"/>
          <w:color w:val="000000" w:themeColor="text1"/>
        </w:rPr>
        <w:t>: 1311-1318 [PMID: 9815926]</w:t>
      </w:r>
    </w:p>
    <w:p w14:paraId="0698209E"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57 </w:t>
      </w:r>
      <w:r w:rsidRPr="007C570D">
        <w:rPr>
          <w:rFonts w:ascii="Book Antiqua" w:eastAsia="宋体" w:hAnsi="Book Antiqua" w:cs="宋体"/>
          <w:b/>
          <w:bCs/>
          <w:color w:val="000000" w:themeColor="text1"/>
        </w:rPr>
        <w:t>Li S</w:t>
      </w:r>
      <w:r w:rsidRPr="007C570D">
        <w:rPr>
          <w:rFonts w:ascii="Book Antiqua" w:eastAsia="宋体" w:hAnsi="Book Antiqua" w:cs="宋体"/>
          <w:color w:val="000000" w:themeColor="text1"/>
        </w:rPr>
        <w:t xml:space="preserve">, Schmitz KR, Jeffrey PD, </w:t>
      </w:r>
      <w:proofErr w:type="spellStart"/>
      <w:r w:rsidRPr="007C570D">
        <w:rPr>
          <w:rFonts w:ascii="Book Antiqua" w:eastAsia="宋体" w:hAnsi="Book Antiqua" w:cs="宋体"/>
          <w:color w:val="000000" w:themeColor="text1"/>
        </w:rPr>
        <w:t>Wiltzius</w:t>
      </w:r>
      <w:proofErr w:type="spellEnd"/>
      <w:r w:rsidRPr="007C570D">
        <w:rPr>
          <w:rFonts w:ascii="Book Antiqua" w:eastAsia="宋体" w:hAnsi="Book Antiqua" w:cs="宋体"/>
          <w:color w:val="000000" w:themeColor="text1"/>
        </w:rPr>
        <w:t xml:space="preserve"> JJ, </w:t>
      </w:r>
      <w:proofErr w:type="spellStart"/>
      <w:r w:rsidRPr="007C570D">
        <w:rPr>
          <w:rFonts w:ascii="Book Antiqua" w:eastAsia="宋体" w:hAnsi="Book Antiqua" w:cs="宋体"/>
          <w:color w:val="000000" w:themeColor="text1"/>
        </w:rPr>
        <w:t>Kussie</w:t>
      </w:r>
      <w:proofErr w:type="spellEnd"/>
      <w:r w:rsidRPr="007C570D">
        <w:rPr>
          <w:rFonts w:ascii="Book Antiqua" w:eastAsia="宋体" w:hAnsi="Book Antiqua" w:cs="宋体"/>
          <w:color w:val="000000" w:themeColor="text1"/>
        </w:rPr>
        <w:t xml:space="preserve"> P, Ferguson KM. Structural basis for inhibition of the epidermal growth factor receptor by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Cancer Cell</w:t>
      </w:r>
      <w:r w:rsidRPr="007C570D">
        <w:rPr>
          <w:rFonts w:ascii="Book Antiqua" w:eastAsia="宋体" w:hAnsi="Book Antiqua" w:cs="宋体"/>
          <w:color w:val="000000" w:themeColor="text1"/>
        </w:rPr>
        <w:t xml:space="preserve"> 2005; </w:t>
      </w:r>
      <w:r w:rsidRPr="007C570D">
        <w:rPr>
          <w:rFonts w:ascii="Book Antiqua" w:eastAsia="宋体" w:hAnsi="Book Antiqua" w:cs="宋体"/>
          <w:b/>
          <w:bCs/>
          <w:color w:val="000000" w:themeColor="text1"/>
        </w:rPr>
        <w:t>7</w:t>
      </w:r>
      <w:r w:rsidRPr="007C570D">
        <w:rPr>
          <w:rFonts w:ascii="Book Antiqua" w:eastAsia="宋体" w:hAnsi="Book Antiqua" w:cs="宋体"/>
          <w:color w:val="000000" w:themeColor="text1"/>
        </w:rPr>
        <w:t>: 301-311 [PMID: 15837620 DOI: 10.1016/j.ccr.2005.03.003]</w:t>
      </w:r>
    </w:p>
    <w:p w14:paraId="1528030D"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58 </w:t>
      </w:r>
      <w:proofErr w:type="spellStart"/>
      <w:r w:rsidRPr="007C570D">
        <w:rPr>
          <w:rFonts w:ascii="Book Antiqua" w:eastAsia="宋体" w:hAnsi="Book Antiqua" w:cs="宋体"/>
          <w:b/>
          <w:bCs/>
          <w:color w:val="000000" w:themeColor="text1"/>
        </w:rPr>
        <w:t>Kurai</w:t>
      </w:r>
      <w:proofErr w:type="spellEnd"/>
      <w:r w:rsidRPr="007C570D">
        <w:rPr>
          <w:rFonts w:ascii="Book Antiqua" w:eastAsia="宋体" w:hAnsi="Book Antiqua" w:cs="宋体"/>
          <w:b/>
          <w:bCs/>
          <w:color w:val="000000" w:themeColor="text1"/>
        </w:rPr>
        <w:t xml:space="preserve"> J</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Chikumi</w:t>
      </w:r>
      <w:proofErr w:type="spellEnd"/>
      <w:r w:rsidRPr="007C570D">
        <w:rPr>
          <w:rFonts w:ascii="Book Antiqua" w:eastAsia="宋体" w:hAnsi="Book Antiqua" w:cs="宋体"/>
          <w:color w:val="000000" w:themeColor="text1"/>
        </w:rPr>
        <w:t xml:space="preserve"> H, Hashimoto K, Yamaguchi K, Yamasaki A, </w:t>
      </w:r>
      <w:proofErr w:type="spellStart"/>
      <w:r w:rsidRPr="007C570D">
        <w:rPr>
          <w:rFonts w:ascii="Book Antiqua" w:eastAsia="宋体" w:hAnsi="Book Antiqua" w:cs="宋体"/>
          <w:color w:val="000000" w:themeColor="text1"/>
        </w:rPr>
        <w:t>Sako</w:t>
      </w:r>
      <w:proofErr w:type="spellEnd"/>
      <w:r w:rsidRPr="007C570D">
        <w:rPr>
          <w:rFonts w:ascii="Book Antiqua" w:eastAsia="宋体" w:hAnsi="Book Antiqua" w:cs="宋体"/>
          <w:color w:val="000000" w:themeColor="text1"/>
        </w:rPr>
        <w:t xml:space="preserve"> T, </w:t>
      </w:r>
      <w:proofErr w:type="spellStart"/>
      <w:r w:rsidRPr="007C570D">
        <w:rPr>
          <w:rFonts w:ascii="Book Antiqua" w:eastAsia="宋体" w:hAnsi="Book Antiqua" w:cs="宋体"/>
          <w:color w:val="000000" w:themeColor="text1"/>
        </w:rPr>
        <w:t>Touge</w:t>
      </w:r>
      <w:proofErr w:type="spellEnd"/>
      <w:r w:rsidRPr="007C570D">
        <w:rPr>
          <w:rFonts w:ascii="Book Antiqua" w:eastAsia="宋体" w:hAnsi="Book Antiqua" w:cs="宋体"/>
          <w:color w:val="000000" w:themeColor="text1"/>
        </w:rPr>
        <w:t xml:space="preserve"> H, Makino H, </w:t>
      </w:r>
      <w:proofErr w:type="spellStart"/>
      <w:r w:rsidRPr="007C570D">
        <w:rPr>
          <w:rFonts w:ascii="Book Antiqua" w:eastAsia="宋体" w:hAnsi="Book Antiqua" w:cs="宋体"/>
          <w:color w:val="000000" w:themeColor="text1"/>
        </w:rPr>
        <w:t>Takata</w:t>
      </w:r>
      <w:proofErr w:type="spellEnd"/>
      <w:r w:rsidRPr="007C570D">
        <w:rPr>
          <w:rFonts w:ascii="Book Antiqua" w:eastAsia="宋体" w:hAnsi="Book Antiqua" w:cs="宋体"/>
          <w:color w:val="000000" w:themeColor="text1"/>
        </w:rPr>
        <w:t xml:space="preserve"> M, Miyata M, </w:t>
      </w:r>
      <w:proofErr w:type="spellStart"/>
      <w:r w:rsidRPr="007C570D">
        <w:rPr>
          <w:rFonts w:ascii="Book Antiqua" w:eastAsia="宋体" w:hAnsi="Book Antiqua" w:cs="宋体"/>
          <w:color w:val="000000" w:themeColor="text1"/>
        </w:rPr>
        <w:t>Nakamoto</w:t>
      </w:r>
      <w:proofErr w:type="spellEnd"/>
      <w:r w:rsidRPr="007C570D">
        <w:rPr>
          <w:rFonts w:ascii="Book Antiqua" w:eastAsia="宋体" w:hAnsi="Book Antiqua" w:cs="宋体"/>
          <w:color w:val="000000" w:themeColor="text1"/>
        </w:rPr>
        <w:t xml:space="preserve"> M, </w:t>
      </w:r>
      <w:proofErr w:type="spellStart"/>
      <w:r w:rsidRPr="007C570D">
        <w:rPr>
          <w:rFonts w:ascii="Book Antiqua" w:eastAsia="宋体" w:hAnsi="Book Antiqua" w:cs="宋体"/>
          <w:color w:val="000000" w:themeColor="text1"/>
        </w:rPr>
        <w:t>Burioka</w:t>
      </w:r>
      <w:proofErr w:type="spellEnd"/>
      <w:r w:rsidRPr="007C570D">
        <w:rPr>
          <w:rFonts w:ascii="Book Antiqua" w:eastAsia="宋体" w:hAnsi="Book Antiqua" w:cs="宋体"/>
          <w:color w:val="000000" w:themeColor="text1"/>
        </w:rPr>
        <w:t xml:space="preserve"> N, Shimizu E. Antibody-dependent cellular cytotoxicity mediated by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against lung cancer cell lines.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Cancer Res</w:t>
      </w:r>
      <w:r w:rsidRPr="007C570D">
        <w:rPr>
          <w:rFonts w:ascii="Book Antiqua" w:eastAsia="宋体" w:hAnsi="Book Antiqua" w:cs="宋体"/>
          <w:color w:val="000000" w:themeColor="text1"/>
        </w:rPr>
        <w:t xml:space="preserve"> 2007; </w:t>
      </w:r>
      <w:r w:rsidRPr="007C570D">
        <w:rPr>
          <w:rFonts w:ascii="Book Antiqua" w:eastAsia="宋体" w:hAnsi="Book Antiqua" w:cs="宋体"/>
          <w:b/>
          <w:bCs/>
          <w:color w:val="000000" w:themeColor="text1"/>
        </w:rPr>
        <w:t>13</w:t>
      </w:r>
      <w:r w:rsidRPr="007C570D">
        <w:rPr>
          <w:rFonts w:ascii="Book Antiqua" w:eastAsia="宋体" w:hAnsi="Book Antiqua" w:cs="宋体"/>
          <w:color w:val="000000" w:themeColor="text1"/>
        </w:rPr>
        <w:t>: 1552-1561 [PMID: 17332301 DOI: 10.1158/1078-0432.CCR-06-1726]</w:t>
      </w:r>
    </w:p>
    <w:p w14:paraId="3B09D64C"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59 </w:t>
      </w:r>
      <w:r w:rsidRPr="007C570D">
        <w:rPr>
          <w:rFonts w:ascii="Book Antiqua" w:eastAsia="宋体" w:hAnsi="Book Antiqua" w:cs="宋体"/>
          <w:b/>
          <w:bCs/>
          <w:color w:val="000000" w:themeColor="text1"/>
        </w:rPr>
        <w:t>Lièvre A</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Bachet</w:t>
      </w:r>
      <w:proofErr w:type="spellEnd"/>
      <w:r w:rsidRPr="007C570D">
        <w:rPr>
          <w:rFonts w:ascii="Book Antiqua" w:eastAsia="宋体" w:hAnsi="Book Antiqua" w:cs="宋体"/>
          <w:color w:val="000000" w:themeColor="text1"/>
        </w:rPr>
        <w:t xml:space="preserve"> JB, Le </w:t>
      </w:r>
      <w:proofErr w:type="spellStart"/>
      <w:r w:rsidRPr="007C570D">
        <w:rPr>
          <w:rFonts w:ascii="Book Antiqua" w:eastAsia="宋体" w:hAnsi="Book Antiqua" w:cs="宋体"/>
          <w:color w:val="000000" w:themeColor="text1"/>
        </w:rPr>
        <w:t>Corre</w:t>
      </w:r>
      <w:proofErr w:type="spellEnd"/>
      <w:r w:rsidRPr="007C570D">
        <w:rPr>
          <w:rFonts w:ascii="Book Antiqua" w:eastAsia="宋体" w:hAnsi="Book Antiqua" w:cs="宋体"/>
          <w:color w:val="000000" w:themeColor="text1"/>
        </w:rPr>
        <w:t xml:space="preserve"> D, </w:t>
      </w:r>
      <w:proofErr w:type="spellStart"/>
      <w:r w:rsidRPr="007C570D">
        <w:rPr>
          <w:rFonts w:ascii="Book Antiqua" w:eastAsia="宋体" w:hAnsi="Book Antiqua" w:cs="宋体"/>
          <w:color w:val="000000" w:themeColor="text1"/>
        </w:rPr>
        <w:t>Boige</w:t>
      </w:r>
      <w:proofErr w:type="spellEnd"/>
      <w:r w:rsidRPr="007C570D">
        <w:rPr>
          <w:rFonts w:ascii="Book Antiqua" w:eastAsia="宋体" w:hAnsi="Book Antiqua" w:cs="宋体"/>
          <w:color w:val="000000" w:themeColor="text1"/>
        </w:rPr>
        <w:t xml:space="preserve"> V, </w:t>
      </w:r>
      <w:proofErr w:type="spellStart"/>
      <w:r w:rsidRPr="007C570D">
        <w:rPr>
          <w:rFonts w:ascii="Book Antiqua" w:eastAsia="宋体" w:hAnsi="Book Antiqua" w:cs="宋体"/>
          <w:color w:val="000000" w:themeColor="text1"/>
        </w:rPr>
        <w:t>Landi</w:t>
      </w:r>
      <w:proofErr w:type="spellEnd"/>
      <w:r w:rsidRPr="007C570D">
        <w:rPr>
          <w:rFonts w:ascii="Book Antiqua" w:eastAsia="宋体" w:hAnsi="Book Antiqua" w:cs="宋体"/>
          <w:color w:val="000000" w:themeColor="text1"/>
        </w:rPr>
        <w:t xml:space="preserve"> B, Emile JF, </w:t>
      </w:r>
      <w:proofErr w:type="spellStart"/>
      <w:r w:rsidRPr="007C570D">
        <w:rPr>
          <w:rFonts w:ascii="Book Antiqua" w:eastAsia="宋体" w:hAnsi="Book Antiqua" w:cs="宋体"/>
          <w:color w:val="000000" w:themeColor="text1"/>
        </w:rPr>
        <w:t>Côté</w:t>
      </w:r>
      <w:proofErr w:type="spellEnd"/>
      <w:r w:rsidRPr="007C570D">
        <w:rPr>
          <w:rFonts w:ascii="Book Antiqua" w:eastAsia="宋体" w:hAnsi="Book Antiqua" w:cs="宋体"/>
          <w:color w:val="000000" w:themeColor="text1"/>
        </w:rPr>
        <w:t xml:space="preserve"> JF, </w:t>
      </w:r>
      <w:proofErr w:type="spellStart"/>
      <w:r w:rsidRPr="007C570D">
        <w:rPr>
          <w:rFonts w:ascii="Book Antiqua" w:eastAsia="宋体" w:hAnsi="Book Antiqua" w:cs="宋体"/>
          <w:color w:val="000000" w:themeColor="text1"/>
        </w:rPr>
        <w:t>Tomasic</w:t>
      </w:r>
      <w:proofErr w:type="spellEnd"/>
      <w:r w:rsidRPr="007C570D">
        <w:rPr>
          <w:rFonts w:ascii="Book Antiqua" w:eastAsia="宋体" w:hAnsi="Book Antiqua" w:cs="宋体"/>
          <w:color w:val="000000" w:themeColor="text1"/>
        </w:rPr>
        <w:t xml:space="preserve"> G, </w:t>
      </w:r>
      <w:proofErr w:type="spellStart"/>
      <w:r w:rsidRPr="007C570D">
        <w:rPr>
          <w:rFonts w:ascii="Book Antiqua" w:eastAsia="宋体" w:hAnsi="Book Antiqua" w:cs="宋体"/>
          <w:color w:val="000000" w:themeColor="text1"/>
        </w:rPr>
        <w:t>Penna</w:t>
      </w:r>
      <w:proofErr w:type="spellEnd"/>
      <w:r w:rsidRPr="007C570D">
        <w:rPr>
          <w:rFonts w:ascii="Book Antiqua" w:eastAsia="宋体" w:hAnsi="Book Antiqua" w:cs="宋体"/>
          <w:color w:val="000000" w:themeColor="text1"/>
        </w:rPr>
        <w:t xml:space="preserve"> C, </w:t>
      </w:r>
      <w:proofErr w:type="spellStart"/>
      <w:r w:rsidRPr="007C570D">
        <w:rPr>
          <w:rFonts w:ascii="Book Antiqua" w:eastAsia="宋体" w:hAnsi="Book Antiqua" w:cs="宋体"/>
          <w:color w:val="000000" w:themeColor="text1"/>
        </w:rPr>
        <w:t>Ducreux</w:t>
      </w:r>
      <w:proofErr w:type="spellEnd"/>
      <w:r w:rsidRPr="007C570D">
        <w:rPr>
          <w:rFonts w:ascii="Book Antiqua" w:eastAsia="宋体" w:hAnsi="Book Antiqua" w:cs="宋体"/>
          <w:color w:val="000000" w:themeColor="text1"/>
        </w:rPr>
        <w:t xml:space="preserve"> M, </w:t>
      </w:r>
      <w:proofErr w:type="spellStart"/>
      <w:r w:rsidRPr="007C570D">
        <w:rPr>
          <w:rFonts w:ascii="Book Antiqua" w:eastAsia="宋体" w:hAnsi="Book Antiqua" w:cs="宋体"/>
          <w:color w:val="000000" w:themeColor="text1"/>
        </w:rPr>
        <w:t>Rougier</w:t>
      </w:r>
      <w:proofErr w:type="spellEnd"/>
      <w:r w:rsidRPr="007C570D">
        <w:rPr>
          <w:rFonts w:ascii="Book Antiqua" w:eastAsia="宋体" w:hAnsi="Book Antiqua" w:cs="宋体"/>
          <w:color w:val="000000" w:themeColor="text1"/>
        </w:rPr>
        <w:t xml:space="preserve"> P, </w:t>
      </w:r>
      <w:proofErr w:type="spellStart"/>
      <w:r w:rsidRPr="007C570D">
        <w:rPr>
          <w:rFonts w:ascii="Book Antiqua" w:eastAsia="宋体" w:hAnsi="Book Antiqua" w:cs="宋体"/>
          <w:color w:val="000000" w:themeColor="text1"/>
        </w:rPr>
        <w:t>Penault-Llorca</w:t>
      </w:r>
      <w:proofErr w:type="spellEnd"/>
      <w:r w:rsidRPr="007C570D">
        <w:rPr>
          <w:rFonts w:ascii="Book Antiqua" w:eastAsia="宋体" w:hAnsi="Book Antiqua" w:cs="宋体"/>
          <w:color w:val="000000" w:themeColor="text1"/>
        </w:rPr>
        <w:t xml:space="preserve"> F, Laurent-</w:t>
      </w:r>
      <w:proofErr w:type="spellStart"/>
      <w:r w:rsidRPr="007C570D">
        <w:rPr>
          <w:rFonts w:ascii="Book Antiqua" w:eastAsia="宋体" w:hAnsi="Book Antiqua" w:cs="宋体"/>
          <w:color w:val="000000" w:themeColor="text1"/>
        </w:rPr>
        <w:t>Puig</w:t>
      </w:r>
      <w:proofErr w:type="spellEnd"/>
      <w:r w:rsidRPr="007C570D">
        <w:rPr>
          <w:rFonts w:ascii="Book Antiqua" w:eastAsia="宋体" w:hAnsi="Book Antiqua" w:cs="宋体"/>
          <w:color w:val="000000" w:themeColor="text1"/>
        </w:rPr>
        <w:t xml:space="preserve"> P. KRAS mutation status is predictive of response to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therapy in colorectal cancer. </w:t>
      </w:r>
      <w:r w:rsidRPr="007C570D">
        <w:rPr>
          <w:rFonts w:ascii="Book Antiqua" w:eastAsia="宋体" w:hAnsi="Book Antiqua" w:cs="宋体"/>
          <w:i/>
          <w:iCs/>
          <w:color w:val="000000" w:themeColor="text1"/>
        </w:rPr>
        <w:t>Cancer Res</w:t>
      </w:r>
      <w:r w:rsidRPr="007C570D">
        <w:rPr>
          <w:rFonts w:ascii="Book Antiqua" w:eastAsia="宋体" w:hAnsi="Book Antiqua" w:cs="宋体"/>
          <w:color w:val="000000" w:themeColor="text1"/>
        </w:rPr>
        <w:t xml:space="preserve"> 2006; </w:t>
      </w:r>
      <w:r w:rsidRPr="007C570D">
        <w:rPr>
          <w:rFonts w:ascii="Book Antiqua" w:eastAsia="宋体" w:hAnsi="Book Antiqua" w:cs="宋体"/>
          <w:b/>
          <w:bCs/>
          <w:color w:val="000000" w:themeColor="text1"/>
        </w:rPr>
        <w:t>66</w:t>
      </w:r>
      <w:r w:rsidRPr="007C570D">
        <w:rPr>
          <w:rFonts w:ascii="Book Antiqua" w:eastAsia="宋体" w:hAnsi="Book Antiqua" w:cs="宋体"/>
          <w:color w:val="000000" w:themeColor="text1"/>
        </w:rPr>
        <w:t>: 3992-3995 [PMID: 16618717 DOI: 10.1158/0008-5472.CAN-06-0191]</w:t>
      </w:r>
    </w:p>
    <w:p w14:paraId="036EE5E4"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60 </w:t>
      </w:r>
      <w:r w:rsidRPr="007C570D">
        <w:rPr>
          <w:rFonts w:ascii="Book Antiqua" w:eastAsia="宋体" w:hAnsi="Book Antiqua" w:cs="宋体"/>
          <w:b/>
          <w:bCs/>
          <w:color w:val="000000" w:themeColor="text1"/>
        </w:rPr>
        <w:t xml:space="preserve">De </w:t>
      </w:r>
      <w:proofErr w:type="spellStart"/>
      <w:r w:rsidRPr="007C570D">
        <w:rPr>
          <w:rFonts w:ascii="Book Antiqua" w:eastAsia="宋体" w:hAnsi="Book Antiqua" w:cs="宋体"/>
          <w:b/>
          <w:bCs/>
          <w:color w:val="000000" w:themeColor="text1"/>
        </w:rPr>
        <w:t>Roock</w:t>
      </w:r>
      <w:proofErr w:type="spellEnd"/>
      <w:r w:rsidRPr="007C570D">
        <w:rPr>
          <w:rFonts w:ascii="Book Antiqua" w:eastAsia="宋体" w:hAnsi="Book Antiqua" w:cs="宋体"/>
          <w:b/>
          <w:bCs/>
          <w:color w:val="000000" w:themeColor="text1"/>
        </w:rPr>
        <w:t xml:space="preserve"> W</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Piessevaux</w:t>
      </w:r>
      <w:proofErr w:type="spellEnd"/>
      <w:r w:rsidRPr="007C570D">
        <w:rPr>
          <w:rFonts w:ascii="Book Antiqua" w:eastAsia="宋体" w:hAnsi="Book Antiqua" w:cs="宋体"/>
          <w:color w:val="000000" w:themeColor="text1"/>
        </w:rPr>
        <w:t xml:space="preserve"> H, De </w:t>
      </w:r>
      <w:proofErr w:type="spellStart"/>
      <w:r w:rsidRPr="007C570D">
        <w:rPr>
          <w:rFonts w:ascii="Book Antiqua" w:eastAsia="宋体" w:hAnsi="Book Antiqua" w:cs="宋体"/>
          <w:color w:val="000000" w:themeColor="text1"/>
        </w:rPr>
        <w:t>Schutter</w:t>
      </w:r>
      <w:proofErr w:type="spellEnd"/>
      <w:r w:rsidRPr="007C570D">
        <w:rPr>
          <w:rFonts w:ascii="Book Antiqua" w:eastAsia="宋体" w:hAnsi="Book Antiqua" w:cs="宋体"/>
          <w:color w:val="000000" w:themeColor="text1"/>
        </w:rPr>
        <w:t xml:space="preserve"> J, </w:t>
      </w:r>
      <w:proofErr w:type="spellStart"/>
      <w:r w:rsidRPr="007C570D">
        <w:rPr>
          <w:rFonts w:ascii="Book Antiqua" w:eastAsia="宋体" w:hAnsi="Book Antiqua" w:cs="宋体"/>
          <w:color w:val="000000" w:themeColor="text1"/>
        </w:rPr>
        <w:t>Janssens</w:t>
      </w:r>
      <w:proofErr w:type="spellEnd"/>
      <w:r w:rsidRPr="007C570D">
        <w:rPr>
          <w:rFonts w:ascii="Book Antiqua" w:eastAsia="宋体" w:hAnsi="Book Antiqua" w:cs="宋体"/>
          <w:color w:val="000000" w:themeColor="text1"/>
        </w:rPr>
        <w:t xml:space="preserve"> M, De </w:t>
      </w:r>
      <w:proofErr w:type="spellStart"/>
      <w:r w:rsidRPr="007C570D">
        <w:rPr>
          <w:rFonts w:ascii="Book Antiqua" w:eastAsia="宋体" w:hAnsi="Book Antiqua" w:cs="宋体"/>
          <w:color w:val="000000" w:themeColor="text1"/>
        </w:rPr>
        <w:t>Hertogh</w:t>
      </w:r>
      <w:proofErr w:type="spellEnd"/>
      <w:r w:rsidRPr="007C570D">
        <w:rPr>
          <w:rFonts w:ascii="Book Antiqua" w:eastAsia="宋体" w:hAnsi="Book Antiqua" w:cs="宋体"/>
          <w:color w:val="000000" w:themeColor="text1"/>
        </w:rPr>
        <w:t xml:space="preserve"> G, </w:t>
      </w:r>
      <w:proofErr w:type="spellStart"/>
      <w:r w:rsidRPr="007C570D">
        <w:rPr>
          <w:rFonts w:ascii="Book Antiqua" w:eastAsia="宋体" w:hAnsi="Book Antiqua" w:cs="宋体"/>
          <w:color w:val="000000" w:themeColor="text1"/>
        </w:rPr>
        <w:t>Personeni</w:t>
      </w:r>
      <w:proofErr w:type="spellEnd"/>
      <w:r w:rsidRPr="007C570D">
        <w:rPr>
          <w:rFonts w:ascii="Book Antiqua" w:eastAsia="宋体" w:hAnsi="Book Antiqua" w:cs="宋体"/>
          <w:color w:val="000000" w:themeColor="text1"/>
        </w:rPr>
        <w:t xml:space="preserve"> N, </w:t>
      </w:r>
      <w:proofErr w:type="spellStart"/>
      <w:r w:rsidRPr="007C570D">
        <w:rPr>
          <w:rFonts w:ascii="Book Antiqua" w:eastAsia="宋体" w:hAnsi="Book Antiqua" w:cs="宋体"/>
          <w:color w:val="000000" w:themeColor="text1"/>
        </w:rPr>
        <w:t>Biesmans</w:t>
      </w:r>
      <w:proofErr w:type="spellEnd"/>
      <w:r w:rsidRPr="007C570D">
        <w:rPr>
          <w:rFonts w:ascii="Book Antiqua" w:eastAsia="宋体" w:hAnsi="Book Antiqua" w:cs="宋体"/>
          <w:color w:val="000000" w:themeColor="text1"/>
        </w:rPr>
        <w:t xml:space="preserve"> B, Van </w:t>
      </w:r>
      <w:proofErr w:type="spellStart"/>
      <w:r w:rsidRPr="007C570D">
        <w:rPr>
          <w:rFonts w:ascii="Book Antiqua" w:eastAsia="宋体" w:hAnsi="Book Antiqua" w:cs="宋体"/>
          <w:color w:val="000000" w:themeColor="text1"/>
        </w:rPr>
        <w:t>Laethem</w:t>
      </w:r>
      <w:proofErr w:type="spellEnd"/>
      <w:r w:rsidRPr="007C570D">
        <w:rPr>
          <w:rFonts w:ascii="Book Antiqua" w:eastAsia="宋体" w:hAnsi="Book Antiqua" w:cs="宋体"/>
          <w:color w:val="000000" w:themeColor="text1"/>
        </w:rPr>
        <w:t xml:space="preserve"> JL, </w:t>
      </w:r>
      <w:proofErr w:type="spellStart"/>
      <w:r w:rsidRPr="007C570D">
        <w:rPr>
          <w:rFonts w:ascii="Book Antiqua" w:eastAsia="宋体" w:hAnsi="Book Antiqua" w:cs="宋体"/>
          <w:color w:val="000000" w:themeColor="text1"/>
        </w:rPr>
        <w:t>Peeters</w:t>
      </w:r>
      <w:proofErr w:type="spellEnd"/>
      <w:r w:rsidRPr="007C570D">
        <w:rPr>
          <w:rFonts w:ascii="Book Antiqua" w:eastAsia="宋体" w:hAnsi="Book Antiqua" w:cs="宋体"/>
          <w:color w:val="000000" w:themeColor="text1"/>
        </w:rPr>
        <w:t xml:space="preserve"> M, </w:t>
      </w:r>
      <w:proofErr w:type="spellStart"/>
      <w:r w:rsidRPr="007C570D">
        <w:rPr>
          <w:rFonts w:ascii="Book Antiqua" w:eastAsia="宋体" w:hAnsi="Book Antiqua" w:cs="宋体"/>
          <w:color w:val="000000" w:themeColor="text1"/>
        </w:rPr>
        <w:t>Humblet</w:t>
      </w:r>
      <w:proofErr w:type="spellEnd"/>
      <w:r w:rsidRPr="007C570D">
        <w:rPr>
          <w:rFonts w:ascii="Book Antiqua" w:eastAsia="宋体" w:hAnsi="Book Antiqua" w:cs="宋体"/>
          <w:color w:val="000000" w:themeColor="text1"/>
        </w:rPr>
        <w:t xml:space="preserve"> Y, Van </w:t>
      </w:r>
      <w:proofErr w:type="spellStart"/>
      <w:r w:rsidRPr="007C570D">
        <w:rPr>
          <w:rFonts w:ascii="Book Antiqua" w:eastAsia="宋体" w:hAnsi="Book Antiqua" w:cs="宋体"/>
          <w:color w:val="000000" w:themeColor="text1"/>
        </w:rPr>
        <w:t>Cutsem</w:t>
      </w:r>
      <w:proofErr w:type="spellEnd"/>
      <w:r w:rsidRPr="007C570D">
        <w:rPr>
          <w:rFonts w:ascii="Book Antiqua" w:eastAsia="宋体" w:hAnsi="Book Antiqua" w:cs="宋体"/>
          <w:color w:val="000000" w:themeColor="text1"/>
        </w:rPr>
        <w:t xml:space="preserve"> E, </w:t>
      </w:r>
      <w:proofErr w:type="spellStart"/>
      <w:r w:rsidRPr="007C570D">
        <w:rPr>
          <w:rFonts w:ascii="Book Antiqua" w:eastAsia="宋体" w:hAnsi="Book Antiqua" w:cs="宋体"/>
          <w:color w:val="000000" w:themeColor="text1"/>
        </w:rPr>
        <w:t>Tejpar</w:t>
      </w:r>
      <w:proofErr w:type="spellEnd"/>
      <w:r w:rsidRPr="007C570D">
        <w:rPr>
          <w:rFonts w:ascii="Book Antiqua" w:eastAsia="宋体" w:hAnsi="Book Antiqua" w:cs="宋体"/>
          <w:color w:val="000000" w:themeColor="text1"/>
        </w:rPr>
        <w:t xml:space="preserve"> S. KRAS wild-type state predicts survival and is associated to early radiological response in metastatic colorectal cancer treated with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 xml:space="preserve">Ann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19</w:t>
      </w:r>
      <w:r w:rsidRPr="007C570D">
        <w:rPr>
          <w:rFonts w:ascii="Book Antiqua" w:eastAsia="宋体" w:hAnsi="Book Antiqua" w:cs="宋体"/>
          <w:color w:val="000000" w:themeColor="text1"/>
        </w:rPr>
        <w:t>: 508-515 [PMID: 17998284 DOI: 10.1093/</w:t>
      </w:r>
      <w:proofErr w:type="spellStart"/>
      <w:r w:rsidRPr="007C570D">
        <w:rPr>
          <w:rFonts w:ascii="Book Antiqua" w:eastAsia="宋体" w:hAnsi="Book Antiqua" w:cs="宋体"/>
          <w:color w:val="000000" w:themeColor="text1"/>
        </w:rPr>
        <w:t>annonc</w:t>
      </w:r>
      <w:proofErr w:type="spellEnd"/>
      <w:r w:rsidRPr="007C570D">
        <w:rPr>
          <w:rFonts w:ascii="Book Antiqua" w:eastAsia="宋体" w:hAnsi="Book Antiqua" w:cs="宋体"/>
          <w:color w:val="000000" w:themeColor="text1"/>
        </w:rPr>
        <w:t>/mdm496]</w:t>
      </w:r>
    </w:p>
    <w:p w14:paraId="507619A5"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61 </w:t>
      </w:r>
      <w:proofErr w:type="spellStart"/>
      <w:r w:rsidRPr="007C570D">
        <w:rPr>
          <w:rFonts w:ascii="Book Antiqua" w:eastAsia="宋体" w:hAnsi="Book Antiqua" w:cs="宋体"/>
          <w:b/>
          <w:bCs/>
          <w:color w:val="000000" w:themeColor="text1"/>
        </w:rPr>
        <w:t>Bokemeyer</w:t>
      </w:r>
      <w:proofErr w:type="spellEnd"/>
      <w:r w:rsidRPr="007C570D">
        <w:rPr>
          <w:rFonts w:ascii="Book Antiqua" w:eastAsia="宋体" w:hAnsi="Book Antiqua" w:cs="宋体"/>
          <w:b/>
          <w:bCs/>
          <w:color w:val="000000" w:themeColor="text1"/>
        </w:rPr>
        <w:t xml:space="preserve"> C</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Bondarenko</w:t>
      </w:r>
      <w:proofErr w:type="spellEnd"/>
      <w:r w:rsidRPr="007C570D">
        <w:rPr>
          <w:rFonts w:ascii="Book Antiqua" w:eastAsia="宋体" w:hAnsi="Book Antiqua" w:cs="宋体"/>
          <w:color w:val="000000" w:themeColor="text1"/>
        </w:rPr>
        <w:t xml:space="preserve"> I, </w:t>
      </w:r>
      <w:proofErr w:type="spellStart"/>
      <w:r w:rsidRPr="007C570D">
        <w:rPr>
          <w:rFonts w:ascii="Book Antiqua" w:eastAsia="宋体" w:hAnsi="Book Antiqua" w:cs="宋体"/>
          <w:color w:val="000000" w:themeColor="text1"/>
        </w:rPr>
        <w:t>Makhson</w:t>
      </w:r>
      <w:proofErr w:type="spellEnd"/>
      <w:r w:rsidRPr="007C570D">
        <w:rPr>
          <w:rFonts w:ascii="Book Antiqua" w:eastAsia="宋体" w:hAnsi="Book Antiqua" w:cs="宋体"/>
          <w:color w:val="000000" w:themeColor="text1"/>
        </w:rPr>
        <w:t xml:space="preserve"> A, Hartmann JT, </w:t>
      </w:r>
      <w:proofErr w:type="spellStart"/>
      <w:r w:rsidRPr="007C570D">
        <w:rPr>
          <w:rFonts w:ascii="Book Antiqua" w:eastAsia="宋体" w:hAnsi="Book Antiqua" w:cs="宋体"/>
          <w:color w:val="000000" w:themeColor="text1"/>
        </w:rPr>
        <w:t>Aparicio</w:t>
      </w:r>
      <w:proofErr w:type="spellEnd"/>
      <w:r w:rsidRPr="007C570D">
        <w:rPr>
          <w:rFonts w:ascii="Book Antiqua" w:eastAsia="宋体" w:hAnsi="Book Antiqua" w:cs="宋体"/>
          <w:color w:val="000000" w:themeColor="text1"/>
        </w:rPr>
        <w:t xml:space="preserve"> J, de </w:t>
      </w:r>
      <w:proofErr w:type="spellStart"/>
      <w:r w:rsidRPr="007C570D">
        <w:rPr>
          <w:rFonts w:ascii="Book Antiqua" w:eastAsia="宋体" w:hAnsi="Book Antiqua" w:cs="宋体"/>
          <w:color w:val="000000" w:themeColor="text1"/>
        </w:rPr>
        <w:t>Braud</w:t>
      </w:r>
      <w:proofErr w:type="spellEnd"/>
      <w:r w:rsidRPr="007C570D">
        <w:rPr>
          <w:rFonts w:ascii="Book Antiqua" w:eastAsia="宋体" w:hAnsi="Book Antiqua" w:cs="宋体"/>
          <w:color w:val="000000" w:themeColor="text1"/>
        </w:rPr>
        <w:t xml:space="preserve"> F, </w:t>
      </w:r>
      <w:proofErr w:type="spellStart"/>
      <w:r w:rsidRPr="007C570D">
        <w:rPr>
          <w:rFonts w:ascii="Book Antiqua" w:eastAsia="宋体" w:hAnsi="Book Antiqua" w:cs="宋体"/>
          <w:color w:val="000000" w:themeColor="text1"/>
        </w:rPr>
        <w:t>Donea</w:t>
      </w:r>
      <w:proofErr w:type="spellEnd"/>
      <w:r w:rsidRPr="007C570D">
        <w:rPr>
          <w:rFonts w:ascii="Book Antiqua" w:eastAsia="宋体" w:hAnsi="Book Antiqua" w:cs="宋体"/>
          <w:color w:val="000000" w:themeColor="text1"/>
        </w:rPr>
        <w:t xml:space="preserve"> S, Ludwig H, </w:t>
      </w:r>
      <w:proofErr w:type="spellStart"/>
      <w:r w:rsidRPr="007C570D">
        <w:rPr>
          <w:rFonts w:ascii="Book Antiqua" w:eastAsia="宋体" w:hAnsi="Book Antiqua" w:cs="宋体"/>
          <w:color w:val="000000" w:themeColor="text1"/>
        </w:rPr>
        <w:t>Schuch</w:t>
      </w:r>
      <w:proofErr w:type="spellEnd"/>
      <w:r w:rsidRPr="007C570D">
        <w:rPr>
          <w:rFonts w:ascii="Book Antiqua" w:eastAsia="宋体" w:hAnsi="Book Antiqua" w:cs="宋体"/>
          <w:color w:val="000000" w:themeColor="text1"/>
        </w:rPr>
        <w:t xml:space="preserve"> G, Stroh C, Loos AH, </w:t>
      </w:r>
      <w:proofErr w:type="spellStart"/>
      <w:r w:rsidRPr="007C570D">
        <w:rPr>
          <w:rFonts w:ascii="Book Antiqua" w:eastAsia="宋体" w:hAnsi="Book Antiqua" w:cs="宋体"/>
          <w:color w:val="000000" w:themeColor="text1"/>
        </w:rPr>
        <w:t>Zubel</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Koralewski</w:t>
      </w:r>
      <w:proofErr w:type="spellEnd"/>
      <w:r w:rsidRPr="007C570D">
        <w:rPr>
          <w:rFonts w:ascii="Book Antiqua" w:eastAsia="宋体" w:hAnsi="Book Antiqua" w:cs="宋体"/>
          <w:color w:val="000000" w:themeColor="text1"/>
        </w:rPr>
        <w:t xml:space="preserve"> P. Fluorouracil, </w:t>
      </w:r>
      <w:proofErr w:type="spellStart"/>
      <w:r w:rsidRPr="007C570D">
        <w:rPr>
          <w:rFonts w:ascii="Book Antiqua" w:eastAsia="宋体" w:hAnsi="Book Antiqua" w:cs="宋体"/>
          <w:color w:val="000000" w:themeColor="text1"/>
        </w:rPr>
        <w:t>leucovorin</w:t>
      </w:r>
      <w:proofErr w:type="spellEnd"/>
      <w:r w:rsidRPr="007C570D">
        <w:rPr>
          <w:rFonts w:ascii="Book Antiqua" w:eastAsia="宋体" w:hAnsi="Book Antiqua" w:cs="宋体"/>
          <w:color w:val="000000" w:themeColor="text1"/>
        </w:rPr>
        <w:t xml:space="preserve">, and </w:t>
      </w:r>
      <w:proofErr w:type="spellStart"/>
      <w:r w:rsidRPr="007C570D">
        <w:rPr>
          <w:rFonts w:ascii="Book Antiqua" w:eastAsia="宋体" w:hAnsi="Book Antiqua" w:cs="宋体"/>
          <w:color w:val="000000" w:themeColor="text1"/>
        </w:rPr>
        <w:t>oxaliplatin</w:t>
      </w:r>
      <w:proofErr w:type="spellEnd"/>
      <w:r w:rsidRPr="007C570D">
        <w:rPr>
          <w:rFonts w:ascii="Book Antiqua" w:eastAsia="宋体" w:hAnsi="Book Antiqua" w:cs="宋体"/>
          <w:color w:val="000000" w:themeColor="text1"/>
        </w:rPr>
        <w:t xml:space="preserve"> with and without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in the first-</w:t>
      </w:r>
      <w:r w:rsidRPr="007C570D">
        <w:rPr>
          <w:rFonts w:ascii="Book Antiqua" w:eastAsia="宋体" w:hAnsi="Book Antiqua" w:cs="宋体"/>
          <w:color w:val="000000" w:themeColor="text1"/>
        </w:rPr>
        <w:lastRenderedPageBreak/>
        <w:t xml:space="preserve">line treatment of metastatic colorectal cancer.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2009; </w:t>
      </w:r>
      <w:r w:rsidRPr="007C570D">
        <w:rPr>
          <w:rFonts w:ascii="Book Antiqua" w:eastAsia="宋体" w:hAnsi="Book Antiqua" w:cs="宋体"/>
          <w:b/>
          <w:bCs/>
          <w:color w:val="000000" w:themeColor="text1"/>
        </w:rPr>
        <w:t>27</w:t>
      </w:r>
      <w:r w:rsidRPr="007C570D">
        <w:rPr>
          <w:rFonts w:ascii="Book Antiqua" w:eastAsia="宋体" w:hAnsi="Book Antiqua" w:cs="宋体"/>
          <w:color w:val="000000" w:themeColor="text1"/>
        </w:rPr>
        <w:t>: 663-671 [PMID: 19114683 DOI: 10.1200/JCO.2008.20.8397]</w:t>
      </w:r>
    </w:p>
    <w:p w14:paraId="5DC2A329"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62 </w:t>
      </w:r>
      <w:r w:rsidRPr="007C570D">
        <w:rPr>
          <w:rFonts w:ascii="Book Antiqua" w:eastAsia="宋体" w:hAnsi="Book Antiqua" w:cs="宋体"/>
          <w:b/>
          <w:bCs/>
          <w:color w:val="000000" w:themeColor="text1"/>
        </w:rPr>
        <w:t>Amado RG</w:t>
      </w:r>
      <w:r w:rsidRPr="007C570D">
        <w:rPr>
          <w:rFonts w:ascii="Book Antiqua" w:eastAsia="宋体" w:hAnsi="Book Antiqua" w:cs="宋体"/>
          <w:color w:val="000000" w:themeColor="text1"/>
        </w:rPr>
        <w:t xml:space="preserve">, Wolf M, </w:t>
      </w:r>
      <w:proofErr w:type="spellStart"/>
      <w:r w:rsidRPr="007C570D">
        <w:rPr>
          <w:rFonts w:ascii="Book Antiqua" w:eastAsia="宋体" w:hAnsi="Book Antiqua" w:cs="宋体"/>
          <w:color w:val="000000" w:themeColor="text1"/>
        </w:rPr>
        <w:t>Peeters</w:t>
      </w:r>
      <w:proofErr w:type="spellEnd"/>
      <w:r w:rsidRPr="007C570D">
        <w:rPr>
          <w:rFonts w:ascii="Book Antiqua" w:eastAsia="宋体" w:hAnsi="Book Antiqua" w:cs="宋体"/>
          <w:color w:val="000000" w:themeColor="text1"/>
        </w:rPr>
        <w:t xml:space="preserve"> M, Van </w:t>
      </w:r>
      <w:proofErr w:type="spellStart"/>
      <w:r w:rsidRPr="007C570D">
        <w:rPr>
          <w:rFonts w:ascii="Book Antiqua" w:eastAsia="宋体" w:hAnsi="Book Antiqua" w:cs="宋体"/>
          <w:color w:val="000000" w:themeColor="text1"/>
        </w:rPr>
        <w:t>Cutsem</w:t>
      </w:r>
      <w:proofErr w:type="spellEnd"/>
      <w:r w:rsidRPr="007C570D">
        <w:rPr>
          <w:rFonts w:ascii="Book Antiqua" w:eastAsia="宋体" w:hAnsi="Book Antiqua" w:cs="宋体"/>
          <w:color w:val="000000" w:themeColor="text1"/>
        </w:rPr>
        <w:t xml:space="preserve"> E, Siena S, Freeman DJ, Juan T, Sikorski R, Suggs S, Radinsky R, Patterson SD, Chang DD. Wild-type KRAS is required for </w:t>
      </w:r>
      <w:proofErr w:type="spellStart"/>
      <w:r w:rsidRPr="007C570D">
        <w:rPr>
          <w:rFonts w:ascii="Book Antiqua" w:eastAsia="宋体" w:hAnsi="Book Antiqua" w:cs="宋体"/>
          <w:color w:val="000000" w:themeColor="text1"/>
        </w:rPr>
        <w:t>panitumumab</w:t>
      </w:r>
      <w:proofErr w:type="spellEnd"/>
      <w:r w:rsidRPr="007C570D">
        <w:rPr>
          <w:rFonts w:ascii="Book Antiqua" w:eastAsia="宋体" w:hAnsi="Book Antiqua" w:cs="宋体"/>
          <w:color w:val="000000" w:themeColor="text1"/>
        </w:rPr>
        <w:t xml:space="preserve"> efficacy in patients with metastatic colorectal cancer.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26</w:t>
      </w:r>
      <w:r w:rsidRPr="007C570D">
        <w:rPr>
          <w:rFonts w:ascii="Book Antiqua" w:eastAsia="宋体" w:hAnsi="Book Antiqua" w:cs="宋体"/>
          <w:color w:val="000000" w:themeColor="text1"/>
        </w:rPr>
        <w:t>: 1626-1634 [PMID: 18316791 DOI: 10.1200/JCO.2007.14.7116]</w:t>
      </w:r>
    </w:p>
    <w:p w14:paraId="0EFA3C08"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63 </w:t>
      </w:r>
      <w:proofErr w:type="spellStart"/>
      <w:r w:rsidRPr="007C570D">
        <w:rPr>
          <w:rFonts w:ascii="Book Antiqua" w:eastAsia="宋体" w:hAnsi="Book Antiqua" w:cs="宋体"/>
          <w:b/>
          <w:bCs/>
          <w:color w:val="000000" w:themeColor="text1"/>
        </w:rPr>
        <w:t>Tejpar</w:t>
      </w:r>
      <w:proofErr w:type="spellEnd"/>
      <w:r w:rsidRPr="007C570D">
        <w:rPr>
          <w:rFonts w:ascii="Book Antiqua" w:eastAsia="宋体" w:hAnsi="Book Antiqua" w:cs="宋体"/>
          <w:b/>
          <w:bCs/>
          <w:color w:val="000000" w:themeColor="text1"/>
        </w:rPr>
        <w:t xml:space="preserve"> S</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Celik</w:t>
      </w:r>
      <w:proofErr w:type="spellEnd"/>
      <w:r w:rsidRPr="007C570D">
        <w:rPr>
          <w:rFonts w:ascii="Book Antiqua" w:eastAsia="宋体" w:hAnsi="Book Antiqua" w:cs="宋体"/>
          <w:color w:val="000000" w:themeColor="text1"/>
        </w:rPr>
        <w:t xml:space="preserve"> I, </w:t>
      </w:r>
      <w:proofErr w:type="spellStart"/>
      <w:r w:rsidRPr="007C570D">
        <w:rPr>
          <w:rFonts w:ascii="Book Antiqua" w:eastAsia="宋体" w:hAnsi="Book Antiqua" w:cs="宋体"/>
          <w:color w:val="000000" w:themeColor="text1"/>
        </w:rPr>
        <w:t>Schlichting</w:t>
      </w:r>
      <w:proofErr w:type="spellEnd"/>
      <w:r w:rsidRPr="007C570D">
        <w:rPr>
          <w:rFonts w:ascii="Book Antiqua" w:eastAsia="宋体" w:hAnsi="Book Antiqua" w:cs="宋体"/>
          <w:color w:val="000000" w:themeColor="text1"/>
        </w:rPr>
        <w:t xml:space="preserve"> M, Sartorius U, </w:t>
      </w:r>
      <w:proofErr w:type="spellStart"/>
      <w:r w:rsidRPr="007C570D">
        <w:rPr>
          <w:rFonts w:ascii="Book Antiqua" w:eastAsia="宋体" w:hAnsi="Book Antiqua" w:cs="宋体"/>
          <w:color w:val="000000" w:themeColor="text1"/>
        </w:rPr>
        <w:t>Bokemeyer</w:t>
      </w:r>
      <w:proofErr w:type="spellEnd"/>
      <w:r w:rsidRPr="007C570D">
        <w:rPr>
          <w:rFonts w:ascii="Book Antiqua" w:eastAsia="宋体" w:hAnsi="Book Antiqua" w:cs="宋体"/>
          <w:color w:val="000000" w:themeColor="text1"/>
        </w:rPr>
        <w:t xml:space="preserve"> C, Van </w:t>
      </w:r>
      <w:proofErr w:type="spellStart"/>
      <w:r w:rsidRPr="007C570D">
        <w:rPr>
          <w:rFonts w:ascii="Book Antiqua" w:eastAsia="宋体" w:hAnsi="Book Antiqua" w:cs="宋体"/>
          <w:color w:val="000000" w:themeColor="text1"/>
        </w:rPr>
        <w:t>Cutsem</w:t>
      </w:r>
      <w:proofErr w:type="spellEnd"/>
      <w:r w:rsidRPr="007C570D">
        <w:rPr>
          <w:rFonts w:ascii="Book Antiqua" w:eastAsia="宋体" w:hAnsi="Book Antiqua" w:cs="宋体"/>
          <w:color w:val="000000" w:themeColor="text1"/>
        </w:rPr>
        <w:t xml:space="preserve"> E. Association of KRAS G13D tumor mutations with outcome in patients with metastatic colorectal cancer treated with first-line chemotherapy with or without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2012; </w:t>
      </w:r>
      <w:r w:rsidRPr="007C570D">
        <w:rPr>
          <w:rFonts w:ascii="Book Antiqua" w:eastAsia="宋体" w:hAnsi="Book Antiqua" w:cs="宋体"/>
          <w:b/>
          <w:bCs/>
          <w:color w:val="000000" w:themeColor="text1"/>
        </w:rPr>
        <w:t>30</w:t>
      </w:r>
      <w:r w:rsidRPr="007C570D">
        <w:rPr>
          <w:rFonts w:ascii="Book Antiqua" w:eastAsia="宋体" w:hAnsi="Book Antiqua" w:cs="宋体"/>
          <w:color w:val="000000" w:themeColor="text1"/>
        </w:rPr>
        <w:t>: 3570-3577 [PMID: 22734028 DOI: 10.1200/JCO.2012.42.2592]</w:t>
      </w:r>
    </w:p>
    <w:p w14:paraId="30DDB41B"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64 </w:t>
      </w:r>
      <w:r w:rsidRPr="007C570D">
        <w:rPr>
          <w:rFonts w:ascii="Book Antiqua" w:eastAsia="宋体" w:hAnsi="Book Antiqua" w:cs="宋体"/>
          <w:b/>
          <w:bCs/>
          <w:color w:val="000000" w:themeColor="text1"/>
        </w:rPr>
        <w:t>Maruyama R</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Nishiwaki</w:t>
      </w:r>
      <w:proofErr w:type="spellEnd"/>
      <w:r w:rsidRPr="007C570D">
        <w:rPr>
          <w:rFonts w:ascii="Book Antiqua" w:eastAsia="宋体" w:hAnsi="Book Antiqua" w:cs="宋体"/>
          <w:color w:val="000000" w:themeColor="text1"/>
        </w:rPr>
        <w:t xml:space="preserve"> Y, Tamura T, Yamamoto N, </w:t>
      </w:r>
      <w:proofErr w:type="spellStart"/>
      <w:r w:rsidRPr="007C570D">
        <w:rPr>
          <w:rFonts w:ascii="Book Antiqua" w:eastAsia="宋体" w:hAnsi="Book Antiqua" w:cs="宋体"/>
          <w:color w:val="000000" w:themeColor="text1"/>
        </w:rPr>
        <w:t>Tsuboi</w:t>
      </w:r>
      <w:proofErr w:type="spellEnd"/>
      <w:r w:rsidRPr="007C570D">
        <w:rPr>
          <w:rFonts w:ascii="Book Antiqua" w:eastAsia="宋体" w:hAnsi="Book Antiqua" w:cs="宋体"/>
          <w:color w:val="000000" w:themeColor="text1"/>
        </w:rPr>
        <w:t xml:space="preserve"> M, Nakagawa K, </w:t>
      </w:r>
      <w:proofErr w:type="spellStart"/>
      <w:r w:rsidRPr="007C570D">
        <w:rPr>
          <w:rFonts w:ascii="Book Antiqua" w:eastAsia="宋体" w:hAnsi="Book Antiqua" w:cs="宋体"/>
          <w:color w:val="000000" w:themeColor="text1"/>
        </w:rPr>
        <w:t>Shinkai</w:t>
      </w:r>
      <w:proofErr w:type="spellEnd"/>
      <w:r w:rsidRPr="007C570D">
        <w:rPr>
          <w:rFonts w:ascii="Book Antiqua" w:eastAsia="宋体" w:hAnsi="Book Antiqua" w:cs="宋体"/>
          <w:color w:val="000000" w:themeColor="text1"/>
        </w:rPr>
        <w:t xml:space="preserve"> T, </w:t>
      </w:r>
      <w:proofErr w:type="spellStart"/>
      <w:r w:rsidRPr="007C570D">
        <w:rPr>
          <w:rFonts w:ascii="Book Antiqua" w:eastAsia="宋体" w:hAnsi="Book Antiqua" w:cs="宋体"/>
          <w:color w:val="000000" w:themeColor="text1"/>
        </w:rPr>
        <w:t>Negoro</w:t>
      </w:r>
      <w:proofErr w:type="spellEnd"/>
      <w:r w:rsidRPr="007C570D">
        <w:rPr>
          <w:rFonts w:ascii="Book Antiqua" w:eastAsia="宋体" w:hAnsi="Book Antiqua" w:cs="宋体"/>
          <w:color w:val="000000" w:themeColor="text1"/>
        </w:rPr>
        <w:t xml:space="preserve"> S, Imamura F, </w:t>
      </w:r>
      <w:proofErr w:type="spellStart"/>
      <w:r w:rsidRPr="007C570D">
        <w:rPr>
          <w:rFonts w:ascii="Book Antiqua" w:eastAsia="宋体" w:hAnsi="Book Antiqua" w:cs="宋体"/>
          <w:color w:val="000000" w:themeColor="text1"/>
        </w:rPr>
        <w:t>Eguchi</w:t>
      </w:r>
      <w:proofErr w:type="spellEnd"/>
      <w:r w:rsidRPr="007C570D">
        <w:rPr>
          <w:rFonts w:ascii="Book Antiqua" w:eastAsia="宋体" w:hAnsi="Book Antiqua" w:cs="宋体"/>
          <w:color w:val="000000" w:themeColor="text1"/>
        </w:rPr>
        <w:t xml:space="preserve"> K, Takeda K, Inoue A, </w:t>
      </w:r>
      <w:proofErr w:type="spellStart"/>
      <w:r w:rsidRPr="007C570D">
        <w:rPr>
          <w:rFonts w:ascii="Book Antiqua" w:eastAsia="宋体" w:hAnsi="Book Antiqua" w:cs="宋体"/>
          <w:color w:val="000000" w:themeColor="text1"/>
        </w:rPr>
        <w:t>Tomii</w:t>
      </w:r>
      <w:proofErr w:type="spellEnd"/>
      <w:r w:rsidRPr="007C570D">
        <w:rPr>
          <w:rFonts w:ascii="Book Antiqua" w:eastAsia="宋体" w:hAnsi="Book Antiqua" w:cs="宋体"/>
          <w:color w:val="000000" w:themeColor="text1"/>
        </w:rPr>
        <w:t xml:space="preserve"> K, Harada M, Masuda N, Jiang H, Itoh Y, Ichinose Y, </w:t>
      </w:r>
      <w:proofErr w:type="spellStart"/>
      <w:r w:rsidRPr="007C570D">
        <w:rPr>
          <w:rFonts w:ascii="Book Antiqua" w:eastAsia="宋体" w:hAnsi="Book Antiqua" w:cs="宋体"/>
          <w:color w:val="000000" w:themeColor="text1"/>
        </w:rPr>
        <w:t>Saijo</w:t>
      </w:r>
      <w:proofErr w:type="spellEnd"/>
      <w:r w:rsidRPr="007C570D">
        <w:rPr>
          <w:rFonts w:ascii="Book Antiqua" w:eastAsia="宋体" w:hAnsi="Book Antiqua" w:cs="宋体"/>
          <w:color w:val="000000" w:themeColor="text1"/>
        </w:rPr>
        <w:t xml:space="preserve"> N, Fukuoka M. Phase III study, V-15-32, of </w:t>
      </w:r>
      <w:proofErr w:type="spellStart"/>
      <w:r w:rsidRPr="007C570D">
        <w:rPr>
          <w:rFonts w:ascii="Book Antiqua" w:eastAsia="宋体" w:hAnsi="Book Antiqua" w:cs="宋体"/>
          <w:color w:val="000000" w:themeColor="text1"/>
        </w:rPr>
        <w:t>gefitinib</w:t>
      </w:r>
      <w:proofErr w:type="spellEnd"/>
      <w:r w:rsidRPr="007C570D">
        <w:rPr>
          <w:rFonts w:ascii="Book Antiqua" w:eastAsia="宋体" w:hAnsi="Book Antiqua" w:cs="宋体"/>
          <w:color w:val="000000" w:themeColor="text1"/>
        </w:rPr>
        <w:t xml:space="preserve"> versus docetaxel in previously treated Japanese patients with non-small-cell lung cancer.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26</w:t>
      </w:r>
      <w:r w:rsidRPr="007C570D">
        <w:rPr>
          <w:rFonts w:ascii="Book Antiqua" w:eastAsia="宋体" w:hAnsi="Book Antiqua" w:cs="宋体"/>
          <w:color w:val="000000" w:themeColor="text1"/>
        </w:rPr>
        <w:t>: 4244-4252 [PMID: 18779611 DOI: 10.1200/JCO.2007.15.0185]</w:t>
      </w:r>
    </w:p>
    <w:p w14:paraId="4453484D"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65 </w:t>
      </w:r>
      <w:r w:rsidRPr="007C570D">
        <w:rPr>
          <w:rFonts w:ascii="Book Antiqua" w:eastAsia="宋体" w:hAnsi="Book Antiqua" w:cs="宋体"/>
          <w:b/>
          <w:bCs/>
          <w:color w:val="000000" w:themeColor="text1"/>
        </w:rPr>
        <w:t>Santoro A</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Comandone</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Rimassa</w:t>
      </w:r>
      <w:proofErr w:type="spellEnd"/>
      <w:r w:rsidRPr="007C570D">
        <w:rPr>
          <w:rFonts w:ascii="Book Antiqua" w:eastAsia="宋体" w:hAnsi="Book Antiqua" w:cs="宋体"/>
          <w:color w:val="000000" w:themeColor="text1"/>
        </w:rPr>
        <w:t xml:space="preserve"> L, </w:t>
      </w:r>
      <w:proofErr w:type="spellStart"/>
      <w:r w:rsidRPr="007C570D">
        <w:rPr>
          <w:rFonts w:ascii="Book Antiqua" w:eastAsia="宋体" w:hAnsi="Book Antiqua" w:cs="宋体"/>
          <w:color w:val="000000" w:themeColor="text1"/>
        </w:rPr>
        <w:t>Granetti</w:t>
      </w:r>
      <w:proofErr w:type="spellEnd"/>
      <w:r w:rsidRPr="007C570D">
        <w:rPr>
          <w:rFonts w:ascii="Book Antiqua" w:eastAsia="宋体" w:hAnsi="Book Antiqua" w:cs="宋体"/>
          <w:color w:val="000000" w:themeColor="text1"/>
        </w:rPr>
        <w:t xml:space="preserve"> C, </w:t>
      </w:r>
      <w:proofErr w:type="spellStart"/>
      <w:r w:rsidRPr="007C570D">
        <w:rPr>
          <w:rFonts w:ascii="Book Antiqua" w:eastAsia="宋体" w:hAnsi="Book Antiqua" w:cs="宋体"/>
          <w:color w:val="000000" w:themeColor="text1"/>
        </w:rPr>
        <w:t>Lorusso</w:t>
      </w:r>
      <w:proofErr w:type="spellEnd"/>
      <w:r w:rsidRPr="007C570D">
        <w:rPr>
          <w:rFonts w:ascii="Book Antiqua" w:eastAsia="宋体" w:hAnsi="Book Antiqua" w:cs="宋体"/>
          <w:color w:val="000000" w:themeColor="text1"/>
        </w:rPr>
        <w:t xml:space="preserve"> V, Oliva C, </w:t>
      </w:r>
      <w:proofErr w:type="spellStart"/>
      <w:r w:rsidRPr="007C570D">
        <w:rPr>
          <w:rFonts w:ascii="Book Antiqua" w:eastAsia="宋体" w:hAnsi="Book Antiqua" w:cs="宋体"/>
          <w:color w:val="000000" w:themeColor="text1"/>
        </w:rPr>
        <w:t>Ronzoni</w:t>
      </w:r>
      <w:proofErr w:type="spellEnd"/>
      <w:r w:rsidRPr="007C570D">
        <w:rPr>
          <w:rFonts w:ascii="Book Antiqua" w:eastAsia="宋体" w:hAnsi="Book Antiqua" w:cs="宋体"/>
          <w:color w:val="000000" w:themeColor="text1"/>
        </w:rPr>
        <w:t xml:space="preserve"> M, Siena S, </w:t>
      </w:r>
      <w:proofErr w:type="spellStart"/>
      <w:r w:rsidRPr="007C570D">
        <w:rPr>
          <w:rFonts w:ascii="Book Antiqua" w:eastAsia="宋体" w:hAnsi="Book Antiqua" w:cs="宋体"/>
          <w:color w:val="000000" w:themeColor="text1"/>
        </w:rPr>
        <w:t>Zuradelli</w:t>
      </w:r>
      <w:proofErr w:type="spellEnd"/>
      <w:r w:rsidRPr="007C570D">
        <w:rPr>
          <w:rFonts w:ascii="Book Antiqua" w:eastAsia="宋体" w:hAnsi="Book Antiqua" w:cs="宋体"/>
          <w:color w:val="000000" w:themeColor="text1"/>
        </w:rPr>
        <w:t xml:space="preserve"> M, Mari E, </w:t>
      </w:r>
      <w:proofErr w:type="spellStart"/>
      <w:r w:rsidRPr="007C570D">
        <w:rPr>
          <w:rFonts w:ascii="Book Antiqua" w:eastAsia="宋体" w:hAnsi="Book Antiqua" w:cs="宋体"/>
          <w:color w:val="000000" w:themeColor="text1"/>
        </w:rPr>
        <w:t>Pressiani</w:t>
      </w:r>
      <w:proofErr w:type="spellEnd"/>
      <w:r w:rsidRPr="007C570D">
        <w:rPr>
          <w:rFonts w:ascii="Book Antiqua" w:eastAsia="宋体" w:hAnsi="Book Antiqua" w:cs="宋体"/>
          <w:color w:val="000000" w:themeColor="text1"/>
        </w:rPr>
        <w:t xml:space="preserve"> T, </w:t>
      </w:r>
      <w:proofErr w:type="spellStart"/>
      <w:r w:rsidRPr="007C570D">
        <w:rPr>
          <w:rFonts w:ascii="Book Antiqua" w:eastAsia="宋体" w:hAnsi="Book Antiqua" w:cs="宋体"/>
          <w:color w:val="000000" w:themeColor="text1"/>
        </w:rPr>
        <w:t>Carnaghi</w:t>
      </w:r>
      <w:proofErr w:type="spellEnd"/>
      <w:r w:rsidRPr="007C570D">
        <w:rPr>
          <w:rFonts w:ascii="Book Antiqua" w:eastAsia="宋体" w:hAnsi="Book Antiqua" w:cs="宋体"/>
          <w:color w:val="000000" w:themeColor="text1"/>
        </w:rPr>
        <w:t xml:space="preserve"> C. A phase II randomized multicenter trial of </w:t>
      </w:r>
      <w:proofErr w:type="spellStart"/>
      <w:r w:rsidRPr="007C570D">
        <w:rPr>
          <w:rFonts w:ascii="Book Antiqua" w:eastAsia="宋体" w:hAnsi="Book Antiqua" w:cs="宋体"/>
          <w:color w:val="000000" w:themeColor="text1"/>
        </w:rPr>
        <w:t>gefitinib</w:t>
      </w:r>
      <w:proofErr w:type="spellEnd"/>
      <w:r w:rsidRPr="007C570D">
        <w:rPr>
          <w:rFonts w:ascii="Book Antiqua" w:eastAsia="宋体" w:hAnsi="Book Antiqua" w:cs="宋体"/>
          <w:color w:val="000000" w:themeColor="text1"/>
        </w:rPr>
        <w:t xml:space="preserve"> plus FOLFIRI and FOLFIRI alone in patients with metastatic colorectal cancer. </w:t>
      </w:r>
      <w:r w:rsidRPr="007C570D">
        <w:rPr>
          <w:rFonts w:ascii="Book Antiqua" w:eastAsia="宋体" w:hAnsi="Book Antiqua" w:cs="宋体"/>
          <w:i/>
          <w:iCs/>
          <w:color w:val="000000" w:themeColor="text1"/>
        </w:rPr>
        <w:t xml:space="preserve">Ann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19</w:t>
      </w:r>
      <w:r w:rsidRPr="007C570D">
        <w:rPr>
          <w:rFonts w:ascii="Book Antiqua" w:eastAsia="宋体" w:hAnsi="Book Antiqua" w:cs="宋体"/>
          <w:color w:val="000000" w:themeColor="text1"/>
        </w:rPr>
        <w:t>: 1888-1893 [PMID: 18667394 DOI: 10.1093/</w:t>
      </w:r>
      <w:proofErr w:type="spellStart"/>
      <w:r w:rsidRPr="007C570D">
        <w:rPr>
          <w:rFonts w:ascii="Book Antiqua" w:eastAsia="宋体" w:hAnsi="Book Antiqua" w:cs="宋体"/>
          <w:color w:val="000000" w:themeColor="text1"/>
        </w:rPr>
        <w:t>annonc</w:t>
      </w:r>
      <w:proofErr w:type="spellEnd"/>
      <w:r w:rsidRPr="007C570D">
        <w:rPr>
          <w:rFonts w:ascii="Book Antiqua" w:eastAsia="宋体" w:hAnsi="Book Antiqua" w:cs="宋体"/>
          <w:color w:val="000000" w:themeColor="text1"/>
        </w:rPr>
        <w:t>/mdn401]</w:t>
      </w:r>
    </w:p>
    <w:p w14:paraId="4A09794E"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66 </w:t>
      </w:r>
      <w:proofErr w:type="spellStart"/>
      <w:r w:rsidRPr="007C570D">
        <w:rPr>
          <w:rFonts w:ascii="Book Antiqua" w:eastAsia="宋体" w:hAnsi="Book Antiqua" w:cs="宋体"/>
          <w:b/>
          <w:bCs/>
          <w:color w:val="000000" w:themeColor="text1"/>
        </w:rPr>
        <w:t>Mok</w:t>
      </w:r>
      <w:proofErr w:type="spellEnd"/>
      <w:r w:rsidRPr="007C570D">
        <w:rPr>
          <w:rFonts w:ascii="Book Antiqua" w:eastAsia="宋体" w:hAnsi="Book Antiqua" w:cs="宋体"/>
          <w:b/>
          <w:bCs/>
          <w:color w:val="000000" w:themeColor="text1"/>
        </w:rPr>
        <w:t xml:space="preserve"> TS</w:t>
      </w:r>
      <w:r w:rsidRPr="007C570D">
        <w:rPr>
          <w:rFonts w:ascii="Book Antiqua" w:eastAsia="宋体" w:hAnsi="Book Antiqua" w:cs="宋体"/>
          <w:color w:val="000000" w:themeColor="text1"/>
        </w:rPr>
        <w:t xml:space="preserve">, Wu YL, </w:t>
      </w:r>
      <w:proofErr w:type="spellStart"/>
      <w:r w:rsidRPr="007C570D">
        <w:rPr>
          <w:rFonts w:ascii="Book Antiqua" w:eastAsia="宋体" w:hAnsi="Book Antiqua" w:cs="宋体"/>
          <w:color w:val="000000" w:themeColor="text1"/>
        </w:rPr>
        <w:t>Thongprasert</w:t>
      </w:r>
      <w:proofErr w:type="spellEnd"/>
      <w:r w:rsidRPr="007C570D">
        <w:rPr>
          <w:rFonts w:ascii="Book Antiqua" w:eastAsia="宋体" w:hAnsi="Book Antiqua" w:cs="宋体"/>
          <w:color w:val="000000" w:themeColor="text1"/>
        </w:rPr>
        <w:t xml:space="preserve"> S, Yang CH, Chu DT, </w:t>
      </w:r>
      <w:proofErr w:type="spellStart"/>
      <w:r w:rsidRPr="007C570D">
        <w:rPr>
          <w:rFonts w:ascii="Book Antiqua" w:eastAsia="宋体" w:hAnsi="Book Antiqua" w:cs="宋体"/>
          <w:color w:val="000000" w:themeColor="text1"/>
        </w:rPr>
        <w:t>Saijo</w:t>
      </w:r>
      <w:proofErr w:type="spellEnd"/>
      <w:r w:rsidRPr="007C570D">
        <w:rPr>
          <w:rFonts w:ascii="Book Antiqua" w:eastAsia="宋体" w:hAnsi="Book Antiqua" w:cs="宋体"/>
          <w:color w:val="000000" w:themeColor="text1"/>
        </w:rPr>
        <w:t xml:space="preserve"> N, </w:t>
      </w:r>
      <w:proofErr w:type="spellStart"/>
      <w:r w:rsidRPr="007C570D">
        <w:rPr>
          <w:rFonts w:ascii="Book Antiqua" w:eastAsia="宋体" w:hAnsi="Book Antiqua" w:cs="宋体"/>
          <w:color w:val="000000" w:themeColor="text1"/>
        </w:rPr>
        <w:t>Sunpaweravong</w:t>
      </w:r>
      <w:proofErr w:type="spellEnd"/>
      <w:r w:rsidRPr="007C570D">
        <w:rPr>
          <w:rFonts w:ascii="Book Antiqua" w:eastAsia="宋体" w:hAnsi="Book Antiqua" w:cs="宋体"/>
          <w:color w:val="000000" w:themeColor="text1"/>
        </w:rPr>
        <w:t xml:space="preserve"> P, Han B, </w:t>
      </w:r>
      <w:proofErr w:type="spellStart"/>
      <w:r w:rsidRPr="007C570D">
        <w:rPr>
          <w:rFonts w:ascii="Book Antiqua" w:eastAsia="宋体" w:hAnsi="Book Antiqua" w:cs="宋体"/>
          <w:color w:val="000000" w:themeColor="text1"/>
        </w:rPr>
        <w:t>Margono</w:t>
      </w:r>
      <w:proofErr w:type="spellEnd"/>
      <w:r w:rsidRPr="007C570D">
        <w:rPr>
          <w:rFonts w:ascii="Book Antiqua" w:eastAsia="宋体" w:hAnsi="Book Antiqua" w:cs="宋体"/>
          <w:color w:val="000000" w:themeColor="text1"/>
        </w:rPr>
        <w:t xml:space="preserve"> B, Ichinose Y, </w:t>
      </w:r>
      <w:proofErr w:type="spellStart"/>
      <w:r w:rsidRPr="007C570D">
        <w:rPr>
          <w:rFonts w:ascii="Book Antiqua" w:eastAsia="宋体" w:hAnsi="Book Antiqua" w:cs="宋体"/>
          <w:color w:val="000000" w:themeColor="text1"/>
        </w:rPr>
        <w:t>Nishiwaki</w:t>
      </w:r>
      <w:proofErr w:type="spellEnd"/>
      <w:r w:rsidRPr="007C570D">
        <w:rPr>
          <w:rFonts w:ascii="Book Antiqua" w:eastAsia="宋体" w:hAnsi="Book Antiqua" w:cs="宋体"/>
          <w:color w:val="000000" w:themeColor="text1"/>
        </w:rPr>
        <w:t xml:space="preserve"> Y, </w:t>
      </w:r>
      <w:proofErr w:type="spellStart"/>
      <w:r w:rsidRPr="007C570D">
        <w:rPr>
          <w:rFonts w:ascii="Book Antiqua" w:eastAsia="宋体" w:hAnsi="Book Antiqua" w:cs="宋体"/>
          <w:color w:val="000000" w:themeColor="text1"/>
        </w:rPr>
        <w:t>Ohe</w:t>
      </w:r>
      <w:proofErr w:type="spellEnd"/>
      <w:r w:rsidRPr="007C570D">
        <w:rPr>
          <w:rFonts w:ascii="Book Antiqua" w:eastAsia="宋体" w:hAnsi="Book Antiqua" w:cs="宋体"/>
          <w:color w:val="000000" w:themeColor="text1"/>
        </w:rPr>
        <w:t xml:space="preserve"> Y, Yang JJ, </w:t>
      </w:r>
      <w:proofErr w:type="spellStart"/>
      <w:r w:rsidRPr="007C570D">
        <w:rPr>
          <w:rFonts w:ascii="Book Antiqua" w:eastAsia="宋体" w:hAnsi="Book Antiqua" w:cs="宋体"/>
          <w:color w:val="000000" w:themeColor="text1"/>
        </w:rPr>
        <w:t>Chewaskulyong</w:t>
      </w:r>
      <w:proofErr w:type="spellEnd"/>
      <w:r w:rsidRPr="007C570D">
        <w:rPr>
          <w:rFonts w:ascii="Book Antiqua" w:eastAsia="宋体" w:hAnsi="Book Antiqua" w:cs="宋体"/>
          <w:color w:val="000000" w:themeColor="text1"/>
        </w:rPr>
        <w:t xml:space="preserve"> B, Jiang H, Duffield EL, Watkins CL, </w:t>
      </w:r>
      <w:proofErr w:type="spellStart"/>
      <w:r w:rsidRPr="007C570D">
        <w:rPr>
          <w:rFonts w:ascii="Book Antiqua" w:eastAsia="宋体" w:hAnsi="Book Antiqua" w:cs="宋体"/>
          <w:color w:val="000000" w:themeColor="text1"/>
        </w:rPr>
        <w:t>Armour</w:t>
      </w:r>
      <w:proofErr w:type="spellEnd"/>
      <w:r w:rsidRPr="007C570D">
        <w:rPr>
          <w:rFonts w:ascii="Book Antiqua" w:eastAsia="宋体" w:hAnsi="Book Antiqua" w:cs="宋体"/>
          <w:color w:val="000000" w:themeColor="text1"/>
        </w:rPr>
        <w:t xml:space="preserve"> AA, Fukuoka M. </w:t>
      </w:r>
      <w:proofErr w:type="spellStart"/>
      <w:r w:rsidRPr="007C570D">
        <w:rPr>
          <w:rFonts w:ascii="Book Antiqua" w:eastAsia="宋体" w:hAnsi="Book Antiqua" w:cs="宋体"/>
          <w:color w:val="000000" w:themeColor="text1"/>
        </w:rPr>
        <w:t>Gefitinib</w:t>
      </w:r>
      <w:proofErr w:type="spellEnd"/>
      <w:r w:rsidRPr="007C570D">
        <w:rPr>
          <w:rFonts w:ascii="Book Antiqua" w:eastAsia="宋体" w:hAnsi="Book Antiqua" w:cs="宋体"/>
          <w:color w:val="000000" w:themeColor="text1"/>
        </w:rPr>
        <w:t xml:space="preserve"> or carboplatin-paclitaxel in pulmonary adenocarcinoma. </w:t>
      </w:r>
      <w:r w:rsidRPr="007C570D">
        <w:rPr>
          <w:rFonts w:ascii="Book Antiqua" w:eastAsia="宋体" w:hAnsi="Book Antiqua" w:cs="宋体"/>
          <w:i/>
          <w:iCs/>
          <w:color w:val="000000" w:themeColor="text1"/>
        </w:rPr>
        <w:t xml:space="preserve">N </w:t>
      </w:r>
      <w:proofErr w:type="spellStart"/>
      <w:r w:rsidRPr="007C570D">
        <w:rPr>
          <w:rFonts w:ascii="Book Antiqua" w:eastAsia="宋体" w:hAnsi="Book Antiqua" w:cs="宋体"/>
          <w:i/>
          <w:iCs/>
          <w:color w:val="000000" w:themeColor="text1"/>
        </w:rPr>
        <w:t>Engl</w:t>
      </w:r>
      <w:proofErr w:type="spellEnd"/>
      <w:r w:rsidRPr="007C570D">
        <w:rPr>
          <w:rFonts w:ascii="Book Antiqua" w:eastAsia="宋体" w:hAnsi="Book Antiqua" w:cs="宋体"/>
          <w:i/>
          <w:iCs/>
          <w:color w:val="000000" w:themeColor="text1"/>
        </w:rPr>
        <w:t xml:space="preserve"> J Med</w:t>
      </w:r>
      <w:r w:rsidRPr="007C570D">
        <w:rPr>
          <w:rFonts w:ascii="Book Antiqua" w:eastAsia="宋体" w:hAnsi="Book Antiqua" w:cs="宋体"/>
          <w:color w:val="000000" w:themeColor="text1"/>
        </w:rPr>
        <w:t xml:space="preserve"> 2009; </w:t>
      </w:r>
      <w:r w:rsidRPr="007C570D">
        <w:rPr>
          <w:rFonts w:ascii="Book Antiqua" w:eastAsia="宋体" w:hAnsi="Book Antiqua" w:cs="宋体"/>
          <w:b/>
          <w:bCs/>
          <w:color w:val="000000" w:themeColor="text1"/>
        </w:rPr>
        <w:t>361</w:t>
      </w:r>
      <w:r w:rsidRPr="007C570D">
        <w:rPr>
          <w:rFonts w:ascii="Book Antiqua" w:eastAsia="宋体" w:hAnsi="Book Antiqua" w:cs="宋体"/>
          <w:color w:val="000000" w:themeColor="text1"/>
        </w:rPr>
        <w:t>: 947-957 [PMID: 19692680 DOI: 10.1056/NEJMoa0810699]</w:t>
      </w:r>
    </w:p>
    <w:p w14:paraId="687F7C2D" w14:textId="77777777" w:rsidR="0062175B" w:rsidRPr="00374AD1"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67 </w:t>
      </w:r>
      <w:proofErr w:type="spellStart"/>
      <w:r w:rsidRPr="007C570D">
        <w:rPr>
          <w:rFonts w:ascii="Book Antiqua" w:eastAsia="宋体" w:hAnsi="Book Antiqua" w:cs="宋体"/>
          <w:b/>
          <w:bCs/>
          <w:color w:val="000000" w:themeColor="text1"/>
        </w:rPr>
        <w:t>Maemondo</w:t>
      </w:r>
      <w:proofErr w:type="spellEnd"/>
      <w:r w:rsidRPr="007C570D">
        <w:rPr>
          <w:rFonts w:ascii="Book Antiqua" w:eastAsia="宋体" w:hAnsi="Book Antiqua" w:cs="宋体"/>
          <w:b/>
          <w:bCs/>
          <w:color w:val="000000" w:themeColor="text1"/>
        </w:rPr>
        <w:t xml:space="preserve"> M</w:t>
      </w:r>
      <w:r w:rsidRPr="007C570D">
        <w:rPr>
          <w:rFonts w:ascii="Book Antiqua" w:eastAsia="宋体" w:hAnsi="Book Antiqua" w:cs="宋体"/>
          <w:color w:val="000000" w:themeColor="text1"/>
        </w:rPr>
        <w:t xml:space="preserve">, Inoue A, Kobayashi K, Sugawara S, </w:t>
      </w:r>
      <w:proofErr w:type="spellStart"/>
      <w:r w:rsidRPr="007C570D">
        <w:rPr>
          <w:rFonts w:ascii="Book Antiqua" w:eastAsia="宋体" w:hAnsi="Book Antiqua" w:cs="宋体"/>
          <w:color w:val="000000" w:themeColor="text1"/>
        </w:rPr>
        <w:t>Oizumi</w:t>
      </w:r>
      <w:proofErr w:type="spellEnd"/>
      <w:r w:rsidRPr="007C570D">
        <w:rPr>
          <w:rFonts w:ascii="Book Antiqua" w:eastAsia="宋体" w:hAnsi="Book Antiqua" w:cs="宋体"/>
          <w:color w:val="000000" w:themeColor="text1"/>
        </w:rPr>
        <w:t xml:space="preserve"> S, </w:t>
      </w:r>
      <w:proofErr w:type="spellStart"/>
      <w:r w:rsidRPr="007C570D">
        <w:rPr>
          <w:rFonts w:ascii="Book Antiqua" w:eastAsia="宋体" w:hAnsi="Book Antiqua" w:cs="宋体"/>
          <w:color w:val="000000" w:themeColor="text1"/>
        </w:rPr>
        <w:t>Isobe</w:t>
      </w:r>
      <w:proofErr w:type="spellEnd"/>
      <w:r w:rsidRPr="007C570D">
        <w:rPr>
          <w:rFonts w:ascii="Book Antiqua" w:eastAsia="宋体" w:hAnsi="Book Antiqua" w:cs="宋体"/>
          <w:color w:val="000000" w:themeColor="text1"/>
        </w:rPr>
        <w:t xml:space="preserve"> H, Gemma A, Harada M, </w:t>
      </w:r>
      <w:proofErr w:type="spellStart"/>
      <w:r w:rsidRPr="007C570D">
        <w:rPr>
          <w:rFonts w:ascii="Book Antiqua" w:eastAsia="宋体" w:hAnsi="Book Antiqua" w:cs="宋体"/>
          <w:color w:val="000000" w:themeColor="text1"/>
        </w:rPr>
        <w:t>Yoshizawa</w:t>
      </w:r>
      <w:proofErr w:type="spellEnd"/>
      <w:r w:rsidRPr="007C570D">
        <w:rPr>
          <w:rFonts w:ascii="Book Antiqua" w:eastAsia="宋体" w:hAnsi="Book Antiqua" w:cs="宋体"/>
          <w:color w:val="000000" w:themeColor="text1"/>
        </w:rPr>
        <w:t xml:space="preserve"> H, Kinoshita I, Fujita Y, </w:t>
      </w:r>
      <w:proofErr w:type="spellStart"/>
      <w:r w:rsidRPr="007C570D">
        <w:rPr>
          <w:rFonts w:ascii="Book Antiqua" w:eastAsia="宋体" w:hAnsi="Book Antiqua" w:cs="宋体"/>
          <w:color w:val="000000" w:themeColor="text1"/>
        </w:rPr>
        <w:t>Okinaga</w:t>
      </w:r>
      <w:proofErr w:type="spellEnd"/>
      <w:r w:rsidRPr="007C570D">
        <w:rPr>
          <w:rFonts w:ascii="Book Antiqua" w:eastAsia="宋体" w:hAnsi="Book Antiqua" w:cs="宋体"/>
          <w:color w:val="000000" w:themeColor="text1"/>
        </w:rPr>
        <w:t xml:space="preserve"> S, Hirano H, </w:t>
      </w:r>
      <w:proofErr w:type="spellStart"/>
      <w:r w:rsidRPr="007C570D">
        <w:rPr>
          <w:rFonts w:ascii="Book Antiqua" w:eastAsia="宋体" w:hAnsi="Book Antiqua" w:cs="宋体"/>
          <w:color w:val="000000" w:themeColor="text1"/>
        </w:rPr>
        <w:t>Yoshimori</w:t>
      </w:r>
      <w:proofErr w:type="spellEnd"/>
      <w:r w:rsidRPr="007C570D">
        <w:rPr>
          <w:rFonts w:ascii="Book Antiqua" w:eastAsia="宋体" w:hAnsi="Book Antiqua" w:cs="宋体"/>
          <w:color w:val="000000" w:themeColor="text1"/>
        </w:rPr>
        <w:t xml:space="preserve"> K, Harada T, Ogura T, Ando M, Miyazawa H, Tanaka T, </w:t>
      </w:r>
      <w:proofErr w:type="spellStart"/>
      <w:r w:rsidRPr="007C570D">
        <w:rPr>
          <w:rFonts w:ascii="Book Antiqua" w:eastAsia="宋体" w:hAnsi="Book Antiqua" w:cs="宋体"/>
          <w:color w:val="000000" w:themeColor="text1"/>
        </w:rPr>
        <w:t>Saijo</w:t>
      </w:r>
      <w:proofErr w:type="spellEnd"/>
      <w:r w:rsidRPr="007C570D">
        <w:rPr>
          <w:rFonts w:ascii="Book Antiqua" w:eastAsia="宋体" w:hAnsi="Book Antiqua" w:cs="宋体"/>
          <w:color w:val="000000" w:themeColor="text1"/>
        </w:rPr>
        <w:t xml:space="preserve"> Y, </w:t>
      </w:r>
      <w:r w:rsidRPr="007C570D">
        <w:rPr>
          <w:rFonts w:ascii="Book Antiqua" w:eastAsia="宋体" w:hAnsi="Book Antiqua" w:cs="宋体"/>
          <w:color w:val="000000" w:themeColor="text1"/>
        </w:rPr>
        <w:lastRenderedPageBreak/>
        <w:t xml:space="preserve">Hagiwara K, Morita S, </w:t>
      </w:r>
      <w:proofErr w:type="spellStart"/>
      <w:r w:rsidRPr="007C570D">
        <w:rPr>
          <w:rFonts w:ascii="Book Antiqua" w:eastAsia="宋体" w:hAnsi="Book Antiqua" w:cs="宋体"/>
          <w:color w:val="000000" w:themeColor="text1"/>
        </w:rPr>
        <w:t>Nukiwa</w:t>
      </w:r>
      <w:proofErr w:type="spellEnd"/>
      <w:r w:rsidRPr="007C570D">
        <w:rPr>
          <w:rFonts w:ascii="Book Antiqua" w:eastAsia="宋体" w:hAnsi="Book Antiqua" w:cs="宋体"/>
          <w:color w:val="000000" w:themeColor="text1"/>
        </w:rPr>
        <w:t xml:space="preserve"> T. </w:t>
      </w:r>
      <w:proofErr w:type="spellStart"/>
      <w:r w:rsidRPr="007C570D">
        <w:rPr>
          <w:rFonts w:ascii="Book Antiqua" w:eastAsia="宋体" w:hAnsi="Book Antiqua" w:cs="宋体"/>
          <w:color w:val="000000" w:themeColor="text1"/>
        </w:rPr>
        <w:t>Gefitinib</w:t>
      </w:r>
      <w:proofErr w:type="spellEnd"/>
      <w:r w:rsidRPr="007C570D">
        <w:rPr>
          <w:rFonts w:ascii="Book Antiqua" w:eastAsia="宋体" w:hAnsi="Book Antiqua" w:cs="宋体"/>
          <w:color w:val="000000" w:themeColor="text1"/>
        </w:rPr>
        <w:t xml:space="preserve"> or chemotherapy for non-small-cell lung cancer with mutated EGFR. </w:t>
      </w:r>
      <w:r w:rsidRPr="007C570D">
        <w:rPr>
          <w:rFonts w:ascii="Book Antiqua" w:eastAsia="宋体" w:hAnsi="Book Antiqua" w:cs="宋体"/>
          <w:i/>
          <w:iCs/>
          <w:color w:val="000000" w:themeColor="text1"/>
        </w:rPr>
        <w:t xml:space="preserve">N </w:t>
      </w:r>
      <w:proofErr w:type="spellStart"/>
      <w:r w:rsidRPr="007C570D">
        <w:rPr>
          <w:rFonts w:ascii="Book Antiqua" w:eastAsia="宋体" w:hAnsi="Book Antiqua" w:cs="宋体"/>
          <w:i/>
          <w:iCs/>
          <w:color w:val="000000" w:themeColor="text1"/>
        </w:rPr>
        <w:t>Engl</w:t>
      </w:r>
      <w:proofErr w:type="spellEnd"/>
      <w:r w:rsidRPr="007C570D">
        <w:rPr>
          <w:rFonts w:ascii="Book Antiqua" w:eastAsia="宋体" w:hAnsi="Book Antiqua" w:cs="宋体"/>
          <w:i/>
          <w:iCs/>
          <w:color w:val="000000" w:themeColor="text1"/>
        </w:rPr>
        <w:t xml:space="preserve"> J Med</w:t>
      </w:r>
      <w:r w:rsidRPr="007C570D">
        <w:rPr>
          <w:rFonts w:ascii="Book Antiqua" w:eastAsia="宋体" w:hAnsi="Book Antiqua" w:cs="宋体"/>
          <w:color w:val="000000" w:themeColor="text1"/>
        </w:rPr>
        <w:t xml:space="preserve"> 2010; </w:t>
      </w:r>
      <w:r w:rsidRPr="007C570D">
        <w:rPr>
          <w:rFonts w:ascii="Book Antiqua" w:eastAsia="宋体" w:hAnsi="Book Antiqua" w:cs="宋体"/>
          <w:b/>
          <w:bCs/>
          <w:color w:val="000000" w:themeColor="text1"/>
        </w:rPr>
        <w:t>362</w:t>
      </w:r>
      <w:r w:rsidRPr="007C570D">
        <w:rPr>
          <w:rFonts w:ascii="Book Antiqua" w:eastAsia="宋体" w:hAnsi="Book Antiqua" w:cs="宋体"/>
          <w:color w:val="000000" w:themeColor="text1"/>
        </w:rPr>
        <w:t>: 2380-2388 [PMID: 20573926 DOI: 10.1056/NEJMoa0909530]</w:t>
      </w:r>
    </w:p>
    <w:p w14:paraId="7DCBB830"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68 </w:t>
      </w:r>
      <w:proofErr w:type="spellStart"/>
      <w:r w:rsidRPr="007C570D">
        <w:rPr>
          <w:rFonts w:ascii="Book Antiqua" w:eastAsia="宋体" w:hAnsi="Book Antiqua" w:cs="宋体"/>
          <w:b/>
          <w:bCs/>
          <w:color w:val="000000" w:themeColor="text1"/>
        </w:rPr>
        <w:t>Weickhardt</w:t>
      </w:r>
      <w:proofErr w:type="spellEnd"/>
      <w:r w:rsidRPr="007C570D">
        <w:rPr>
          <w:rFonts w:ascii="Book Antiqua" w:eastAsia="宋体" w:hAnsi="Book Antiqua" w:cs="宋体"/>
          <w:b/>
          <w:bCs/>
          <w:color w:val="000000" w:themeColor="text1"/>
        </w:rPr>
        <w:t xml:space="preserve"> AJ</w:t>
      </w:r>
      <w:r w:rsidRPr="007C570D">
        <w:rPr>
          <w:rFonts w:ascii="Book Antiqua" w:eastAsia="宋体" w:hAnsi="Book Antiqua" w:cs="宋体"/>
          <w:color w:val="000000" w:themeColor="text1"/>
        </w:rPr>
        <w:t xml:space="preserve">, Price TJ, Chong G, </w:t>
      </w:r>
      <w:proofErr w:type="spellStart"/>
      <w:r w:rsidRPr="007C570D">
        <w:rPr>
          <w:rFonts w:ascii="Book Antiqua" w:eastAsia="宋体" w:hAnsi="Book Antiqua" w:cs="宋体"/>
          <w:color w:val="000000" w:themeColor="text1"/>
        </w:rPr>
        <w:t>Gebski</w:t>
      </w:r>
      <w:proofErr w:type="spellEnd"/>
      <w:r w:rsidRPr="007C570D">
        <w:rPr>
          <w:rFonts w:ascii="Book Antiqua" w:eastAsia="宋体" w:hAnsi="Book Antiqua" w:cs="宋体"/>
          <w:color w:val="000000" w:themeColor="text1"/>
        </w:rPr>
        <w:t xml:space="preserve"> V, </w:t>
      </w:r>
      <w:proofErr w:type="spellStart"/>
      <w:r w:rsidRPr="007C570D">
        <w:rPr>
          <w:rFonts w:ascii="Book Antiqua" w:eastAsia="宋体" w:hAnsi="Book Antiqua" w:cs="宋体"/>
          <w:color w:val="000000" w:themeColor="text1"/>
        </w:rPr>
        <w:t>Pavlakis</w:t>
      </w:r>
      <w:proofErr w:type="spellEnd"/>
      <w:r w:rsidRPr="007C570D">
        <w:rPr>
          <w:rFonts w:ascii="Book Antiqua" w:eastAsia="宋体" w:hAnsi="Book Antiqua" w:cs="宋体"/>
          <w:color w:val="000000" w:themeColor="text1"/>
        </w:rPr>
        <w:t xml:space="preserve"> N, Johns TG, Azad A, </w:t>
      </w:r>
      <w:proofErr w:type="spellStart"/>
      <w:r w:rsidRPr="007C570D">
        <w:rPr>
          <w:rFonts w:ascii="Book Antiqua" w:eastAsia="宋体" w:hAnsi="Book Antiqua" w:cs="宋体"/>
          <w:color w:val="000000" w:themeColor="text1"/>
        </w:rPr>
        <w:t>Skrinos</w:t>
      </w:r>
      <w:proofErr w:type="spellEnd"/>
      <w:r w:rsidRPr="007C570D">
        <w:rPr>
          <w:rFonts w:ascii="Book Antiqua" w:eastAsia="宋体" w:hAnsi="Book Antiqua" w:cs="宋体"/>
          <w:color w:val="000000" w:themeColor="text1"/>
        </w:rPr>
        <w:t xml:space="preserve"> E, </w:t>
      </w:r>
      <w:proofErr w:type="spellStart"/>
      <w:r w:rsidRPr="007C570D">
        <w:rPr>
          <w:rFonts w:ascii="Book Antiqua" w:eastAsia="宋体" w:hAnsi="Book Antiqua" w:cs="宋体"/>
          <w:color w:val="000000" w:themeColor="text1"/>
        </w:rPr>
        <w:t>Fluck</w:t>
      </w:r>
      <w:proofErr w:type="spellEnd"/>
      <w:r w:rsidRPr="007C570D">
        <w:rPr>
          <w:rFonts w:ascii="Book Antiqua" w:eastAsia="宋体" w:hAnsi="Book Antiqua" w:cs="宋体"/>
          <w:color w:val="000000" w:themeColor="text1"/>
        </w:rPr>
        <w:t xml:space="preserve"> K, </w:t>
      </w:r>
      <w:proofErr w:type="spellStart"/>
      <w:r w:rsidRPr="007C570D">
        <w:rPr>
          <w:rFonts w:ascii="Book Antiqua" w:eastAsia="宋体" w:hAnsi="Book Antiqua" w:cs="宋体"/>
          <w:color w:val="000000" w:themeColor="text1"/>
        </w:rPr>
        <w:t>Dobrovic</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Salemi</w:t>
      </w:r>
      <w:proofErr w:type="spellEnd"/>
      <w:r w:rsidRPr="007C570D">
        <w:rPr>
          <w:rFonts w:ascii="Book Antiqua" w:eastAsia="宋体" w:hAnsi="Book Antiqua" w:cs="宋体"/>
          <w:color w:val="000000" w:themeColor="text1"/>
        </w:rPr>
        <w:t xml:space="preserve"> R, Scott AM, </w:t>
      </w:r>
      <w:proofErr w:type="spellStart"/>
      <w:r w:rsidRPr="007C570D">
        <w:rPr>
          <w:rFonts w:ascii="Book Antiqua" w:eastAsia="宋体" w:hAnsi="Book Antiqua" w:cs="宋体"/>
          <w:color w:val="000000" w:themeColor="text1"/>
        </w:rPr>
        <w:t>Mariadason</w:t>
      </w:r>
      <w:proofErr w:type="spellEnd"/>
      <w:r w:rsidRPr="007C570D">
        <w:rPr>
          <w:rFonts w:ascii="Book Antiqua" w:eastAsia="宋体" w:hAnsi="Book Antiqua" w:cs="宋体"/>
          <w:color w:val="000000" w:themeColor="text1"/>
        </w:rPr>
        <w:t xml:space="preserve"> JM, Tebbutt NC. Dual targeting of the epidermal growth factor receptor using the combination of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and </w:t>
      </w:r>
      <w:proofErr w:type="spellStart"/>
      <w:r w:rsidRPr="007C570D">
        <w:rPr>
          <w:rFonts w:ascii="Book Antiqua" w:eastAsia="宋体" w:hAnsi="Book Antiqua" w:cs="宋体"/>
          <w:color w:val="000000" w:themeColor="text1"/>
        </w:rPr>
        <w:t>erlotinib</w:t>
      </w:r>
      <w:proofErr w:type="spellEnd"/>
      <w:r w:rsidRPr="007C570D">
        <w:rPr>
          <w:rFonts w:ascii="Book Antiqua" w:eastAsia="宋体" w:hAnsi="Book Antiqua" w:cs="宋体"/>
          <w:color w:val="000000" w:themeColor="text1"/>
        </w:rPr>
        <w:t xml:space="preserve">: preclinical evaluation and results of the phase II DUX study in chemotherapy-refractory, advanced colorectal cancer.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2012; </w:t>
      </w:r>
      <w:r w:rsidRPr="007C570D">
        <w:rPr>
          <w:rFonts w:ascii="Book Antiqua" w:eastAsia="宋体" w:hAnsi="Book Antiqua" w:cs="宋体"/>
          <w:b/>
          <w:bCs/>
          <w:color w:val="000000" w:themeColor="text1"/>
        </w:rPr>
        <w:t>30</w:t>
      </w:r>
      <w:r w:rsidRPr="007C570D">
        <w:rPr>
          <w:rFonts w:ascii="Book Antiqua" w:eastAsia="宋体" w:hAnsi="Book Antiqua" w:cs="宋体"/>
          <w:color w:val="000000" w:themeColor="text1"/>
        </w:rPr>
        <w:t>: 1505-1512 [PMID: 22412142 DOI: 10.1200/JCO.2011.38.6599]</w:t>
      </w:r>
    </w:p>
    <w:p w14:paraId="0B661495"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69 </w:t>
      </w:r>
      <w:r w:rsidRPr="007C570D">
        <w:rPr>
          <w:rFonts w:ascii="Book Antiqua" w:eastAsia="宋体" w:hAnsi="Book Antiqua" w:cs="宋体"/>
          <w:b/>
          <w:bCs/>
          <w:color w:val="000000" w:themeColor="text1"/>
        </w:rPr>
        <w:t>Di Fiore F</w:t>
      </w:r>
      <w:r w:rsidRPr="007C570D">
        <w:rPr>
          <w:rFonts w:ascii="Book Antiqua" w:eastAsia="宋体" w:hAnsi="Book Antiqua" w:cs="宋体"/>
          <w:color w:val="000000" w:themeColor="text1"/>
        </w:rPr>
        <w:t xml:space="preserve">, Blanchard F, </w:t>
      </w:r>
      <w:proofErr w:type="spellStart"/>
      <w:r w:rsidRPr="007C570D">
        <w:rPr>
          <w:rFonts w:ascii="Book Antiqua" w:eastAsia="宋体" w:hAnsi="Book Antiqua" w:cs="宋体"/>
          <w:color w:val="000000" w:themeColor="text1"/>
        </w:rPr>
        <w:t>Charbonnier</w:t>
      </w:r>
      <w:proofErr w:type="spellEnd"/>
      <w:r w:rsidRPr="007C570D">
        <w:rPr>
          <w:rFonts w:ascii="Book Antiqua" w:eastAsia="宋体" w:hAnsi="Book Antiqua" w:cs="宋体"/>
          <w:color w:val="000000" w:themeColor="text1"/>
        </w:rPr>
        <w:t xml:space="preserve"> F, Le </w:t>
      </w:r>
      <w:proofErr w:type="spellStart"/>
      <w:r w:rsidRPr="007C570D">
        <w:rPr>
          <w:rFonts w:ascii="Book Antiqua" w:eastAsia="宋体" w:hAnsi="Book Antiqua" w:cs="宋体"/>
          <w:color w:val="000000" w:themeColor="text1"/>
        </w:rPr>
        <w:t>Pessot</w:t>
      </w:r>
      <w:proofErr w:type="spellEnd"/>
      <w:r w:rsidRPr="007C570D">
        <w:rPr>
          <w:rFonts w:ascii="Book Antiqua" w:eastAsia="宋体" w:hAnsi="Book Antiqua" w:cs="宋体"/>
          <w:color w:val="000000" w:themeColor="text1"/>
        </w:rPr>
        <w:t xml:space="preserve"> F, </w:t>
      </w:r>
      <w:proofErr w:type="spellStart"/>
      <w:r w:rsidRPr="007C570D">
        <w:rPr>
          <w:rFonts w:ascii="Book Antiqua" w:eastAsia="宋体" w:hAnsi="Book Antiqua" w:cs="宋体"/>
          <w:color w:val="000000" w:themeColor="text1"/>
        </w:rPr>
        <w:t>Lamy</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Galais</w:t>
      </w:r>
      <w:proofErr w:type="spellEnd"/>
      <w:r w:rsidRPr="007C570D">
        <w:rPr>
          <w:rFonts w:ascii="Book Antiqua" w:eastAsia="宋体" w:hAnsi="Book Antiqua" w:cs="宋体"/>
          <w:color w:val="000000" w:themeColor="text1"/>
        </w:rPr>
        <w:t xml:space="preserve"> MP, </w:t>
      </w:r>
      <w:proofErr w:type="spellStart"/>
      <w:r w:rsidRPr="007C570D">
        <w:rPr>
          <w:rFonts w:ascii="Book Antiqua" w:eastAsia="宋体" w:hAnsi="Book Antiqua" w:cs="宋体"/>
          <w:color w:val="000000" w:themeColor="text1"/>
        </w:rPr>
        <w:t>Bastit</w:t>
      </w:r>
      <w:proofErr w:type="spellEnd"/>
      <w:r w:rsidRPr="007C570D">
        <w:rPr>
          <w:rFonts w:ascii="Book Antiqua" w:eastAsia="宋体" w:hAnsi="Book Antiqua" w:cs="宋体"/>
          <w:color w:val="000000" w:themeColor="text1"/>
        </w:rPr>
        <w:t xml:space="preserve"> L, Killian A, </w:t>
      </w:r>
      <w:proofErr w:type="spellStart"/>
      <w:r w:rsidRPr="007C570D">
        <w:rPr>
          <w:rFonts w:ascii="Book Antiqua" w:eastAsia="宋体" w:hAnsi="Book Antiqua" w:cs="宋体"/>
          <w:color w:val="000000" w:themeColor="text1"/>
        </w:rPr>
        <w:t>Sesboüé</w:t>
      </w:r>
      <w:proofErr w:type="spellEnd"/>
      <w:r w:rsidRPr="007C570D">
        <w:rPr>
          <w:rFonts w:ascii="Book Antiqua" w:eastAsia="宋体" w:hAnsi="Book Antiqua" w:cs="宋体"/>
          <w:color w:val="000000" w:themeColor="text1"/>
        </w:rPr>
        <w:t xml:space="preserve"> R, </w:t>
      </w:r>
      <w:proofErr w:type="spellStart"/>
      <w:r w:rsidRPr="007C570D">
        <w:rPr>
          <w:rFonts w:ascii="Book Antiqua" w:eastAsia="宋体" w:hAnsi="Book Antiqua" w:cs="宋体"/>
          <w:color w:val="000000" w:themeColor="text1"/>
        </w:rPr>
        <w:t>Tuech</w:t>
      </w:r>
      <w:proofErr w:type="spellEnd"/>
      <w:r w:rsidRPr="007C570D">
        <w:rPr>
          <w:rFonts w:ascii="Book Antiqua" w:eastAsia="宋体" w:hAnsi="Book Antiqua" w:cs="宋体"/>
          <w:color w:val="000000" w:themeColor="text1"/>
        </w:rPr>
        <w:t xml:space="preserve"> JJ, </w:t>
      </w:r>
      <w:proofErr w:type="spellStart"/>
      <w:r w:rsidRPr="007C570D">
        <w:rPr>
          <w:rFonts w:ascii="Book Antiqua" w:eastAsia="宋体" w:hAnsi="Book Antiqua" w:cs="宋体"/>
          <w:color w:val="000000" w:themeColor="text1"/>
        </w:rPr>
        <w:t>Queuniet</w:t>
      </w:r>
      <w:proofErr w:type="spellEnd"/>
      <w:r w:rsidRPr="007C570D">
        <w:rPr>
          <w:rFonts w:ascii="Book Antiqua" w:eastAsia="宋体" w:hAnsi="Book Antiqua" w:cs="宋体"/>
          <w:color w:val="000000" w:themeColor="text1"/>
        </w:rPr>
        <w:t xml:space="preserve"> AM, </w:t>
      </w:r>
      <w:proofErr w:type="spellStart"/>
      <w:r w:rsidRPr="007C570D">
        <w:rPr>
          <w:rFonts w:ascii="Book Antiqua" w:eastAsia="宋体" w:hAnsi="Book Antiqua" w:cs="宋体"/>
          <w:color w:val="000000" w:themeColor="text1"/>
        </w:rPr>
        <w:t>Paillot</w:t>
      </w:r>
      <w:proofErr w:type="spellEnd"/>
      <w:r w:rsidRPr="007C570D">
        <w:rPr>
          <w:rFonts w:ascii="Book Antiqua" w:eastAsia="宋体" w:hAnsi="Book Antiqua" w:cs="宋体"/>
          <w:color w:val="000000" w:themeColor="text1"/>
        </w:rPr>
        <w:t xml:space="preserve"> B, </w:t>
      </w:r>
      <w:proofErr w:type="spellStart"/>
      <w:r w:rsidRPr="007C570D">
        <w:rPr>
          <w:rFonts w:ascii="Book Antiqua" w:eastAsia="宋体" w:hAnsi="Book Antiqua" w:cs="宋体"/>
          <w:color w:val="000000" w:themeColor="text1"/>
        </w:rPr>
        <w:t>Sabourin</w:t>
      </w:r>
      <w:proofErr w:type="spellEnd"/>
      <w:r w:rsidRPr="007C570D">
        <w:rPr>
          <w:rFonts w:ascii="Book Antiqua" w:eastAsia="宋体" w:hAnsi="Book Antiqua" w:cs="宋体"/>
          <w:color w:val="000000" w:themeColor="text1"/>
        </w:rPr>
        <w:t xml:space="preserve"> JC, </w:t>
      </w:r>
      <w:proofErr w:type="spellStart"/>
      <w:r w:rsidRPr="007C570D">
        <w:rPr>
          <w:rFonts w:ascii="Book Antiqua" w:eastAsia="宋体" w:hAnsi="Book Antiqua" w:cs="宋体"/>
          <w:color w:val="000000" w:themeColor="text1"/>
        </w:rPr>
        <w:t>Michot</w:t>
      </w:r>
      <w:proofErr w:type="spellEnd"/>
      <w:r w:rsidRPr="007C570D">
        <w:rPr>
          <w:rFonts w:ascii="Book Antiqua" w:eastAsia="宋体" w:hAnsi="Book Antiqua" w:cs="宋体"/>
          <w:color w:val="000000" w:themeColor="text1"/>
        </w:rPr>
        <w:t xml:space="preserve"> F, Michel P, </w:t>
      </w:r>
      <w:proofErr w:type="spellStart"/>
      <w:r w:rsidRPr="007C570D">
        <w:rPr>
          <w:rFonts w:ascii="Book Antiqua" w:eastAsia="宋体" w:hAnsi="Book Antiqua" w:cs="宋体"/>
          <w:color w:val="000000" w:themeColor="text1"/>
        </w:rPr>
        <w:t>Frebourg</w:t>
      </w:r>
      <w:proofErr w:type="spellEnd"/>
      <w:r w:rsidRPr="007C570D">
        <w:rPr>
          <w:rFonts w:ascii="Book Antiqua" w:eastAsia="宋体" w:hAnsi="Book Antiqua" w:cs="宋体"/>
          <w:color w:val="000000" w:themeColor="text1"/>
        </w:rPr>
        <w:t xml:space="preserve"> T. Clinical relevance of KRAS mutation detection in metastatic colorectal cancer treated by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plus chemotherapy. </w:t>
      </w:r>
      <w:r w:rsidRPr="007C570D">
        <w:rPr>
          <w:rFonts w:ascii="Book Antiqua" w:eastAsia="宋体" w:hAnsi="Book Antiqua" w:cs="宋体"/>
          <w:i/>
          <w:iCs/>
          <w:color w:val="000000" w:themeColor="text1"/>
        </w:rPr>
        <w:t>Br J Cancer</w:t>
      </w:r>
      <w:r w:rsidRPr="007C570D">
        <w:rPr>
          <w:rFonts w:ascii="Book Antiqua" w:eastAsia="宋体" w:hAnsi="Book Antiqua" w:cs="宋体"/>
          <w:color w:val="000000" w:themeColor="text1"/>
        </w:rPr>
        <w:t xml:space="preserve"> 2007; </w:t>
      </w:r>
      <w:r w:rsidRPr="007C570D">
        <w:rPr>
          <w:rFonts w:ascii="Book Antiqua" w:eastAsia="宋体" w:hAnsi="Book Antiqua" w:cs="宋体"/>
          <w:b/>
          <w:bCs/>
          <w:color w:val="000000" w:themeColor="text1"/>
        </w:rPr>
        <w:t>96</w:t>
      </w:r>
      <w:r w:rsidRPr="007C570D">
        <w:rPr>
          <w:rFonts w:ascii="Book Antiqua" w:eastAsia="宋体" w:hAnsi="Book Antiqua" w:cs="宋体"/>
          <w:color w:val="000000" w:themeColor="text1"/>
        </w:rPr>
        <w:t>: 1166-1169 [PMID: 17375050 DOI: 10.1038/sj.bjc.6603685]</w:t>
      </w:r>
    </w:p>
    <w:p w14:paraId="66305771"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70 </w:t>
      </w:r>
      <w:r w:rsidRPr="007C570D">
        <w:rPr>
          <w:rFonts w:ascii="Book Antiqua" w:eastAsia="宋体" w:hAnsi="Book Antiqua" w:cs="宋体"/>
          <w:b/>
          <w:bCs/>
          <w:color w:val="000000" w:themeColor="text1"/>
        </w:rPr>
        <w:t xml:space="preserve">Di </w:t>
      </w:r>
      <w:proofErr w:type="spellStart"/>
      <w:r w:rsidRPr="007C570D">
        <w:rPr>
          <w:rFonts w:ascii="Book Antiqua" w:eastAsia="宋体" w:hAnsi="Book Antiqua" w:cs="宋体"/>
          <w:b/>
          <w:bCs/>
          <w:color w:val="000000" w:themeColor="text1"/>
        </w:rPr>
        <w:t>Nicolantonio</w:t>
      </w:r>
      <w:proofErr w:type="spellEnd"/>
      <w:r w:rsidRPr="007C570D">
        <w:rPr>
          <w:rFonts w:ascii="Book Antiqua" w:eastAsia="宋体" w:hAnsi="Book Antiqua" w:cs="宋体"/>
          <w:b/>
          <w:bCs/>
          <w:color w:val="000000" w:themeColor="text1"/>
        </w:rPr>
        <w:t xml:space="preserve"> F</w:t>
      </w:r>
      <w:r w:rsidRPr="007C570D">
        <w:rPr>
          <w:rFonts w:ascii="Book Antiqua" w:eastAsia="宋体" w:hAnsi="Book Antiqua" w:cs="宋体"/>
          <w:color w:val="000000" w:themeColor="text1"/>
        </w:rPr>
        <w:t xml:space="preserve">, Martini M, Molinari F, </w:t>
      </w:r>
      <w:proofErr w:type="spellStart"/>
      <w:r w:rsidRPr="007C570D">
        <w:rPr>
          <w:rFonts w:ascii="Book Antiqua" w:eastAsia="宋体" w:hAnsi="Book Antiqua" w:cs="宋体"/>
          <w:color w:val="000000" w:themeColor="text1"/>
        </w:rPr>
        <w:t>Sartore</w:t>
      </w:r>
      <w:proofErr w:type="spellEnd"/>
      <w:r w:rsidRPr="007C570D">
        <w:rPr>
          <w:rFonts w:ascii="Book Antiqua" w:eastAsia="宋体" w:hAnsi="Book Antiqua" w:cs="宋体"/>
          <w:color w:val="000000" w:themeColor="text1"/>
        </w:rPr>
        <w:t xml:space="preserve">-Bianchi A, Arena S, </w:t>
      </w:r>
      <w:proofErr w:type="spellStart"/>
      <w:r w:rsidRPr="007C570D">
        <w:rPr>
          <w:rFonts w:ascii="Book Antiqua" w:eastAsia="宋体" w:hAnsi="Book Antiqua" w:cs="宋体"/>
          <w:color w:val="000000" w:themeColor="text1"/>
        </w:rPr>
        <w:t>Saletti</w:t>
      </w:r>
      <w:proofErr w:type="spellEnd"/>
      <w:r w:rsidRPr="007C570D">
        <w:rPr>
          <w:rFonts w:ascii="Book Antiqua" w:eastAsia="宋体" w:hAnsi="Book Antiqua" w:cs="宋体"/>
          <w:color w:val="000000" w:themeColor="text1"/>
        </w:rPr>
        <w:t xml:space="preserve"> P, De </w:t>
      </w:r>
      <w:proofErr w:type="spellStart"/>
      <w:r w:rsidRPr="007C570D">
        <w:rPr>
          <w:rFonts w:ascii="Book Antiqua" w:eastAsia="宋体" w:hAnsi="Book Antiqua" w:cs="宋体"/>
          <w:color w:val="000000" w:themeColor="text1"/>
        </w:rPr>
        <w:t>Dosso</w:t>
      </w:r>
      <w:proofErr w:type="spellEnd"/>
      <w:r w:rsidRPr="007C570D">
        <w:rPr>
          <w:rFonts w:ascii="Book Antiqua" w:eastAsia="宋体" w:hAnsi="Book Antiqua" w:cs="宋体"/>
          <w:color w:val="000000" w:themeColor="text1"/>
        </w:rPr>
        <w:t xml:space="preserve"> S, </w:t>
      </w:r>
      <w:proofErr w:type="spellStart"/>
      <w:r w:rsidRPr="007C570D">
        <w:rPr>
          <w:rFonts w:ascii="Book Antiqua" w:eastAsia="宋体" w:hAnsi="Book Antiqua" w:cs="宋体"/>
          <w:color w:val="000000" w:themeColor="text1"/>
        </w:rPr>
        <w:t>Mazzucchelli</w:t>
      </w:r>
      <w:proofErr w:type="spellEnd"/>
      <w:r w:rsidRPr="007C570D">
        <w:rPr>
          <w:rFonts w:ascii="Book Antiqua" w:eastAsia="宋体" w:hAnsi="Book Antiqua" w:cs="宋体"/>
          <w:color w:val="000000" w:themeColor="text1"/>
        </w:rPr>
        <w:t xml:space="preserve"> L, </w:t>
      </w:r>
      <w:proofErr w:type="spellStart"/>
      <w:r w:rsidRPr="007C570D">
        <w:rPr>
          <w:rFonts w:ascii="Book Antiqua" w:eastAsia="宋体" w:hAnsi="Book Antiqua" w:cs="宋体"/>
          <w:color w:val="000000" w:themeColor="text1"/>
        </w:rPr>
        <w:t>Frattini</w:t>
      </w:r>
      <w:proofErr w:type="spellEnd"/>
      <w:r w:rsidRPr="007C570D">
        <w:rPr>
          <w:rFonts w:ascii="Book Antiqua" w:eastAsia="宋体" w:hAnsi="Book Antiqua" w:cs="宋体"/>
          <w:color w:val="000000" w:themeColor="text1"/>
        </w:rPr>
        <w:t xml:space="preserve"> M, Siena S, </w:t>
      </w:r>
      <w:proofErr w:type="spellStart"/>
      <w:r w:rsidRPr="007C570D">
        <w:rPr>
          <w:rFonts w:ascii="Book Antiqua" w:eastAsia="宋体" w:hAnsi="Book Antiqua" w:cs="宋体"/>
          <w:color w:val="000000" w:themeColor="text1"/>
        </w:rPr>
        <w:t>Bardelli</w:t>
      </w:r>
      <w:proofErr w:type="spellEnd"/>
      <w:r w:rsidRPr="007C570D">
        <w:rPr>
          <w:rFonts w:ascii="Book Antiqua" w:eastAsia="宋体" w:hAnsi="Book Antiqua" w:cs="宋体"/>
          <w:color w:val="000000" w:themeColor="text1"/>
        </w:rPr>
        <w:t xml:space="preserve"> A. Wild-type BRAF is required for response to </w:t>
      </w:r>
      <w:proofErr w:type="spellStart"/>
      <w:r w:rsidRPr="007C570D">
        <w:rPr>
          <w:rFonts w:ascii="Book Antiqua" w:eastAsia="宋体" w:hAnsi="Book Antiqua" w:cs="宋体"/>
          <w:color w:val="000000" w:themeColor="text1"/>
        </w:rPr>
        <w:t>panitumumab</w:t>
      </w:r>
      <w:proofErr w:type="spellEnd"/>
      <w:r w:rsidRPr="007C570D">
        <w:rPr>
          <w:rFonts w:ascii="Book Antiqua" w:eastAsia="宋体" w:hAnsi="Book Antiqua" w:cs="宋体"/>
          <w:color w:val="000000" w:themeColor="text1"/>
        </w:rPr>
        <w:t xml:space="preserve"> or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in metastatic colorectal cancer. </w:t>
      </w:r>
      <w:r w:rsidRPr="007C570D">
        <w:rPr>
          <w:rFonts w:ascii="Book Antiqua" w:eastAsia="宋体" w:hAnsi="Book Antiqua" w:cs="宋体"/>
          <w:i/>
          <w:iCs/>
          <w:color w:val="000000" w:themeColor="text1"/>
        </w:rPr>
        <w:t xml:space="preserve">J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Oncol</w:t>
      </w:r>
      <w:proofErr w:type="spellEnd"/>
      <w:r w:rsidRPr="007C570D">
        <w:rPr>
          <w:rFonts w:ascii="Book Antiqua" w:eastAsia="宋体" w:hAnsi="Book Antiqua" w:cs="宋体"/>
          <w:color w:val="000000" w:themeColor="text1"/>
        </w:rPr>
        <w:t xml:space="preserve"> 2008; </w:t>
      </w:r>
      <w:r w:rsidRPr="007C570D">
        <w:rPr>
          <w:rFonts w:ascii="Book Antiqua" w:eastAsia="宋体" w:hAnsi="Book Antiqua" w:cs="宋体"/>
          <w:b/>
          <w:bCs/>
          <w:color w:val="000000" w:themeColor="text1"/>
        </w:rPr>
        <w:t>26</w:t>
      </w:r>
      <w:r w:rsidRPr="007C570D">
        <w:rPr>
          <w:rFonts w:ascii="Book Antiqua" w:eastAsia="宋体" w:hAnsi="Book Antiqua" w:cs="宋体"/>
          <w:color w:val="000000" w:themeColor="text1"/>
        </w:rPr>
        <w:t>: 5705-5712 [PMID: 19001320 DOI: 10.1200/JCO.2008.18.0786]</w:t>
      </w:r>
    </w:p>
    <w:p w14:paraId="6797768B"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71 </w:t>
      </w:r>
      <w:r w:rsidRPr="007C570D">
        <w:rPr>
          <w:rFonts w:ascii="Book Antiqua" w:eastAsia="宋体" w:hAnsi="Book Antiqua" w:cs="宋体"/>
          <w:b/>
          <w:bCs/>
          <w:color w:val="000000" w:themeColor="text1"/>
        </w:rPr>
        <w:t>Hill CS</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Treisman</w:t>
      </w:r>
      <w:proofErr w:type="spellEnd"/>
      <w:r w:rsidRPr="007C570D">
        <w:rPr>
          <w:rFonts w:ascii="Book Antiqua" w:eastAsia="宋体" w:hAnsi="Book Antiqua" w:cs="宋体"/>
          <w:color w:val="000000" w:themeColor="text1"/>
        </w:rPr>
        <w:t xml:space="preserve"> R. Transcriptional regulation by extracellular signals: mechanisms and specificity. </w:t>
      </w:r>
      <w:r w:rsidRPr="007C570D">
        <w:rPr>
          <w:rFonts w:ascii="Book Antiqua" w:eastAsia="宋体" w:hAnsi="Book Antiqua" w:cs="宋体"/>
          <w:i/>
          <w:iCs/>
          <w:color w:val="000000" w:themeColor="text1"/>
        </w:rPr>
        <w:t>Cell</w:t>
      </w:r>
      <w:r w:rsidRPr="007C570D">
        <w:rPr>
          <w:rFonts w:ascii="Book Antiqua" w:eastAsia="宋体" w:hAnsi="Book Antiqua" w:cs="宋体"/>
          <w:color w:val="000000" w:themeColor="text1"/>
        </w:rPr>
        <w:t xml:space="preserve"> 1995; </w:t>
      </w:r>
      <w:r w:rsidRPr="007C570D">
        <w:rPr>
          <w:rFonts w:ascii="Book Antiqua" w:eastAsia="宋体" w:hAnsi="Book Antiqua" w:cs="宋体"/>
          <w:b/>
          <w:bCs/>
          <w:color w:val="000000" w:themeColor="text1"/>
        </w:rPr>
        <w:t>80</w:t>
      </w:r>
      <w:r w:rsidRPr="007C570D">
        <w:rPr>
          <w:rFonts w:ascii="Book Antiqua" w:eastAsia="宋体" w:hAnsi="Book Antiqua" w:cs="宋体"/>
          <w:color w:val="000000" w:themeColor="text1"/>
        </w:rPr>
        <w:t>: 199-211 [PMID: 7834740 DOI: 10.1016/0092-8674(95)90403-4]</w:t>
      </w:r>
    </w:p>
    <w:p w14:paraId="38ABB34C"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72 </w:t>
      </w:r>
      <w:r w:rsidRPr="007C570D">
        <w:rPr>
          <w:rFonts w:ascii="Book Antiqua" w:eastAsia="宋体" w:hAnsi="Book Antiqua" w:cs="宋体"/>
          <w:b/>
          <w:bCs/>
          <w:color w:val="000000" w:themeColor="text1"/>
        </w:rPr>
        <w:t>Zhang BH</w:t>
      </w:r>
      <w:r w:rsidRPr="007C570D">
        <w:rPr>
          <w:rFonts w:ascii="Book Antiqua" w:eastAsia="宋体" w:hAnsi="Book Antiqua" w:cs="宋体"/>
          <w:color w:val="000000" w:themeColor="text1"/>
        </w:rPr>
        <w:t>, Guan KL. Activation of B-</w:t>
      </w:r>
      <w:proofErr w:type="spellStart"/>
      <w:r w:rsidRPr="007C570D">
        <w:rPr>
          <w:rFonts w:ascii="Book Antiqua" w:eastAsia="宋体" w:hAnsi="Book Antiqua" w:cs="宋体"/>
          <w:color w:val="000000" w:themeColor="text1"/>
        </w:rPr>
        <w:t>Raf</w:t>
      </w:r>
      <w:proofErr w:type="spellEnd"/>
      <w:r w:rsidRPr="007C570D">
        <w:rPr>
          <w:rFonts w:ascii="Book Antiqua" w:eastAsia="宋体" w:hAnsi="Book Antiqua" w:cs="宋体"/>
          <w:color w:val="000000" w:themeColor="text1"/>
        </w:rPr>
        <w:t xml:space="preserve"> kinase requires phosphorylation of the conserved residues Thr598 and Ser601. </w:t>
      </w:r>
      <w:r w:rsidRPr="007C570D">
        <w:rPr>
          <w:rFonts w:ascii="Book Antiqua" w:eastAsia="宋体" w:hAnsi="Book Antiqua" w:cs="宋体"/>
          <w:i/>
          <w:iCs/>
          <w:color w:val="000000" w:themeColor="text1"/>
        </w:rPr>
        <w:t>EMBO J</w:t>
      </w:r>
      <w:r w:rsidRPr="007C570D">
        <w:rPr>
          <w:rFonts w:ascii="Book Antiqua" w:eastAsia="宋体" w:hAnsi="Book Antiqua" w:cs="宋体"/>
          <w:color w:val="000000" w:themeColor="text1"/>
        </w:rPr>
        <w:t xml:space="preserve"> 2000; </w:t>
      </w:r>
      <w:r w:rsidRPr="007C570D">
        <w:rPr>
          <w:rFonts w:ascii="Book Antiqua" w:eastAsia="宋体" w:hAnsi="Book Antiqua" w:cs="宋体"/>
          <w:b/>
          <w:bCs/>
          <w:color w:val="000000" w:themeColor="text1"/>
        </w:rPr>
        <w:t>19</w:t>
      </w:r>
      <w:r w:rsidRPr="007C570D">
        <w:rPr>
          <w:rFonts w:ascii="Book Antiqua" w:eastAsia="宋体" w:hAnsi="Book Antiqua" w:cs="宋体"/>
          <w:color w:val="000000" w:themeColor="text1"/>
        </w:rPr>
        <w:t>: 5429-5439 [PMID: 11032810 DOI: 10.1093/</w:t>
      </w:r>
      <w:proofErr w:type="spellStart"/>
      <w:r w:rsidRPr="007C570D">
        <w:rPr>
          <w:rFonts w:ascii="Book Antiqua" w:eastAsia="宋体" w:hAnsi="Book Antiqua" w:cs="宋体"/>
          <w:color w:val="000000" w:themeColor="text1"/>
        </w:rPr>
        <w:t>emboj</w:t>
      </w:r>
      <w:proofErr w:type="spellEnd"/>
      <w:r w:rsidRPr="007C570D">
        <w:rPr>
          <w:rFonts w:ascii="Book Antiqua" w:eastAsia="宋体" w:hAnsi="Book Antiqua" w:cs="宋体"/>
          <w:color w:val="000000" w:themeColor="text1"/>
        </w:rPr>
        <w:t>/19.20.5429]</w:t>
      </w:r>
    </w:p>
    <w:p w14:paraId="2E0A4DAA"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73 </w:t>
      </w:r>
      <w:proofErr w:type="spellStart"/>
      <w:r w:rsidRPr="007C570D">
        <w:rPr>
          <w:rFonts w:ascii="Book Antiqua" w:eastAsia="宋体" w:hAnsi="Book Antiqua" w:cs="宋体"/>
          <w:b/>
          <w:bCs/>
          <w:color w:val="000000" w:themeColor="text1"/>
        </w:rPr>
        <w:t>Erhardt</w:t>
      </w:r>
      <w:proofErr w:type="spellEnd"/>
      <w:r w:rsidRPr="007C570D">
        <w:rPr>
          <w:rFonts w:ascii="Book Antiqua" w:eastAsia="宋体" w:hAnsi="Book Antiqua" w:cs="宋体"/>
          <w:b/>
          <w:bCs/>
          <w:color w:val="000000" w:themeColor="text1"/>
        </w:rPr>
        <w:t xml:space="preserve"> P</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Schremser</w:t>
      </w:r>
      <w:proofErr w:type="spellEnd"/>
      <w:r w:rsidRPr="007C570D">
        <w:rPr>
          <w:rFonts w:ascii="Book Antiqua" w:eastAsia="宋体" w:hAnsi="Book Antiqua" w:cs="宋体"/>
          <w:color w:val="000000" w:themeColor="text1"/>
        </w:rPr>
        <w:t xml:space="preserve"> EJ, Cooper GM. B-</w:t>
      </w:r>
      <w:proofErr w:type="spellStart"/>
      <w:r w:rsidRPr="007C570D">
        <w:rPr>
          <w:rFonts w:ascii="Book Antiqua" w:eastAsia="宋体" w:hAnsi="Book Antiqua" w:cs="宋体"/>
          <w:color w:val="000000" w:themeColor="text1"/>
        </w:rPr>
        <w:t>Raf</w:t>
      </w:r>
      <w:proofErr w:type="spellEnd"/>
      <w:r w:rsidRPr="007C570D">
        <w:rPr>
          <w:rFonts w:ascii="Book Antiqua" w:eastAsia="宋体" w:hAnsi="Book Antiqua" w:cs="宋体"/>
          <w:color w:val="000000" w:themeColor="text1"/>
        </w:rPr>
        <w:t xml:space="preserve"> inhibits programmed cell death downstream of cytochrome c release from mitochondria by activating the MEK/</w:t>
      </w:r>
      <w:proofErr w:type="spellStart"/>
      <w:r w:rsidRPr="007C570D">
        <w:rPr>
          <w:rFonts w:ascii="Book Antiqua" w:eastAsia="宋体" w:hAnsi="Book Antiqua" w:cs="宋体"/>
          <w:color w:val="000000" w:themeColor="text1"/>
        </w:rPr>
        <w:t>Erk</w:t>
      </w:r>
      <w:proofErr w:type="spellEnd"/>
      <w:r w:rsidRPr="007C570D">
        <w:rPr>
          <w:rFonts w:ascii="Book Antiqua" w:eastAsia="宋体" w:hAnsi="Book Antiqua" w:cs="宋体"/>
          <w:color w:val="000000" w:themeColor="text1"/>
        </w:rPr>
        <w:t xml:space="preserve"> pathway. </w:t>
      </w:r>
      <w:proofErr w:type="spellStart"/>
      <w:r w:rsidRPr="007C570D">
        <w:rPr>
          <w:rFonts w:ascii="Book Antiqua" w:eastAsia="宋体" w:hAnsi="Book Antiqua" w:cs="宋体"/>
          <w:i/>
          <w:iCs/>
          <w:color w:val="000000" w:themeColor="text1"/>
        </w:rPr>
        <w:t>Mol</w:t>
      </w:r>
      <w:proofErr w:type="spellEnd"/>
      <w:r w:rsidRPr="007C570D">
        <w:rPr>
          <w:rFonts w:ascii="Book Antiqua" w:eastAsia="宋体" w:hAnsi="Book Antiqua" w:cs="宋体"/>
          <w:i/>
          <w:iCs/>
          <w:color w:val="000000" w:themeColor="text1"/>
        </w:rPr>
        <w:t xml:space="preserve"> Cell </w:t>
      </w:r>
      <w:proofErr w:type="spellStart"/>
      <w:r w:rsidRPr="007C570D">
        <w:rPr>
          <w:rFonts w:ascii="Book Antiqua" w:eastAsia="宋体" w:hAnsi="Book Antiqua" w:cs="宋体"/>
          <w:i/>
          <w:iCs/>
          <w:color w:val="000000" w:themeColor="text1"/>
        </w:rPr>
        <w:t>Biol</w:t>
      </w:r>
      <w:proofErr w:type="spellEnd"/>
      <w:r w:rsidRPr="007C570D">
        <w:rPr>
          <w:rFonts w:ascii="Book Antiqua" w:eastAsia="宋体" w:hAnsi="Book Antiqua" w:cs="宋体"/>
          <w:color w:val="000000" w:themeColor="text1"/>
        </w:rPr>
        <w:t xml:space="preserve"> 1999; </w:t>
      </w:r>
      <w:r w:rsidRPr="007C570D">
        <w:rPr>
          <w:rFonts w:ascii="Book Antiqua" w:eastAsia="宋体" w:hAnsi="Book Antiqua" w:cs="宋体"/>
          <w:b/>
          <w:bCs/>
          <w:color w:val="000000" w:themeColor="text1"/>
        </w:rPr>
        <w:t>19</w:t>
      </w:r>
      <w:r w:rsidRPr="007C570D">
        <w:rPr>
          <w:rFonts w:ascii="Book Antiqua" w:eastAsia="宋体" w:hAnsi="Book Antiqua" w:cs="宋体"/>
          <w:color w:val="000000" w:themeColor="text1"/>
        </w:rPr>
        <w:t>: 5308-5315 [PMID: 10409722]</w:t>
      </w:r>
    </w:p>
    <w:p w14:paraId="5C52518A"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74 </w:t>
      </w:r>
      <w:proofErr w:type="spellStart"/>
      <w:r w:rsidRPr="007C570D">
        <w:rPr>
          <w:rFonts w:ascii="Book Antiqua" w:eastAsia="宋体" w:hAnsi="Book Antiqua" w:cs="宋体"/>
          <w:b/>
          <w:bCs/>
          <w:color w:val="000000" w:themeColor="text1"/>
        </w:rPr>
        <w:t>Wangefjord</w:t>
      </w:r>
      <w:proofErr w:type="spellEnd"/>
      <w:r w:rsidRPr="007C570D">
        <w:rPr>
          <w:rFonts w:ascii="Book Antiqua" w:eastAsia="宋体" w:hAnsi="Book Antiqua" w:cs="宋体"/>
          <w:b/>
          <w:bCs/>
          <w:color w:val="000000" w:themeColor="text1"/>
        </w:rPr>
        <w:t xml:space="preserve"> S</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Sundström</w:t>
      </w:r>
      <w:proofErr w:type="spellEnd"/>
      <w:r w:rsidRPr="007C570D">
        <w:rPr>
          <w:rFonts w:ascii="Book Antiqua" w:eastAsia="宋体" w:hAnsi="Book Antiqua" w:cs="宋体"/>
          <w:color w:val="000000" w:themeColor="text1"/>
        </w:rPr>
        <w:t xml:space="preserve"> M, </w:t>
      </w:r>
      <w:proofErr w:type="spellStart"/>
      <w:r w:rsidRPr="007C570D">
        <w:rPr>
          <w:rFonts w:ascii="Book Antiqua" w:eastAsia="宋体" w:hAnsi="Book Antiqua" w:cs="宋体"/>
          <w:color w:val="000000" w:themeColor="text1"/>
        </w:rPr>
        <w:t>Zendehrokh</w:t>
      </w:r>
      <w:proofErr w:type="spellEnd"/>
      <w:r w:rsidRPr="007C570D">
        <w:rPr>
          <w:rFonts w:ascii="Book Antiqua" w:eastAsia="宋体" w:hAnsi="Book Antiqua" w:cs="宋体"/>
          <w:color w:val="000000" w:themeColor="text1"/>
        </w:rPr>
        <w:t xml:space="preserve"> N, Lindquist KE, </w:t>
      </w:r>
      <w:proofErr w:type="spellStart"/>
      <w:r w:rsidRPr="007C570D">
        <w:rPr>
          <w:rFonts w:ascii="Book Antiqua" w:eastAsia="宋体" w:hAnsi="Book Antiqua" w:cs="宋体"/>
          <w:color w:val="000000" w:themeColor="text1"/>
        </w:rPr>
        <w:t>Nodin</w:t>
      </w:r>
      <w:proofErr w:type="spellEnd"/>
      <w:r w:rsidRPr="007C570D">
        <w:rPr>
          <w:rFonts w:ascii="Book Antiqua" w:eastAsia="宋体" w:hAnsi="Book Antiqua" w:cs="宋体"/>
          <w:color w:val="000000" w:themeColor="text1"/>
        </w:rPr>
        <w:t xml:space="preserve"> B, </w:t>
      </w:r>
      <w:proofErr w:type="spellStart"/>
      <w:r w:rsidRPr="007C570D">
        <w:rPr>
          <w:rFonts w:ascii="Book Antiqua" w:eastAsia="宋体" w:hAnsi="Book Antiqua" w:cs="宋体"/>
          <w:color w:val="000000" w:themeColor="text1"/>
        </w:rPr>
        <w:t>Jirström</w:t>
      </w:r>
      <w:proofErr w:type="spellEnd"/>
      <w:r w:rsidRPr="007C570D">
        <w:rPr>
          <w:rFonts w:ascii="Book Antiqua" w:eastAsia="宋体" w:hAnsi="Book Antiqua" w:cs="宋体"/>
          <w:color w:val="000000" w:themeColor="text1"/>
        </w:rPr>
        <w:t xml:space="preserve"> K, Eberhard J. Sex differences in the prognostic significance of KRAS codons 12 </w:t>
      </w:r>
      <w:r w:rsidRPr="007C570D">
        <w:rPr>
          <w:rFonts w:ascii="Book Antiqua" w:eastAsia="宋体" w:hAnsi="Book Antiqua" w:cs="宋体"/>
          <w:color w:val="000000" w:themeColor="text1"/>
        </w:rPr>
        <w:lastRenderedPageBreak/>
        <w:t xml:space="preserve">and 13, and BRAF mutations in colorectal cancer: a cohort study. </w:t>
      </w:r>
      <w:proofErr w:type="spellStart"/>
      <w:r w:rsidRPr="007C570D">
        <w:rPr>
          <w:rFonts w:ascii="Book Antiqua" w:eastAsia="宋体" w:hAnsi="Book Antiqua" w:cs="宋体"/>
          <w:i/>
          <w:iCs/>
          <w:color w:val="000000" w:themeColor="text1"/>
        </w:rPr>
        <w:t>Biol</w:t>
      </w:r>
      <w:proofErr w:type="spellEnd"/>
      <w:r w:rsidRPr="007C570D">
        <w:rPr>
          <w:rFonts w:ascii="Book Antiqua" w:eastAsia="宋体" w:hAnsi="Book Antiqua" w:cs="宋体"/>
          <w:i/>
          <w:iCs/>
          <w:color w:val="000000" w:themeColor="text1"/>
        </w:rPr>
        <w:t xml:space="preserve"> Sex Differ</w:t>
      </w:r>
      <w:r w:rsidRPr="007C570D">
        <w:rPr>
          <w:rFonts w:ascii="Book Antiqua" w:eastAsia="宋体" w:hAnsi="Book Antiqua" w:cs="宋体"/>
          <w:color w:val="000000" w:themeColor="text1"/>
        </w:rPr>
        <w:t xml:space="preserve"> 2013; </w:t>
      </w:r>
      <w:r w:rsidRPr="007C570D">
        <w:rPr>
          <w:rFonts w:ascii="Book Antiqua" w:eastAsia="宋体" w:hAnsi="Book Antiqua" w:cs="宋体"/>
          <w:b/>
          <w:bCs/>
          <w:color w:val="000000" w:themeColor="text1"/>
        </w:rPr>
        <w:t>4</w:t>
      </w:r>
      <w:r w:rsidRPr="007C570D">
        <w:rPr>
          <w:rFonts w:ascii="Book Antiqua" w:eastAsia="宋体" w:hAnsi="Book Antiqua" w:cs="宋体"/>
          <w:color w:val="000000" w:themeColor="text1"/>
        </w:rPr>
        <w:t>: 17 [PMID: 24020794 DOI: 10.1186/2042-6410-4-17]</w:t>
      </w:r>
    </w:p>
    <w:p w14:paraId="5D0F12B8"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75 </w:t>
      </w:r>
      <w:proofErr w:type="spellStart"/>
      <w:r w:rsidRPr="007C570D">
        <w:rPr>
          <w:rFonts w:ascii="Book Antiqua" w:eastAsia="宋体" w:hAnsi="Book Antiqua" w:cs="宋体"/>
          <w:b/>
          <w:bCs/>
          <w:color w:val="000000" w:themeColor="text1"/>
        </w:rPr>
        <w:t>Yonesaka</w:t>
      </w:r>
      <w:proofErr w:type="spellEnd"/>
      <w:r w:rsidRPr="007C570D">
        <w:rPr>
          <w:rFonts w:ascii="Book Antiqua" w:eastAsia="宋体" w:hAnsi="Book Antiqua" w:cs="宋体"/>
          <w:b/>
          <w:bCs/>
          <w:color w:val="000000" w:themeColor="text1"/>
        </w:rPr>
        <w:t xml:space="preserve"> K</w:t>
      </w:r>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color w:val="000000" w:themeColor="text1"/>
        </w:rPr>
        <w:t>Zejnullahu</w:t>
      </w:r>
      <w:proofErr w:type="spellEnd"/>
      <w:r w:rsidRPr="007C570D">
        <w:rPr>
          <w:rFonts w:ascii="Book Antiqua" w:eastAsia="宋体" w:hAnsi="Book Antiqua" w:cs="宋体"/>
          <w:color w:val="000000" w:themeColor="text1"/>
        </w:rPr>
        <w:t xml:space="preserve"> K, Okamoto I, Satoh T, </w:t>
      </w:r>
      <w:proofErr w:type="spellStart"/>
      <w:r w:rsidRPr="007C570D">
        <w:rPr>
          <w:rFonts w:ascii="Book Antiqua" w:eastAsia="宋体" w:hAnsi="Book Antiqua" w:cs="宋体"/>
          <w:color w:val="000000" w:themeColor="text1"/>
        </w:rPr>
        <w:t>Cappuzzo</w:t>
      </w:r>
      <w:proofErr w:type="spellEnd"/>
      <w:r w:rsidRPr="007C570D">
        <w:rPr>
          <w:rFonts w:ascii="Book Antiqua" w:eastAsia="宋体" w:hAnsi="Book Antiqua" w:cs="宋体"/>
          <w:color w:val="000000" w:themeColor="text1"/>
        </w:rPr>
        <w:t xml:space="preserve"> F, </w:t>
      </w:r>
      <w:proofErr w:type="spellStart"/>
      <w:r w:rsidRPr="007C570D">
        <w:rPr>
          <w:rFonts w:ascii="Book Antiqua" w:eastAsia="宋体" w:hAnsi="Book Antiqua" w:cs="宋体"/>
          <w:color w:val="000000" w:themeColor="text1"/>
        </w:rPr>
        <w:t>Souglakos</w:t>
      </w:r>
      <w:proofErr w:type="spellEnd"/>
      <w:r w:rsidRPr="007C570D">
        <w:rPr>
          <w:rFonts w:ascii="Book Antiqua" w:eastAsia="宋体" w:hAnsi="Book Antiqua" w:cs="宋体"/>
          <w:color w:val="000000" w:themeColor="text1"/>
        </w:rPr>
        <w:t xml:space="preserve"> J, </w:t>
      </w:r>
      <w:proofErr w:type="spellStart"/>
      <w:r w:rsidRPr="007C570D">
        <w:rPr>
          <w:rFonts w:ascii="Book Antiqua" w:eastAsia="宋体" w:hAnsi="Book Antiqua" w:cs="宋体"/>
          <w:color w:val="000000" w:themeColor="text1"/>
        </w:rPr>
        <w:t>Ercan</w:t>
      </w:r>
      <w:proofErr w:type="spellEnd"/>
      <w:r w:rsidRPr="007C570D">
        <w:rPr>
          <w:rFonts w:ascii="Book Antiqua" w:eastAsia="宋体" w:hAnsi="Book Antiqua" w:cs="宋体"/>
          <w:color w:val="000000" w:themeColor="text1"/>
        </w:rPr>
        <w:t xml:space="preserve"> D, Rogers A, </w:t>
      </w:r>
      <w:proofErr w:type="spellStart"/>
      <w:r w:rsidRPr="007C570D">
        <w:rPr>
          <w:rFonts w:ascii="Book Antiqua" w:eastAsia="宋体" w:hAnsi="Book Antiqua" w:cs="宋体"/>
          <w:color w:val="000000" w:themeColor="text1"/>
        </w:rPr>
        <w:t>Roncalli</w:t>
      </w:r>
      <w:proofErr w:type="spellEnd"/>
      <w:r w:rsidRPr="007C570D">
        <w:rPr>
          <w:rFonts w:ascii="Book Antiqua" w:eastAsia="宋体" w:hAnsi="Book Antiqua" w:cs="宋体"/>
          <w:color w:val="000000" w:themeColor="text1"/>
        </w:rPr>
        <w:t xml:space="preserve"> M, Takeda M, </w:t>
      </w:r>
      <w:proofErr w:type="spellStart"/>
      <w:r w:rsidRPr="007C570D">
        <w:rPr>
          <w:rFonts w:ascii="Book Antiqua" w:eastAsia="宋体" w:hAnsi="Book Antiqua" w:cs="宋体"/>
          <w:color w:val="000000" w:themeColor="text1"/>
        </w:rPr>
        <w:t>Fujisaka</w:t>
      </w:r>
      <w:proofErr w:type="spellEnd"/>
      <w:r w:rsidRPr="007C570D">
        <w:rPr>
          <w:rFonts w:ascii="Book Antiqua" w:eastAsia="宋体" w:hAnsi="Book Antiqua" w:cs="宋体"/>
          <w:color w:val="000000" w:themeColor="text1"/>
        </w:rPr>
        <w:t xml:space="preserve"> Y, Philips J, Shimizu T, </w:t>
      </w:r>
      <w:proofErr w:type="spellStart"/>
      <w:r w:rsidRPr="007C570D">
        <w:rPr>
          <w:rFonts w:ascii="Book Antiqua" w:eastAsia="宋体" w:hAnsi="Book Antiqua" w:cs="宋体"/>
          <w:color w:val="000000" w:themeColor="text1"/>
        </w:rPr>
        <w:t>Maenishi</w:t>
      </w:r>
      <w:proofErr w:type="spellEnd"/>
      <w:r w:rsidRPr="007C570D">
        <w:rPr>
          <w:rFonts w:ascii="Book Antiqua" w:eastAsia="宋体" w:hAnsi="Book Antiqua" w:cs="宋体"/>
          <w:color w:val="000000" w:themeColor="text1"/>
        </w:rPr>
        <w:t xml:space="preserve"> O, Cho Y, Sun J, </w:t>
      </w:r>
      <w:proofErr w:type="spellStart"/>
      <w:r w:rsidRPr="007C570D">
        <w:rPr>
          <w:rFonts w:ascii="Book Antiqua" w:eastAsia="宋体" w:hAnsi="Book Antiqua" w:cs="宋体"/>
          <w:color w:val="000000" w:themeColor="text1"/>
        </w:rPr>
        <w:t>Destro</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Taira</w:t>
      </w:r>
      <w:proofErr w:type="spellEnd"/>
      <w:r w:rsidRPr="007C570D">
        <w:rPr>
          <w:rFonts w:ascii="Book Antiqua" w:eastAsia="宋体" w:hAnsi="Book Antiqua" w:cs="宋体"/>
          <w:color w:val="000000" w:themeColor="text1"/>
        </w:rPr>
        <w:t xml:space="preserve"> K, Takeda K, Okabe T, Swanson J, Itoh H, Takada M, </w:t>
      </w:r>
      <w:proofErr w:type="spellStart"/>
      <w:r w:rsidRPr="007C570D">
        <w:rPr>
          <w:rFonts w:ascii="Book Antiqua" w:eastAsia="宋体" w:hAnsi="Book Antiqua" w:cs="宋体"/>
          <w:color w:val="000000" w:themeColor="text1"/>
        </w:rPr>
        <w:t>Lifshits</w:t>
      </w:r>
      <w:proofErr w:type="spellEnd"/>
      <w:r w:rsidRPr="007C570D">
        <w:rPr>
          <w:rFonts w:ascii="Book Antiqua" w:eastAsia="宋体" w:hAnsi="Book Antiqua" w:cs="宋体"/>
          <w:color w:val="000000" w:themeColor="text1"/>
        </w:rPr>
        <w:t xml:space="preserve"> E, </w:t>
      </w:r>
      <w:proofErr w:type="spellStart"/>
      <w:r w:rsidRPr="007C570D">
        <w:rPr>
          <w:rFonts w:ascii="Book Antiqua" w:eastAsia="宋体" w:hAnsi="Book Antiqua" w:cs="宋体"/>
          <w:color w:val="000000" w:themeColor="text1"/>
        </w:rPr>
        <w:t>Okuno</w:t>
      </w:r>
      <w:proofErr w:type="spellEnd"/>
      <w:r w:rsidRPr="007C570D">
        <w:rPr>
          <w:rFonts w:ascii="Book Antiqua" w:eastAsia="宋体" w:hAnsi="Book Antiqua" w:cs="宋体"/>
          <w:color w:val="000000" w:themeColor="text1"/>
        </w:rPr>
        <w:t xml:space="preserve"> K, </w:t>
      </w:r>
      <w:proofErr w:type="spellStart"/>
      <w:r w:rsidRPr="007C570D">
        <w:rPr>
          <w:rFonts w:ascii="Book Antiqua" w:eastAsia="宋体" w:hAnsi="Book Antiqua" w:cs="宋体"/>
          <w:color w:val="000000" w:themeColor="text1"/>
        </w:rPr>
        <w:t>Engelman</w:t>
      </w:r>
      <w:proofErr w:type="spellEnd"/>
      <w:r w:rsidRPr="007C570D">
        <w:rPr>
          <w:rFonts w:ascii="Book Antiqua" w:eastAsia="宋体" w:hAnsi="Book Antiqua" w:cs="宋体"/>
          <w:color w:val="000000" w:themeColor="text1"/>
        </w:rPr>
        <w:t xml:space="preserve"> JA, </w:t>
      </w:r>
      <w:proofErr w:type="spellStart"/>
      <w:r w:rsidRPr="007C570D">
        <w:rPr>
          <w:rFonts w:ascii="Book Antiqua" w:eastAsia="宋体" w:hAnsi="Book Antiqua" w:cs="宋体"/>
          <w:color w:val="000000" w:themeColor="text1"/>
        </w:rPr>
        <w:t>Shivdasani</w:t>
      </w:r>
      <w:proofErr w:type="spellEnd"/>
      <w:r w:rsidRPr="007C570D">
        <w:rPr>
          <w:rFonts w:ascii="Book Antiqua" w:eastAsia="宋体" w:hAnsi="Book Antiqua" w:cs="宋体"/>
          <w:color w:val="000000" w:themeColor="text1"/>
        </w:rPr>
        <w:t xml:space="preserve"> RA, </w:t>
      </w:r>
      <w:proofErr w:type="spellStart"/>
      <w:r w:rsidRPr="007C570D">
        <w:rPr>
          <w:rFonts w:ascii="Book Antiqua" w:eastAsia="宋体" w:hAnsi="Book Antiqua" w:cs="宋体"/>
          <w:color w:val="000000" w:themeColor="text1"/>
        </w:rPr>
        <w:t>Nishio</w:t>
      </w:r>
      <w:proofErr w:type="spellEnd"/>
      <w:r w:rsidRPr="007C570D">
        <w:rPr>
          <w:rFonts w:ascii="Book Antiqua" w:eastAsia="宋体" w:hAnsi="Book Antiqua" w:cs="宋体"/>
          <w:color w:val="000000" w:themeColor="text1"/>
        </w:rPr>
        <w:t xml:space="preserve"> K, Fukuoka M, </w:t>
      </w:r>
      <w:proofErr w:type="spellStart"/>
      <w:r w:rsidRPr="007C570D">
        <w:rPr>
          <w:rFonts w:ascii="Book Antiqua" w:eastAsia="宋体" w:hAnsi="Book Antiqua" w:cs="宋体"/>
          <w:color w:val="000000" w:themeColor="text1"/>
        </w:rPr>
        <w:t>Varella</w:t>
      </w:r>
      <w:proofErr w:type="spellEnd"/>
      <w:r w:rsidRPr="007C570D">
        <w:rPr>
          <w:rFonts w:ascii="Book Antiqua" w:eastAsia="宋体" w:hAnsi="Book Antiqua" w:cs="宋体"/>
          <w:color w:val="000000" w:themeColor="text1"/>
        </w:rPr>
        <w:t xml:space="preserve">-Garcia M, Nakagawa K, </w:t>
      </w:r>
      <w:proofErr w:type="spellStart"/>
      <w:r w:rsidRPr="007C570D">
        <w:rPr>
          <w:rFonts w:ascii="Book Antiqua" w:eastAsia="宋体" w:hAnsi="Book Antiqua" w:cs="宋体"/>
          <w:color w:val="000000" w:themeColor="text1"/>
        </w:rPr>
        <w:t>Jänne</w:t>
      </w:r>
      <w:proofErr w:type="spellEnd"/>
      <w:r w:rsidRPr="007C570D">
        <w:rPr>
          <w:rFonts w:ascii="Book Antiqua" w:eastAsia="宋体" w:hAnsi="Book Antiqua" w:cs="宋体"/>
          <w:color w:val="000000" w:themeColor="text1"/>
        </w:rPr>
        <w:t xml:space="preserve"> PA. Activation of ERBB2 signaling causes resistance to the EGFR-directed therapeutic antibody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w:t>
      </w:r>
      <w:proofErr w:type="spellStart"/>
      <w:r w:rsidRPr="007C570D">
        <w:rPr>
          <w:rFonts w:ascii="Book Antiqua" w:eastAsia="宋体" w:hAnsi="Book Antiqua" w:cs="宋体"/>
          <w:i/>
          <w:iCs/>
          <w:color w:val="000000" w:themeColor="text1"/>
        </w:rPr>
        <w:t>Sci</w:t>
      </w:r>
      <w:proofErr w:type="spellEnd"/>
      <w:r w:rsidRPr="007C570D">
        <w:rPr>
          <w:rFonts w:ascii="Book Antiqua" w:eastAsia="宋体" w:hAnsi="Book Antiqua" w:cs="宋体"/>
          <w:i/>
          <w:iCs/>
          <w:color w:val="000000" w:themeColor="text1"/>
        </w:rPr>
        <w:t xml:space="preserve"> </w:t>
      </w:r>
      <w:proofErr w:type="spellStart"/>
      <w:r w:rsidRPr="007C570D">
        <w:rPr>
          <w:rFonts w:ascii="Book Antiqua" w:eastAsia="宋体" w:hAnsi="Book Antiqua" w:cs="宋体"/>
          <w:i/>
          <w:iCs/>
          <w:color w:val="000000" w:themeColor="text1"/>
        </w:rPr>
        <w:t>Transl</w:t>
      </w:r>
      <w:proofErr w:type="spellEnd"/>
      <w:r w:rsidRPr="007C570D">
        <w:rPr>
          <w:rFonts w:ascii="Book Antiqua" w:eastAsia="宋体" w:hAnsi="Book Antiqua" w:cs="宋体"/>
          <w:i/>
          <w:iCs/>
          <w:color w:val="000000" w:themeColor="text1"/>
        </w:rPr>
        <w:t xml:space="preserve"> Med</w:t>
      </w:r>
      <w:r w:rsidRPr="007C570D">
        <w:rPr>
          <w:rFonts w:ascii="Book Antiqua" w:eastAsia="宋体" w:hAnsi="Book Antiqua" w:cs="宋体"/>
          <w:color w:val="000000" w:themeColor="text1"/>
        </w:rPr>
        <w:t xml:space="preserve"> 2011; </w:t>
      </w:r>
      <w:r w:rsidRPr="007C570D">
        <w:rPr>
          <w:rFonts w:ascii="Book Antiqua" w:eastAsia="宋体" w:hAnsi="Book Antiqua" w:cs="宋体"/>
          <w:b/>
          <w:bCs/>
          <w:color w:val="000000" w:themeColor="text1"/>
        </w:rPr>
        <w:t>3</w:t>
      </w:r>
      <w:r w:rsidRPr="007C570D">
        <w:rPr>
          <w:rFonts w:ascii="Book Antiqua" w:eastAsia="宋体" w:hAnsi="Book Antiqua" w:cs="宋体"/>
          <w:color w:val="000000" w:themeColor="text1"/>
        </w:rPr>
        <w:t>: 99ra86 [PMID: 21900593 DOI: 10.1126/scitranslmed.3002442]</w:t>
      </w:r>
    </w:p>
    <w:p w14:paraId="264DF2CA" w14:textId="77777777" w:rsidR="0062175B" w:rsidRPr="007C570D" w:rsidRDefault="0062175B" w:rsidP="00240E68">
      <w:pPr>
        <w:spacing w:after="0" w:line="360" w:lineRule="auto"/>
        <w:jc w:val="both"/>
        <w:rPr>
          <w:rFonts w:ascii="Book Antiqua" w:eastAsia="宋体" w:hAnsi="Book Antiqua" w:cs="宋体"/>
          <w:color w:val="000000" w:themeColor="text1"/>
        </w:rPr>
      </w:pPr>
      <w:r w:rsidRPr="007C570D">
        <w:rPr>
          <w:rFonts w:ascii="Book Antiqua" w:eastAsia="宋体" w:hAnsi="Book Antiqua" w:cs="宋体"/>
          <w:color w:val="000000" w:themeColor="text1"/>
        </w:rPr>
        <w:t xml:space="preserve">76 </w:t>
      </w:r>
      <w:proofErr w:type="spellStart"/>
      <w:r w:rsidRPr="007C570D">
        <w:rPr>
          <w:rFonts w:ascii="Book Antiqua" w:eastAsia="宋体" w:hAnsi="Book Antiqua" w:cs="宋体"/>
          <w:b/>
          <w:bCs/>
          <w:color w:val="000000" w:themeColor="text1"/>
        </w:rPr>
        <w:t>Inno</w:t>
      </w:r>
      <w:proofErr w:type="spellEnd"/>
      <w:r w:rsidRPr="007C570D">
        <w:rPr>
          <w:rFonts w:ascii="Book Antiqua" w:eastAsia="宋体" w:hAnsi="Book Antiqua" w:cs="宋体"/>
          <w:b/>
          <w:bCs/>
          <w:color w:val="000000" w:themeColor="text1"/>
        </w:rPr>
        <w:t xml:space="preserve"> A</w:t>
      </w:r>
      <w:r w:rsidRPr="007C570D">
        <w:rPr>
          <w:rFonts w:ascii="Book Antiqua" w:eastAsia="宋体" w:hAnsi="Book Antiqua" w:cs="宋体"/>
          <w:color w:val="000000" w:themeColor="text1"/>
        </w:rPr>
        <w:t xml:space="preserve">, Di Salvatore M, Cenci T, Martini M, </w:t>
      </w:r>
      <w:proofErr w:type="spellStart"/>
      <w:r w:rsidRPr="007C570D">
        <w:rPr>
          <w:rFonts w:ascii="Book Antiqua" w:eastAsia="宋体" w:hAnsi="Book Antiqua" w:cs="宋体"/>
          <w:color w:val="000000" w:themeColor="text1"/>
        </w:rPr>
        <w:t>Orlandi</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Strippoli</w:t>
      </w:r>
      <w:proofErr w:type="spellEnd"/>
      <w:r w:rsidRPr="007C570D">
        <w:rPr>
          <w:rFonts w:ascii="Book Antiqua" w:eastAsia="宋体" w:hAnsi="Book Antiqua" w:cs="宋体"/>
          <w:color w:val="000000" w:themeColor="text1"/>
        </w:rPr>
        <w:t xml:space="preserve"> A, Ferrara AM, </w:t>
      </w:r>
      <w:proofErr w:type="spellStart"/>
      <w:r w:rsidRPr="007C570D">
        <w:rPr>
          <w:rFonts w:ascii="Book Antiqua" w:eastAsia="宋体" w:hAnsi="Book Antiqua" w:cs="宋体"/>
          <w:color w:val="000000" w:themeColor="text1"/>
        </w:rPr>
        <w:t>Bagalà</w:t>
      </w:r>
      <w:proofErr w:type="spellEnd"/>
      <w:r w:rsidRPr="007C570D">
        <w:rPr>
          <w:rFonts w:ascii="Book Antiqua" w:eastAsia="宋体" w:hAnsi="Book Antiqua" w:cs="宋体"/>
          <w:color w:val="000000" w:themeColor="text1"/>
        </w:rPr>
        <w:t xml:space="preserve"> C, </w:t>
      </w:r>
      <w:proofErr w:type="spellStart"/>
      <w:r w:rsidRPr="007C570D">
        <w:rPr>
          <w:rFonts w:ascii="Book Antiqua" w:eastAsia="宋体" w:hAnsi="Book Antiqua" w:cs="宋体"/>
          <w:color w:val="000000" w:themeColor="text1"/>
        </w:rPr>
        <w:t>Cassano</w:t>
      </w:r>
      <w:proofErr w:type="spellEnd"/>
      <w:r w:rsidRPr="007C570D">
        <w:rPr>
          <w:rFonts w:ascii="Book Antiqua" w:eastAsia="宋体" w:hAnsi="Book Antiqua" w:cs="宋体"/>
          <w:color w:val="000000" w:themeColor="text1"/>
        </w:rPr>
        <w:t xml:space="preserve"> A, </w:t>
      </w:r>
      <w:proofErr w:type="spellStart"/>
      <w:r w:rsidRPr="007C570D">
        <w:rPr>
          <w:rFonts w:ascii="Book Antiqua" w:eastAsia="宋体" w:hAnsi="Book Antiqua" w:cs="宋体"/>
          <w:color w:val="000000" w:themeColor="text1"/>
        </w:rPr>
        <w:t>Larocca</w:t>
      </w:r>
      <w:proofErr w:type="spellEnd"/>
      <w:r w:rsidRPr="007C570D">
        <w:rPr>
          <w:rFonts w:ascii="Book Antiqua" w:eastAsia="宋体" w:hAnsi="Book Antiqua" w:cs="宋体"/>
          <w:color w:val="000000" w:themeColor="text1"/>
        </w:rPr>
        <w:t xml:space="preserve"> LM, Barone C. Is there a role for IGF1R and c-MET pathways in resistance to </w:t>
      </w:r>
      <w:proofErr w:type="spellStart"/>
      <w:r w:rsidRPr="007C570D">
        <w:rPr>
          <w:rFonts w:ascii="Book Antiqua" w:eastAsia="宋体" w:hAnsi="Book Antiqua" w:cs="宋体"/>
          <w:color w:val="000000" w:themeColor="text1"/>
        </w:rPr>
        <w:t>cetuximab</w:t>
      </w:r>
      <w:proofErr w:type="spellEnd"/>
      <w:r w:rsidRPr="007C570D">
        <w:rPr>
          <w:rFonts w:ascii="Book Antiqua" w:eastAsia="宋体" w:hAnsi="Book Antiqua" w:cs="宋体"/>
          <w:color w:val="000000" w:themeColor="text1"/>
        </w:rPr>
        <w:t xml:space="preserve"> in metastatic colorectal cancer? </w:t>
      </w:r>
      <w:proofErr w:type="spellStart"/>
      <w:r w:rsidRPr="007C570D">
        <w:rPr>
          <w:rFonts w:ascii="Book Antiqua" w:eastAsia="宋体" w:hAnsi="Book Antiqua" w:cs="宋体"/>
          <w:i/>
          <w:iCs/>
          <w:color w:val="000000" w:themeColor="text1"/>
        </w:rPr>
        <w:t>Clin</w:t>
      </w:r>
      <w:proofErr w:type="spellEnd"/>
      <w:r w:rsidRPr="007C570D">
        <w:rPr>
          <w:rFonts w:ascii="Book Antiqua" w:eastAsia="宋体" w:hAnsi="Book Antiqua" w:cs="宋体"/>
          <w:i/>
          <w:iCs/>
          <w:color w:val="000000" w:themeColor="text1"/>
        </w:rPr>
        <w:t xml:space="preserve"> Colorectal Cancer</w:t>
      </w:r>
      <w:r w:rsidRPr="007C570D">
        <w:rPr>
          <w:rFonts w:ascii="Book Antiqua" w:eastAsia="宋体" w:hAnsi="Book Antiqua" w:cs="宋体"/>
          <w:color w:val="000000" w:themeColor="text1"/>
        </w:rPr>
        <w:t xml:space="preserve"> 2011; </w:t>
      </w:r>
      <w:r w:rsidRPr="007C570D">
        <w:rPr>
          <w:rFonts w:ascii="Book Antiqua" w:eastAsia="宋体" w:hAnsi="Book Antiqua" w:cs="宋体"/>
          <w:b/>
          <w:bCs/>
          <w:color w:val="000000" w:themeColor="text1"/>
        </w:rPr>
        <w:t>10</w:t>
      </w:r>
      <w:r w:rsidRPr="007C570D">
        <w:rPr>
          <w:rFonts w:ascii="Book Antiqua" w:eastAsia="宋体" w:hAnsi="Book Antiqua" w:cs="宋体"/>
          <w:color w:val="000000" w:themeColor="text1"/>
        </w:rPr>
        <w:t>: 325-332 [PMID: 21729677 DOI: 10.1016/j.clcc.2011.03.028]</w:t>
      </w:r>
    </w:p>
    <w:p w14:paraId="4765E9FD" w14:textId="1767EFF9" w:rsidR="00F950CC" w:rsidRDefault="0062175B" w:rsidP="00240E68">
      <w:pPr>
        <w:spacing w:after="0" w:line="360" w:lineRule="auto"/>
        <w:jc w:val="both"/>
        <w:rPr>
          <w:rFonts w:ascii="Book Antiqua" w:eastAsia="宋体" w:hAnsi="Book Antiqua" w:cs="宋体"/>
          <w:color w:val="000000" w:themeColor="text1"/>
          <w:lang w:eastAsia="zh-CN"/>
        </w:rPr>
      </w:pPr>
      <w:r w:rsidRPr="007C570D">
        <w:rPr>
          <w:rFonts w:ascii="Book Antiqua" w:eastAsia="宋体" w:hAnsi="Book Antiqua" w:cs="宋体"/>
          <w:color w:val="000000" w:themeColor="text1"/>
        </w:rPr>
        <w:t xml:space="preserve">77 </w:t>
      </w:r>
      <w:r w:rsidRPr="007C570D">
        <w:rPr>
          <w:rFonts w:ascii="Book Antiqua" w:eastAsia="宋体" w:hAnsi="Book Antiqua" w:cs="宋体"/>
          <w:b/>
          <w:bCs/>
          <w:color w:val="000000" w:themeColor="text1"/>
        </w:rPr>
        <w:t>Liu C</w:t>
      </w:r>
      <w:r w:rsidRPr="007C570D">
        <w:rPr>
          <w:rFonts w:ascii="Book Antiqua" w:eastAsia="宋体" w:hAnsi="Book Antiqua" w:cs="宋体"/>
          <w:color w:val="000000" w:themeColor="text1"/>
        </w:rPr>
        <w:t xml:space="preserve">, Park M, </w:t>
      </w:r>
      <w:proofErr w:type="spellStart"/>
      <w:r w:rsidRPr="007C570D">
        <w:rPr>
          <w:rFonts w:ascii="Book Antiqua" w:eastAsia="宋体" w:hAnsi="Book Antiqua" w:cs="宋体"/>
          <w:color w:val="000000" w:themeColor="text1"/>
        </w:rPr>
        <w:t>Tsao</w:t>
      </w:r>
      <w:proofErr w:type="spellEnd"/>
      <w:r w:rsidRPr="007C570D">
        <w:rPr>
          <w:rFonts w:ascii="Book Antiqua" w:eastAsia="宋体" w:hAnsi="Book Antiqua" w:cs="宋体"/>
          <w:color w:val="000000" w:themeColor="text1"/>
        </w:rPr>
        <w:t xml:space="preserve"> MS. Overexpression of c-met proto-oncogene but not epidermal growth factor receptor or c-erbB-2 in primary human colorectal carcinomas. </w:t>
      </w:r>
      <w:r w:rsidRPr="007C570D">
        <w:rPr>
          <w:rFonts w:ascii="Book Antiqua" w:eastAsia="宋体" w:hAnsi="Book Antiqua" w:cs="宋体"/>
          <w:i/>
          <w:iCs/>
          <w:color w:val="000000" w:themeColor="text1"/>
        </w:rPr>
        <w:t>Oncogene</w:t>
      </w:r>
      <w:r w:rsidRPr="007C570D">
        <w:rPr>
          <w:rFonts w:ascii="Book Antiqua" w:eastAsia="宋体" w:hAnsi="Book Antiqua" w:cs="宋体"/>
          <w:color w:val="000000" w:themeColor="text1"/>
        </w:rPr>
        <w:t xml:space="preserve"> 1992; </w:t>
      </w:r>
      <w:r w:rsidRPr="007C570D">
        <w:rPr>
          <w:rFonts w:ascii="Book Antiqua" w:eastAsia="宋体" w:hAnsi="Book Antiqua" w:cs="宋体"/>
          <w:b/>
          <w:bCs/>
          <w:color w:val="000000" w:themeColor="text1"/>
        </w:rPr>
        <w:t>7</w:t>
      </w:r>
      <w:r w:rsidRPr="007C570D">
        <w:rPr>
          <w:rFonts w:ascii="Book Antiqua" w:eastAsia="宋体" w:hAnsi="Book Antiqua" w:cs="宋体"/>
          <w:color w:val="000000" w:themeColor="text1"/>
        </w:rPr>
        <w:t>: 181-185 [PMID: 1741162]</w:t>
      </w:r>
    </w:p>
    <w:p w14:paraId="3987B570" w14:textId="3DFD8C8D" w:rsidR="00F55D59" w:rsidRPr="006B3D6C" w:rsidRDefault="00F55D59" w:rsidP="00F55D59">
      <w:pPr>
        <w:wordWrap w:val="0"/>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t>P-Reviewer:</w:t>
      </w:r>
      <w:r w:rsidRPr="006B3D6C">
        <w:rPr>
          <w:rFonts w:ascii="Book Antiqua" w:hAnsi="Book Antiqua" w:hint="eastAsia"/>
          <w:color w:val="000000"/>
          <w:lang w:val="en-GB"/>
        </w:rPr>
        <w:t xml:space="preserve"> </w:t>
      </w:r>
      <w:r w:rsidRPr="00F55D59">
        <w:rPr>
          <w:rFonts w:ascii="Book Antiqua" w:hAnsi="Book Antiqua"/>
          <w:color w:val="000000"/>
          <w:lang w:val="en-GB"/>
        </w:rPr>
        <w:t>Li</w:t>
      </w:r>
      <w:r>
        <w:rPr>
          <w:rFonts w:ascii="Book Antiqua" w:eastAsia="宋体" w:hAnsi="Book Antiqua" w:hint="eastAsia"/>
          <w:color w:val="000000"/>
          <w:lang w:val="en-GB" w:eastAsia="zh-CN"/>
        </w:rPr>
        <w:t xml:space="preserve"> </w:t>
      </w:r>
      <w:r w:rsidR="00FA104A">
        <w:rPr>
          <w:rFonts w:ascii="Book Antiqua" w:eastAsia="宋体" w:hAnsi="Book Antiqua" w:hint="eastAsia"/>
          <w:color w:val="000000"/>
          <w:lang w:val="en-GB" w:eastAsia="zh-CN"/>
        </w:rPr>
        <w:t>LW</w:t>
      </w:r>
      <w:r w:rsidRPr="006B3D6C">
        <w:rPr>
          <w:rFonts w:ascii="Book Antiqua" w:hAnsi="Book Antiqua" w:hint="eastAsia"/>
          <w:color w:val="000000"/>
          <w:lang w:val="en-GB"/>
        </w:rPr>
        <w:t xml:space="preserve">, </w:t>
      </w:r>
      <w:proofErr w:type="spellStart"/>
      <w:r w:rsidR="00FA104A" w:rsidRPr="00FA104A">
        <w:rPr>
          <w:rFonts w:ascii="Book Antiqua" w:hAnsi="Book Antiqua"/>
          <w:color w:val="000000"/>
          <w:lang w:val="en-GB"/>
        </w:rPr>
        <w:t>Scaggiante</w:t>
      </w:r>
      <w:proofErr w:type="spellEnd"/>
      <w:r w:rsidR="00FA104A">
        <w:rPr>
          <w:rFonts w:ascii="Book Antiqua" w:eastAsia="宋体" w:hAnsi="Book Antiqua" w:hint="eastAsia"/>
          <w:color w:val="000000"/>
          <w:lang w:val="en-GB" w:eastAsia="zh-CN"/>
        </w:rPr>
        <w:t xml:space="preserve"> </w:t>
      </w:r>
      <w:r w:rsidRPr="006B3D6C">
        <w:rPr>
          <w:rFonts w:ascii="Book Antiqua" w:hAnsi="Book Antiqua"/>
          <w:color w:val="000000"/>
          <w:lang w:val="en-GB"/>
        </w:rPr>
        <w:t>B</w:t>
      </w:r>
      <w:r w:rsidRPr="006B3D6C">
        <w:rPr>
          <w:rFonts w:ascii="Book Antiqua" w:hAnsi="Book Antiqua" w:hint="eastAsia"/>
          <w:color w:val="000000"/>
          <w:lang w:val="en-GB" w:eastAsia="zh-CN"/>
        </w:rPr>
        <w:t xml:space="preserve">, </w:t>
      </w:r>
      <w:proofErr w:type="spellStart"/>
      <w:r w:rsidR="00FA104A" w:rsidRPr="00FA104A">
        <w:rPr>
          <w:rFonts w:ascii="Book Antiqua" w:hAnsi="Book Antiqua"/>
          <w:color w:val="000000"/>
          <w:lang w:val="en-GB" w:eastAsia="zh-CN"/>
        </w:rPr>
        <w:t>Schiavina</w:t>
      </w:r>
      <w:proofErr w:type="spellEnd"/>
      <w:r w:rsidR="00FA104A">
        <w:rPr>
          <w:rFonts w:ascii="Book Antiqua" w:eastAsia="宋体" w:hAnsi="Book Antiqua" w:hint="eastAsia"/>
          <w:color w:val="000000"/>
          <w:lang w:val="en-GB" w:eastAsia="zh-CN"/>
        </w:rPr>
        <w:t xml:space="preserve"> R, </w:t>
      </w:r>
      <w:proofErr w:type="spellStart"/>
      <w:r w:rsidR="00FA104A" w:rsidRPr="00FA104A">
        <w:rPr>
          <w:rFonts w:ascii="Book Antiqua" w:eastAsia="宋体" w:hAnsi="Book Antiqua"/>
          <w:color w:val="000000"/>
          <w:lang w:val="en-GB" w:eastAsia="zh-CN"/>
        </w:rPr>
        <w:t>Surlin</w:t>
      </w:r>
      <w:proofErr w:type="spellEnd"/>
      <w:r w:rsidR="00FA104A">
        <w:rPr>
          <w:rFonts w:ascii="Book Antiqua" w:eastAsia="宋体" w:hAnsi="Book Antiqua" w:hint="eastAsia"/>
          <w:color w:val="000000"/>
          <w:lang w:val="en-GB" w:eastAsia="zh-CN"/>
        </w:rPr>
        <w:t xml:space="preserve"> VM</w:t>
      </w:r>
      <w:r w:rsidRPr="006B3D6C">
        <w:rPr>
          <w:rFonts w:ascii="Book Antiqua" w:hAnsi="Book Antiqua" w:hint="eastAsia"/>
          <w:bCs/>
          <w:lang w:val="en-GB"/>
        </w:rPr>
        <w:t xml:space="preserve"> </w:t>
      </w:r>
      <w:r w:rsidRPr="006B3D6C">
        <w:rPr>
          <w:rFonts w:ascii="Book Antiqua" w:hAnsi="Book Antiqua"/>
          <w:b/>
          <w:bCs/>
          <w:lang w:val="en-GB"/>
        </w:rPr>
        <w:t>S-Editor:</w:t>
      </w:r>
      <w:r w:rsidRPr="006B3D6C">
        <w:rPr>
          <w:rFonts w:ascii="Book Antiqua" w:hAnsi="Book Antiqua"/>
          <w:bCs/>
          <w:lang w:val="en-GB"/>
        </w:rPr>
        <w:t xml:space="preserve"> Tian YL</w:t>
      </w:r>
    </w:p>
    <w:p w14:paraId="096DECF7" w14:textId="42F979E3" w:rsidR="0062175B" w:rsidRPr="00F55D59" w:rsidRDefault="00F55D59" w:rsidP="00F55D59">
      <w:pPr>
        <w:adjustRightInd w:val="0"/>
        <w:snapToGrid w:val="0"/>
        <w:spacing w:line="360" w:lineRule="auto"/>
        <w:ind w:right="239"/>
        <w:jc w:val="right"/>
        <w:rPr>
          <w:rFonts w:ascii="Book Antiqua" w:eastAsia="宋体" w:hAnsi="Book Antiqua"/>
          <w:bCs/>
          <w:lang w:eastAsia="zh-CN"/>
        </w:rPr>
      </w:pPr>
      <w:r w:rsidRPr="008D7BB3">
        <w:rPr>
          <w:rFonts w:ascii="Book Antiqua" w:hAnsi="Book Antiqua"/>
          <w:b/>
          <w:bCs/>
        </w:rPr>
        <w:t>L-Editor:   E-Editor:</w:t>
      </w:r>
    </w:p>
    <w:p w14:paraId="51D6FEAE" w14:textId="77C5CC8F" w:rsidR="00F950CC" w:rsidRPr="00F55D59" w:rsidRDefault="00F950CC" w:rsidP="00240E68">
      <w:pPr>
        <w:spacing w:after="0" w:line="360" w:lineRule="auto"/>
        <w:jc w:val="both"/>
        <w:rPr>
          <w:rFonts w:ascii="Book Antiqua" w:eastAsia="宋体" w:hAnsi="Book Antiqua"/>
          <w:lang w:eastAsia="zh-CN"/>
        </w:rPr>
      </w:pPr>
    </w:p>
    <w:p w14:paraId="3FF53406" w14:textId="77777777" w:rsidR="00F950CC" w:rsidRPr="007D5B4E" w:rsidRDefault="00F950CC" w:rsidP="00240E68">
      <w:pPr>
        <w:spacing w:after="0" w:line="360" w:lineRule="auto"/>
        <w:jc w:val="both"/>
        <w:rPr>
          <w:rFonts w:ascii="Book Antiqua" w:hAnsi="Book Antiqua"/>
        </w:rPr>
      </w:pPr>
      <w:r w:rsidRPr="007D5B4E">
        <w:rPr>
          <w:rFonts w:ascii="Book Antiqua" w:hAnsi="Book Antiqua"/>
          <w:noProof/>
          <w:lang w:eastAsia="en-US"/>
        </w:rPr>
        <w:drawing>
          <wp:anchor distT="0" distB="0" distL="114300" distR="114300" simplePos="0" relativeHeight="251659264" behindDoc="0" locked="0" layoutInCell="1" allowOverlap="1" wp14:anchorId="6105053E" wp14:editId="18A712BD">
            <wp:simplePos x="0" y="0"/>
            <wp:positionH relativeFrom="margin">
              <wp:align>left</wp:align>
            </wp:positionH>
            <wp:positionV relativeFrom="paragraph">
              <wp:posOffset>-226060</wp:posOffset>
            </wp:positionV>
            <wp:extent cx="4480560" cy="2724785"/>
            <wp:effectExtent l="0" t="0" r="0" b="0"/>
            <wp:wrapTight wrapText="bothSides">
              <wp:wrapPolygon edited="0">
                <wp:start x="0" y="0"/>
                <wp:lineTo x="0" y="21343"/>
                <wp:lineTo x="21429" y="21343"/>
                <wp:lineTo x="214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6852" t="19023" r="11481"/>
                    <a:stretch/>
                  </pic:blipFill>
                  <pic:spPr bwMode="auto">
                    <a:xfrm>
                      <a:off x="0" y="0"/>
                      <a:ext cx="4480560" cy="2724785"/>
                    </a:xfrm>
                    <a:prstGeom prst="rect">
                      <a:avLst/>
                    </a:prstGeom>
                    <a:ln>
                      <a:noFill/>
                    </a:ln>
                    <a:extLst>
                      <a:ext uri="{53640926-AAD7-44d8-BBD7-CCE9431645EC}">
                        <a14:shadowObscured xmlns:a14="http://schemas.microsoft.com/office/drawing/2010/main"/>
                      </a:ext>
                    </a:extLst>
                  </pic:spPr>
                </pic:pic>
              </a:graphicData>
            </a:graphic>
          </wp:anchor>
        </w:drawing>
      </w:r>
    </w:p>
    <w:p w14:paraId="3CD9A9B7" w14:textId="77777777" w:rsidR="00F950CC" w:rsidRPr="007D5B4E" w:rsidRDefault="00F950CC" w:rsidP="00240E68">
      <w:pPr>
        <w:spacing w:after="0" w:line="360" w:lineRule="auto"/>
        <w:jc w:val="both"/>
        <w:rPr>
          <w:rFonts w:ascii="Book Antiqua" w:hAnsi="Book Antiqua"/>
        </w:rPr>
      </w:pPr>
    </w:p>
    <w:p w14:paraId="05509BAA" w14:textId="77777777" w:rsidR="00F950CC" w:rsidRPr="007D5B4E" w:rsidRDefault="00F950CC" w:rsidP="00240E68">
      <w:pPr>
        <w:spacing w:after="0" w:line="360" w:lineRule="auto"/>
        <w:jc w:val="both"/>
        <w:rPr>
          <w:rFonts w:ascii="Book Antiqua" w:hAnsi="Book Antiqua"/>
        </w:rPr>
      </w:pPr>
      <w:r w:rsidRPr="007D5B4E">
        <w:rPr>
          <w:rFonts w:ascii="Book Antiqua" w:hAnsi="Book Antiqua"/>
        </w:rPr>
        <w:t xml:space="preserve"> </w:t>
      </w:r>
    </w:p>
    <w:p w14:paraId="0070757F" w14:textId="77777777" w:rsidR="00F950CC" w:rsidRPr="007D5B4E" w:rsidRDefault="00F950CC" w:rsidP="00240E68">
      <w:pPr>
        <w:spacing w:after="0" w:line="360" w:lineRule="auto"/>
        <w:jc w:val="both"/>
        <w:rPr>
          <w:rFonts w:ascii="Book Antiqua" w:hAnsi="Book Antiqua"/>
        </w:rPr>
      </w:pPr>
    </w:p>
    <w:p w14:paraId="7558271B" w14:textId="77777777" w:rsidR="00F950CC" w:rsidRPr="007D5B4E" w:rsidRDefault="00F950CC" w:rsidP="00240E68">
      <w:pPr>
        <w:spacing w:after="0" w:line="360" w:lineRule="auto"/>
        <w:jc w:val="both"/>
        <w:rPr>
          <w:rFonts w:ascii="Book Antiqua" w:hAnsi="Book Antiqua"/>
        </w:rPr>
      </w:pPr>
    </w:p>
    <w:p w14:paraId="51E129D3" w14:textId="77777777" w:rsidR="00F950CC" w:rsidRPr="007D5B4E" w:rsidRDefault="00F950CC" w:rsidP="00240E68">
      <w:pPr>
        <w:spacing w:after="0" w:line="360" w:lineRule="auto"/>
        <w:jc w:val="both"/>
        <w:rPr>
          <w:rFonts w:ascii="Book Antiqua" w:hAnsi="Book Antiqua"/>
        </w:rPr>
      </w:pPr>
    </w:p>
    <w:p w14:paraId="460E6223" w14:textId="77777777" w:rsidR="00F950CC" w:rsidRPr="007D5B4E" w:rsidRDefault="00F950CC" w:rsidP="00240E68">
      <w:pPr>
        <w:spacing w:after="0" w:line="360" w:lineRule="auto"/>
        <w:jc w:val="both"/>
        <w:rPr>
          <w:rFonts w:ascii="Book Antiqua" w:hAnsi="Book Antiqua"/>
        </w:rPr>
      </w:pPr>
    </w:p>
    <w:p w14:paraId="30D7B46E" w14:textId="77777777" w:rsidR="00F950CC" w:rsidRPr="007D5B4E" w:rsidRDefault="00F950CC" w:rsidP="00240E68">
      <w:pPr>
        <w:spacing w:after="0" w:line="360" w:lineRule="auto"/>
        <w:jc w:val="both"/>
        <w:rPr>
          <w:rFonts w:ascii="Book Antiqua" w:hAnsi="Book Antiqua"/>
        </w:rPr>
      </w:pPr>
    </w:p>
    <w:p w14:paraId="5E31A006" w14:textId="77777777" w:rsidR="00F950CC" w:rsidRPr="007D5B4E" w:rsidRDefault="00F950CC" w:rsidP="00240E68">
      <w:pPr>
        <w:spacing w:after="0" w:line="360" w:lineRule="auto"/>
        <w:jc w:val="both"/>
        <w:rPr>
          <w:rFonts w:ascii="Book Antiqua" w:hAnsi="Book Antiqua"/>
        </w:rPr>
      </w:pPr>
    </w:p>
    <w:p w14:paraId="6C6B0754" w14:textId="4305D497" w:rsidR="00FD09F0" w:rsidRPr="00FA104A" w:rsidRDefault="00F950CC" w:rsidP="00240E68">
      <w:pPr>
        <w:spacing w:after="0" w:line="360" w:lineRule="auto"/>
        <w:jc w:val="both"/>
        <w:rPr>
          <w:rFonts w:ascii="Book Antiqua" w:eastAsia="宋体" w:hAnsi="Book Antiqua"/>
          <w:b/>
          <w:lang w:eastAsia="zh-CN"/>
        </w:rPr>
      </w:pPr>
      <w:r w:rsidRPr="007D5B4E">
        <w:rPr>
          <w:rFonts w:ascii="Book Antiqua" w:hAnsi="Book Antiqua"/>
          <w:b/>
        </w:rPr>
        <w:t xml:space="preserve">Figure 1 EGFR pathways, </w:t>
      </w:r>
      <w:r w:rsidR="007D5B4E" w:rsidRPr="007D5B4E">
        <w:rPr>
          <w:rFonts w:ascii="Book Antiqua" w:hAnsi="Book Antiqua"/>
          <w:b/>
        </w:rPr>
        <w:t>western diet, chemoprevention, synthetic inhibitors</w:t>
      </w:r>
      <w:r w:rsidR="007D5B4E">
        <w:rPr>
          <w:rFonts w:ascii="Book Antiqua" w:eastAsia="宋体" w:hAnsi="Book Antiqua" w:hint="eastAsia"/>
          <w:b/>
          <w:lang w:eastAsia="zh-CN"/>
        </w:rPr>
        <w:t>.</w:t>
      </w:r>
      <w:r w:rsidR="007D5B4E" w:rsidRPr="007D5B4E">
        <w:rPr>
          <w:rFonts w:ascii="Book Antiqua" w:hAnsi="Book Antiqua"/>
          <w:b/>
        </w:rPr>
        <w:t xml:space="preserve"> </w:t>
      </w:r>
      <w:r w:rsidR="00FD1F45" w:rsidRPr="00FD1F45">
        <w:rPr>
          <w:rFonts w:ascii="Book Antiqua" w:hAnsi="Book Antiqua"/>
        </w:rPr>
        <w:t>EGFR</w:t>
      </w:r>
      <w:r w:rsidR="00FD1F45">
        <w:rPr>
          <w:rFonts w:ascii="Book Antiqua" w:eastAsia="宋体" w:hAnsi="Book Antiqua" w:hint="eastAsia"/>
          <w:lang w:eastAsia="zh-CN"/>
        </w:rPr>
        <w:t xml:space="preserve">: </w:t>
      </w:r>
      <w:r w:rsidR="00FD1F45" w:rsidRPr="007D5B4E">
        <w:rPr>
          <w:rFonts w:ascii="Book Antiqua" w:hAnsi="Book Antiqua"/>
        </w:rPr>
        <w:t>Epidermal growth factor receptor</w:t>
      </w:r>
      <w:r w:rsidR="00FD1F45">
        <w:rPr>
          <w:rFonts w:ascii="Book Antiqua" w:eastAsia="宋体" w:hAnsi="Book Antiqua" w:hint="eastAsia"/>
          <w:lang w:eastAsia="zh-CN"/>
        </w:rPr>
        <w:t xml:space="preserve">; </w:t>
      </w:r>
      <w:r w:rsidR="00FD1F45">
        <w:rPr>
          <w:rFonts w:ascii="Book Antiqua" w:eastAsia="宋体" w:hAnsi="Book Antiqua"/>
          <w:lang w:eastAsia="zh-CN"/>
        </w:rPr>
        <w:t>CXCR4</w:t>
      </w:r>
      <w:r w:rsidR="00FD1F45">
        <w:rPr>
          <w:rFonts w:ascii="Book Antiqua" w:eastAsia="宋体" w:hAnsi="Book Antiqua" w:hint="eastAsia"/>
          <w:lang w:eastAsia="zh-CN"/>
        </w:rPr>
        <w:t>:</w:t>
      </w:r>
      <w:r w:rsidR="00FD1F45" w:rsidRPr="00FD1F45">
        <w:t xml:space="preserve"> </w:t>
      </w:r>
      <w:r w:rsidR="00FD1F45" w:rsidRPr="00FD1F45">
        <w:rPr>
          <w:rFonts w:ascii="Book Antiqua" w:eastAsia="宋体" w:hAnsi="Book Antiqua"/>
          <w:lang w:eastAsia="zh-CN"/>
        </w:rPr>
        <w:t>C-X-C chemokine recepto</w:t>
      </w:r>
      <w:r w:rsidR="00FD1F45">
        <w:rPr>
          <w:rFonts w:ascii="Book Antiqua" w:eastAsia="宋体" w:hAnsi="Book Antiqua"/>
          <w:lang w:eastAsia="zh-CN"/>
        </w:rPr>
        <w:t>r type 4</w:t>
      </w:r>
      <w:r w:rsidR="00FD1F45">
        <w:rPr>
          <w:rFonts w:ascii="Book Antiqua" w:eastAsia="宋体" w:hAnsi="Book Antiqua" w:hint="eastAsia"/>
          <w:lang w:eastAsia="zh-CN"/>
        </w:rPr>
        <w:t xml:space="preserve">; </w:t>
      </w:r>
      <w:r w:rsidR="00FD1F45">
        <w:rPr>
          <w:rFonts w:ascii="Book Antiqua" w:eastAsia="宋体" w:hAnsi="Book Antiqua"/>
          <w:lang w:eastAsia="zh-CN"/>
        </w:rPr>
        <w:t>TGF</w:t>
      </w:r>
      <w:r w:rsidR="00FD1F45">
        <w:rPr>
          <w:rFonts w:ascii="Book Antiqua" w:eastAsia="宋体" w:hAnsi="Book Antiqua" w:hint="eastAsia"/>
          <w:lang w:eastAsia="zh-CN"/>
        </w:rPr>
        <w:t xml:space="preserve">: </w:t>
      </w:r>
      <w:r w:rsidR="00FD1F45">
        <w:rPr>
          <w:rFonts w:ascii="Book Antiqua" w:eastAsia="宋体" w:hAnsi="Book Antiqua"/>
          <w:lang w:eastAsia="zh-CN"/>
        </w:rPr>
        <w:t>Transforming growth factor</w:t>
      </w:r>
      <w:r w:rsidR="00FD1F45">
        <w:rPr>
          <w:rFonts w:ascii="Book Antiqua" w:eastAsia="宋体" w:hAnsi="Book Antiqua" w:hint="eastAsia"/>
          <w:lang w:eastAsia="zh-CN"/>
        </w:rPr>
        <w:t>; PI3K:</w:t>
      </w:r>
      <w:r w:rsidR="00FD1F45" w:rsidRPr="00FD1F45">
        <w:rPr>
          <w:rFonts w:ascii="Book Antiqua" w:hAnsi="Book Antiqua"/>
        </w:rPr>
        <w:t xml:space="preserve"> </w:t>
      </w:r>
      <w:r w:rsidR="00FD1F45" w:rsidRPr="007D5B4E">
        <w:rPr>
          <w:rFonts w:ascii="Book Antiqua" w:hAnsi="Book Antiqua"/>
        </w:rPr>
        <w:t>Phosphatidylinositol</w:t>
      </w:r>
      <w:r w:rsidR="00FD1F45">
        <w:rPr>
          <w:rFonts w:ascii="Book Antiqua" w:hAnsi="Book Antiqua"/>
        </w:rPr>
        <w:t>-3 kinase</w:t>
      </w:r>
      <w:r w:rsidR="00FD1F45">
        <w:rPr>
          <w:rFonts w:ascii="Book Antiqua" w:eastAsia="宋体" w:hAnsi="Book Antiqua" w:hint="eastAsia"/>
          <w:lang w:eastAsia="zh-CN"/>
        </w:rPr>
        <w:t xml:space="preserve">; ERK: </w:t>
      </w:r>
      <w:r w:rsidR="00FD1F45" w:rsidRPr="00FD1F45">
        <w:rPr>
          <w:rFonts w:ascii="Book Antiqua" w:eastAsia="宋体" w:hAnsi="Book Antiqua"/>
          <w:lang w:eastAsia="zh-CN"/>
        </w:rPr>
        <w:t>Extracellular regulated protein kinases</w:t>
      </w:r>
      <w:r w:rsidR="00FD1F45">
        <w:rPr>
          <w:rFonts w:ascii="Book Antiqua" w:eastAsia="宋体" w:hAnsi="Book Antiqua" w:hint="eastAsia"/>
          <w:lang w:eastAsia="zh-CN"/>
        </w:rPr>
        <w:t>.</w:t>
      </w:r>
    </w:p>
    <w:sectPr w:rsidR="00FD09F0" w:rsidRPr="00FA104A" w:rsidSect="00340ADE">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C77E1" w14:textId="77777777" w:rsidR="00BB1A07" w:rsidRDefault="00BB1A07" w:rsidP="00AD766A">
      <w:pPr>
        <w:spacing w:after="0"/>
      </w:pPr>
      <w:r>
        <w:separator/>
      </w:r>
    </w:p>
  </w:endnote>
  <w:endnote w:type="continuationSeparator" w:id="0">
    <w:p w14:paraId="6AD71220" w14:textId="77777777" w:rsidR="00BB1A07" w:rsidRDefault="00BB1A07" w:rsidP="00AD76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00C99" w14:textId="77777777" w:rsidR="00BB1A07" w:rsidRDefault="00BB1A07" w:rsidP="00AD766A">
      <w:pPr>
        <w:spacing w:after="0"/>
      </w:pPr>
      <w:r>
        <w:separator/>
      </w:r>
    </w:p>
  </w:footnote>
  <w:footnote w:type="continuationSeparator" w:id="0">
    <w:p w14:paraId="5C436F50" w14:textId="77777777" w:rsidR="00BB1A07" w:rsidRDefault="00BB1A07" w:rsidP="00AD766A">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75767"/>
    <w:multiLevelType w:val="multilevel"/>
    <w:tmpl w:val="88769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2B2B47"/>
    <w:multiLevelType w:val="multilevel"/>
    <w:tmpl w:val="006C8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F5711F"/>
    <w:multiLevelType w:val="multilevel"/>
    <w:tmpl w:val="282A5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A3A5442"/>
    <w:multiLevelType w:val="multilevel"/>
    <w:tmpl w:val="3C34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15402C"/>
    <w:multiLevelType w:val="multilevel"/>
    <w:tmpl w:val="459E1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0113063"/>
    <w:multiLevelType w:val="multilevel"/>
    <w:tmpl w:val="E22C6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C64C66"/>
    <w:multiLevelType w:val="multilevel"/>
    <w:tmpl w:val="6518D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embedSystemFonts/>
  <w:bordersDoNotSurroundHeader/>
  <w:bordersDoNotSurroundFooter/>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0CC"/>
    <w:rsid w:val="00025B9B"/>
    <w:rsid w:val="00093D70"/>
    <w:rsid w:val="00183374"/>
    <w:rsid w:val="001C35E0"/>
    <w:rsid w:val="00221795"/>
    <w:rsid w:val="00240E68"/>
    <w:rsid w:val="002479ED"/>
    <w:rsid w:val="00261459"/>
    <w:rsid w:val="00340ADE"/>
    <w:rsid w:val="00375D05"/>
    <w:rsid w:val="00543632"/>
    <w:rsid w:val="005B4631"/>
    <w:rsid w:val="005C5A11"/>
    <w:rsid w:val="006037E6"/>
    <w:rsid w:val="00605DCE"/>
    <w:rsid w:val="0062175B"/>
    <w:rsid w:val="00691394"/>
    <w:rsid w:val="006A05BF"/>
    <w:rsid w:val="006C2154"/>
    <w:rsid w:val="006C541A"/>
    <w:rsid w:val="006C6EC0"/>
    <w:rsid w:val="00721210"/>
    <w:rsid w:val="00793C91"/>
    <w:rsid w:val="007C7B04"/>
    <w:rsid w:val="007D5B4E"/>
    <w:rsid w:val="00875964"/>
    <w:rsid w:val="00890F3E"/>
    <w:rsid w:val="00915CC3"/>
    <w:rsid w:val="009259AF"/>
    <w:rsid w:val="009D5C16"/>
    <w:rsid w:val="00A2382F"/>
    <w:rsid w:val="00AD766A"/>
    <w:rsid w:val="00B177E2"/>
    <w:rsid w:val="00B8432D"/>
    <w:rsid w:val="00BB1A07"/>
    <w:rsid w:val="00BC73AC"/>
    <w:rsid w:val="00BD341F"/>
    <w:rsid w:val="00C17847"/>
    <w:rsid w:val="00D03003"/>
    <w:rsid w:val="00D24B65"/>
    <w:rsid w:val="00D51A49"/>
    <w:rsid w:val="00DA4F9B"/>
    <w:rsid w:val="00E076E8"/>
    <w:rsid w:val="00E55633"/>
    <w:rsid w:val="00E80995"/>
    <w:rsid w:val="00E951FE"/>
    <w:rsid w:val="00EB6E57"/>
    <w:rsid w:val="00F23CCA"/>
    <w:rsid w:val="00F40435"/>
    <w:rsid w:val="00F55D59"/>
    <w:rsid w:val="00F86DB6"/>
    <w:rsid w:val="00F950CC"/>
    <w:rsid w:val="00FA104A"/>
    <w:rsid w:val="00FA1363"/>
    <w:rsid w:val="00FD09F0"/>
    <w:rsid w:val="00FD1F45"/>
    <w:rsid w:val="00FE70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5A2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0CC"/>
    <w:rPr>
      <w:sz w:val="24"/>
      <w:szCs w:val="24"/>
    </w:rPr>
  </w:style>
  <w:style w:type="paragraph" w:styleId="Heading1">
    <w:name w:val="heading 1"/>
    <w:basedOn w:val="Normal"/>
    <w:link w:val="Heading1Char"/>
    <w:uiPriority w:val="9"/>
    <w:qFormat/>
    <w:rsid w:val="00F950CC"/>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0CC"/>
    <w:rPr>
      <w:rFonts w:ascii="Times" w:hAnsi="Times"/>
      <w:b/>
      <w:bCs/>
      <w:kern w:val="36"/>
      <w:sz w:val="48"/>
      <w:szCs w:val="48"/>
      <w:lang w:eastAsia="en-US"/>
    </w:rPr>
  </w:style>
  <w:style w:type="character" w:styleId="Hyperlink">
    <w:name w:val="Hyperlink"/>
    <w:basedOn w:val="DefaultParagraphFont"/>
    <w:uiPriority w:val="99"/>
    <w:unhideWhenUsed/>
    <w:rsid w:val="00F950CC"/>
    <w:rPr>
      <w:color w:val="0000FF"/>
      <w:u w:val="single"/>
    </w:rPr>
  </w:style>
  <w:style w:type="character" w:customStyle="1" w:styleId="apple-converted-space">
    <w:name w:val="apple-converted-space"/>
    <w:basedOn w:val="DefaultParagraphFont"/>
    <w:rsid w:val="00F950CC"/>
  </w:style>
  <w:style w:type="character" w:styleId="PlaceholderText">
    <w:name w:val="Placeholder Text"/>
    <w:basedOn w:val="DefaultParagraphFont"/>
    <w:uiPriority w:val="99"/>
    <w:semiHidden/>
    <w:rsid w:val="00F950CC"/>
    <w:rPr>
      <w:color w:val="808080"/>
    </w:rPr>
  </w:style>
  <w:style w:type="paragraph" w:styleId="BalloonText">
    <w:name w:val="Balloon Text"/>
    <w:basedOn w:val="Normal"/>
    <w:link w:val="BalloonTextChar"/>
    <w:uiPriority w:val="99"/>
    <w:semiHidden/>
    <w:unhideWhenUsed/>
    <w:rsid w:val="00F950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0CC"/>
    <w:rPr>
      <w:rFonts w:ascii="Lucida Grande" w:hAnsi="Lucida Grande" w:cs="Lucida Grande"/>
      <w:sz w:val="18"/>
      <w:szCs w:val="18"/>
    </w:rPr>
  </w:style>
  <w:style w:type="character" w:styleId="HTMLCite">
    <w:name w:val="HTML Cite"/>
    <w:basedOn w:val="DefaultParagraphFont"/>
    <w:uiPriority w:val="99"/>
    <w:semiHidden/>
    <w:unhideWhenUsed/>
    <w:rsid w:val="00F950CC"/>
    <w:rPr>
      <w:i/>
      <w:iCs/>
    </w:rPr>
  </w:style>
  <w:style w:type="character" w:customStyle="1" w:styleId="author">
    <w:name w:val="author"/>
    <w:basedOn w:val="DefaultParagraphFont"/>
    <w:rsid w:val="00F950CC"/>
  </w:style>
  <w:style w:type="character" w:styleId="Emphasis">
    <w:name w:val="Emphasis"/>
    <w:basedOn w:val="DefaultParagraphFont"/>
    <w:uiPriority w:val="20"/>
    <w:qFormat/>
    <w:rsid w:val="00F950CC"/>
    <w:rPr>
      <w:i/>
      <w:iCs/>
    </w:rPr>
  </w:style>
  <w:style w:type="character" w:customStyle="1" w:styleId="articletitle">
    <w:name w:val="articletitle"/>
    <w:basedOn w:val="DefaultParagraphFont"/>
    <w:rsid w:val="00F950CC"/>
  </w:style>
  <w:style w:type="character" w:customStyle="1" w:styleId="journaltitle">
    <w:name w:val="journaltitle"/>
    <w:basedOn w:val="DefaultParagraphFont"/>
    <w:rsid w:val="00F950CC"/>
  </w:style>
  <w:style w:type="character" w:customStyle="1" w:styleId="pubyear">
    <w:name w:val="pubyear"/>
    <w:basedOn w:val="DefaultParagraphFont"/>
    <w:rsid w:val="00F950CC"/>
  </w:style>
  <w:style w:type="character" w:customStyle="1" w:styleId="vol">
    <w:name w:val="vol"/>
    <w:basedOn w:val="DefaultParagraphFont"/>
    <w:rsid w:val="00F950CC"/>
  </w:style>
  <w:style w:type="character" w:customStyle="1" w:styleId="pagefirst">
    <w:name w:val="pagefirst"/>
    <w:basedOn w:val="DefaultParagraphFont"/>
    <w:rsid w:val="00F950CC"/>
  </w:style>
  <w:style w:type="character" w:customStyle="1" w:styleId="pagelast">
    <w:name w:val="pagelast"/>
    <w:basedOn w:val="DefaultParagraphFont"/>
    <w:rsid w:val="00F950CC"/>
  </w:style>
  <w:style w:type="paragraph" w:styleId="ListParagraph">
    <w:name w:val="List Paragraph"/>
    <w:basedOn w:val="Normal"/>
    <w:uiPriority w:val="34"/>
    <w:qFormat/>
    <w:rsid w:val="00F950CC"/>
    <w:pPr>
      <w:ind w:left="720"/>
      <w:contextualSpacing/>
    </w:pPr>
  </w:style>
  <w:style w:type="character" w:customStyle="1" w:styleId="highlight">
    <w:name w:val="highlight"/>
    <w:basedOn w:val="DefaultParagraphFont"/>
    <w:rsid w:val="00F950CC"/>
  </w:style>
  <w:style w:type="paragraph" w:styleId="Header">
    <w:name w:val="header"/>
    <w:basedOn w:val="Normal"/>
    <w:link w:val="HeaderChar"/>
    <w:uiPriority w:val="99"/>
    <w:unhideWhenUsed/>
    <w:rsid w:val="00F950CC"/>
    <w:pPr>
      <w:tabs>
        <w:tab w:val="center" w:pos="4320"/>
        <w:tab w:val="right" w:pos="8640"/>
      </w:tabs>
      <w:spacing w:after="0"/>
    </w:pPr>
  </w:style>
  <w:style w:type="character" w:customStyle="1" w:styleId="HeaderChar">
    <w:name w:val="Header Char"/>
    <w:basedOn w:val="DefaultParagraphFont"/>
    <w:link w:val="Header"/>
    <w:uiPriority w:val="99"/>
    <w:rsid w:val="00F950CC"/>
    <w:rPr>
      <w:sz w:val="24"/>
      <w:szCs w:val="24"/>
    </w:rPr>
  </w:style>
  <w:style w:type="paragraph" w:styleId="Footer">
    <w:name w:val="footer"/>
    <w:basedOn w:val="Normal"/>
    <w:link w:val="FooterChar"/>
    <w:uiPriority w:val="99"/>
    <w:unhideWhenUsed/>
    <w:rsid w:val="00F950CC"/>
    <w:pPr>
      <w:tabs>
        <w:tab w:val="center" w:pos="4320"/>
        <w:tab w:val="right" w:pos="8640"/>
      </w:tabs>
      <w:spacing w:after="0"/>
    </w:pPr>
  </w:style>
  <w:style w:type="character" w:customStyle="1" w:styleId="FooterChar">
    <w:name w:val="Footer Char"/>
    <w:basedOn w:val="DefaultParagraphFont"/>
    <w:link w:val="Footer"/>
    <w:uiPriority w:val="99"/>
    <w:rsid w:val="00F950CC"/>
    <w:rPr>
      <w:sz w:val="24"/>
      <w:szCs w:val="24"/>
    </w:rPr>
  </w:style>
  <w:style w:type="paragraph" w:styleId="NormalWeb">
    <w:name w:val="Normal (Web)"/>
    <w:basedOn w:val="Normal"/>
    <w:uiPriority w:val="99"/>
    <w:unhideWhenUsed/>
    <w:rsid w:val="00F950CC"/>
    <w:pPr>
      <w:spacing w:before="100" w:beforeAutospacing="1" w:after="100" w:afterAutospacing="1"/>
    </w:pPr>
    <w:rPr>
      <w:rFonts w:ascii="Times" w:hAnsi="Times" w:cs="Times New Roman"/>
      <w:sz w:val="20"/>
      <w:szCs w:val="20"/>
      <w:lang w:eastAsia="en-US"/>
    </w:rPr>
  </w:style>
  <w:style w:type="character" w:customStyle="1" w:styleId="amacitation">
    <w:name w:val="amacitation"/>
    <w:basedOn w:val="DefaultParagraphFont"/>
    <w:rsid w:val="00F950CC"/>
  </w:style>
  <w:style w:type="character" w:customStyle="1" w:styleId="editor">
    <w:name w:val="editor"/>
    <w:basedOn w:val="DefaultParagraphFont"/>
    <w:rsid w:val="00F950CC"/>
  </w:style>
  <w:style w:type="character" w:customStyle="1" w:styleId="cit-pub-date">
    <w:name w:val="cit-pub-date"/>
    <w:basedOn w:val="DefaultParagraphFont"/>
    <w:rsid w:val="00F950CC"/>
  </w:style>
  <w:style w:type="character" w:customStyle="1" w:styleId="cit-vol">
    <w:name w:val="cit-vol"/>
    <w:basedOn w:val="DefaultParagraphFont"/>
    <w:rsid w:val="00F950CC"/>
  </w:style>
  <w:style w:type="character" w:customStyle="1" w:styleId="cit-fpage">
    <w:name w:val="cit-fpage"/>
    <w:basedOn w:val="DefaultParagraphFont"/>
    <w:rsid w:val="00F950CC"/>
  </w:style>
  <w:style w:type="character" w:customStyle="1" w:styleId="cit-source">
    <w:name w:val="cit-source"/>
    <w:basedOn w:val="DefaultParagraphFont"/>
    <w:rsid w:val="00F950CC"/>
  </w:style>
  <w:style w:type="character" w:customStyle="1" w:styleId="pubmedlink">
    <w:name w:val="pubmedlink"/>
    <w:basedOn w:val="DefaultParagraphFont"/>
    <w:rsid w:val="00F950CC"/>
  </w:style>
  <w:style w:type="character" w:customStyle="1" w:styleId="nlmsource">
    <w:name w:val="nlm_source"/>
    <w:basedOn w:val="DefaultParagraphFont"/>
    <w:rsid w:val="00F950CC"/>
  </w:style>
  <w:style w:type="character" w:styleId="CommentReference">
    <w:name w:val="annotation reference"/>
    <w:basedOn w:val="DefaultParagraphFont"/>
    <w:uiPriority w:val="99"/>
    <w:semiHidden/>
    <w:unhideWhenUsed/>
    <w:rsid w:val="00F950CC"/>
    <w:rPr>
      <w:sz w:val="18"/>
      <w:szCs w:val="18"/>
    </w:rPr>
  </w:style>
  <w:style w:type="paragraph" w:styleId="CommentText">
    <w:name w:val="annotation text"/>
    <w:basedOn w:val="Normal"/>
    <w:link w:val="CommentTextChar"/>
    <w:uiPriority w:val="99"/>
    <w:semiHidden/>
    <w:unhideWhenUsed/>
    <w:rsid w:val="00F950CC"/>
  </w:style>
  <w:style w:type="character" w:customStyle="1" w:styleId="CommentTextChar">
    <w:name w:val="Comment Text Char"/>
    <w:basedOn w:val="DefaultParagraphFont"/>
    <w:link w:val="CommentText"/>
    <w:uiPriority w:val="99"/>
    <w:semiHidden/>
    <w:rsid w:val="00F950CC"/>
    <w:rPr>
      <w:sz w:val="24"/>
      <w:szCs w:val="24"/>
    </w:rPr>
  </w:style>
  <w:style w:type="paragraph" w:styleId="CommentSubject">
    <w:name w:val="annotation subject"/>
    <w:basedOn w:val="CommentText"/>
    <w:next w:val="CommentText"/>
    <w:link w:val="CommentSubjectChar"/>
    <w:uiPriority w:val="99"/>
    <w:semiHidden/>
    <w:unhideWhenUsed/>
    <w:rsid w:val="00F950CC"/>
    <w:rPr>
      <w:b/>
      <w:bCs/>
      <w:sz w:val="20"/>
      <w:szCs w:val="20"/>
    </w:rPr>
  </w:style>
  <w:style w:type="character" w:customStyle="1" w:styleId="CommentSubjectChar">
    <w:name w:val="Comment Subject Char"/>
    <w:basedOn w:val="CommentTextChar"/>
    <w:link w:val="CommentSubject"/>
    <w:uiPriority w:val="99"/>
    <w:semiHidden/>
    <w:rsid w:val="00F950CC"/>
    <w:rPr>
      <w:b/>
      <w:bCs/>
      <w:sz w:val="24"/>
      <w:szCs w:val="24"/>
    </w:rPr>
  </w:style>
  <w:style w:type="paragraph" w:styleId="Revision">
    <w:name w:val="Revision"/>
    <w:hidden/>
    <w:uiPriority w:val="99"/>
    <w:semiHidden/>
    <w:rsid w:val="00F950CC"/>
    <w:pPr>
      <w:spacing w:after="0"/>
    </w:pPr>
    <w:rPr>
      <w:sz w:val="24"/>
      <w:szCs w:val="24"/>
    </w:rPr>
  </w:style>
  <w:style w:type="character" w:customStyle="1" w:styleId="highlight1">
    <w:name w:val="highlight1"/>
    <w:rsid w:val="00BD341F"/>
    <w:rPr>
      <w:shd w:val="clear" w:color="auto" w:fill="F1BFE0"/>
    </w:rPr>
  </w:style>
  <w:style w:type="character" w:styleId="FollowedHyperlink">
    <w:name w:val="FollowedHyperlink"/>
    <w:basedOn w:val="DefaultParagraphFont"/>
    <w:uiPriority w:val="99"/>
    <w:semiHidden/>
    <w:unhideWhenUsed/>
    <w:rsid w:val="002479ED"/>
    <w:rPr>
      <w:color w:val="800080" w:themeColor="followedHyperlink"/>
      <w:u w:val="single"/>
    </w:rPr>
  </w:style>
  <w:style w:type="character" w:styleId="Strong">
    <w:name w:val="Strong"/>
    <w:qFormat/>
    <w:rsid w:val="00F55D5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0CC"/>
    <w:rPr>
      <w:sz w:val="24"/>
      <w:szCs w:val="24"/>
    </w:rPr>
  </w:style>
  <w:style w:type="paragraph" w:styleId="Heading1">
    <w:name w:val="heading 1"/>
    <w:basedOn w:val="Normal"/>
    <w:link w:val="Heading1Char"/>
    <w:uiPriority w:val="9"/>
    <w:qFormat/>
    <w:rsid w:val="00F950CC"/>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50CC"/>
    <w:rPr>
      <w:rFonts w:ascii="Times" w:hAnsi="Times"/>
      <w:b/>
      <w:bCs/>
      <w:kern w:val="36"/>
      <w:sz w:val="48"/>
      <w:szCs w:val="48"/>
      <w:lang w:eastAsia="en-US"/>
    </w:rPr>
  </w:style>
  <w:style w:type="character" w:styleId="Hyperlink">
    <w:name w:val="Hyperlink"/>
    <w:basedOn w:val="DefaultParagraphFont"/>
    <w:uiPriority w:val="99"/>
    <w:unhideWhenUsed/>
    <w:rsid w:val="00F950CC"/>
    <w:rPr>
      <w:color w:val="0000FF"/>
      <w:u w:val="single"/>
    </w:rPr>
  </w:style>
  <w:style w:type="character" w:customStyle="1" w:styleId="apple-converted-space">
    <w:name w:val="apple-converted-space"/>
    <w:basedOn w:val="DefaultParagraphFont"/>
    <w:rsid w:val="00F950CC"/>
  </w:style>
  <w:style w:type="character" w:styleId="PlaceholderText">
    <w:name w:val="Placeholder Text"/>
    <w:basedOn w:val="DefaultParagraphFont"/>
    <w:uiPriority w:val="99"/>
    <w:semiHidden/>
    <w:rsid w:val="00F950CC"/>
    <w:rPr>
      <w:color w:val="808080"/>
    </w:rPr>
  </w:style>
  <w:style w:type="paragraph" w:styleId="BalloonText">
    <w:name w:val="Balloon Text"/>
    <w:basedOn w:val="Normal"/>
    <w:link w:val="BalloonTextChar"/>
    <w:uiPriority w:val="99"/>
    <w:semiHidden/>
    <w:unhideWhenUsed/>
    <w:rsid w:val="00F950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50CC"/>
    <w:rPr>
      <w:rFonts w:ascii="Lucida Grande" w:hAnsi="Lucida Grande" w:cs="Lucida Grande"/>
      <w:sz w:val="18"/>
      <w:szCs w:val="18"/>
    </w:rPr>
  </w:style>
  <w:style w:type="character" w:styleId="HTMLCite">
    <w:name w:val="HTML Cite"/>
    <w:basedOn w:val="DefaultParagraphFont"/>
    <w:uiPriority w:val="99"/>
    <w:semiHidden/>
    <w:unhideWhenUsed/>
    <w:rsid w:val="00F950CC"/>
    <w:rPr>
      <w:i/>
      <w:iCs/>
    </w:rPr>
  </w:style>
  <w:style w:type="character" w:customStyle="1" w:styleId="author">
    <w:name w:val="author"/>
    <w:basedOn w:val="DefaultParagraphFont"/>
    <w:rsid w:val="00F950CC"/>
  </w:style>
  <w:style w:type="character" w:styleId="Emphasis">
    <w:name w:val="Emphasis"/>
    <w:basedOn w:val="DefaultParagraphFont"/>
    <w:uiPriority w:val="20"/>
    <w:qFormat/>
    <w:rsid w:val="00F950CC"/>
    <w:rPr>
      <w:i/>
      <w:iCs/>
    </w:rPr>
  </w:style>
  <w:style w:type="character" w:customStyle="1" w:styleId="articletitle">
    <w:name w:val="articletitle"/>
    <w:basedOn w:val="DefaultParagraphFont"/>
    <w:rsid w:val="00F950CC"/>
  </w:style>
  <w:style w:type="character" w:customStyle="1" w:styleId="journaltitle">
    <w:name w:val="journaltitle"/>
    <w:basedOn w:val="DefaultParagraphFont"/>
    <w:rsid w:val="00F950CC"/>
  </w:style>
  <w:style w:type="character" w:customStyle="1" w:styleId="pubyear">
    <w:name w:val="pubyear"/>
    <w:basedOn w:val="DefaultParagraphFont"/>
    <w:rsid w:val="00F950CC"/>
  </w:style>
  <w:style w:type="character" w:customStyle="1" w:styleId="vol">
    <w:name w:val="vol"/>
    <w:basedOn w:val="DefaultParagraphFont"/>
    <w:rsid w:val="00F950CC"/>
  </w:style>
  <w:style w:type="character" w:customStyle="1" w:styleId="pagefirst">
    <w:name w:val="pagefirst"/>
    <w:basedOn w:val="DefaultParagraphFont"/>
    <w:rsid w:val="00F950CC"/>
  </w:style>
  <w:style w:type="character" w:customStyle="1" w:styleId="pagelast">
    <w:name w:val="pagelast"/>
    <w:basedOn w:val="DefaultParagraphFont"/>
    <w:rsid w:val="00F950CC"/>
  </w:style>
  <w:style w:type="paragraph" w:styleId="ListParagraph">
    <w:name w:val="List Paragraph"/>
    <w:basedOn w:val="Normal"/>
    <w:uiPriority w:val="34"/>
    <w:qFormat/>
    <w:rsid w:val="00F950CC"/>
    <w:pPr>
      <w:ind w:left="720"/>
      <w:contextualSpacing/>
    </w:pPr>
  </w:style>
  <w:style w:type="character" w:customStyle="1" w:styleId="highlight">
    <w:name w:val="highlight"/>
    <w:basedOn w:val="DefaultParagraphFont"/>
    <w:rsid w:val="00F950CC"/>
  </w:style>
  <w:style w:type="paragraph" w:styleId="Header">
    <w:name w:val="header"/>
    <w:basedOn w:val="Normal"/>
    <w:link w:val="HeaderChar"/>
    <w:uiPriority w:val="99"/>
    <w:unhideWhenUsed/>
    <w:rsid w:val="00F950CC"/>
    <w:pPr>
      <w:tabs>
        <w:tab w:val="center" w:pos="4320"/>
        <w:tab w:val="right" w:pos="8640"/>
      </w:tabs>
      <w:spacing w:after="0"/>
    </w:pPr>
  </w:style>
  <w:style w:type="character" w:customStyle="1" w:styleId="HeaderChar">
    <w:name w:val="Header Char"/>
    <w:basedOn w:val="DefaultParagraphFont"/>
    <w:link w:val="Header"/>
    <w:uiPriority w:val="99"/>
    <w:rsid w:val="00F950CC"/>
    <w:rPr>
      <w:sz w:val="24"/>
      <w:szCs w:val="24"/>
    </w:rPr>
  </w:style>
  <w:style w:type="paragraph" w:styleId="Footer">
    <w:name w:val="footer"/>
    <w:basedOn w:val="Normal"/>
    <w:link w:val="FooterChar"/>
    <w:uiPriority w:val="99"/>
    <w:unhideWhenUsed/>
    <w:rsid w:val="00F950CC"/>
    <w:pPr>
      <w:tabs>
        <w:tab w:val="center" w:pos="4320"/>
        <w:tab w:val="right" w:pos="8640"/>
      </w:tabs>
      <w:spacing w:after="0"/>
    </w:pPr>
  </w:style>
  <w:style w:type="character" w:customStyle="1" w:styleId="FooterChar">
    <w:name w:val="Footer Char"/>
    <w:basedOn w:val="DefaultParagraphFont"/>
    <w:link w:val="Footer"/>
    <w:uiPriority w:val="99"/>
    <w:rsid w:val="00F950CC"/>
    <w:rPr>
      <w:sz w:val="24"/>
      <w:szCs w:val="24"/>
    </w:rPr>
  </w:style>
  <w:style w:type="paragraph" w:styleId="NormalWeb">
    <w:name w:val="Normal (Web)"/>
    <w:basedOn w:val="Normal"/>
    <w:uiPriority w:val="99"/>
    <w:unhideWhenUsed/>
    <w:rsid w:val="00F950CC"/>
    <w:pPr>
      <w:spacing w:before="100" w:beforeAutospacing="1" w:after="100" w:afterAutospacing="1"/>
    </w:pPr>
    <w:rPr>
      <w:rFonts w:ascii="Times" w:hAnsi="Times" w:cs="Times New Roman"/>
      <w:sz w:val="20"/>
      <w:szCs w:val="20"/>
      <w:lang w:eastAsia="en-US"/>
    </w:rPr>
  </w:style>
  <w:style w:type="character" w:customStyle="1" w:styleId="amacitation">
    <w:name w:val="amacitation"/>
    <w:basedOn w:val="DefaultParagraphFont"/>
    <w:rsid w:val="00F950CC"/>
  </w:style>
  <w:style w:type="character" w:customStyle="1" w:styleId="editor">
    <w:name w:val="editor"/>
    <w:basedOn w:val="DefaultParagraphFont"/>
    <w:rsid w:val="00F950CC"/>
  </w:style>
  <w:style w:type="character" w:customStyle="1" w:styleId="cit-pub-date">
    <w:name w:val="cit-pub-date"/>
    <w:basedOn w:val="DefaultParagraphFont"/>
    <w:rsid w:val="00F950CC"/>
  </w:style>
  <w:style w:type="character" w:customStyle="1" w:styleId="cit-vol">
    <w:name w:val="cit-vol"/>
    <w:basedOn w:val="DefaultParagraphFont"/>
    <w:rsid w:val="00F950CC"/>
  </w:style>
  <w:style w:type="character" w:customStyle="1" w:styleId="cit-fpage">
    <w:name w:val="cit-fpage"/>
    <w:basedOn w:val="DefaultParagraphFont"/>
    <w:rsid w:val="00F950CC"/>
  </w:style>
  <w:style w:type="character" w:customStyle="1" w:styleId="cit-source">
    <w:name w:val="cit-source"/>
    <w:basedOn w:val="DefaultParagraphFont"/>
    <w:rsid w:val="00F950CC"/>
  </w:style>
  <w:style w:type="character" w:customStyle="1" w:styleId="pubmedlink">
    <w:name w:val="pubmedlink"/>
    <w:basedOn w:val="DefaultParagraphFont"/>
    <w:rsid w:val="00F950CC"/>
  </w:style>
  <w:style w:type="character" w:customStyle="1" w:styleId="nlmsource">
    <w:name w:val="nlm_source"/>
    <w:basedOn w:val="DefaultParagraphFont"/>
    <w:rsid w:val="00F950CC"/>
  </w:style>
  <w:style w:type="character" w:styleId="CommentReference">
    <w:name w:val="annotation reference"/>
    <w:basedOn w:val="DefaultParagraphFont"/>
    <w:uiPriority w:val="99"/>
    <w:semiHidden/>
    <w:unhideWhenUsed/>
    <w:rsid w:val="00F950CC"/>
    <w:rPr>
      <w:sz w:val="18"/>
      <w:szCs w:val="18"/>
    </w:rPr>
  </w:style>
  <w:style w:type="paragraph" w:styleId="CommentText">
    <w:name w:val="annotation text"/>
    <w:basedOn w:val="Normal"/>
    <w:link w:val="CommentTextChar"/>
    <w:uiPriority w:val="99"/>
    <w:semiHidden/>
    <w:unhideWhenUsed/>
    <w:rsid w:val="00F950CC"/>
  </w:style>
  <w:style w:type="character" w:customStyle="1" w:styleId="CommentTextChar">
    <w:name w:val="Comment Text Char"/>
    <w:basedOn w:val="DefaultParagraphFont"/>
    <w:link w:val="CommentText"/>
    <w:uiPriority w:val="99"/>
    <w:semiHidden/>
    <w:rsid w:val="00F950CC"/>
    <w:rPr>
      <w:sz w:val="24"/>
      <w:szCs w:val="24"/>
    </w:rPr>
  </w:style>
  <w:style w:type="paragraph" w:styleId="CommentSubject">
    <w:name w:val="annotation subject"/>
    <w:basedOn w:val="CommentText"/>
    <w:next w:val="CommentText"/>
    <w:link w:val="CommentSubjectChar"/>
    <w:uiPriority w:val="99"/>
    <w:semiHidden/>
    <w:unhideWhenUsed/>
    <w:rsid w:val="00F950CC"/>
    <w:rPr>
      <w:b/>
      <w:bCs/>
      <w:sz w:val="20"/>
      <w:szCs w:val="20"/>
    </w:rPr>
  </w:style>
  <w:style w:type="character" w:customStyle="1" w:styleId="CommentSubjectChar">
    <w:name w:val="Comment Subject Char"/>
    <w:basedOn w:val="CommentTextChar"/>
    <w:link w:val="CommentSubject"/>
    <w:uiPriority w:val="99"/>
    <w:semiHidden/>
    <w:rsid w:val="00F950CC"/>
    <w:rPr>
      <w:b/>
      <w:bCs/>
      <w:sz w:val="24"/>
      <w:szCs w:val="24"/>
    </w:rPr>
  </w:style>
  <w:style w:type="paragraph" w:styleId="Revision">
    <w:name w:val="Revision"/>
    <w:hidden/>
    <w:uiPriority w:val="99"/>
    <w:semiHidden/>
    <w:rsid w:val="00F950CC"/>
    <w:pPr>
      <w:spacing w:after="0"/>
    </w:pPr>
    <w:rPr>
      <w:sz w:val="24"/>
      <w:szCs w:val="24"/>
    </w:rPr>
  </w:style>
  <w:style w:type="character" w:customStyle="1" w:styleId="highlight1">
    <w:name w:val="highlight1"/>
    <w:rsid w:val="00BD341F"/>
    <w:rPr>
      <w:shd w:val="clear" w:color="auto" w:fill="F1BFE0"/>
    </w:rPr>
  </w:style>
  <w:style w:type="character" w:styleId="FollowedHyperlink">
    <w:name w:val="FollowedHyperlink"/>
    <w:basedOn w:val="DefaultParagraphFont"/>
    <w:uiPriority w:val="99"/>
    <w:semiHidden/>
    <w:unhideWhenUsed/>
    <w:rsid w:val="002479ED"/>
    <w:rPr>
      <w:color w:val="800080" w:themeColor="followedHyperlink"/>
      <w:u w:val="single"/>
    </w:rPr>
  </w:style>
  <w:style w:type="character" w:styleId="Strong">
    <w:name w:val="Strong"/>
    <w:qFormat/>
    <w:rsid w:val="00F55D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81447">
      <w:bodyDiv w:val="1"/>
      <w:marLeft w:val="0"/>
      <w:marRight w:val="0"/>
      <w:marTop w:val="0"/>
      <w:marBottom w:val="0"/>
      <w:divBdr>
        <w:top w:val="none" w:sz="0" w:space="0" w:color="auto"/>
        <w:left w:val="none" w:sz="0" w:space="0" w:color="auto"/>
        <w:bottom w:val="none" w:sz="0" w:space="0" w:color="auto"/>
        <w:right w:val="none" w:sz="0" w:space="0" w:color="auto"/>
      </w:divBdr>
      <w:divsChild>
        <w:div w:id="1891990589">
          <w:marLeft w:val="0"/>
          <w:marRight w:val="0"/>
          <w:marTop w:val="0"/>
          <w:marBottom w:val="0"/>
          <w:divBdr>
            <w:top w:val="none" w:sz="0" w:space="0" w:color="auto"/>
            <w:left w:val="none" w:sz="0" w:space="0" w:color="auto"/>
            <w:bottom w:val="none" w:sz="0" w:space="0" w:color="auto"/>
            <w:right w:val="none" w:sz="0" w:space="0" w:color="auto"/>
          </w:divBdr>
          <w:divsChild>
            <w:div w:id="2124569400">
              <w:marLeft w:val="0"/>
              <w:marRight w:val="0"/>
              <w:marTop w:val="0"/>
              <w:marBottom w:val="0"/>
              <w:divBdr>
                <w:top w:val="none" w:sz="0" w:space="0" w:color="auto"/>
                <w:left w:val="none" w:sz="0" w:space="0" w:color="auto"/>
                <w:bottom w:val="none" w:sz="0" w:space="0" w:color="auto"/>
                <w:right w:val="none" w:sz="0" w:space="0" w:color="auto"/>
              </w:divBdr>
              <w:divsChild>
                <w:div w:id="479932068">
                  <w:marLeft w:val="0"/>
                  <w:marRight w:val="0"/>
                  <w:marTop w:val="0"/>
                  <w:marBottom w:val="0"/>
                  <w:divBdr>
                    <w:top w:val="none" w:sz="0" w:space="0" w:color="auto"/>
                    <w:left w:val="none" w:sz="0" w:space="0" w:color="auto"/>
                    <w:bottom w:val="none" w:sz="0" w:space="0" w:color="auto"/>
                    <w:right w:val="none" w:sz="0" w:space="0" w:color="auto"/>
                  </w:divBdr>
                  <w:divsChild>
                    <w:div w:id="718170109">
                      <w:marLeft w:val="0"/>
                      <w:marRight w:val="0"/>
                      <w:marTop w:val="0"/>
                      <w:marBottom w:val="0"/>
                      <w:divBdr>
                        <w:top w:val="none" w:sz="0" w:space="0" w:color="auto"/>
                        <w:left w:val="none" w:sz="0" w:space="0" w:color="auto"/>
                        <w:bottom w:val="none" w:sz="0" w:space="0" w:color="auto"/>
                        <w:right w:val="none" w:sz="0" w:space="0" w:color="auto"/>
                      </w:divBdr>
                      <w:divsChild>
                        <w:div w:id="1973437396">
                          <w:marLeft w:val="0"/>
                          <w:marRight w:val="0"/>
                          <w:marTop w:val="0"/>
                          <w:marBottom w:val="0"/>
                          <w:divBdr>
                            <w:top w:val="none" w:sz="0" w:space="0" w:color="auto"/>
                            <w:left w:val="none" w:sz="0" w:space="0" w:color="auto"/>
                            <w:bottom w:val="none" w:sz="0" w:space="0" w:color="auto"/>
                            <w:right w:val="none" w:sz="0" w:space="0" w:color="auto"/>
                          </w:divBdr>
                          <w:divsChild>
                            <w:div w:id="1872376365">
                              <w:marLeft w:val="0"/>
                              <w:marRight w:val="0"/>
                              <w:marTop w:val="0"/>
                              <w:marBottom w:val="0"/>
                              <w:divBdr>
                                <w:top w:val="none" w:sz="0" w:space="0" w:color="auto"/>
                                <w:left w:val="none" w:sz="0" w:space="0" w:color="auto"/>
                                <w:bottom w:val="none" w:sz="0" w:space="0" w:color="auto"/>
                                <w:right w:val="none" w:sz="0" w:space="0" w:color="auto"/>
                              </w:divBdr>
                              <w:divsChild>
                                <w:div w:id="391662500">
                                  <w:marLeft w:val="0"/>
                                  <w:marRight w:val="0"/>
                                  <w:marTop w:val="0"/>
                                  <w:marBottom w:val="0"/>
                                  <w:divBdr>
                                    <w:top w:val="none" w:sz="0" w:space="0" w:color="auto"/>
                                    <w:left w:val="none" w:sz="0" w:space="0" w:color="auto"/>
                                    <w:bottom w:val="none" w:sz="0" w:space="0" w:color="auto"/>
                                    <w:right w:val="none" w:sz="0" w:space="0" w:color="auto"/>
                                  </w:divBdr>
                                  <w:divsChild>
                                    <w:div w:id="1209761440">
                                      <w:marLeft w:val="0"/>
                                      <w:marRight w:val="0"/>
                                      <w:marTop w:val="0"/>
                                      <w:marBottom w:val="0"/>
                                      <w:divBdr>
                                        <w:top w:val="none" w:sz="0" w:space="0" w:color="auto"/>
                                        <w:left w:val="none" w:sz="0" w:space="0" w:color="auto"/>
                                        <w:bottom w:val="none" w:sz="0" w:space="0" w:color="auto"/>
                                        <w:right w:val="none" w:sz="0" w:space="0" w:color="auto"/>
                                      </w:divBdr>
                                      <w:divsChild>
                                        <w:div w:id="2078044876">
                                          <w:marLeft w:val="0"/>
                                          <w:marRight w:val="0"/>
                                          <w:marTop w:val="0"/>
                                          <w:marBottom w:val="0"/>
                                          <w:divBdr>
                                            <w:top w:val="none" w:sz="0" w:space="0" w:color="auto"/>
                                            <w:left w:val="none" w:sz="0" w:space="0" w:color="auto"/>
                                            <w:bottom w:val="none" w:sz="0" w:space="0" w:color="auto"/>
                                            <w:right w:val="none" w:sz="0" w:space="0" w:color="auto"/>
                                          </w:divBdr>
                                          <w:divsChild>
                                            <w:div w:id="1449738387">
                                              <w:marLeft w:val="0"/>
                                              <w:marRight w:val="0"/>
                                              <w:marTop w:val="0"/>
                                              <w:marBottom w:val="0"/>
                                              <w:divBdr>
                                                <w:top w:val="none" w:sz="0" w:space="0" w:color="auto"/>
                                                <w:left w:val="none" w:sz="0" w:space="0" w:color="auto"/>
                                                <w:bottom w:val="none" w:sz="0" w:space="0" w:color="auto"/>
                                                <w:right w:val="none" w:sz="0" w:space="0" w:color="auto"/>
                                              </w:divBdr>
                                              <w:divsChild>
                                                <w:div w:id="1335717173">
                                                  <w:marLeft w:val="0"/>
                                                  <w:marRight w:val="0"/>
                                                  <w:marTop w:val="0"/>
                                                  <w:marBottom w:val="0"/>
                                                  <w:divBdr>
                                                    <w:top w:val="none" w:sz="0" w:space="0" w:color="auto"/>
                                                    <w:left w:val="none" w:sz="0" w:space="0" w:color="auto"/>
                                                    <w:bottom w:val="none" w:sz="0" w:space="0" w:color="auto"/>
                                                    <w:right w:val="none" w:sz="0" w:space="0" w:color="auto"/>
                                                  </w:divBdr>
                                                  <w:divsChild>
                                                    <w:div w:id="414400267">
                                                      <w:marLeft w:val="0"/>
                                                      <w:marRight w:val="0"/>
                                                      <w:marTop w:val="0"/>
                                                      <w:marBottom w:val="0"/>
                                                      <w:divBdr>
                                                        <w:top w:val="none" w:sz="0" w:space="0" w:color="auto"/>
                                                        <w:left w:val="none" w:sz="0" w:space="0" w:color="auto"/>
                                                        <w:bottom w:val="none" w:sz="0" w:space="0" w:color="auto"/>
                                                        <w:right w:val="none" w:sz="0" w:space="0" w:color="auto"/>
                                                      </w:divBdr>
                                                      <w:divsChild>
                                                        <w:div w:id="917443957">
                                                          <w:marLeft w:val="0"/>
                                                          <w:marRight w:val="0"/>
                                                          <w:marTop w:val="0"/>
                                                          <w:marBottom w:val="0"/>
                                                          <w:divBdr>
                                                            <w:top w:val="none" w:sz="0" w:space="0" w:color="auto"/>
                                                            <w:left w:val="none" w:sz="0" w:space="0" w:color="auto"/>
                                                            <w:bottom w:val="none" w:sz="0" w:space="0" w:color="auto"/>
                                                            <w:right w:val="none" w:sz="0" w:space="0" w:color="auto"/>
                                                          </w:divBdr>
                                                          <w:divsChild>
                                                            <w:div w:id="512963023">
                                                              <w:marLeft w:val="0"/>
                                                              <w:marRight w:val="0"/>
                                                              <w:marTop w:val="0"/>
                                                              <w:marBottom w:val="0"/>
                                                              <w:divBdr>
                                                                <w:top w:val="none" w:sz="0" w:space="0" w:color="auto"/>
                                                                <w:left w:val="none" w:sz="0" w:space="0" w:color="auto"/>
                                                                <w:bottom w:val="none" w:sz="0" w:space="0" w:color="auto"/>
                                                                <w:right w:val="none" w:sz="0" w:space="0" w:color="auto"/>
                                                              </w:divBdr>
                                                              <w:divsChild>
                                                                <w:div w:id="831601716">
                                                                  <w:marLeft w:val="0"/>
                                                                  <w:marRight w:val="0"/>
                                                                  <w:marTop w:val="0"/>
                                                                  <w:marBottom w:val="0"/>
                                                                  <w:divBdr>
                                                                    <w:top w:val="none" w:sz="0" w:space="0" w:color="auto"/>
                                                                    <w:left w:val="none" w:sz="0" w:space="0" w:color="auto"/>
                                                                    <w:bottom w:val="none" w:sz="0" w:space="0" w:color="auto"/>
                                                                    <w:right w:val="none" w:sz="0" w:space="0" w:color="auto"/>
                                                                  </w:divBdr>
                                                                  <w:divsChild>
                                                                    <w:div w:id="897319712">
                                                                      <w:marLeft w:val="0"/>
                                                                      <w:marRight w:val="0"/>
                                                                      <w:marTop w:val="0"/>
                                                                      <w:marBottom w:val="0"/>
                                                                      <w:divBdr>
                                                                        <w:top w:val="none" w:sz="0" w:space="0" w:color="auto"/>
                                                                        <w:left w:val="none" w:sz="0" w:space="0" w:color="auto"/>
                                                                        <w:bottom w:val="none" w:sz="0" w:space="0" w:color="auto"/>
                                                                        <w:right w:val="none" w:sz="0" w:space="0" w:color="auto"/>
                                                                      </w:divBdr>
                                                                      <w:divsChild>
                                                                        <w:div w:id="486556317">
                                                                          <w:marLeft w:val="0"/>
                                                                          <w:marRight w:val="0"/>
                                                                          <w:marTop w:val="0"/>
                                                                          <w:marBottom w:val="0"/>
                                                                          <w:divBdr>
                                                                            <w:top w:val="none" w:sz="0" w:space="0" w:color="auto"/>
                                                                            <w:left w:val="none" w:sz="0" w:space="0" w:color="auto"/>
                                                                            <w:bottom w:val="none" w:sz="0" w:space="0" w:color="auto"/>
                                                                            <w:right w:val="none" w:sz="0" w:space="0" w:color="auto"/>
                                                                          </w:divBdr>
                                                                          <w:divsChild>
                                                                            <w:div w:id="1088844880">
                                                                              <w:marLeft w:val="0"/>
                                                                              <w:marRight w:val="0"/>
                                                                              <w:marTop w:val="0"/>
                                                                              <w:marBottom w:val="0"/>
                                                                              <w:divBdr>
                                                                                <w:top w:val="none" w:sz="0" w:space="0" w:color="auto"/>
                                                                                <w:left w:val="none" w:sz="0" w:space="0" w:color="auto"/>
                                                                                <w:bottom w:val="none" w:sz="0" w:space="0" w:color="auto"/>
                                                                                <w:right w:val="none" w:sz="0" w:space="0" w:color="auto"/>
                                                                              </w:divBdr>
                                                                              <w:divsChild>
                                                                                <w:div w:id="1441336223">
                                                                                  <w:marLeft w:val="0"/>
                                                                                  <w:marRight w:val="0"/>
                                                                                  <w:marTop w:val="0"/>
                                                                                  <w:marBottom w:val="0"/>
                                                                                  <w:divBdr>
                                                                                    <w:top w:val="none" w:sz="0" w:space="0" w:color="auto"/>
                                                                                    <w:left w:val="none" w:sz="0" w:space="0" w:color="auto"/>
                                                                                    <w:bottom w:val="none" w:sz="0" w:space="0" w:color="auto"/>
                                                                                    <w:right w:val="none" w:sz="0" w:space="0" w:color="auto"/>
                                                                                  </w:divBdr>
                                                                                  <w:divsChild>
                                                                                    <w:div w:id="1931815150">
                                                                                      <w:marLeft w:val="0"/>
                                                                                      <w:marRight w:val="0"/>
                                                                                      <w:marTop w:val="0"/>
                                                                                      <w:marBottom w:val="0"/>
                                                                                      <w:divBdr>
                                                                                        <w:top w:val="none" w:sz="0" w:space="0" w:color="auto"/>
                                                                                        <w:left w:val="none" w:sz="0" w:space="0" w:color="auto"/>
                                                                                        <w:bottom w:val="none" w:sz="0" w:space="0" w:color="auto"/>
                                                                                        <w:right w:val="none" w:sz="0" w:space="0" w:color="auto"/>
                                                                                      </w:divBdr>
                                                                                      <w:divsChild>
                                                                                        <w:div w:id="411852203">
                                                                                          <w:marLeft w:val="0"/>
                                                                                          <w:marRight w:val="0"/>
                                                                                          <w:marTop w:val="0"/>
                                                                                          <w:marBottom w:val="0"/>
                                                                                          <w:divBdr>
                                                                                            <w:top w:val="none" w:sz="0" w:space="0" w:color="auto"/>
                                                                                            <w:left w:val="none" w:sz="0" w:space="0" w:color="auto"/>
                                                                                            <w:bottom w:val="none" w:sz="0" w:space="0" w:color="auto"/>
                                                                                            <w:right w:val="none" w:sz="0" w:space="0" w:color="auto"/>
                                                                                          </w:divBdr>
                                                                                          <w:divsChild>
                                                                                            <w:div w:id="15238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18851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47185</Words>
  <Characters>268960</Characters>
  <Application>Microsoft Macintosh Word</Application>
  <DocSecurity>0</DocSecurity>
  <Lines>2241</Lines>
  <Paragraphs>631</Paragraphs>
  <ScaleCrop>false</ScaleCrop>
  <Company/>
  <LinksUpToDate>false</LinksUpToDate>
  <CharactersWithSpaces>315514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 Pab</dc:creator>
  <cp:keywords/>
  <dc:description/>
  <cp:lastModifiedBy>Na Ma</cp:lastModifiedBy>
  <cp:revision>2</cp:revision>
  <dcterms:created xsi:type="dcterms:W3CDTF">2015-07-23T00:56:00Z</dcterms:created>
  <dcterms:modified xsi:type="dcterms:W3CDTF">2015-07-23T00:56:00Z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baldeeppabla@gmail.com@www.mendeley.com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http://www.zotero.org/styles/world-journal-of-gastroenterology</vt:lpwstr>
  </property>
  <property fmtid="{D5CDD505-2E9C-101B-9397-08002B2CF9AE}" pid="23" name="Mendeley Recent Style Name 9_1">
    <vt:lpwstr>World Journal of Gastroenterology</vt:lpwstr>
  </property>
  <property fmtid="{D5CDD505-2E9C-101B-9397-08002B2CF9AE}" pid="24" name="Mendeley Citation Style_1">
    <vt:lpwstr>http://www.zotero.org/styles/world-journal-of-gastroenterology</vt:lpwstr>
  </property>
</Properties>
</file>