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5007" w14:textId="6B9264EC" w:rsidR="00015D39" w:rsidRPr="00E14A02" w:rsidRDefault="00015D39" w:rsidP="00C16015">
      <w:pPr>
        <w:widowControl/>
        <w:spacing w:line="360" w:lineRule="auto"/>
        <w:rPr>
          <w:rFonts w:ascii="Book Antiqua" w:hAnsi="Book Antiqua"/>
          <w:b/>
          <w:bCs/>
          <w:i/>
          <w:color w:val="000000" w:themeColor="text1"/>
          <w:kern w:val="0"/>
          <w:sz w:val="24"/>
          <w:szCs w:val="24"/>
        </w:rPr>
      </w:pPr>
      <w:r w:rsidRPr="00C16015">
        <w:rPr>
          <w:rFonts w:ascii="Book Antiqua" w:hAnsi="Book Antiqua"/>
          <w:b/>
          <w:bCs/>
          <w:color w:val="000000" w:themeColor="text1"/>
          <w:kern w:val="0"/>
          <w:sz w:val="24"/>
          <w:szCs w:val="24"/>
        </w:rPr>
        <w:t xml:space="preserve">Name of </w:t>
      </w:r>
      <w:r w:rsidR="00E14A02">
        <w:rPr>
          <w:rFonts w:ascii="Book Antiqua" w:eastAsia="宋体" w:hAnsi="Book Antiqua" w:hint="eastAsia"/>
          <w:b/>
          <w:bCs/>
          <w:color w:val="000000" w:themeColor="text1"/>
          <w:kern w:val="0"/>
          <w:sz w:val="24"/>
          <w:szCs w:val="24"/>
          <w:lang w:eastAsia="zh-CN"/>
        </w:rPr>
        <w:t>J</w:t>
      </w:r>
      <w:r w:rsidRPr="00C16015">
        <w:rPr>
          <w:rFonts w:ascii="Book Antiqua" w:hAnsi="Book Antiqua"/>
          <w:b/>
          <w:bCs/>
          <w:color w:val="000000" w:themeColor="text1"/>
          <w:kern w:val="0"/>
          <w:sz w:val="24"/>
          <w:szCs w:val="24"/>
        </w:rPr>
        <w:t xml:space="preserve">ournal: </w:t>
      </w:r>
      <w:r w:rsidRPr="00E14A02">
        <w:rPr>
          <w:rFonts w:ascii="Book Antiqua" w:hAnsi="Book Antiqua"/>
          <w:b/>
          <w:bCs/>
          <w:i/>
          <w:color w:val="000000" w:themeColor="text1"/>
          <w:kern w:val="0"/>
          <w:sz w:val="24"/>
          <w:szCs w:val="24"/>
        </w:rPr>
        <w:t xml:space="preserve">World Journal of </w:t>
      </w:r>
      <w:r w:rsidR="00995759" w:rsidRPr="00E14A02">
        <w:rPr>
          <w:rFonts w:ascii="Book Antiqua" w:hAnsi="Book Antiqua"/>
          <w:b/>
          <w:bCs/>
          <w:i/>
          <w:color w:val="000000" w:themeColor="text1"/>
          <w:kern w:val="0"/>
          <w:sz w:val="24"/>
          <w:szCs w:val="24"/>
        </w:rPr>
        <w:t>Gastrointestinal Oncology</w:t>
      </w:r>
    </w:p>
    <w:p w14:paraId="1EFDCD66" w14:textId="77777777" w:rsidR="00015D39" w:rsidRPr="00C16015" w:rsidRDefault="00015D39" w:rsidP="00C16015">
      <w:pPr>
        <w:widowControl/>
        <w:spacing w:line="360" w:lineRule="auto"/>
        <w:rPr>
          <w:rFonts w:ascii="Book Antiqua" w:eastAsia="宋体" w:hAnsi="Book Antiqua"/>
          <w:b/>
          <w:bCs/>
          <w:color w:val="000000" w:themeColor="text1"/>
          <w:kern w:val="0"/>
          <w:sz w:val="24"/>
          <w:szCs w:val="24"/>
          <w:lang w:eastAsia="zh-CN"/>
        </w:rPr>
      </w:pPr>
      <w:r w:rsidRPr="00C16015">
        <w:rPr>
          <w:rFonts w:ascii="Book Antiqua" w:hAnsi="Book Antiqua"/>
          <w:b/>
          <w:bCs/>
          <w:color w:val="000000" w:themeColor="text1"/>
          <w:kern w:val="0"/>
          <w:sz w:val="24"/>
          <w:szCs w:val="24"/>
        </w:rPr>
        <w:t>ESPS Manuscript NO:</w:t>
      </w:r>
      <w:r w:rsidR="00995759" w:rsidRPr="00C16015">
        <w:rPr>
          <w:rFonts w:ascii="Book Antiqua" w:eastAsia="宋体" w:hAnsi="Book Antiqua"/>
          <w:b/>
          <w:bCs/>
          <w:color w:val="000000" w:themeColor="text1"/>
          <w:kern w:val="0"/>
          <w:sz w:val="24"/>
          <w:szCs w:val="24"/>
          <w:lang w:eastAsia="zh-CN"/>
        </w:rPr>
        <w:t xml:space="preserve"> 19326</w:t>
      </w:r>
    </w:p>
    <w:p w14:paraId="09BD8605" w14:textId="77777777" w:rsidR="00015D39" w:rsidRPr="00C16015" w:rsidRDefault="00995759" w:rsidP="00C16015">
      <w:pPr>
        <w:widowControl/>
        <w:spacing w:line="360" w:lineRule="auto"/>
        <w:rPr>
          <w:rFonts w:ascii="Book Antiqua" w:eastAsia="宋体" w:hAnsi="Book Antiqua"/>
          <w:b/>
          <w:bCs/>
          <w:color w:val="000000" w:themeColor="text1"/>
          <w:kern w:val="0"/>
          <w:sz w:val="24"/>
          <w:szCs w:val="24"/>
          <w:lang w:eastAsia="zh-CN"/>
        </w:rPr>
      </w:pPr>
      <w:r w:rsidRPr="00C16015">
        <w:rPr>
          <w:rFonts w:ascii="Book Antiqua" w:eastAsia="宋体" w:hAnsi="Book Antiqua"/>
          <w:b/>
          <w:bCs/>
          <w:color w:val="000000" w:themeColor="text1"/>
          <w:kern w:val="0"/>
          <w:sz w:val="24"/>
          <w:szCs w:val="24"/>
          <w:lang w:eastAsia="zh-CN"/>
        </w:rPr>
        <w:t>Manuscript Type</w:t>
      </w:r>
      <w:r w:rsidR="00015D39" w:rsidRPr="00C16015">
        <w:rPr>
          <w:rFonts w:ascii="Book Antiqua" w:hAnsi="Book Antiqua"/>
          <w:b/>
          <w:bCs/>
          <w:color w:val="000000" w:themeColor="text1"/>
          <w:kern w:val="0"/>
          <w:sz w:val="24"/>
          <w:szCs w:val="24"/>
        </w:rPr>
        <w:t xml:space="preserve">: </w:t>
      </w:r>
      <w:r w:rsidRPr="00C16015">
        <w:rPr>
          <w:rFonts w:ascii="Book Antiqua" w:eastAsia="宋体" w:hAnsi="Book Antiqua"/>
          <w:b/>
          <w:bCs/>
          <w:color w:val="000000" w:themeColor="text1"/>
          <w:kern w:val="0"/>
          <w:sz w:val="24"/>
          <w:szCs w:val="24"/>
          <w:lang w:eastAsia="zh-CN"/>
        </w:rPr>
        <w:t>MINIREVIEWS</w:t>
      </w:r>
    </w:p>
    <w:p w14:paraId="46CB17A0" w14:textId="77777777" w:rsidR="00015D39" w:rsidRPr="00C16015" w:rsidRDefault="00015D39" w:rsidP="00C16015">
      <w:pPr>
        <w:widowControl/>
        <w:spacing w:line="360" w:lineRule="auto"/>
        <w:rPr>
          <w:rFonts w:ascii="Book Antiqua" w:hAnsi="Book Antiqua"/>
          <w:color w:val="000000" w:themeColor="text1"/>
          <w:kern w:val="0"/>
          <w:sz w:val="24"/>
          <w:szCs w:val="24"/>
        </w:rPr>
      </w:pPr>
    </w:p>
    <w:p w14:paraId="78563C99" w14:textId="2AC28B7A" w:rsidR="00015D39" w:rsidRPr="00C16015" w:rsidRDefault="00015D39"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t xml:space="preserve">Breakthrough therapy for peritoneal </w:t>
      </w:r>
      <w:proofErr w:type="spellStart"/>
      <w:r w:rsidRPr="00C16015">
        <w:rPr>
          <w:rFonts w:ascii="Book Antiqua" w:hAnsi="Book Antiqua"/>
          <w:b/>
          <w:color w:val="000000" w:themeColor="text1"/>
          <w:kern w:val="0"/>
          <w:sz w:val="24"/>
          <w:szCs w:val="24"/>
        </w:rPr>
        <w:t>carcinomatosis</w:t>
      </w:r>
      <w:proofErr w:type="spellEnd"/>
      <w:r w:rsidRPr="00C16015">
        <w:rPr>
          <w:rFonts w:ascii="Book Antiqua" w:hAnsi="Book Antiqua"/>
          <w:b/>
          <w:color w:val="000000" w:themeColor="text1"/>
          <w:kern w:val="0"/>
          <w:sz w:val="24"/>
          <w:szCs w:val="24"/>
        </w:rPr>
        <w:t xml:space="preserve"> of gastric cancer: </w:t>
      </w:r>
      <w:r w:rsidR="00531E0B" w:rsidRPr="00C16015">
        <w:rPr>
          <w:rFonts w:ascii="Book Antiqua" w:hAnsi="Book Antiqua"/>
          <w:b/>
          <w:color w:val="000000" w:themeColor="text1"/>
          <w:kern w:val="0"/>
          <w:sz w:val="24"/>
          <w:szCs w:val="24"/>
        </w:rPr>
        <w:t xml:space="preserve">Intraperitoneal </w:t>
      </w:r>
      <w:r w:rsidRPr="00C16015">
        <w:rPr>
          <w:rFonts w:ascii="Book Antiqua" w:hAnsi="Book Antiqua"/>
          <w:b/>
          <w:color w:val="000000" w:themeColor="text1"/>
          <w:kern w:val="0"/>
          <w:sz w:val="24"/>
          <w:szCs w:val="24"/>
        </w:rPr>
        <w:t xml:space="preserve">chemotherapy with </w:t>
      </w:r>
      <w:proofErr w:type="spellStart"/>
      <w:r w:rsidRPr="00C16015">
        <w:rPr>
          <w:rFonts w:ascii="Book Antiqua" w:hAnsi="Book Antiqua"/>
          <w:b/>
          <w:color w:val="000000" w:themeColor="text1"/>
          <w:kern w:val="0"/>
          <w:sz w:val="24"/>
          <w:szCs w:val="24"/>
        </w:rPr>
        <w:t>taxanes</w:t>
      </w:r>
      <w:proofErr w:type="spellEnd"/>
    </w:p>
    <w:p w14:paraId="1F5FB3DE" w14:textId="77777777" w:rsidR="00015D39" w:rsidRPr="00C16015" w:rsidRDefault="00015D39" w:rsidP="00C16015">
      <w:pPr>
        <w:spacing w:line="360" w:lineRule="auto"/>
        <w:rPr>
          <w:rFonts w:ascii="Book Antiqua" w:hAnsi="Book Antiqua"/>
          <w:b/>
          <w:color w:val="000000" w:themeColor="text1"/>
          <w:sz w:val="24"/>
          <w:szCs w:val="24"/>
        </w:rPr>
      </w:pPr>
    </w:p>
    <w:p w14:paraId="35840FE9" w14:textId="77777777" w:rsidR="00015D39" w:rsidRPr="00C16015" w:rsidRDefault="00402955" w:rsidP="00C16015">
      <w:pPr>
        <w:spacing w:line="360" w:lineRule="auto"/>
        <w:rPr>
          <w:rFonts w:ascii="Book Antiqua" w:hAnsi="Book Antiqua"/>
          <w:color w:val="000000" w:themeColor="text1"/>
          <w:sz w:val="24"/>
          <w:szCs w:val="24"/>
        </w:rPr>
      </w:pPr>
      <w:r w:rsidRPr="00C16015">
        <w:rPr>
          <w:rFonts w:ascii="Book Antiqua" w:hAnsi="Book Antiqua"/>
          <w:color w:val="000000" w:themeColor="text1"/>
          <w:sz w:val="24"/>
          <w:szCs w:val="24"/>
        </w:rPr>
        <w:t xml:space="preserve">Yamaguchi H </w:t>
      </w:r>
      <w:r w:rsidRPr="00C16015">
        <w:rPr>
          <w:rFonts w:ascii="Book Antiqua" w:hAnsi="Book Antiqua"/>
          <w:i/>
          <w:color w:val="000000" w:themeColor="text1"/>
          <w:sz w:val="24"/>
          <w:szCs w:val="24"/>
        </w:rPr>
        <w:t>et al.</w:t>
      </w:r>
      <w:r w:rsidR="00015D39" w:rsidRPr="00C16015">
        <w:rPr>
          <w:rFonts w:ascii="Book Antiqua" w:hAnsi="Book Antiqua"/>
          <w:b/>
          <w:color w:val="000000" w:themeColor="text1"/>
          <w:sz w:val="24"/>
          <w:szCs w:val="24"/>
        </w:rPr>
        <w:t xml:space="preserve"> </w:t>
      </w:r>
      <w:r w:rsidR="00015D39" w:rsidRPr="00C16015">
        <w:rPr>
          <w:rFonts w:ascii="Book Antiqua" w:hAnsi="Book Antiqua"/>
          <w:color w:val="000000" w:themeColor="text1"/>
          <w:sz w:val="24"/>
          <w:szCs w:val="24"/>
        </w:rPr>
        <w:t xml:space="preserve">Intraperitoneal chemotherapy with </w:t>
      </w:r>
      <w:proofErr w:type="spellStart"/>
      <w:r w:rsidR="00015D39" w:rsidRPr="00C16015">
        <w:rPr>
          <w:rFonts w:ascii="Book Antiqua" w:hAnsi="Book Antiqua"/>
          <w:color w:val="000000" w:themeColor="text1"/>
          <w:sz w:val="24"/>
          <w:szCs w:val="24"/>
        </w:rPr>
        <w:t>taxanes</w:t>
      </w:r>
      <w:proofErr w:type="spellEnd"/>
    </w:p>
    <w:p w14:paraId="26632354" w14:textId="77777777" w:rsidR="00015D39" w:rsidRPr="00E14A02" w:rsidRDefault="00015D39" w:rsidP="00C16015">
      <w:pPr>
        <w:tabs>
          <w:tab w:val="left" w:pos="2793"/>
        </w:tabs>
        <w:spacing w:line="360" w:lineRule="auto"/>
        <w:rPr>
          <w:rFonts w:ascii="Book Antiqua" w:hAnsi="Book Antiqua"/>
          <w:b/>
          <w:color w:val="000000" w:themeColor="text1"/>
          <w:sz w:val="24"/>
          <w:szCs w:val="24"/>
          <w:lang w:val="en-GB"/>
        </w:rPr>
      </w:pPr>
      <w:r w:rsidRPr="00E14A02">
        <w:rPr>
          <w:rFonts w:ascii="Book Antiqua" w:hAnsi="Book Antiqua"/>
          <w:b/>
          <w:color w:val="000000" w:themeColor="text1"/>
          <w:sz w:val="24"/>
          <w:szCs w:val="24"/>
          <w:lang w:val="en-GB"/>
        </w:rPr>
        <w:tab/>
      </w:r>
    </w:p>
    <w:p w14:paraId="444F2482" w14:textId="77777777" w:rsidR="00402955" w:rsidRPr="00E14A02" w:rsidRDefault="00015D39" w:rsidP="00C16015">
      <w:pPr>
        <w:spacing w:line="360" w:lineRule="auto"/>
        <w:rPr>
          <w:rFonts w:ascii="Book Antiqua" w:hAnsi="Book Antiqua"/>
          <w:b/>
          <w:color w:val="000000" w:themeColor="text1"/>
          <w:kern w:val="0"/>
          <w:sz w:val="24"/>
          <w:szCs w:val="24"/>
          <w:lang w:val="en-GB"/>
        </w:rPr>
      </w:pPr>
      <w:r w:rsidRPr="00E14A02">
        <w:rPr>
          <w:rFonts w:ascii="Book Antiqua" w:hAnsi="Book Antiqua"/>
          <w:b/>
          <w:color w:val="000000" w:themeColor="text1"/>
          <w:kern w:val="0"/>
          <w:sz w:val="24"/>
          <w:szCs w:val="24"/>
          <w:lang w:val="en-GB"/>
        </w:rPr>
        <w:t xml:space="preserve">Hironori Yamaguchi, </w:t>
      </w:r>
      <w:proofErr w:type="spellStart"/>
      <w:r w:rsidRPr="00E14A02">
        <w:rPr>
          <w:rFonts w:ascii="Book Antiqua" w:hAnsi="Book Antiqua"/>
          <w:b/>
          <w:color w:val="000000" w:themeColor="text1"/>
          <w:kern w:val="0"/>
          <w:sz w:val="24"/>
          <w:szCs w:val="24"/>
          <w:lang w:val="en-GB"/>
        </w:rPr>
        <w:t>Joji</w:t>
      </w:r>
      <w:proofErr w:type="spellEnd"/>
      <w:r w:rsidRPr="00E14A02">
        <w:rPr>
          <w:rFonts w:ascii="Book Antiqua" w:hAnsi="Book Antiqua"/>
          <w:b/>
          <w:color w:val="000000" w:themeColor="text1"/>
          <w:kern w:val="0"/>
          <w:sz w:val="24"/>
          <w:szCs w:val="24"/>
          <w:lang w:val="en-GB"/>
        </w:rPr>
        <w:t xml:space="preserve"> </w:t>
      </w:r>
      <w:proofErr w:type="spellStart"/>
      <w:r w:rsidRPr="00E14A02">
        <w:rPr>
          <w:rFonts w:ascii="Book Antiqua" w:hAnsi="Book Antiqua"/>
          <w:b/>
          <w:color w:val="000000" w:themeColor="text1"/>
          <w:kern w:val="0"/>
          <w:sz w:val="24"/>
          <w:szCs w:val="24"/>
          <w:lang w:val="en-GB"/>
        </w:rPr>
        <w:t>Kitayama</w:t>
      </w:r>
      <w:proofErr w:type="spellEnd"/>
      <w:r w:rsidRPr="00E14A02">
        <w:rPr>
          <w:rFonts w:ascii="Book Antiqua" w:hAnsi="Book Antiqua"/>
          <w:b/>
          <w:color w:val="000000" w:themeColor="text1"/>
          <w:kern w:val="0"/>
          <w:sz w:val="24"/>
          <w:szCs w:val="24"/>
          <w:lang w:val="en-GB"/>
        </w:rPr>
        <w:t>, Hironori</w:t>
      </w:r>
      <w:r w:rsidRPr="00E14A02">
        <w:rPr>
          <w:rFonts w:ascii="Book Antiqua" w:hAnsi="Book Antiqua"/>
          <w:b/>
          <w:color w:val="000000" w:themeColor="text1"/>
          <w:kern w:val="0"/>
          <w:sz w:val="24"/>
          <w:szCs w:val="24"/>
        </w:rPr>
        <w:t xml:space="preserve"> </w:t>
      </w:r>
      <w:proofErr w:type="spellStart"/>
      <w:r w:rsidRPr="00E14A02">
        <w:rPr>
          <w:rFonts w:ascii="Book Antiqua" w:hAnsi="Book Antiqua"/>
          <w:b/>
          <w:color w:val="000000" w:themeColor="text1"/>
          <w:kern w:val="0"/>
          <w:sz w:val="24"/>
          <w:szCs w:val="24"/>
        </w:rPr>
        <w:t>Ishigami</w:t>
      </w:r>
      <w:proofErr w:type="spellEnd"/>
      <w:r w:rsidRPr="00E14A02">
        <w:rPr>
          <w:rFonts w:ascii="Book Antiqua" w:hAnsi="Book Antiqua"/>
          <w:b/>
          <w:color w:val="000000" w:themeColor="text1"/>
          <w:kern w:val="0"/>
          <w:sz w:val="24"/>
          <w:szCs w:val="24"/>
          <w:lang w:val="en-GB"/>
        </w:rPr>
        <w:t xml:space="preserve">, </w:t>
      </w:r>
      <w:proofErr w:type="spellStart"/>
      <w:r w:rsidRPr="00E14A02">
        <w:rPr>
          <w:rFonts w:ascii="Book Antiqua" w:hAnsi="Book Antiqua"/>
          <w:b/>
          <w:color w:val="000000" w:themeColor="text1"/>
          <w:kern w:val="0"/>
          <w:sz w:val="24"/>
          <w:szCs w:val="24"/>
          <w:lang w:val="en-GB"/>
        </w:rPr>
        <w:t>Shinsuke</w:t>
      </w:r>
      <w:proofErr w:type="spellEnd"/>
      <w:r w:rsidRPr="00E14A02">
        <w:rPr>
          <w:rFonts w:ascii="Book Antiqua" w:hAnsi="Book Antiqua"/>
          <w:b/>
          <w:color w:val="000000" w:themeColor="text1"/>
          <w:kern w:val="0"/>
          <w:sz w:val="24"/>
          <w:szCs w:val="24"/>
          <w:lang w:val="en-GB"/>
        </w:rPr>
        <w:t xml:space="preserve"> </w:t>
      </w:r>
      <w:proofErr w:type="spellStart"/>
      <w:r w:rsidRPr="00E14A02">
        <w:rPr>
          <w:rFonts w:ascii="Book Antiqua" w:hAnsi="Book Antiqua"/>
          <w:b/>
          <w:color w:val="000000" w:themeColor="text1"/>
          <w:kern w:val="0"/>
          <w:sz w:val="24"/>
          <w:szCs w:val="24"/>
          <w:lang w:val="en-GB"/>
        </w:rPr>
        <w:t>Kazama</w:t>
      </w:r>
      <w:proofErr w:type="spellEnd"/>
      <w:r w:rsidRPr="00E14A02">
        <w:rPr>
          <w:rFonts w:ascii="Book Antiqua" w:hAnsi="Book Antiqua"/>
          <w:b/>
          <w:color w:val="000000" w:themeColor="text1"/>
          <w:kern w:val="0"/>
          <w:sz w:val="24"/>
          <w:szCs w:val="24"/>
          <w:lang w:val="en-GB"/>
        </w:rPr>
        <w:t xml:space="preserve">, Hiroaki </w:t>
      </w:r>
      <w:proofErr w:type="spellStart"/>
      <w:r w:rsidRPr="00E14A02">
        <w:rPr>
          <w:rFonts w:ascii="Book Antiqua" w:hAnsi="Book Antiqua"/>
          <w:b/>
          <w:color w:val="000000" w:themeColor="text1"/>
          <w:kern w:val="0"/>
          <w:sz w:val="24"/>
          <w:szCs w:val="24"/>
          <w:lang w:val="en-GB"/>
        </w:rPr>
        <w:t>Nozawa</w:t>
      </w:r>
      <w:proofErr w:type="spellEnd"/>
      <w:r w:rsidRPr="00E14A02">
        <w:rPr>
          <w:rFonts w:ascii="Book Antiqua" w:hAnsi="Book Antiqua"/>
          <w:b/>
          <w:color w:val="000000" w:themeColor="text1"/>
          <w:kern w:val="0"/>
          <w:sz w:val="24"/>
          <w:szCs w:val="24"/>
          <w:lang w:val="en-GB"/>
        </w:rPr>
        <w:t xml:space="preserve">, Kazushige Kawai, Keisuke </w:t>
      </w:r>
      <w:proofErr w:type="spellStart"/>
      <w:r w:rsidRPr="00E14A02">
        <w:rPr>
          <w:rFonts w:ascii="Book Antiqua" w:hAnsi="Book Antiqua"/>
          <w:b/>
          <w:color w:val="000000" w:themeColor="text1"/>
          <w:kern w:val="0"/>
          <w:sz w:val="24"/>
          <w:szCs w:val="24"/>
          <w:lang w:val="en-GB"/>
        </w:rPr>
        <w:t>Hata</w:t>
      </w:r>
      <w:proofErr w:type="spellEnd"/>
      <w:r w:rsidRPr="00E14A02">
        <w:rPr>
          <w:rFonts w:ascii="Book Antiqua" w:hAnsi="Book Antiqua"/>
          <w:b/>
          <w:color w:val="000000" w:themeColor="text1"/>
          <w:kern w:val="0"/>
          <w:sz w:val="24"/>
          <w:szCs w:val="24"/>
          <w:lang w:val="en-GB"/>
        </w:rPr>
        <w:t xml:space="preserve">, </w:t>
      </w:r>
      <w:proofErr w:type="spellStart"/>
      <w:r w:rsidRPr="00E14A02">
        <w:rPr>
          <w:rFonts w:ascii="Book Antiqua" w:hAnsi="Book Antiqua"/>
          <w:b/>
          <w:color w:val="000000" w:themeColor="text1"/>
          <w:kern w:val="0"/>
          <w:sz w:val="24"/>
          <w:szCs w:val="24"/>
          <w:lang w:val="en-GB"/>
        </w:rPr>
        <w:t>Tomomichi</w:t>
      </w:r>
      <w:proofErr w:type="spellEnd"/>
      <w:r w:rsidRPr="00E14A02">
        <w:rPr>
          <w:rFonts w:ascii="Book Antiqua" w:hAnsi="Book Antiqua"/>
          <w:b/>
          <w:color w:val="000000" w:themeColor="text1"/>
          <w:kern w:val="0"/>
          <w:sz w:val="24"/>
          <w:szCs w:val="24"/>
          <w:lang w:val="en-GB"/>
        </w:rPr>
        <w:t xml:space="preserve"> </w:t>
      </w:r>
      <w:proofErr w:type="spellStart"/>
      <w:r w:rsidRPr="00E14A02">
        <w:rPr>
          <w:rFonts w:ascii="Book Antiqua" w:hAnsi="Book Antiqua"/>
          <w:b/>
          <w:color w:val="000000" w:themeColor="text1"/>
          <w:kern w:val="0"/>
          <w:sz w:val="24"/>
          <w:szCs w:val="24"/>
          <w:lang w:val="en-GB"/>
        </w:rPr>
        <w:t>Kiyomatsu</w:t>
      </w:r>
      <w:proofErr w:type="spellEnd"/>
      <w:r w:rsidRPr="00E14A02">
        <w:rPr>
          <w:rFonts w:ascii="Book Antiqua" w:hAnsi="Book Antiqua"/>
          <w:b/>
          <w:color w:val="000000" w:themeColor="text1"/>
          <w:kern w:val="0"/>
          <w:sz w:val="24"/>
          <w:szCs w:val="24"/>
          <w:lang w:val="en-GB"/>
        </w:rPr>
        <w:t xml:space="preserve">, Toshiaki Tanaka, Junichiro Tanaka, Takeshi Nishikawa, Kensuke </w:t>
      </w:r>
      <w:proofErr w:type="spellStart"/>
      <w:r w:rsidRPr="00E14A02">
        <w:rPr>
          <w:rFonts w:ascii="Book Antiqua" w:hAnsi="Book Antiqua"/>
          <w:b/>
          <w:color w:val="000000" w:themeColor="text1"/>
          <w:kern w:val="0"/>
          <w:sz w:val="24"/>
          <w:szCs w:val="24"/>
          <w:lang w:val="en-GB"/>
        </w:rPr>
        <w:t>Otani</w:t>
      </w:r>
      <w:proofErr w:type="spellEnd"/>
      <w:r w:rsidRPr="00E14A02">
        <w:rPr>
          <w:rFonts w:ascii="Book Antiqua" w:hAnsi="Book Antiqua"/>
          <w:b/>
          <w:color w:val="000000" w:themeColor="text1"/>
          <w:kern w:val="0"/>
          <w:sz w:val="24"/>
          <w:szCs w:val="24"/>
          <w:lang w:val="en-GB"/>
        </w:rPr>
        <w:t xml:space="preserve">, Koji Yasuda, </w:t>
      </w:r>
      <w:proofErr w:type="spellStart"/>
      <w:r w:rsidRPr="00E14A02">
        <w:rPr>
          <w:rFonts w:ascii="Book Antiqua" w:hAnsi="Book Antiqua"/>
          <w:b/>
          <w:color w:val="000000" w:themeColor="text1"/>
          <w:kern w:val="0"/>
          <w:sz w:val="24"/>
          <w:szCs w:val="24"/>
          <w:lang w:val="en-GB"/>
        </w:rPr>
        <w:t>Soi</w:t>
      </w:r>
      <w:r w:rsidR="00F67FB2" w:rsidRPr="00E14A02">
        <w:rPr>
          <w:rFonts w:ascii="Book Antiqua" w:hAnsi="Book Antiqua"/>
          <w:b/>
          <w:color w:val="000000" w:themeColor="text1"/>
          <w:kern w:val="0"/>
          <w:sz w:val="24"/>
          <w:szCs w:val="24"/>
          <w:lang w:val="en-GB"/>
        </w:rPr>
        <w:t>chiro</w:t>
      </w:r>
      <w:proofErr w:type="spellEnd"/>
      <w:r w:rsidR="00F67FB2" w:rsidRPr="00E14A02">
        <w:rPr>
          <w:rFonts w:ascii="Book Antiqua" w:hAnsi="Book Antiqua"/>
          <w:b/>
          <w:color w:val="000000" w:themeColor="text1"/>
          <w:kern w:val="0"/>
          <w:sz w:val="24"/>
          <w:szCs w:val="24"/>
          <w:lang w:val="en-GB"/>
        </w:rPr>
        <w:t xml:space="preserve"> Ishihara, </w:t>
      </w:r>
      <w:proofErr w:type="spellStart"/>
      <w:r w:rsidR="00F67FB2" w:rsidRPr="00E14A02">
        <w:rPr>
          <w:rFonts w:ascii="Book Antiqua" w:hAnsi="Book Antiqua"/>
          <w:b/>
          <w:color w:val="000000" w:themeColor="text1"/>
          <w:kern w:val="0"/>
          <w:sz w:val="24"/>
          <w:szCs w:val="24"/>
          <w:lang w:val="en-GB"/>
        </w:rPr>
        <w:t>Eiji</w:t>
      </w:r>
      <w:proofErr w:type="spellEnd"/>
      <w:r w:rsidR="00F67FB2" w:rsidRPr="00E14A02">
        <w:rPr>
          <w:rFonts w:ascii="Book Antiqua" w:hAnsi="Book Antiqua"/>
          <w:b/>
          <w:color w:val="000000" w:themeColor="text1"/>
          <w:kern w:val="0"/>
          <w:sz w:val="24"/>
          <w:szCs w:val="24"/>
          <w:lang w:val="en-GB"/>
        </w:rPr>
        <w:t xml:space="preserve"> </w:t>
      </w:r>
      <w:proofErr w:type="spellStart"/>
      <w:r w:rsidR="00F67FB2" w:rsidRPr="00E14A02">
        <w:rPr>
          <w:rFonts w:ascii="Book Antiqua" w:hAnsi="Book Antiqua"/>
          <w:b/>
          <w:color w:val="000000" w:themeColor="text1"/>
          <w:kern w:val="0"/>
          <w:sz w:val="24"/>
          <w:szCs w:val="24"/>
          <w:lang w:val="en-GB"/>
        </w:rPr>
        <w:t>Sunami</w:t>
      </w:r>
      <w:proofErr w:type="spellEnd"/>
      <w:r w:rsidR="00F67FB2" w:rsidRPr="00E14A02">
        <w:rPr>
          <w:rFonts w:ascii="Book Antiqua" w:hAnsi="Book Antiqua"/>
          <w:b/>
          <w:color w:val="000000" w:themeColor="text1"/>
          <w:kern w:val="0"/>
          <w:sz w:val="24"/>
          <w:szCs w:val="24"/>
          <w:lang w:val="en-GB"/>
        </w:rPr>
        <w:t>,</w:t>
      </w:r>
      <w:r w:rsidRPr="00E14A02">
        <w:rPr>
          <w:rFonts w:ascii="Book Antiqua" w:hAnsi="Book Antiqua"/>
          <w:b/>
          <w:color w:val="000000" w:themeColor="text1"/>
          <w:kern w:val="0"/>
          <w:sz w:val="24"/>
          <w:szCs w:val="24"/>
          <w:lang w:val="en-GB"/>
        </w:rPr>
        <w:t xml:space="preserve"> Toshiaki Watanabe</w:t>
      </w:r>
      <w:r w:rsidR="00402955" w:rsidRPr="00E14A02">
        <w:rPr>
          <w:rFonts w:ascii="Book Antiqua" w:hAnsi="Book Antiqua"/>
          <w:b/>
          <w:color w:val="000000" w:themeColor="text1"/>
          <w:kern w:val="0"/>
          <w:sz w:val="24"/>
          <w:szCs w:val="24"/>
          <w:lang w:val="en-GB"/>
        </w:rPr>
        <w:t xml:space="preserve"> </w:t>
      </w:r>
    </w:p>
    <w:p w14:paraId="2B3864A5" w14:textId="77777777" w:rsidR="00402955" w:rsidRPr="00C16015" w:rsidRDefault="00402955" w:rsidP="00C16015">
      <w:pPr>
        <w:spacing w:line="360" w:lineRule="auto"/>
        <w:rPr>
          <w:rFonts w:ascii="Book Antiqua" w:hAnsi="Book Antiqua"/>
          <w:color w:val="000000" w:themeColor="text1"/>
          <w:kern w:val="0"/>
          <w:sz w:val="24"/>
          <w:szCs w:val="24"/>
          <w:lang w:val="en-GB"/>
        </w:rPr>
      </w:pPr>
    </w:p>
    <w:p w14:paraId="2D79EA7B" w14:textId="62778FDE" w:rsidR="00015D39" w:rsidRPr="00C16015" w:rsidRDefault="00402955" w:rsidP="00C16015">
      <w:pPr>
        <w:spacing w:line="360" w:lineRule="auto"/>
        <w:rPr>
          <w:rFonts w:ascii="Book Antiqua" w:hAnsi="Book Antiqua"/>
          <w:b/>
          <w:color w:val="000000" w:themeColor="text1"/>
          <w:kern w:val="0"/>
          <w:sz w:val="24"/>
          <w:szCs w:val="24"/>
          <w:lang w:val="en-GB"/>
        </w:rPr>
      </w:pPr>
      <w:r w:rsidRPr="00C16015">
        <w:rPr>
          <w:rFonts w:ascii="Book Antiqua" w:hAnsi="Book Antiqua"/>
          <w:b/>
          <w:color w:val="000000" w:themeColor="text1"/>
          <w:kern w:val="0"/>
          <w:sz w:val="24"/>
          <w:szCs w:val="24"/>
          <w:lang w:val="en-GB"/>
        </w:rPr>
        <w:t xml:space="preserve">Hironori Yamaguchi, </w:t>
      </w:r>
      <w:proofErr w:type="spellStart"/>
      <w:r w:rsidRPr="00C16015">
        <w:rPr>
          <w:rFonts w:ascii="Book Antiqua" w:hAnsi="Book Antiqua"/>
          <w:b/>
          <w:color w:val="000000" w:themeColor="text1"/>
          <w:kern w:val="0"/>
          <w:sz w:val="24"/>
          <w:szCs w:val="24"/>
          <w:lang w:val="en-GB"/>
        </w:rPr>
        <w:t>Joji</w:t>
      </w:r>
      <w:proofErr w:type="spellEnd"/>
      <w:r w:rsidRPr="00C16015">
        <w:rPr>
          <w:rFonts w:ascii="Book Antiqua" w:hAnsi="Book Antiqua"/>
          <w:b/>
          <w:color w:val="000000" w:themeColor="text1"/>
          <w:kern w:val="0"/>
          <w:sz w:val="24"/>
          <w:szCs w:val="24"/>
          <w:lang w:val="en-GB"/>
        </w:rPr>
        <w:t xml:space="preserve"> </w:t>
      </w:r>
      <w:proofErr w:type="spellStart"/>
      <w:r w:rsidRPr="00C16015">
        <w:rPr>
          <w:rFonts w:ascii="Book Antiqua" w:hAnsi="Book Antiqua"/>
          <w:b/>
          <w:color w:val="000000" w:themeColor="text1"/>
          <w:kern w:val="0"/>
          <w:sz w:val="24"/>
          <w:szCs w:val="24"/>
          <w:lang w:val="en-GB"/>
        </w:rPr>
        <w:t>Kitayama</w:t>
      </w:r>
      <w:proofErr w:type="spellEnd"/>
      <w:r w:rsidRPr="00C16015">
        <w:rPr>
          <w:rFonts w:ascii="Book Antiqua" w:hAnsi="Book Antiqua"/>
          <w:b/>
          <w:color w:val="000000" w:themeColor="text1"/>
          <w:kern w:val="0"/>
          <w:sz w:val="24"/>
          <w:szCs w:val="24"/>
          <w:lang w:val="en-GB"/>
        </w:rPr>
        <w:t>, Hironori</w:t>
      </w:r>
      <w:r w:rsidRPr="00C16015">
        <w:rPr>
          <w:rFonts w:ascii="Book Antiqua" w:hAnsi="Book Antiqua"/>
          <w:b/>
          <w:color w:val="000000" w:themeColor="text1"/>
          <w:kern w:val="0"/>
          <w:sz w:val="24"/>
          <w:szCs w:val="24"/>
        </w:rPr>
        <w:t xml:space="preserve"> </w:t>
      </w:r>
      <w:proofErr w:type="spellStart"/>
      <w:r w:rsidRPr="00C16015">
        <w:rPr>
          <w:rFonts w:ascii="Book Antiqua" w:hAnsi="Book Antiqua"/>
          <w:b/>
          <w:color w:val="000000" w:themeColor="text1"/>
          <w:kern w:val="0"/>
          <w:sz w:val="24"/>
          <w:szCs w:val="24"/>
        </w:rPr>
        <w:t>Ishigami</w:t>
      </w:r>
      <w:proofErr w:type="spellEnd"/>
      <w:r w:rsidRPr="00C16015">
        <w:rPr>
          <w:rFonts w:ascii="Book Antiqua" w:hAnsi="Book Antiqua"/>
          <w:b/>
          <w:color w:val="000000" w:themeColor="text1"/>
          <w:kern w:val="0"/>
          <w:sz w:val="24"/>
          <w:szCs w:val="24"/>
          <w:lang w:val="en-GB"/>
        </w:rPr>
        <w:t xml:space="preserve">, </w:t>
      </w:r>
      <w:proofErr w:type="spellStart"/>
      <w:r w:rsidRPr="00C16015">
        <w:rPr>
          <w:rFonts w:ascii="Book Antiqua" w:hAnsi="Book Antiqua"/>
          <w:b/>
          <w:color w:val="000000" w:themeColor="text1"/>
          <w:kern w:val="0"/>
          <w:sz w:val="24"/>
          <w:szCs w:val="24"/>
          <w:lang w:val="en-GB"/>
        </w:rPr>
        <w:t>Shinsuke</w:t>
      </w:r>
      <w:proofErr w:type="spellEnd"/>
      <w:r w:rsidRPr="00C16015">
        <w:rPr>
          <w:rFonts w:ascii="Book Antiqua" w:hAnsi="Book Antiqua"/>
          <w:b/>
          <w:color w:val="000000" w:themeColor="text1"/>
          <w:kern w:val="0"/>
          <w:sz w:val="24"/>
          <w:szCs w:val="24"/>
          <w:lang w:val="en-GB"/>
        </w:rPr>
        <w:t xml:space="preserve"> </w:t>
      </w:r>
      <w:proofErr w:type="spellStart"/>
      <w:r w:rsidRPr="00C16015">
        <w:rPr>
          <w:rFonts w:ascii="Book Antiqua" w:hAnsi="Book Antiqua"/>
          <w:b/>
          <w:color w:val="000000" w:themeColor="text1"/>
          <w:kern w:val="0"/>
          <w:sz w:val="24"/>
          <w:szCs w:val="24"/>
          <w:lang w:val="en-GB"/>
        </w:rPr>
        <w:t>Kazama</w:t>
      </w:r>
      <w:proofErr w:type="spellEnd"/>
      <w:r w:rsidRPr="00C16015">
        <w:rPr>
          <w:rFonts w:ascii="Book Antiqua" w:hAnsi="Book Antiqua"/>
          <w:b/>
          <w:color w:val="000000" w:themeColor="text1"/>
          <w:kern w:val="0"/>
          <w:sz w:val="24"/>
          <w:szCs w:val="24"/>
          <w:lang w:val="en-GB"/>
        </w:rPr>
        <w:t xml:space="preserve">, Hiroaki </w:t>
      </w:r>
      <w:proofErr w:type="spellStart"/>
      <w:r w:rsidRPr="00C16015">
        <w:rPr>
          <w:rFonts w:ascii="Book Antiqua" w:hAnsi="Book Antiqua"/>
          <w:b/>
          <w:color w:val="000000" w:themeColor="text1"/>
          <w:kern w:val="0"/>
          <w:sz w:val="24"/>
          <w:szCs w:val="24"/>
          <w:lang w:val="en-GB"/>
        </w:rPr>
        <w:t>Nozawa</w:t>
      </w:r>
      <w:proofErr w:type="spellEnd"/>
      <w:r w:rsidRPr="00C16015">
        <w:rPr>
          <w:rFonts w:ascii="Book Antiqua" w:hAnsi="Book Antiqua"/>
          <w:b/>
          <w:color w:val="000000" w:themeColor="text1"/>
          <w:kern w:val="0"/>
          <w:sz w:val="24"/>
          <w:szCs w:val="24"/>
          <w:lang w:val="en-GB"/>
        </w:rPr>
        <w:t xml:space="preserve">, Kazushige Kawai, Keisuke </w:t>
      </w:r>
      <w:proofErr w:type="spellStart"/>
      <w:r w:rsidRPr="00C16015">
        <w:rPr>
          <w:rFonts w:ascii="Book Antiqua" w:hAnsi="Book Antiqua"/>
          <w:b/>
          <w:color w:val="000000" w:themeColor="text1"/>
          <w:kern w:val="0"/>
          <w:sz w:val="24"/>
          <w:szCs w:val="24"/>
          <w:lang w:val="en-GB"/>
        </w:rPr>
        <w:t>Hata</w:t>
      </w:r>
      <w:proofErr w:type="spellEnd"/>
      <w:r w:rsidRPr="00C16015">
        <w:rPr>
          <w:rFonts w:ascii="Book Antiqua" w:hAnsi="Book Antiqua"/>
          <w:b/>
          <w:color w:val="000000" w:themeColor="text1"/>
          <w:kern w:val="0"/>
          <w:sz w:val="24"/>
          <w:szCs w:val="24"/>
          <w:lang w:val="en-GB"/>
        </w:rPr>
        <w:t xml:space="preserve">, </w:t>
      </w:r>
      <w:proofErr w:type="spellStart"/>
      <w:r w:rsidRPr="00C16015">
        <w:rPr>
          <w:rFonts w:ascii="Book Antiqua" w:hAnsi="Book Antiqua"/>
          <w:b/>
          <w:color w:val="000000" w:themeColor="text1"/>
          <w:kern w:val="0"/>
          <w:sz w:val="24"/>
          <w:szCs w:val="24"/>
          <w:lang w:val="en-GB"/>
        </w:rPr>
        <w:t>Tomomichi</w:t>
      </w:r>
      <w:proofErr w:type="spellEnd"/>
      <w:r w:rsidRPr="00C16015">
        <w:rPr>
          <w:rFonts w:ascii="Book Antiqua" w:hAnsi="Book Antiqua"/>
          <w:b/>
          <w:color w:val="000000" w:themeColor="text1"/>
          <w:kern w:val="0"/>
          <w:sz w:val="24"/>
          <w:szCs w:val="24"/>
          <w:lang w:val="en-GB"/>
        </w:rPr>
        <w:t xml:space="preserve"> </w:t>
      </w:r>
      <w:proofErr w:type="spellStart"/>
      <w:r w:rsidRPr="00C16015">
        <w:rPr>
          <w:rFonts w:ascii="Book Antiqua" w:hAnsi="Book Antiqua"/>
          <w:b/>
          <w:color w:val="000000" w:themeColor="text1"/>
          <w:kern w:val="0"/>
          <w:sz w:val="24"/>
          <w:szCs w:val="24"/>
          <w:lang w:val="en-GB"/>
        </w:rPr>
        <w:t>Kiyomatsu</w:t>
      </w:r>
      <w:proofErr w:type="spellEnd"/>
      <w:r w:rsidRPr="00C16015">
        <w:rPr>
          <w:rFonts w:ascii="Book Antiqua" w:hAnsi="Book Antiqua"/>
          <w:b/>
          <w:color w:val="000000" w:themeColor="text1"/>
          <w:kern w:val="0"/>
          <w:sz w:val="24"/>
          <w:szCs w:val="24"/>
          <w:lang w:val="en-GB"/>
        </w:rPr>
        <w:t xml:space="preserve">, Toshiaki Tanaka, Junichiro Tanaka, Takeshi Nishikawa, Kensuke </w:t>
      </w:r>
      <w:proofErr w:type="spellStart"/>
      <w:r w:rsidRPr="00C16015">
        <w:rPr>
          <w:rFonts w:ascii="Book Antiqua" w:hAnsi="Book Antiqua"/>
          <w:b/>
          <w:color w:val="000000" w:themeColor="text1"/>
          <w:kern w:val="0"/>
          <w:sz w:val="24"/>
          <w:szCs w:val="24"/>
          <w:lang w:val="en-GB"/>
        </w:rPr>
        <w:t>Otani</w:t>
      </w:r>
      <w:proofErr w:type="spellEnd"/>
      <w:r w:rsidRPr="00C16015">
        <w:rPr>
          <w:rFonts w:ascii="Book Antiqua" w:hAnsi="Book Antiqua"/>
          <w:b/>
          <w:color w:val="000000" w:themeColor="text1"/>
          <w:kern w:val="0"/>
          <w:sz w:val="24"/>
          <w:szCs w:val="24"/>
          <w:lang w:val="en-GB"/>
        </w:rPr>
        <w:t xml:space="preserve">, Koji Yasuda, </w:t>
      </w:r>
      <w:proofErr w:type="spellStart"/>
      <w:r w:rsidRPr="00C16015">
        <w:rPr>
          <w:rFonts w:ascii="Book Antiqua" w:hAnsi="Book Antiqua"/>
          <w:b/>
          <w:color w:val="000000" w:themeColor="text1"/>
          <w:kern w:val="0"/>
          <w:sz w:val="24"/>
          <w:szCs w:val="24"/>
          <w:lang w:val="en-GB"/>
        </w:rPr>
        <w:t>Soi</w:t>
      </w:r>
      <w:r w:rsidR="00F67FB2" w:rsidRPr="00C16015">
        <w:rPr>
          <w:rFonts w:ascii="Book Antiqua" w:hAnsi="Book Antiqua"/>
          <w:b/>
          <w:color w:val="000000" w:themeColor="text1"/>
          <w:kern w:val="0"/>
          <w:sz w:val="24"/>
          <w:szCs w:val="24"/>
          <w:lang w:val="en-GB"/>
        </w:rPr>
        <w:t>chiro</w:t>
      </w:r>
      <w:proofErr w:type="spellEnd"/>
      <w:r w:rsidR="00F67FB2" w:rsidRPr="00C16015">
        <w:rPr>
          <w:rFonts w:ascii="Book Antiqua" w:hAnsi="Book Antiqua"/>
          <w:b/>
          <w:color w:val="000000" w:themeColor="text1"/>
          <w:kern w:val="0"/>
          <w:sz w:val="24"/>
          <w:szCs w:val="24"/>
          <w:lang w:val="en-GB"/>
        </w:rPr>
        <w:t xml:space="preserve"> Ishihara, </w:t>
      </w:r>
      <w:proofErr w:type="spellStart"/>
      <w:r w:rsidR="00F67FB2" w:rsidRPr="00C16015">
        <w:rPr>
          <w:rFonts w:ascii="Book Antiqua" w:hAnsi="Book Antiqua"/>
          <w:b/>
          <w:color w:val="000000" w:themeColor="text1"/>
          <w:kern w:val="0"/>
          <w:sz w:val="24"/>
          <w:szCs w:val="24"/>
          <w:lang w:val="en-GB"/>
        </w:rPr>
        <w:t>Eiji</w:t>
      </w:r>
      <w:proofErr w:type="spellEnd"/>
      <w:r w:rsidR="00F67FB2" w:rsidRPr="00C16015">
        <w:rPr>
          <w:rFonts w:ascii="Book Antiqua" w:hAnsi="Book Antiqua"/>
          <w:b/>
          <w:color w:val="000000" w:themeColor="text1"/>
          <w:kern w:val="0"/>
          <w:sz w:val="24"/>
          <w:szCs w:val="24"/>
          <w:lang w:val="en-GB"/>
        </w:rPr>
        <w:t xml:space="preserve"> </w:t>
      </w:r>
      <w:proofErr w:type="spellStart"/>
      <w:r w:rsidR="00F67FB2" w:rsidRPr="00C16015">
        <w:rPr>
          <w:rFonts w:ascii="Book Antiqua" w:hAnsi="Book Antiqua"/>
          <w:b/>
          <w:color w:val="000000" w:themeColor="text1"/>
          <w:kern w:val="0"/>
          <w:sz w:val="24"/>
          <w:szCs w:val="24"/>
          <w:lang w:val="en-GB"/>
        </w:rPr>
        <w:t>Sunami</w:t>
      </w:r>
      <w:proofErr w:type="spellEnd"/>
      <w:r w:rsidR="00F67FB2" w:rsidRPr="00C16015">
        <w:rPr>
          <w:rFonts w:ascii="Book Antiqua" w:hAnsi="Book Antiqua"/>
          <w:b/>
          <w:color w:val="000000" w:themeColor="text1"/>
          <w:kern w:val="0"/>
          <w:sz w:val="24"/>
          <w:szCs w:val="24"/>
          <w:lang w:val="en-GB"/>
        </w:rPr>
        <w:t>,</w:t>
      </w:r>
      <w:r w:rsidRPr="00C16015">
        <w:rPr>
          <w:rFonts w:ascii="Book Antiqua" w:hAnsi="Book Antiqua"/>
          <w:b/>
          <w:color w:val="000000" w:themeColor="text1"/>
          <w:kern w:val="0"/>
          <w:sz w:val="24"/>
          <w:szCs w:val="24"/>
          <w:lang w:val="en-GB"/>
        </w:rPr>
        <w:t xml:space="preserve"> Toshiaki Watanabe,</w:t>
      </w:r>
      <w:r w:rsidR="00995759" w:rsidRPr="00C16015">
        <w:rPr>
          <w:rFonts w:ascii="Book Antiqua" w:eastAsia="宋体" w:hAnsi="Book Antiqua"/>
          <w:b/>
          <w:color w:val="000000" w:themeColor="text1"/>
          <w:kern w:val="0"/>
          <w:sz w:val="24"/>
          <w:szCs w:val="24"/>
          <w:lang w:val="en-GB" w:eastAsia="zh-CN"/>
        </w:rPr>
        <w:t xml:space="preserve"> </w:t>
      </w:r>
      <w:r w:rsidR="00015D39" w:rsidRPr="00C16015">
        <w:rPr>
          <w:rFonts w:ascii="Book Antiqua" w:hAnsi="Book Antiqua"/>
          <w:color w:val="000000" w:themeColor="text1"/>
          <w:sz w:val="24"/>
          <w:szCs w:val="24"/>
          <w:lang w:val="en-GB"/>
        </w:rPr>
        <w:t>Department of Surgical Oncology, The University of Tokyo, Tokyo</w:t>
      </w:r>
      <w:r w:rsidR="00531E0B" w:rsidRPr="00C16015">
        <w:rPr>
          <w:rFonts w:ascii="Book Antiqua" w:eastAsia="宋体" w:hAnsi="Book Antiqua"/>
          <w:color w:val="000000" w:themeColor="text1"/>
          <w:sz w:val="24"/>
          <w:szCs w:val="24"/>
          <w:lang w:val="en-GB" w:eastAsia="zh-CN"/>
        </w:rPr>
        <w:t xml:space="preserve"> </w:t>
      </w:r>
      <w:r w:rsidR="00531E0B" w:rsidRPr="00C16015">
        <w:rPr>
          <w:rFonts w:ascii="Book Antiqua" w:hAnsi="Book Antiqua"/>
          <w:color w:val="000000" w:themeColor="text1"/>
          <w:sz w:val="24"/>
          <w:szCs w:val="24"/>
          <w:lang w:val="en-GB"/>
        </w:rPr>
        <w:t>113-8655</w:t>
      </w:r>
      <w:r w:rsidR="00015D39" w:rsidRPr="00C16015">
        <w:rPr>
          <w:rFonts w:ascii="Book Antiqua" w:hAnsi="Book Antiqua"/>
          <w:color w:val="000000" w:themeColor="text1"/>
          <w:sz w:val="24"/>
          <w:szCs w:val="24"/>
          <w:lang w:val="en-GB"/>
        </w:rPr>
        <w:t>, Japan</w:t>
      </w:r>
    </w:p>
    <w:p w14:paraId="392530AC" w14:textId="77777777" w:rsidR="00015D39" w:rsidRPr="00C16015" w:rsidRDefault="00015D39" w:rsidP="00C16015">
      <w:pPr>
        <w:widowControl/>
        <w:spacing w:line="360" w:lineRule="auto"/>
        <w:rPr>
          <w:rFonts w:ascii="Book Antiqua" w:hAnsi="Book Antiqua"/>
          <w:b/>
          <w:color w:val="000000" w:themeColor="text1"/>
          <w:sz w:val="24"/>
          <w:szCs w:val="24"/>
          <w:lang w:val="en-GB"/>
        </w:rPr>
      </w:pPr>
    </w:p>
    <w:p w14:paraId="62C914F8" w14:textId="19761232" w:rsidR="00015D39" w:rsidRPr="00C16015" w:rsidRDefault="00015D39" w:rsidP="00C16015">
      <w:pPr>
        <w:widowControl/>
        <w:spacing w:line="360" w:lineRule="auto"/>
        <w:rPr>
          <w:rFonts w:ascii="Book Antiqua" w:hAnsi="Book Antiqua"/>
          <w:b/>
          <w:color w:val="000000" w:themeColor="text1"/>
          <w:sz w:val="24"/>
          <w:szCs w:val="24"/>
          <w:lang w:val="en-GB"/>
        </w:rPr>
      </w:pPr>
      <w:r w:rsidRPr="00C16015">
        <w:rPr>
          <w:rFonts w:ascii="Book Antiqua" w:hAnsi="Book Antiqua"/>
          <w:b/>
          <w:color w:val="000000" w:themeColor="text1"/>
          <w:sz w:val="24"/>
          <w:szCs w:val="24"/>
          <w:lang w:val="en-GB"/>
        </w:rPr>
        <w:t>Author contributions</w:t>
      </w:r>
      <w:r w:rsidR="00726996" w:rsidRPr="00C16015">
        <w:rPr>
          <w:rFonts w:ascii="Book Antiqua" w:hAnsi="Book Antiqua"/>
          <w:b/>
          <w:color w:val="000000" w:themeColor="text1"/>
          <w:sz w:val="24"/>
          <w:szCs w:val="24"/>
          <w:lang w:val="en-GB"/>
        </w:rPr>
        <w:t xml:space="preserve">: </w:t>
      </w:r>
      <w:r w:rsidR="005C1600" w:rsidRPr="00C16015">
        <w:rPr>
          <w:rFonts w:ascii="Book Antiqua" w:hAnsi="Book Antiqua"/>
          <w:color w:val="000000" w:themeColor="text1"/>
          <w:sz w:val="24"/>
          <w:szCs w:val="24"/>
          <w:lang w:val="en-GB"/>
        </w:rPr>
        <w:t xml:space="preserve">Yamaguchi H, </w:t>
      </w:r>
      <w:proofErr w:type="spellStart"/>
      <w:r w:rsidR="005C1600" w:rsidRPr="00C16015">
        <w:rPr>
          <w:rFonts w:ascii="Book Antiqua" w:hAnsi="Book Antiqua"/>
          <w:color w:val="000000" w:themeColor="text1"/>
          <w:sz w:val="24"/>
          <w:szCs w:val="24"/>
          <w:lang w:val="en-GB"/>
        </w:rPr>
        <w:t>Kazama</w:t>
      </w:r>
      <w:proofErr w:type="spellEnd"/>
      <w:r w:rsidR="005C1600" w:rsidRPr="00C16015">
        <w:rPr>
          <w:rFonts w:ascii="Book Antiqua" w:hAnsi="Book Antiqua"/>
          <w:color w:val="000000" w:themeColor="text1"/>
          <w:sz w:val="24"/>
          <w:szCs w:val="24"/>
          <w:lang w:val="en-GB"/>
        </w:rPr>
        <w:t xml:space="preserve"> S, </w:t>
      </w:r>
      <w:proofErr w:type="spellStart"/>
      <w:r w:rsidR="005C1600" w:rsidRPr="00C16015">
        <w:rPr>
          <w:rFonts w:ascii="Book Antiqua" w:hAnsi="Book Antiqua"/>
          <w:color w:val="000000" w:themeColor="text1"/>
          <w:sz w:val="24"/>
          <w:szCs w:val="24"/>
          <w:lang w:val="en-GB"/>
        </w:rPr>
        <w:t>Nozawa</w:t>
      </w:r>
      <w:proofErr w:type="spellEnd"/>
      <w:r w:rsidR="005C1600" w:rsidRPr="00C16015">
        <w:rPr>
          <w:rFonts w:ascii="Book Antiqua" w:hAnsi="Book Antiqua"/>
          <w:color w:val="000000" w:themeColor="text1"/>
          <w:sz w:val="24"/>
          <w:szCs w:val="24"/>
          <w:lang w:val="en-GB"/>
        </w:rPr>
        <w:t xml:space="preserve"> H, Kawai K, </w:t>
      </w:r>
      <w:proofErr w:type="spellStart"/>
      <w:r w:rsidR="005C1600" w:rsidRPr="00C16015">
        <w:rPr>
          <w:rFonts w:ascii="Book Antiqua" w:hAnsi="Book Antiqua"/>
          <w:color w:val="000000" w:themeColor="text1"/>
          <w:sz w:val="24"/>
          <w:szCs w:val="24"/>
          <w:lang w:val="en-GB"/>
        </w:rPr>
        <w:t>Hata</w:t>
      </w:r>
      <w:proofErr w:type="spellEnd"/>
      <w:r w:rsidR="005C1600" w:rsidRPr="00C16015">
        <w:rPr>
          <w:rFonts w:ascii="Book Antiqua" w:hAnsi="Book Antiqua"/>
          <w:color w:val="000000" w:themeColor="text1"/>
          <w:sz w:val="24"/>
          <w:szCs w:val="24"/>
          <w:lang w:val="en-GB"/>
        </w:rPr>
        <w:t xml:space="preserve"> K, </w:t>
      </w:r>
      <w:proofErr w:type="spellStart"/>
      <w:r w:rsidR="005C1600" w:rsidRPr="00C16015">
        <w:rPr>
          <w:rFonts w:ascii="Book Antiqua" w:hAnsi="Book Antiqua"/>
          <w:color w:val="000000" w:themeColor="text1"/>
          <w:sz w:val="24"/>
          <w:szCs w:val="24"/>
          <w:lang w:val="en-GB"/>
        </w:rPr>
        <w:t>Kiyomatsu</w:t>
      </w:r>
      <w:proofErr w:type="spellEnd"/>
      <w:r w:rsidR="005C1600" w:rsidRPr="00C16015">
        <w:rPr>
          <w:rFonts w:ascii="Book Antiqua" w:hAnsi="Book Antiqua"/>
          <w:color w:val="000000" w:themeColor="text1"/>
          <w:sz w:val="24"/>
          <w:szCs w:val="24"/>
          <w:lang w:val="en-GB"/>
        </w:rPr>
        <w:t xml:space="preserve"> T, Tanaka T, Tanaka J, Nishikawa T, </w:t>
      </w:r>
      <w:proofErr w:type="spellStart"/>
      <w:r w:rsidR="005C1600" w:rsidRPr="00C16015">
        <w:rPr>
          <w:rFonts w:ascii="Book Antiqua" w:hAnsi="Book Antiqua"/>
          <w:color w:val="000000" w:themeColor="text1"/>
          <w:sz w:val="24"/>
          <w:szCs w:val="24"/>
          <w:lang w:val="en-GB"/>
        </w:rPr>
        <w:t>Otani</w:t>
      </w:r>
      <w:proofErr w:type="spellEnd"/>
      <w:r w:rsidR="005C1600" w:rsidRPr="00C16015">
        <w:rPr>
          <w:rFonts w:ascii="Book Antiqua" w:hAnsi="Book Antiqua"/>
          <w:color w:val="000000" w:themeColor="text1"/>
          <w:sz w:val="24"/>
          <w:szCs w:val="24"/>
          <w:lang w:val="en-GB"/>
        </w:rPr>
        <w:t xml:space="preserve"> K, and Yasuda K performed the literature research; Yamaguchi H, Ishihara S, and </w:t>
      </w:r>
      <w:proofErr w:type="spellStart"/>
      <w:r w:rsidR="005C1600" w:rsidRPr="00C16015">
        <w:rPr>
          <w:rFonts w:ascii="Book Antiqua" w:hAnsi="Book Antiqua"/>
          <w:color w:val="000000" w:themeColor="text1"/>
          <w:sz w:val="24"/>
          <w:szCs w:val="24"/>
          <w:lang w:val="en-GB"/>
        </w:rPr>
        <w:t>Sunami</w:t>
      </w:r>
      <w:proofErr w:type="spellEnd"/>
      <w:r w:rsidR="005C1600" w:rsidRPr="00C16015">
        <w:rPr>
          <w:rFonts w:ascii="Book Antiqua" w:hAnsi="Book Antiqua"/>
          <w:color w:val="000000" w:themeColor="text1"/>
          <w:sz w:val="24"/>
          <w:szCs w:val="24"/>
          <w:lang w:val="en-GB"/>
        </w:rPr>
        <w:t xml:space="preserve"> E </w:t>
      </w:r>
      <w:r w:rsidR="005C1600" w:rsidRPr="00C16015">
        <w:rPr>
          <w:rFonts w:ascii="Book Antiqua" w:hAnsi="Book Antiqua"/>
          <w:color w:val="000000" w:themeColor="text1"/>
          <w:sz w:val="24"/>
          <w:szCs w:val="24"/>
          <w:lang w:val="en-GB"/>
        </w:rPr>
        <w:lastRenderedPageBreak/>
        <w:t xml:space="preserve">reviewed the paper; </w:t>
      </w:r>
      <w:proofErr w:type="spellStart"/>
      <w:r w:rsidR="005C1600" w:rsidRPr="00C16015">
        <w:rPr>
          <w:rFonts w:ascii="Book Antiqua" w:hAnsi="Book Antiqua"/>
          <w:color w:val="000000" w:themeColor="text1"/>
          <w:sz w:val="24"/>
          <w:szCs w:val="24"/>
          <w:lang w:val="en-GB"/>
        </w:rPr>
        <w:t>Kitayama</w:t>
      </w:r>
      <w:proofErr w:type="spellEnd"/>
      <w:r w:rsidR="005C1600" w:rsidRPr="00C16015">
        <w:rPr>
          <w:rFonts w:ascii="Book Antiqua" w:hAnsi="Book Antiqua"/>
          <w:color w:val="000000" w:themeColor="text1"/>
          <w:sz w:val="24"/>
          <w:szCs w:val="24"/>
          <w:lang w:val="en-GB"/>
        </w:rPr>
        <w:t xml:space="preserve"> J, </w:t>
      </w:r>
      <w:proofErr w:type="spellStart"/>
      <w:r w:rsidR="005C1600" w:rsidRPr="00C16015">
        <w:rPr>
          <w:rFonts w:ascii="Book Antiqua" w:hAnsi="Book Antiqua"/>
          <w:color w:val="000000" w:themeColor="text1"/>
          <w:sz w:val="24"/>
          <w:szCs w:val="24"/>
          <w:lang w:val="en-GB"/>
        </w:rPr>
        <w:t>Ishigami</w:t>
      </w:r>
      <w:proofErr w:type="spellEnd"/>
      <w:r w:rsidR="005C1600" w:rsidRPr="00C16015">
        <w:rPr>
          <w:rFonts w:ascii="Book Antiqua" w:hAnsi="Book Antiqua"/>
          <w:color w:val="000000" w:themeColor="text1"/>
          <w:sz w:val="24"/>
          <w:szCs w:val="24"/>
          <w:lang w:val="en-GB"/>
        </w:rPr>
        <w:t xml:space="preserve"> H, and Watanabe T supervised the project</w:t>
      </w:r>
      <w:r w:rsidR="00531E0B" w:rsidRPr="00C16015">
        <w:rPr>
          <w:rFonts w:ascii="Book Antiqua" w:eastAsia="宋体" w:hAnsi="Book Antiqua"/>
          <w:color w:val="000000" w:themeColor="text1"/>
          <w:sz w:val="24"/>
          <w:szCs w:val="24"/>
          <w:lang w:val="en-GB" w:eastAsia="zh-CN"/>
        </w:rPr>
        <w:t>;</w:t>
      </w:r>
      <w:r w:rsidRPr="00C16015">
        <w:rPr>
          <w:rFonts w:ascii="Book Antiqua" w:hAnsi="Book Antiqua"/>
          <w:color w:val="000000" w:themeColor="text1"/>
          <w:sz w:val="24"/>
          <w:szCs w:val="24"/>
          <w:lang w:val="en-GB"/>
        </w:rPr>
        <w:t xml:space="preserve"> Yamaguchi H wrote the paper.</w:t>
      </w:r>
    </w:p>
    <w:p w14:paraId="573649CE" w14:textId="77777777" w:rsidR="00015D39" w:rsidRPr="00C16015" w:rsidRDefault="00015D39" w:rsidP="00C16015">
      <w:pPr>
        <w:widowControl/>
        <w:spacing w:line="360" w:lineRule="auto"/>
        <w:rPr>
          <w:rFonts w:ascii="Book Antiqua" w:hAnsi="Book Antiqua"/>
          <w:color w:val="000000" w:themeColor="text1"/>
          <w:sz w:val="24"/>
          <w:szCs w:val="24"/>
          <w:lang w:val="en-GB"/>
        </w:rPr>
      </w:pPr>
    </w:p>
    <w:p w14:paraId="58BA4A43" w14:textId="77777777" w:rsidR="00015D39" w:rsidRPr="00C16015" w:rsidRDefault="00726996" w:rsidP="00C16015">
      <w:pPr>
        <w:widowControl/>
        <w:spacing w:line="360" w:lineRule="auto"/>
        <w:rPr>
          <w:rFonts w:ascii="Book Antiqua" w:hAnsi="Book Antiqua"/>
          <w:color w:val="000000" w:themeColor="text1"/>
          <w:sz w:val="24"/>
          <w:szCs w:val="24"/>
          <w:lang w:val="en-GB"/>
        </w:rPr>
      </w:pPr>
      <w:r w:rsidRPr="00C16015">
        <w:rPr>
          <w:rFonts w:ascii="Book Antiqua" w:hAnsi="Book Antiqua"/>
          <w:b/>
          <w:color w:val="000000" w:themeColor="text1"/>
          <w:sz w:val="24"/>
          <w:szCs w:val="24"/>
          <w:lang w:val="en-GB"/>
        </w:rPr>
        <w:t>Conflict-of-interest</w:t>
      </w:r>
      <w:r w:rsidR="00995759" w:rsidRPr="00C16015">
        <w:rPr>
          <w:rFonts w:ascii="Book Antiqua" w:eastAsia="宋体" w:hAnsi="Book Antiqua"/>
          <w:b/>
          <w:color w:val="000000" w:themeColor="text1"/>
          <w:sz w:val="24"/>
          <w:szCs w:val="24"/>
          <w:lang w:val="en-GB" w:eastAsia="zh-CN"/>
        </w:rPr>
        <w:t xml:space="preserve"> statement</w:t>
      </w:r>
      <w:r w:rsidRPr="00C16015">
        <w:rPr>
          <w:rFonts w:ascii="Book Antiqua" w:hAnsi="Book Antiqua"/>
          <w:b/>
          <w:color w:val="000000" w:themeColor="text1"/>
          <w:sz w:val="24"/>
          <w:szCs w:val="24"/>
          <w:lang w:val="en-GB"/>
        </w:rPr>
        <w:t xml:space="preserve">: </w:t>
      </w:r>
      <w:r w:rsidR="00015D39" w:rsidRPr="00C16015">
        <w:rPr>
          <w:rFonts w:ascii="Book Antiqua" w:hAnsi="Book Antiqua"/>
          <w:color w:val="000000" w:themeColor="text1"/>
          <w:sz w:val="24"/>
          <w:szCs w:val="24"/>
          <w:lang w:val="en-GB"/>
        </w:rPr>
        <w:t>The authors declare no conflict of interest.</w:t>
      </w:r>
    </w:p>
    <w:p w14:paraId="7DBFD1CA" w14:textId="77777777" w:rsidR="00015D39" w:rsidRPr="00C16015" w:rsidRDefault="00015D39" w:rsidP="00C16015">
      <w:pPr>
        <w:widowControl/>
        <w:spacing w:line="360" w:lineRule="auto"/>
        <w:rPr>
          <w:rFonts w:ascii="Book Antiqua" w:hAnsi="Book Antiqua"/>
          <w:color w:val="000000" w:themeColor="text1"/>
          <w:sz w:val="24"/>
          <w:szCs w:val="24"/>
          <w:lang w:val="en-GB"/>
        </w:rPr>
      </w:pPr>
    </w:p>
    <w:p w14:paraId="42E03056" w14:textId="77777777" w:rsidR="00D0470D" w:rsidRPr="00C16015" w:rsidRDefault="00D0470D" w:rsidP="00C16015">
      <w:pPr>
        <w:widowControl/>
        <w:spacing w:line="360" w:lineRule="auto"/>
        <w:rPr>
          <w:rFonts w:ascii="Book Antiqua" w:eastAsia="宋体" w:hAnsi="Book Antiqua"/>
          <w:color w:val="000000" w:themeColor="text1"/>
          <w:sz w:val="24"/>
          <w:szCs w:val="24"/>
          <w:lang w:val="en-GB" w:eastAsia="zh-CN"/>
        </w:rPr>
      </w:pPr>
      <w:r w:rsidRPr="00C16015">
        <w:rPr>
          <w:rFonts w:ascii="Book Antiqua" w:hAnsi="Book Antiqua"/>
          <w:b/>
          <w:color w:val="000000" w:themeColor="text1"/>
          <w:sz w:val="24"/>
          <w:szCs w:val="24"/>
          <w:lang w:val="en-GB"/>
        </w:rPr>
        <w:t>Open-Access:</w:t>
      </w:r>
      <w:r w:rsidRPr="00C16015">
        <w:rPr>
          <w:rFonts w:ascii="Book Antiqua" w:hAnsi="Book Antiqua"/>
          <w:color w:val="000000" w:themeColor="text1"/>
          <w:sz w:val="24"/>
          <w:szCs w:val="24"/>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95759" w:rsidRPr="00C16015">
          <w:rPr>
            <w:rStyle w:val="Hyperlink"/>
            <w:rFonts w:ascii="Book Antiqua" w:hAnsi="Book Antiqua"/>
            <w:color w:val="000000" w:themeColor="text1"/>
            <w:sz w:val="24"/>
            <w:szCs w:val="24"/>
            <w:lang w:val="en-GB"/>
          </w:rPr>
          <w:t>http://creativecommons.org/licenses/by-nc/4.0/</w:t>
        </w:r>
      </w:hyperlink>
    </w:p>
    <w:p w14:paraId="2DAB3A1F" w14:textId="77777777" w:rsidR="00995759" w:rsidRPr="00C16015" w:rsidRDefault="00995759" w:rsidP="00C16015">
      <w:pPr>
        <w:widowControl/>
        <w:spacing w:line="360" w:lineRule="auto"/>
        <w:rPr>
          <w:rFonts w:ascii="Book Antiqua" w:eastAsia="宋体" w:hAnsi="Book Antiqua"/>
          <w:color w:val="000000" w:themeColor="text1"/>
          <w:sz w:val="24"/>
          <w:szCs w:val="24"/>
          <w:lang w:val="en-GB" w:eastAsia="zh-CN"/>
        </w:rPr>
      </w:pPr>
    </w:p>
    <w:p w14:paraId="1CE179CD" w14:textId="77777777" w:rsidR="00015D39" w:rsidRPr="00C16015" w:rsidRDefault="00015D39" w:rsidP="00C16015">
      <w:pPr>
        <w:spacing w:line="360" w:lineRule="auto"/>
        <w:rPr>
          <w:rFonts w:ascii="Book Antiqua" w:hAnsi="Book Antiqua"/>
          <w:b/>
          <w:color w:val="000000" w:themeColor="text1"/>
          <w:sz w:val="24"/>
          <w:szCs w:val="24"/>
          <w:lang w:val="en-GB"/>
        </w:rPr>
      </w:pPr>
      <w:r w:rsidRPr="00C16015">
        <w:rPr>
          <w:rFonts w:ascii="Book Antiqua" w:hAnsi="Book Antiqua"/>
          <w:b/>
          <w:color w:val="000000" w:themeColor="text1"/>
          <w:sz w:val="24"/>
          <w:szCs w:val="24"/>
          <w:lang w:val="en-GB"/>
        </w:rPr>
        <w:t>Correspondence to:</w:t>
      </w:r>
      <w:r w:rsidR="00726996" w:rsidRPr="00C16015">
        <w:rPr>
          <w:rFonts w:ascii="Book Antiqua" w:hAnsi="Book Antiqua"/>
          <w:b/>
          <w:color w:val="000000" w:themeColor="text1"/>
          <w:sz w:val="24"/>
          <w:szCs w:val="24"/>
          <w:lang w:val="en-GB"/>
        </w:rPr>
        <w:t xml:space="preserve"> </w:t>
      </w:r>
      <w:r w:rsidRPr="00C16015">
        <w:rPr>
          <w:rFonts w:ascii="Book Antiqua" w:hAnsi="Book Antiqua"/>
          <w:b/>
          <w:color w:val="000000" w:themeColor="text1"/>
          <w:sz w:val="24"/>
          <w:szCs w:val="24"/>
          <w:lang w:val="en-GB"/>
        </w:rPr>
        <w:t>Hironori Yamaguchi, MD, PhD,</w:t>
      </w:r>
      <w:r w:rsidRPr="00C16015">
        <w:rPr>
          <w:rFonts w:ascii="Book Antiqua" w:hAnsi="Book Antiqua"/>
          <w:color w:val="000000" w:themeColor="text1"/>
          <w:sz w:val="24"/>
          <w:szCs w:val="24"/>
          <w:lang w:val="en-GB"/>
        </w:rPr>
        <w:t xml:space="preserve"> Department of Surgical Oncology, The University of Tokyo, 7-3-1 </w:t>
      </w:r>
      <w:proofErr w:type="spellStart"/>
      <w:r w:rsidRPr="00C16015">
        <w:rPr>
          <w:rFonts w:ascii="Book Antiqua" w:hAnsi="Book Antiqua"/>
          <w:color w:val="000000" w:themeColor="text1"/>
          <w:sz w:val="24"/>
          <w:szCs w:val="24"/>
          <w:lang w:val="en-GB"/>
        </w:rPr>
        <w:t>Hongo</w:t>
      </w:r>
      <w:proofErr w:type="spellEnd"/>
      <w:r w:rsidRPr="00C16015">
        <w:rPr>
          <w:rFonts w:ascii="Book Antiqua" w:hAnsi="Book Antiqua"/>
          <w:color w:val="000000" w:themeColor="text1"/>
          <w:sz w:val="24"/>
          <w:szCs w:val="24"/>
          <w:lang w:val="en-GB"/>
        </w:rPr>
        <w:t xml:space="preserve"> </w:t>
      </w:r>
      <w:proofErr w:type="spellStart"/>
      <w:r w:rsidRPr="00C16015">
        <w:rPr>
          <w:rFonts w:ascii="Book Antiqua" w:hAnsi="Book Antiqua"/>
          <w:color w:val="000000" w:themeColor="text1"/>
          <w:sz w:val="24"/>
          <w:szCs w:val="24"/>
          <w:lang w:val="en-GB"/>
        </w:rPr>
        <w:t>Bunkyoku</w:t>
      </w:r>
      <w:proofErr w:type="spellEnd"/>
      <w:r w:rsidRPr="00C16015">
        <w:rPr>
          <w:rFonts w:ascii="Book Antiqua" w:hAnsi="Book Antiqua"/>
          <w:color w:val="000000" w:themeColor="text1"/>
          <w:sz w:val="24"/>
          <w:szCs w:val="24"/>
          <w:lang w:val="en-GB"/>
        </w:rPr>
        <w:t xml:space="preserve"> Tokyo 113-8655, Japan. yamaguchih-tky@umin.net</w:t>
      </w:r>
    </w:p>
    <w:p w14:paraId="110A6C57" w14:textId="409C3048" w:rsidR="00015D39" w:rsidRPr="00C16015" w:rsidRDefault="00015D39" w:rsidP="00C16015">
      <w:pPr>
        <w:spacing w:line="360" w:lineRule="auto"/>
        <w:rPr>
          <w:rFonts w:ascii="Book Antiqua" w:hAnsi="Book Antiqua"/>
          <w:color w:val="000000" w:themeColor="text1"/>
          <w:sz w:val="24"/>
          <w:szCs w:val="24"/>
          <w:lang w:val="en-GB"/>
        </w:rPr>
      </w:pPr>
      <w:r w:rsidRPr="00C16015">
        <w:rPr>
          <w:rFonts w:ascii="Book Antiqua" w:hAnsi="Book Antiqua"/>
          <w:b/>
          <w:color w:val="000000" w:themeColor="text1"/>
          <w:sz w:val="24"/>
          <w:szCs w:val="24"/>
          <w:lang w:val="en-GB"/>
        </w:rPr>
        <w:t>Telephone:</w:t>
      </w:r>
      <w:r w:rsidRPr="00C16015">
        <w:rPr>
          <w:rFonts w:ascii="Book Antiqua" w:hAnsi="Book Antiqua"/>
          <w:color w:val="000000" w:themeColor="text1"/>
          <w:sz w:val="24"/>
          <w:szCs w:val="24"/>
          <w:lang w:val="en-GB"/>
        </w:rPr>
        <w:t xml:space="preserve"> +81-3-58008653</w:t>
      </w:r>
    </w:p>
    <w:p w14:paraId="57EB084A" w14:textId="7ED4B121" w:rsidR="00015D39" w:rsidRPr="00C16015" w:rsidRDefault="00015D39" w:rsidP="00C16015">
      <w:pPr>
        <w:spacing w:line="360" w:lineRule="auto"/>
        <w:rPr>
          <w:rFonts w:ascii="Book Antiqua" w:hAnsi="Book Antiqua"/>
          <w:color w:val="000000" w:themeColor="text1"/>
          <w:sz w:val="24"/>
          <w:szCs w:val="24"/>
          <w:lang w:val="en-GB"/>
        </w:rPr>
      </w:pPr>
      <w:r w:rsidRPr="00C16015">
        <w:rPr>
          <w:rFonts w:ascii="Book Antiqua" w:hAnsi="Book Antiqua"/>
          <w:b/>
          <w:color w:val="000000" w:themeColor="text1"/>
          <w:sz w:val="24"/>
          <w:szCs w:val="24"/>
          <w:lang w:val="en-GB"/>
        </w:rPr>
        <w:t>Fax:</w:t>
      </w:r>
      <w:r w:rsidR="00001093" w:rsidRPr="00C16015">
        <w:rPr>
          <w:rFonts w:ascii="Book Antiqua" w:hAnsi="Book Antiqua"/>
          <w:color w:val="000000" w:themeColor="text1"/>
          <w:sz w:val="24"/>
          <w:szCs w:val="24"/>
          <w:lang w:val="en-GB"/>
        </w:rPr>
        <w:t xml:space="preserve"> +81-3-3811</w:t>
      </w:r>
      <w:r w:rsidRPr="00C16015">
        <w:rPr>
          <w:rFonts w:ascii="Book Antiqua" w:hAnsi="Book Antiqua"/>
          <w:color w:val="000000" w:themeColor="text1"/>
          <w:sz w:val="24"/>
          <w:szCs w:val="24"/>
          <w:lang w:val="en-GB"/>
        </w:rPr>
        <w:t xml:space="preserve">6822 </w:t>
      </w:r>
    </w:p>
    <w:p w14:paraId="6983CAA6" w14:textId="77777777" w:rsidR="00015D39" w:rsidRPr="00C16015" w:rsidRDefault="00015D39" w:rsidP="00C16015">
      <w:pPr>
        <w:widowControl/>
        <w:spacing w:line="360" w:lineRule="auto"/>
        <w:rPr>
          <w:rFonts w:ascii="Book Antiqua" w:hAnsi="Book Antiqua"/>
          <w:color w:val="000000" w:themeColor="text1"/>
          <w:sz w:val="24"/>
          <w:szCs w:val="24"/>
        </w:rPr>
      </w:pPr>
    </w:p>
    <w:p w14:paraId="0630D9A6" w14:textId="2825F0AE" w:rsidR="008E4F6B" w:rsidRPr="00C16015" w:rsidRDefault="00C16015" w:rsidP="00C16015">
      <w:pPr>
        <w:spacing w:line="360" w:lineRule="auto"/>
        <w:rPr>
          <w:rFonts w:ascii="Book Antiqua" w:eastAsia="宋体" w:hAnsi="Book Antiqua"/>
          <w:color w:val="000000" w:themeColor="text1"/>
          <w:sz w:val="24"/>
          <w:szCs w:val="24"/>
          <w:lang w:eastAsia="zh-CN"/>
        </w:rPr>
      </w:pPr>
      <w:bookmarkStart w:id="0" w:name="OLE_LINK5"/>
      <w:bookmarkStart w:id="1" w:name="OLE_LINK6"/>
      <w:r w:rsidRPr="00C16015">
        <w:rPr>
          <w:rFonts w:ascii="Book Antiqua" w:hAnsi="Book Antiqua"/>
          <w:b/>
          <w:color w:val="000000" w:themeColor="text1"/>
          <w:sz w:val="24"/>
          <w:szCs w:val="24"/>
        </w:rPr>
        <w:t xml:space="preserve">Received: </w:t>
      </w:r>
      <w:r w:rsidRPr="00C16015">
        <w:rPr>
          <w:rFonts w:ascii="Book Antiqua" w:eastAsia="宋体" w:hAnsi="Book Antiqua"/>
          <w:color w:val="000000" w:themeColor="text1"/>
          <w:sz w:val="24"/>
          <w:szCs w:val="24"/>
          <w:lang w:eastAsia="zh-CN"/>
        </w:rPr>
        <w:t>May 4, 2015</w:t>
      </w:r>
    </w:p>
    <w:p w14:paraId="1B1A6F01" w14:textId="0BAABE98" w:rsidR="008E4F6B" w:rsidRPr="00C16015" w:rsidRDefault="008E4F6B" w:rsidP="00C16015">
      <w:pPr>
        <w:spacing w:line="360" w:lineRule="auto"/>
        <w:rPr>
          <w:rFonts w:ascii="Book Antiqua" w:eastAsia="宋体" w:hAnsi="Book Antiqua"/>
          <w:color w:val="000000" w:themeColor="text1"/>
          <w:sz w:val="24"/>
          <w:szCs w:val="24"/>
          <w:lang w:eastAsia="zh-CN"/>
        </w:rPr>
      </w:pPr>
      <w:r w:rsidRPr="00C16015">
        <w:rPr>
          <w:rFonts w:ascii="Book Antiqua" w:hAnsi="Book Antiqua"/>
          <w:b/>
          <w:color w:val="000000" w:themeColor="text1"/>
          <w:sz w:val="24"/>
          <w:szCs w:val="24"/>
        </w:rPr>
        <w:t>Peer-review started:</w:t>
      </w:r>
      <w:r w:rsidR="00C16015" w:rsidRPr="00C16015">
        <w:rPr>
          <w:rFonts w:ascii="Book Antiqua" w:eastAsia="宋体" w:hAnsi="Book Antiqua"/>
          <w:color w:val="000000" w:themeColor="text1"/>
          <w:sz w:val="24"/>
          <w:szCs w:val="24"/>
          <w:lang w:eastAsia="zh-CN"/>
        </w:rPr>
        <w:t xml:space="preserve"> May 9, 2015</w:t>
      </w:r>
    </w:p>
    <w:p w14:paraId="60212798" w14:textId="305E8843" w:rsidR="008E4F6B" w:rsidRPr="00C16015" w:rsidRDefault="008E4F6B" w:rsidP="00C16015">
      <w:pPr>
        <w:spacing w:line="360" w:lineRule="auto"/>
        <w:rPr>
          <w:rFonts w:ascii="Book Antiqua" w:eastAsia="宋体" w:hAnsi="Book Antiqua"/>
          <w:color w:val="000000" w:themeColor="text1"/>
          <w:sz w:val="24"/>
          <w:szCs w:val="24"/>
          <w:lang w:eastAsia="zh-CN"/>
        </w:rPr>
      </w:pPr>
      <w:bookmarkStart w:id="2" w:name="OLE_LINK21"/>
      <w:bookmarkStart w:id="3" w:name="OLE_LINK22"/>
      <w:r w:rsidRPr="00C16015">
        <w:rPr>
          <w:rFonts w:ascii="Book Antiqua" w:hAnsi="Book Antiqua"/>
          <w:b/>
          <w:color w:val="000000" w:themeColor="text1"/>
          <w:sz w:val="24"/>
          <w:szCs w:val="24"/>
        </w:rPr>
        <w:t>First decision:</w:t>
      </w:r>
      <w:r w:rsidR="00C16015" w:rsidRPr="00C16015">
        <w:rPr>
          <w:rFonts w:ascii="Book Antiqua" w:eastAsia="宋体" w:hAnsi="Book Antiqua"/>
          <w:b/>
          <w:color w:val="000000" w:themeColor="text1"/>
          <w:sz w:val="24"/>
          <w:szCs w:val="24"/>
          <w:lang w:eastAsia="zh-CN"/>
        </w:rPr>
        <w:t xml:space="preserve"> </w:t>
      </w:r>
      <w:r w:rsidR="00C16015" w:rsidRPr="00C16015">
        <w:rPr>
          <w:rFonts w:ascii="Book Antiqua" w:eastAsia="宋体" w:hAnsi="Book Antiqua"/>
          <w:color w:val="000000" w:themeColor="text1"/>
          <w:sz w:val="24"/>
          <w:szCs w:val="24"/>
          <w:lang w:eastAsia="zh-CN"/>
        </w:rPr>
        <w:t>July 17, 2015</w:t>
      </w:r>
    </w:p>
    <w:bookmarkEnd w:id="2"/>
    <w:bookmarkEnd w:id="3"/>
    <w:p w14:paraId="15A0C997" w14:textId="46B03758" w:rsidR="00C16015" w:rsidRPr="00C16015" w:rsidRDefault="008E4F6B" w:rsidP="00C16015">
      <w:pPr>
        <w:spacing w:line="360" w:lineRule="auto"/>
        <w:rPr>
          <w:rFonts w:ascii="Book Antiqua" w:eastAsia="宋体" w:hAnsi="Book Antiqua"/>
          <w:color w:val="000000" w:themeColor="text1"/>
          <w:sz w:val="24"/>
          <w:szCs w:val="24"/>
          <w:lang w:eastAsia="zh-CN"/>
        </w:rPr>
      </w:pPr>
      <w:r w:rsidRPr="00C16015">
        <w:rPr>
          <w:rFonts w:ascii="Book Antiqua" w:hAnsi="Book Antiqua"/>
          <w:b/>
          <w:color w:val="000000" w:themeColor="text1"/>
          <w:sz w:val="24"/>
          <w:szCs w:val="24"/>
        </w:rPr>
        <w:t xml:space="preserve">Revised: </w:t>
      </w:r>
      <w:r w:rsidR="00C16015" w:rsidRPr="00C16015">
        <w:rPr>
          <w:rFonts w:ascii="Book Antiqua" w:eastAsia="宋体" w:hAnsi="Book Antiqua"/>
          <w:color w:val="000000" w:themeColor="text1"/>
          <w:sz w:val="24"/>
          <w:szCs w:val="24"/>
          <w:lang w:eastAsia="zh-CN"/>
        </w:rPr>
        <w:t>July 28, 2015</w:t>
      </w:r>
    </w:p>
    <w:p w14:paraId="72F8CED4" w14:textId="7301D3C4" w:rsidR="008E4F6B" w:rsidRPr="00C16015" w:rsidRDefault="008E4F6B" w:rsidP="00C16015">
      <w:pPr>
        <w:spacing w:line="360" w:lineRule="auto"/>
        <w:rPr>
          <w:rFonts w:ascii="Book Antiqua" w:hAnsi="Book Antiqua"/>
          <w:b/>
          <w:color w:val="000000" w:themeColor="text1"/>
          <w:sz w:val="24"/>
          <w:szCs w:val="24"/>
        </w:rPr>
      </w:pPr>
    </w:p>
    <w:p w14:paraId="4E238856" w14:textId="625DE2A7" w:rsidR="008E4F6B" w:rsidRPr="006C63C3" w:rsidRDefault="008E4F6B" w:rsidP="006C63C3">
      <w:pPr>
        <w:rPr>
          <w:rFonts w:ascii="Book Antiqua" w:hAnsi="Book Antiqua"/>
          <w:iCs/>
          <w:sz w:val="24"/>
        </w:rPr>
      </w:pPr>
      <w:r w:rsidRPr="00C16015">
        <w:rPr>
          <w:rFonts w:ascii="Book Antiqua" w:hAnsi="Book Antiqua"/>
          <w:b/>
          <w:color w:val="000000" w:themeColor="text1"/>
          <w:sz w:val="24"/>
          <w:szCs w:val="24"/>
        </w:rPr>
        <w:lastRenderedPageBreak/>
        <w:t>Accepted:</w:t>
      </w:r>
      <w:r w:rsidR="006C63C3" w:rsidRPr="006C63C3">
        <w:rPr>
          <w:rStyle w:val="Emphasis"/>
        </w:rPr>
        <w:t xml:space="preserve"> </w:t>
      </w:r>
      <w:r w:rsidR="006C63C3" w:rsidRPr="00235CD4">
        <w:rPr>
          <w:rStyle w:val="Emphasis"/>
        </w:rPr>
        <w:t>September 10, 2015</w:t>
      </w:r>
      <w:r w:rsidRPr="00C16015">
        <w:rPr>
          <w:rFonts w:ascii="Book Antiqua" w:hAnsi="Book Antiqua"/>
          <w:b/>
          <w:color w:val="000000" w:themeColor="text1"/>
          <w:sz w:val="24"/>
          <w:szCs w:val="24"/>
        </w:rPr>
        <w:t xml:space="preserve">  </w:t>
      </w:r>
    </w:p>
    <w:p w14:paraId="443225AE" w14:textId="77777777" w:rsidR="008E4F6B" w:rsidRPr="00C16015" w:rsidRDefault="008E4F6B" w:rsidP="00C16015">
      <w:pPr>
        <w:spacing w:line="360" w:lineRule="auto"/>
        <w:rPr>
          <w:rFonts w:ascii="Book Antiqua" w:hAnsi="Book Antiqua"/>
          <w:b/>
          <w:color w:val="000000" w:themeColor="text1"/>
          <w:sz w:val="24"/>
          <w:szCs w:val="24"/>
        </w:rPr>
      </w:pPr>
      <w:r w:rsidRPr="00C16015">
        <w:rPr>
          <w:rFonts w:ascii="Book Antiqua" w:hAnsi="Book Antiqua"/>
          <w:b/>
          <w:color w:val="000000" w:themeColor="text1"/>
          <w:sz w:val="24"/>
          <w:szCs w:val="24"/>
        </w:rPr>
        <w:t>Article in press:</w:t>
      </w:r>
    </w:p>
    <w:p w14:paraId="52DC6744" w14:textId="77777777" w:rsidR="008E4F6B" w:rsidRPr="00C16015" w:rsidRDefault="008E4F6B" w:rsidP="00C16015">
      <w:pPr>
        <w:spacing w:line="360" w:lineRule="auto"/>
        <w:rPr>
          <w:rFonts w:ascii="Book Antiqua" w:hAnsi="Book Antiqua"/>
          <w:b/>
          <w:color w:val="000000" w:themeColor="text1"/>
          <w:sz w:val="24"/>
          <w:szCs w:val="24"/>
        </w:rPr>
      </w:pPr>
      <w:r w:rsidRPr="00C16015">
        <w:rPr>
          <w:rFonts w:ascii="Book Antiqua" w:hAnsi="Book Antiqua"/>
          <w:b/>
          <w:color w:val="000000" w:themeColor="text1"/>
          <w:sz w:val="24"/>
          <w:szCs w:val="24"/>
        </w:rPr>
        <w:t xml:space="preserve">Published online: </w:t>
      </w:r>
    </w:p>
    <w:bookmarkEnd w:id="0"/>
    <w:bookmarkEnd w:id="1"/>
    <w:p w14:paraId="00023686" w14:textId="77777777" w:rsidR="005C1600" w:rsidRPr="00C16015" w:rsidRDefault="005C1600" w:rsidP="00C16015">
      <w:pPr>
        <w:widowControl/>
        <w:spacing w:line="360" w:lineRule="auto"/>
        <w:rPr>
          <w:rFonts w:ascii="Book Antiqua" w:hAnsi="Book Antiqua"/>
          <w:color w:val="000000" w:themeColor="text1"/>
          <w:sz w:val="24"/>
          <w:szCs w:val="24"/>
        </w:rPr>
      </w:pPr>
    </w:p>
    <w:p w14:paraId="4CFC071B" w14:textId="77777777" w:rsidR="00001093" w:rsidRPr="00C16015" w:rsidRDefault="00001093" w:rsidP="00C16015">
      <w:pPr>
        <w:widowControl/>
        <w:spacing w:line="360" w:lineRule="auto"/>
        <w:rPr>
          <w:rFonts w:ascii="Book Antiqua" w:hAnsi="Book Antiqua"/>
          <w:b/>
          <w:color w:val="000000" w:themeColor="text1"/>
          <w:sz w:val="24"/>
          <w:szCs w:val="24"/>
        </w:rPr>
      </w:pPr>
      <w:r w:rsidRPr="00C16015">
        <w:rPr>
          <w:rFonts w:ascii="Book Antiqua" w:hAnsi="Book Antiqua"/>
          <w:b/>
          <w:color w:val="000000" w:themeColor="text1"/>
          <w:sz w:val="24"/>
          <w:szCs w:val="24"/>
        </w:rPr>
        <w:br w:type="page"/>
      </w:r>
    </w:p>
    <w:p w14:paraId="6FF25B97" w14:textId="42F50635" w:rsidR="00015D39" w:rsidRPr="00C16015" w:rsidRDefault="00995759" w:rsidP="00C16015">
      <w:pPr>
        <w:widowControl/>
        <w:spacing w:line="360" w:lineRule="auto"/>
        <w:rPr>
          <w:rFonts w:ascii="Book Antiqua" w:hAnsi="Book Antiqua"/>
          <w:b/>
          <w:color w:val="000000" w:themeColor="text1"/>
          <w:sz w:val="24"/>
          <w:szCs w:val="24"/>
        </w:rPr>
      </w:pPr>
      <w:r w:rsidRPr="00C16015">
        <w:rPr>
          <w:rFonts w:ascii="Book Antiqua" w:hAnsi="Book Antiqua"/>
          <w:b/>
          <w:color w:val="000000" w:themeColor="text1"/>
          <w:sz w:val="24"/>
          <w:szCs w:val="24"/>
        </w:rPr>
        <w:lastRenderedPageBreak/>
        <w:t>Abstract</w:t>
      </w:r>
    </w:p>
    <w:p w14:paraId="3FB09071" w14:textId="5003910D" w:rsidR="00015D39" w:rsidRPr="00C16015" w:rsidRDefault="00015D39" w:rsidP="00C16015">
      <w:pPr>
        <w:widowControl/>
        <w:spacing w:line="360" w:lineRule="auto"/>
        <w:rPr>
          <w:rFonts w:ascii="Book Antiqua" w:hAnsi="Book Antiqua"/>
          <w:color w:val="000000" w:themeColor="text1"/>
          <w:sz w:val="24"/>
          <w:szCs w:val="24"/>
        </w:rPr>
      </w:pPr>
      <w:r w:rsidRPr="00C16015">
        <w:rPr>
          <w:rFonts w:ascii="Book Antiqua" w:hAnsi="Book Antiqua"/>
          <w:color w:val="000000" w:themeColor="text1"/>
          <w:sz w:val="24"/>
          <w:szCs w:val="24"/>
        </w:rPr>
        <w:t xml:space="preserve">The effect of chemotherapy on peritoneal </w:t>
      </w:r>
      <w:proofErr w:type="spellStart"/>
      <w:r w:rsidRPr="00C16015">
        <w:rPr>
          <w:rFonts w:ascii="Book Antiqua" w:hAnsi="Book Antiqua"/>
          <w:color w:val="000000" w:themeColor="text1"/>
          <w:sz w:val="24"/>
          <w:szCs w:val="24"/>
        </w:rPr>
        <w:t>carcinomatosis</w:t>
      </w:r>
      <w:proofErr w:type="spellEnd"/>
      <w:r w:rsidRPr="00C16015">
        <w:rPr>
          <w:rFonts w:ascii="Book Antiqua" w:hAnsi="Book Antiqua"/>
          <w:color w:val="000000" w:themeColor="text1"/>
          <w:sz w:val="24"/>
          <w:szCs w:val="24"/>
        </w:rPr>
        <w:t xml:space="preserve"> (PC) of gastric cancer remains unclear. Recently, the intraperitoneal (IP) administration of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w:t>
      </w:r>
      <w:r w:rsidR="00995759" w:rsidRPr="00C16015">
        <w:rPr>
          <w:rFonts w:ascii="Book Antiqua" w:eastAsia="宋体" w:hAnsi="Book Antiqua"/>
          <w:color w:val="000000" w:themeColor="text1"/>
          <w:sz w:val="24"/>
          <w:szCs w:val="24"/>
          <w:lang w:eastAsia="zh-CN"/>
        </w:rPr>
        <w:t>[</w:t>
      </w:r>
      <w:r w:rsidRPr="00C16015">
        <w:rPr>
          <w:rFonts w:ascii="Book Antiqua" w:hAnsi="Book Antiqua"/>
          <w:i/>
          <w:color w:val="000000" w:themeColor="text1"/>
          <w:sz w:val="24"/>
          <w:szCs w:val="24"/>
        </w:rPr>
        <w:t xml:space="preserve">e.g., </w:t>
      </w:r>
      <w:r w:rsidRPr="00C16015">
        <w:rPr>
          <w:rFonts w:ascii="Book Antiqua" w:hAnsi="Book Antiqua"/>
          <w:color w:val="000000" w:themeColor="text1"/>
          <w:sz w:val="24"/>
          <w:szCs w:val="24"/>
        </w:rPr>
        <w:t xml:space="preserve">paclitaxel </w:t>
      </w:r>
      <w:r w:rsidR="00995759"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PTX</w:t>
      </w:r>
      <w:r w:rsidR="00995759"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xml:space="preserve"> and docetaxel </w:t>
      </w:r>
      <w:r w:rsidR="00995759"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DOC</w:t>
      </w:r>
      <w:r w:rsidR="00995759"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xml:space="preserve"> during the perioperative period has shown promising results. Herein, we summarized the rationale and methodology for using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and reviewed the clinical results. IP administered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remain in the intraperitoneal space at an extremely high concentration for 48</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xml:space="preserve">72 h. The drug directly infiltrates peritoneal metastatic nodules from the surface and then produces antitumor effects, making it ideal for IP chemotherapy. There are two types of perioperative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neoadjuvant intraperitoneal and systemic chemotherapy (NIPS) and sequential perioperative intraperitoneal chemotherapy (SPIC). In SPIC, patients receive neoadjuvant IP chemotherapy and the same regimen of IP chemotherapy after </w:t>
      </w:r>
      <w:proofErr w:type="spellStart"/>
      <w:r w:rsidRPr="00C16015">
        <w:rPr>
          <w:rFonts w:ascii="Book Antiqua" w:hAnsi="Book Antiqua"/>
          <w:color w:val="000000" w:themeColor="text1"/>
          <w:sz w:val="24"/>
          <w:szCs w:val="24"/>
        </w:rPr>
        <w:t>cytoreductive</w:t>
      </w:r>
      <w:proofErr w:type="spellEnd"/>
      <w:r w:rsidRPr="00C16015">
        <w:rPr>
          <w:rFonts w:ascii="Book Antiqua" w:hAnsi="Book Antiqua"/>
          <w:color w:val="000000" w:themeColor="text1"/>
          <w:sz w:val="24"/>
          <w:szCs w:val="24"/>
        </w:rPr>
        <w:t xml:space="preserve"> surgery (CRS) until disease progression. Usually, a </w:t>
      </w:r>
      <w:proofErr w:type="spellStart"/>
      <w:r w:rsidRPr="00C16015">
        <w:rPr>
          <w:rFonts w:ascii="Book Antiqua" w:hAnsi="Book Antiqua"/>
          <w:color w:val="000000" w:themeColor="text1"/>
          <w:sz w:val="24"/>
          <w:szCs w:val="24"/>
        </w:rPr>
        <w:t>taxane</w:t>
      </w:r>
      <w:proofErr w:type="spellEnd"/>
      <w:r w:rsidRPr="00C16015">
        <w:rPr>
          <w:rFonts w:ascii="Book Antiqua" w:hAnsi="Book Antiqua"/>
          <w:color w:val="000000" w:themeColor="text1"/>
          <w:sz w:val="24"/>
          <w:szCs w:val="24"/>
        </w:rPr>
        <w:t xml:space="preserve"> disso</w:t>
      </w:r>
      <w:r w:rsidR="00001093" w:rsidRPr="00C16015">
        <w:rPr>
          <w:rFonts w:ascii="Book Antiqua" w:hAnsi="Book Antiqua"/>
          <w:color w:val="000000" w:themeColor="text1"/>
          <w:sz w:val="24"/>
          <w:szCs w:val="24"/>
        </w:rPr>
        <w:t>lved in 500</w:t>
      </w:r>
      <w:r w:rsidR="00001093" w:rsidRPr="00C16015">
        <w:rPr>
          <w:rFonts w:ascii="Book Antiqua" w:eastAsia="宋体" w:hAnsi="Book Antiqua"/>
          <w:color w:val="000000" w:themeColor="text1"/>
          <w:sz w:val="24"/>
          <w:szCs w:val="24"/>
          <w:lang w:eastAsia="zh-CN"/>
        </w:rPr>
        <w:t>-</w:t>
      </w:r>
      <w:r w:rsidR="00001093" w:rsidRPr="00C16015">
        <w:rPr>
          <w:rFonts w:ascii="Book Antiqua" w:hAnsi="Book Antiqua"/>
          <w:color w:val="000000" w:themeColor="text1"/>
          <w:sz w:val="24"/>
          <w:szCs w:val="24"/>
        </w:rPr>
        <w:t>1</w:t>
      </w:r>
      <w:r w:rsidRPr="00C16015">
        <w:rPr>
          <w:rFonts w:ascii="Book Antiqua" w:hAnsi="Book Antiqua"/>
          <w:color w:val="000000" w:themeColor="text1"/>
          <w:sz w:val="24"/>
          <w:szCs w:val="24"/>
        </w:rPr>
        <w:t>000 mL of saline at ordinary temperature is administered through an intraperitoneal access port on an outpatient basis. According to phase I studies, the recommended doses (RD) are as follows: IP DOC, 45–60 mg/m</w:t>
      </w:r>
      <w:r w:rsidRPr="00C16015">
        <w:rPr>
          <w:rFonts w:ascii="Book Antiqua" w:hAnsi="Book Antiqua"/>
          <w:color w:val="000000" w:themeColor="text1"/>
          <w:sz w:val="24"/>
          <w:szCs w:val="24"/>
          <w:vertAlign w:val="superscript"/>
        </w:rPr>
        <w:t>2</w:t>
      </w:r>
      <w:r w:rsidRPr="00C16015">
        <w:rPr>
          <w:rFonts w:ascii="Book Antiqua" w:hAnsi="Book Antiqua"/>
          <w:color w:val="000000" w:themeColor="text1"/>
          <w:sz w:val="24"/>
          <w:szCs w:val="24"/>
        </w:rPr>
        <w:t xml:space="preserve">; IP PTX </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without intravenous (IV) PTX</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80 mg/m</w:t>
      </w:r>
      <w:r w:rsidRPr="00C16015">
        <w:rPr>
          <w:rFonts w:ascii="Book Antiqua" w:hAnsi="Book Antiqua"/>
          <w:color w:val="000000" w:themeColor="text1"/>
          <w:sz w:val="24"/>
          <w:szCs w:val="24"/>
          <w:vertAlign w:val="superscript"/>
        </w:rPr>
        <w:t>2</w:t>
      </w:r>
      <w:r w:rsidRPr="00C16015">
        <w:rPr>
          <w:rFonts w:ascii="Book Antiqua" w:hAnsi="Book Antiqua"/>
          <w:color w:val="000000" w:themeColor="text1"/>
          <w:sz w:val="24"/>
          <w:szCs w:val="24"/>
        </w:rPr>
        <w:t>; and IP PTX (with IV PTX), 20 mg/m</w:t>
      </w:r>
      <w:r w:rsidRPr="00C16015">
        <w:rPr>
          <w:rFonts w:ascii="Book Antiqua" w:hAnsi="Book Antiqua"/>
          <w:color w:val="000000" w:themeColor="text1"/>
          <w:sz w:val="24"/>
          <w:szCs w:val="24"/>
          <w:vertAlign w:val="superscript"/>
        </w:rPr>
        <w:t>2</w:t>
      </w:r>
      <w:r w:rsidRPr="00C16015">
        <w:rPr>
          <w:rFonts w:ascii="Book Antiqua" w:hAnsi="Book Antiqua"/>
          <w:color w:val="000000" w:themeColor="text1"/>
          <w:sz w:val="24"/>
          <w:szCs w:val="24"/>
        </w:rPr>
        <w:t>. Phase II studies have reported a median survival time of 14.4</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24.6 mo with a 1-year overall survival of 67</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xml:space="preserve">78%. A phase III study comparing S-1 in combination with IP and IV PTX to S-1 with IV cisplatin started in 2011. The prognosis of patients who underwent CRS was better than that of those who did not; however, this was partly due to selection bias. Although several phase II studies have shown </w:t>
      </w:r>
      <w:r w:rsidRPr="00C16015">
        <w:rPr>
          <w:rFonts w:ascii="Book Antiqua" w:hAnsi="Book Antiqua"/>
          <w:color w:val="000000" w:themeColor="text1"/>
          <w:sz w:val="24"/>
          <w:szCs w:val="24"/>
        </w:rPr>
        <w:lastRenderedPageBreak/>
        <w:t xml:space="preserve">promising results, a randomized controlled study is needed to validate the effectiveness of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for PC of gastric cancer.</w:t>
      </w:r>
    </w:p>
    <w:p w14:paraId="73A2058E" w14:textId="77777777" w:rsidR="00D8018B" w:rsidRPr="00C16015" w:rsidRDefault="00D8018B" w:rsidP="00C16015">
      <w:pPr>
        <w:widowControl/>
        <w:spacing w:line="360" w:lineRule="auto"/>
        <w:rPr>
          <w:rFonts w:ascii="Book Antiqua" w:hAnsi="Book Antiqua"/>
          <w:color w:val="000000" w:themeColor="text1"/>
          <w:sz w:val="24"/>
          <w:szCs w:val="24"/>
        </w:rPr>
      </w:pPr>
    </w:p>
    <w:p w14:paraId="29BC15DE" w14:textId="3CDF21EF" w:rsidR="00015D39" w:rsidRPr="00C16015" w:rsidRDefault="00015D39" w:rsidP="00C16015">
      <w:pPr>
        <w:widowControl/>
        <w:spacing w:line="360" w:lineRule="auto"/>
        <w:rPr>
          <w:rFonts w:ascii="Book Antiqua" w:hAnsi="Book Antiqua"/>
          <w:color w:val="000000" w:themeColor="text1"/>
          <w:sz w:val="24"/>
          <w:szCs w:val="24"/>
        </w:rPr>
      </w:pPr>
      <w:r w:rsidRPr="00C16015">
        <w:rPr>
          <w:rFonts w:ascii="Book Antiqua" w:hAnsi="Book Antiqua"/>
          <w:b/>
          <w:color w:val="000000" w:themeColor="text1"/>
          <w:sz w:val="24"/>
          <w:szCs w:val="24"/>
        </w:rPr>
        <w:t>Key</w:t>
      </w:r>
      <w:r w:rsidR="00995759" w:rsidRPr="00C16015">
        <w:rPr>
          <w:rFonts w:ascii="Book Antiqua" w:eastAsia="宋体" w:hAnsi="Book Antiqua"/>
          <w:b/>
          <w:color w:val="000000" w:themeColor="text1"/>
          <w:sz w:val="24"/>
          <w:szCs w:val="24"/>
          <w:lang w:eastAsia="zh-CN"/>
        </w:rPr>
        <w:t xml:space="preserve"> </w:t>
      </w:r>
      <w:r w:rsidRPr="00C16015">
        <w:rPr>
          <w:rFonts w:ascii="Book Antiqua" w:hAnsi="Book Antiqua"/>
          <w:b/>
          <w:color w:val="000000" w:themeColor="text1"/>
          <w:sz w:val="24"/>
          <w:szCs w:val="24"/>
        </w:rPr>
        <w:t>words:</w:t>
      </w:r>
      <w:r w:rsidRPr="00C16015">
        <w:rPr>
          <w:rFonts w:ascii="Book Antiqua" w:hAnsi="Book Antiqua"/>
          <w:color w:val="000000" w:themeColor="text1"/>
          <w:sz w:val="24"/>
          <w:szCs w:val="24"/>
        </w:rPr>
        <w:t xml:space="preserve"> </w:t>
      </w:r>
      <w:proofErr w:type="spellStart"/>
      <w:r w:rsidR="004B4F92" w:rsidRPr="00C16015">
        <w:rPr>
          <w:rFonts w:ascii="Book Antiqua" w:hAnsi="Book Antiqua"/>
          <w:color w:val="000000" w:themeColor="text1"/>
          <w:sz w:val="24"/>
          <w:szCs w:val="24"/>
        </w:rPr>
        <w:t>Taxane</w:t>
      </w:r>
      <w:proofErr w:type="spellEnd"/>
      <w:r w:rsidRPr="00C16015">
        <w:rPr>
          <w:rFonts w:ascii="Book Antiqua" w:hAnsi="Book Antiqua"/>
          <w:color w:val="000000" w:themeColor="text1"/>
          <w:sz w:val="24"/>
          <w:szCs w:val="24"/>
        </w:rPr>
        <w:t xml:space="preserve">; </w:t>
      </w:r>
      <w:r w:rsidR="004B4F92" w:rsidRPr="00C16015">
        <w:rPr>
          <w:rFonts w:ascii="Book Antiqua" w:hAnsi="Book Antiqua"/>
          <w:color w:val="000000" w:themeColor="text1"/>
          <w:sz w:val="24"/>
          <w:szCs w:val="24"/>
        </w:rPr>
        <w:t>Paclitaxel</w:t>
      </w:r>
      <w:r w:rsidRPr="00C16015">
        <w:rPr>
          <w:rFonts w:ascii="Book Antiqua" w:hAnsi="Book Antiqua"/>
          <w:color w:val="000000" w:themeColor="text1"/>
          <w:sz w:val="24"/>
          <w:szCs w:val="24"/>
        </w:rPr>
        <w:t xml:space="preserve">; </w:t>
      </w:r>
      <w:r w:rsidR="004B4F92" w:rsidRPr="00C16015">
        <w:rPr>
          <w:rFonts w:ascii="Book Antiqua" w:hAnsi="Book Antiqua"/>
          <w:color w:val="000000" w:themeColor="text1"/>
          <w:sz w:val="24"/>
          <w:szCs w:val="24"/>
        </w:rPr>
        <w:t>Docetaxel</w:t>
      </w:r>
      <w:r w:rsidRPr="00C16015">
        <w:rPr>
          <w:rFonts w:ascii="Book Antiqua" w:hAnsi="Book Antiqua"/>
          <w:color w:val="000000" w:themeColor="text1"/>
          <w:sz w:val="24"/>
          <w:szCs w:val="24"/>
        </w:rPr>
        <w:t xml:space="preserve">; </w:t>
      </w:r>
      <w:r w:rsidR="004B4F92" w:rsidRPr="00C16015">
        <w:rPr>
          <w:rFonts w:ascii="Book Antiqua" w:hAnsi="Book Antiqua"/>
          <w:color w:val="000000" w:themeColor="text1"/>
          <w:sz w:val="24"/>
          <w:szCs w:val="24"/>
        </w:rPr>
        <w:t xml:space="preserve">Gastric </w:t>
      </w:r>
      <w:r w:rsidRPr="00C16015">
        <w:rPr>
          <w:rFonts w:ascii="Book Antiqua" w:hAnsi="Book Antiqua"/>
          <w:color w:val="000000" w:themeColor="text1"/>
          <w:sz w:val="24"/>
          <w:szCs w:val="24"/>
        </w:rPr>
        <w:t xml:space="preserve">cancer; </w:t>
      </w:r>
      <w:r w:rsidR="004B4F92" w:rsidRPr="00C16015">
        <w:rPr>
          <w:rFonts w:ascii="Book Antiqua" w:hAnsi="Book Antiqua"/>
          <w:color w:val="000000" w:themeColor="text1"/>
          <w:sz w:val="24"/>
          <w:szCs w:val="24"/>
        </w:rPr>
        <w:t>Carcinoma</w:t>
      </w:r>
      <w:r w:rsidRPr="00C16015">
        <w:rPr>
          <w:rFonts w:ascii="Book Antiqua" w:hAnsi="Book Antiqua"/>
          <w:color w:val="000000" w:themeColor="text1"/>
          <w:sz w:val="24"/>
          <w:szCs w:val="24"/>
        </w:rPr>
        <w:t xml:space="preserve">; </w:t>
      </w:r>
      <w:r w:rsidR="004B4F92" w:rsidRPr="00C16015">
        <w:rPr>
          <w:rFonts w:ascii="Book Antiqua" w:hAnsi="Book Antiqua"/>
          <w:color w:val="000000" w:themeColor="text1"/>
          <w:sz w:val="24"/>
          <w:szCs w:val="24"/>
        </w:rPr>
        <w:t xml:space="preserve">Intraperitoneal </w:t>
      </w:r>
      <w:r w:rsidRPr="00C16015">
        <w:rPr>
          <w:rFonts w:ascii="Book Antiqua" w:hAnsi="Book Antiqua"/>
          <w:color w:val="000000" w:themeColor="text1"/>
          <w:sz w:val="24"/>
          <w:szCs w:val="24"/>
        </w:rPr>
        <w:t xml:space="preserve">infusions; </w:t>
      </w:r>
      <w:proofErr w:type="spellStart"/>
      <w:r w:rsidR="004B4F92" w:rsidRPr="00C16015">
        <w:rPr>
          <w:rFonts w:ascii="Book Antiqua" w:hAnsi="Book Antiqua"/>
          <w:color w:val="000000" w:themeColor="text1"/>
          <w:sz w:val="24"/>
          <w:szCs w:val="24"/>
        </w:rPr>
        <w:t>Cytoreduction</w:t>
      </w:r>
      <w:proofErr w:type="spellEnd"/>
      <w:r w:rsidR="004B4F92" w:rsidRPr="00C16015">
        <w:rPr>
          <w:rFonts w:ascii="Book Antiqua" w:hAnsi="Book Antiqua"/>
          <w:color w:val="000000" w:themeColor="text1"/>
          <w:sz w:val="24"/>
          <w:szCs w:val="24"/>
        </w:rPr>
        <w:t xml:space="preserve"> </w:t>
      </w:r>
      <w:r w:rsidRPr="00C16015">
        <w:rPr>
          <w:rFonts w:ascii="Book Antiqua" w:hAnsi="Book Antiqua"/>
          <w:color w:val="000000" w:themeColor="text1"/>
          <w:sz w:val="24"/>
          <w:szCs w:val="24"/>
        </w:rPr>
        <w:t>surgical procedures</w:t>
      </w:r>
    </w:p>
    <w:p w14:paraId="35102B52" w14:textId="77777777" w:rsidR="00C035B8" w:rsidRPr="00C16015" w:rsidRDefault="00C035B8" w:rsidP="00C16015">
      <w:pPr>
        <w:widowControl/>
        <w:spacing w:line="360" w:lineRule="auto"/>
        <w:rPr>
          <w:rFonts w:ascii="Book Antiqua" w:hAnsi="Book Antiqua"/>
          <w:b/>
          <w:color w:val="000000" w:themeColor="text1"/>
          <w:sz w:val="24"/>
          <w:szCs w:val="24"/>
        </w:rPr>
      </w:pPr>
    </w:p>
    <w:p w14:paraId="562D6533" w14:textId="77777777" w:rsidR="00001093" w:rsidRPr="00C16015" w:rsidRDefault="00001093" w:rsidP="00C16015">
      <w:pPr>
        <w:spacing w:line="360" w:lineRule="auto"/>
        <w:rPr>
          <w:rFonts w:ascii="Book Antiqua" w:hAnsi="Book Antiqua"/>
          <w:i/>
          <w:iCs/>
          <w:color w:val="000000" w:themeColor="text1"/>
          <w:sz w:val="24"/>
          <w:szCs w:val="24"/>
        </w:rPr>
      </w:pPr>
      <w:proofErr w:type="gramStart"/>
      <w:r w:rsidRPr="00C16015">
        <w:rPr>
          <w:rFonts w:ascii="Book Antiqua" w:hAnsi="Book Antiqua" w:cs="Tahoma"/>
          <w:b/>
          <w:color w:val="000000" w:themeColor="text1"/>
          <w:sz w:val="24"/>
          <w:szCs w:val="24"/>
          <w:lang w:val="en-GB"/>
        </w:rPr>
        <w:t xml:space="preserve">© </w:t>
      </w:r>
      <w:r w:rsidRPr="00C16015">
        <w:rPr>
          <w:rFonts w:ascii="Book Antiqua" w:eastAsia="AdvTimes" w:hAnsi="Book Antiqua" w:cs="AdvTimes"/>
          <w:b/>
          <w:color w:val="000000" w:themeColor="text1"/>
          <w:sz w:val="24"/>
          <w:szCs w:val="24"/>
          <w:lang w:val="fr-FR"/>
        </w:rPr>
        <w:t>The Author(s) 2015.</w:t>
      </w:r>
      <w:proofErr w:type="gramEnd"/>
      <w:r w:rsidRPr="00C16015">
        <w:rPr>
          <w:rFonts w:ascii="Book Antiqua" w:eastAsia="AdvTimes" w:hAnsi="Book Antiqua" w:cs="AdvTimes"/>
          <w:color w:val="000000" w:themeColor="text1"/>
          <w:sz w:val="24"/>
          <w:szCs w:val="24"/>
          <w:lang w:val="fr-FR"/>
        </w:rPr>
        <w:t xml:space="preserve"> Published by </w:t>
      </w:r>
      <w:proofErr w:type="spellStart"/>
      <w:r w:rsidRPr="00C16015">
        <w:rPr>
          <w:rFonts w:ascii="Book Antiqua" w:hAnsi="Book Antiqua" w:cs="Arial Unicode MS"/>
          <w:color w:val="000000" w:themeColor="text1"/>
          <w:sz w:val="24"/>
          <w:szCs w:val="24"/>
          <w:lang w:val="en-GB"/>
        </w:rPr>
        <w:t>Baishideng</w:t>
      </w:r>
      <w:proofErr w:type="spellEnd"/>
      <w:r w:rsidRPr="00C16015">
        <w:rPr>
          <w:rFonts w:ascii="Book Antiqua" w:hAnsi="Book Antiqua" w:cs="Arial Unicode MS"/>
          <w:color w:val="000000" w:themeColor="text1"/>
          <w:sz w:val="24"/>
          <w:szCs w:val="24"/>
          <w:lang w:val="en-GB"/>
        </w:rPr>
        <w:t xml:space="preserve"> Publishing Group Inc. </w:t>
      </w:r>
      <w:r w:rsidRPr="00C16015">
        <w:rPr>
          <w:rFonts w:ascii="Book Antiqua" w:hAnsi="Book Antiqua" w:cs="Arial Unicode MS"/>
          <w:color w:val="000000" w:themeColor="text1"/>
          <w:sz w:val="24"/>
          <w:szCs w:val="24"/>
          <w:lang w:val="fr-FR"/>
        </w:rPr>
        <w:t>All rights reserved.</w:t>
      </w:r>
    </w:p>
    <w:p w14:paraId="196439F5" w14:textId="77777777" w:rsidR="00C035B8" w:rsidRPr="00C16015" w:rsidRDefault="00C035B8" w:rsidP="00C16015">
      <w:pPr>
        <w:widowControl/>
        <w:spacing w:line="360" w:lineRule="auto"/>
        <w:rPr>
          <w:rFonts w:ascii="Book Antiqua" w:hAnsi="Book Antiqua"/>
          <w:b/>
          <w:color w:val="000000" w:themeColor="text1"/>
          <w:sz w:val="24"/>
          <w:szCs w:val="24"/>
        </w:rPr>
      </w:pPr>
    </w:p>
    <w:p w14:paraId="1CCD03BE" w14:textId="77777777" w:rsidR="00015D39" w:rsidRPr="00C16015" w:rsidRDefault="00015D39" w:rsidP="00C16015">
      <w:pPr>
        <w:widowControl/>
        <w:spacing w:line="360" w:lineRule="auto"/>
        <w:rPr>
          <w:rFonts w:ascii="Book Antiqua" w:hAnsi="Book Antiqua"/>
          <w:color w:val="000000" w:themeColor="text1"/>
          <w:sz w:val="24"/>
          <w:szCs w:val="24"/>
        </w:rPr>
      </w:pPr>
      <w:r w:rsidRPr="00C16015">
        <w:rPr>
          <w:rFonts w:ascii="Book Antiqua" w:hAnsi="Book Antiqua"/>
          <w:b/>
          <w:color w:val="000000" w:themeColor="text1"/>
          <w:sz w:val="24"/>
          <w:szCs w:val="24"/>
        </w:rPr>
        <w:t xml:space="preserve">Core tip: </w:t>
      </w:r>
      <w:r w:rsidRPr="00C16015">
        <w:rPr>
          <w:rFonts w:ascii="Book Antiqua" w:hAnsi="Book Antiqua"/>
          <w:color w:val="000000" w:themeColor="text1"/>
          <w:sz w:val="24"/>
          <w:szCs w:val="24"/>
        </w:rPr>
        <w:t xml:space="preserve">Herein, we provided an overview on the recent advances in intraperitoneal (IP) chemotherapy using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w:t>
      </w:r>
      <w:r w:rsidRPr="00C16015">
        <w:rPr>
          <w:rFonts w:ascii="Book Antiqua" w:hAnsi="Book Antiqua"/>
          <w:i/>
          <w:color w:val="000000" w:themeColor="text1"/>
          <w:sz w:val="24"/>
          <w:szCs w:val="24"/>
        </w:rPr>
        <w:t>e.g.,</w:t>
      </w:r>
      <w:r w:rsidRPr="00C16015">
        <w:rPr>
          <w:rFonts w:ascii="Book Antiqua" w:hAnsi="Book Antiqua"/>
          <w:color w:val="000000" w:themeColor="text1"/>
          <w:sz w:val="24"/>
          <w:szCs w:val="24"/>
        </w:rPr>
        <w:t xml:space="preserve"> paclitaxel and docetaxel) for peritoneal </w:t>
      </w:r>
      <w:proofErr w:type="spellStart"/>
      <w:r w:rsidRPr="00C16015">
        <w:rPr>
          <w:rFonts w:ascii="Book Antiqua" w:hAnsi="Book Antiqua"/>
          <w:color w:val="000000" w:themeColor="text1"/>
          <w:sz w:val="24"/>
          <w:szCs w:val="24"/>
        </w:rPr>
        <w:t>carcinomatosis</w:t>
      </w:r>
      <w:proofErr w:type="spellEnd"/>
      <w:r w:rsidRPr="00C16015">
        <w:rPr>
          <w:rFonts w:ascii="Book Antiqua" w:hAnsi="Book Antiqua"/>
          <w:color w:val="000000" w:themeColor="text1"/>
          <w:sz w:val="24"/>
          <w:szCs w:val="24"/>
        </w:rPr>
        <w:t xml:space="preserve"> of gastric cancer. In particular, we focus on the rationale of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treatment methodology, and results of current clinical studies. Intraperitoneally administered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remain in the intraperitoneal cavity for a long time, and they directly infiltrate the peritoneal metastatic nodule from the surface. Therefore, the repeated intra-abdominal administration of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through an intraperitoneal access port is needed to increase the antitumor effect of IP chemotherapy. </w:t>
      </w:r>
    </w:p>
    <w:p w14:paraId="071F858E" w14:textId="77777777" w:rsidR="00001093" w:rsidRPr="00C16015" w:rsidRDefault="00001093" w:rsidP="00C16015">
      <w:pPr>
        <w:spacing w:line="360" w:lineRule="auto"/>
        <w:rPr>
          <w:rFonts w:ascii="Book Antiqua" w:eastAsia="宋体" w:hAnsi="Book Antiqua"/>
          <w:b/>
          <w:color w:val="000000" w:themeColor="text1"/>
          <w:sz w:val="24"/>
          <w:szCs w:val="24"/>
          <w:lang w:eastAsia="zh-CN"/>
        </w:rPr>
      </w:pPr>
    </w:p>
    <w:p w14:paraId="5B22B0EB" w14:textId="77777777" w:rsidR="00001093" w:rsidRPr="00C16015" w:rsidRDefault="00001093"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sz w:val="24"/>
          <w:szCs w:val="24"/>
        </w:rPr>
        <w:t>Yamaguchi H</w:t>
      </w:r>
      <w:r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kern w:val="0"/>
          <w:sz w:val="24"/>
          <w:szCs w:val="24"/>
          <w:lang w:val="en-GB"/>
        </w:rPr>
        <w:t xml:space="preserve"> </w:t>
      </w:r>
      <w:proofErr w:type="spellStart"/>
      <w:r w:rsidRPr="00C16015">
        <w:rPr>
          <w:rFonts w:ascii="Book Antiqua" w:hAnsi="Book Antiqua"/>
          <w:color w:val="000000" w:themeColor="text1"/>
          <w:kern w:val="0"/>
          <w:sz w:val="24"/>
          <w:szCs w:val="24"/>
          <w:lang w:val="en-GB"/>
        </w:rPr>
        <w:t>Kitayama</w:t>
      </w:r>
      <w:proofErr w:type="spellEnd"/>
      <w:r w:rsidRPr="00C16015">
        <w:rPr>
          <w:rFonts w:ascii="Book Antiqua" w:eastAsia="宋体" w:hAnsi="Book Antiqua"/>
          <w:color w:val="000000" w:themeColor="text1"/>
          <w:kern w:val="0"/>
          <w:sz w:val="24"/>
          <w:szCs w:val="24"/>
          <w:lang w:val="en-GB" w:eastAsia="zh-CN"/>
        </w:rPr>
        <w:t xml:space="preserve"> J, </w:t>
      </w:r>
      <w:proofErr w:type="spellStart"/>
      <w:r w:rsidRPr="00C16015">
        <w:rPr>
          <w:rFonts w:ascii="Book Antiqua" w:hAnsi="Book Antiqua"/>
          <w:color w:val="000000" w:themeColor="text1"/>
          <w:kern w:val="0"/>
          <w:sz w:val="24"/>
          <w:szCs w:val="24"/>
        </w:rPr>
        <w:t>Ishigami</w:t>
      </w:r>
      <w:proofErr w:type="spellEnd"/>
      <w:r w:rsidRPr="00C16015">
        <w:rPr>
          <w:rFonts w:ascii="Book Antiqua" w:eastAsia="宋体" w:hAnsi="Book Antiqua"/>
          <w:color w:val="000000" w:themeColor="text1"/>
          <w:kern w:val="0"/>
          <w:sz w:val="24"/>
          <w:szCs w:val="24"/>
          <w:lang w:eastAsia="zh-CN"/>
        </w:rPr>
        <w:t xml:space="preserve"> H, </w:t>
      </w:r>
      <w:proofErr w:type="spellStart"/>
      <w:r w:rsidRPr="00C16015">
        <w:rPr>
          <w:rFonts w:ascii="Book Antiqua" w:hAnsi="Book Antiqua"/>
          <w:color w:val="000000" w:themeColor="text1"/>
          <w:kern w:val="0"/>
          <w:sz w:val="24"/>
          <w:szCs w:val="24"/>
          <w:lang w:val="en-GB"/>
        </w:rPr>
        <w:t>Kazama</w:t>
      </w:r>
      <w:proofErr w:type="spellEnd"/>
      <w:r w:rsidRPr="00C16015">
        <w:rPr>
          <w:rFonts w:ascii="Book Antiqua" w:eastAsia="宋体" w:hAnsi="Book Antiqua"/>
          <w:color w:val="000000" w:themeColor="text1"/>
          <w:kern w:val="0"/>
          <w:sz w:val="24"/>
          <w:szCs w:val="24"/>
          <w:lang w:val="en-GB" w:eastAsia="zh-CN"/>
        </w:rPr>
        <w:t xml:space="preserve"> S, </w:t>
      </w:r>
      <w:proofErr w:type="spellStart"/>
      <w:r w:rsidRPr="00C16015">
        <w:rPr>
          <w:rFonts w:ascii="Book Antiqua" w:hAnsi="Book Antiqua"/>
          <w:color w:val="000000" w:themeColor="text1"/>
          <w:kern w:val="0"/>
          <w:sz w:val="24"/>
          <w:szCs w:val="24"/>
          <w:lang w:val="en-GB"/>
        </w:rPr>
        <w:t>Nozawa</w:t>
      </w:r>
      <w:proofErr w:type="spellEnd"/>
      <w:r w:rsidRPr="00C16015">
        <w:rPr>
          <w:rFonts w:ascii="Book Antiqua" w:eastAsia="宋体" w:hAnsi="Book Antiqua"/>
          <w:color w:val="000000" w:themeColor="text1"/>
          <w:kern w:val="0"/>
          <w:sz w:val="24"/>
          <w:szCs w:val="24"/>
          <w:lang w:val="en-GB" w:eastAsia="zh-CN"/>
        </w:rPr>
        <w:t xml:space="preserve"> H, </w:t>
      </w:r>
      <w:r w:rsidRPr="00C16015">
        <w:rPr>
          <w:rFonts w:ascii="Book Antiqua" w:hAnsi="Book Antiqua"/>
          <w:color w:val="000000" w:themeColor="text1"/>
          <w:kern w:val="0"/>
          <w:sz w:val="24"/>
          <w:szCs w:val="24"/>
          <w:lang w:val="en-GB"/>
        </w:rPr>
        <w:t>Kawai</w:t>
      </w:r>
      <w:r w:rsidRPr="00C16015">
        <w:rPr>
          <w:rFonts w:ascii="Book Antiqua" w:eastAsia="宋体" w:hAnsi="Book Antiqua"/>
          <w:color w:val="000000" w:themeColor="text1"/>
          <w:kern w:val="0"/>
          <w:sz w:val="24"/>
          <w:szCs w:val="24"/>
          <w:lang w:val="en-GB" w:eastAsia="zh-CN"/>
        </w:rPr>
        <w:t xml:space="preserve"> K, </w:t>
      </w:r>
      <w:proofErr w:type="spellStart"/>
      <w:r w:rsidRPr="00C16015">
        <w:rPr>
          <w:rFonts w:ascii="Book Antiqua" w:hAnsi="Book Antiqua"/>
          <w:color w:val="000000" w:themeColor="text1"/>
          <w:kern w:val="0"/>
          <w:sz w:val="24"/>
          <w:szCs w:val="24"/>
          <w:lang w:val="en-GB"/>
        </w:rPr>
        <w:t>Hata</w:t>
      </w:r>
      <w:proofErr w:type="spellEnd"/>
      <w:r w:rsidRPr="00C16015">
        <w:rPr>
          <w:rFonts w:ascii="Book Antiqua" w:eastAsia="宋体" w:hAnsi="Book Antiqua"/>
          <w:color w:val="000000" w:themeColor="text1"/>
          <w:kern w:val="0"/>
          <w:sz w:val="24"/>
          <w:szCs w:val="24"/>
          <w:lang w:val="en-GB" w:eastAsia="zh-CN"/>
        </w:rPr>
        <w:t xml:space="preserve"> K, </w:t>
      </w:r>
      <w:proofErr w:type="spellStart"/>
      <w:r w:rsidRPr="00C16015">
        <w:rPr>
          <w:rFonts w:ascii="Book Antiqua" w:hAnsi="Book Antiqua"/>
          <w:color w:val="000000" w:themeColor="text1"/>
          <w:kern w:val="0"/>
          <w:sz w:val="24"/>
          <w:szCs w:val="24"/>
          <w:lang w:val="en-GB"/>
        </w:rPr>
        <w:t>Kiyomatsu</w:t>
      </w:r>
      <w:proofErr w:type="spellEnd"/>
      <w:r w:rsidRPr="00C16015">
        <w:rPr>
          <w:rFonts w:ascii="Book Antiqua" w:eastAsia="宋体" w:hAnsi="Book Antiqua"/>
          <w:color w:val="000000" w:themeColor="text1"/>
          <w:kern w:val="0"/>
          <w:sz w:val="24"/>
          <w:szCs w:val="24"/>
          <w:lang w:val="en-GB" w:eastAsia="zh-CN"/>
        </w:rPr>
        <w:t xml:space="preserve"> T, </w:t>
      </w:r>
      <w:r w:rsidRPr="00C16015">
        <w:rPr>
          <w:rFonts w:ascii="Book Antiqua" w:hAnsi="Book Antiqua"/>
          <w:color w:val="000000" w:themeColor="text1"/>
          <w:kern w:val="0"/>
          <w:sz w:val="24"/>
          <w:szCs w:val="24"/>
          <w:lang w:val="en-GB"/>
        </w:rPr>
        <w:t>Tanaka</w:t>
      </w:r>
      <w:r w:rsidRPr="00C16015">
        <w:rPr>
          <w:rFonts w:ascii="Book Antiqua" w:eastAsia="宋体" w:hAnsi="Book Antiqua"/>
          <w:color w:val="000000" w:themeColor="text1"/>
          <w:kern w:val="0"/>
          <w:sz w:val="24"/>
          <w:szCs w:val="24"/>
          <w:lang w:val="en-GB" w:eastAsia="zh-CN"/>
        </w:rPr>
        <w:t xml:space="preserve"> T, </w:t>
      </w:r>
      <w:r w:rsidRPr="00C16015">
        <w:rPr>
          <w:rFonts w:ascii="Book Antiqua" w:hAnsi="Book Antiqua"/>
          <w:color w:val="000000" w:themeColor="text1"/>
          <w:kern w:val="0"/>
          <w:sz w:val="24"/>
          <w:szCs w:val="24"/>
          <w:lang w:val="en-GB"/>
        </w:rPr>
        <w:t>Tanaka</w:t>
      </w:r>
      <w:r w:rsidRPr="00C16015">
        <w:rPr>
          <w:rFonts w:ascii="Book Antiqua" w:eastAsia="宋体" w:hAnsi="Book Antiqua"/>
          <w:color w:val="000000" w:themeColor="text1"/>
          <w:kern w:val="0"/>
          <w:sz w:val="24"/>
          <w:szCs w:val="24"/>
          <w:lang w:val="en-GB" w:eastAsia="zh-CN"/>
        </w:rPr>
        <w:t xml:space="preserve"> J, </w:t>
      </w:r>
      <w:r w:rsidRPr="00C16015">
        <w:rPr>
          <w:rFonts w:ascii="Book Antiqua" w:hAnsi="Book Antiqua"/>
          <w:color w:val="000000" w:themeColor="text1"/>
          <w:kern w:val="0"/>
          <w:sz w:val="24"/>
          <w:szCs w:val="24"/>
          <w:lang w:val="en-GB"/>
        </w:rPr>
        <w:t>Nishikawa</w:t>
      </w:r>
      <w:r w:rsidRPr="00C16015">
        <w:rPr>
          <w:rFonts w:ascii="Book Antiqua" w:eastAsia="宋体" w:hAnsi="Book Antiqua"/>
          <w:color w:val="000000" w:themeColor="text1"/>
          <w:kern w:val="0"/>
          <w:sz w:val="24"/>
          <w:szCs w:val="24"/>
          <w:lang w:val="en-GB" w:eastAsia="zh-CN"/>
        </w:rPr>
        <w:t xml:space="preserve"> T, </w:t>
      </w:r>
      <w:proofErr w:type="spellStart"/>
      <w:r w:rsidRPr="00C16015">
        <w:rPr>
          <w:rFonts w:ascii="Book Antiqua" w:hAnsi="Book Antiqua"/>
          <w:color w:val="000000" w:themeColor="text1"/>
          <w:kern w:val="0"/>
          <w:sz w:val="24"/>
          <w:szCs w:val="24"/>
          <w:lang w:val="en-GB"/>
        </w:rPr>
        <w:t>Otani</w:t>
      </w:r>
      <w:proofErr w:type="spellEnd"/>
      <w:r w:rsidRPr="00C16015">
        <w:rPr>
          <w:rFonts w:ascii="Book Antiqua" w:eastAsia="宋体" w:hAnsi="Book Antiqua"/>
          <w:color w:val="000000" w:themeColor="text1"/>
          <w:kern w:val="0"/>
          <w:sz w:val="24"/>
          <w:szCs w:val="24"/>
          <w:lang w:val="en-GB" w:eastAsia="zh-CN"/>
        </w:rPr>
        <w:t xml:space="preserve"> K, </w:t>
      </w:r>
      <w:r w:rsidRPr="00C16015">
        <w:rPr>
          <w:rFonts w:ascii="Book Antiqua" w:hAnsi="Book Antiqua"/>
          <w:color w:val="000000" w:themeColor="text1"/>
          <w:kern w:val="0"/>
          <w:sz w:val="24"/>
          <w:szCs w:val="24"/>
          <w:lang w:val="en-GB"/>
        </w:rPr>
        <w:t>Yasuda</w:t>
      </w:r>
      <w:r w:rsidRPr="00C16015">
        <w:rPr>
          <w:rFonts w:ascii="Book Antiqua" w:eastAsia="宋体" w:hAnsi="Book Antiqua"/>
          <w:color w:val="000000" w:themeColor="text1"/>
          <w:kern w:val="0"/>
          <w:sz w:val="24"/>
          <w:szCs w:val="24"/>
          <w:lang w:val="en-GB" w:eastAsia="zh-CN"/>
        </w:rPr>
        <w:t xml:space="preserve"> K, </w:t>
      </w:r>
      <w:r w:rsidRPr="00C16015">
        <w:rPr>
          <w:rFonts w:ascii="Book Antiqua" w:hAnsi="Book Antiqua"/>
          <w:color w:val="000000" w:themeColor="text1"/>
          <w:kern w:val="0"/>
          <w:sz w:val="24"/>
          <w:szCs w:val="24"/>
          <w:lang w:val="en-GB"/>
        </w:rPr>
        <w:t>Ishihara</w:t>
      </w:r>
      <w:r w:rsidRPr="00C16015">
        <w:rPr>
          <w:rFonts w:ascii="Book Antiqua" w:eastAsia="宋体" w:hAnsi="Book Antiqua"/>
          <w:color w:val="000000" w:themeColor="text1"/>
          <w:kern w:val="0"/>
          <w:sz w:val="24"/>
          <w:szCs w:val="24"/>
          <w:lang w:val="en-GB" w:eastAsia="zh-CN"/>
        </w:rPr>
        <w:t xml:space="preserve"> S, </w:t>
      </w:r>
      <w:proofErr w:type="spellStart"/>
      <w:r w:rsidRPr="00C16015">
        <w:rPr>
          <w:rFonts w:ascii="Book Antiqua" w:hAnsi="Book Antiqua"/>
          <w:color w:val="000000" w:themeColor="text1"/>
          <w:kern w:val="0"/>
          <w:sz w:val="24"/>
          <w:szCs w:val="24"/>
          <w:lang w:val="en-GB"/>
        </w:rPr>
        <w:t>Sunami</w:t>
      </w:r>
      <w:proofErr w:type="spellEnd"/>
      <w:r w:rsidRPr="00C16015">
        <w:rPr>
          <w:rFonts w:ascii="Book Antiqua" w:eastAsia="宋体" w:hAnsi="Book Antiqua"/>
          <w:color w:val="000000" w:themeColor="text1"/>
          <w:kern w:val="0"/>
          <w:sz w:val="24"/>
          <w:szCs w:val="24"/>
          <w:lang w:val="en-GB" w:eastAsia="zh-CN"/>
        </w:rPr>
        <w:t xml:space="preserve"> E, </w:t>
      </w:r>
      <w:r w:rsidRPr="00C16015">
        <w:rPr>
          <w:rFonts w:ascii="Book Antiqua" w:hAnsi="Book Antiqua"/>
          <w:color w:val="000000" w:themeColor="text1"/>
          <w:kern w:val="0"/>
          <w:sz w:val="24"/>
          <w:szCs w:val="24"/>
          <w:lang w:val="en-GB"/>
        </w:rPr>
        <w:t>Watanabe</w:t>
      </w:r>
      <w:r w:rsidRPr="00C16015">
        <w:rPr>
          <w:rFonts w:ascii="Book Antiqua" w:eastAsia="宋体" w:hAnsi="Book Antiqua"/>
          <w:color w:val="000000" w:themeColor="text1"/>
          <w:kern w:val="0"/>
          <w:sz w:val="24"/>
          <w:szCs w:val="24"/>
          <w:lang w:val="en-GB" w:eastAsia="zh-CN"/>
        </w:rPr>
        <w:t xml:space="preserve"> T.</w:t>
      </w:r>
      <w:r w:rsidRPr="00C16015">
        <w:rPr>
          <w:rFonts w:ascii="Book Antiqua" w:hAnsi="Book Antiqua"/>
          <w:color w:val="000000" w:themeColor="text1"/>
          <w:kern w:val="0"/>
          <w:sz w:val="24"/>
          <w:szCs w:val="24"/>
        </w:rPr>
        <w:t xml:space="preserve"> Breakthrough therapy for peritoneal </w:t>
      </w:r>
      <w:proofErr w:type="spellStart"/>
      <w:r w:rsidRPr="00C16015">
        <w:rPr>
          <w:rFonts w:ascii="Book Antiqua" w:hAnsi="Book Antiqua"/>
          <w:color w:val="000000" w:themeColor="text1"/>
          <w:kern w:val="0"/>
          <w:sz w:val="24"/>
          <w:szCs w:val="24"/>
        </w:rPr>
        <w:t>carcinomatosis</w:t>
      </w:r>
      <w:proofErr w:type="spellEnd"/>
      <w:r w:rsidRPr="00C16015">
        <w:rPr>
          <w:rFonts w:ascii="Book Antiqua" w:hAnsi="Book Antiqua"/>
          <w:color w:val="000000" w:themeColor="text1"/>
          <w:kern w:val="0"/>
          <w:sz w:val="24"/>
          <w:szCs w:val="24"/>
        </w:rPr>
        <w:t xml:space="preserve"> of gastric cancer: Intraperitoneal chemotherapy with </w:t>
      </w:r>
      <w:proofErr w:type="spellStart"/>
      <w:r w:rsidRPr="00C16015">
        <w:rPr>
          <w:rFonts w:ascii="Book Antiqua" w:hAnsi="Book Antiqua"/>
          <w:color w:val="000000" w:themeColor="text1"/>
          <w:kern w:val="0"/>
          <w:sz w:val="24"/>
          <w:szCs w:val="24"/>
        </w:rPr>
        <w:t>taxanes</w:t>
      </w:r>
      <w:proofErr w:type="spellEnd"/>
      <w:r w:rsidRPr="00C16015">
        <w:rPr>
          <w:rFonts w:ascii="Book Antiqua" w:eastAsia="宋体" w:hAnsi="Book Antiqua"/>
          <w:color w:val="000000" w:themeColor="text1"/>
          <w:kern w:val="0"/>
          <w:sz w:val="24"/>
          <w:szCs w:val="24"/>
          <w:lang w:eastAsia="zh-CN"/>
        </w:rPr>
        <w:t xml:space="preserve">. </w:t>
      </w:r>
      <w:r w:rsidRPr="00C16015">
        <w:rPr>
          <w:rFonts w:ascii="Book Antiqua" w:hAnsi="Book Antiqua"/>
          <w:i/>
          <w:iCs/>
          <w:color w:val="000000" w:themeColor="text1"/>
          <w:sz w:val="24"/>
          <w:szCs w:val="24"/>
        </w:rPr>
        <w:t xml:space="preserve">World J </w:t>
      </w:r>
      <w:proofErr w:type="spellStart"/>
      <w:r w:rsidRPr="00C16015">
        <w:rPr>
          <w:rFonts w:ascii="Book Antiqua" w:hAnsi="Book Antiqua"/>
          <w:i/>
          <w:iCs/>
          <w:color w:val="000000" w:themeColor="text1"/>
          <w:sz w:val="24"/>
          <w:szCs w:val="24"/>
        </w:rPr>
        <w:t>Gastrointest</w:t>
      </w:r>
      <w:proofErr w:type="spellEnd"/>
      <w:r w:rsidRPr="00C16015">
        <w:rPr>
          <w:rFonts w:ascii="Book Antiqua" w:hAnsi="Book Antiqua"/>
          <w:i/>
          <w:iCs/>
          <w:color w:val="000000" w:themeColor="text1"/>
          <w:sz w:val="24"/>
          <w:szCs w:val="24"/>
        </w:rPr>
        <w:t xml:space="preserve"> </w:t>
      </w:r>
      <w:proofErr w:type="spellStart"/>
      <w:r w:rsidRPr="00C16015">
        <w:rPr>
          <w:rFonts w:ascii="Book Antiqua" w:hAnsi="Book Antiqua"/>
          <w:i/>
          <w:iCs/>
          <w:color w:val="000000" w:themeColor="text1"/>
          <w:sz w:val="24"/>
          <w:szCs w:val="24"/>
        </w:rPr>
        <w:t>Oncol</w:t>
      </w:r>
      <w:proofErr w:type="spellEnd"/>
      <w:r w:rsidRPr="00C16015">
        <w:rPr>
          <w:rFonts w:ascii="Book Antiqua" w:eastAsia="宋体" w:hAnsi="Book Antiqua"/>
          <w:iCs/>
          <w:color w:val="000000" w:themeColor="text1"/>
          <w:sz w:val="24"/>
          <w:szCs w:val="24"/>
          <w:lang w:eastAsia="zh-CN"/>
        </w:rPr>
        <w:t xml:space="preserve"> 2015; </w:t>
      </w:r>
      <w:proofErr w:type="gramStart"/>
      <w:r w:rsidRPr="00C16015">
        <w:rPr>
          <w:rFonts w:ascii="Book Antiqua" w:eastAsia="宋体" w:hAnsi="Book Antiqua"/>
          <w:iCs/>
          <w:color w:val="000000" w:themeColor="text1"/>
          <w:sz w:val="24"/>
          <w:szCs w:val="24"/>
          <w:lang w:eastAsia="zh-CN"/>
        </w:rPr>
        <w:t>In</w:t>
      </w:r>
      <w:proofErr w:type="gramEnd"/>
      <w:r w:rsidRPr="00C16015">
        <w:rPr>
          <w:rFonts w:ascii="Book Antiqua" w:eastAsia="宋体" w:hAnsi="Book Antiqua"/>
          <w:iCs/>
          <w:color w:val="000000" w:themeColor="text1"/>
          <w:sz w:val="24"/>
          <w:szCs w:val="24"/>
          <w:lang w:eastAsia="zh-CN"/>
        </w:rPr>
        <w:t xml:space="preserve"> press</w:t>
      </w:r>
    </w:p>
    <w:p w14:paraId="3E6B0EAA" w14:textId="5CEA0927" w:rsidR="00015D39"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b/>
          <w:color w:val="000000" w:themeColor="text1"/>
          <w:sz w:val="24"/>
          <w:szCs w:val="24"/>
        </w:rPr>
        <w:lastRenderedPageBreak/>
        <w:t>INTRODUCTION</w:t>
      </w:r>
    </w:p>
    <w:p w14:paraId="323532E6" w14:textId="35FB0DF6" w:rsidR="00001093" w:rsidRPr="00C16015" w:rsidRDefault="00015D39" w:rsidP="00C16015">
      <w:pPr>
        <w:widowControl/>
        <w:spacing w:line="360" w:lineRule="auto"/>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t xml:space="preserve">Gastric cancer is the fourth most common cancer worldwide, and it is the second leading cause of cancer-related </w:t>
      </w:r>
      <w:proofErr w:type="gramStart"/>
      <w:r w:rsidRPr="00C16015">
        <w:rPr>
          <w:rFonts w:ascii="Book Antiqua" w:hAnsi="Book Antiqua"/>
          <w:color w:val="000000" w:themeColor="text1"/>
          <w:sz w:val="24"/>
          <w:szCs w:val="24"/>
        </w:rPr>
        <w:t>deaths</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1]</w:t>
      </w:r>
      <w:r w:rsidRPr="00C16015">
        <w:rPr>
          <w:rFonts w:ascii="Book Antiqua" w:hAnsi="Book Antiqua"/>
          <w:color w:val="000000" w:themeColor="text1"/>
          <w:sz w:val="24"/>
          <w:szCs w:val="24"/>
        </w:rPr>
        <w:t xml:space="preserve">. Gastric cancer may disseminate along the inside surface of the peritoneal cavity, leading to peritoneal </w:t>
      </w:r>
      <w:proofErr w:type="spellStart"/>
      <w:r w:rsidRPr="00C16015">
        <w:rPr>
          <w:rFonts w:ascii="Book Antiqua" w:hAnsi="Book Antiqua"/>
          <w:color w:val="000000" w:themeColor="text1"/>
          <w:sz w:val="24"/>
          <w:szCs w:val="24"/>
        </w:rPr>
        <w:t>carcinomatosis</w:t>
      </w:r>
      <w:proofErr w:type="spellEnd"/>
      <w:r w:rsidRPr="00C16015">
        <w:rPr>
          <w:rFonts w:ascii="Book Antiqua" w:hAnsi="Book Antiqua"/>
          <w:color w:val="000000" w:themeColor="text1"/>
          <w:sz w:val="24"/>
          <w:szCs w:val="24"/>
        </w:rPr>
        <w:t xml:space="preserve"> (PC). PC is the most frequent mode of metastasis and recurrence in patients with gastric cancer. According to the national registry database of Japan, PC accounted for 51% of deaths in 355 patients with non-curable primary gastric </w:t>
      </w:r>
      <w:proofErr w:type="gramStart"/>
      <w:r w:rsidRPr="00C16015">
        <w:rPr>
          <w:rFonts w:ascii="Book Antiqua" w:hAnsi="Book Antiqua"/>
          <w:color w:val="000000" w:themeColor="text1"/>
          <w:sz w:val="24"/>
          <w:szCs w:val="24"/>
        </w:rPr>
        <w:t>cancer</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2]</w:t>
      </w:r>
      <w:r w:rsidRPr="00C16015">
        <w:rPr>
          <w:rFonts w:ascii="Book Antiqua" w:hAnsi="Book Antiqua"/>
          <w:color w:val="000000" w:themeColor="text1"/>
          <w:sz w:val="24"/>
          <w:szCs w:val="24"/>
        </w:rPr>
        <w:t>. The same database also revealed that PC was the mos</w:t>
      </w:r>
      <w:r w:rsidR="00001093" w:rsidRPr="00C16015">
        <w:rPr>
          <w:rFonts w:ascii="Book Antiqua" w:hAnsi="Book Antiqua"/>
          <w:color w:val="000000" w:themeColor="text1"/>
          <w:sz w:val="24"/>
          <w:szCs w:val="24"/>
        </w:rPr>
        <w:t>t frequent cause of death in 13</w:t>
      </w:r>
      <w:r w:rsidRPr="00C16015">
        <w:rPr>
          <w:rFonts w:ascii="Book Antiqua" w:hAnsi="Book Antiqua"/>
          <w:color w:val="000000" w:themeColor="text1"/>
          <w:sz w:val="24"/>
          <w:szCs w:val="24"/>
        </w:rPr>
        <w:t xml:space="preserve">002 patients who underwent gastrectomy for primary gastric </w:t>
      </w:r>
      <w:proofErr w:type="gramStart"/>
      <w:r w:rsidRPr="00C16015">
        <w:rPr>
          <w:rFonts w:ascii="Book Antiqua" w:hAnsi="Book Antiqua"/>
          <w:color w:val="000000" w:themeColor="text1"/>
          <w:sz w:val="24"/>
          <w:szCs w:val="24"/>
        </w:rPr>
        <w:t>cancer</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2]</w:t>
      </w:r>
      <w:r w:rsidRPr="00C16015">
        <w:rPr>
          <w:rFonts w:ascii="Book Antiqua" w:hAnsi="Book Antiqua"/>
          <w:color w:val="000000" w:themeColor="text1"/>
          <w:sz w:val="24"/>
          <w:szCs w:val="24"/>
        </w:rPr>
        <w:t xml:space="preserve">. </w:t>
      </w:r>
      <w:proofErr w:type="spellStart"/>
      <w:r w:rsidRPr="00C16015">
        <w:rPr>
          <w:rFonts w:ascii="Book Antiqua" w:hAnsi="Book Antiqua"/>
          <w:color w:val="000000" w:themeColor="text1"/>
          <w:sz w:val="24"/>
          <w:szCs w:val="24"/>
        </w:rPr>
        <w:t>Yoo</w:t>
      </w:r>
      <w:proofErr w:type="spellEnd"/>
      <w:r w:rsidR="00E14A02">
        <w:rPr>
          <w:rFonts w:ascii="Book Antiqua" w:eastAsia="宋体" w:hAnsi="Book Antiqua" w:hint="eastAsia"/>
          <w:color w:val="000000" w:themeColor="text1"/>
          <w:sz w:val="24"/>
          <w:szCs w:val="24"/>
          <w:lang w:eastAsia="zh-CN"/>
        </w:rPr>
        <w:t xml:space="preserve"> </w:t>
      </w:r>
      <w:r w:rsidR="00E14A02" w:rsidRPr="00E14A02">
        <w:rPr>
          <w:rFonts w:ascii="Book Antiqua" w:eastAsia="宋体" w:hAnsi="Book Antiqua" w:hint="eastAsia"/>
          <w:i/>
          <w:color w:val="000000" w:themeColor="text1"/>
          <w:sz w:val="24"/>
          <w:szCs w:val="24"/>
          <w:lang w:eastAsia="zh-CN"/>
        </w:rPr>
        <w:t>et al</w:t>
      </w:r>
      <w:r w:rsidR="00E14A02" w:rsidRPr="00C16015">
        <w:rPr>
          <w:rFonts w:ascii="Book Antiqua" w:hAnsi="Book Antiqua"/>
          <w:noProof/>
          <w:color w:val="000000" w:themeColor="text1"/>
          <w:sz w:val="24"/>
          <w:szCs w:val="24"/>
          <w:vertAlign w:val="superscript"/>
        </w:rPr>
        <w:t>[3]</w:t>
      </w:r>
      <w:r w:rsidRPr="00C16015">
        <w:rPr>
          <w:rFonts w:ascii="Book Antiqua" w:hAnsi="Book Antiqua"/>
          <w:color w:val="000000" w:themeColor="text1"/>
          <w:sz w:val="24"/>
          <w:szCs w:val="24"/>
        </w:rPr>
        <w:t xml:space="preserve"> reported that in 508 patients who underwent radical gastrectomy for gastric cancer, the first recurrence site was the peritoneum (43.9%) and then a local site (32.5%) followed by the liver (16.9%). </w:t>
      </w:r>
    </w:p>
    <w:p w14:paraId="6889B039"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t>Despite recent advances in chemotherapy regimens for gastric cancer, the effect of systemic chemotherapy on PC remains unclear. Clinical trials on methotrexate + 5-fluorouracil (5-FU), FOLFOX-4, and continuous 5-FU for PC of gastric cancer showed that the median survival time (MST) was 5.2</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10.6 mo, and the 1-year overall survival (OS) was 16.2</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40.7%</w:t>
      </w:r>
      <w:r w:rsidRPr="00C16015">
        <w:rPr>
          <w:rFonts w:ascii="Book Antiqua" w:hAnsi="Book Antiqua"/>
          <w:noProof/>
          <w:color w:val="000000" w:themeColor="text1"/>
          <w:sz w:val="24"/>
          <w:szCs w:val="24"/>
          <w:vertAlign w:val="superscript"/>
        </w:rPr>
        <w:t>[4-7]</w:t>
      </w:r>
      <w:r w:rsidRPr="00C16015">
        <w:rPr>
          <w:rFonts w:ascii="Book Antiqua" w:hAnsi="Book Antiqua"/>
          <w:color w:val="000000" w:themeColor="text1"/>
          <w:sz w:val="24"/>
          <w:szCs w:val="24"/>
        </w:rPr>
        <w:t xml:space="preserve">. </w:t>
      </w:r>
    </w:p>
    <w:p w14:paraId="4CC3059C"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t xml:space="preserve">In alternative treatment modalities, </w:t>
      </w:r>
      <w:proofErr w:type="spellStart"/>
      <w:r w:rsidRPr="00C16015">
        <w:rPr>
          <w:rFonts w:ascii="Book Antiqua" w:hAnsi="Book Antiqua"/>
          <w:color w:val="000000" w:themeColor="text1"/>
          <w:sz w:val="24"/>
          <w:szCs w:val="24"/>
        </w:rPr>
        <w:t>cytoreductive</w:t>
      </w:r>
      <w:proofErr w:type="spellEnd"/>
      <w:r w:rsidRPr="00C16015">
        <w:rPr>
          <w:rFonts w:ascii="Book Antiqua" w:hAnsi="Book Antiqua"/>
          <w:color w:val="000000" w:themeColor="text1"/>
          <w:sz w:val="24"/>
          <w:szCs w:val="24"/>
        </w:rPr>
        <w:t xml:space="preserve"> surgery (CRS) combined with </w:t>
      </w:r>
      <w:proofErr w:type="spellStart"/>
      <w:r w:rsidRPr="00C16015">
        <w:rPr>
          <w:rFonts w:ascii="Book Antiqua" w:hAnsi="Book Antiqua"/>
          <w:color w:val="000000" w:themeColor="text1"/>
          <w:sz w:val="24"/>
          <w:szCs w:val="24"/>
        </w:rPr>
        <w:t>hyperthermic</w:t>
      </w:r>
      <w:proofErr w:type="spellEnd"/>
      <w:r w:rsidRPr="00C16015">
        <w:rPr>
          <w:rFonts w:ascii="Book Antiqua" w:hAnsi="Book Antiqua"/>
          <w:color w:val="000000" w:themeColor="text1"/>
          <w:sz w:val="24"/>
          <w:szCs w:val="24"/>
        </w:rPr>
        <w:t xml:space="preserve"> intraperitoneal chemotherapy (HIPEC) has been used for treating PC of gastric cancer. Reportedly, the MST and 1</w:t>
      </w:r>
      <w:r w:rsidR="00001093" w:rsidRPr="00C16015">
        <w:rPr>
          <w:rFonts w:ascii="Book Antiqua" w:hAnsi="Book Antiqua"/>
          <w:color w:val="000000" w:themeColor="text1"/>
          <w:sz w:val="24"/>
          <w:szCs w:val="24"/>
        </w:rPr>
        <w:t>-year survival were 9.2</w:t>
      </w:r>
      <w:r w:rsidR="00001093" w:rsidRPr="00C16015">
        <w:rPr>
          <w:rFonts w:ascii="Book Antiqua" w:eastAsia="宋体" w:hAnsi="Book Antiqua"/>
          <w:color w:val="000000" w:themeColor="text1"/>
          <w:sz w:val="24"/>
          <w:szCs w:val="24"/>
          <w:lang w:eastAsia="zh-CN"/>
        </w:rPr>
        <w:t>-</w:t>
      </w:r>
      <w:r w:rsidR="00001093" w:rsidRPr="00C16015">
        <w:rPr>
          <w:rFonts w:ascii="Book Antiqua" w:hAnsi="Book Antiqua"/>
          <w:color w:val="000000" w:themeColor="text1"/>
          <w:sz w:val="24"/>
          <w:szCs w:val="24"/>
        </w:rPr>
        <w:t>11.5 mo</w:t>
      </w:r>
      <w:r w:rsidRPr="00C16015">
        <w:rPr>
          <w:rFonts w:ascii="Book Antiqua" w:hAnsi="Book Antiqua"/>
          <w:color w:val="000000" w:themeColor="text1"/>
          <w:sz w:val="24"/>
          <w:szCs w:val="24"/>
        </w:rPr>
        <w:t xml:space="preserve"> and 35.5</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 xml:space="preserve">48.1% </w:t>
      </w:r>
      <w:proofErr w:type="gramStart"/>
      <w:r w:rsidRPr="00C16015">
        <w:rPr>
          <w:rFonts w:ascii="Book Antiqua" w:hAnsi="Book Antiqua"/>
          <w:color w:val="000000" w:themeColor="text1"/>
          <w:sz w:val="24"/>
          <w:szCs w:val="24"/>
        </w:rPr>
        <w:t>respectively</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8-11]</w:t>
      </w:r>
      <w:r w:rsidRPr="00C16015">
        <w:rPr>
          <w:rFonts w:ascii="Book Antiqua" w:hAnsi="Book Antiqua"/>
          <w:color w:val="000000" w:themeColor="text1"/>
          <w:sz w:val="24"/>
          <w:szCs w:val="24"/>
        </w:rPr>
        <w:t xml:space="preserve">. However, CRS + HIPEC should be performed in specialized facilities, because these demanding procedures are associated with a high mortality and </w:t>
      </w:r>
      <w:proofErr w:type="gramStart"/>
      <w:r w:rsidRPr="00C16015">
        <w:rPr>
          <w:rFonts w:ascii="Book Antiqua" w:hAnsi="Book Antiqua"/>
          <w:color w:val="000000" w:themeColor="text1"/>
          <w:sz w:val="24"/>
          <w:szCs w:val="24"/>
        </w:rPr>
        <w:t>morbidity</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12]</w:t>
      </w:r>
      <w:r w:rsidRPr="00C16015">
        <w:rPr>
          <w:rFonts w:ascii="Book Antiqua" w:hAnsi="Book Antiqua"/>
          <w:color w:val="000000" w:themeColor="text1"/>
          <w:sz w:val="24"/>
          <w:szCs w:val="24"/>
        </w:rPr>
        <w:t xml:space="preserve">. </w:t>
      </w:r>
    </w:p>
    <w:p w14:paraId="2308C2E1"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lastRenderedPageBreak/>
        <w:t xml:space="preserve">The intraperitoneal (IP) administration of anticancer drugs is a reasonable method for treating PC, because an IP administered cytotoxic drug acts directly on the peritoneal metastatic nodules at a high concentration. In HIPEC procedures, </w:t>
      </w:r>
      <w:proofErr w:type="spellStart"/>
      <w:r w:rsidRPr="00C16015">
        <w:rPr>
          <w:rFonts w:ascii="Book Antiqua" w:hAnsi="Book Antiqua"/>
          <w:color w:val="000000" w:themeColor="text1"/>
          <w:sz w:val="24"/>
          <w:szCs w:val="24"/>
        </w:rPr>
        <w:t>mitomycin</w:t>
      </w:r>
      <w:proofErr w:type="spellEnd"/>
      <w:r w:rsidRPr="00C16015">
        <w:rPr>
          <w:rFonts w:ascii="Book Antiqua" w:hAnsi="Book Antiqua"/>
          <w:color w:val="000000" w:themeColor="text1"/>
          <w:sz w:val="24"/>
          <w:szCs w:val="24"/>
        </w:rPr>
        <w:t xml:space="preserve"> C (MMC) and/or cisplatin (CDDP) dissolved in heated saline at 42</w:t>
      </w:r>
      <w:r w:rsidR="00001093" w:rsidRPr="00C16015">
        <w:rPr>
          <w:rFonts w:ascii="Book Antiqua" w:eastAsia="宋体" w:hAnsi="Book Antiqua"/>
          <w:color w:val="000000" w:themeColor="text1"/>
          <w:sz w:val="24"/>
          <w:szCs w:val="24"/>
          <w:lang w:eastAsia="zh-CN"/>
        </w:rPr>
        <w:t>-</w:t>
      </w:r>
      <w:r w:rsidRPr="00C16015">
        <w:rPr>
          <w:rFonts w:ascii="Book Antiqua" w:hAnsi="Book Antiqua"/>
          <w:color w:val="000000" w:themeColor="text1"/>
          <w:sz w:val="24"/>
          <w:szCs w:val="24"/>
        </w:rPr>
        <w:t>43</w:t>
      </w:r>
      <w:r w:rsidR="00001093" w:rsidRPr="00C16015">
        <w:rPr>
          <w:rFonts w:ascii="Book Antiqua" w:eastAsia="宋体" w:hAnsi="Book Antiqua"/>
          <w:color w:val="000000" w:themeColor="text1"/>
          <w:sz w:val="24"/>
          <w:szCs w:val="24"/>
          <w:lang w:eastAsia="zh-CN"/>
        </w:rPr>
        <w:t xml:space="preserve"> </w:t>
      </w:r>
      <w:r w:rsidR="00001093" w:rsidRPr="00C16015">
        <w:rPr>
          <w:rFonts w:ascii="宋体" w:eastAsia="宋体" w:hAnsi="宋体" w:cs="宋体" w:hint="eastAsia"/>
          <w:color w:val="000000" w:themeColor="text1"/>
          <w:sz w:val="24"/>
          <w:szCs w:val="24"/>
        </w:rPr>
        <w:t>℃</w:t>
      </w:r>
      <w:r w:rsidRPr="00C16015">
        <w:rPr>
          <w:rFonts w:ascii="Book Antiqua" w:hAnsi="Book Antiqua"/>
          <w:color w:val="000000" w:themeColor="text1"/>
          <w:sz w:val="24"/>
          <w:szCs w:val="24"/>
        </w:rPr>
        <w:t xml:space="preserve"> are usually administ</w:t>
      </w:r>
      <w:r w:rsidR="00001093" w:rsidRPr="00C16015">
        <w:rPr>
          <w:rFonts w:ascii="Book Antiqua" w:hAnsi="Book Antiqua"/>
          <w:color w:val="000000" w:themeColor="text1"/>
          <w:sz w:val="24"/>
          <w:szCs w:val="24"/>
        </w:rPr>
        <w:t>ered into the peritoneal cavity</w:t>
      </w:r>
      <w:r w:rsidRPr="00C16015">
        <w:rPr>
          <w:rFonts w:ascii="Book Antiqua" w:hAnsi="Book Antiqua"/>
          <w:noProof/>
          <w:color w:val="000000" w:themeColor="text1"/>
          <w:sz w:val="24"/>
          <w:szCs w:val="24"/>
          <w:vertAlign w:val="superscript"/>
        </w:rPr>
        <w:t>[13]</w:t>
      </w:r>
      <w:r w:rsidRPr="00C16015">
        <w:rPr>
          <w:rFonts w:ascii="Book Antiqua" w:hAnsi="Book Antiqua"/>
          <w:color w:val="000000" w:themeColor="text1"/>
          <w:sz w:val="24"/>
          <w:szCs w:val="24"/>
        </w:rPr>
        <w:t xml:space="preserve">. </w:t>
      </w:r>
    </w:p>
    <w:p w14:paraId="57326ADB"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t xml:space="preserve">Recently, the IP administration of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such as paclitaxel (PTX) or docetaxel (DOC) without heating them at the ordinary temperature during the perioperative period in gastric cancer patients with PC has been performed mainly in Japan. Several clinical trials using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have shown promising </w:t>
      </w:r>
      <w:proofErr w:type="gramStart"/>
      <w:r w:rsidRPr="00C16015">
        <w:rPr>
          <w:rFonts w:ascii="Book Antiqua" w:hAnsi="Book Antiqua"/>
          <w:color w:val="000000" w:themeColor="text1"/>
          <w:sz w:val="24"/>
          <w:szCs w:val="24"/>
        </w:rPr>
        <w:t>results</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14-18]</w:t>
      </w:r>
      <w:r w:rsidRPr="00C16015">
        <w:rPr>
          <w:rFonts w:ascii="Book Antiqua" w:hAnsi="Book Antiqua"/>
          <w:color w:val="000000" w:themeColor="text1"/>
          <w:sz w:val="24"/>
          <w:szCs w:val="24"/>
        </w:rPr>
        <w:t>.</w:t>
      </w:r>
    </w:p>
    <w:p w14:paraId="475B3425" w14:textId="443A399C" w:rsidR="00015D39" w:rsidRPr="00C16015" w:rsidRDefault="00015D39" w:rsidP="00C16015">
      <w:pPr>
        <w:widowControl/>
        <w:spacing w:line="360" w:lineRule="auto"/>
        <w:ind w:firstLineChars="200" w:firstLine="480"/>
        <w:rPr>
          <w:rFonts w:ascii="Book Antiqua" w:eastAsia="宋体" w:hAnsi="Book Antiqua"/>
          <w:color w:val="000000" w:themeColor="text1"/>
          <w:sz w:val="24"/>
          <w:szCs w:val="24"/>
          <w:lang w:eastAsia="zh-CN"/>
        </w:rPr>
      </w:pPr>
      <w:r w:rsidRPr="00C16015">
        <w:rPr>
          <w:rFonts w:ascii="Book Antiqua" w:hAnsi="Book Antiqua"/>
          <w:color w:val="000000" w:themeColor="text1"/>
          <w:sz w:val="24"/>
          <w:szCs w:val="24"/>
        </w:rPr>
        <w:t xml:space="preserve">Based on the literature published in the last decade, we summarized the rationale for using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methodology used for IP chemotherapy, and clinical results of IP chemotherapy in gastric cancer patients with PC.</w:t>
      </w:r>
    </w:p>
    <w:p w14:paraId="6EF5EC23" w14:textId="77777777" w:rsidR="00001093" w:rsidRPr="00C16015" w:rsidRDefault="00001093" w:rsidP="00C16015">
      <w:pPr>
        <w:widowControl/>
        <w:spacing w:line="360" w:lineRule="auto"/>
        <w:rPr>
          <w:rFonts w:ascii="Book Antiqua" w:eastAsia="宋体" w:hAnsi="Book Antiqua"/>
          <w:b/>
          <w:color w:val="000000" w:themeColor="text1"/>
          <w:sz w:val="24"/>
          <w:szCs w:val="24"/>
          <w:lang w:eastAsia="zh-CN"/>
        </w:rPr>
      </w:pPr>
    </w:p>
    <w:p w14:paraId="10EC4B4F" w14:textId="77777777" w:rsidR="00015D39" w:rsidRPr="00C16015" w:rsidRDefault="00015D39" w:rsidP="00C16015">
      <w:pPr>
        <w:widowControl/>
        <w:spacing w:line="360" w:lineRule="auto"/>
        <w:rPr>
          <w:rFonts w:ascii="Book Antiqua" w:hAnsi="Book Antiqua"/>
          <w:b/>
          <w:color w:val="000000" w:themeColor="text1"/>
          <w:sz w:val="24"/>
          <w:szCs w:val="24"/>
        </w:rPr>
      </w:pPr>
      <w:r w:rsidRPr="00C16015">
        <w:rPr>
          <w:rFonts w:ascii="Book Antiqua" w:hAnsi="Book Antiqua"/>
          <w:b/>
          <w:color w:val="000000" w:themeColor="text1"/>
          <w:sz w:val="24"/>
          <w:szCs w:val="24"/>
        </w:rPr>
        <w:t>RATIONALE FOR USING IP CHEMOTHERAPY WITH TAXANES</w:t>
      </w:r>
    </w:p>
    <w:p w14:paraId="44E1FA25" w14:textId="77777777" w:rsidR="00001093" w:rsidRPr="00C16015" w:rsidRDefault="00015D39" w:rsidP="00C16015">
      <w:pPr>
        <w:widowControl/>
        <w:spacing w:line="360" w:lineRule="auto"/>
        <w:rPr>
          <w:rFonts w:ascii="Book Antiqua" w:eastAsia="宋体" w:hAnsi="Book Antiqua"/>
          <w:color w:val="000000" w:themeColor="text1"/>
          <w:kern w:val="0"/>
          <w:sz w:val="24"/>
          <w:szCs w:val="24"/>
          <w:lang w:eastAsia="zh-CN"/>
        </w:rPr>
      </w:pP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such as PTX and DOC produce cytotoxic effects by inducing excessive polymerization of tubulin and dysfunctional microtubules, which leads to mitotic arrest and cell </w:t>
      </w:r>
      <w:proofErr w:type="gramStart"/>
      <w:r w:rsidRPr="00C16015">
        <w:rPr>
          <w:rFonts w:ascii="Book Antiqua" w:hAnsi="Book Antiqua"/>
          <w:color w:val="000000" w:themeColor="text1"/>
          <w:kern w:val="0"/>
          <w:sz w:val="24"/>
          <w:szCs w:val="24"/>
        </w:rPr>
        <w:t>death</w:t>
      </w:r>
      <w:r w:rsidR="00001093" w:rsidRPr="00C16015">
        <w:rPr>
          <w:rFonts w:ascii="Book Antiqua" w:hAnsi="Book Antiqua"/>
          <w:noProof/>
          <w:color w:val="000000" w:themeColor="text1"/>
          <w:kern w:val="0"/>
          <w:sz w:val="24"/>
          <w:szCs w:val="24"/>
          <w:vertAlign w:val="superscript"/>
        </w:rPr>
        <w:t>[</w:t>
      </w:r>
      <w:proofErr w:type="gramEnd"/>
      <w:r w:rsidR="00001093" w:rsidRPr="00C16015">
        <w:rPr>
          <w:rFonts w:ascii="Book Antiqua" w:hAnsi="Book Antiqua"/>
          <w:noProof/>
          <w:color w:val="000000" w:themeColor="text1"/>
          <w:kern w:val="0"/>
          <w:sz w:val="24"/>
          <w:szCs w:val="24"/>
          <w:vertAlign w:val="superscript"/>
        </w:rPr>
        <w:t>19,</w:t>
      </w:r>
      <w:r w:rsidRPr="00C16015">
        <w:rPr>
          <w:rFonts w:ascii="Book Antiqua" w:hAnsi="Book Antiqua"/>
          <w:noProof/>
          <w:color w:val="000000" w:themeColor="text1"/>
          <w:kern w:val="0"/>
          <w:sz w:val="24"/>
          <w:szCs w:val="24"/>
          <w:vertAlign w:val="superscript"/>
        </w:rPr>
        <w:t>20]</w:t>
      </w:r>
      <w:r w:rsidRPr="00C16015">
        <w:rPr>
          <w:rFonts w:ascii="Book Antiqua" w:hAnsi="Book Antiqua"/>
          <w:color w:val="000000" w:themeColor="text1"/>
          <w:kern w:val="0"/>
          <w:sz w:val="24"/>
          <w:szCs w:val="24"/>
        </w:rPr>
        <w:t xml:space="preserve">. PTX and DOC are water insoluble, and for clinical use, they are solubilized with </w:t>
      </w:r>
      <w:proofErr w:type="spellStart"/>
      <w:r w:rsidRPr="00C16015">
        <w:rPr>
          <w:rFonts w:ascii="Book Antiqua" w:hAnsi="Book Antiqua"/>
          <w:color w:val="000000" w:themeColor="text1"/>
          <w:kern w:val="0"/>
          <w:sz w:val="24"/>
          <w:szCs w:val="24"/>
        </w:rPr>
        <w:t>Cremophor</w:t>
      </w:r>
      <w:proofErr w:type="spellEnd"/>
      <w:r w:rsidRPr="00C16015">
        <w:rPr>
          <w:rFonts w:ascii="Book Antiqua" w:hAnsi="Book Antiqua"/>
          <w:color w:val="000000" w:themeColor="text1"/>
          <w:kern w:val="0"/>
          <w:sz w:val="24"/>
          <w:szCs w:val="24"/>
        </w:rPr>
        <w:t xml:space="preserve"> EL (Taxol</w:t>
      </w:r>
      <w:r w:rsidRPr="00C16015">
        <w:rPr>
          <w:rFonts w:ascii="Book Antiqua" w:hAnsi="Book Antiqua"/>
          <w:color w:val="000000" w:themeColor="text1"/>
          <w:kern w:val="0"/>
          <w:sz w:val="24"/>
          <w:szCs w:val="24"/>
          <w:vertAlign w:val="superscript"/>
        </w:rPr>
        <w:t>®</w:t>
      </w:r>
      <w:r w:rsidRPr="00C16015">
        <w:rPr>
          <w:rFonts w:ascii="Book Antiqua" w:hAnsi="Book Antiqua"/>
          <w:color w:val="000000" w:themeColor="text1"/>
          <w:kern w:val="0"/>
          <w:sz w:val="24"/>
          <w:szCs w:val="24"/>
        </w:rPr>
        <w:t xml:space="preserve">; Bristol-Myers Squibb Co.) and </w:t>
      </w:r>
      <w:proofErr w:type="spellStart"/>
      <w:r w:rsidRPr="00C16015">
        <w:rPr>
          <w:rFonts w:ascii="Book Antiqua" w:hAnsi="Book Antiqua"/>
          <w:color w:val="000000" w:themeColor="text1"/>
          <w:kern w:val="0"/>
          <w:sz w:val="24"/>
          <w:szCs w:val="24"/>
        </w:rPr>
        <w:t>Polysorbate</w:t>
      </w:r>
      <w:proofErr w:type="spellEnd"/>
      <w:r w:rsidRPr="00C16015">
        <w:rPr>
          <w:rFonts w:ascii="Book Antiqua" w:hAnsi="Book Antiqua"/>
          <w:color w:val="000000" w:themeColor="text1"/>
          <w:kern w:val="0"/>
          <w:sz w:val="24"/>
          <w:szCs w:val="24"/>
        </w:rPr>
        <w:t xml:space="preserve"> 80 (</w:t>
      </w:r>
      <w:proofErr w:type="spellStart"/>
      <w:r w:rsidRPr="00C16015">
        <w:rPr>
          <w:rFonts w:ascii="Book Antiqua" w:hAnsi="Book Antiqua"/>
          <w:color w:val="000000" w:themeColor="text1"/>
          <w:kern w:val="0"/>
          <w:sz w:val="24"/>
          <w:szCs w:val="24"/>
        </w:rPr>
        <w:t>Taxotere</w:t>
      </w:r>
      <w:proofErr w:type="spellEnd"/>
      <w:r w:rsidRPr="00C16015">
        <w:rPr>
          <w:rFonts w:ascii="Book Antiqua" w:hAnsi="Book Antiqua"/>
          <w:color w:val="000000" w:themeColor="text1"/>
          <w:kern w:val="0"/>
          <w:sz w:val="24"/>
          <w:szCs w:val="24"/>
          <w:vertAlign w:val="superscript"/>
        </w:rPr>
        <w:t>®</w:t>
      </w:r>
      <w:r w:rsidRPr="00C16015">
        <w:rPr>
          <w:rFonts w:ascii="Book Antiqua" w:hAnsi="Book Antiqua"/>
          <w:color w:val="000000" w:themeColor="text1"/>
          <w:kern w:val="0"/>
          <w:sz w:val="24"/>
          <w:szCs w:val="24"/>
        </w:rPr>
        <w:t xml:space="preserve">; Aventis Pharma SA), respectively. </w:t>
      </w:r>
    </w:p>
    <w:p w14:paraId="268F88E3"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Since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hydrophobic, high-weight molecular materials, IP administered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gradually drained from the peritoneum through lymphatic stomata that open directly into the pleural </w:t>
      </w:r>
      <w:proofErr w:type="gramStart"/>
      <w:r w:rsidRPr="00C16015">
        <w:rPr>
          <w:rFonts w:ascii="Book Antiqua" w:hAnsi="Book Antiqua"/>
          <w:color w:val="000000" w:themeColor="text1"/>
          <w:kern w:val="0"/>
          <w:sz w:val="24"/>
          <w:szCs w:val="24"/>
        </w:rPr>
        <w:t>space</w:t>
      </w:r>
      <w:r w:rsidR="00001093" w:rsidRPr="00C16015">
        <w:rPr>
          <w:rFonts w:ascii="Book Antiqua" w:hAnsi="Book Antiqua"/>
          <w:noProof/>
          <w:color w:val="000000" w:themeColor="text1"/>
          <w:kern w:val="0"/>
          <w:sz w:val="24"/>
          <w:szCs w:val="24"/>
          <w:vertAlign w:val="superscript"/>
        </w:rPr>
        <w:t>[</w:t>
      </w:r>
      <w:proofErr w:type="gramEnd"/>
      <w:r w:rsidR="00001093" w:rsidRPr="00C16015">
        <w:rPr>
          <w:rFonts w:ascii="Book Antiqua" w:hAnsi="Book Antiqua"/>
          <w:noProof/>
          <w:color w:val="000000" w:themeColor="text1"/>
          <w:kern w:val="0"/>
          <w:sz w:val="24"/>
          <w:szCs w:val="24"/>
          <w:vertAlign w:val="superscript"/>
        </w:rPr>
        <w:t>21,</w:t>
      </w:r>
      <w:r w:rsidRPr="00C16015">
        <w:rPr>
          <w:rFonts w:ascii="Book Antiqua" w:hAnsi="Book Antiqua"/>
          <w:noProof/>
          <w:color w:val="000000" w:themeColor="text1"/>
          <w:kern w:val="0"/>
          <w:sz w:val="24"/>
          <w:szCs w:val="24"/>
          <w:vertAlign w:val="superscript"/>
        </w:rPr>
        <w:t>22]</w:t>
      </w:r>
      <w:r w:rsidRPr="00C16015">
        <w:rPr>
          <w:rFonts w:ascii="Book Antiqua" w:hAnsi="Book Antiqua"/>
          <w:color w:val="000000" w:themeColor="text1"/>
          <w:kern w:val="0"/>
          <w:sz w:val="24"/>
          <w:szCs w:val="24"/>
        </w:rPr>
        <w:t xml:space="preserve">. In contrast, </w:t>
      </w:r>
      <w:r w:rsidRPr="00C16015">
        <w:rPr>
          <w:rFonts w:ascii="Book Antiqua" w:hAnsi="Book Antiqua"/>
          <w:color w:val="000000" w:themeColor="text1"/>
          <w:kern w:val="0"/>
          <w:sz w:val="24"/>
          <w:szCs w:val="24"/>
        </w:rPr>
        <w:lastRenderedPageBreak/>
        <w:t>hydrophilic, low-weight molecular materials such as MMC or CDDP are rapidly absorbed through the peritoneal mesothelial layer and into the capillary vessels.</w:t>
      </w:r>
    </w:p>
    <w:p w14:paraId="7C4891B0" w14:textId="56005585" w:rsidR="00001093" w:rsidRPr="00C16015" w:rsidRDefault="00015D39" w:rsidP="00E14A02">
      <w:pPr>
        <w:spacing w:line="360" w:lineRule="auto"/>
        <w:ind w:firstLineChars="100" w:firstLine="240"/>
        <w:rPr>
          <w:rFonts w:ascii="Book Antiqua" w:hAnsi="Book Antiqua" w:cs="Tahoma"/>
          <w:color w:val="000000" w:themeColor="text1"/>
          <w:sz w:val="24"/>
          <w:szCs w:val="24"/>
          <w:lang w:eastAsia="zh-CN"/>
        </w:rPr>
      </w:pPr>
      <w:r w:rsidRPr="00C16015">
        <w:rPr>
          <w:rFonts w:ascii="Book Antiqua" w:hAnsi="Book Antiqua"/>
          <w:color w:val="000000" w:themeColor="text1"/>
          <w:kern w:val="0"/>
          <w:sz w:val="24"/>
          <w:szCs w:val="24"/>
        </w:rPr>
        <w:t>The area under the curve ratios of the intra-abdominal space to the plasma after IP adminis</w:t>
      </w:r>
      <w:r w:rsidR="00001093" w:rsidRPr="00C16015">
        <w:rPr>
          <w:rFonts w:ascii="Book Antiqua" w:hAnsi="Book Antiqua"/>
          <w:color w:val="000000" w:themeColor="text1"/>
          <w:kern w:val="0"/>
          <w:sz w:val="24"/>
          <w:szCs w:val="24"/>
        </w:rPr>
        <w:t>tration of the drug are about 1</w:t>
      </w:r>
      <w:r w:rsidRPr="00C16015">
        <w:rPr>
          <w:rFonts w:ascii="Book Antiqua" w:hAnsi="Book Antiqua"/>
          <w:color w:val="000000" w:themeColor="text1"/>
          <w:kern w:val="0"/>
          <w:sz w:val="24"/>
          <w:szCs w:val="24"/>
        </w:rPr>
        <w:t>000 for PTX, 207</w:t>
      </w:r>
      <w:r w:rsidR="00001093"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552 for DOC, 10</w:t>
      </w:r>
      <w:r w:rsidR="00001093"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24 for MMC, and 12</w:t>
      </w:r>
      <w:r w:rsidR="00001093"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21 for CDDP</w:t>
      </w:r>
      <w:r w:rsidRPr="00C16015">
        <w:rPr>
          <w:rFonts w:ascii="Book Antiqua" w:hAnsi="Book Antiqua"/>
          <w:noProof/>
          <w:color w:val="000000" w:themeColor="text1"/>
          <w:kern w:val="0"/>
          <w:sz w:val="24"/>
          <w:szCs w:val="24"/>
          <w:vertAlign w:val="superscript"/>
        </w:rPr>
        <w:t>[23-28]</w:t>
      </w:r>
      <w:r w:rsidRPr="00C16015">
        <w:rPr>
          <w:rFonts w:ascii="Book Antiqua" w:hAnsi="Book Antiqua"/>
          <w:color w:val="000000" w:themeColor="text1"/>
          <w:kern w:val="0"/>
          <w:sz w:val="24"/>
          <w:szCs w:val="24"/>
        </w:rPr>
        <w:t xml:space="preserve">. The prolonged retention of IP administered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within the intraperitoneal space allows the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to directly penetrate into peritoneal disseminated </w:t>
      </w:r>
      <w:proofErr w:type="gramStart"/>
      <w:r w:rsidRPr="00C16015">
        <w:rPr>
          <w:rFonts w:ascii="Book Antiqua" w:hAnsi="Book Antiqua"/>
          <w:color w:val="000000" w:themeColor="text1"/>
          <w:kern w:val="0"/>
          <w:sz w:val="24"/>
          <w:szCs w:val="24"/>
        </w:rPr>
        <w:t>tumors</w:t>
      </w:r>
      <w:r w:rsidR="00001093" w:rsidRPr="00C16015">
        <w:rPr>
          <w:rFonts w:ascii="Book Antiqua" w:hAnsi="Book Antiqua"/>
          <w:noProof/>
          <w:color w:val="000000" w:themeColor="text1"/>
          <w:kern w:val="0"/>
          <w:sz w:val="24"/>
          <w:szCs w:val="24"/>
          <w:vertAlign w:val="superscript"/>
        </w:rPr>
        <w:t>[</w:t>
      </w:r>
      <w:proofErr w:type="gramEnd"/>
      <w:r w:rsidR="00001093" w:rsidRPr="00C16015">
        <w:rPr>
          <w:rFonts w:ascii="Book Antiqua" w:hAnsi="Book Antiqua"/>
          <w:noProof/>
          <w:color w:val="000000" w:themeColor="text1"/>
          <w:kern w:val="0"/>
          <w:sz w:val="24"/>
          <w:szCs w:val="24"/>
          <w:vertAlign w:val="superscript"/>
        </w:rPr>
        <w:t>23,</w:t>
      </w:r>
      <w:r w:rsidRPr="00C16015">
        <w:rPr>
          <w:rFonts w:ascii="Book Antiqua" w:hAnsi="Book Antiqua"/>
          <w:noProof/>
          <w:color w:val="000000" w:themeColor="text1"/>
          <w:kern w:val="0"/>
          <w:sz w:val="24"/>
          <w:szCs w:val="24"/>
          <w:vertAlign w:val="superscript"/>
        </w:rPr>
        <w:t>29-31]</w:t>
      </w:r>
      <w:r w:rsidRPr="00C16015">
        <w:rPr>
          <w:rFonts w:ascii="Book Antiqua" w:hAnsi="Book Antiqua"/>
          <w:color w:val="000000" w:themeColor="text1"/>
          <w:kern w:val="0"/>
          <w:sz w:val="24"/>
          <w:szCs w:val="24"/>
        </w:rPr>
        <w:t xml:space="preserve">, which leads to the destruction of peripheral </w:t>
      </w:r>
      <w:proofErr w:type="spellStart"/>
      <w:r w:rsidRPr="00C16015">
        <w:rPr>
          <w:rFonts w:ascii="Book Antiqua" w:hAnsi="Book Antiqua"/>
          <w:color w:val="000000" w:themeColor="text1"/>
          <w:kern w:val="0"/>
          <w:sz w:val="24"/>
          <w:szCs w:val="24"/>
        </w:rPr>
        <w:t>microvessels</w:t>
      </w:r>
      <w:proofErr w:type="spellEnd"/>
      <w:r w:rsidRPr="00C16015">
        <w:rPr>
          <w:rFonts w:ascii="Book Antiqua" w:hAnsi="Book Antiqua"/>
          <w:color w:val="000000" w:themeColor="text1"/>
          <w:kern w:val="0"/>
          <w:sz w:val="24"/>
          <w:szCs w:val="24"/>
        </w:rPr>
        <w:t xml:space="preserve"> of tumor nodules</w:t>
      </w:r>
      <w:r w:rsidRPr="00C16015">
        <w:rPr>
          <w:rFonts w:ascii="Book Antiqua" w:hAnsi="Book Antiqua"/>
          <w:noProof/>
          <w:color w:val="000000" w:themeColor="text1"/>
          <w:kern w:val="0"/>
          <w:sz w:val="24"/>
          <w:szCs w:val="24"/>
          <w:vertAlign w:val="superscript"/>
        </w:rPr>
        <w:t>[32]</w:t>
      </w:r>
      <w:r w:rsidRPr="00C16015">
        <w:rPr>
          <w:rFonts w:ascii="Book Antiqua" w:hAnsi="Book Antiqua"/>
          <w:color w:val="000000" w:themeColor="text1"/>
          <w:kern w:val="0"/>
          <w:sz w:val="24"/>
          <w:szCs w:val="24"/>
        </w:rPr>
        <w:t xml:space="preserve">. However, the depth of infiltration from the surface of the peritoneal disseminated nodules after the one time IP administration of a </w:t>
      </w:r>
      <w:proofErr w:type="spellStart"/>
      <w:r w:rsidRPr="00C16015">
        <w:rPr>
          <w:rFonts w:ascii="Book Antiqua" w:hAnsi="Book Antiqua"/>
          <w:color w:val="000000" w:themeColor="text1"/>
          <w:kern w:val="0"/>
          <w:sz w:val="24"/>
          <w:szCs w:val="24"/>
        </w:rPr>
        <w:t>taxane</w:t>
      </w:r>
      <w:proofErr w:type="spellEnd"/>
      <w:r w:rsidRPr="00C16015">
        <w:rPr>
          <w:rFonts w:ascii="Book Antiqua" w:hAnsi="Book Antiqua"/>
          <w:color w:val="000000" w:themeColor="text1"/>
          <w:kern w:val="0"/>
          <w:sz w:val="24"/>
          <w:szCs w:val="24"/>
        </w:rPr>
        <w:t xml:space="preserve"> is </w:t>
      </w:r>
      <w:proofErr w:type="gramStart"/>
      <w:r w:rsidRPr="00C16015">
        <w:rPr>
          <w:rFonts w:ascii="Book Antiqua" w:hAnsi="Book Antiqua"/>
          <w:color w:val="000000" w:themeColor="text1"/>
          <w:kern w:val="0"/>
          <w:sz w:val="24"/>
          <w:szCs w:val="24"/>
        </w:rPr>
        <w:t>limited</w:t>
      </w:r>
      <w:r w:rsidR="00001093" w:rsidRPr="00C16015">
        <w:rPr>
          <w:rFonts w:ascii="Book Antiqua" w:hAnsi="Book Antiqua"/>
          <w:noProof/>
          <w:color w:val="000000" w:themeColor="text1"/>
          <w:kern w:val="0"/>
          <w:sz w:val="24"/>
          <w:szCs w:val="24"/>
          <w:vertAlign w:val="superscript"/>
        </w:rPr>
        <w:t>[</w:t>
      </w:r>
      <w:proofErr w:type="gramEnd"/>
      <w:r w:rsidR="00001093" w:rsidRPr="00C16015">
        <w:rPr>
          <w:rFonts w:ascii="Book Antiqua" w:hAnsi="Book Antiqua"/>
          <w:noProof/>
          <w:color w:val="000000" w:themeColor="text1"/>
          <w:kern w:val="0"/>
          <w:sz w:val="24"/>
          <w:szCs w:val="24"/>
          <w:vertAlign w:val="superscript"/>
        </w:rPr>
        <w:t>33,</w:t>
      </w:r>
      <w:r w:rsidRPr="00C16015">
        <w:rPr>
          <w:rFonts w:ascii="Book Antiqua" w:hAnsi="Book Antiqua"/>
          <w:noProof/>
          <w:color w:val="000000" w:themeColor="text1"/>
          <w:kern w:val="0"/>
          <w:sz w:val="24"/>
          <w:szCs w:val="24"/>
          <w:vertAlign w:val="superscript"/>
        </w:rPr>
        <w:t>34]</w:t>
      </w:r>
      <w:r w:rsidR="00001093" w:rsidRPr="00C16015">
        <w:rPr>
          <w:rFonts w:ascii="Book Antiqua" w:hAnsi="Book Antiqua"/>
          <w:color w:val="000000" w:themeColor="text1"/>
          <w:kern w:val="0"/>
          <w:sz w:val="24"/>
          <w:szCs w:val="24"/>
        </w:rPr>
        <w:t>.</w:t>
      </w:r>
      <w:r w:rsidRPr="00C16015">
        <w:rPr>
          <w:rFonts w:ascii="Book Antiqua" w:hAnsi="Book Antiqua"/>
          <w:color w:val="000000" w:themeColor="text1"/>
          <w:kern w:val="0"/>
          <w:sz w:val="24"/>
          <w:szCs w:val="24"/>
        </w:rPr>
        <w:t xml:space="preserve"> In a previous study, we showed that the distance of PTX infiltration reached approximately 100</w:t>
      </w:r>
      <w:r w:rsidR="00001093"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200</w:t>
      </w:r>
      <w:r w:rsidR="00001093" w:rsidRPr="00C16015">
        <w:rPr>
          <w:rFonts w:ascii="Book Antiqua" w:eastAsia="宋体" w:hAnsi="Book Antiqua"/>
          <w:color w:val="000000" w:themeColor="text1"/>
          <w:kern w:val="0"/>
          <w:sz w:val="24"/>
          <w:szCs w:val="24"/>
          <w:lang w:eastAsia="zh-CN"/>
        </w:rPr>
        <w:t xml:space="preserve"> </w:t>
      </w:r>
      <w:proofErr w:type="spellStart"/>
      <w:r w:rsidR="00001093" w:rsidRPr="00C16015">
        <w:rPr>
          <w:rFonts w:ascii="Book Antiqua" w:hAnsi="Book Antiqua" w:cs="Tahoma"/>
          <w:color w:val="000000" w:themeColor="text1"/>
          <w:sz w:val="24"/>
          <w:szCs w:val="24"/>
          <w:lang w:eastAsia="zh-CN"/>
        </w:rPr>
        <w:t>μ</w:t>
      </w:r>
      <w:r w:rsidRPr="00C16015">
        <w:rPr>
          <w:rFonts w:ascii="Book Antiqua" w:hAnsi="Book Antiqua"/>
          <w:color w:val="000000" w:themeColor="text1"/>
          <w:kern w:val="0"/>
          <w:sz w:val="24"/>
          <w:szCs w:val="24"/>
        </w:rPr>
        <w:t>m</w:t>
      </w:r>
      <w:proofErr w:type="spellEnd"/>
      <w:r w:rsidRPr="00C16015">
        <w:rPr>
          <w:rFonts w:ascii="Book Antiqua" w:hAnsi="Book Antiqua"/>
          <w:color w:val="000000" w:themeColor="text1"/>
          <w:kern w:val="0"/>
          <w:sz w:val="24"/>
          <w:szCs w:val="24"/>
        </w:rPr>
        <w:t xml:space="preserve"> from the surface of the </w:t>
      </w:r>
      <w:proofErr w:type="gramStart"/>
      <w:r w:rsidRPr="00C16015">
        <w:rPr>
          <w:rFonts w:ascii="Book Antiqua" w:hAnsi="Book Antiqua"/>
          <w:color w:val="000000" w:themeColor="text1"/>
          <w:kern w:val="0"/>
          <w:sz w:val="24"/>
          <w:szCs w:val="24"/>
        </w:rPr>
        <w:t>tumor</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35]</w:t>
      </w:r>
      <w:r w:rsidRPr="00C16015">
        <w:rPr>
          <w:rFonts w:ascii="Book Antiqua" w:hAnsi="Book Antiqua"/>
          <w:color w:val="000000" w:themeColor="text1"/>
          <w:kern w:val="0"/>
          <w:sz w:val="24"/>
          <w:szCs w:val="24"/>
        </w:rPr>
        <w:t xml:space="preserve">. Therefore, to improve the antitumor effects of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against PC, repeated IP administration is necessary.</w:t>
      </w:r>
    </w:p>
    <w:p w14:paraId="42AED171" w14:textId="070A0C2B" w:rsidR="00015D39"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From the perspective of pharmacokinetics and tissue penetration,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ideal drugs for IP chemotherapy. Moreover, even if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repeatedly administered intraperitoneally, they rarely cause adhesion of organs in the peritoneal cavity because of their </w:t>
      </w:r>
      <w:proofErr w:type="spellStart"/>
      <w:r w:rsidRPr="00C16015">
        <w:rPr>
          <w:rFonts w:ascii="Book Antiqua" w:hAnsi="Book Antiqua"/>
          <w:color w:val="000000" w:themeColor="text1"/>
          <w:kern w:val="0"/>
          <w:sz w:val="24"/>
          <w:szCs w:val="24"/>
        </w:rPr>
        <w:t>antiproliferative</w:t>
      </w:r>
      <w:proofErr w:type="spellEnd"/>
      <w:r w:rsidRPr="00C16015">
        <w:rPr>
          <w:rFonts w:ascii="Book Antiqua" w:hAnsi="Book Antiqua"/>
          <w:color w:val="000000" w:themeColor="text1"/>
          <w:kern w:val="0"/>
          <w:sz w:val="24"/>
          <w:szCs w:val="24"/>
        </w:rPr>
        <w:t xml:space="preserve"> effect. Thus, the distribution of IP administered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across the intra-abdominal space is not hampered by drug-induced peritonitis.</w:t>
      </w:r>
    </w:p>
    <w:p w14:paraId="30B51190" w14:textId="77777777" w:rsidR="00001093" w:rsidRPr="00C16015" w:rsidRDefault="00001093" w:rsidP="00C16015">
      <w:pPr>
        <w:widowControl/>
        <w:spacing w:line="360" w:lineRule="auto"/>
        <w:rPr>
          <w:rFonts w:ascii="Book Antiqua" w:eastAsia="宋体" w:hAnsi="Book Antiqua"/>
          <w:color w:val="000000" w:themeColor="text1"/>
          <w:kern w:val="0"/>
          <w:sz w:val="24"/>
          <w:szCs w:val="24"/>
          <w:lang w:eastAsia="zh-CN"/>
        </w:rPr>
      </w:pPr>
    </w:p>
    <w:p w14:paraId="47A5BB22" w14:textId="77777777" w:rsidR="00015D39" w:rsidRPr="00C16015" w:rsidRDefault="00015D39"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t>METHODOLOGY OF USING IP CHEMOTHERAPY WITH TAXANES</w:t>
      </w:r>
    </w:p>
    <w:p w14:paraId="3C08F473" w14:textId="77777777" w:rsidR="00015D39" w:rsidRPr="00C16015" w:rsidRDefault="00015D39"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 xml:space="preserve">Perioperative IP chemotherapy with </w:t>
      </w:r>
      <w:proofErr w:type="spellStart"/>
      <w:r w:rsidRPr="00C16015">
        <w:rPr>
          <w:rFonts w:ascii="Book Antiqua" w:hAnsi="Book Antiqua"/>
          <w:b/>
          <w:i/>
          <w:color w:val="000000" w:themeColor="text1"/>
          <w:kern w:val="0"/>
          <w:sz w:val="24"/>
          <w:szCs w:val="24"/>
        </w:rPr>
        <w:t>taxanes</w:t>
      </w:r>
      <w:proofErr w:type="spellEnd"/>
    </w:p>
    <w:p w14:paraId="3E96A53C" w14:textId="7C22D32F" w:rsidR="00015D39" w:rsidRPr="00C16015" w:rsidRDefault="00015D39" w:rsidP="00C16015">
      <w:pPr>
        <w:widowControl/>
        <w:spacing w:line="360" w:lineRule="auto"/>
        <w:rPr>
          <w:rFonts w:ascii="Book Antiqua" w:hAnsi="Book Antiqua"/>
          <w:color w:val="000000" w:themeColor="text1"/>
          <w:kern w:val="0"/>
          <w:sz w:val="24"/>
          <w:szCs w:val="24"/>
        </w:rPr>
      </w:pPr>
      <w:r w:rsidRPr="00C16015">
        <w:rPr>
          <w:rFonts w:ascii="Book Antiqua" w:hAnsi="Book Antiqua"/>
          <w:color w:val="000000" w:themeColor="text1"/>
          <w:kern w:val="0"/>
          <w:sz w:val="24"/>
          <w:szCs w:val="24"/>
        </w:rPr>
        <w:lastRenderedPageBreak/>
        <w:t xml:space="preserve">There are two types of perioperative IP chemotherapy with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for treating PC of gastric cancer: neoadjuvant intraperitoneal and systemic chemotherapy (NIPS)</w:t>
      </w:r>
      <w:r w:rsidRPr="00C16015">
        <w:rPr>
          <w:rFonts w:ascii="Book Antiqua" w:hAnsi="Book Antiqua"/>
          <w:noProof/>
          <w:color w:val="000000" w:themeColor="text1"/>
          <w:kern w:val="0"/>
          <w:sz w:val="24"/>
          <w:szCs w:val="24"/>
          <w:vertAlign w:val="superscript"/>
        </w:rPr>
        <w:t>[36]</w:t>
      </w:r>
      <w:r w:rsidRPr="00C16015">
        <w:rPr>
          <w:rFonts w:ascii="Book Antiqua" w:hAnsi="Book Antiqua"/>
          <w:color w:val="000000" w:themeColor="text1"/>
          <w:kern w:val="0"/>
          <w:sz w:val="24"/>
          <w:szCs w:val="24"/>
        </w:rPr>
        <w:t xml:space="preserve"> and sequential perioperative intraperitoneal chemotherapy (SPIC)</w:t>
      </w:r>
      <w:r w:rsidRPr="00C16015">
        <w:rPr>
          <w:rFonts w:ascii="Book Antiqua" w:hAnsi="Book Antiqua"/>
          <w:noProof/>
          <w:color w:val="000000" w:themeColor="text1"/>
          <w:kern w:val="0"/>
          <w:sz w:val="24"/>
          <w:szCs w:val="24"/>
          <w:vertAlign w:val="superscript"/>
        </w:rPr>
        <w:t>[37]</w:t>
      </w:r>
      <w:r w:rsidRPr="00C16015">
        <w:rPr>
          <w:rFonts w:ascii="Book Antiqua" w:hAnsi="Book Antiqua"/>
          <w:color w:val="000000" w:themeColor="text1"/>
          <w:kern w:val="0"/>
          <w:sz w:val="24"/>
          <w:szCs w:val="24"/>
        </w:rPr>
        <w:t xml:space="preserve">. In NIPS, patients receive 1–6 courses of IP chemotherapy with a </w:t>
      </w:r>
      <w:proofErr w:type="spellStart"/>
      <w:r w:rsidRPr="00C16015">
        <w:rPr>
          <w:rFonts w:ascii="Book Antiqua" w:hAnsi="Book Antiqua"/>
          <w:color w:val="000000" w:themeColor="text1"/>
          <w:kern w:val="0"/>
          <w:sz w:val="24"/>
          <w:szCs w:val="24"/>
        </w:rPr>
        <w:t>taxane</w:t>
      </w:r>
      <w:proofErr w:type="spellEnd"/>
      <w:r w:rsidRPr="00C16015">
        <w:rPr>
          <w:rFonts w:ascii="Book Antiqua" w:hAnsi="Book Antiqua"/>
          <w:color w:val="000000" w:themeColor="text1"/>
          <w:kern w:val="0"/>
          <w:sz w:val="24"/>
          <w:szCs w:val="24"/>
        </w:rPr>
        <w:t xml:space="preserve"> as a neoadjuvant therapy; however, they do not receive IP chemotherapy after </w:t>
      </w:r>
      <w:proofErr w:type="spellStart"/>
      <w:r w:rsidRPr="00C16015">
        <w:rPr>
          <w:rFonts w:ascii="Book Antiqua" w:hAnsi="Book Antiqua"/>
          <w:color w:val="000000" w:themeColor="text1"/>
          <w:kern w:val="0"/>
          <w:sz w:val="24"/>
          <w:szCs w:val="24"/>
        </w:rPr>
        <w:t>cytoreductive</w:t>
      </w:r>
      <w:proofErr w:type="spellEnd"/>
      <w:r w:rsidRPr="00C16015">
        <w:rPr>
          <w:rFonts w:ascii="Book Antiqua" w:hAnsi="Book Antiqua"/>
          <w:color w:val="000000" w:themeColor="text1"/>
          <w:kern w:val="0"/>
          <w:sz w:val="24"/>
          <w:szCs w:val="24"/>
        </w:rPr>
        <w:t xml:space="preserve"> surgery (CRS)</w:t>
      </w:r>
      <w:r w:rsidR="00001093" w:rsidRPr="00C16015">
        <w:rPr>
          <w:rFonts w:ascii="Book Antiqua" w:hAnsi="Book Antiqua"/>
          <w:noProof/>
          <w:color w:val="000000" w:themeColor="text1"/>
          <w:kern w:val="0"/>
          <w:sz w:val="24"/>
          <w:szCs w:val="24"/>
          <w:vertAlign w:val="superscript"/>
        </w:rPr>
        <w:t>[17,38,</w:t>
      </w:r>
      <w:r w:rsidRPr="00C16015">
        <w:rPr>
          <w:rFonts w:ascii="Book Antiqua" w:hAnsi="Book Antiqua"/>
          <w:noProof/>
          <w:color w:val="000000" w:themeColor="text1"/>
          <w:kern w:val="0"/>
          <w:sz w:val="24"/>
          <w:szCs w:val="24"/>
          <w:vertAlign w:val="superscript"/>
        </w:rPr>
        <w:t>39]</w:t>
      </w:r>
      <w:r w:rsidRPr="00C16015">
        <w:rPr>
          <w:rFonts w:ascii="Book Antiqua" w:hAnsi="Book Antiqua"/>
          <w:color w:val="000000" w:themeColor="text1"/>
          <w:kern w:val="0"/>
          <w:sz w:val="24"/>
          <w:szCs w:val="24"/>
        </w:rPr>
        <w:t xml:space="preserve">. In SPIC, patients receive several courses of IP chemotherapy preoperatively, and they receive the same regimen of IP chemotherapy after CRS until disease </w:t>
      </w:r>
      <w:proofErr w:type="gramStart"/>
      <w:r w:rsidRPr="00C16015">
        <w:rPr>
          <w:rFonts w:ascii="Book Antiqua" w:hAnsi="Book Antiqua"/>
          <w:color w:val="000000" w:themeColor="text1"/>
          <w:kern w:val="0"/>
          <w:sz w:val="24"/>
          <w:szCs w:val="24"/>
        </w:rPr>
        <w:t>progression</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14-16]</w:t>
      </w:r>
      <w:r w:rsidRPr="00C16015">
        <w:rPr>
          <w:rFonts w:ascii="Book Antiqua" w:hAnsi="Book Antiqua"/>
          <w:color w:val="000000" w:themeColor="text1"/>
          <w:kern w:val="0"/>
          <w:sz w:val="24"/>
          <w:szCs w:val="24"/>
        </w:rPr>
        <w:t xml:space="preserve">. </w:t>
      </w:r>
    </w:p>
    <w:p w14:paraId="0662110F" w14:textId="77777777" w:rsidR="00001093" w:rsidRPr="00C16015" w:rsidRDefault="00001093" w:rsidP="00C16015">
      <w:pPr>
        <w:widowControl/>
        <w:spacing w:line="360" w:lineRule="auto"/>
        <w:rPr>
          <w:rFonts w:ascii="Book Antiqua" w:eastAsia="宋体" w:hAnsi="Book Antiqua"/>
          <w:i/>
          <w:color w:val="000000" w:themeColor="text1"/>
          <w:kern w:val="0"/>
          <w:sz w:val="24"/>
          <w:szCs w:val="24"/>
          <w:lang w:eastAsia="zh-CN"/>
        </w:rPr>
      </w:pPr>
    </w:p>
    <w:p w14:paraId="344DD73F" w14:textId="5376F544" w:rsidR="00015D39" w:rsidRPr="00C16015" w:rsidRDefault="00001093"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 xml:space="preserve">Peritoneal </w:t>
      </w:r>
      <w:r w:rsidR="00015D39" w:rsidRPr="00C16015">
        <w:rPr>
          <w:rFonts w:ascii="Book Antiqua" w:hAnsi="Book Antiqua"/>
          <w:b/>
          <w:i/>
          <w:color w:val="000000" w:themeColor="text1"/>
          <w:kern w:val="0"/>
          <w:sz w:val="24"/>
          <w:szCs w:val="24"/>
        </w:rPr>
        <w:t>access port system</w:t>
      </w:r>
    </w:p>
    <w:p w14:paraId="2A0DEF47" w14:textId="77777777" w:rsidR="00001093"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In most reported studies, a peritoneal access port system was used for IP chemotherapy. However, this device was not used when patients received a single IP administration during staging </w:t>
      </w:r>
      <w:proofErr w:type="gramStart"/>
      <w:r w:rsidRPr="00C16015">
        <w:rPr>
          <w:rFonts w:ascii="Book Antiqua" w:hAnsi="Book Antiqua"/>
          <w:color w:val="000000" w:themeColor="text1"/>
          <w:kern w:val="0"/>
          <w:sz w:val="24"/>
          <w:szCs w:val="24"/>
        </w:rPr>
        <w:t>laparoscopy</w:t>
      </w:r>
      <w:r w:rsidR="00001093" w:rsidRPr="00C16015">
        <w:rPr>
          <w:rFonts w:ascii="Book Antiqua" w:hAnsi="Book Antiqua"/>
          <w:noProof/>
          <w:color w:val="000000" w:themeColor="text1"/>
          <w:kern w:val="0"/>
          <w:sz w:val="24"/>
          <w:szCs w:val="24"/>
          <w:vertAlign w:val="superscript"/>
        </w:rPr>
        <w:t>[</w:t>
      </w:r>
      <w:proofErr w:type="gramEnd"/>
      <w:r w:rsidR="00001093" w:rsidRPr="00C16015">
        <w:rPr>
          <w:rFonts w:ascii="Book Antiqua" w:hAnsi="Book Antiqua"/>
          <w:noProof/>
          <w:color w:val="000000" w:themeColor="text1"/>
          <w:kern w:val="0"/>
          <w:sz w:val="24"/>
          <w:szCs w:val="24"/>
          <w:vertAlign w:val="superscript"/>
        </w:rPr>
        <w:t>28,</w:t>
      </w:r>
      <w:r w:rsidRPr="00C16015">
        <w:rPr>
          <w:rFonts w:ascii="Book Antiqua" w:hAnsi="Book Antiqua"/>
          <w:noProof/>
          <w:color w:val="000000" w:themeColor="text1"/>
          <w:kern w:val="0"/>
          <w:sz w:val="24"/>
          <w:szCs w:val="24"/>
          <w:vertAlign w:val="superscript"/>
        </w:rPr>
        <w:t>39]</w:t>
      </w:r>
      <w:r w:rsidRPr="00C16015">
        <w:rPr>
          <w:rFonts w:ascii="Book Antiqua" w:hAnsi="Book Antiqua"/>
          <w:color w:val="000000" w:themeColor="text1"/>
          <w:kern w:val="0"/>
          <w:sz w:val="24"/>
          <w:szCs w:val="24"/>
        </w:rPr>
        <w:t xml:space="preserve">, or if patients received IP administration two times </w:t>
      </w:r>
      <w:r w:rsidRPr="00E14A02">
        <w:rPr>
          <w:rFonts w:ascii="Book Antiqua" w:hAnsi="Book Antiqua"/>
          <w:i/>
          <w:color w:val="000000" w:themeColor="text1"/>
          <w:kern w:val="0"/>
          <w:sz w:val="24"/>
          <w:szCs w:val="24"/>
        </w:rPr>
        <w:t xml:space="preserve">via </w:t>
      </w:r>
      <w:r w:rsidRPr="00C16015">
        <w:rPr>
          <w:rFonts w:ascii="Book Antiqua" w:hAnsi="Book Antiqua"/>
          <w:color w:val="000000" w:themeColor="text1"/>
          <w:kern w:val="0"/>
          <w:sz w:val="24"/>
          <w:szCs w:val="24"/>
        </w:rPr>
        <w:t>a catheter as neoadjuvant chemotherapy</w:t>
      </w:r>
      <w:r w:rsidRPr="00C16015">
        <w:rPr>
          <w:rFonts w:ascii="Book Antiqua" w:hAnsi="Book Antiqua"/>
          <w:noProof/>
          <w:color w:val="000000" w:themeColor="text1"/>
          <w:kern w:val="0"/>
          <w:sz w:val="24"/>
          <w:szCs w:val="24"/>
          <w:vertAlign w:val="superscript"/>
        </w:rPr>
        <w:t>[17]</w:t>
      </w:r>
      <w:r w:rsidRPr="00C16015">
        <w:rPr>
          <w:rFonts w:ascii="Book Antiqua" w:hAnsi="Book Antiqua"/>
          <w:color w:val="000000" w:themeColor="text1"/>
          <w:kern w:val="0"/>
          <w:sz w:val="24"/>
          <w:szCs w:val="24"/>
        </w:rPr>
        <w:t xml:space="preserve">. A peritoneal access port is implanted into the subcutaneous space of the lower abdomen, and a catheter is placed usually in the pelvic cavity. </w:t>
      </w:r>
      <w:proofErr w:type="spellStart"/>
      <w:r w:rsidRPr="00C16015">
        <w:rPr>
          <w:rFonts w:ascii="Book Antiqua" w:hAnsi="Book Antiqua"/>
          <w:color w:val="000000" w:themeColor="text1"/>
          <w:kern w:val="0"/>
          <w:sz w:val="24"/>
          <w:szCs w:val="24"/>
        </w:rPr>
        <w:t>Taxane</w:t>
      </w:r>
      <w:proofErr w:type="spellEnd"/>
      <w:r w:rsidRPr="00C16015">
        <w:rPr>
          <w:rFonts w:ascii="Book Antiqua" w:hAnsi="Book Antiqua"/>
          <w:color w:val="000000" w:themeColor="text1"/>
          <w:kern w:val="0"/>
          <w:sz w:val="24"/>
          <w:szCs w:val="24"/>
        </w:rPr>
        <w:t xml:space="preserve"> dissolved in 500</w:t>
      </w:r>
      <w:r w:rsidR="00001093" w:rsidRPr="00C16015">
        <w:rPr>
          <w:rFonts w:ascii="Book Antiqua" w:eastAsia="宋体" w:hAnsi="Book Antiqua"/>
          <w:color w:val="000000" w:themeColor="text1"/>
          <w:kern w:val="0"/>
          <w:sz w:val="24"/>
          <w:szCs w:val="24"/>
          <w:lang w:eastAsia="zh-CN"/>
        </w:rPr>
        <w:t>-</w:t>
      </w:r>
      <w:r w:rsidR="00001093" w:rsidRPr="00C16015">
        <w:rPr>
          <w:rFonts w:ascii="Book Antiqua" w:hAnsi="Book Antiqua"/>
          <w:color w:val="000000" w:themeColor="text1"/>
          <w:kern w:val="0"/>
          <w:sz w:val="24"/>
          <w:szCs w:val="24"/>
        </w:rPr>
        <w:t>1</w:t>
      </w:r>
      <w:r w:rsidRPr="00C16015">
        <w:rPr>
          <w:rFonts w:ascii="Book Antiqua" w:hAnsi="Book Antiqua"/>
          <w:color w:val="000000" w:themeColor="text1"/>
          <w:kern w:val="0"/>
          <w:sz w:val="24"/>
          <w:szCs w:val="24"/>
        </w:rPr>
        <w:t xml:space="preserve">000 mL of saline at the ordinary temperature is administered through the peritoneal access port. Thus, using this method,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can be repeatedly administered on an outpatient basis. </w:t>
      </w:r>
    </w:p>
    <w:p w14:paraId="018448F9" w14:textId="77777777" w:rsidR="00001093"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Complications associated with the port system occurred in 20.6% of 131 patients at our </w:t>
      </w:r>
      <w:proofErr w:type="gramStart"/>
      <w:r w:rsidRPr="00C16015">
        <w:rPr>
          <w:rFonts w:ascii="Book Antiqua" w:hAnsi="Book Antiqua"/>
          <w:color w:val="000000" w:themeColor="text1"/>
          <w:kern w:val="0"/>
          <w:sz w:val="24"/>
          <w:szCs w:val="24"/>
        </w:rPr>
        <w:t>institution</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40]</w:t>
      </w:r>
      <w:r w:rsidRPr="00C16015">
        <w:rPr>
          <w:rFonts w:ascii="Book Antiqua" w:hAnsi="Book Antiqua"/>
          <w:color w:val="000000" w:themeColor="text1"/>
          <w:kern w:val="0"/>
          <w:sz w:val="24"/>
          <w:szCs w:val="24"/>
        </w:rPr>
        <w:t>. Inflow obstruction and infection were the main complications that occurred in 7.6% and 6.9% of patients, respectively. The median period of IP chemotherapy using the peritoneal port system was 12.9 months (range, 0.8</w:t>
      </w:r>
      <w:r w:rsidR="00001093"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61.5 mo). Compared to previous studies on ovarian </w:t>
      </w:r>
      <w:proofErr w:type="gramStart"/>
      <w:r w:rsidRPr="00C16015">
        <w:rPr>
          <w:rFonts w:ascii="Book Antiqua" w:hAnsi="Book Antiqua"/>
          <w:color w:val="000000" w:themeColor="text1"/>
          <w:kern w:val="0"/>
          <w:sz w:val="24"/>
          <w:szCs w:val="24"/>
        </w:rPr>
        <w:t>cancer</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41]</w:t>
      </w:r>
      <w:r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lastRenderedPageBreak/>
        <w:t>the course of IP chemotherapy performed at our institution was much longer, but the complication rate was lower.</w:t>
      </w:r>
    </w:p>
    <w:p w14:paraId="25EB9653" w14:textId="4AF02171" w:rsidR="00015D39" w:rsidRPr="00C16015" w:rsidRDefault="00015D39" w:rsidP="00C16015">
      <w:pPr>
        <w:widowControl/>
        <w:spacing w:line="360" w:lineRule="auto"/>
        <w:ind w:firstLineChars="200" w:firstLine="480"/>
        <w:rPr>
          <w:rFonts w:ascii="Book Antiqua" w:hAnsi="Book Antiqua"/>
          <w:color w:val="000000" w:themeColor="text1"/>
          <w:kern w:val="0"/>
          <w:sz w:val="24"/>
          <w:szCs w:val="24"/>
        </w:rPr>
      </w:pPr>
      <w:r w:rsidRPr="00C16015">
        <w:rPr>
          <w:rFonts w:ascii="Book Antiqua" w:hAnsi="Book Antiqua"/>
          <w:color w:val="000000" w:themeColor="text1"/>
          <w:kern w:val="0"/>
          <w:sz w:val="24"/>
          <w:szCs w:val="24"/>
        </w:rPr>
        <w:t>The use of a peritoneal port system can facilitate IP administration and reduce the patients’ burden of receiving IP chemotherapy. Moreover, the device can provide another benefit to patients, because the peritoneal lavage sample, which is essential for evaluating the effect of IP chemotherapy on PC, can be obtained noninvasively through the peritoneal access port.</w:t>
      </w:r>
    </w:p>
    <w:p w14:paraId="793FD39A" w14:textId="77777777" w:rsidR="00001093" w:rsidRPr="00C16015" w:rsidRDefault="00001093" w:rsidP="00C16015">
      <w:pPr>
        <w:widowControl/>
        <w:spacing w:line="360" w:lineRule="auto"/>
        <w:rPr>
          <w:rFonts w:ascii="Book Antiqua" w:eastAsia="宋体" w:hAnsi="Book Antiqua"/>
          <w:b/>
          <w:bCs/>
          <w:color w:val="000000" w:themeColor="text1"/>
          <w:kern w:val="0"/>
          <w:sz w:val="24"/>
          <w:szCs w:val="24"/>
          <w:lang w:eastAsia="zh-CN"/>
        </w:rPr>
      </w:pPr>
    </w:p>
    <w:p w14:paraId="59F2BDBA" w14:textId="77777777" w:rsidR="00015D39" w:rsidRPr="00C16015" w:rsidRDefault="00015D39" w:rsidP="00C16015">
      <w:pPr>
        <w:widowControl/>
        <w:spacing w:line="360" w:lineRule="auto"/>
        <w:rPr>
          <w:rFonts w:ascii="Book Antiqua" w:hAnsi="Book Antiqua"/>
          <w:b/>
          <w:color w:val="000000" w:themeColor="text1"/>
          <w:kern w:val="0"/>
          <w:sz w:val="24"/>
          <w:szCs w:val="24"/>
        </w:rPr>
      </w:pPr>
      <w:r w:rsidRPr="00C16015">
        <w:rPr>
          <w:rFonts w:ascii="Book Antiqua" w:hAnsi="Book Antiqua"/>
          <w:b/>
          <w:bCs/>
          <w:color w:val="000000" w:themeColor="text1"/>
          <w:kern w:val="0"/>
          <w:sz w:val="24"/>
          <w:szCs w:val="24"/>
        </w:rPr>
        <w:t>CLINICAL STUDIES ON</w:t>
      </w:r>
      <w:r w:rsidRPr="00C16015">
        <w:rPr>
          <w:rFonts w:ascii="Book Antiqua" w:hAnsi="Book Antiqua"/>
          <w:b/>
          <w:color w:val="000000" w:themeColor="text1"/>
          <w:kern w:val="0"/>
          <w:sz w:val="24"/>
          <w:szCs w:val="24"/>
        </w:rPr>
        <w:t xml:space="preserve"> IP CHEMOTHERAPY WITH TAXANES</w:t>
      </w:r>
    </w:p>
    <w:p w14:paraId="50655EAA" w14:textId="77777777" w:rsidR="00015D39" w:rsidRPr="00C16015" w:rsidRDefault="00015D39"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Phase I study</w:t>
      </w:r>
    </w:p>
    <w:p w14:paraId="6B3D8C30" w14:textId="77777777" w:rsidR="008E4F6B"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The findings from six </w:t>
      </w:r>
      <w:proofErr w:type="gramStart"/>
      <w:r w:rsidRPr="00C16015">
        <w:rPr>
          <w:rFonts w:ascii="Book Antiqua" w:hAnsi="Book Antiqua"/>
          <w:color w:val="000000" w:themeColor="text1"/>
          <w:kern w:val="0"/>
          <w:sz w:val="24"/>
          <w:szCs w:val="24"/>
        </w:rPr>
        <w:t>phase</w:t>
      </w:r>
      <w:proofErr w:type="gramEnd"/>
      <w:r w:rsidRPr="00C16015">
        <w:rPr>
          <w:rFonts w:ascii="Book Antiqua" w:hAnsi="Book Antiqua"/>
          <w:color w:val="000000" w:themeColor="text1"/>
          <w:kern w:val="0"/>
          <w:sz w:val="24"/>
          <w:szCs w:val="24"/>
        </w:rPr>
        <w:t xml:space="preserve"> I studies on IP chemotherapy with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summarized in Table 1. PTX was used for intraperitoneally administering agents in three studies, and DOC was used in the other three studies. PTX or DOC was IP administered without other anticancer drugs in two </w:t>
      </w:r>
      <w:proofErr w:type="gramStart"/>
      <w:r w:rsidRPr="00C16015">
        <w:rPr>
          <w:rFonts w:ascii="Book Antiqua" w:hAnsi="Book Antiqua"/>
          <w:color w:val="000000" w:themeColor="text1"/>
          <w:kern w:val="0"/>
          <w:sz w:val="24"/>
          <w:szCs w:val="24"/>
        </w:rPr>
        <w:t>studies</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26,</w:t>
      </w:r>
      <w:r w:rsidRPr="00C16015">
        <w:rPr>
          <w:rFonts w:ascii="Book Antiqua" w:hAnsi="Book Antiqua"/>
          <w:noProof/>
          <w:color w:val="000000" w:themeColor="text1"/>
          <w:kern w:val="0"/>
          <w:sz w:val="24"/>
          <w:szCs w:val="24"/>
          <w:vertAlign w:val="superscript"/>
        </w:rPr>
        <w:t>42]</w:t>
      </w:r>
      <w:r w:rsidRPr="00C16015">
        <w:rPr>
          <w:rFonts w:ascii="Book Antiqua" w:hAnsi="Book Antiqua"/>
          <w:color w:val="000000" w:themeColor="text1"/>
          <w:kern w:val="0"/>
          <w:sz w:val="24"/>
          <w:szCs w:val="24"/>
        </w:rPr>
        <w:t>, DOC was IP administered with S-1 in two</w:t>
      </w:r>
      <w:r w:rsidR="008E4F6B" w:rsidRPr="00C16015">
        <w:rPr>
          <w:rFonts w:ascii="Book Antiqua" w:hAnsi="Book Antiqua"/>
          <w:noProof/>
          <w:color w:val="000000" w:themeColor="text1"/>
          <w:kern w:val="0"/>
          <w:sz w:val="24"/>
          <w:szCs w:val="24"/>
          <w:vertAlign w:val="superscript"/>
        </w:rPr>
        <w:t>[16,</w:t>
      </w:r>
      <w:r w:rsidRPr="00C16015">
        <w:rPr>
          <w:rFonts w:ascii="Book Antiqua" w:hAnsi="Book Antiqua"/>
          <w:noProof/>
          <w:color w:val="000000" w:themeColor="text1"/>
          <w:kern w:val="0"/>
          <w:sz w:val="24"/>
          <w:szCs w:val="24"/>
          <w:vertAlign w:val="superscript"/>
        </w:rPr>
        <w:t>43]</w:t>
      </w:r>
      <w:r w:rsidRPr="00C16015">
        <w:rPr>
          <w:rFonts w:ascii="Book Antiqua" w:hAnsi="Book Antiqua"/>
          <w:color w:val="000000" w:themeColor="text1"/>
          <w:kern w:val="0"/>
          <w:sz w:val="24"/>
          <w:szCs w:val="24"/>
        </w:rPr>
        <w:t>, PTX was IP administered with S-1 in one</w:t>
      </w:r>
      <w:r w:rsidRPr="00C16015">
        <w:rPr>
          <w:rFonts w:ascii="Book Antiqua" w:hAnsi="Book Antiqua"/>
          <w:noProof/>
          <w:color w:val="000000" w:themeColor="text1"/>
          <w:kern w:val="0"/>
          <w:sz w:val="24"/>
          <w:szCs w:val="24"/>
          <w:vertAlign w:val="superscript"/>
        </w:rPr>
        <w:t>[44]</w:t>
      </w:r>
      <w:r w:rsidRPr="00C16015">
        <w:rPr>
          <w:rFonts w:ascii="Book Antiqua" w:hAnsi="Book Antiqua"/>
          <w:color w:val="000000" w:themeColor="text1"/>
          <w:kern w:val="0"/>
          <w:sz w:val="24"/>
          <w:szCs w:val="24"/>
        </w:rPr>
        <w:t>, and intravenous (IV) PTX and S-1 was administered in one</w:t>
      </w:r>
      <w:r w:rsidRPr="00C16015">
        <w:rPr>
          <w:rFonts w:ascii="Book Antiqua" w:hAnsi="Book Antiqua"/>
          <w:noProof/>
          <w:color w:val="000000" w:themeColor="text1"/>
          <w:kern w:val="0"/>
          <w:sz w:val="24"/>
          <w:szCs w:val="24"/>
          <w:vertAlign w:val="superscript"/>
        </w:rPr>
        <w:t>[45]</w:t>
      </w:r>
      <w:r w:rsidRPr="00C16015">
        <w:rPr>
          <w:rFonts w:ascii="Book Antiqua" w:hAnsi="Book Antiqua"/>
          <w:color w:val="000000" w:themeColor="text1"/>
          <w:kern w:val="0"/>
          <w:sz w:val="24"/>
          <w:szCs w:val="24"/>
        </w:rPr>
        <w:t>.</w:t>
      </w:r>
    </w:p>
    <w:p w14:paraId="1A893D76" w14:textId="77777777" w:rsidR="008E4F6B"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The recommended dose (RD) of DOC IP administration was 45</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60 mg/m</w:t>
      </w:r>
      <w:r w:rsidRPr="00C16015">
        <w:rPr>
          <w:rFonts w:ascii="Book Antiqua" w:hAnsi="Book Antiqua"/>
          <w:color w:val="000000" w:themeColor="text1"/>
          <w:kern w:val="0"/>
          <w:sz w:val="24"/>
          <w:szCs w:val="24"/>
          <w:vertAlign w:val="superscript"/>
        </w:rPr>
        <w:t>2</w:t>
      </w:r>
      <w:r w:rsidRPr="00C16015">
        <w:rPr>
          <w:rFonts w:ascii="Book Antiqua" w:hAnsi="Book Antiqua"/>
          <w:color w:val="000000" w:themeColor="text1"/>
          <w:kern w:val="0"/>
          <w:sz w:val="24"/>
          <w:szCs w:val="24"/>
        </w:rPr>
        <w:t>. The RD of PTX IP administration was 80 mg/m</w:t>
      </w:r>
      <w:r w:rsidRPr="00C16015">
        <w:rPr>
          <w:rFonts w:ascii="Book Antiqua" w:hAnsi="Book Antiqua"/>
          <w:color w:val="000000" w:themeColor="text1"/>
          <w:kern w:val="0"/>
          <w:sz w:val="24"/>
          <w:szCs w:val="24"/>
          <w:vertAlign w:val="superscript"/>
        </w:rPr>
        <w:t>2</w:t>
      </w:r>
      <w:r w:rsidRPr="00C16015">
        <w:rPr>
          <w:rFonts w:ascii="Book Antiqua" w:hAnsi="Book Antiqua"/>
          <w:color w:val="000000" w:themeColor="text1"/>
          <w:kern w:val="0"/>
          <w:sz w:val="24"/>
          <w:szCs w:val="24"/>
        </w:rPr>
        <w:t xml:space="preserve"> when PTX was not IV administered, and it was 20 mg/m</w:t>
      </w:r>
      <w:r w:rsidRPr="00C16015">
        <w:rPr>
          <w:rFonts w:ascii="Book Antiqua" w:hAnsi="Book Antiqua"/>
          <w:color w:val="000000" w:themeColor="text1"/>
          <w:kern w:val="0"/>
          <w:sz w:val="24"/>
          <w:szCs w:val="24"/>
          <w:vertAlign w:val="superscript"/>
        </w:rPr>
        <w:t>2</w:t>
      </w:r>
      <w:r w:rsidRPr="00C16015">
        <w:rPr>
          <w:rFonts w:ascii="Book Antiqua" w:hAnsi="Book Antiqua"/>
          <w:color w:val="000000" w:themeColor="text1"/>
          <w:kern w:val="0"/>
          <w:sz w:val="24"/>
          <w:szCs w:val="24"/>
        </w:rPr>
        <w:t xml:space="preserve"> when PTX was IV administered. Although the RD of 20 mg/m</w:t>
      </w:r>
      <w:r w:rsidRPr="00C16015">
        <w:rPr>
          <w:rFonts w:ascii="Book Antiqua" w:hAnsi="Book Antiqua"/>
          <w:color w:val="000000" w:themeColor="text1"/>
          <w:kern w:val="0"/>
          <w:sz w:val="24"/>
          <w:szCs w:val="24"/>
          <w:vertAlign w:val="superscript"/>
        </w:rPr>
        <w:t>2</w:t>
      </w:r>
      <w:r w:rsidRPr="00C16015">
        <w:rPr>
          <w:rFonts w:ascii="Book Antiqua" w:hAnsi="Book Antiqua"/>
          <w:color w:val="000000" w:themeColor="text1"/>
          <w:kern w:val="0"/>
          <w:sz w:val="24"/>
          <w:szCs w:val="24"/>
        </w:rPr>
        <w:t xml:space="preserve"> in our phase I study was relatively low because we used a combination of IV PTX, the IP PTX concentration remained extremely high for &gt;</w:t>
      </w:r>
      <w:r w:rsidR="008E4F6B" w:rsidRPr="00C16015">
        <w:rPr>
          <w:rFonts w:ascii="Book Antiqua" w:eastAsia="宋体" w:hAnsi="Book Antiqua"/>
          <w:color w:val="000000" w:themeColor="text1"/>
          <w:kern w:val="0"/>
          <w:sz w:val="24"/>
          <w:szCs w:val="24"/>
          <w:lang w:eastAsia="zh-CN"/>
        </w:rPr>
        <w:t xml:space="preserve"> </w:t>
      </w:r>
      <w:r w:rsidR="008E4F6B" w:rsidRPr="00C16015">
        <w:rPr>
          <w:rFonts w:ascii="Book Antiqua" w:hAnsi="Book Antiqua"/>
          <w:color w:val="000000" w:themeColor="text1"/>
          <w:kern w:val="0"/>
          <w:sz w:val="24"/>
          <w:szCs w:val="24"/>
        </w:rPr>
        <w:t>72 h</w:t>
      </w:r>
      <w:r w:rsidRPr="00C16015">
        <w:rPr>
          <w:rFonts w:ascii="Book Antiqua" w:hAnsi="Book Antiqua"/>
          <w:color w:val="000000" w:themeColor="text1"/>
          <w:kern w:val="0"/>
          <w:sz w:val="24"/>
          <w:szCs w:val="24"/>
        </w:rPr>
        <w:t>.</w:t>
      </w:r>
    </w:p>
    <w:p w14:paraId="00AD8584" w14:textId="1E07850D" w:rsidR="00015D39"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lastRenderedPageBreak/>
        <w:t xml:space="preserve">Dose-limiting toxicities of these phase I studies included grade 3 febrile neutropenia, leukopenia, and diarrhea for the PTX IP regimen; and grade 3 febrile neutropenia, abdominal pain, and diarrhea for the DOC IP regimen. </w:t>
      </w:r>
    </w:p>
    <w:p w14:paraId="21880B82" w14:textId="77777777" w:rsidR="008E4F6B" w:rsidRPr="00C16015" w:rsidRDefault="008E4F6B" w:rsidP="00C16015">
      <w:pPr>
        <w:widowControl/>
        <w:spacing w:line="360" w:lineRule="auto"/>
        <w:ind w:firstLineChars="200" w:firstLine="480"/>
        <w:rPr>
          <w:rFonts w:ascii="Book Antiqua" w:eastAsia="宋体" w:hAnsi="Book Antiqua"/>
          <w:color w:val="000000" w:themeColor="text1"/>
          <w:kern w:val="0"/>
          <w:sz w:val="24"/>
          <w:szCs w:val="24"/>
          <w:lang w:eastAsia="zh-CN"/>
        </w:rPr>
      </w:pPr>
    </w:p>
    <w:p w14:paraId="1BE7D4F9" w14:textId="77777777" w:rsidR="00015D39" w:rsidRPr="00C16015" w:rsidRDefault="00015D39"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Phase II study</w:t>
      </w:r>
    </w:p>
    <w:p w14:paraId="3FBEA3C4" w14:textId="77777777" w:rsidR="008E4F6B"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The findings of six phase II studies on IP chemotherapy with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are summarized in Table 2. PTX was used for IP administered agents in three </w:t>
      </w:r>
      <w:proofErr w:type="gramStart"/>
      <w:r w:rsidRPr="00C16015">
        <w:rPr>
          <w:rFonts w:ascii="Book Antiqua" w:hAnsi="Book Antiqua"/>
          <w:color w:val="000000" w:themeColor="text1"/>
          <w:kern w:val="0"/>
          <w:sz w:val="24"/>
          <w:szCs w:val="24"/>
        </w:rPr>
        <w:t>studies</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14,15,39]</w:t>
      </w:r>
      <w:r w:rsidRPr="00C16015">
        <w:rPr>
          <w:rFonts w:ascii="Book Antiqua" w:hAnsi="Book Antiqua"/>
          <w:color w:val="000000" w:themeColor="text1"/>
          <w:kern w:val="0"/>
          <w:sz w:val="24"/>
          <w:szCs w:val="24"/>
        </w:rPr>
        <w:t>, and DOC was used in the other three studies</w:t>
      </w:r>
      <w:r w:rsidR="008E4F6B" w:rsidRPr="00C16015">
        <w:rPr>
          <w:rFonts w:ascii="Book Antiqua" w:hAnsi="Book Antiqua"/>
          <w:noProof/>
          <w:color w:val="000000" w:themeColor="text1"/>
          <w:kern w:val="0"/>
          <w:sz w:val="24"/>
          <w:szCs w:val="24"/>
          <w:vertAlign w:val="superscript"/>
        </w:rPr>
        <w:t>[16,17,</w:t>
      </w:r>
      <w:r w:rsidRPr="00C16015">
        <w:rPr>
          <w:rFonts w:ascii="Book Antiqua" w:hAnsi="Book Antiqua"/>
          <w:noProof/>
          <w:color w:val="000000" w:themeColor="text1"/>
          <w:kern w:val="0"/>
          <w:sz w:val="24"/>
          <w:szCs w:val="24"/>
          <w:vertAlign w:val="superscript"/>
        </w:rPr>
        <w:t>38]</w:t>
      </w:r>
      <w:r w:rsidRPr="00C16015">
        <w:rPr>
          <w:rFonts w:ascii="Book Antiqua" w:hAnsi="Book Antiqua"/>
          <w:color w:val="000000" w:themeColor="text1"/>
          <w:kern w:val="0"/>
          <w:sz w:val="24"/>
          <w:szCs w:val="24"/>
        </w:rPr>
        <w:t>. The overall response rate among these phase II studies ranged from 55</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71%. The MSTs and 1-year OS were 14.4</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24.6 mo and 67</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78%, respectively. The main toxicities were hematologic (</w:t>
      </w:r>
      <w:r w:rsidRPr="00C16015">
        <w:rPr>
          <w:rFonts w:ascii="Book Antiqua" w:hAnsi="Book Antiqua"/>
          <w:i/>
          <w:color w:val="000000" w:themeColor="text1"/>
          <w:kern w:val="0"/>
          <w:sz w:val="24"/>
          <w:szCs w:val="24"/>
        </w:rPr>
        <w:t>e.g.,</w:t>
      </w:r>
      <w:r w:rsidRPr="00C16015">
        <w:rPr>
          <w:rFonts w:ascii="Book Antiqua" w:hAnsi="Book Antiqua"/>
          <w:color w:val="000000" w:themeColor="text1"/>
          <w:kern w:val="0"/>
          <w:sz w:val="24"/>
          <w:szCs w:val="24"/>
        </w:rPr>
        <w:t xml:space="preserve"> anemia, neutropenia, and leukopenia), and the non-hematological toxic effects were relatively mild. Regarding CRS, gastrectomy with D2 dissection was usually performed. In addition to D2 gastrectomy, </w:t>
      </w:r>
      <w:proofErr w:type="spellStart"/>
      <w:r w:rsidRPr="00C16015">
        <w:rPr>
          <w:rFonts w:ascii="Book Antiqua" w:hAnsi="Book Antiqua"/>
          <w:color w:val="000000" w:themeColor="text1"/>
          <w:kern w:val="0"/>
          <w:sz w:val="24"/>
          <w:szCs w:val="24"/>
        </w:rPr>
        <w:t>peritonectomy</w:t>
      </w:r>
      <w:proofErr w:type="spellEnd"/>
      <w:r w:rsidRPr="00C16015">
        <w:rPr>
          <w:rFonts w:ascii="Book Antiqua" w:hAnsi="Book Antiqua"/>
          <w:color w:val="000000" w:themeColor="text1"/>
          <w:kern w:val="0"/>
          <w:sz w:val="24"/>
          <w:szCs w:val="24"/>
        </w:rPr>
        <w:t xml:space="preserve"> was performe</w:t>
      </w:r>
      <w:r w:rsidR="008E4F6B" w:rsidRPr="00C16015">
        <w:rPr>
          <w:rFonts w:ascii="Book Antiqua" w:hAnsi="Book Antiqua"/>
          <w:color w:val="000000" w:themeColor="text1"/>
          <w:kern w:val="0"/>
          <w:sz w:val="24"/>
          <w:szCs w:val="24"/>
        </w:rPr>
        <w:t xml:space="preserve">d only by </w:t>
      </w:r>
      <w:proofErr w:type="spellStart"/>
      <w:r w:rsidR="008E4F6B" w:rsidRPr="00C16015">
        <w:rPr>
          <w:rFonts w:ascii="Book Antiqua" w:hAnsi="Book Antiqua"/>
          <w:color w:val="000000" w:themeColor="text1"/>
          <w:kern w:val="0"/>
          <w:sz w:val="24"/>
          <w:szCs w:val="24"/>
        </w:rPr>
        <w:t>Yonemura</w:t>
      </w:r>
      <w:proofErr w:type="spellEnd"/>
      <w:r w:rsidR="008E4F6B" w:rsidRPr="00C16015">
        <w:rPr>
          <w:rFonts w:ascii="Book Antiqua" w:hAnsi="Book Antiqua"/>
          <w:color w:val="000000" w:themeColor="text1"/>
          <w:kern w:val="0"/>
          <w:sz w:val="24"/>
          <w:szCs w:val="24"/>
        </w:rPr>
        <w:t xml:space="preserve"> </w:t>
      </w:r>
      <w:r w:rsidR="008E4F6B" w:rsidRPr="00C16015">
        <w:rPr>
          <w:rFonts w:ascii="Book Antiqua" w:hAnsi="Book Antiqua"/>
          <w:i/>
          <w:color w:val="000000" w:themeColor="text1"/>
          <w:kern w:val="0"/>
          <w:sz w:val="24"/>
          <w:szCs w:val="24"/>
        </w:rPr>
        <w:t xml:space="preserve">et </w:t>
      </w:r>
      <w:proofErr w:type="gramStart"/>
      <w:r w:rsidR="008E4F6B" w:rsidRPr="00C16015">
        <w:rPr>
          <w:rFonts w:ascii="Book Antiqua" w:hAnsi="Book Antiqua"/>
          <w:i/>
          <w:color w:val="000000" w:themeColor="text1"/>
          <w:kern w:val="0"/>
          <w:sz w:val="24"/>
          <w:szCs w:val="24"/>
        </w:rPr>
        <w:t>al</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38]</w:t>
      </w:r>
      <w:r w:rsidRPr="00C16015">
        <w:rPr>
          <w:rFonts w:ascii="Book Antiqua" w:hAnsi="Book Antiqua"/>
          <w:color w:val="000000" w:themeColor="text1"/>
          <w:kern w:val="0"/>
          <w:sz w:val="24"/>
          <w:szCs w:val="24"/>
        </w:rPr>
        <w:t>. Post-operative complications, ranging 9</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22%, were reported in four </w:t>
      </w:r>
      <w:proofErr w:type="gramStart"/>
      <w:r w:rsidRPr="00C16015">
        <w:rPr>
          <w:rFonts w:ascii="Book Antiqua" w:hAnsi="Book Antiqua"/>
          <w:color w:val="000000" w:themeColor="text1"/>
          <w:kern w:val="0"/>
          <w:sz w:val="24"/>
          <w:szCs w:val="24"/>
        </w:rPr>
        <w:t>studies</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16,17,38,</w:t>
      </w:r>
      <w:r w:rsidRPr="00C16015">
        <w:rPr>
          <w:rFonts w:ascii="Book Antiqua" w:hAnsi="Book Antiqua"/>
          <w:noProof/>
          <w:color w:val="000000" w:themeColor="text1"/>
          <w:kern w:val="0"/>
          <w:sz w:val="24"/>
          <w:szCs w:val="24"/>
          <w:vertAlign w:val="superscript"/>
        </w:rPr>
        <w:t>39]</w:t>
      </w:r>
      <w:r w:rsidRPr="00C16015">
        <w:rPr>
          <w:rFonts w:ascii="Book Antiqua" w:hAnsi="Book Antiqua"/>
          <w:color w:val="000000" w:themeColor="text1"/>
          <w:kern w:val="0"/>
          <w:sz w:val="24"/>
          <w:szCs w:val="24"/>
        </w:rPr>
        <w:t xml:space="preserve">. Surgery-related mortality was found in one patient, and the cause of death was sepsis from an abdominal </w:t>
      </w:r>
      <w:proofErr w:type="gramStart"/>
      <w:r w:rsidRPr="00C16015">
        <w:rPr>
          <w:rFonts w:ascii="Book Antiqua" w:hAnsi="Book Antiqua"/>
          <w:color w:val="000000" w:themeColor="text1"/>
          <w:kern w:val="0"/>
          <w:sz w:val="24"/>
          <w:szCs w:val="24"/>
        </w:rPr>
        <w:t>abscess</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38]</w:t>
      </w:r>
      <w:r w:rsidRPr="00C16015">
        <w:rPr>
          <w:rFonts w:ascii="Book Antiqua" w:hAnsi="Book Antiqua"/>
          <w:color w:val="000000" w:themeColor="text1"/>
          <w:kern w:val="0"/>
          <w:sz w:val="24"/>
          <w:szCs w:val="24"/>
        </w:rPr>
        <w:t>.</w:t>
      </w:r>
    </w:p>
    <w:p w14:paraId="5E83BFFE" w14:textId="77777777" w:rsidR="008E4F6B"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In three of six phase II studies, patients received 1</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6 courses of NIPS. The MSTs of patients who underwent CRS after NIPS were 20.4</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29.8 </w:t>
      </w:r>
      <w:proofErr w:type="gramStart"/>
      <w:r w:rsidRPr="00C16015">
        <w:rPr>
          <w:rFonts w:ascii="Book Antiqua" w:hAnsi="Book Antiqua"/>
          <w:color w:val="000000" w:themeColor="text1"/>
          <w:kern w:val="0"/>
          <w:sz w:val="24"/>
          <w:szCs w:val="24"/>
        </w:rPr>
        <w:t>mo</w:t>
      </w:r>
      <w:proofErr w:type="gramEnd"/>
      <w:r w:rsidRPr="00C16015">
        <w:rPr>
          <w:rFonts w:ascii="Book Antiqua" w:hAnsi="Book Antiqua"/>
          <w:color w:val="000000" w:themeColor="text1"/>
          <w:kern w:val="0"/>
          <w:sz w:val="24"/>
          <w:szCs w:val="24"/>
        </w:rPr>
        <w:t xml:space="preserve">. In the other phase II studies, patients received SPIC. In 2010, we reported on a phase II study on SPIC in 40 gastric cancer patients with PC, which included six cytology positive (CY1) and macroscopically negative (P0) </w:t>
      </w:r>
      <w:proofErr w:type="gramStart"/>
      <w:r w:rsidRPr="00C16015">
        <w:rPr>
          <w:rFonts w:ascii="Book Antiqua" w:hAnsi="Book Antiqua"/>
          <w:color w:val="000000" w:themeColor="text1"/>
          <w:kern w:val="0"/>
          <w:sz w:val="24"/>
          <w:szCs w:val="24"/>
        </w:rPr>
        <w:t>patients</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14]</w:t>
      </w:r>
      <w:r w:rsidRPr="00C16015">
        <w:rPr>
          <w:rFonts w:ascii="Book Antiqua" w:hAnsi="Book Antiqua"/>
          <w:color w:val="000000" w:themeColor="text1"/>
          <w:kern w:val="0"/>
          <w:sz w:val="24"/>
          <w:szCs w:val="24"/>
        </w:rPr>
        <w:t xml:space="preserve">. Sixteen patients underwent CRS. According to recently updated survival data, the MST </w:t>
      </w:r>
      <w:r w:rsidR="008E4F6B" w:rsidRPr="00C16015">
        <w:rPr>
          <w:rFonts w:ascii="Book Antiqua" w:hAnsi="Book Antiqua"/>
          <w:color w:val="000000" w:themeColor="text1"/>
          <w:kern w:val="0"/>
          <w:sz w:val="24"/>
          <w:szCs w:val="24"/>
        </w:rPr>
        <w:t>was 23.6 mo</w:t>
      </w:r>
      <w:r w:rsidRPr="00C16015">
        <w:rPr>
          <w:rFonts w:ascii="Book Antiqua" w:hAnsi="Book Antiqua"/>
          <w:color w:val="000000" w:themeColor="text1"/>
          <w:kern w:val="0"/>
          <w:sz w:val="24"/>
          <w:szCs w:val="24"/>
        </w:rPr>
        <w:t xml:space="preserve"> and the 1-, 2-, and 5-year OS were 78%, 50%, and 18%, respectively.</w:t>
      </w:r>
    </w:p>
    <w:p w14:paraId="30D35289" w14:textId="77777777" w:rsidR="008E4F6B"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lastRenderedPageBreak/>
        <w:t xml:space="preserve">We performed another phase II study with the same regimen in 35 gastric cancer patients with </w:t>
      </w:r>
      <w:proofErr w:type="gramStart"/>
      <w:r w:rsidRPr="00C16015">
        <w:rPr>
          <w:rFonts w:ascii="Book Antiqua" w:hAnsi="Book Antiqua"/>
          <w:color w:val="000000" w:themeColor="text1"/>
          <w:kern w:val="0"/>
          <w:sz w:val="24"/>
          <w:szCs w:val="24"/>
        </w:rPr>
        <w:t>PC</w:t>
      </w:r>
      <w:r w:rsidRPr="00C16015">
        <w:rPr>
          <w:rFonts w:ascii="Book Antiqua" w:hAnsi="Book Antiqua"/>
          <w:noProof/>
          <w:color w:val="000000" w:themeColor="text1"/>
          <w:kern w:val="0"/>
          <w:sz w:val="24"/>
          <w:szCs w:val="24"/>
          <w:vertAlign w:val="superscript"/>
        </w:rPr>
        <w:t>[</w:t>
      </w:r>
      <w:proofErr w:type="gramEnd"/>
      <w:r w:rsidRPr="00C16015">
        <w:rPr>
          <w:rFonts w:ascii="Book Antiqua" w:hAnsi="Book Antiqua"/>
          <w:noProof/>
          <w:color w:val="000000" w:themeColor="text1"/>
          <w:kern w:val="0"/>
          <w:sz w:val="24"/>
          <w:szCs w:val="24"/>
          <w:vertAlign w:val="superscript"/>
        </w:rPr>
        <w:t>15]</w:t>
      </w:r>
      <w:r w:rsidRPr="00C16015">
        <w:rPr>
          <w:rFonts w:ascii="Book Antiqua" w:hAnsi="Book Antiqua"/>
          <w:color w:val="000000" w:themeColor="text1"/>
          <w:kern w:val="0"/>
          <w:sz w:val="24"/>
          <w:szCs w:val="24"/>
        </w:rPr>
        <w:t xml:space="preserve">. However, in this study, CY1P0 patients were excluded, because they may have a better prognosis compared to macroscopic PC (P1) patients. CRS was performed in 21 patients. Patients with peritoneal cancer index (PCI) scores </w:t>
      </w:r>
      <w:r w:rsidR="008E4F6B" w:rsidRPr="00C16015">
        <w:rPr>
          <w:rFonts w:ascii="Book Antiqua" w:eastAsia="方正细倩简体" w:hAnsi="Book Antiqua"/>
          <w:color w:val="000000" w:themeColor="text1"/>
          <w:kern w:val="0"/>
          <w:sz w:val="24"/>
          <w:szCs w:val="24"/>
        </w:rPr>
        <w:t>≥</w:t>
      </w:r>
      <w:r w:rsidR="008E4F6B" w:rsidRPr="00C16015">
        <w:rPr>
          <w:rFonts w:ascii="Book Antiqua" w:eastAsia="宋体" w:hAnsi="Book Antiqua"/>
          <w:color w:val="000000" w:themeColor="text1"/>
          <w:kern w:val="0"/>
          <w:sz w:val="24"/>
          <w:szCs w:val="24"/>
          <w:lang w:eastAsia="zh-CN"/>
        </w:rPr>
        <w:t xml:space="preserve"> </w:t>
      </w:r>
      <w:r w:rsidRPr="00C16015">
        <w:rPr>
          <w:rFonts w:ascii="Book Antiqua" w:hAnsi="Book Antiqua"/>
          <w:color w:val="000000" w:themeColor="text1"/>
          <w:kern w:val="0"/>
          <w:sz w:val="24"/>
          <w:szCs w:val="24"/>
        </w:rPr>
        <w:t>20 had a lower survival rate than those with PCI scores &lt;</w:t>
      </w:r>
      <w:r w:rsidR="008E4F6B" w:rsidRPr="00C16015">
        <w:rPr>
          <w:rFonts w:ascii="Book Antiqua" w:eastAsia="宋体" w:hAnsi="Book Antiqua"/>
          <w:color w:val="000000" w:themeColor="text1"/>
          <w:kern w:val="0"/>
          <w:sz w:val="24"/>
          <w:szCs w:val="24"/>
          <w:lang w:eastAsia="zh-CN"/>
        </w:rPr>
        <w:t xml:space="preserve"> </w:t>
      </w:r>
      <w:r w:rsidRPr="00C16015">
        <w:rPr>
          <w:rFonts w:ascii="Book Antiqua" w:hAnsi="Book Antiqua"/>
          <w:color w:val="000000" w:themeColor="text1"/>
          <w:kern w:val="0"/>
          <w:sz w:val="24"/>
          <w:szCs w:val="24"/>
        </w:rPr>
        <w:t>20. According to recently updated data, the MST was 18.0 mo, and the 1-, 2-, and 4-year OS were 77%, 42%, and 10%, respectively. The findings from staging laparoscopy and second-look laparoscopy are shown from a representative case (Fig</w:t>
      </w:r>
      <w:r w:rsidR="008E4F6B" w:rsidRPr="00C16015">
        <w:rPr>
          <w:rFonts w:ascii="Book Antiqua" w:eastAsia="宋体" w:hAnsi="Book Antiqua"/>
          <w:color w:val="000000" w:themeColor="text1"/>
          <w:kern w:val="0"/>
          <w:sz w:val="24"/>
          <w:szCs w:val="24"/>
          <w:lang w:eastAsia="zh-CN"/>
        </w:rPr>
        <w:t>ure</w:t>
      </w:r>
      <w:r w:rsidRPr="00C16015">
        <w:rPr>
          <w:rFonts w:ascii="Book Antiqua" w:hAnsi="Book Antiqua"/>
          <w:color w:val="000000" w:themeColor="text1"/>
          <w:kern w:val="0"/>
          <w:sz w:val="24"/>
          <w:szCs w:val="24"/>
        </w:rPr>
        <w:t xml:space="preserve"> 1).</w:t>
      </w:r>
    </w:p>
    <w:p w14:paraId="536ADCC9" w14:textId="0B153332" w:rsidR="00015D39"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proofErr w:type="spellStart"/>
      <w:r w:rsidRPr="00C16015">
        <w:rPr>
          <w:rFonts w:ascii="Book Antiqua" w:hAnsi="Book Antiqua"/>
          <w:color w:val="000000" w:themeColor="text1"/>
          <w:kern w:val="0"/>
          <w:sz w:val="24"/>
          <w:szCs w:val="24"/>
        </w:rPr>
        <w:t>Fushida</w:t>
      </w:r>
      <w:proofErr w:type="spellEnd"/>
      <w:r w:rsidRPr="00C16015">
        <w:rPr>
          <w:rFonts w:ascii="Book Antiqua" w:hAnsi="Book Antiqua"/>
          <w:i/>
          <w:color w:val="000000" w:themeColor="text1"/>
          <w:kern w:val="0"/>
          <w:sz w:val="24"/>
          <w:szCs w:val="24"/>
        </w:rPr>
        <w:t xml:space="preserve"> et </w:t>
      </w:r>
      <w:proofErr w:type="gramStart"/>
      <w:r w:rsidRPr="00C16015">
        <w:rPr>
          <w:rFonts w:ascii="Book Antiqua" w:hAnsi="Book Antiqua"/>
          <w:i/>
          <w:color w:val="000000" w:themeColor="text1"/>
          <w:kern w:val="0"/>
          <w:sz w:val="24"/>
          <w:szCs w:val="24"/>
        </w:rPr>
        <w:t>al</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16]</w:t>
      </w:r>
      <w:r w:rsidRPr="00C16015">
        <w:rPr>
          <w:rFonts w:ascii="Book Antiqua" w:hAnsi="Book Antiqua"/>
          <w:color w:val="000000" w:themeColor="text1"/>
          <w:kern w:val="0"/>
          <w:sz w:val="24"/>
          <w:szCs w:val="24"/>
        </w:rPr>
        <w:t xml:space="preserve"> performed a phase I/II study on SPIC with IP DOC in 27 patients. Fourteen patients underwent CRS and received postoperative IP chemotherapy. The 1- and 2-year OS of patients who underwent CRS were 92.8 and 62.5%, respectively.</w:t>
      </w:r>
    </w:p>
    <w:p w14:paraId="4759BDA9" w14:textId="77777777" w:rsidR="008E4F6B" w:rsidRPr="00C16015" w:rsidRDefault="008E4F6B" w:rsidP="00C16015">
      <w:pPr>
        <w:widowControl/>
        <w:spacing w:line="360" w:lineRule="auto"/>
        <w:ind w:firstLineChars="200" w:firstLine="480"/>
        <w:rPr>
          <w:rFonts w:ascii="Book Antiqua" w:eastAsia="宋体" w:hAnsi="Book Antiqua"/>
          <w:color w:val="000000" w:themeColor="text1"/>
          <w:kern w:val="0"/>
          <w:sz w:val="24"/>
          <w:szCs w:val="24"/>
          <w:lang w:eastAsia="zh-CN"/>
        </w:rPr>
      </w:pPr>
    </w:p>
    <w:p w14:paraId="45A4E14D" w14:textId="77777777" w:rsidR="00015D39" w:rsidRPr="00C16015" w:rsidRDefault="00015D39"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Phase III study</w:t>
      </w:r>
    </w:p>
    <w:p w14:paraId="616413B3" w14:textId="77777777" w:rsidR="00015D39" w:rsidRPr="00C16015" w:rsidRDefault="00015D39" w:rsidP="00C16015">
      <w:pPr>
        <w:widowControl/>
        <w:spacing w:line="360" w:lineRule="auto"/>
        <w:rPr>
          <w:rFonts w:ascii="Book Antiqua" w:hAnsi="Book Antiqua"/>
          <w:b/>
          <w:color w:val="000000" w:themeColor="text1"/>
          <w:kern w:val="0"/>
          <w:sz w:val="24"/>
          <w:szCs w:val="24"/>
        </w:rPr>
      </w:pPr>
      <w:r w:rsidRPr="00C16015">
        <w:rPr>
          <w:rFonts w:ascii="Book Antiqua" w:hAnsi="Book Antiqua"/>
          <w:color w:val="000000" w:themeColor="text1"/>
          <w:kern w:val="0"/>
          <w:sz w:val="24"/>
          <w:szCs w:val="24"/>
        </w:rPr>
        <w:t>In Japan, a randomized, multicenter, phase III trial (the PHOENIX-GC trial, UMIN000005930) compared S-1 in combination with IV and IP PTX to S-1 with IV CDDP in 180 gastric cancer patients with P1. This study began in 2011, and the final analysis will be obtained in November 2015.</w:t>
      </w:r>
    </w:p>
    <w:p w14:paraId="58CDD495" w14:textId="77777777" w:rsidR="008E4F6B" w:rsidRPr="00C16015" w:rsidRDefault="008E4F6B" w:rsidP="00C16015">
      <w:pPr>
        <w:widowControl/>
        <w:spacing w:line="360" w:lineRule="auto"/>
        <w:rPr>
          <w:rFonts w:ascii="Book Antiqua" w:eastAsia="宋体" w:hAnsi="Book Antiqua"/>
          <w:i/>
          <w:color w:val="000000" w:themeColor="text1"/>
          <w:kern w:val="0"/>
          <w:sz w:val="24"/>
          <w:szCs w:val="24"/>
          <w:lang w:eastAsia="zh-CN"/>
        </w:rPr>
      </w:pPr>
    </w:p>
    <w:p w14:paraId="575493DE" w14:textId="77777777" w:rsidR="00015D39" w:rsidRPr="00C16015" w:rsidRDefault="00015D39" w:rsidP="00C16015">
      <w:pPr>
        <w:widowControl/>
        <w:spacing w:line="360" w:lineRule="auto"/>
        <w:rPr>
          <w:rFonts w:ascii="Book Antiqua" w:hAnsi="Book Antiqua"/>
          <w:b/>
          <w:i/>
          <w:color w:val="000000" w:themeColor="text1"/>
          <w:kern w:val="0"/>
          <w:sz w:val="24"/>
          <w:szCs w:val="24"/>
        </w:rPr>
      </w:pPr>
      <w:r w:rsidRPr="00C16015">
        <w:rPr>
          <w:rFonts w:ascii="Book Antiqua" w:hAnsi="Book Antiqua"/>
          <w:b/>
          <w:i/>
          <w:color w:val="000000" w:themeColor="text1"/>
          <w:kern w:val="0"/>
          <w:sz w:val="24"/>
          <w:szCs w:val="24"/>
        </w:rPr>
        <w:t xml:space="preserve">IP chemotherapy with </w:t>
      </w:r>
      <w:proofErr w:type="spellStart"/>
      <w:r w:rsidRPr="00C16015">
        <w:rPr>
          <w:rFonts w:ascii="Book Antiqua" w:hAnsi="Book Antiqua"/>
          <w:b/>
          <w:i/>
          <w:color w:val="000000" w:themeColor="text1"/>
          <w:kern w:val="0"/>
          <w:sz w:val="24"/>
          <w:szCs w:val="24"/>
        </w:rPr>
        <w:t>taxanes</w:t>
      </w:r>
      <w:proofErr w:type="spellEnd"/>
      <w:r w:rsidRPr="00C16015">
        <w:rPr>
          <w:rFonts w:ascii="Book Antiqua" w:hAnsi="Book Antiqua"/>
          <w:b/>
          <w:i/>
          <w:color w:val="000000" w:themeColor="text1"/>
          <w:kern w:val="0"/>
          <w:sz w:val="24"/>
          <w:szCs w:val="24"/>
        </w:rPr>
        <w:t xml:space="preserve"> combined with CRS</w:t>
      </w:r>
    </w:p>
    <w:p w14:paraId="0F52F464" w14:textId="77777777" w:rsidR="008E4F6B"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 xml:space="preserve">If PC can be controlled by IP chemotherapy with a </w:t>
      </w:r>
      <w:proofErr w:type="spellStart"/>
      <w:r w:rsidRPr="00C16015">
        <w:rPr>
          <w:rFonts w:ascii="Book Antiqua" w:hAnsi="Book Antiqua"/>
          <w:color w:val="000000" w:themeColor="text1"/>
          <w:kern w:val="0"/>
          <w:sz w:val="24"/>
          <w:szCs w:val="24"/>
        </w:rPr>
        <w:t>taxane</w:t>
      </w:r>
      <w:proofErr w:type="spellEnd"/>
      <w:r w:rsidRPr="00C16015">
        <w:rPr>
          <w:rFonts w:ascii="Book Antiqua" w:hAnsi="Book Antiqua"/>
          <w:color w:val="000000" w:themeColor="text1"/>
          <w:kern w:val="0"/>
          <w:sz w:val="24"/>
          <w:szCs w:val="24"/>
        </w:rPr>
        <w:t xml:space="preserve">, gastrectomy as CRS is considered to be a reasonable treatment. Because IP chemotherapy as a localized therapy for peritoneal cavity may not have intensive antitumor </w:t>
      </w:r>
      <w:proofErr w:type="gramStart"/>
      <w:r w:rsidRPr="00C16015">
        <w:rPr>
          <w:rFonts w:ascii="Book Antiqua" w:hAnsi="Book Antiqua"/>
          <w:color w:val="000000" w:themeColor="text1"/>
          <w:kern w:val="0"/>
          <w:sz w:val="24"/>
          <w:szCs w:val="24"/>
        </w:rPr>
        <w:t>effects</w:t>
      </w:r>
      <w:proofErr w:type="gramEnd"/>
      <w:r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lastRenderedPageBreak/>
        <w:t xml:space="preserve">on primary gastric tumors and metastatic lymph nodes. Other than the aforementioned phase II studies, two studies have reported on the treatment results of IP chemotherapy combined with CRS. </w:t>
      </w:r>
    </w:p>
    <w:p w14:paraId="39C7E6D7" w14:textId="77777777" w:rsidR="008E4F6B"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proofErr w:type="spellStart"/>
      <w:r w:rsidRPr="00C16015">
        <w:rPr>
          <w:rFonts w:ascii="Book Antiqua" w:hAnsi="Book Antiqua"/>
          <w:color w:val="000000" w:themeColor="text1"/>
          <w:kern w:val="0"/>
          <w:sz w:val="24"/>
          <w:szCs w:val="24"/>
        </w:rPr>
        <w:t>Kitayama</w:t>
      </w:r>
      <w:proofErr w:type="spellEnd"/>
      <w:r w:rsidRPr="00C16015">
        <w:rPr>
          <w:rFonts w:ascii="Book Antiqua" w:hAnsi="Book Antiqua"/>
          <w:i/>
          <w:color w:val="000000" w:themeColor="text1"/>
          <w:kern w:val="0"/>
          <w:sz w:val="24"/>
          <w:szCs w:val="24"/>
        </w:rPr>
        <w:t xml:space="preserve"> et </w:t>
      </w:r>
      <w:proofErr w:type="gramStart"/>
      <w:r w:rsidRPr="00C16015">
        <w:rPr>
          <w:rFonts w:ascii="Book Antiqua" w:hAnsi="Book Antiqua"/>
          <w:i/>
          <w:color w:val="000000" w:themeColor="text1"/>
          <w:kern w:val="0"/>
          <w:sz w:val="24"/>
          <w:szCs w:val="24"/>
        </w:rPr>
        <w:t>al</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18]</w:t>
      </w:r>
      <w:r w:rsidRPr="00C16015">
        <w:rPr>
          <w:rFonts w:ascii="Book Antiqua" w:hAnsi="Book Antiqua"/>
          <w:color w:val="000000" w:themeColor="text1"/>
          <w:kern w:val="0"/>
          <w:sz w:val="24"/>
          <w:szCs w:val="24"/>
        </w:rPr>
        <w:t xml:space="preserve"> treated 64 gastric cancer patients with PC who had malignant ascites with IP and IV PTX combined with S-1. CRS without </w:t>
      </w:r>
      <w:proofErr w:type="spellStart"/>
      <w:r w:rsidRPr="00C16015">
        <w:rPr>
          <w:rFonts w:ascii="Book Antiqua" w:hAnsi="Book Antiqua"/>
          <w:color w:val="000000" w:themeColor="text1"/>
          <w:kern w:val="0"/>
          <w:sz w:val="24"/>
          <w:szCs w:val="24"/>
        </w:rPr>
        <w:t>peritonectomy</w:t>
      </w:r>
      <w:proofErr w:type="spellEnd"/>
      <w:r w:rsidRPr="00C16015">
        <w:rPr>
          <w:rFonts w:ascii="Book Antiqua" w:hAnsi="Book Antiqua"/>
          <w:color w:val="000000" w:themeColor="text1"/>
          <w:kern w:val="0"/>
          <w:sz w:val="24"/>
          <w:szCs w:val="24"/>
        </w:rPr>
        <w:t xml:space="preserve"> was performed in 34 patients. After CRS, chemotherapy with the same regimen was continued (i.e., SPIC). The MST of these patients and the 1-year OS were 26.4 mo and 82%, respectively. Those of the 30 patients who did not undergo gastrectomy were 12.1 months and 26%, respectively.</w:t>
      </w:r>
    </w:p>
    <w:p w14:paraId="71D65F97" w14:textId="77777777" w:rsidR="008E4F6B"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proofErr w:type="spellStart"/>
      <w:proofErr w:type="gramStart"/>
      <w:r w:rsidRPr="00C16015">
        <w:rPr>
          <w:rFonts w:ascii="Book Antiqua" w:hAnsi="Book Antiqua"/>
          <w:color w:val="000000" w:themeColor="text1"/>
          <w:kern w:val="0"/>
          <w:sz w:val="24"/>
          <w:szCs w:val="24"/>
        </w:rPr>
        <w:t>Yonemura</w:t>
      </w:r>
      <w:proofErr w:type="spellEnd"/>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46]</w:t>
      </w:r>
      <w:r w:rsidRPr="00C16015">
        <w:rPr>
          <w:rFonts w:ascii="Book Antiqua" w:hAnsi="Book Antiqua"/>
          <w:color w:val="000000" w:themeColor="text1"/>
          <w:kern w:val="0"/>
          <w:sz w:val="24"/>
          <w:szCs w:val="24"/>
        </w:rPr>
        <w:t xml:space="preserve"> performed NIPS with IP DOC and CDDP combined with S-1 in 96 patients. After two cycles of NIPS, 82 patients underwent CRS (gastrectomy with D2 dissection and </w:t>
      </w:r>
      <w:proofErr w:type="spellStart"/>
      <w:r w:rsidRPr="00C16015">
        <w:rPr>
          <w:rFonts w:ascii="Book Antiqua" w:hAnsi="Book Antiqua"/>
          <w:color w:val="000000" w:themeColor="text1"/>
          <w:kern w:val="0"/>
          <w:sz w:val="24"/>
          <w:szCs w:val="24"/>
        </w:rPr>
        <w:t>peritonectomy</w:t>
      </w:r>
      <w:proofErr w:type="spellEnd"/>
      <w:r w:rsidRPr="00C16015">
        <w:rPr>
          <w:rFonts w:ascii="Book Antiqua" w:hAnsi="Book Antiqua"/>
          <w:color w:val="000000" w:themeColor="text1"/>
          <w:kern w:val="0"/>
          <w:sz w:val="24"/>
          <w:szCs w:val="24"/>
        </w:rPr>
        <w:t xml:space="preserve">). Complete </w:t>
      </w:r>
      <w:proofErr w:type="spellStart"/>
      <w:r w:rsidRPr="00C16015">
        <w:rPr>
          <w:rFonts w:ascii="Book Antiqua" w:hAnsi="Book Antiqua"/>
          <w:color w:val="000000" w:themeColor="text1"/>
          <w:kern w:val="0"/>
          <w:sz w:val="24"/>
          <w:szCs w:val="24"/>
        </w:rPr>
        <w:t>cytoreduction</w:t>
      </w:r>
      <w:proofErr w:type="spellEnd"/>
      <w:r w:rsidRPr="00C16015">
        <w:rPr>
          <w:rFonts w:ascii="Book Antiqua" w:hAnsi="Book Antiqua"/>
          <w:color w:val="000000" w:themeColor="text1"/>
          <w:kern w:val="0"/>
          <w:sz w:val="24"/>
          <w:szCs w:val="24"/>
        </w:rPr>
        <w:t xml:space="preserve"> was achieved in 58 patients. The MST and 1-year OS of patients who underwent CRS was 14.4 mo and 61%, respectively. The MST of patients who underwent complete </w:t>
      </w:r>
      <w:proofErr w:type="spellStart"/>
      <w:r w:rsidRPr="00C16015">
        <w:rPr>
          <w:rFonts w:ascii="Book Antiqua" w:hAnsi="Book Antiqua"/>
          <w:color w:val="000000" w:themeColor="text1"/>
          <w:kern w:val="0"/>
          <w:sz w:val="24"/>
          <w:szCs w:val="24"/>
        </w:rPr>
        <w:t>cytoreduction</w:t>
      </w:r>
      <w:proofErr w:type="spellEnd"/>
      <w:r w:rsidRPr="00C16015">
        <w:rPr>
          <w:rFonts w:ascii="Book Antiqua" w:hAnsi="Book Antiqua"/>
          <w:color w:val="000000" w:themeColor="text1"/>
          <w:kern w:val="0"/>
          <w:sz w:val="24"/>
          <w:szCs w:val="24"/>
        </w:rPr>
        <w:t xml:space="preserve"> and those who did not undergo CRS were 21.1 mo and 9 </w:t>
      </w:r>
      <w:proofErr w:type="gramStart"/>
      <w:r w:rsidRPr="00C16015">
        <w:rPr>
          <w:rFonts w:ascii="Book Antiqua" w:hAnsi="Book Antiqua"/>
          <w:color w:val="000000" w:themeColor="text1"/>
          <w:kern w:val="0"/>
          <w:sz w:val="24"/>
          <w:szCs w:val="24"/>
        </w:rPr>
        <w:t>mo</w:t>
      </w:r>
      <w:proofErr w:type="gramEnd"/>
      <w:r w:rsidRPr="00C16015">
        <w:rPr>
          <w:rFonts w:ascii="Book Antiqua" w:hAnsi="Book Antiqua"/>
          <w:color w:val="000000" w:themeColor="text1"/>
          <w:kern w:val="0"/>
          <w:sz w:val="24"/>
          <w:szCs w:val="24"/>
        </w:rPr>
        <w:t>, respectively.</w:t>
      </w:r>
    </w:p>
    <w:p w14:paraId="2E9F58F1" w14:textId="481E27BB" w:rsidR="00015D39" w:rsidRPr="00C16015" w:rsidRDefault="00015D39" w:rsidP="00C16015">
      <w:pPr>
        <w:widowControl/>
        <w:spacing w:line="360" w:lineRule="auto"/>
        <w:ind w:firstLineChars="200" w:firstLine="480"/>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In these reports, the prognosis of patients who underwent CRS was better than that of those who did not. However, this survival difference was partly due to a strong selection bias since CRS was performed only in good responders. A randomized controlled study will need to be performed in order to determine the significance of CRS.</w:t>
      </w:r>
    </w:p>
    <w:p w14:paraId="47E6FEC9" w14:textId="77777777" w:rsidR="008E4F6B" w:rsidRPr="00C16015" w:rsidRDefault="008E4F6B" w:rsidP="00C16015">
      <w:pPr>
        <w:widowControl/>
        <w:spacing w:line="360" w:lineRule="auto"/>
        <w:ind w:firstLineChars="200" w:firstLine="480"/>
        <w:rPr>
          <w:rFonts w:ascii="Book Antiqua" w:eastAsia="宋体" w:hAnsi="Book Antiqua"/>
          <w:color w:val="000000" w:themeColor="text1"/>
          <w:kern w:val="0"/>
          <w:sz w:val="24"/>
          <w:szCs w:val="24"/>
          <w:lang w:eastAsia="zh-CN"/>
        </w:rPr>
      </w:pPr>
    </w:p>
    <w:p w14:paraId="58E801D4" w14:textId="77777777" w:rsidR="008E4F6B" w:rsidRPr="00C16015" w:rsidRDefault="00015D39" w:rsidP="00C16015">
      <w:pPr>
        <w:widowControl/>
        <w:spacing w:line="360" w:lineRule="auto"/>
        <w:rPr>
          <w:rFonts w:ascii="Book Antiqua" w:eastAsia="宋体" w:hAnsi="Book Antiqua"/>
          <w:b/>
          <w:color w:val="000000" w:themeColor="text1"/>
          <w:sz w:val="24"/>
          <w:szCs w:val="24"/>
          <w:lang w:eastAsia="zh-CN"/>
        </w:rPr>
      </w:pPr>
      <w:r w:rsidRPr="00C16015">
        <w:rPr>
          <w:rFonts w:ascii="Book Antiqua" w:hAnsi="Book Antiqua"/>
          <w:b/>
          <w:color w:val="000000" w:themeColor="text1"/>
          <w:sz w:val="24"/>
          <w:szCs w:val="24"/>
        </w:rPr>
        <w:t>DISCUSSION</w:t>
      </w:r>
    </w:p>
    <w:p w14:paraId="0D8D11E8" w14:textId="77777777" w:rsidR="008E4F6B" w:rsidRPr="00C16015" w:rsidRDefault="00015D39" w:rsidP="00C16015">
      <w:pPr>
        <w:widowControl/>
        <w:spacing w:line="360" w:lineRule="auto"/>
        <w:rPr>
          <w:rFonts w:ascii="Book Antiqua" w:eastAsia="宋体" w:hAnsi="Book Antiqua"/>
          <w:b/>
          <w:color w:val="000000" w:themeColor="text1"/>
          <w:sz w:val="24"/>
          <w:szCs w:val="24"/>
          <w:lang w:eastAsia="zh-CN"/>
        </w:rPr>
      </w:pPr>
      <w:r w:rsidRPr="00C16015">
        <w:rPr>
          <w:rFonts w:ascii="Book Antiqua" w:hAnsi="Book Antiqua"/>
          <w:color w:val="000000" w:themeColor="text1"/>
          <w:kern w:val="0"/>
          <w:sz w:val="24"/>
          <w:szCs w:val="24"/>
        </w:rPr>
        <w:lastRenderedPageBreak/>
        <w:t xml:space="preserve">It is important whether IP chemotherapy with </w:t>
      </w:r>
      <w:proofErr w:type="spellStart"/>
      <w:r w:rsidRPr="00C16015">
        <w:rPr>
          <w:rFonts w:ascii="Book Antiqua" w:hAnsi="Book Antiqua"/>
          <w:color w:val="000000" w:themeColor="text1"/>
          <w:kern w:val="0"/>
          <w:sz w:val="24"/>
          <w:szCs w:val="24"/>
        </w:rPr>
        <w:t>taxanes</w:t>
      </w:r>
      <w:proofErr w:type="spellEnd"/>
      <w:r w:rsidRPr="00C16015">
        <w:rPr>
          <w:rFonts w:ascii="Book Antiqua" w:hAnsi="Book Antiqua"/>
          <w:color w:val="000000" w:themeColor="text1"/>
          <w:kern w:val="0"/>
          <w:sz w:val="24"/>
          <w:szCs w:val="24"/>
        </w:rPr>
        <w:t xml:space="preserve"> is needed after CRS. </w:t>
      </w:r>
      <w:proofErr w:type="spellStart"/>
      <w:r w:rsidRPr="00C16015">
        <w:rPr>
          <w:rFonts w:ascii="Book Antiqua" w:hAnsi="Book Antiqua"/>
          <w:color w:val="000000" w:themeColor="text1"/>
          <w:kern w:val="0"/>
          <w:sz w:val="24"/>
          <w:szCs w:val="24"/>
        </w:rPr>
        <w:t>Yonemura</w:t>
      </w:r>
      <w:proofErr w:type="spellEnd"/>
      <w:r w:rsidRPr="00C16015">
        <w:rPr>
          <w:rFonts w:ascii="Book Antiqua" w:hAnsi="Book Antiqua"/>
          <w:color w:val="000000" w:themeColor="text1"/>
          <w:kern w:val="0"/>
          <w:sz w:val="24"/>
          <w:szCs w:val="24"/>
        </w:rPr>
        <w:t xml:space="preserve"> </w:t>
      </w:r>
      <w:r w:rsidRPr="00C16015">
        <w:rPr>
          <w:rFonts w:ascii="Book Antiqua" w:hAnsi="Book Antiqua"/>
          <w:i/>
          <w:color w:val="000000" w:themeColor="text1"/>
          <w:kern w:val="0"/>
          <w:sz w:val="24"/>
          <w:szCs w:val="24"/>
        </w:rPr>
        <w:t xml:space="preserve">et </w:t>
      </w:r>
      <w:proofErr w:type="gramStart"/>
      <w:r w:rsidRPr="00C16015">
        <w:rPr>
          <w:rFonts w:ascii="Book Antiqua" w:hAnsi="Book Antiqua"/>
          <w:i/>
          <w:color w:val="000000" w:themeColor="text1"/>
          <w:kern w:val="0"/>
          <w:sz w:val="24"/>
          <w:szCs w:val="24"/>
        </w:rPr>
        <w:t>al</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46]</w:t>
      </w:r>
      <w:r w:rsidRPr="00C16015">
        <w:rPr>
          <w:rFonts w:ascii="Book Antiqua" w:hAnsi="Book Antiqua"/>
          <w:color w:val="000000" w:themeColor="text1"/>
          <w:kern w:val="0"/>
          <w:sz w:val="24"/>
          <w:szCs w:val="24"/>
        </w:rPr>
        <w:t xml:space="preserve"> reported that 22 of 61 patients who received NIPS with complete </w:t>
      </w:r>
      <w:proofErr w:type="spellStart"/>
      <w:r w:rsidRPr="00C16015">
        <w:rPr>
          <w:rFonts w:ascii="Book Antiqua" w:hAnsi="Book Antiqua"/>
          <w:color w:val="000000" w:themeColor="text1"/>
          <w:kern w:val="0"/>
          <w:sz w:val="24"/>
          <w:szCs w:val="24"/>
        </w:rPr>
        <w:t>cytoreductive</w:t>
      </w:r>
      <w:proofErr w:type="spellEnd"/>
      <w:r w:rsidRPr="00C16015">
        <w:rPr>
          <w:rFonts w:ascii="Book Antiqua" w:hAnsi="Book Antiqua"/>
          <w:color w:val="000000" w:themeColor="text1"/>
          <w:kern w:val="0"/>
          <w:sz w:val="24"/>
          <w:szCs w:val="24"/>
        </w:rPr>
        <w:t xml:space="preserve"> surgery had recurrence in the peritoneum. Fujiwara </w:t>
      </w:r>
      <w:r w:rsidRPr="00C16015">
        <w:rPr>
          <w:rFonts w:ascii="Book Antiqua" w:hAnsi="Book Antiqua"/>
          <w:i/>
          <w:color w:val="000000" w:themeColor="text1"/>
          <w:kern w:val="0"/>
          <w:sz w:val="24"/>
          <w:szCs w:val="24"/>
        </w:rPr>
        <w:t xml:space="preserve">et </w:t>
      </w:r>
      <w:proofErr w:type="gramStart"/>
      <w:r w:rsidRPr="00C16015">
        <w:rPr>
          <w:rFonts w:ascii="Book Antiqua" w:hAnsi="Book Antiqua"/>
          <w:i/>
          <w:color w:val="000000" w:themeColor="text1"/>
          <w:kern w:val="0"/>
          <w:sz w:val="24"/>
          <w:szCs w:val="24"/>
        </w:rPr>
        <w:t>al</w:t>
      </w:r>
      <w:r w:rsidR="008E4F6B" w:rsidRPr="00C16015">
        <w:rPr>
          <w:rFonts w:ascii="Book Antiqua" w:hAnsi="Book Antiqua"/>
          <w:noProof/>
          <w:color w:val="000000" w:themeColor="text1"/>
          <w:kern w:val="0"/>
          <w:sz w:val="24"/>
          <w:szCs w:val="24"/>
          <w:vertAlign w:val="superscript"/>
        </w:rPr>
        <w:t>[</w:t>
      </w:r>
      <w:proofErr w:type="gramEnd"/>
      <w:r w:rsidR="008E4F6B" w:rsidRPr="00C16015">
        <w:rPr>
          <w:rFonts w:ascii="Book Antiqua" w:hAnsi="Book Antiqua"/>
          <w:noProof/>
          <w:color w:val="000000" w:themeColor="text1"/>
          <w:kern w:val="0"/>
          <w:sz w:val="24"/>
          <w:szCs w:val="24"/>
          <w:vertAlign w:val="superscript"/>
        </w:rPr>
        <w:t>17]</w:t>
      </w:r>
      <w:r w:rsidRPr="00C16015">
        <w:rPr>
          <w:rFonts w:ascii="Book Antiqua" w:hAnsi="Book Antiqua"/>
          <w:color w:val="000000" w:themeColor="text1"/>
          <w:kern w:val="0"/>
          <w:sz w:val="24"/>
          <w:szCs w:val="24"/>
        </w:rPr>
        <w:t xml:space="preserve"> suggested that IP chemotherapy may have been needed in their patients, because 8 of 14 patients who had curative surgery following NIPS died from peritoneal recurrence. It is reasonable to consider that IP chemotherapy with a </w:t>
      </w:r>
      <w:proofErr w:type="spellStart"/>
      <w:r w:rsidRPr="00C16015">
        <w:rPr>
          <w:rFonts w:ascii="Book Antiqua" w:hAnsi="Book Antiqua"/>
          <w:color w:val="000000" w:themeColor="text1"/>
          <w:kern w:val="0"/>
          <w:sz w:val="24"/>
          <w:szCs w:val="24"/>
        </w:rPr>
        <w:t>taxane</w:t>
      </w:r>
      <w:proofErr w:type="spellEnd"/>
      <w:r w:rsidRPr="00C16015">
        <w:rPr>
          <w:rFonts w:ascii="Book Antiqua" w:hAnsi="Book Antiqua"/>
          <w:color w:val="000000" w:themeColor="text1"/>
          <w:kern w:val="0"/>
          <w:sz w:val="24"/>
          <w:szCs w:val="24"/>
        </w:rPr>
        <w:t xml:space="preserve"> should be continued as long as possible even after CRS to suppress the development of microscopic cancer cells that may still exist in the whole peritoneal cavity. Therefore, we consider that SPIC is better suited for treating PC of gastric cancer. </w:t>
      </w:r>
    </w:p>
    <w:p w14:paraId="684A3096" w14:textId="77777777" w:rsidR="008E4F6B" w:rsidRPr="00C16015" w:rsidRDefault="00015D39" w:rsidP="00C16015">
      <w:pPr>
        <w:widowControl/>
        <w:spacing w:line="360" w:lineRule="auto"/>
        <w:ind w:firstLineChars="200" w:firstLine="480"/>
        <w:rPr>
          <w:rFonts w:ascii="Book Antiqua" w:eastAsia="宋体" w:hAnsi="Book Antiqua"/>
          <w:b/>
          <w:color w:val="000000" w:themeColor="text1"/>
          <w:sz w:val="24"/>
          <w:szCs w:val="24"/>
          <w:lang w:eastAsia="zh-CN"/>
        </w:rPr>
      </w:pPr>
      <w:r w:rsidRPr="00C16015">
        <w:rPr>
          <w:rFonts w:ascii="Book Antiqua" w:hAnsi="Book Antiqua"/>
          <w:color w:val="000000" w:themeColor="text1"/>
          <w:kern w:val="0"/>
          <w:sz w:val="24"/>
          <w:szCs w:val="24"/>
        </w:rPr>
        <w:t xml:space="preserve">Another important issue is how the criteria for performing CRS are determined. If patients do not respond to IP chemotherapy, CRS should not be performed. We have performed CRS in patients who have met the following criteria: </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1) no distant metastasis, except in the peritoneum</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2) a negative peritoneal lavage cytology</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and </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3) a second-look laparoscopy reveals that the peritoneal metastatic nodules are reduced. To select eligible patients for CRS more precisely, novel and useful biomarkers that reflect a good response to IP chemotherapy are needed.</w:t>
      </w:r>
    </w:p>
    <w:p w14:paraId="0EBBF3CB" w14:textId="77777777" w:rsidR="008E4F6B" w:rsidRPr="00C16015" w:rsidRDefault="00015D39" w:rsidP="00C16015">
      <w:pPr>
        <w:widowControl/>
        <w:spacing w:line="360" w:lineRule="auto"/>
        <w:ind w:firstLineChars="200" w:firstLine="480"/>
        <w:rPr>
          <w:rFonts w:ascii="Book Antiqua" w:eastAsia="宋体" w:hAnsi="Book Antiqua"/>
          <w:b/>
          <w:color w:val="000000" w:themeColor="text1"/>
          <w:sz w:val="24"/>
          <w:szCs w:val="24"/>
          <w:lang w:eastAsia="zh-CN"/>
        </w:rPr>
      </w:pPr>
      <w:r w:rsidRPr="00C16015">
        <w:rPr>
          <w:rFonts w:ascii="Book Antiqua" w:hAnsi="Book Antiqua"/>
          <w:color w:val="000000" w:themeColor="text1"/>
          <w:sz w:val="24"/>
          <w:szCs w:val="24"/>
        </w:rPr>
        <w:t xml:space="preserve">Phase III studies on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have been reported in the gynecological field, especially for PC of ovarian cancer. IP PTX with systemic chemotherapy for PC of ovarian cancer showed a significant survival </w:t>
      </w:r>
      <w:proofErr w:type="gramStart"/>
      <w:r w:rsidRPr="00C16015">
        <w:rPr>
          <w:rFonts w:ascii="Book Antiqua" w:hAnsi="Book Antiqua"/>
          <w:color w:val="000000" w:themeColor="text1"/>
          <w:sz w:val="24"/>
          <w:szCs w:val="24"/>
        </w:rPr>
        <w:t>benefit</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47]</w:t>
      </w:r>
      <w:r w:rsidRPr="00C16015">
        <w:rPr>
          <w:rFonts w:ascii="Book Antiqua" w:hAnsi="Book Antiqua"/>
          <w:color w:val="000000" w:themeColor="text1"/>
          <w:sz w:val="24"/>
          <w:szCs w:val="24"/>
        </w:rPr>
        <w:t>. Based on the findin</w:t>
      </w:r>
      <w:r w:rsidR="008E4F6B" w:rsidRPr="00C16015">
        <w:rPr>
          <w:rFonts w:ascii="Book Antiqua" w:hAnsi="Book Antiqua"/>
          <w:color w:val="000000" w:themeColor="text1"/>
          <w:sz w:val="24"/>
          <w:szCs w:val="24"/>
        </w:rPr>
        <w:t xml:space="preserve">gs from these phase III </w:t>
      </w:r>
      <w:proofErr w:type="gramStart"/>
      <w:r w:rsidR="008E4F6B" w:rsidRPr="00C16015">
        <w:rPr>
          <w:rFonts w:ascii="Book Antiqua" w:hAnsi="Book Antiqua"/>
          <w:color w:val="000000" w:themeColor="text1"/>
          <w:sz w:val="24"/>
          <w:szCs w:val="24"/>
        </w:rPr>
        <w:t>studies</w:t>
      </w:r>
      <w:r w:rsidRPr="00C16015">
        <w:rPr>
          <w:rFonts w:ascii="Book Antiqua" w:hAnsi="Book Antiqua"/>
          <w:noProof/>
          <w:color w:val="000000" w:themeColor="text1"/>
          <w:sz w:val="24"/>
          <w:szCs w:val="24"/>
          <w:vertAlign w:val="superscript"/>
        </w:rPr>
        <w:t>[</w:t>
      </w:r>
      <w:proofErr w:type="gramEnd"/>
      <w:r w:rsidRPr="00C16015">
        <w:rPr>
          <w:rFonts w:ascii="Book Antiqua" w:hAnsi="Book Antiqua"/>
          <w:noProof/>
          <w:color w:val="000000" w:themeColor="text1"/>
          <w:sz w:val="24"/>
          <w:szCs w:val="24"/>
          <w:vertAlign w:val="superscript"/>
        </w:rPr>
        <w:t>47-49]</w:t>
      </w:r>
      <w:r w:rsidRPr="00C16015">
        <w:rPr>
          <w:rFonts w:ascii="Book Antiqua" w:hAnsi="Book Antiqua"/>
          <w:color w:val="000000" w:themeColor="text1"/>
          <w:sz w:val="24"/>
          <w:szCs w:val="24"/>
        </w:rPr>
        <w:t xml:space="preserve">, the National Cancer Institute has recommended IP chemotherapy in patients with optimally </w:t>
      </w:r>
      <w:proofErr w:type="spellStart"/>
      <w:r w:rsidRPr="00C16015">
        <w:rPr>
          <w:rFonts w:ascii="Book Antiqua" w:hAnsi="Book Antiqua"/>
          <w:color w:val="000000" w:themeColor="text1"/>
          <w:sz w:val="24"/>
          <w:szCs w:val="24"/>
        </w:rPr>
        <w:t>debulked</w:t>
      </w:r>
      <w:proofErr w:type="spellEnd"/>
      <w:r w:rsidRPr="00C16015">
        <w:rPr>
          <w:rFonts w:ascii="Book Antiqua" w:hAnsi="Book Antiqua"/>
          <w:color w:val="000000" w:themeColor="text1"/>
          <w:sz w:val="24"/>
          <w:szCs w:val="24"/>
        </w:rPr>
        <w:t xml:space="preserve"> ovarian cancer</w:t>
      </w:r>
      <w:r w:rsidRPr="00C16015">
        <w:rPr>
          <w:rFonts w:ascii="Book Antiqua" w:hAnsi="Book Antiqua"/>
          <w:noProof/>
          <w:color w:val="000000" w:themeColor="text1"/>
          <w:sz w:val="24"/>
          <w:szCs w:val="24"/>
          <w:vertAlign w:val="superscript"/>
        </w:rPr>
        <w:t>[50]</w:t>
      </w:r>
      <w:r w:rsidRPr="00C16015">
        <w:rPr>
          <w:rFonts w:ascii="Book Antiqua" w:hAnsi="Book Antiqua"/>
          <w:color w:val="000000" w:themeColor="text1"/>
          <w:sz w:val="24"/>
          <w:szCs w:val="24"/>
        </w:rPr>
        <w:t>.</w:t>
      </w:r>
    </w:p>
    <w:p w14:paraId="1EA12379" w14:textId="77777777" w:rsidR="008E4F6B" w:rsidRPr="00C16015" w:rsidRDefault="00015D39" w:rsidP="00C16015">
      <w:pPr>
        <w:widowControl/>
        <w:spacing w:line="360" w:lineRule="auto"/>
        <w:ind w:firstLineChars="200" w:firstLine="480"/>
        <w:rPr>
          <w:rFonts w:ascii="Book Antiqua" w:eastAsia="宋体" w:hAnsi="Book Antiqua"/>
          <w:b/>
          <w:color w:val="000000" w:themeColor="text1"/>
          <w:sz w:val="24"/>
          <w:szCs w:val="24"/>
          <w:lang w:eastAsia="zh-CN"/>
        </w:rPr>
      </w:pPr>
      <w:r w:rsidRPr="00C16015">
        <w:rPr>
          <w:rFonts w:ascii="Book Antiqua" w:hAnsi="Book Antiqua"/>
          <w:color w:val="000000" w:themeColor="text1"/>
          <w:sz w:val="24"/>
          <w:szCs w:val="24"/>
        </w:rPr>
        <w:lastRenderedPageBreak/>
        <w:t xml:space="preserve">Regarding the treatment of PC from gastric cancer, there are promising findings from several phase II studies with IP chemotherapy using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However, it is difficult to draw any definitive conclusions about the overall clinical usefulness of this treatment method until we obtain the findings from the PHOENIX-GC phase III trials.</w:t>
      </w:r>
    </w:p>
    <w:p w14:paraId="399DBE95" w14:textId="26DA9D72" w:rsidR="00015D39" w:rsidRPr="00C16015" w:rsidRDefault="00015D39" w:rsidP="00C16015">
      <w:pPr>
        <w:widowControl/>
        <w:spacing w:line="360" w:lineRule="auto"/>
        <w:ind w:firstLineChars="200" w:firstLine="480"/>
        <w:rPr>
          <w:rFonts w:ascii="Book Antiqua" w:hAnsi="Book Antiqua"/>
          <w:b/>
          <w:color w:val="000000" w:themeColor="text1"/>
          <w:sz w:val="24"/>
          <w:szCs w:val="24"/>
        </w:rPr>
      </w:pPr>
      <w:r w:rsidRPr="00C16015">
        <w:rPr>
          <w:rFonts w:ascii="Book Antiqua" w:hAnsi="Book Antiqua"/>
          <w:color w:val="000000" w:themeColor="text1"/>
          <w:sz w:val="24"/>
          <w:szCs w:val="24"/>
        </w:rPr>
        <w:t xml:space="preserve">In conclusion, IP administered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remain in the intraperitoneal cavity for a long period, and they produce antitumor effects by infiltrating peritoneal metastatic nodules from the surface. In addition, repeated IP administration of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through an intraperitoneal access port before and after CRS seems necessary for improving the effect of IP chemotherapy. Lastly,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for PC from gastric cancer is safe and feasible. Although several phase II clinical studies have shown promising results, further randomized phase III clinical trials are needed to validate IP chemotherapy with </w:t>
      </w:r>
      <w:proofErr w:type="spellStart"/>
      <w:r w:rsidRPr="00C16015">
        <w:rPr>
          <w:rFonts w:ascii="Book Antiqua" w:hAnsi="Book Antiqua"/>
          <w:color w:val="000000" w:themeColor="text1"/>
          <w:sz w:val="24"/>
          <w:szCs w:val="24"/>
        </w:rPr>
        <w:t>taxanes</w:t>
      </w:r>
      <w:proofErr w:type="spellEnd"/>
      <w:r w:rsidRPr="00C16015">
        <w:rPr>
          <w:rFonts w:ascii="Book Antiqua" w:hAnsi="Book Antiqua"/>
          <w:color w:val="000000" w:themeColor="text1"/>
          <w:sz w:val="24"/>
          <w:szCs w:val="24"/>
        </w:rPr>
        <w:t xml:space="preserve"> for gastric PC. </w:t>
      </w:r>
    </w:p>
    <w:p w14:paraId="73A51C5D" w14:textId="77777777" w:rsidR="00015D39" w:rsidRPr="00C16015" w:rsidRDefault="00015D39" w:rsidP="00C16015">
      <w:pPr>
        <w:spacing w:line="360" w:lineRule="auto"/>
        <w:rPr>
          <w:rFonts w:ascii="Book Antiqua" w:eastAsia="宋体" w:hAnsi="Book Antiqua"/>
          <w:b/>
          <w:color w:val="000000" w:themeColor="text1"/>
          <w:sz w:val="24"/>
          <w:szCs w:val="24"/>
          <w:lang w:eastAsia="zh-CN"/>
        </w:rPr>
      </w:pPr>
      <w:r w:rsidRPr="00C16015">
        <w:rPr>
          <w:rFonts w:ascii="Book Antiqua" w:hAnsi="Book Antiqua"/>
          <w:color w:val="000000" w:themeColor="text1"/>
          <w:sz w:val="24"/>
          <w:szCs w:val="24"/>
        </w:rPr>
        <w:br w:type="page"/>
      </w:r>
      <w:r w:rsidRPr="00C16015">
        <w:rPr>
          <w:rFonts w:ascii="Book Antiqua" w:hAnsi="Book Antiqua"/>
          <w:b/>
          <w:color w:val="000000" w:themeColor="text1"/>
          <w:sz w:val="24"/>
          <w:szCs w:val="24"/>
        </w:rPr>
        <w:lastRenderedPageBreak/>
        <w:t>REFERENCE</w:t>
      </w:r>
    </w:p>
    <w:p w14:paraId="5B410891"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 </w:t>
      </w:r>
      <w:proofErr w:type="spellStart"/>
      <w:r w:rsidRPr="00C16015">
        <w:rPr>
          <w:rFonts w:ascii="Book Antiqua" w:eastAsia="宋体" w:hAnsi="Book Antiqua" w:cs="宋体"/>
          <w:b/>
          <w:bCs/>
          <w:color w:val="000000" w:themeColor="text1"/>
          <w:kern w:val="0"/>
          <w:sz w:val="24"/>
          <w:szCs w:val="24"/>
        </w:rPr>
        <w:t>Ferlay</w:t>
      </w:r>
      <w:proofErr w:type="spellEnd"/>
      <w:r w:rsidRPr="00C16015">
        <w:rPr>
          <w:rFonts w:ascii="Book Antiqua" w:eastAsia="宋体" w:hAnsi="Book Antiqua" w:cs="宋体"/>
          <w:b/>
          <w:bCs/>
          <w:color w:val="000000" w:themeColor="text1"/>
          <w:kern w:val="0"/>
          <w:sz w:val="24"/>
          <w:szCs w:val="24"/>
        </w:rPr>
        <w:t xml:space="preserve"> J</w:t>
      </w:r>
      <w:r w:rsidRPr="00C16015">
        <w:rPr>
          <w:rFonts w:ascii="Book Antiqua" w:eastAsia="宋体" w:hAnsi="Book Antiqua" w:cs="宋体"/>
          <w:color w:val="000000" w:themeColor="text1"/>
          <w:kern w:val="0"/>
          <w:sz w:val="24"/>
          <w:szCs w:val="24"/>
        </w:rPr>
        <w:t xml:space="preserve">, Shin HR, Bray F, Forman D, Mathers C, </w:t>
      </w:r>
      <w:proofErr w:type="spellStart"/>
      <w:r w:rsidRPr="00C16015">
        <w:rPr>
          <w:rFonts w:ascii="Book Antiqua" w:eastAsia="宋体" w:hAnsi="Book Antiqua" w:cs="宋体"/>
          <w:color w:val="000000" w:themeColor="text1"/>
          <w:kern w:val="0"/>
          <w:sz w:val="24"/>
          <w:szCs w:val="24"/>
        </w:rPr>
        <w:t>Parkin</w:t>
      </w:r>
      <w:proofErr w:type="spellEnd"/>
      <w:r w:rsidRPr="00C16015">
        <w:rPr>
          <w:rFonts w:ascii="Book Antiqua" w:eastAsia="宋体" w:hAnsi="Book Antiqua" w:cs="宋体"/>
          <w:color w:val="000000" w:themeColor="text1"/>
          <w:kern w:val="0"/>
          <w:sz w:val="24"/>
          <w:szCs w:val="24"/>
        </w:rPr>
        <w:t xml:space="preserve"> DM. Estimates of worldwide burden of cancer in 2008: GLOBOCAN 2008. </w:t>
      </w:r>
      <w:proofErr w:type="spellStart"/>
      <w:r w:rsidRPr="00C16015">
        <w:rPr>
          <w:rFonts w:ascii="Book Antiqua" w:eastAsia="宋体" w:hAnsi="Book Antiqua" w:cs="宋体"/>
          <w:i/>
          <w:iCs/>
          <w:color w:val="000000" w:themeColor="text1"/>
          <w:kern w:val="0"/>
          <w:sz w:val="24"/>
          <w:szCs w:val="24"/>
        </w:rPr>
        <w:t>Int</w:t>
      </w:r>
      <w:proofErr w:type="spellEnd"/>
      <w:r w:rsidRPr="00C16015">
        <w:rPr>
          <w:rFonts w:ascii="Book Antiqua" w:eastAsia="宋体" w:hAnsi="Book Antiqua" w:cs="宋体"/>
          <w:i/>
          <w:iCs/>
          <w:color w:val="000000" w:themeColor="text1"/>
          <w:kern w:val="0"/>
          <w:sz w:val="24"/>
          <w:szCs w:val="24"/>
        </w:rPr>
        <w:t xml:space="preserve"> J Cancer</w:t>
      </w:r>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127</w:t>
      </w:r>
      <w:r w:rsidRPr="00C16015">
        <w:rPr>
          <w:rFonts w:ascii="Book Antiqua" w:eastAsia="宋体" w:hAnsi="Book Antiqua" w:cs="宋体"/>
          <w:color w:val="000000" w:themeColor="text1"/>
          <w:kern w:val="0"/>
          <w:sz w:val="24"/>
          <w:szCs w:val="24"/>
        </w:rPr>
        <w:t>: 2893-2917 [PMID: 21351269 DOI: 10.1002/ijc.25516]</w:t>
      </w:r>
    </w:p>
    <w:p w14:paraId="68F2836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 </w:t>
      </w:r>
      <w:proofErr w:type="spellStart"/>
      <w:r w:rsidRPr="00C16015">
        <w:rPr>
          <w:rFonts w:ascii="Book Antiqua" w:eastAsia="宋体" w:hAnsi="Book Antiqua" w:cs="宋体"/>
          <w:b/>
          <w:bCs/>
          <w:color w:val="000000" w:themeColor="text1"/>
          <w:kern w:val="0"/>
          <w:sz w:val="24"/>
          <w:szCs w:val="24"/>
        </w:rPr>
        <w:t>Nashimoto</w:t>
      </w:r>
      <w:proofErr w:type="spellEnd"/>
      <w:r w:rsidRPr="00C16015">
        <w:rPr>
          <w:rFonts w:ascii="Book Antiqua" w:eastAsia="宋体" w:hAnsi="Book Antiqua" w:cs="宋体"/>
          <w:b/>
          <w:bCs/>
          <w:color w:val="000000" w:themeColor="text1"/>
          <w:kern w:val="0"/>
          <w:sz w:val="24"/>
          <w:szCs w:val="24"/>
        </w:rPr>
        <w:t xml:space="preserve"> A</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Akazawa</w:t>
      </w:r>
      <w:proofErr w:type="spellEnd"/>
      <w:r w:rsidRPr="00C16015">
        <w:rPr>
          <w:rFonts w:ascii="Book Antiqua" w:eastAsia="宋体" w:hAnsi="Book Antiqua" w:cs="宋体"/>
          <w:color w:val="000000" w:themeColor="text1"/>
          <w:kern w:val="0"/>
          <w:sz w:val="24"/>
          <w:szCs w:val="24"/>
        </w:rPr>
        <w:t xml:space="preserve"> K, </w:t>
      </w:r>
      <w:proofErr w:type="spellStart"/>
      <w:r w:rsidRPr="00C16015">
        <w:rPr>
          <w:rFonts w:ascii="Book Antiqua" w:eastAsia="宋体" w:hAnsi="Book Antiqua" w:cs="宋体"/>
          <w:color w:val="000000" w:themeColor="text1"/>
          <w:kern w:val="0"/>
          <w:sz w:val="24"/>
          <w:szCs w:val="24"/>
        </w:rPr>
        <w:t>Isobe</w:t>
      </w:r>
      <w:proofErr w:type="spellEnd"/>
      <w:r w:rsidRPr="00C16015">
        <w:rPr>
          <w:rFonts w:ascii="Book Antiqua" w:eastAsia="宋体" w:hAnsi="Book Antiqua" w:cs="宋体"/>
          <w:color w:val="000000" w:themeColor="text1"/>
          <w:kern w:val="0"/>
          <w:sz w:val="24"/>
          <w:szCs w:val="24"/>
        </w:rPr>
        <w:t xml:space="preserve"> Y, Miyashiro I, </w:t>
      </w:r>
      <w:proofErr w:type="spellStart"/>
      <w:r w:rsidRPr="00C16015">
        <w:rPr>
          <w:rFonts w:ascii="Book Antiqua" w:eastAsia="宋体" w:hAnsi="Book Antiqua" w:cs="宋体"/>
          <w:color w:val="000000" w:themeColor="text1"/>
          <w:kern w:val="0"/>
          <w:sz w:val="24"/>
          <w:szCs w:val="24"/>
        </w:rPr>
        <w:t>Katai</w:t>
      </w:r>
      <w:proofErr w:type="spellEnd"/>
      <w:r w:rsidRPr="00C16015">
        <w:rPr>
          <w:rFonts w:ascii="Book Antiqua" w:eastAsia="宋体" w:hAnsi="Book Antiqua" w:cs="宋体"/>
          <w:color w:val="000000" w:themeColor="text1"/>
          <w:kern w:val="0"/>
          <w:sz w:val="24"/>
          <w:szCs w:val="24"/>
        </w:rPr>
        <w:t xml:space="preserve"> H, Kodera Y, </w:t>
      </w:r>
      <w:proofErr w:type="spellStart"/>
      <w:r w:rsidRPr="00C16015">
        <w:rPr>
          <w:rFonts w:ascii="Book Antiqua" w:eastAsia="宋体" w:hAnsi="Book Antiqua" w:cs="宋体"/>
          <w:color w:val="000000" w:themeColor="text1"/>
          <w:kern w:val="0"/>
          <w:sz w:val="24"/>
          <w:szCs w:val="24"/>
        </w:rPr>
        <w:t>Tsujitani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Seto</w:t>
      </w:r>
      <w:proofErr w:type="spellEnd"/>
      <w:r w:rsidRPr="00C16015">
        <w:rPr>
          <w:rFonts w:ascii="Book Antiqua" w:eastAsia="宋体" w:hAnsi="Book Antiqua" w:cs="宋体"/>
          <w:color w:val="000000" w:themeColor="text1"/>
          <w:kern w:val="0"/>
          <w:sz w:val="24"/>
          <w:szCs w:val="24"/>
        </w:rPr>
        <w:t xml:space="preserve"> Y, Furukawa H, Oda I, Ono H, Tanabe S, </w:t>
      </w:r>
      <w:proofErr w:type="spellStart"/>
      <w:r w:rsidRPr="00C16015">
        <w:rPr>
          <w:rFonts w:ascii="Book Antiqua" w:eastAsia="宋体" w:hAnsi="Book Antiqua" w:cs="宋体"/>
          <w:color w:val="000000" w:themeColor="text1"/>
          <w:kern w:val="0"/>
          <w:sz w:val="24"/>
          <w:szCs w:val="24"/>
        </w:rPr>
        <w:t>Kaminishi</w:t>
      </w:r>
      <w:proofErr w:type="spellEnd"/>
      <w:r w:rsidRPr="00C16015">
        <w:rPr>
          <w:rFonts w:ascii="Book Antiqua" w:eastAsia="宋体" w:hAnsi="Book Antiqua" w:cs="宋体"/>
          <w:color w:val="000000" w:themeColor="text1"/>
          <w:kern w:val="0"/>
          <w:sz w:val="24"/>
          <w:szCs w:val="24"/>
        </w:rPr>
        <w:t xml:space="preserve"> M. Gastric cancer treated in 2002 in Japan: 2009 annual report of the JGCA nationwide registry. </w:t>
      </w:r>
      <w:r w:rsidRPr="00C16015">
        <w:rPr>
          <w:rFonts w:ascii="Book Antiqua" w:eastAsia="宋体" w:hAnsi="Book Antiqua" w:cs="宋体"/>
          <w:i/>
          <w:iCs/>
          <w:color w:val="000000" w:themeColor="text1"/>
          <w:kern w:val="0"/>
          <w:sz w:val="24"/>
          <w:szCs w:val="24"/>
        </w:rPr>
        <w:t>Gastric Cancer</w:t>
      </w:r>
      <w:r w:rsidRPr="00C16015">
        <w:rPr>
          <w:rFonts w:ascii="Book Antiqua" w:eastAsia="宋体" w:hAnsi="Book Antiqua" w:cs="宋体"/>
          <w:color w:val="000000" w:themeColor="text1"/>
          <w:kern w:val="0"/>
          <w:sz w:val="24"/>
          <w:szCs w:val="24"/>
        </w:rPr>
        <w:t xml:space="preserve"> 2013; </w:t>
      </w:r>
      <w:r w:rsidRPr="00C16015">
        <w:rPr>
          <w:rFonts w:ascii="Book Antiqua" w:eastAsia="宋体" w:hAnsi="Book Antiqua" w:cs="宋体"/>
          <w:b/>
          <w:bCs/>
          <w:color w:val="000000" w:themeColor="text1"/>
          <w:kern w:val="0"/>
          <w:sz w:val="24"/>
          <w:szCs w:val="24"/>
        </w:rPr>
        <w:t>16</w:t>
      </w:r>
      <w:r w:rsidRPr="00C16015">
        <w:rPr>
          <w:rFonts w:ascii="Book Antiqua" w:eastAsia="宋体" w:hAnsi="Book Antiqua" w:cs="宋体"/>
          <w:color w:val="000000" w:themeColor="text1"/>
          <w:kern w:val="0"/>
          <w:sz w:val="24"/>
          <w:szCs w:val="24"/>
        </w:rPr>
        <w:t>: 1-27 [PMID: 22729699 DOI: 10.1007/s10120-012-0163-4]</w:t>
      </w:r>
    </w:p>
    <w:p w14:paraId="3AA819B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 </w:t>
      </w:r>
      <w:proofErr w:type="spellStart"/>
      <w:r w:rsidRPr="00C16015">
        <w:rPr>
          <w:rFonts w:ascii="Book Antiqua" w:eastAsia="宋体" w:hAnsi="Book Antiqua" w:cs="宋体"/>
          <w:b/>
          <w:bCs/>
          <w:color w:val="000000" w:themeColor="text1"/>
          <w:kern w:val="0"/>
          <w:sz w:val="24"/>
          <w:szCs w:val="24"/>
        </w:rPr>
        <w:t>Yoo</w:t>
      </w:r>
      <w:proofErr w:type="spellEnd"/>
      <w:r w:rsidRPr="00C16015">
        <w:rPr>
          <w:rFonts w:ascii="Book Antiqua" w:eastAsia="宋体" w:hAnsi="Book Antiqua" w:cs="宋体"/>
          <w:b/>
          <w:bCs/>
          <w:color w:val="000000" w:themeColor="text1"/>
          <w:kern w:val="0"/>
          <w:sz w:val="24"/>
          <w:szCs w:val="24"/>
        </w:rPr>
        <w:t xml:space="preserve"> CH</w:t>
      </w:r>
      <w:r w:rsidRPr="00C16015">
        <w:rPr>
          <w:rFonts w:ascii="Book Antiqua" w:eastAsia="宋体" w:hAnsi="Book Antiqua" w:cs="宋体"/>
          <w:color w:val="000000" w:themeColor="text1"/>
          <w:kern w:val="0"/>
          <w:sz w:val="24"/>
          <w:szCs w:val="24"/>
        </w:rPr>
        <w:t xml:space="preserve">, Noh SH, Shin DW, Choi SH, Min JS. </w:t>
      </w:r>
      <w:proofErr w:type="gramStart"/>
      <w:r w:rsidRPr="00C16015">
        <w:rPr>
          <w:rFonts w:ascii="Book Antiqua" w:eastAsia="宋体" w:hAnsi="Book Antiqua" w:cs="宋体"/>
          <w:color w:val="000000" w:themeColor="text1"/>
          <w:kern w:val="0"/>
          <w:sz w:val="24"/>
          <w:szCs w:val="24"/>
        </w:rPr>
        <w:t>Recurrence following curative resection for gastric carcinoma.</w:t>
      </w:r>
      <w:proofErr w:type="gram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Br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color w:val="000000" w:themeColor="text1"/>
          <w:kern w:val="0"/>
          <w:sz w:val="24"/>
          <w:szCs w:val="24"/>
        </w:rPr>
        <w:t xml:space="preserve"> 2000; </w:t>
      </w:r>
      <w:r w:rsidRPr="00C16015">
        <w:rPr>
          <w:rFonts w:ascii="Book Antiqua" w:eastAsia="宋体" w:hAnsi="Book Antiqua" w:cs="宋体"/>
          <w:b/>
          <w:bCs/>
          <w:color w:val="000000" w:themeColor="text1"/>
          <w:kern w:val="0"/>
          <w:sz w:val="24"/>
          <w:szCs w:val="24"/>
        </w:rPr>
        <w:t>87</w:t>
      </w:r>
      <w:r w:rsidRPr="00C16015">
        <w:rPr>
          <w:rFonts w:ascii="Book Antiqua" w:eastAsia="宋体" w:hAnsi="Book Antiqua" w:cs="宋体"/>
          <w:color w:val="000000" w:themeColor="text1"/>
          <w:kern w:val="0"/>
          <w:sz w:val="24"/>
          <w:szCs w:val="24"/>
        </w:rPr>
        <w:t>: 236-242 [PMID: 10671934 DOI: 10.1046/j.1365-2168.2000.01360.x]</w:t>
      </w:r>
    </w:p>
    <w:p w14:paraId="5DEFD274"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 </w:t>
      </w:r>
      <w:proofErr w:type="spellStart"/>
      <w:r w:rsidRPr="00C16015">
        <w:rPr>
          <w:rFonts w:ascii="Book Antiqua" w:eastAsia="宋体" w:hAnsi="Book Antiqua" w:cs="宋体"/>
          <w:b/>
          <w:bCs/>
          <w:color w:val="000000" w:themeColor="text1"/>
          <w:kern w:val="0"/>
          <w:sz w:val="24"/>
          <w:szCs w:val="24"/>
        </w:rPr>
        <w:t>Yamao</w:t>
      </w:r>
      <w:proofErr w:type="spellEnd"/>
      <w:r w:rsidRPr="00C16015">
        <w:rPr>
          <w:rFonts w:ascii="Book Antiqua" w:eastAsia="宋体" w:hAnsi="Book Antiqua" w:cs="宋体"/>
          <w:b/>
          <w:bCs/>
          <w:color w:val="000000" w:themeColor="text1"/>
          <w:kern w:val="0"/>
          <w:sz w:val="24"/>
          <w:szCs w:val="24"/>
        </w:rPr>
        <w:t xml:space="preserve"> T</w:t>
      </w:r>
      <w:r w:rsidRPr="00C16015">
        <w:rPr>
          <w:rFonts w:ascii="Book Antiqua" w:eastAsia="宋体" w:hAnsi="Book Antiqua" w:cs="宋体"/>
          <w:color w:val="000000" w:themeColor="text1"/>
          <w:kern w:val="0"/>
          <w:sz w:val="24"/>
          <w:szCs w:val="24"/>
        </w:rPr>
        <w:t xml:space="preserve">, Shimada Y, </w:t>
      </w:r>
      <w:proofErr w:type="spellStart"/>
      <w:r w:rsidRPr="00C16015">
        <w:rPr>
          <w:rFonts w:ascii="Book Antiqua" w:eastAsia="宋体" w:hAnsi="Book Antiqua" w:cs="宋体"/>
          <w:color w:val="000000" w:themeColor="text1"/>
          <w:kern w:val="0"/>
          <w:sz w:val="24"/>
          <w:szCs w:val="24"/>
        </w:rPr>
        <w:t>Shirao</w:t>
      </w:r>
      <w:proofErr w:type="spellEnd"/>
      <w:r w:rsidRPr="00C16015">
        <w:rPr>
          <w:rFonts w:ascii="Book Antiqua" w:eastAsia="宋体" w:hAnsi="Book Antiqua" w:cs="宋体"/>
          <w:color w:val="000000" w:themeColor="text1"/>
          <w:kern w:val="0"/>
          <w:sz w:val="24"/>
          <w:szCs w:val="24"/>
        </w:rPr>
        <w:t xml:space="preserve"> K, </w:t>
      </w:r>
      <w:proofErr w:type="spellStart"/>
      <w:r w:rsidRPr="00C16015">
        <w:rPr>
          <w:rFonts w:ascii="Book Antiqua" w:eastAsia="宋体" w:hAnsi="Book Antiqua" w:cs="宋体"/>
          <w:color w:val="000000" w:themeColor="text1"/>
          <w:kern w:val="0"/>
          <w:sz w:val="24"/>
          <w:szCs w:val="24"/>
        </w:rPr>
        <w:t>Ohtsu</w:t>
      </w:r>
      <w:proofErr w:type="spellEnd"/>
      <w:r w:rsidRPr="00C16015">
        <w:rPr>
          <w:rFonts w:ascii="Book Antiqua" w:eastAsia="宋体" w:hAnsi="Book Antiqua" w:cs="宋体"/>
          <w:color w:val="000000" w:themeColor="text1"/>
          <w:kern w:val="0"/>
          <w:sz w:val="24"/>
          <w:szCs w:val="24"/>
        </w:rPr>
        <w:t xml:space="preserve"> A, Ikeda N, </w:t>
      </w:r>
      <w:proofErr w:type="spellStart"/>
      <w:r w:rsidRPr="00C16015">
        <w:rPr>
          <w:rFonts w:ascii="Book Antiqua" w:eastAsia="宋体" w:hAnsi="Book Antiqua" w:cs="宋体"/>
          <w:color w:val="000000" w:themeColor="text1"/>
          <w:kern w:val="0"/>
          <w:sz w:val="24"/>
          <w:szCs w:val="24"/>
        </w:rPr>
        <w:t>Hyodo</w:t>
      </w:r>
      <w:proofErr w:type="spellEnd"/>
      <w:r w:rsidRPr="00C16015">
        <w:rPr>
          <w:rFonts w:ascii="Book Antiqua" w:eastAsia="宋体" w:hAnsi="Book Antiqua" w:cs="宋体"/>
          <w:color w:val="000000" w:themeColor="text1"/>
          <w:kern w:val="0"/>
          <w:sz w:val="24"/>
          <w:szCs w:val="24"/>
        </w:rPr>
        <w:t xml:space="preserve"> I, Saito H, Iwase H, Tsuji Y, Tamura T, Yamamoto S, Yoshida S. Phase II study of sequential methotrexate and 5-fluorouracil chemotherapy against </w:t>
      </w:r>
      <w:proofErr w:type="spellStart"/>
      <w:r w:rsidRPr="00C16015">
        <w:rPr>
          <w:rFonts w:ascii="Book Antiqua" w:eastAsia="宋体" w:hAnsi="Book Antiqua" w:cs="宋体"/>
          <w:color w:val="000000" w:themeColor="text1"/>
          <w:kern w:val="0"/>
          <w:sz w:val="24"/>
          <w:szCs w:val="24"/>
        </w:rPr>
        <w:t>peritoneally</w:t>
      </w:r>
      <w:proofErr w:type="spellEnd"/>
      <w:r w:rsidRPr="00C16015">
        <w:rPr>
          <w:rFonts w:ascii="Book Antiqua" w:eastAsia="宋体" w:hAnsi="Book Antiqua" w:cs="宋体"/>
          <w:color w:val="000000" w:themeColor="text1"/>
          <w:kern w:val="0"/>
          <w:sz w:val="24"/>
          <w:szCs w:val="24"/>
        </w:rPr>
        <w:t xml:space="preserve"> disseminated gastric cancer with malignant ascites: a report from the Gastrointestinal Oncology Study Group of the Japan Clinical Oncology Group, JCOG 9603 Trial. </w:t>
      </w:r>
      <w:proofErr w:type="spellStart"/>
      <w:r w:rsidRPr="00C16015">
        <w:rPr>
          <w:rFonts w:ascii="Book Antiqua" w:eastAsia="宋体" w:hAnsi="Book Antiqua" w:cs="宋体"/>
          <w:i/>
          <w:iCs/>
          <w:color w:val="000000" w:themeColor="text1"/>
          <w:kern w:val="0"/>
          <w:sz w:val="24"/>
          <w:szCs w:val="24"/>
        </w:rPr>
        <w:t>Jpn</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2004; </w:t>
      </w:r>
      <w:r w:rsidRPr="00C16015">
        <w:rPr>
          <w:rFonts w:ascii="Book Antiqua" w:eastAsia="宋体" w:hAnsi="Book Antiqua" w:cs="宋体"/>
          <w:b/>
          <w:bCs/>
          <w:color w:val="000000" w:themeColor="text1"/>
          <w:kern w:val="0"/>
          <w:sz w:val="24"/>
          <w:szCs w:val="24"/>
        </w:rPr>
        <w:t>34</w:t>
      </w:r>
      <w:r w:rsidRPr="00C16015">
        <w:rPr>
          <w:rFonts w:ascii="Book Antiqua" w:eastAsia="宋体" w:hAnsi="Book Antiqua" w:cs="宋体"/>
          <w:color w:val="000000" w:themeColor="text1"/>
          <w:kern w:val="0"/>
          <w:sz w:val="24"/>
          <w:szCs w:val="24"/>
        </w:rPr>
        <w:t>: 316-322 [PMID: 15333683 DOI: 10.1093/</w:t>
      </w:r>
      <w:proofErr w:type="spellStart"/>
      <w:r w:rsidRPr="00C16015">
        <w:rPr>
          <w:rFonts w:ascii="Book Antiqua" w:eastAsia="宋体" w:hAnsi="Book Antiqua" w:cs="宋体"/>
          <w:color w:val="000000" w:themeColor="text1"/>
          <w:kern w:val="0"/>
          <w:sz w:val="24"/>
          <w:szCs w:val="24"/>
        </w:rPr>
        <w:t>jjco</w:t>
      </w:r>
      <w:proofErr w:type="spellEnd"/>
      <w:r w:rsidRPr="00C16015">
        <w:rPr>
          <w:rFonts w:ascii="Book Antiqua" w:eastAsia="宋体" w:hAnsi="Book Antiqua" w:cs="宋体"/>
          <w:color w:val="000000" w:themeColor="text1"/>
          <w:kern w:val="0"/>
          <w:sz w:val="24"/>
          <w:szCs w:val="24"/>
        </w:rPr>
        <w:t>/hyh063]</w:t>
      </w:r>
    </w:p>
    <w:p w14:paraId="54699CD5"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proofErr w:type="gramStart"/>
      <w:r w:rsidRPr="00C16015">
        <w:rPr>
          <w:rFonts w:ascii="Book Antiqua" w:eastAsia="宋体" w:hAnsi="Book Antiqua" w:cs="宋体"/>
          <w:color w:val="000000" w:themeColor="text1"/>
          <w:kern w:val="0"/>
          <w:sz w:val="24"/>
          <w:szCs w:val="24"/>
        </w:rPr>
        <w:t xml:space="preserve">5 </w:t>
      </w:r>
      <w:r w:rsidRPr="00C16015">
        <w:rPr>
          <w:rFonts w:ascii="Book Antiqua" w:eastAsia="宋体" w:hAnsi="Book Antiqua" w:cs="宋体"/>
          <w:b/>
          <w:bCs/>
          <w:color w:val="000000" w:themeColor="text1"/>
          <w:kern w:val="0"/>
          <w:sz w:val="24"/>
          <w:szCs w:val="24"/>
        </w:rPr>
        <w:t>Oh SY</w:t>
      </w:r>
      <w:r w:rsidRPr="00C16015">
        <w:rPr>
          <w:rFonts w:ascii="Book Antiqua" w:eastAsia="宋体" w:hAnsi="Book Antiqua" w:cs="宋体"/>
          <w:color w:val="000000" w:themeColor="text1"/>
          <w:kern w:val="0"/>
          <w:sz w:val="24"/>
          <w:szCs w:val="24"/>
        </w:rPr>
        <w:t xml:space="preserve">, Kwon HC, Lee S, Lee DM, </w:t>
      </w:r>
      <w:proofErr w:type="spellStart"/>
      <w:r w:rsidRPr="00C16015">
        <w:rPr>
          <w:rFonts w:ascii="Book Antiqua" w:eastAsia="宋体" w:hAnsi="Book Antiqua" w:cs="宋体"/>
          <w:color w:val="000000" w:themeColor="text1"/>
          <w:kern w:val="0"/>
          <w:sz w:val="24"/>
          <w:szCs w:val="24"/>
        </w:rPr>
        <w:t>Yoo</w:t>
      </w:r>
      <w:proofErr w:type="spellEnd"/>
      <w:r w:rsidRPr="00C16015">
        <w:rPr>
          <w:rFonts w:ascii="Book Antiqua" w:eastAsia="宋体" w:hAnsi="Book Antiqua" w:cs="宋体"/>
          <w:color w:val="000000" w:themeColor="text1"/>
          <w:kern w:val="0"/>
          <w:sz w:val="24"/>
          <w:szCs w:val="24"/>
        </w:rPr>
        <w:t xml:space="preserve"> HS, Kim SH, Jang JS, Kim MC, </w:t>
      </w:r>
      <w:proofErr w:type="spellStart"/>
      <w:r w:rsidRPr="00C16015">
        <w:rPr>
          <w:rFonts w:ascii="Book Antiqua" w:eastAsia="宋体" w:hAnsi="Book Antiqua" w:cs="宋体"/>
          <w:color w:val="000000" w:themeColor="text1"/>
          <w:kern w:val="0"/>
          <w:sz w:val="24"/>
          <w:szCs w:val="24"/>
        </w:rPr>
        <w:t>Jeong</w:t>
      </w:r>
      <w:proofErr w:type="spellEnd"/>
      <w:r w:rsidRPr="00C16015">
        <w:rPr>
          <w:rFonts w:ascii="Book Antiqua" w:eastAsia="宋体" w:hAnsi="Book Antiqua" w:cs="宋体"/>
          <w:color w:val="000000" w:themeColor="text1"/>
          <w:kern w:val="0"/>
          <w:sz w:val="24"/>
          <w:szCs w:val="24"/>
        </w:rPr>
        <w:t xml:space="preserve"> JS, Kim HJ.</w:t>
      </w:r>
      <w:proofErr w:type="gramEnd"/>
      <w:r w:rsidRPr="00C16015">
        <w:rPr>
          <w:rFonts w:ascii="Book Antiqua" w:eastAsia="宋体" w:hAnsi="Book Antiqua" w:cs="宋体"/>
          <w:color w:val="000000" w:themeColor="text1"/>
          <w:kern w:val="0"/>
          <w:sz w:val="24"/>
          <w:szCs w:val="24"/>
        </w:rPr>
        <w:t xml:space="preserve"> </w:t>
      </w:r>
      <w:proofErr w:type="gramStart"/>
      <w:r w:rsidRPr="00C16015">
        <w:rPr>
          <w:rFonts w:ascii="Book Antiqua" w:eastAsia="宋体" w:hAnsi="Book Antiqua" w:cs="宋体"/>
          <w:color w:val="000000" w:themeColor="text1"/>
          <w:kern w:val="0"/>
          <w:sz w:val="24"/>
          <w:szCs w:val="24"/>
        </w:rPr>
        <w:t xml:space="preserve">A Phase II study of </w:t>
      </w:r>
      <w:proofErr w:type="spellStart"/>
      <w:r w:rsidRPr="00C16015">
        <w:rPr>
          <w:rFonts w:ascii="Book Antiqua" w:eastAsia="宋体" w:hAnsi="Book Antiqua" w:cs="宋体"/>
          <w:color w:val="000000" w:themeColor="text1"/>
          <w:kern w:val="0"/>
          <w:sz w:val="24"/>
          <w:szCs w:val="24"/>
        </w:rPr>
        <w:t>oxaliplatin</w:t>
      </w:r>
      <w:proofErr w:type="spellEnd"/>
      <w:r w:rsidRPr="00C16015">
        <w:rPr>
          <w:rFonts w:ascii="Book Antiqua" w:eastAsia="宋体" w:hAnsi="Book Antiqua" w:cs="宋体"/>
          <w:color w:val="000000" w:themeColor="text1"/>
          <w:kern w:val="0"/>
          <w:sz w:val="24"/>
          <w:szCs w:val="24"/>
        </w:rPr>
        <w:t xml:space="preserve"> with low-dose </w:t>
      </w:r>
      <w:proofErr w:type="spellStart"/>
      <w:r w:rsidRPr="00C16015">
        <w:rPr>
          <w:rFonts w:ascii="Book Antiqua" w:eastAsia="宋体" w:hAnsi="Book Antiqua" w:cs="宋体"/>
          <w:color w:val="000000" w:themeColor="text1"/>
          <w:kern w:val="0"/>
          <w:sz w:val="24"/>
          <w:szCs w:val="24"/>
        </w:rPr>
        <w:t>leucovorin</w:t>
      </w:r>
      <w:proofErr w:type="spellEnd"/>
      <w:r w:rsidRPr="00C16015">
        <w:rPr>
          <w:rFonts w:ascii="Book Antiqua" w:eastAsia="宋体" w:hAnsi="Book Antiqua" w:cs="宋体"/>
          <w:color w:val="000000" w:themeColor="text1"/>
          <w:kern w:val="0"/>
          <w:sz w:val="24"/>
          <w:szCs w:val="24"/>
        </w:rPr>
        <w:t xml:space="preserve"> and bolus and continuous infusion 5-fluorouracil (modified FOLFOX-4) for gastric cancer patients with malignant ascites.</w:t>
      </w:r>
      <w:proofErr w:type="gramEnd"/>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Jpn</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2007; </w:t>
      </w:r>
      <w:r w:rsidRPr="00C16015">
        <w:rPr>
          <w:rFonts w:ascii="Book Antiqua" w:eastAsia="宋体" w:hAnsi="Book Antiqua" w:cs="宋体"/>
          <w:b/>
          <w:bCs/>
          <w:color w:val="000000" w:themeColor="text1"/>
          <w:kern w:val="0"/>
          <w:sz w:val="24"/>
          <w:szCs w:val="24"/>
        </w:rPr>
        <w:t>37</w:t>
      </w:r>
      <w:r w:rsidRPr="00C16015">
        <w:rPr>
          <w:rFonts w:ascii="Book Antiqua" w:eastAsia="宋体" w:hAnsi="Book Antiqua" w:cs="宋体"/>
          <w:color w:val="000000" w:themeColor="text1"/>
          <w:kern w:val="0"/>
          <w:sz w:val="24"/>
          <w:szCs w:val="24"/>
        </w:rPr>
        <w:t>: 930-935 [PMID: 18211984 DOI: 10.1093/</w:t>
      </w:r>
      <w:proofErr w:type="spellStart"/>
      <w:r w:rsidRPr="00C16015">
        <w:rPr>
          <w:rFonts w:ascii="Book Antiqua" w:eastAsia="宋体" w:hAnsi="Book Antiqua" w:cs="宋体"/>
          <w:color w:val="000000" w:themeColor="text1"/>
          <w:kern w:val="0"/>
          <w:sz w:val="24"/>
          <w:szCs w:val="24"/>
        </w:rPr>
        <w:t>jjco</w:t>
      </w:r>
      <w:proofErr w:type="spellEnd"/>
      <w:r w:rsidRPr="00C16015">
        <w:rPr>
          <w:rFonts w:ascii="Book Antiqua" w:eastAsia="宋体" w:hAnsi="Book Antiqua" w:cs="宋体"/>
          <w:color w:val="000000" w:themeColor="text1"/>
          <w:kern w:val="0"/>
          <w:sz w:val="24"/>
          <w:szCs w:val="24"/>
        </w:rPr>
        <w:t>/hym131]</w:t>
      </w:r>
    </w:p>
    <w:p w14:paraId="72B27869"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6 </w:t>
      </w:r>
      <w:proofErr w:type="spellStart"/>
      <w:r w:rsidRPr="00C16015">
        <w:rPr>
          <w:rFonts w:ascii="Book Antiqua" w:eastAsia="宋体" w:hAnsi="Book Antiqua" w:cs="宋体"/>
          <w:b/>
          <w:color w:val="000000" w:themeColor="text1"/>
          <w:kern w:val="0"/>
          <w:sz w:val="24"/>
          <w:szCs w:val="24"/>
        </w:rPr>
        <w:t>Shirao</w:t>
      </w:r>
      <w:proofErr w:type="spellEnd"/>
      <w:r w:rsidRPr="00C16015">
        <w:rPr>
          <w:rFonts w:ascii="Book Antiqua" w:eastAsia="宋体" w:hAnsi="Book Antiqua" w:cs="宋体"/>
          <w:b/>
          <w:color w:val="000000" w:themeColor="text1"/>
          <w:kern w:val="0"/>
          <w:sz w:val="24"/>
          <w:szCs w:val="24"/>
        </w:rPr>
        <w:t xml:space="preserve"> K,</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Boku</w:t>
      </w:r>
      <w:proofErr w:type="spellEnd"/>
      <w:r w:rsidRPr="00C16015">
        <w:rPr>
          <w:rFonts w:ascii="Book Antiqua" w:eastAsia="宋体" w:hAnsi="Book Antiqua" w:cs="宋体"/>
          <w:color w:val="000000" w:themeColor="text1"/>
          <w:kern w:val="0"/>
          <w:sz w:val="24"/>
          <w:szCs w:val="24"/>
        </w:rPr>
        <w:t xml:space="preserve"> N, Yamada Y, Yamaguchi K, T. D, </w:t>
      </w:r>
      <w:proofErr w:type="spellStart"/>
      <w:r w:rsidRPr="00C16015">
        <w:rPr>
          <w:rFonts w:ascii="Book Antiqua" w:eastAsia="宋体" w:hAnsi="Book Antiqua" w:cs="宋体"/>
          <w:color w:val="000000" w:themeColor="text1"/>
          <w:kern w:val="0"/>
          <w:sz w:val="24"/>
          <w:szCs w:val="24"/>
        </w:rPr>
        <w:t>Takiuchi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Nasu</w:t>
      </w:r>
      <w:proofErr w:type="spellEnd"/>
      <w:r w:rsidRPr="00C16015">
        <w:rPr>
          <w:rFonts w:ascii="Book Antiqua" w:eastAsia="宋体" w:hAnsi="Book Antiqua" w:cs="宋体"/>
          <w:color w:val="000000" w:themeColor="text1"/>
          <w:kern w:val="0"/>
          <w:sz w:val="24"/>
          <w:szCs w:val="24"/>
        </w:rPr>
        <w:t xml:space="preserve"> J, Nakamura K, Fukuda H, </w:t>
      </w:r>
      <w:proofErr w:type="spellStart"/>
      <w:r w:rsidRPr="00C16015">
        <w:rPr>
          <w:rFonts w:ascii="Book Antiqua" w:eastAsia="宋体" w:hAnsi="Book Antiqua" w:cs="宋体"/>
          <w:color w:val="000000" w:themeColor="text1"/>
          <w:kern w:val="0"/>
          <w:sz w:val="24"/>
          <w:szCs w:val="24"/>
        </w:rPr>
        <w:t>Ohtsu</w:t>
      </w:r>
      <w:proofErr w:type="spellEnd"/>
      <w:r w:rsidRPr="00C16015">
        <w:rPr>
          <w:rFonts w:ascii="Book Antiqua" w:eastAsia="宋体" w:hAnsi="Book Antiqua" w:cs="宋体"/>
          <w:color w:val="000000" w:themeColor="text1"/>
          <w:kern w:val="0"/>
          <w:sz w:val="24"/>
          <w:szCs w:val="24"/>
        </w:rPr>
        <w:t xml:space="preserve"> A. Randomized phase III study of 5-fluorouracil continuous infusion (5FUci) versus methotrexate and 5-FU sequential therapy (MF) in gastric cancer with peritoneal metastasis (JCOG0106).</w:t>
      </w:r>
      <w:r w:rsidRPr="00C16015">
        <w:rPr>
          <w:rFonts w:ascii="Book Antiqua" w:eastAsia="宋体" w:hAnsi="Book Antiqua" w:cs="宋体"/>
          <w:i/>
          <w:color w:val="000000" w:themeColor="text1"/>
          <w:kern w:val="0"/>
          <w:sz w:val="24"/>
          <w:szCs w:val="24"/>
        </w:rPr>
        <w:t xml:space="preserve"> J </w:t>
      </w:r>
      <w:proofErr w:type="spellStart"/>
      <w:r w:rsidRPr="00C16015">
        <w:rPr>
          <w:rFonts w:ascii="Book Antiqua" w:eastAsia="宋体" w:hAnsi="Book Antiqua" w:cs="宋体"/>
          <w:i/>
          <w:color w:val="000000" w:themeColor="text1"/>
          <w:kern w:val="0"/>
          <w:sz w:val="24"/>
          <w:szCs w:val="24"/>
        </w:rPr>
        <w:t>Clin</w:t>
      </w:r>
      <w:proofErr w:type="spellEnd"/>
      <w:r w:rsidRPr="00C16015">
        <w:rPr>
          <w:rFonts w:ascii="Book Antiqua" w:eastAsia="宋体" w:hAnsi="Book Antiqua" w:cs="宋体"/>
          <w:i/>
          <w:color w:val="000000" w:themeColor="text1"/>
          <w:kern w:val="0"/>
          <w:sz w:val="24"/>
          <w:szCs w:val="24"/>
        </w:rPr>
        <w:t xml:space="preserve"> </w:t>
      </w:r>
      <w:proofErr w:type="spellStart"/>
      <w:r w:rsidRPr="00C16015">
        <w:rPr>
          <w:rFonts w:ascii="Book Antiqua" w:eastAsia="宋体" w:hAnsi="Book Antiqua" w:cs="宋体"/>
          <w:i/>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2009; </w:t>
      </w:r>
      <w:r w:rsidRPr="00C16015">
        <w:rPr>
          <w:rFonts w:ascii="Book Antiqua" w:eastAsia="宋体" w:hAnsi="Book Antiqua" w:cs="宋体"/>
          <w:b/>
          <w:color w:val="000000" w:themeColor="text1"/>
          <w:kern w:val="0"/>
          <w:sz w:val="24"/>
          <w:szCs w:val="24"/>
        </w:rPr>
        <w:t>27</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Suppl</w:t>
      </w:r>
      <w:proofErr w:type="spellEnd"/>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abstr</w:t>
      </w:r>
      <w:proofErr w:type="spellEnd"/>
      <w:r w:rsidRPr="00C16015">
        <w:rPr>
          <w:rFonts w:ascii="Book Antiqua" w:eastAsia="宋体" w:hAnsi="Book Antiqua" w:cs="宋体"/>
          <w:color w:val="000000" w:themeColor="text1"/>
          <w:kern w:val="0"/>
          <w:sz w:val="24"/>
          <w:szCs w:val="24"/>
        </w:rPr>
        <w:t xml:space="preserve"> 4545</w:t>
      </w:r>
    </w:p>
    <w:p w14:paraId="43C2369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7 </w:t>
      </w:r>
      <w:proofErr w:type="spellStart"/>
      <w:r w:rsidRPr="00C16015">
        <w:rPr>
          <w:rFonts w:ascii="Book Antiqua" w:eastAsia="宋体" w:hAnsi="Book Antiqua" w:cs="宋体"/>
          <w:b/>
          <w:bCs/>
          <w:color w:val="000000" w:themeColor="text1"/>
          <w:kern w:val="0"/>
          <w:sz w:val="24"/>
          <w:szCs w:val="24"/>
        </w:rPr>
        <w:t>Imazawa</w:t>
      </w:r>
      <w:proofErr w:type="spellEnd"/>
      <w:r w:rsidRPr="00C16015">
        <w:rPr>
          <w:rFonts w:ascii="Book Antiqua" w:eastAsia="宋体" w:hAnsi="Book Antiqua" w:cs="宋体"/>
          <w:b/>
          <w:bCs/>
          <w:color w:val="000000" w:themeColor="text1"/>
          <w:kern w:val="0"/>
          <w:sz w:val="24"/>
          <w:szCs w:val="24"/>
        </w:rPr>
        <w:t xml:space="preserve"> M</w:t>
      </w:r>
      <w:r w:rsidRPr="00C16015">
        <w:rPr>
          <w:rFonts w:ascii="Book Antiqua" w:eastAsia="宋体" w:hAnsi="Book Antiqua" w:cs="宋体"/>
          <w:color w:val="000000" w:themeColor="text1"/>
          <w:kern w:val="0"/>
          <w:sz w:val="24"/>
          <w:szCs w:val="24"/>
        </w:rPr>
        <w:t xml:space="preserve">, Kojima T, </w:t>
      </w:r>
      <w:proofErr w:type="spellStart"/>
      <w:r w:rsidRPr="00C16015">
        <w:rPr>
          <w:rFonts w:ascii="Book Antiqua" w:eastAsia="宋体" w:hAnsi="Book Antiqua" w:cs="宋体"/>
          <w:color w:val="000000" w:themeColor="text1"/>
          <w:kern w:val="0"/>
          <w:sz w:val="24"/>
          <w:szCs w:val="24"/>
        </w:rPr>
        <w:t>Boku</w:t>
      </w:r>
      <w:proofErr w:type="spellEnd"/>
      <w:r w:rsidRPr="00C16015">
        <w:rPr>
          <w:rFonts w:ascii="Book Antiqua" w:eastAsia="宋体" w:hAnsi="Book Antiqua" w:cs="宋体"/>
          <w:color w:val="000000" w:themeColor="text1"/>
          <w:kern w:val="0"/>
          <w:sz w:val="24"/>
          <w:szCs w:val="24"/>
        </w:rPr>
        <w:t xml:space="preserve"> N, </w:t>
      </w:r>
      <w:proofErr w:type="spellStart"/>
      <w:r w:rsidRPr="00C16015">
        <w:rPr>
          <w:rFonts w:ascii="Book Antiqua" w:eastAsia="宋体" w:hAnsi="Book Antiqua" w:cs="宋体"/>
          <w:color w:val="000000" w:themeColor="text1"/>
          <w:kern w:val="0"/>
          <w:sz w:val="24"/>
          <w:szCs w:val="24"/>
        </w:rPr>
        <w:t>Onozawa</w:t>
      </w:r>
      <w:proofErr w:type="spellEnd"/>
      <w:r w:rsidRPr="00C16015">
        <w:rPr>
          <w:rFonts w:ascii="Book Antiqua" w:eastAsia="宋体" w:hAnsi="Book Antiqua" w:cs="宋体"/>
          <w:color w:val="000000" w:themeColor="text1"/>
          <w:kern w:val="0"/>
          <w:sz w:val="24"/>
          <w:szCs w:val="24"/>
        </w:rPr>
        <w:t xml:space="preserve"> Y, </w:t>
      </w:r>
      <w:proofErr w:type="spellStart"/>
      <w:r w:rsidRPr="00C16015">
        <w:rPr>
          <w:rFonts w:ascii="Book Antiqua" w:eastAsia="宋体" w:hAnsi="Book Antiqua" w:cs="宋体"/>
          <w:color w:val="000000" w:themeColor="text1"/>
          <w:kern w:val="0"/>
          <w:sz w:val="24"/>
          <w:szCs w:val="24"/>
        </w:rPr>
        <w:t>Hironaka</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Fukutomi</w:t>
      </w:r>
      <w:proofErr w:type="spellEnd"/>
      <w:r w:rsidRPr="00C16015">
        <w:rPr>
          <w:rFonts w:ascii="Book Antiqua" w:eastAsia="宋体" w:hAnsi="Book Antiqua" w:cs="宋体"/>
          <w:color w:val="000000" w:themeColor="text1"/>
          <w:kern w:val="0"/>
          <w:sz w:val="24"/>
          <w:szCs w:val="24"/>
        </w:rPr>
        <w:t xml:space="preserve"> A, </w:t>
      </w:r>
      <w:proofErr w:type="spellStart"/>
      <w:r w:rsidRPr="00C16015">
        <w:rPr>
          <w:rFonts w:ascii="Book Antiqua" w:eastAsia="宋体" w:hAnsi="Book Antiqua" w:cs="宋体"/>
          <w:color w:val="000000" w:themeColor="text1"/>
          <w:kern w:val="0"/>
          <w:sz w:val="24"/>
          <w:szCs w:val="24"/>
        </w:rPr>
        <w:t>Yasui</w:t>
      </w:r>
      <w:proofErr w:type="spellEnd"/>
      <w:r w:rsidRPr="00C16015">
        <w:rPr>
          <w:rFonts w:ascii="Book Antiqua" w:eastAsia="宋体" w:hAnsi="Book Antiqua" w:cs="宋体"/>
          <w:color w:val="000000" w:themeColor="text1"/>
          <w:kern w:val="0"/>
          <w:sz w:val="24"/>
          <w:szCs w:val="24"/>
        </w:rPr>
        <w:t xml:space="preserve"> H, Yamazaki K, </w:t>
      </w:r>
      <w:proofErr w:type="spellStart"/>
      <w:r w:rsidRPr="00C16015">
        <w:rPr>
          <w:rFonts w:ascii="Book Antiqua" w:eastAsia="宋体" w:hAnsi="Book Antiqua" w:cs="宋体"/>
          <w:color w:val="000000" w:themeColor="text1"/>
          <w:kern w:val="0"/>
          <w:sz w:val="24"/>
          <w:szCs w:val="24"/>
        </w:rPr>
        <w:t>Taku</w:t>
      </w:r>
      <w:proofErr w:type="spellEnd"/>
      <w:r w:rsidRPr="00C16015">
        <w:rPr>
          <w:rFonts w:ascii="Book Antiqua" w:eastAsia="宋体" w:hAnsi="Book Antiqua" w:cs="宋体"/>
          <w:color w:val="000000" w:themeColor="text1"/>
          <w:kern w:val="0"/>
          <w:sz w:val="24"/>
          <w:szCs w:val="24"/>
        </w:rPr>
        <w:t xml:space="preserve"> K. Efficacy of sequential methotrexate and 5-fluorouracil (MTX/5FU) in improving oral intake in patients with advanced gastric cancer with severe peritoneal dissemination. </w:t>
      </w:r>
      <w:r w:rsidRPr="00C16015">
        <w:rPr>
          <w:rFonts w:ascii="Book Antiqua" w:eastAsia="宋体" w:hAnsi="Book Antiqua" w:cs="宋体"/>
          <w:i/>
          <w:iCs/>
          <w:color w:val="000000" w:themeColor="text1"/>
          <w:kern w:val="0"/>
          <w:sz w:val="24"/>
          <w:szCs w:val="24"/>
        </w:rPr>
        <w:t>Gastric Cancer</w:t>
      </w:r>
      <w:r w:rsidRPr="00C16015">
        <w:rPr>
          <w:rFonts w:ascii="Book Antiqua" w:eastAsia="宋体" w:hAnsi="Book Antiqua" w:cs="宋体"/>
          <w:color w:val="000000" w:themeColor="text1"/>
          <w:kern w:val="0"/>
          <w:sz w:val="24"/>
          <w:szCs w:val="24"/>
        </w:rPr>
        <w:t xml:space="preserve"> 2009; </w:t>
      </w:r>
      <w:r w:rsidRPr="00C16015">
        <w:rPr>
          <w:rFonts w:ascii="Book Antiqua" w:eastAsia="宋体" w:hAnsi="Book Antiqua" w:cs="宋体"/>
          <w:b/>
          <w:bCs/>
          <w:color w:val="000000" w:themeColor="text1"/>
          <w:kern w:val="0"/>
          <w:sz w:val="24"/>
          <w:szCs w:val="24"/>
        </w:rPr>
        <w:t>12</w:t>
      </w:r>
      <w:r w:rsidRPr="00C16015">
        <w:rPr>
          <w:rFonts w:ascii="Book Antiqua" w:eastAsia="宋体" w:hAnsi="Book Antiqua" w:cs="宋体"/>
          <w:color w:val="000000" w:themeColor="text1"/>
          <w:kern w:val="0"/>
          <w:sz w:val="24"/>
          <w:szCs w:val="24"/>
        </w:rPr>
        <w:t>: 153-157 [PMID: 19890695 DOI: 10.1007/s10120-009-0517-8]</w:t>
      </w:r>
    </w:p>
    <w:p w14:paraId="0CB57F5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8 </w:t>
      </w:r>
      <w:proofErr w:type="spellStart"/>
      <w:r w:rsidRPr="00C16015">
        <w:rPr>
          <w:rFonts w:ascii="Book Antiqua" w:eastAsia="宋体" w:hAnsi="Book Antiqua" w:cs="宋体"/>
          <w:b/>
          <w:bCs/>
          <w:color w:val="000000" w:themeColor="text1"/>
          <w:kern w:val="0"/>
          <w:sz w:val="24"/>
          <w:szCs w:val="24"/>
        </w:rPr>
        <w:t>Glehen</w:t>
      </w:r>
      <w:proofErr w:type="spellEnd"/>
      <w:r w:rsidRPr="00C16015">
        <w:rPr>
          <w:rFonts w:ascii="Book Antiqua" w:eastAsia="宋体" w:hAnsi="Book Antiqua" w:cs="宋体"/>
          <w:b/>
          <w:bCs/>
          <w:color w:val="000000" w:themeColor="text1"/>
          <w:kern w:val="0"/>
          <w:sz w:val="24"/>
          <w:szCs w:val="24"/>
        </w:rPr>
        <w:t xml:space="preserve"> O</w:t>
      </w:r>
      <w:r w:rsidRPr="00C16015">
        <w:rPr>
          <w:rFonts w:ascii="Book Antiqua" w:eastAsia="宋体" w:hAnsi="Book Antiqua" w:cs="宋体"/>
          <w:color w:val="000000" w:themeColor="text1"/>
          <w:kern w:val="0"/>
          <w:sz w:val="24"/>
          <w:szCs w:val="24"/>
        </w:rPr>
        <w:t xml:space="preserve">, Schreiber V, </w:t>
      </w:r>
      <w:proofErr w:type="spellStart"/>
      <w:r w:rsidRPr="00C16015">
        <w:rPr>
          <w:rFonts w:ascii="Book Antiqua" w:eastAsia="宋体" w:hAnsi="Book Antiqua" w:cs="宋体"/>
          <w:color w:val="000000" w:themeColor="text1"/>
          <w:kern w:val="0"/>
          <w:sz w:val="24"/>
          <w:szCs w:val="24"/>
        </w:rPr>
        <w:t>Cotte</w:t>
      </w:r>
      <w:proofErr w:type="spellEnd"/>
      <w:r w:rsidRPr="00C16015">
        <w:rPr>
          <w:rFonts w:ascii="Book Antiqua" w:eastAsia="宋体" w:hAnsi="Book Antiqua" w:cs="宋体"/>
          <w:color w:val="000000" w:themeColor="text1"/>
          <w:kern w:val="0"/>
          <w:sz w:val="24"/>
          <w:szCs w:val="24"/>
        </w:rPr>
        <w:t xml:space="preserve"> E, </w:t>
      </w:r>
      <w:proofErr w:type="spellStart"/>
      <w:r w:rsidRPr="00C16015">
        <w:rPr>
          <w:rFonts w:ascii="Book Antiqua" w:eastAsia="宋体" w:hAnsi="Book Antiqua" w:cs="宋体"/>
          <w:color w:val="000000" w:themeColor="text1"/>
          <w:kern w:val="0"/>
          <w:sz w:val="24"/>
          <w:szCs w:val="24"/>
        </w:rPr>
        <w:t>Sayag-Beaujard</w:t>
      </w:r>
      <w:proofErr w:type="spellEnd"/>
      <w:r w:rsidRPr="00C16015">
        <w:rPr>
          <w:rFonts w:ascii="Book Antiqua" w:eastAsia="宋体" w:hAnsi="Book Antiqua" w:cs="宋体"/>
          <w:color w:val="000000" w:themeColor="text1"/>
          <w:kern w:val="0"/>
          <w:sz w:val="24"/>
          <w:szCs w:val="24"/>
        </w:rPr>
        <w:t xml:space="preserve"> AC, </w:t>
      </w:r>
      <w:proofErr w:type="spellStart"/>
      <w:r w:rsidRPr="00C16015">
        <w:rPr>
          <w:rFonts w:ascii="Book Antiqua" w:eastAsia="宋体" w:hAnsi="Book Antiqua" w:cs="宋体"/>
          <w:color w:val="000000" w:themeColor="text1"/>
          <w:kern w:val="0"/>
          <w:sz w:val="24"/>
          <w:szCs w:val="24"/>
        </w:rPr>
        <w:t>Osinsky</w:t>
      </w:r>
      <w:proofErr w:type="spellEnd"/>
      <w:r w:rsidRPr="00C16015">
        <w:rPr>
          <w:rFonts w:ascii="Book Antiqua" w:eastAsia="宋体" w:hAnsi="Book Antiqua" w:cs="宋体"/>
          <w:color w:val="000000" w:themeColor="text1"/>
          <w:kern w:val="0"/>
          <w:sz w:val="24"/>
          <w:szCs w:val="24"/>
        </w:rPr>
        <w:t xml:space="preserve"> D, </w:t>
      </w:r>
      <w:proofErr w:type="spellStart"/>
      <w:r w:rsidRPr="00C16015">
        <w:rPr>
          <w:rFonts w:ascii="Book Antiqua" w:eastAsia="宋体" w:hAnsi="Book Antiqua" w:cs="宋体"/>
          <w:color w:val="000000" w:themeColor="text1"/>
          <w:kern w:val="0"/>
          <w:sz w:val="24"/>
          <w:szCs w:val="24"/>
        </w:rPr>
        <w:t>Freyer</w:t>
      </w:r>
      <w:proofErr w:type="spellEnd"/>
      <w:r w:rsidRPr="00C16015">
        <w:rPr>
          <w:rFonts w:ascii="Book Antiqua" w:eastAsia="宋体" w:hAnsi="Book Antiqua" w:cs="宋体"/>
          <w:color w:val="000000" w:themeColor="text1"/>
          <w:kern w:val="0"/>
          <w:sz w:val="24"/>
          <w:szCs w:val="24"/>
        </w:rPr>
        <w:t xml:space="preserve"> G, François Y, </w:t>
      </w:r>
      <w:proofErr w:type="spellStart"/>
      <w:r w:rsidRPr="00C16015">
        <w:rPr>
          <w:rFonts w:ascii="Book Antiqua" w:eastAsia="宋体" w:hAnsi="Book Antiqua" w:cs="宋体"/>
          <w:color w:val="000000" w:themeColor="text1"/>
          <w:kern w:val="0"/>
          <w:sz w:val="24"/>
          <w:szCs w:val="24"/>
        </w:rPr>
        <w:t>Vignal</w:t>
      </w:r>
      <w:proofErr w:type="spellEnd"/>
      <w:r w:rsidRPr="00C16015">
        <w:rPr>
          <w:rFonts w:ascii="Book Antiqua" w:eastAsia="宋体" w:hAnsi="Book Antiqua" w:cs="宋体"/>
          <w:color w:val="000000" w:themeColor="text1"/>
          <w:kern w:val="0"/>
          <w:sz w:val="24"/>
          <w:szCs w:val="24"/>
        </w:rPr>
        <w:t xml:space="preserve"> J, Gilly FN. </w:t>
      </w:r>
      <w:proofErr w:type="spellStart"/>
      <w:r w:rsidRPr="00C16015">
        <w:rPr>
          <w:rFonts w:ascii="Book Antiqua" w:eastAsia="宋体" w:hAnsi="Book Antiqua" w:cs="宋体"/>
          <w:color w:val="000000" w:themeColor="text1"/>
          <w:kern w:val="0"/>
          <w:sz w:val="24"/>
          <w:szCs w:val="24"/>
        </w:rPr>
        <w:t>Cytoreductive</w:t>
      </w:r>
      <w:proofErr w:type="spellEnd"/>
      <w:r w:rsidRPr="00C16015">
        <w:rPr>
          <w:rFonts w:ascii="Book Antiqua" w:eastAsia="宋体" w:hAnsi="Book Antiqua" w:cs="宋体"/>
          <w:color w:val="000000" w:themeColor="text1"/>
          <w:kern w:val="0"/>
          <w:sz w:val="24"/>
          <w:szCs w:val="24"/>
        </w:rPr>
        <w:t xml:space="preserve"> surgery and intraperitoneal </w:t>
      </w:r>
      <w:proofErr w:type="spellStart"/>
      <w:r w:rsidRPr="00C16015">
        <w:rPr>
          <w:rFonts w:ascii="Book Antiqua" w:eastAsia="宋体" w:hAnsi="Book Antiqua" w:cs="宋体"/>
          <w:color w:val="000000" w:themeColor="text1"/>
          <w:kern w:val="0"/>
          <w:sz w:val="24"/>
          <w:szCs w:val="24"/>
        </w:rPr>
        <w:t>chemohyperthermia</w:t>
      </w:r>
      <w:proofErr w:type="spellEnd"/>
      <w:r w:rsidRPr="00C16015">
        <w:rPr>
          <w:rFonts w:ascii="Book Antiqua" w:eastAsia="宋体" w:hAnsi="Book Antiqua" w:cs="宋体"/>
          <w:color w:val="000000" w:themeColor="text1"/>
          <w:kern w:val="0"/>
          <w:sz w:val="24"/>
          <w:szCs w:val="24"/>
        </w:rPr>
        <w:t xml:space="preserve"> for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arising from gastric cancer. </w:t>
      </w:r>
      <w:r w:rsidRPr="00C16015">
        <w:rPr>
          <w:rFonts w:ascii="Book Antiqua" w:eastAsia="宋体" w:hAnsi="Book Antiqua" w:cs="宋体"/>
          <w:i/>
          <w:iCs/>
          <w:color w:val="000000" w:themeColor="text1"/>
          <w:kern w:val="0"/>
          <w:sz w:val="24"/>
          <w:szCs w:val="24"/>
        </w:rPr>
        <w:t xml:space="preserve">Arch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color w:val="000000" w:themeColor="text1"/>
          <w:kern w:val="0"/>
          <w:sz w:val="24"/>
          <w:szCs w:val="24"/>
        </w:rPr>
        <w:t xml:space="preserve"> 2004; </w:t>
      </w:r>
      <w:r w:rsidRPr="00C16015">
        <w:rPr>
          <w:rFonts w:ascii="Book Antiqua" w:eastAsia="宋体" w:hAnsi="Book Antiqua" w:cs="宋体"/>
          <w:b/>
          <w:bCs/>
          <w:color w:val="000000" w:themeColor="text1"/>
          <w:kern w:val="0"/>
          <w:sz w:val="24"/>
          <w:szCs w:val="24"/>
        </w:rPr>
        <w:t>139</w:t>
      </w:r>
      <w:r w:rsidRPr="00C16015">
        <w:rPr>
          <w:rFonts w:ascii="Book Antiqua" w:eastAsia="宋体" w:hAnsi="Book Antiqua" w:cs="宋体"/>
          <w:color w:val="000000" w:themeColor="text1"/>
          <w:kern w:val="0"/>
          <w:sz w:val="24"/>
          <w:szCs w:val="24"/>
        </w:rPr>
        <w:t>: 20-26 [PMID: 14718269 DOI: 10.1001/archsurg.139.1.20]</w:t>
      </w:r>
    </w:p>
    <w:p w14:paraId="29E34529"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9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Kawamura T, </w:t>
      </w:r>
      <w:proofErr w:type="spellStart"/>
      <w:r w:rsidRPr="00C16015">
        <w:rPr>
          <w:rFonts w:ascii="Book Antiqua" w:eastAsia="宋体" w:hAnsi="Book Antiqua" w:cs="宋体"/>
          <w:color w:val="000000" w:themeColor="text1"/>
          <w:kern w:val="0"/>
          <w:sz w:val="24"/>
          <w:szCs w:val="24"/>
        </w:rPr>
        <w:t>Bandou</w:t>
      </w:r>
      <w:proofErr w:type="spellEnd"/>
      <w:r w:rsidRPr="00C16015">
        <w:rPr>
          <w:rFonts w:ascii="Book Antiqua" w:eastAsia="宋体" w:hAnsi="Book Antiqua" w:cs="宋体"/>
          <w:color w:val="000000" w:themeColor="text1"/>
          <w:kern w:val="0"/>
          <w:sz w:val="24"/>
          <w:szCs w:val="24"/>
        </w:rPr>
        <w:t xml:space="preserve"> E, Takahashi S, </w:t>
      </w:r>
      <w:proofErr w:type="spellStart"/>
      <w:r w:rsidRPr="00C16015">
        <w:rPr>
          <w:rFonts w:ascii="Book Antiqua" w:eastAsia="宋体" w:hAnsi="Book Antiqua" w:cs="宋体"/>
          <w:color w:val="000000" w:themeColor="text1"/>
          <w:kern w:val="0"/>
          <w:sz w:val="24"/>
          <w:szCs w:val="24"/>
        </w:rPr>
        <w:t>Sawa</w:t>
      </w:r>
      <w:proofErr w:type="spellEnd"/>
      <w:r w:rsidRPr="00C16015">
        <w:rPr>
          <w:rFonts w:ascii="Book Antiqua" w:eastAsia="宋体" w:hAnsi="Book Antiqua" w:cs="宋体"/>
          <w:color w:val="000000" w:themeColor="text1"/>
          <w:kern w:val="0"/>
          <w:sz w:val="24"/>
          <w:szCs w:val="24"/>
        </w:rPr>
        <w:t xml:space="preserve"> T, </w:t>
      </w:r>
      <w:proofErr w:type="spellStart"/>
      <w:r w:rsidRPr="00C16015">
        <w:rPr>
          <w:rFonts w:ascii="Book Antiqua" w:eastAsia="宋体" w:hAnsi="Book Antiqua" w:cs="宋体"/>
          <w:color w:val="000000" w:themeColor="text1"/>
          <w:kern w:val="0"/>
          <w:sz w:val="24"/>
          <w:szCs w:val="24"/>
        </w:rPr>
        <w:t>Matsuki</w:t>
      </w:r>
      <w:proofErr w:type="spellEnd"/>
      <w:r w:rsidRPr="00C16015">
        <w:rPr>
          <w:rFonts w:ascii="Book Antiqua" w:eastAsia="宋体" w:hAnsi="Book Antiqua" w:cs="宋体"/>
          <w:color w:val="000000" w:themeColor="text1"/>
          <w:kern w:val="0"/>
          <w:sz w:val="24"/>
          <w:szCs w:val="24"/>
        </w:rPr>
        <w:t xml:space="preserve"> N. Treatment of peritoneal dissemination from gastric cancer by </w:t>
      </w:r>
      <w:proofErr w:type="spellStart"/>
      <w:r w:rsidRPr="00C16015">
        <w:rPr>
          <w:rFonts w:ascii="Book Antiqua" w:eastAsia="宋体" w:hAnsi="Book Antiqua" w:cs="宋体"/>
          <w:color w:val="000000" w:themeColor="text1"/>
          <w:kern w:val="0"/>
          <w:sz w:val="24"/>
          <w:szCs w:val="24"/>
        </w:rPr>
        <w:t>peritonectomy</w:t>
      </w:r>
      <w:proofErr w:type="spellEnd"/>
      <w:r w:rsidRPr="00C16015">
        <w:rPr>
          <w:rFonts w:ascii="Book Antiqua" w:eastAsia="宋体" w:hAnsi="Book Antiqua" w:cs="宋体"/>
          <w:color w:val="000000" w:themeColor="text1"/>
          <w:kern w:val="0"/>
          <w:sz w:val="24"/>
          <w:szCs w:val="24"/>
        </w:rPr>
        <w:t xml:space="preserve"> and </w:t>
      </w:r>
      <w:proofErr w:type="spellStart"/>
      <w:r w:rsidRPr="00C16015">
        <w:rPr>
          <w:rFonts w:ascii="Book Antiqua" w:eastAsia="宋体" w:hAnsi="Book Antiqua" w:cs="宋体"/>
          <w:color w:val="000000" w:themeColor="text1"/>
          <w:kern w:val="0"/>
          <w:sz w:val="24"/>
          <w:szCs w:val="24"/>
        </w:rPr>
        <w:t>chemohyperthermic</w:t>
      </w:r>
      <w:proofErr w:type="spellEnd"/>
      <w:r w:rsidRPr="00C16015">
        <w:rPr>
          <w:rFonts w:ascii="Book Antiqua" w:eastAsia="宋体" w:hAnsi="Book Antiqua" w:cs="宋体"/>
          <w:color w:val="000000" w:themeColor="text1"/>
          <w:kern w:val="0"/>
          <w:sz w:val="24"/>
          <w:szCs w:val="24"/>
        </w:rPr>
        <w:t xml:space="preserve"> peritoneal perfusion. </w:t>
      </w:r>
      <w:r w:rsidRPr="00C16015">
        <w:rPr>
          <w:rFonts w:ascii="Book Antiqua" w:eastAsia="宋体" w:hAnsi="Book Antiqua" w:cs="宋体"/>
          <w:i/>
          <w:iCs/>
          <w:color w:val="000000" w:themeColor="text1"/>
          <w:kern w:val="0"/>
          <w:sz w:val="24"/>
          <w:szCs w:val="24"/>
        </w:rPr>
        <w:t xml:space="preserve">Br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color w:val="000000" w:themeColor="text1"/>
          <w:kern w:val="0"/>
          <w:sz w:val="24"/>
          <w:szCs w:val="24"/>
        </w:rPr>
        <w:t xml:space="preserve"> 2005; </w:t>
      </w:r>
      <w:r w:rsidRPr="00C16015">
        <w:rPr>
          <w:rFonts w:ascii="Book Antiqua" w:eastAsia="宋体" w:hAnsi="Book Antiqua" w:cs="宋体"/>
          <w:b/>
          <w:bCs/>
          <w:color w:val="000000" w:themeColor="text1"/>
          <w:kern w:val="0"/>
          <w:sz w:val="24"/>
          <w:szCs w:val="24"/>
        </w:rPr>
        <w:t>92</w:t>
      </w:r>
      <w:r w:rsidRPr="00C16015">
        <w:rPr>
          <w:rFonts w:ascii="Book Antiqua" w:eastAsia="宋体" w:hAnsi="Book Antiqua" w:cs="宋体"/>
          <w:color w:val="000000" w:themeColor="text1"/>
          <w:kern w:val="0"/>
          <w:sz w:val="24"/>
          <w:szCs w:val="24"/>
        </w:rPr>
        <w:t>: 370-375 [PMID: 15739249 DOI: 10.1002/bjs.4695]</w:t>
      </w:r>
    </w:p>
    <w:p w14:paraId="0EE108D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10 </w:t>
      </w:r>
      <w:r w:rsidRPr="00C16015">
        <w:rPr>
          <w:rFonts w:ascii="Book Antiqua" w:eastAsia="宋体" w:hAnsi="Book Antiqua" w:cs="宋体"/>
          <w:b/>
          <w:bCs/>
          <w:color w:val="000000" w:themeColor="text1"/>
          <w:kern w:val="0"/>
          <w:sz w:val="24"/>
          <w:szCs w:val="24"/>
        </w:rPr>
        <w:t>Yang XJ</w:t>
      </w:r>
      <w:r w:rsidRPr="00C16015">
        <w:rPr>
          <w:rFonts w:ascii="Book Antiqua" w:eastAsia="宋体" w:hAnsi="Book Antiqua" w:cs="宋体"/>
          <w:color w:val="000000" w:themeColor="text1"/>
          <w:kern w:val="0"/>
          <w:sz w:val="24"/>
          <w:szCs w:val="24"/>
        </w:rPr>
        <w:t xml:space="preserve">, Huang CQ, </w:t>
      </w:r>
      <w:proofErr w:type="spellStart"/>
      <w:r w:rsidRPr="00C16015">
        <w:rPr>
          <w:rFonts w:ascii="Book Antiqua" w:eastAsia="宋体" w:hAnsi="Book Antiqua" w:cs="宋体"/>
          <w:color w:val="000000" w:themeColor="text1"/>
          <w:kern w:val="0"/>
          <w:sz w:val="24"/>
          <w:szCs w:val="24"/>
        </w:rPr>
        <w:t>Suo</w:t>
      </w:r>
      <w:proofErr w:type="spellEnd"/>
      <w:r w:rsidRPr="00C16015">
        <w:rPr>
          <w:rFonts w:ascii="Book Antiqua" w:eastAsia="宋体" w:hAnsi="Book Antiqua" w:cs="宋体"/>
          <w:color w:val="000000" w:themeColor="text1"/>
          <w:kern w:val="0"/>
          <w:sz w:val="24"/>
          <w:szCs w:val="24"/>
        </w:rPr>
        <w:t xml:space="preserve"> T, Mei LJ, Yang GL, Cheng FL, Zhou YF, </w:t>
      </w:r>
      <w:proofErr w:type="spellStart"/>
      <w:r w:rsidRPr="00C16015">
        <w:rPr>
          <w:rFonts w:ascii="Book Antiqua" w:eastAsia="宋体" w:hAnsi="Book Antiqua" w:cs="宋体"/>
          <w:color w:val="000000" w:themeColor="text1"/>
          <w:kern w:val="0"/>
          <w:sz w:val="24"/>
          <w:szCs w:val="24"/>
        </w:rPr>
        <w:t>Xiong</w:t>
      </w:r>
      <w:proofErr w:type="spellEnd"/>
      <w:r w:rsidRPr="00C16015">
        <w:rPr>
          <w:rFonts w:ascii="Book Antiqua" w:eastAsia="宋体" w:hAnsi="Book Antiqua" w:cs="宋体"/>
          <w:color w:val="000000" w:themeColor="text1"/>
          <w:kern w:val="0"/>
          <w:sz w:val="24"/>
          <w:szCs w:val="24"/>
        </w:rPr>
        <w:t xml:space="preserve"> B, </w:t>
      </w:r>
      <w:proofErr w:type="spellStart"/>
      <w:r w:rsidRPr="00C16015">
        <w:rPr>
          <w:rFonts w:ascii="Book Antiqua" w:eastAsia="宋体" w:hAnsi="Book Antiqua" w:cs="宋体"/>
          <w:color w:val="000000" w:themeColor="text1"/>
          <w:kern w:val="0"/>
          <w:sz w:val="24"/>
          <w:szCs w:val="24"/>
        </w:rPr>
        <w:t>Yonemura</w:t>
      </w:r>
      <w:proofErr w:type="spellEnd"/>
      <w:r w:rsidRPr="00C16015">
        <w:rPr>
          <w:rFonts w:ascii="Book Antiqua" w:eastAsia="宋体" w:hAnsi="Book Antiqua" w:cs="宋体"/>
          <w:color w:val="000000" w:themeColor="text1"/>
          <w:kern w:val="0"/>
          <w:sz w:val="24"/>
          <w:szCs w:val="24"/>
        </w:rPr>
        <w:t xml:space="preserve"> Y, Li Y. </w:t>
      </w:r>
      <w:proofErr w:type="spellStart"/>
      <w:r w:rsidRPr="00C16015">
        <w:rPr>
          <w:rFonts w:ascii="Book Antiqua" w:eastAsia="宋体" w:hAnsi="Book Antiqua" w:cs="宋体"/>
          <w:color w:val="000000" w:themeColor="text1"/>
          <w:kern w:val="0"/>
          <w:sz w:val="24"/>
          <w:szCs w:val="24"/>
        </w:rPr>
        <w:t>Cytoreductive</w:t>
      </w:r>
      <w:proofErr w:type="spellEnd"/>
      <w:r w:rsidRPr="00C16015">
        <w:rPr>
          <w:rFonts w:ascii="Book Antiqua" w:eastAsia="宋体" w:hAnsi="Book Antiqua" w:cs="宋体"/>
          <w:color w:val="000000" w:themeColor="text1"/>
          <w:kern w:val="0"/>
          <w:sz w:val="24"/>
          <w:szCs w:val="24"/>
        </w:rPr>
        <w:t xml:space="preserve"> surgery and </w:t>
      </w:r>
      <w:proofErr w:type="spellStart"/>
      <w:r w:rsidRPr="00C16015">
        <w:rPr>
          <w:rFonts w:ascii="Book Antiqua" w:eastAsia="宋体" w:hAnsi="Book Antiqua" w:cs="宋体"/>
          <w:color w:val="000000" w:themeColor="text1"/>
          <w:kern w:val="0"/>
          <w:sz w:val="24"/>
          <w:szCs w:val="24"/>
        </w:rPr>
        <w:t>hyperthermic</w:t>
      </w:r>
      <w:proofErr w:type="spellEnd"/>
      <w:r w:rsidRPr="00C16015">
        <w:rPr>
          <w:rFonts w:ascii="Book Antiqua" w:eastAsia="宋体" w:hAnsi="Book Antiqua" w:cs="宋体"/>
          <w:color w:val="000000" w:themeColor="text1"/>
          <w:kern w:val="0"/>
          <w:sz w:val="24"/>
          <w:szCs w:val="24"/>
        </w:rPr>
        <w:t xml:space="preserve"> intraperitoneal chemotherapy improves survival of patients with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from gastric cancer: final results of a phase III randomized clinical trial. </w:t>
      </w:r>
      <w:r w:rsidRPr="00C16015">
        <w:rPr>
          <w:rFonts w:ascii="Book Antiqua" w:eastAsia="宋体" w:hAnsi="Book Antiqua" w:cs="宋体"/>
          <w:i/>
          <w:iCs/>
          <w:color w:val="000000" w:themeColor="text1"/>
          <w:kern w:val="0"/>
          <w:sz w:val="24"/>
          <w:szCs w:val="24"/>
        </w:rPr>
        <w:t xml:space="preserve">Ann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2011; </w:t>
      </w:r>
      <w:r w:rsidRPr="00C16015">
        <w:rPr>
          <w:rFonts w:ascii="Book Antiqua" w:eastAsia="宋体" w:hAnsi="Book Antiqua" w:cs="宋体"/>
          <w:b/>
          <w:bCs/>
          <w:color w:val="000000" w:themeColor="text1"/>
          <w:kern w:val="0"/>
          <w:sz w:val="24"/>
          <w:szCs w:val="24"/>
        </w:rPr>
        <w:t>18</w:t>
      </w:r>
      <w:r w:rsidRPr="00C16015">
        <w:rPr>
          <w:rFonts w:ascii="Book Antiqua" w:eastAsia="宋体" w:hAnsi="Book Antiqua" w:cs="宋体"/>
          <w:color w:val="000000" w:themeColor="text1"/>
          <w:kern w:val="0"/>
          <w:sz w:val="24"/>
          <w:szCs w:val="24"/>
        </w:rPr>
        <w:t>: 1575-1581 [PMID: 21431408 DOI: 10.1245/s10434-011-1631-5]</w:t>
      </w:r>
    </w:p>
    <w:p w14:paraId="6A1CFCDD"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11 </w:t>
      </w:r>
      <w:proofErr w:type="spellStart"/>
      <w:r w:rsidRPr="00C16015">
        <w:rPr>
          <w:rFonts w:ascii="Book Antiqua" w:eastAsia="宋体" w:hAnsi="Book Antiqua" w:cs="宋体"/>
          <w:b/>
          <w:bCs/>
          <w:color w:val="000000" w:themeColor="text1"/>
          <w:kern w:val="0"/>
          <w:sz w:val="24"/>
          <w:szCs w:val="24"/>
        </w:rPr>
        <w:t>Glehen</w:t>
      </w:r>
      <w:proofErr w:type="spellEnd"/>
      <w:r w:rsidRPr="00C16015">
        <w:rPr>
          <w:rFonts w:ascii="Book Antiqua" w:eastAsia="宋体" w:hAnsi="Book Antiqua" w:cs="宋体"/>
          <w:b/>
          <w:bCs/>
          <w:color w:val="000000" w:themeColor="text1"/>
          <w:kern w:val="0"/>
          <w:sz w:val="24"/>
          <w:szCs w:val="24"/>
        </w:rPr>
        <w:t xml:space="preserve"> O</w:t>
      </w:r>
      <w:r w:rsidRPr="00C16015">
        <w:rPr>
          <w:rFonts w:ascii="Book Antiqua" w:eastAsia="宋体" w:hAnsi="Book Antiqua" w:cs="宋体"/>
          <w:color w:val="000000" w:themeColor="text1"/>
          <w:kern w:val="0"/>
          <w:sz w:val="24"/>
          <w:szCs w:val="24"/>
        </w:rPr>
        <w:t xml:space="preserve">, Gilly FN, </w:t>
      </w:r>
      <w:proofErr w:type="spellStart"/>
      <w:r w:rsidRPr="00C16015">
        <w:rPr>
          <w:rFonts w:ascii="Book Antiqua" w:eastAsia="宋体" w:hAnsi="Book Antiqua" w:cs="宋体"/>
          <w:color w:val="000000" w:themeColor="text1"/>
          <w:kern w:val="0"/>
          <w:sz w:val="24"/>
          <w:szCs w:val="24"/>
        </w:rPr>
        <w:t>Arvieux</w:t>
      </w:r>
      <w:proofErr w:type="spellEnd"/>
      <w:r w:rsidRPr="00C16015">
        <w:rPr>
          <w:rFonts w:ascii="Book Antiqua" w:eastAsia="宋体" w:hAnsi="Book Antiqua" w:cs="宋体"/>
          <w:color w:val="000000" w:themeColor="text1"/>
          <w:kern w:val="0"/>
          <w:sz w:val="24"/>
          <w:szCs w:val="24"/>
        </w:rPr>
        <w:t xml:space="preserve"> C, </w:t>
      </w:r>
      <w:proofErr w:type="spellStart"/>
      <w:r w:rsidRPr="00C16015">
        <w:rPr>
          <w:rFonts w:ascii="Book Antiqua" w:eastAsia="宋体" w:hAnsi="Book Antiqua" w:cs="宋体"/>
          <w:color w:val="000000" w:themeColor="text1"/>
          <w:kern w:val="0"/>
          <w:sz w:val="24"/>
          <w:szCs w:val="24"/>
        </w:rPr>
        <w:t>Cotte</w:t>
      </w:r>
      <w:proofErr w:type="spellEnd"/>
      <w:r w:rsidRPr="00C16015">
        <w:rPr>
          <w:rFonts w:ascii="Book Antiqua" w:eastAsia="宋体" w:hAnsi="Book Antiqua" w:cs="宋体"/>
          <w:color w:val="000000" w:themeColor="text1"/>
          <w:kern w:val="0"/>
          <w:sz w:val="24"/>
          <w:szCs w:val="24"/>
        </w:rPr>
        <w:t xml:space="preserve"> E, </w:t>
      </w:r>
      <w:proofErr w:type="spellStart"/>
      <w:r w:rsidRPr="00C16015">
        <w:rPr>
          <w:rFonts w:ascii="Book Antiqua" w:eastAsia="宋体" w:hAnsi="Book Antiqua" w:cs="宋体"/>
          <w:color w:val="000000" w:themeColor="text1"/>
          <w:kern w:val="0"/>
          <w:sz w:val="24"/>
          <w:szCs w:val="24"/>
        </w:rPr>
        <w:t>Boutitie</w:t>
      </w:r>
      <w:proofErr w:type="spellEnd"/>
      <w:r w:rsidRPr="00C16015">
        <w:rPr>
          <w:rFonts w:ascii="Book Antiqua" w:eastAsia="宋体" w:hAnsi="Book Antiqua" w:cs="宋体"/>
          <w:color w:val="000000" w:themeColor="text1"/>
          <w:kern w:val="0"/>
          <w:sz w:val="24"/>
          <w:szCs w:val="24"/>
        </w:rPr>
        <w:t xml:space="preserve"> F, </w:t>
      </w:r>
      <w:proofErr w:type="spellStart"/>
      <w:r w:rsidRPr="00C16015">
        <w:rPr>
          <w:rFonts w:ascii="Book Antiqua" w:eastAsia="宋体" w:hAnsi="Book Antiqua" w:cs="宋体"/>
          <w:color w:val="000000" w:themeColor="text1"/>
          <w:kern w:val="0"/>
          <w:sz w:val="24"/>
          <w:szCs w:val="24"/>
        </w:rPr>
        <w:t>Mansvelt</w:t>
      </w:r>
      <w:proofErr w:type="spellEnd"/>
      <w:r w:rsidRPr="00C16015">
        <w:rPr>
          <w:rFonts w:ascii="Book Antiqua" w:eastAsia="宋体" w:hAnsi="Book Antiqua" w:cs="宋体"/>
          <w:color w:val="000000" w:themeColor="text1"/>
          <w:kern w:val="0"/>
          <w:sz w:val="24"/>
          <w:szCs w:val="24"/>
        </w:rPr>
        <w:t xml:space="preserve"> B, </w:t>
      </w:r>
      <w:proofErr w:type="spellStart"/>
      <w:r w:rsidRPr="00C16015">
        <w:rPr>
          <w:rFonts w:ascii="Book Antiqua" w:eastAsia="宋体" w:hAnsi="Book Antiqua" w:cs="宋体"/>
          <w:color w:val="000000" w:themeColor="text1"/>
          <w:kern w:val="0"/>
          <w:sz w:val="24"/>
          <w:szCs w:val="24"/>
        </w:rPr>
        <w:t>Bereder</w:t>
      </w:r>
      <w:proofErr w:type="spellEnd"/>
      <w:r w:rsidRPr="00C16015">
        <w:rPr>
          <w:rFonts w:ascii="Book Antiqua" w:eastAsia="宋体" w:hAnsi="Book Antiqua" w:cs="宋体"/>
          <w:color w:val="000000" w:themeColor="text1"/>
          <w:kern w:val="0"/>
          <w:sz w:val="24"/>
          <w:szCs w:val="24"/>
        </w:rPr>
        <w:t xml:space="preserve"> JM, </w:t>
      </w:r>
      <w:proofErr w:type="spellStart"/>
      <w:r w:rsidRPr="00C16015">
        <w:rPr>
          <w:rFonts w:ascii="Book Antiqua" w:eastAsia="宋体" w:hAnsi="Book Antiqua" w:cs="宋体"/>
          <w:color w:val="000000" w:themeColor="text1"/>
          <w:kern w:val="0"/>
          <w:sz w:val="24"/>
          <w:szCs w:val="24"/>
        </w:rPr>
        <w:t>Lorimier</w:t>
      </w:r>
      <w:proofErr w:type="spellEnd"/>
      <w:r w:rsidRPr="00C16015">
        <w:rPr>
          <w:rFonts w:ascii="Book Antiqua" w:eastAsia="宋体" w:hAnsi="Book Antiqua" w:cs="宋体"/>
          <w:color w:val="000000" w:themeColor="text1"/>
          <w:kern w:val="0"/>
          <w:sz w:val="24"/>
          <w:szCs w:val="24"/>
        </w:rPr>
        <w:t xml:space="preserve"> G, </w:t>
      </w:r>
      <w:proofErr w:type="spellStart"/>
      <w:r w:rsidRPr="00C16015">
        <w:rPr>
          <w:rFonts w:ascii="Book Antiqua" w:eastAsia="宋体" w:hAnsi="Book Antiqua" w:cs="宋体"/>
          <w:color w:val="000000" w:themeColor="text1"/>
          <w:kern w:val="0"/>
          <w:sz w:val="24"/>
          <w:szCs w:val="24"/>
        </w:rPr>
        <w:t>Quenet</w:t>
      </w:r>
      <w:proofErr w:type="spellEnd"/>
      <w:r w:rsidRPr="00C16015">
        <w:rPr>
          <w:rFonts w:ascii="Book Antiqua" w:eastAsia="宋体" w:hAnsi="Book Antiqua" w:cs="宋体"/>
          <w:color w:val="000000" w:themeColor="text1"/>
          <w:kern w:val="0"/>
          <w:sz w:val="24"/>
          <w:szCs w:val="24"/>
        </w:rPr>
        <w:t xml:space="preserve"> F, Elias D.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from gastric cancer: a multi-institutional study of 159 patients treated by </w:t>
      </w:r>
      <w:proofErr w:type="spellStart"/>
      <w:r w:rsidRPr="00C16015">
        <w:rPr>
          <w:rFonts w:ascii="Book Antiqua" w:eastAsia="宋体" w:hAnsi="Book Antiqua" w:cs="宋体"/>
          <w:color w:val="000000" w:themeColor="text1"/>
          <w:kern w:val="0"/>
          <w:sz w:val="24"/>
          <w:szCs w:val="24"/>
        </w:rPr>
        <w:t>cytoreductive</w:t>
      </w:r>
      <w:proofErr w:type="spellEnd"/>
      <w:r w:rsidRPr="00C16015">
        <w:rPr>
          <w:rFonts w:ascii="Book Antiqua" w:eastAsia="宋体" w:hAnsi="Book Antiqua" w:cs="宋体"/>
          <w:color w:val="000000" w:themeColor="text1"/>
          <w:kern w:val="0"/>
          <w:sz w:val="24"/>
          <w:szCs w:val="24"/>
        </w:rPr>
        <w:t xml:space="preserve"> surgery combined with perioperative intraperitoneal chemotherapy. </w:t>
      </w:r>
      <w:r w:rsidRPr="00C16015">
        <w:rPr>
          <w:rFonts w:ascii="Book Antiqua" w:eastAsia="宋体" w:hAnsi="Book Antiqua" w:cs="宋体"/>
          <w:i/>
          <w:iCs/>
          <w:color w:val="000000" w:themeColor="text1"/>
          <w:kern w:val="0"/>
          <w:sz w:val="24"/>
          <w:szCs w:val="24"/>
        </w:rPr>
        <w:t xml:space="preserve">Ann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17</w:t>
      </w:r>
      <w:r w:rsidRPr="00C16015">
        <w:rPr>
          <w:rFonts w:ascii="Book Antiqua" w:eastAsia="宋体" w:hAnsi="Book Antiqua" w:cs="宋体"/>
          <w:color w:val="000000" w:themeColor="text1"/>
          <w:kern w:val="0"/>
          <w:sz w:val="24"/>
          <w:szCs w:val="24"/>
        </w:rPr>
        <w:t>: 2370-2377 [PMID: 20336386 DOI: 10.1245/s10434-010-1039-7]</w:t>
      </w:r>
    </w:p>
    <w:p w14:paraId="751DA58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12 </w:t>
      </w:r>
      <w:r w:rsidRPr="00C16015">
        <w:rPr>
          <w:rFonts w:ascii="Book Antiqua" w:eastAsia="宋体" w:hAnsi="Book Antiqua" w:cs="宋体"/>
          <w:b/>
          <w:bCs/>
          <w:color w:val="000000" w:themeColor="text1"/>
          <w:kern w:val="0"/>
          <w:sz w:val="24"/>
          <w:szCs w:val="24"/>
        </w:rPr>
        <w:t>Gill RS</w:t>
      </w:r>
      <w:r w:rsidRPr="00C16015">
        <w:rPr>
          <w:rFonts w:ascii="Book Antiqua" w:eastAsia="宋体" w:hAnsi="Book Antiqua" w:cs="宋体"/>
          <w:color w:val="000000" w:themeColor="text1"/>
          <w:kern w:val="0"/>
          <w:sz w:val="24"/>
          <w:szCs w:val="24"/>
        </w:rPr>
        <w:t>, Al-</w:t>
      </w:r>
      <w:proofErr w:type="spellStart"/>
      <w:r w:rsidRPr="00C16015">
        <w:rPr>
          <w:rFonts w:ascii="Book Antiqua" w:eastAsia="宋体" w:hAnsi="Book Antiqua" w:cs="宋体"/>
          <w:color w:val="000000" w:themeColor="text1"/>
          <w:kern w:val="0"/>
          <w:sz w:val="24"/>
          <w:szCs w:val="24"/>
        </w:rPr>
        <w:t>Adra</w:t>
      </w:r>
      <w:proofErr w:type="spellEnd"/>
      <w:r w:rsidRPr="00C16015">
        <w:rPr>
          <w:rFonts w:ascii="Book Antiqua" w:eastAsia="宋体" w:hAnsi="Book Antiqua" w:cs="宋体"/>
          <w:color w:val="000000" w:themeColor="text1"/>
          <w:kern w:val="0"/>
          <w:sz w:val="24"/>
          <w:szCs w:val="24"/>
        </w:rPr>
        <w:t xml:space="preserve"> DP, </w:t>
      </w:r>
      <w:proofErr w:type="spellStart"/>
      <w:r w:rsidRPr="00C16015">
        <w:rPr>
          <w:rFonts w:ascii="Book Antiqua" w:eastAsia="宋体" w:hAnsi="Book Antiqua" w:cs="宋体"/>
          <w:color w:val="000000" w:themeColor="text1"/>
          <w:kern w:val="0"/>
          <w:sz w:val="24"/>
          <w:szCs w:val="24"/>
        </w:rPr>
        <w:t>Nagendran</w:t>
      </w:r>
      <w:proofErr w:type="spellEnd"/>
      <w:r w:rsidRPr="00C16015">
        <w:rPr>
          <w:rFonts w:ascii="Book Antiqua" w:eastAsia="宋体" w:hAnsi="Book Antiqua" w:cs="宋体"/>
          <w:color w:val="000000" w:themeColor="text1"/>
          <w:kern w:val="0"/>
          <w:sz w:val="24"/>
          <w:szCs w:val="24"/>
        </w:rPr>
        <w:t xml:space="preserve"> J, Campbell S, Shi X, </w:t>
      </w:r>
      <w:proofErr w:type="spellStart"/>
      <w:r w:rsidRPr="00C16015">
        <w:rPr>
          <w:rFonts w:ascii="Book Antiqua" w:eastAsia="宋体" w:hAnsi="Book Antiqua" w:cs="宋体"/>
          <w:color w:val="000000" w:themeColor="text1"/>
          <w:kern w:val="0"/>
          <w:sz w:val="24"/>
          <w:szCs w:val="24"/>
        </w:rPr>
        <w:t>Haase</w:t>
      </w:r>
      <w:proofErr w:type="spellEnd"/>
      <w:r w:rsidRPr="00C16015">
        <w:rPr>
          <w:rFonts w:ascii="Book Antiqua" w:eastAsia="宋体" w:hAnsi="Book Antiqua" w:cs="宋体"/>
          <w:color w:val="000000" w:themeColor="text1"/>
          <w:kern w:val="0"/>
          <w:sz w:val="24"/>
          <w:szCs w:val="24"/>
        </w:rPr>
        <w:t xml:space="preserve"> E, Schiller D. Treatment of gastric cancer with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by </w:t>
      </w:r>
      <w:proofErr w:type="spellStart"/>
      <w:r w:rsidRPr="00C16015">
        <w:rPr>
          <w:rFonts w:ascii="Book Antiqua" w:eastAsia="宋体" w:hAnsi="Book Antiqua" w:cs="宋体"/>
          <w:color w:val="000000" w:themeColor="text1"/>
          <w:kern w:val="0"/>
          <w:sz w:val="24"/>
          <w:szCs w:val="24"/>
        </w:rPr>
        <w:t>cytoreductive</w:t>
      </w:r>
      <w:proofErr w:type="spellEnd"/>
      <w:r w:rsidRPr="00C16015">
        <w:rPr>
          <w:rFonts w:ascii="Book Antiqua" w:eastAsia="宋体" w:hAnsi="Book Antiqua" w:cs="宋体"/>
          <w:color w:val="000000" w:themeColor="text1"/>
          <w:kern w:val="0"/>
          <w:sz w:val="24"/>
          <w:szCs w:val="24"/>
        </w:rPr>
        <w:t xml:space="preserve"> surgery and HIPEC: a systematic review of survival, mortality, and morbidity.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2011; </w:t>
      </w:r>
      <w:r w:rsidRPr="00C16015">
        <w:rPr>
          <w:rFonts w:ascii="Book Antiqua" w:eastAsia="宋体" w:hAnsi="Book Antiqua" w:cs="宋体"/>
          <w:b/>
          <w:bCs/>
          <w:color w:val="000000" w:themeColor="text1"/>
          <w:kern w:val="0"/>
          <w:sz w:val="24"/>
          <w:szCs w:val="24"/>
        </w:rPr>
        <w:t>104</w:t>
      </w:r>
      <w:r w:rsidRPr="00C16015">
        <w:rPr>
          <w:rFonts w:ascii="Book Antiqua" w:eastAsia="宋体" w:hAnsi="Book Antiqua" w:cs="宋体"/>
          <w:color w:val="000000" w:themeColor="text1"/>
          <w:kern w:val="0"/>
          <w:sz w:val="24"/>
          <w:szCs w:val="24"/>
        </w:rPr>
        <w:t>: 692-698 [PMID: 21713780 DOI: 10.1002/jso.22017]</w:t>
      </w:r>
    </w:p>
    <w:p w14:paraId="0D64979F"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13 </w:t>
      </w:r>
      <w:r w:rsidRPr="00C16015">
        <w:rPr>
          <w:rFonts w:ascii="Book Antiqua" w:eastAsia="宋体" w:hAnsi="Book Antiqua" w:cs="宋体"/>
          <w:b/>
          <w:bCs/>
          <w:color w:val="000000" w:themeColor="text1"/>
          <w:kern w:val="0"/>
          <w:sz w:val="24"/>
          <w:szCs w:val="24"/>
        </w:rPr>
        <w:t>González-Moreno S</w:t>
      </w:r>
      <w:r w:rsidRPr="00C16015">
        <w:rPr>
          <w:rFonts w:ascii="Book Antiqua" w:eastAsia="宋体" w:hAnsi="Book Antiqua" w:cs="宋体"/>
          <w:color w:val="000000" w:themeColor="text1"/>
          <w:kern w:val="0"/>
          <w:sz w:val="24"/>
          <w:szCs w:val="24"/>
        </w:rPr>
        <w:t>, González-</w:t>
      </w:r>
      <w:proofErr w:type="spellStart"/>
      <w:r w:rsidRPr="00C16015">
        <w:rPr>
          <w:rFonts w:ascii="Book Antiqua" w:eastAsia="宋体" w:hAnsi="Book Antiqua" w:cs="宋体"/>
          <w:color w:val="000000" w:themeColor="text1"/>
          <w:kern w:val="0"/>
          <w:sz w:val="24"/>
          <w:szCs w:val="24"/>
        </w:rPr>
        <w:t>Bayón</w:t>
      </w:r>
      <w:proofErr w:type="spellEnd"/>
      <w:r w:rsidRPr="00C16015">
        <w:rPr>
          <w:rFonts w:ascii="Book Antiqua" w:eastAsia="宋体" w:hAnsi="Book Antiqua" w:cs="宋体"/>
          <w:color w:val="000000" w:themeColor="text1"/>
          <w:kern w:val="0"/>
          <w:sz w:val="24"/>
          <w:szCs w:val="24"/>
        </w:rPr>
        <w:t xml:space="preserve"> LA, Ortega-Pérez G. </w:t>
      </w:r>
      <w:proofErr w:type="spellStart"/>
      <w:r w:rsidRPr="00C16015">
        <w:rPr>
          <w:rFonts w:ascii="Book Antiqua" w:eastAsia="宋体" w:hAnsi="Book Antiqua" w:cs="宋体"/>
          <w:color w:val="000000" w:themeColor="text1"/>
          <w:kern w:val="0"/>
          <w:sz w:val="24"/>
          <w:szCs w:val="24"/>
        </w:rPr>
        <w:t>Hyperthermic</w:t>
      </w:r>
      <w:proofErr w:type="spellEnd"/>
      <w:r w:rsidRPr="00C16015">
        <w:rPr>
          <w:rFonts w:ascii="Book Antiqua" w:eastAsia="宋体" w:hAnsi="Book Antiqua" w:cs="宋体"/>
          <w:color w:val="000000" w:themeColor="text1"/>
          <w:kern w:val="0"/>
          <w:sz w:val="24"/>
          <w:szCs w:val="24"/>
        </w:rPr>
        <w:t xml:space="preserve"> intraperitoneal chemotherapy: Rationale and technique. </w:t>
      </w:r>
      <w:r w:rsidRPr="00C16015">
        <w:rPr>
          <w:rFonts w:ascii="Book Antiqua" w:eastAsia="宋体" w:hAnsi="Book Antiqua" w:cs="宋体"/>
          <w:i/>
          <w:iCs/>
          <w:color w:val="000000" w:themeColor="text1"/>
          <w:kern w:val="0"/>
          <w:sz w:val="24"/>
          <w:szCs w:val="24"/>
        </w:rPr>
        <w:t xml:space="preserve">World J </w:t>
      </w:r>
      <w:proofErr w:type="spellStart"/>
      <w:r w:rsidRPr="00C16015">
        <w:rPr>
          <w:rFonts w:ascii="Book Antiqua" w:eastAsia="宋体" w:hAnsi="Book Antiqua" w:cs="宋体"/>
          <w:i/>
          <w:iCs/>
          <w:color w:val="000000" w:themeColor="text1"/>
          <w:kern w:val="0"/>
          <w:sz w:val="24"/>
          <w:szCs w:val="24"/>
        </w:rPr>
        <w:t>Gastrointest</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2</w:t>
      </w:r>
      <w:r w:rsidRPr="00C16015">
        <w:rPr>
          <w:rFonts w:ascii="Book Antiqua" w:eastAsia="宋体" w:hAnsi="Book Antiqua" w:cs="宋体"/>
          <w:color w:val="000000" w:themeColor="text1"/>
          <w:kern w:val="0"/>
          <w:sz w:val="24"/>
          <w:szCs w:val="24"/>
        </w:rPr>
        <w:t>: 68-75 [PMID: 21160924 DOI: 10.4251/wjgo.v2.i2.68]</w:t>
      </w:r>
    </w:p>
    <w:p w14:paraId="6719653C"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14 </w:t>
      </w:r>
      <w:proofErr w:type="spellStart"/>
      <w:r w:rsidRPr="00C16015">
        <w:rPr>
          <w:rFonts w:ascii="Book Antiqua" w:eastAsia="宋体" w:hAnsi="Book Antiqua" w:cs="宋体"/>
          <w:b/>
          <w:bCs/>
          <w:color w:val="000000" w:themeColor="text1"/>
          <w:kern w:val="0"/>
          <w:sz w:val="24"/>
          <w:szCs w:val="24"/>
        </w:rPr>
        <w:t>Ishigami</w:t>
      </w:r>
      <w:proofErr w:type="spellEnd"/>
      <w:r w:rsidRPr="00C16015">
        <w:rPr>
          <w:rFonts w:ascii="Book Antiqua" w:eastAsia="宋体" w:hAnsi="Book Antiqua" w:cs="宋体"/>
          <w:b/>
          <w:bCs/>
          <w:color w:val="000000" w:themeColor="text1"/>
          <w:kern w:val="0"/>
          <w:sz w:val="24"/>
          <w:szCs w:val="24"/>
        </w:rPr>
        <w:t xml:space="preserve"> H</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Hidemura</w:t>
      </w:r>
      <w:proofErr w:type="spellEnd"/>
      <w:r w:rsidRPr="00C16015">
        <w:rPr>
          <w:rFonts w:ascii="Book Antiqua" w:eastAsia="宋体" w:hAnsi="Book Antiqua" w:cs="宋体"/>
          <w:color w:val="000000" w:themeColor="text1"/>
          <w:kern w:val="0"/>
          <w:sz w:val="24"/>
          <w:szCs w:val="24"/>
        </w:rPr>
        <w:t xml:space="preserve"> A, Kato M, </w:t>
      </w:r>
      <w:proofErr w:type="spellStart"/>
      <w:r w:rsidRPr="00C16015">
        <w:rPr>
          <w:rFonts w:ascii="Book Antiqua" w:eastAsia="宋体" w:hAnsi="Book Antiqua" w:cs="宋体"/>
          <w:color w:val="000000" w:themeColor="text1"/>
          <w:kern w:val="0"/>
          <w:sz w:val="24"/>
          <w:szCs w:val="24"/>
        </w:rPr>
        <w:t>Otani</w:t>
      </w:r>
      <w:proofErr w:type="spellEnd"/>
      <w:r w:rsidRPr="00C16015">
        <w:rPr>
          <w:rFonts w:ascii="Book Antiqua" w:eastAsia="宋体" w:hAnsi="Book Antiqua" w:cs="宋体"/>
          <w:color w:val="000000" w:themeColor="text1"/>
          <w:kern w:val="0"/>
          <w:sz w:val="24"/>
          <w:szCs w:val="24"/>
        </w:rPr>
        <w:t xml:space="preserve"> K, Kamei T, Soma D, </w:t>
      </w:r>
      <w:proofErr w:type="spellStart"/>
      <w:r w:rsidRPr="00C16015">
        <w:rPr>
          <w:rFonts w:ascii="Book Antiqua" w:eastAsia="宋体" w:hAnsi="Book Antiqua" w:cs="宋体"/>
          <w:color w:val="000000" w:themeColor="text1"/>
          <w:kern w:val="0"/>
          <w:sz w:val="24"/>
          <w:szCs w:val="24"/>
        </w:rPr>
        <w:t>Miyato</w:t>
      </w:r>
      <w:proofErr w:type="spellEnd"/>
      <w:r w:rsidRPr="00C16015">
        <w:rPr>
          <w:rFonts w:ascii="Book Antiqua" w:eastAsia="宋体" w:hAnsi="Book Antiqua" w:cs="宋体"/>
          <w:color w:val="000000" w:themeColor="text1"/>
          <w:kern w:val="0"/>
          <w:sz w:val="24"/>
          <w:szCs w:val="24"/>
        </w:rPr>
        <w:t xml:space="preserve"> H, Yamashita H, </w:t>
      </w:r>
      <w:proofErr w:type="spellStart"/>
      <w:r w:rsidRPr="00C16015">
        <w:rPr>
          <w:rFonts w:ascii="Book Antiqua" w:eastAsia="宋体" w:hAnsi="Book Antiqua" w:cs="宋体"/>
          <w:color w:val="000000" w:themeColor="text1"/>
          <w:kern w:val="0"/>
          <w:sz w:val="24"/>
          <w:szCs w:val="24"/>
        </w:rPr>
        <w:t>Nagawa</w:t>
      </w:r>
      <w:proofErr w:type="spellEnd"/>
      <w:r w:rsidRPr="00C16015">
        <w:rPr>
          <w:rFonts w:ascii="Book Antiqua" w:eastAsia="宋体" w:hAnsi="Book Antiqua" w:cs="宋体"/>
          <w:color w:val="000000" w:themeColor="text1"/>
          <w:kern w:val="0"/>
          <w:sz w:val="24"/>
          <w:szCs w:val="24"/>
        </w:rPr>
        <w:t xml:space="preserve"> H. Phase II study of weekly intravenous and intraperitoneal paclitaxel combined with S-1 for advanced gastric cancer with peritoneal metastasis. </w:t>
      </w:r>
      <w:r w:rsidRPr="00C16015">
        <w:rPr>
          <w:rFonts w:ascii="Book Antiqua" w:eastAsia="宋体" w:hAnsi="Book Antiqua" w:cs="宋体"/>
          <w:i/>
          <w:iCs/>
          <w:color w:val="000000" w:themeColor="text1"/>
          <w:kern w:val="0"/>
          <w:sz w:val="24"/>
          <w:szCs w:val="24"/>
        </w:rPr>
        <w:t xml:space="preserve">Ann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21</w:t>
      </w:r>
      <w:r w:rsidRPr="00C16015">
        <w:rPr>
          <w:rFonts w:ascii="Book Antiqua" w:eastAsia="宋体" w:hAnsi="Book Antiqua" w:cs="宋体"/>
          <w:color w:val="000000" w:themeColor="text1"/>
          <w:kern w:val="0"/>
          <w:sz w:val="24"/>
          <w:szCs w:val="24"/>
        </w:rPr>
        <w:t>: 67-70 [PMID: 19605503 DOI: 10.1093/</w:t>
      </w:r>
      <w:proofErr w:type="spellStart"/>
      <w:r w:rsidRPr="00C16015">
        <w:rPr>
          <w:rFonts w:ascii="Book Antiqua" w:eastAsia="宋体" w:hAnsi="Book Antiqua" w:cs="宋体"/>
          <w:color w:val="000000" w:themeColor="text1"/>
          <w:kern w:val="0"/>
          <w:sz w:val="24"/>
          <w:szCs w:val="24"/>
        </w:rPr>
        <w:t>annonc</w:t>
      </w:r>
      <w:proofErr w:type="spellEnd"/>
      <w:r w:rsidRPr="00C16015">
        <w:rPr>
          <w:rFonts w:ascii="Book Antiqua" w:eastAsia="宋体" w:hAnsi="Book Antiqua" w:cs="宋体"/>
          <w:color w:val="000000" w:themeColor="text1"/>
          <w:kern w:val="0"/>
          <w:sz w:val="24"/>
          <w:szCs w:val="24"/>
        </w:rPr>
        <w:t>/mdp260]</w:t>
      </w:r>
    </w:p>
    <w:p w14:paraId="544D8AA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15 </w:t>
      </w:r>
      <w:r w:rsidRPr="00C16015">
        <w:rPr>
          <w:rFonts w:ascii="Book Antiqua" w:eastAsia="宋体" w:hAnsi="Book Antiqua" w:cs="宋体"/>
          <w:b/>
          <w:bCs/>
          <w:color w:val="000000" w:themeColor="text1"/>
          <w:kern w:val="0"/>
          <w:sz w:val="24"/>
          <w:szCs w:val="24"/>
        </w:rPr>
        <w:t>Yamaguchi H</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Emoto</w:t>
      </w:r>
      <w:proofErr w:type="spellEnd"/>
      <w:r w:rsidRPr="00C16015">
        <w:rPr>
          <w:rFonts w:ascii="Book Antiqua" w:eastAsia="宋体" w:hAnsi="Book Antiqua" w:cs="宋体"/>
          <w:color w:val="000000" w:themeColor="text1"/>
          <w:kern w:val="0"/>
          <w:sz w:val="24"/>
          <w:szCs w:val="24"/>
        </w:rPr>
        <w:t xml:space="preserve"> S, Yamashita H, Watanabe T. A phase 2 trial of intravenous and intraperitoneal paclitaxel combined with S-1 for treatment of gastric cancer with macroscopic peritoneal metastasis. </w:t>
      </w:r>
      <w:r w:rsidRPr="00C16015">
        <w:rPr>
          <w:rFonts w:ascii="Book Antiqua" w:eastAsia="宋体" w:hAnsi="Book Antiqua" w:cs="宋体"/>
          <w:i/>
          <w:iCs/>
          <w:color w:val="000000" w:themeColor="text1"/>
          <w:kern w:val="0"/>
          <w:sz w:val="24"/>
          <w:szCs w:val="24"/>
        </w:rPr>
        <w:t>Cancer</w:t>
      </w:r>
      <w:r w:rsidRPr="00C16015">
        <w:rPr>
          <w:rFonts w:ascii="Book Antiqua" w:eastAsia="宋体" w:hAnsi="Book Antiqua" w:cs="宋体"/>
          <w:color w:val="000000" w:themeColor="text1"/>
          <w:kern w:val="0"/>
          <w:sz w:val="24"/>
          <w:szCs w:val="24"/>
        </w:rPr>
        <w:t xml:space="preserve"> 2013; </w:t>
      </w:r>
      <w:r w:rsidRPr="00C16015">
        <w:rPr>
          <w:rFonts w:ascii="Book Antiqua" w:eastAsia="宋体" w:hAnsi="Book Antiqua" w:cs="宋体"/>
          <w:b/>
          <w:bCs/>
          <w:color w:val="000000" w:themeColor="text1"/>
          <w:kern w:val="0"/>
          <w:sz w:val="24"/>
          <w:szCs w:val="24"/>
        </w:rPr>
        <w:t>119</w:t>
      </w:r>
      <w:r w:rsidRPr="00C16015">
        <w:rPr>
          <w:rFonts w:ascii="Book Antiqua" w:eastAsia="宋体" w:hAnsi="Book Antiqua" w:cs="宋体"/>
          <w:color w:val="000000" w:themeColor="text1"/>
          <w:kern w:val="0"/>
          <w:sz w:val="24"/>
          <w:szCs w:val="24"/>
        </w:rPr>
        <w:t>: 3354-3358 [PMID: 23798046 DOI: 10.1002/cncr.28204]</w:t>
      </w:r>
    </w:p>
    <w:p w14:paraId="3DCD4365"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16 </w:t>
      </w:r>
      <w:proofErr w:type="spellStart"/>
      <w:r w:rsidRPr="00C16015">
        <w:rPr>
          <w:rFonts w:ascii="Book Antiqua" w:eastAsia="宋体" w:hAnsi="Book Antiqua" w:cs="宋体"/>
          <w:b/>
          <w:bCs/>
          <w:color w:val="000000" w:themeColor="text1"/>
          <w:kern w:val="0"/>
          <w:sz w:val="24"/>
          <w:szCs w:val="24"/>
        </w:rPr>
        <w:t>Fushida</w:t>
      </w:r>
      <w:proofErr w:type="spellEnd"/>
      <w:r w:rsidRPr="00C16015">
        <w:rPr>
          <w:rFonts w:ascii="Book Antiqua" w:eastAsia="宋体" w:hAnsi="Book Antiqua" w:cs="宋体"/>
          <w:b/>
          <w:bCs/>
          <w:color w:val="000000" w:themeColor="text1"/>
          <w:kern w:val="0"/>
          <w:sz w:val="24"/>
          <w:szCs w:val="24"/>
        </w:rPr>
        <w:t xml:space="preserve"> S</w:t>
      </w:r>
      <w:r w:rsidRPr="00C16015">
        <w:rPr>
          <w:rFonts w:ascii="Book Antiqua" w:eastAsia="宋体" w:hAnsi="Book Antiqua" w:cs="宋体"/>
          <w:color w:val="000000" w:themeColor="text1"/>
          <w:kern w:val="0"/>
          <w:sz w:val="24"/>
          <w:szCs w:val="24"/>
        </w:rPr>
        <w:t xml:space="preserve">, Kinoshita J, </w:t>
      </w:r>
      <w:proofErr w:type="spellStart"/>
      <w:r w:rsidRPr="00C16015">
        <w:rPr>
          <w:rFonts w:ascii="Book Antiqua" w:eastAsia="宋体" w:hAnsi="Book Antiqua" w:cs="宋体"/>
          <w:color w:val="000000" w:themeColor="text1"/>
          <w:kern w:val="0"/>
          <w:sz w:val="24"/>
          <w:szCs w:val="24"/>
        </w:rPr>
        <w:t>Kaji</w:t>
      </w:r>
      <w:proofErr w:type="spellEnd"/>
      <w:r w:rsidRPr="00C16015">
        <w:rPr>
          <w:rFonts w:ascii="Book Antiqua" w:eastAsia="宋体" w:hAnsi="Book Antiqua" w:cs="宋体"/>
          <w:color w:val="000000" w:themeColor="text1"/>
          <w:kern w:val="0"/>
          <w:sz w:val="24"/>
          <w:szCs w:val="24"/>
        </w:rPr>
        <w:t xml:space="preserve"> M, </w:t>
      </w:r>
      <w:proofErr w:type="spellStart"/>
      <w:r w:rsidRPr="00C16015">
        <w:rPr>
          <w:rFonts w:ascii="Book Antiqua" w:eastAsia="宋体" w:hAnsi="Book Antiqua" w:cs="宋体"/>
          <w:color w:val="000000" w:themeColor="text1"/>
          <w:kern w:val="0"/>
          <w:sz w:val="24"/>
          <w:szCs w:val="24"/>
        </w:rPr>
        <w:t>Hirono</w:t>
      </w:r>
      <w:proofErr w:type="spellEnd"/>
      <w:r w:rsidRPr="00C16015">
        <w:rPr>
          <w:rFonts w:ascii="Book Antiqua" w:eastAsia="宋体" w:hAnsi="Book Antiqua" w:cs="宋体"/>
          <w:color w:val="000000" w:themeColor="text1"/>
          <w:kern w:val="0"/>
          <w:sz w:val="24"/>
          <w:szCs w:val="24"/>
        </w:rPr>
        <w:t xml:space="preserve"> Y, </w:t>
      </w:r>
      <w:proofErr w:type="spellStart"/>
      <w:r w:rsidRPr="00C16015">
        <w:rPr>
          <w:rFonts w:ascii="Book Antiqua" w:eastAsia="宋体" w:hAnsi="Book Antiqua" w:cs="宋体"/>
          <w:color w:val="000000" w:themeColor="text1"/>
          <w:kern w:val="0"/>
          <w:sz w:val="24"/>
          <w:szCs w:val="24"/>
        </w:rPr>
        <w:t>Goda</w:t>
      </w:r>
      <w:proofErr w:type="spellEnd"/>
      <w:r w:rsidRPr="00C16015">
        <w:rPr>
          <w:rFonts w:ascii="Book Antiqua" w:eastAsia="宋体" w:hAnsi="Book Antiqua" w:cs="宋体"/>
          <w:color w:val="000000" w:themeColor="text1"/>
          <w:kern w:val="0"/>
          <w:sz w:val="24"/>
          <w:szCs w:val="24"/>
        </w:rPr>
        <w:t xml:space="preserve"> F, Yagi Y, </w:t>
      </w:r>
      <w:proofErr w:type="spellStart"/>
      <w:r w:rsidRPr="00C16015">
        <w:rPr>
          <w:rFonts w:ascii="Book Antiqua" w:eastAsia="宋体" w:hAnsi="Book Antiqua" w:cs="宋体"/>
          <w:color w:val="000000" w:themeColor="text1"/>
          <w:kern w:val="0"/>
          <w:sz w:val="24"/>
          <w:szCs w:val="24"/>
        </w:rPr>
        <w:t>Oyama</w:t>
      </w:r>
      <w:proofErr w:type="spellEnd"/>
      <w:r w:rsidRPr="00C16015">
        <w:rPr>
          <w:rFonts w:ascii="Book Antiqua" w:eastAsia="宋体" w:hAnsi="Book Antiqua" w:cs="宋体"/>
          <w:color w:val="000000" w:themeColor="text1"/>
          <w:kern w:val="0"/>
          <w:sz w:val="24"/>
          <w:szCs w:val="24"/>
        </w:rPr>
        <w:t xml:space="preserve"> K, </w:t>
      </w:r>
      <w:proofErr w:type="spellStart"/>
      <w:r w:rsidRPr="00C16015">
        <w:rPr>
          <w:rFonts w:ascii="Book Antiqua" w:eastAsia="宋体" w:hAnsi="Book Antiqua" w:cs="宋体"/>
          <w:color w:val="000000" w:themeColor="text1"/>
          <w:kern w:val="0"/>
          <w:sz w:val="24"/>
          <w:szCs w:val="24"/>
        </w:rPr>
        <w:t>Sudo</w:t>
      </w:r>
      <w:proofErr w:type="spellEnd"/>
      <w:r w:rsidRPr="00C16015">
        <w:rPr>
          <w:rFonts w:ascii="Book Antiqua" w:eastAsia="宋体" w:hAnsi="Book Antiqua" w:cs="宋体"/>
          <w:color w:val="000000" w:themeColor="text1"/>
          <w:kern w:val="0"/>
          <w:sz w:val="24"/>
          <w:szCs w:val="24"/>
        </w:rPr>
        <w:t xml:space="preserve"> Y, Watanabe Y, Fujimura T. Phase I/II study of intraperitoneal docetaxel plus S-1 </w:t>
      </w:r>
      <w:r w:rsidRPr="00C16015">
        <w:rPr>
          <w:rFonts w:ascii="Book Antiqua" w:eastAsia="宋体" w:hAnsi="Book Antiqua" w:cs="宋体"/>
          <w:color w:val="000000" w:themeColor="text1"/>
          <w:kern w:val="0"/>
          <w:sz w:val="24"/>
          <w:szCs w:val="24"/>
        </w:rPr>
        <w:lastRenderedPageBreak/>
        <w:t xml:space="preserve">for the gastric cancer patients with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Cancer </w:t>
      </w:r>
      <w:proofErr w:type="spellStart"/>
      <w:r w:rsidRPr="00C16015">
        <w:rPr>
          <w:rFonts w:ascii="Book Antiqua" w:eastAsia="宋体" w:hAnsi="Book Antiqua" w:cs="宋体"/>
          <w:i/>
          <w:iCs/>
          <w:color w:val="000000" w:themeColor="text1"/>
          <w:kern w:val="0"/>
          <w:sz w:val="24"/>
          <w:szCs w:val="24"/>
        </w:rPr>
        <w:t>Chemother</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Pharmacol</w:t>
      </w:r>
      <w:proofErr w:type="spellEnd"/>
      <w:r w:rsidRPr="00C16015">
        <w:rPr>
          <w:rFonts w:ascii="Book Antiqua" w:eastAsia="宋体" w:hAnsi="Book Antiqua" w:cs="宋体"/>
          <w:color w:val="000000" w:themeColor="text1"/>
          <w:kern w:val="0"/>
          <w:sz w:val="24"/>
          <w:szCs w:val="24"/>
        </w:rPr>
        <w:t xml:space="preserve"> 2013; </w:t>
      </w:r>
      <w:r w:rsidRPr="00C16015">
        <w:rPr>
          <w:rFonts w:ascii="Book Antiqua" w:eastAsia="宋体" w:hAnsi="Book Antiqua" w:cs="宋体"/>
          <w:b/>
          <w:bCs/>
          <w:color w:val="000000" w:themeColor="text1"/>
          <w:kern w:val="0"/>
          <w:sz w:val="24"/>
          <w:szCs w:val="24"/>
        </w:rPr>
        <w:t>71</w:t>
      </w:r>
      <w:r w:rsidRPr="00C16015">
        <w:rPr>
          <w:rFonts w:ascii="Book Antiqua" w:eastAsia="宋体" w:hAnsi="Book Antiqua" w:cs="宋体"/>
          <w:color w:val="000000" w:themeColor="text1"/>
          <w:kern w:val="0"/>
          <w:sz w:val="24"/>
          <w:szCs w:val="24"/>
        </w:rPr>
        <w:t>: 1265-1272 [PMID: 23423490 DOI: 10.1007/s00280-013-2122-0]</w:t>
      </w:r>
    </w:p>
    <w:p w14:paraId="069F56E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17 </w:t>
      </w:r>
      <w:r w:rsidRPr="00C16015">
        <w:rPr>
          <w:rFonts w:ascii="Book Antiqua" w:eastAsia="宋体" w:hAnsi="Book Antiqua" w:cs="宋体"/>
          <w:b/>
          <w:bCs/>
          <w:color w:val="000000" w:themeColor="text1"/>
          <w:kern w:val="0"/>
          <w:sz w:val="24"/>
          <w:szCs w:val="24"/>
        </w:rPr>
        <w:t>Fujiwara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Takiguchi</w:t>
      </w:r>
      <w:proofErr w:type="spellEnd"/>
      <w:r w:rsidRPr="00C16015">
        <w:rPr>
          <w:rFonts w:ascii="Book Antiqua" w:eastAsia="宋体" w:hAnsi="Book Antiqua" w:cs="宋体"/>
          <w:color w:val="000000" w:themeColor="text1"/>
          <w:kern w:val="0"/>
          <w:sz w:val="24"/>
          <w:szCs w:val="24"/>
        </w:rPr>
        <w:t xml:space="preserve"> S, Nakajima K, Miyata H, Yamasaki M, </w:t>
      </w:r>
      <w:proofErr w:type="spellStart"/>
      <w:r w:rsidRPr="00C16015">
        <w:rPr>
          <w:rFonts w:ascii="Book Antiqua" w:eastAsia="宋体" w:hAnsi="Book Antiqua" w:cs="宋体"/>
          <w:color w:val="000000" w:themeColor="text1"/>
          <w:kern w:val="0"/>
          <w:sz w:val="24"/>
          <w:szCs w:val="24"/>
        </w:rPr>
        <w:t>Kurokawa</w:t>
      </w:r>
      <w:proofErr w:type="spellEnd"/>
      <w:r w:rsidRPr="00C16015">
        <w:rPr>
          <w:rFonts w:ascii="Book Antiqua" w:eastAsia="宋体" w:hAnsi="Book Antiqua" w:cs="宋体"/>
          <w:color w:val="000000" w:themeColor="text1"/>
          <w:kern w:val="0"/>
          <w:sz w:val="24"/>
          <w:szCs w:val="24"/>
        </w:rPr>
        <w:t xml:space="preserve"> Y, Mori M, </w:t>
      </w:r>
      <w:proofErr w:type="spellStart"/>
      <w:r w:rsidRPr="00C16015">
        <w:rPr>
          <w:rFonts w:ascii="Book Antiqua" w:eastAsia="宋体" w:hAnsi="Book Antiqua" w:cs="宋体"/>
          <w:color w:val="000000" w:themeColor="text1"/>
          <w:kern w:val="0"/>
          <w:sz w:val="24"/>
          <w:szCs w:val="24"/>
        </w:rPr>
        <w:t>Doki</w:t>
      </w:r>
      <w:proofErr w:type="spellEnd"/>
      <w:r w:rsidRPr="00C16015">
        <w:rPr>
          <w:rFonts w:ascii="Book Antiqua" w:eastAsia="宋体" w:hAnsi="Book Antiqua" w:cs="宋体"/>
          <w:color w:val="000000" w:themeColor="text1"/>
          <w:kern w:val="0"/>
          <w:sz w:val="24"/>
          <w:szCs w:val="24"/>
        </w:rPr>
        <w:t xml:space="preserve"> Y. Intraperitoneal docetaxel combined with S-1 for advanced gastric cancer with peritoneal dissemination.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105</w:t>
      </w:r>
      <w:r w:rsidRPr="00C16015">
        <w:rPr>
          <w:rFonts w:ascii="Book Antiqua" w:eastAsia="宋体" w:hAnsi="Book Antiqua" w:cs="宋体"/>
          <w:color w:val="000000" w:themeColor="text1"/>
          <w:kern w:val="0"/>
          <w:sz w:val="24"/>
          <w:szCs w:val="24"/>
        </w:rPr>
        <w:t>: 38-42 [PMID: 21882194 DOI: 10.1002/jso.22057]</w:t>
      </w:r>
    </w:p>
    <w:p w14:paraId="29D5B443"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18 </w:t>
      </w:r>
      <w:proofErr w:type="spellStart"/>
      <w:r w:rsidRPr="00C16015">
        <w:rPr>
          <w:rFonts w:ascii="Book Antiqua" w:eastAsia="宋体" w:hAnsi="Book Antiqua" w:cs="宋体"/>
          <w:b/>
          <w:bCs/>
          <w:color w:val="000000" w:themeColor="text1"/>
          <w:kern w:val="0"/>
          <w:sz w:val="24"/>
          <w:szCs w:val="24"/>
        </w:rPr>
        <w:t>Kitayama</w:t>
      </w:r>
      <w:proofErr w:type="spellEnd"/>
      <w:r w:rsidRPr="00C16015">
        <w:rPr>
          <w:rFonts w:ascii="Book Antiqua" w:eastAsia="宋体" w:hAnsi="Book Antiqua" w:cs="宋体"/>
          <w:b/>
          <w:bCs/>
          <w:color w:val="000000" w:themeColor="text1"/>
          <w:kern w:val="0"/>
          <w:sz w:val="24"/>
          <w:szCs w:val="24"/>
        </w:rPr>
        <w:t xml:space="preserve"> J</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Yamaguchi H, Yamashita H, </w:t>
      </w:r>
      <w:proofErr w:type="spellStart"/>
      <w:r w:rsidRPr="00C16015">
        <w:rPr>
          <w:rFonts w:ascii="Book Antiqua" w:eastAsia="宋体" w:hAnsi="Book Antiqua" w:cs="宋体"/>
          <w:color w:val="000000" w:themeColor="text1"/>
          <w:kern w:val="0"/>
          <w:sz w:val="24"/>
          <w:szCs w:val="24"/>
        </w:rPr>
        <w:t>Emoto</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Watanabe T. Salvage gastrectomy after intravenous and intraperitoneal paclitaxel (PTX) administration with oral S-1 for peritoneal dissemination of advanced gastric cancer with malignant ascites. </w:t>
      </w:r>
      <w:r w:rsidRPr="00C16015">
        <w:rPr>
          <w:rFonts w:ascii="Book Antiqua" w:eastAsia="宋体" w:hAnsi="Book Antiqua" w:cs="宋体"/>
          <w:i/>
          <w:iCs/>
          <w:color w:val="000000" w:themeColor="text1"/>
          <w:kern w:val="0"/>
          <w:sz w:val="24"/>
          <w:szCs w:val="24"/>
        </w:rPr>
        <w:t xml:space="preserve">Ann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2014; </w:t>
      </w:r>
      <w:r w:rsidRPr="00C16015">
        <w:rPr>
          <w:rFonts w:ascii="Book Antiqua" w:eastAsia="宋体" w:hAnsi="Book Antiqua" w:cs="宋体"/>
          <w:b/>
          <w:bCs/>
          <w:color w:val="000000" w:themeColor="text1"/>
          <w:kern w:val="0"/>
          <w:sz w:val="24"/>
          <w:szCs w:val="24"/>
        </w:rPr>
        <w:t>21</w:t>
      </w:r>
      <w:r w:rsidRPr="00C16015">
        <w:rPr>
          <w:rFonts w:ascii="Book Antiqua" w:eastAsia="宋体" w:hAnsi="Book Antiqua" w:cs="宋体"/>
          <w:color w:val="000000" w:themeColor="text1"/>
          <w:kern w:val="0"/>
          <w:sz w:val="24"/>
          <w:szCs w:val="24"/>
        </w:rPr>
        <w:t>: 539-546 [PMID: 23975319 DOI: 10.1245/s10434-013-3208-y]</w:t>
      </w:r>
    </w:p>
    <w:p w14:paraId="067127BD"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19 </w:t>
      </w:r>
      <w:proofErr w:type="spellStart"/>
      <w:r w:rsidRPr="00C16015">
        <w:rPr>
          <w:rFonts w:ascii="Book Antiqua" w:eastAsia="宋体" w:hAnsi="Book Antiqua" w:cs="宋体"/>
          <w:b/>
          <w:bCs/>
          <w:color w:val="000000" w:themeColor="text1"/>
          <w:kern w:val="0"/>
          <w:sz w:val="24"/>
          <w:szCs w:val="24"/>
        </w:rPr>
        <w:t>Rowinsky</w:t>
      </w:r>
      <w:proofErr w:type="spellEnd"/>
      <w:r w:rsidRPr="00C16015">
        <w:rPr>
          <w:rFonts w:ascii="Book Antiqua" w:eastAsia="宋体" w:hAnsi="Book Antiqua" w:cs="宋体"/>
          <w:b/>
          <w:bCs/>
          <w:color w:val="000000" w:themeColor="text1"/>
          <w:kern w:val="0"/>
          <w:sz w:val="24"/>
          <w:szCs w:val="24"/>
        </w:rPr>
        <w:t xml:space="preserve"> EK</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Cazenave</w:t>
      </w:r>
      <w:proofErr w:type="spellEnd"/>
      <w:r w:rsidRPr="00C16015">
        <w:rPr>
          <w:rFonts w:ascii="Book Antiqua" w:eastAsia="宋体" w:hAnsi="Book Antiqua" w:cs="宋体"/>
          <w:color w:val="000000" w:themeColor="text1"/>
          <w:kern w:val="0"/>
          <w:sz w:val="24"/>
          <w:szCs w:val="24"/>
        </w:rPr>
        <w:t xml:space="preserve"> LA, </w:t>
      </w:r>
      <w:proofErr w:type="spellStart"/>
      <w:r w:rsidRPr="00C16015">
        <w:rPr>
          <w:rFonts w:ascii="Book Antiqua" w:eastAsia="宋体" w:hAnsi="Book Antiqua" w:cs="宋体"/>
          <w:color w:val="000000" w:themeColor="text1"/>
          <w:kern w:val="0"/>
          <w:sz w:val="24"/>
          <w:szCs w:val="24"/>
        </w:rPr>
        <w:t>Donehower</w:t>
      </w:r>
      <w:proofErr w:type="spellEnd"/>
      <w:r w:rsidRPr="00C16015">
        <w:rPr>
          <w:rFonts w:ascii="Book Antiqua" w:eastAsia="宋体" w:hAnsi="Book Antiqua" w:cs="宋体"/>
          <w:color w:val="000000" w:themeColor="text1"/>
          <w:kern w:val="0"/>
          <w:sz w:val="24"/>
          <w:szCs w:val="24"/>
        </w:rPr>
        <w:t xml:space="preserve"> RC. Taxol: a novel investigational </w:t>
      </w:r>
      <w:proofErr w:type="spellStart"/>
      <w:r w:rsidRPr="00C16015">
        <w:rPr>
          <w:rFonts w:ascii="Book Antiqua" w:eastAsia="宋体" w:hAnsi="Book Antiqua" w:cs="宋体"/>
          <w:color w:val="000000" w:themeColor="text1"/>
          <w:kern w:val="0"/>
          <w:sz w:val="24"/>
          <w:szCs w:val="24"/>
        </w:rPr>
        <w:t>antimicrotubule</w:t>
      </w:r>
      <w:proofErr w:type="spellEnd"/>
      <w:r w:rsidRPr="00C16015">
        <w:rPr>
          <w:rFonts w:ascii="Book Antiqua" w:eastAsia="宋体" w:hAnsi="Book Antiqua" w:cs="宋体"/>
          <w:color w:val="000000" w:themeColor="text1"/>
          <w:kern w:val="0"/>
          <w:sz w:val="24"/>
          <w:szCs w:val="24"/>
        </w:rPr>
        <w:t xml:space="preserve"> agent. </w:t>
      </w:r>
      <w:r w:rsidRPr="00C16015">
        <w:rPr>
          <w:rFonts w:ascii="Book Antiqua" w:eastAsia="宋体" w:hAnsi="Book Antiqua" w:cs="宋体"/>
          <w:i/>
          <w:iCs/>
          <w:color w:val="000000" w:themeColor="text1"/>
          <w:kern w:val="0"/>
          <w:sz w:val="24"/>
          <w:szCs w:val="24"/>
        </w:rPr>
        <w:t>J Natl Cancer Inst</w:t>
      </w:r>
      <w:r w:rsidRPr="00C16015">
        <w:rPr>
          <w:rFonts w:ascii="Book Antiqua" w:eastAsia="宋体" w:hAnsi="Book Antiqua" w:cs="宋体"/>
          <w:color w:val="000000" w:themeColor="text1"/>
          <w:kern w:val="0"/>
          <w:sz w:val="24"/>
          <w:szCs w:val="24"/>
        </w:rPr>
        <w:t xml:space="preserve"> 1990; </w:t>
      </w:r>
      <w:r w:rsidRPr="00C16015">
        <w:rPr>
          <w:rFonts w:ascii="Book Antiqua" w:eastAsia="宋体" w:hAnsi="Book Antiqua" w:cs="宋体"/>
          <w:b/>
          <w:bCs/>
          <w:color w:val="000000" w:themeColor="text1"/>
          <w:kern w:val="0"/>
          <w:sz w:val="24"/>
          <w:szCs w:val="24"/>
        </w:rPr>
        <w:t>82</w:t>
      </w:r>
      <w:r w:rsidRPr="00C16015">
        <w:rPr>
          <w:rFonts w:ascii="Book Antiqua" w:eastAsia="宋体" w:hAnsi="Book Antiqua" w:cs="宋体"/>
          <w:color w:val="000000" w:themeColor="text1"/>
          <w:kern w:val="0"/>
          <w:sz w:val="24"/>
          <w:szCs w:val="24"/>
        </w:rPr>
        <w:t>: 1247-1259 [PMID: 1973737 DOI: 10.1093/</w:t>
      </w:r>
      <w:proofErr w:type="spellStart"/>
      <w:r w:rsidRPr="00C16015">
        <w:rPr>
          <w:rFonts w:ascii="Book Antiqua" w:eastAsia="宋体" w:hAnsi="Book Antiqua" w:cs="宋体"/>
          <w:color w:val="000000" w:themeColor="text1"/>
          <w:kern w:val="0"/>
          <w:sz w:val="24"/>
          <w:szCs w:val="24"/>
        </w:rPr>
        <w:t>jnci</w:t>
      </w:r>
      <w:proofErr w:type="spellEnd"/>
      <w:r w:rsidRPr="00C16015">
        <w:rPr>
          <w:rFonts w:ascii="Book Antiqua" w:eastAsia="宋体" w:hAnsi="Book Antiqua" w:cs="宋体"/>
          <w:color w:val="000000" w:themeColor="text1"/>
          <w:kern w:val="0"/>
          <w:sz w:val="24"/>
          <w:szCs w:val="24"/>
        </w:rPr>
        <w:t>/82.15.1247]</w:t>
      </w:r>
    </w:p>
    <w:p w14:paraId="3E0E3662"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20 </w:t>
      </w:r>
      <w:proofErr w:type="spellStart"/>
      <w:r w:rsidRPr="00C16015">
        <w:rPr>
          <w:rFonts w:ascii="Book Antiqua" w:eastAsia="宋体" w:hAnsi="Book Antiqua" w:cs="宋体"/>
          <w:b/>
          <w:bCs/>
          <w:color w:val="000000" w:themeColor="text1"/>
          <w:kern w:val="0"/>
          <w:sz w:val="24"/>
          <w:szCs w:val="24"/>
        </w:rPr>
        <w:t>Ringel</w:t>
      </w:r>
      <w:proofErr w:type="spellEnd"/>
      <w:r w:rsidRPr="00C16015">
        <w:rPr>
          <w:rFonts w:ascii="Book Antiqua" w:eastAsia="宋体" w:hAnsi="Book Antiqua" w:cs="宋体"/>
          <w:b/>
          <w:bCs/>
          <w:color w:val="000000" w:themeColor="text1"/>
          <w:kern w:val="0"/>
          <w:sz w:val="24"/>
          <w:szCs w:val="24"/>
        </w:rPr>
        <w:t xml:space="preserve"> I</w:t>
      </w:r>
      <w:r w:rsidRPr="00C16015">
        <w:rPr>
          <w:rFonts w:ascii="Book Antiqua" w:eastAsia="宋体" w:hAnsi="Book Antiqua" w:cs="宋体"/>
          <w:color w:val="000000" w:themeColor="text1"/>
          <w:kern w:val="0"/>
          <w:sz w:val="24"/>
          <w:szCs w:val="24"/>
        </w:rPr>
        <w:t>, Horwitz SB. Studies with RP 56976 (</w:t>
      </w:r>
      <w:proofErr w:type="spellStart"/>
      <w:r w:rsidRPr="00C16015">
        <w:rPr>
          <w:rFonts w:ascii="Book Antiqua" w:eastAsia="宋体" w:hAnsi="Book Antiqua" w:cs="宋体"/>
          <w:color w:val="000000" w:themeColor="text1"/>
          <w:kern w:val="0"/>
          <w:sz w:val="24"/>
          <w:szCs w:val="24"/>
        </w:rPr>
        <w:t>taxotere</w:t>
      </w:r>
      <w:proofErr w:type="spellEnd"/>
      <w:r w:rsidRPr="00C16015">
        <w:rPr>
          <w:rFonts w:ascii="Book Antiqua" w:eastAsia="宋体" w:hAnsi="Book Antiqua" w:cs="宋体"/>
          <w:color w:val="000000" w:themeColor="text1"/>
          <w:kern w:val="0"/>
          <w:sz w:val="24"/>
          <w:szCs w:val="24"/>
        </w:rPr>
        <w:t xml:space="preserve">): a semisynthetic analogue of </w:t>
      </w:r>
      <w:proofErr w:type="spellStart"/>
      <w:r w:rsidRPr="00C16015">
        <w:rPr>
          <w:rFonts w:ascii="Book Antiqua" w:eastAsia="宋体" w:hAnsi="Book Antiqua" w:cs="宋体"/>
          <w:color w:val="000000" w:themeColor="text1"/>
          <w:kern w:val="0"/>
          <w:sz w:val="24"/>
          <w:szCs w:val="24"/>
        </w:rPr>
        <w:t>taxol</w:t>
      </w:r>
      <w:proofErr w:type="spell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J Natl Cancer Inst</w:t>
      </w:r>
      <w:r w:rsidRPr="00C16015">
        <w:rPr>
          <w:rFonts w:ascii="Book Antiqua" w:eastAsia="宋体" w:hAnsi="Book Antiqua" w:cs="宋体"/>
          <w:color w:val="000000" w:themeColor="text1"/>
          <w:kern w:val="0"/>
          <w:sz w:val="24"/>
          <w:szCs w:val="24"/>
        </w:rPr>
        <w:t xml:space="preserve"> 1991; </w:t>
      </w:r>
      <w:r w:rsidRPr="00C16015">
        <w:rPr>
          <w:rFonts w:ascii="Book Antiqua" w:eastAsia="宋体" w:hAnsi="Book Antiqua" w:cs="宋体"/>
          <w:b/>
          <w:bCs/>
          <w:color w:val="000000" w:themeColor="text1"/>
          <w:kern w:val="0"/>
          <w:sz w:val="24"/>
          <w:szCs w:val="24"/>
        </w:rPr>
        <w:t>83</w:t>
      </w:r>
      <w:r w:rsidRPr="00C16015">
        <w:rPr>
          <w:rFonts w:ascii="Book Antiqua" w:eastAsia="宋体" w:hAnsi="Book Antiqua" w:cs="宋体"/>
          <w:color w:val="000000" w:themeColor="text1"/>
          <w:kern w:val="0"/>
          <w:sz w:val="24"/>
          <w:szCs w:val="24"/>
        </w:rPr>
        <w:t>: 288-291 [PMID: 1671606 DOI: 10.1093/</w:t>
      </w:r>
      <w:proofErr w:type="spellStart"/>
      <w:r w:rsidRPr="00C16015">
        <w:rPr>
          <w:rFonts w:ascii="Book Antiqua" w:eastAsia="宋体" w:hAnsi="Book Antiqua" w:cs="宋体"/>
          <w:color w:val="000000" w:themeColor="text1"/>
          <w:kern w:val="0"/>
          <w:sz w:val="24"/>
          <w:szCs w:val="24"/>
        </w:rPr>
        <w:t>jnci</w:t>
      </w:r>
      <w:proofErr w:type="spellEnd"/>
      <w:r w:rsidRPr="00C16015">
        <w:rPr>
          <w:rFonts w:ascii="Book Antiqua" w:eastAsia="宋体" w:hAnsi="Book Antiqua" w:cs="宋体"/>
          <w:color w:val="000000" w:themeColor="text1"/>
          <w:kern w:val="0"/>
          <w:sz w:val="24"/>
          <w:szCs w:val="24"/>
        </w:rPr>
        <w:t>/83.4.288]</w:t>
      </w:r>
    </w:p>
    <w:p w14:paraId="42491456"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21 </w:t>
      </w:r>
      <w:r w:rsidRPr="00C16015">
        <w:rPr>
          <w:rFonts w:ascii="Book Antiqua" w:eastAsia="宋体" w:hAnsi="Book Antiqua" w:cs="宋体"/>
          <w:b/>
          <w:bCs/>
          <w:color w:val="000000" w:themeColor="text1"/>
          <w:kern w:val="0"/>
          <w:sz w:val="24"/>
          <w:szCs w:val="24"/>
        </w:rPr>
        <w:t>Flessner MF</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Fenstermacher</w:t>
      </w:r>
      <w:proofErr w:type="spellEnd"/>
      <w:r w:rsidRPr="00C16015">
        <w:rPr>
          <w:rFonts w:ascii="Book Antiqua" w:eastAsia="宋体" w:hAnsi="Book Antiqua" w:cs="宋体"/>
          <w:color w:val="000000" w:themeColor="text1"/>
          <w:kern w:val="0"/>
          <w:sz w:val="24"/>
          <w:szCs w:val="24"/>
        </w:rPr>
        <w:t xml:space="preserve"> JD, </w:t>
      </w:r>
      <w:proofErr w:type="spellStart"/>
      <w:r w:rsidRPr="00C16015">
        <w:rPr>
          <w:rFonts w:ascii="Book Antiqua" w:eastAsia="宋体" w:hAnsi="Book Antiqua" w:cs="宋体"/>
          <w:color w:val="000000" w:themeColor="text1"/>
          <w:kern w:val="0"/>
          <w:sz w:val="24"/>
          <w:szCs w:val="24"/>
        </w:rPr>
        <w:t>Blasberg</w:t>
      </w:r>
      <w:proofErr w:type="spellEnd"/>
      <w:r w:rsidRPr="00C16015">
        <w:rPr>
          <w:rFonts w:ascii="Book Antiqua" w:eastAsia="宋体" w:hAnsi="Book Antiqua" w:cs="宋体"/>
          <w:color w:val="000000" w:themeColor="text1"/>
          <w:kern w:val="0"/>
          <w:sz w:val="24"/>
          <w:szCs w:val="24"/>
        </w:rPr>
        <w:t xml:space="preserve"> RG, </w:t>
      </w:r>
      <w:proofErr w:type="spellStart"/>
      <w:r w:rsidRPr="00C16015">
        <w:rPr>
          <w:rFonts w:ascii="Book Antiqua" w:eastAsia="宋体" w:hAnsi="Book Antiqua" w:cs="宋体"/>
          <w:color w:val="000000" w:themeColor="text1"/>
          <w:kern w:val="0"/>
          <w:sz w:val="24"/>
          <w:szCs w:val="24"/>
        </w:rPr>
        <w:t>Dedrick</w:t>
      </w:r>
      <w:proofErr w:type="spellEnd"/>
      <w:r w:rsidRPr="00C16015">
        <w:rPr>
          <w:rFonts w:ascii="Book Antiqua" w:eastAsia="宋体" w:hAnsi="Book Antiqua" w:cs="宋体"/>
          <w:color w:val="000000" w:themeColor="text1"/>
          <w:kern w:val="0"/>
          <w:sz w:val="24"/>
          <w:szCs w:val="24"/>
        </w:rPr>
        <w:t xml:space="preserve"> RL. Peritoneal absorption of macromolecules studied by quantitative autoradiography. </w:t>
      </w:r>
      <w:r w:rsidRPr="00C16015">
        <w:rPr>
          <w:rFonts w:ascii="Book Antiqua" w:eastAsia="宋体" w:hAnsi="Book Antiqua" w:cs="宋体"/>
          <w:i/>
          <w:iCs/>
          <w:color w:val="000000" w:themeColor="text1"/>
          <w:kern w:val="0"/>
          <w:sz w:val="24"/>
          <w:szCs w:val="24"/>
        </w:rPr>
        <w:t xml:space="preserve">Am J </w:t>
      </w:r>
      <w:proofErr w:type="spellStart"/>
      <w:r w:rsidRPr="00C16015">
        <w:rPr>
          <w:rFonts w:ascii="Book Antiqua" w:eastAsia="宋体" w:hAnsi="Book Antiqua" w:cs="宋体"/>
          <w:i/>
          <w:iCs/>
          <w:color w:val="000000" w:themeColor="text1"/>
          <w:kern w:val="0"/>
          <w:sz w:val="24"/>
          <w:szCs w:val="24"/>
        </w:rPr>
        <w:t>Physiol</w:t>
      </w:r>
      <w:proofErr w:type="spellEnd"/>
      <w:r w:rsidRPr="00C16015">
        <w:rPr>
          <w:rFonts w:ascii="Book Antiqua" w:eastAsia="宋体" w:hAnsi="Book Antiqua" w:cs="宋体"/>
          <w:color w:val="000000" w:themeColor="text1"/>
          <w:kern w:val="0"/>
          <w:sz w:val="24"/>
          <w:szCs w:val="24"/>
        </w:rPr>
        <w:t xml:space="preserve"> 1985; </w:t>
      </w:r>
      <w:r w:rsidRPr="00C16015">
        <w:rPr>
          <w:rFonts w:ascii="Book Antiqua" w:eastAsia="宋体" w:hAnsi="Book Antiqua" w:cs="宋体"/>
          <w:b/>
          <w:bCs/>
          <w:color w:val="000000" w:themeColor="text1"/>
          <w:kern w:val="0"/>
          <w:sz w:val="24"/>
          <w:szCs w:val="24"/>
        </w:rPr>
        <w:t>248</w:t>
      </w:r>
      <w:r w:rsidRPr="00C16015">
        <w:rPr>
          <w:rFonts w:ascii="Book Antiqua" w:eastAsia="宋体" w:hAnsi="Book Antiqua" w:cs="宋体"/>
          <w:color w:val="000000" w:themeColor="text1"/>
          <w:kern w:val="0"/>
          <w:sz w:val="24"/>
          <w:szCs w:val="24"/>
        </w:rPr>
        <w:t>: H26-H32 [PMID: 3155917]</w:t>
      </w:r>
    </w:p>
    <w:p w14:paraId="089DECB4"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proofErr w:type="gramStart"/>
      <w:r w:rsidRPr="00C16015">
        <w:rPr>
          <w:rFonts w:ascii="Book Antiqua" w:eastAsia="宋体" w:hAnsi="Book Antiqua" w:cs="宋体"/>
          <w:color w:val="000000" w:themeColor="text1"/>
          <w:kern w:val="0"/>
          <w:sz w:val="24"/>
          <w:szCs w:val="24"/>
        </w:rPr>
        <w:t xml:space="preserve">22 </w:t>
      </w:r>
      <w:r w:rsidRPr="00C16015">
        <w:rPr>
          <w:rFonts w:ascii="Book Antiqua" w:eastAsia="宋体" w:hAnsi="Book Antiqua" w:cs="宋体"/>
          <w:b/>
          <w:bCs/>
          <w:color w:val="000000" w:themeColor="text1"/>
          <w:kern w:val="0"/>
          <w:sz w:val="24"/>
          <w:szCs w:val="24"/>
        </w:rPr>
        <w:t>Wang ZB</w:t>
      </w:r>
      <w:r w:rsidRPr="00C16015">
        <w:rPr>
          <w:rFonts w:ascii="Book Antiqua" w:eastAsia="宋体" w:hAnsi="Book Antiqua" w:cs="宋体"/>
          <w:color w:val="000000" w:themeColor="text1"/>
          <w:kern w:val="0"/>
          <w:sz w:val="24"/>
          <w:szCs w:val="24"/>
        </w:rPr>
        <w:t>, Li M, Li JC.</w:t>
      </w:r>
      <w:proofErr w:type="gramEnd"/>
      <w:r w:rsidRPr="00C16015">
        <w:rPr>
          <w:rFonts w:ascii="Book Antiqua" w:eastAsia="宋体" w:hAnsi="Book Antiqua" w:cs="宋体"/>
          <w:color w:val="000000" w:themeColor="text1"/>
          <w:kern w:val="0"/>
          <w:sz w:val="24"/>
          <w:szCs w:val="24"/>
        </w:rPr>
        <w:t xml:space="preserve"> Recent advances in the research of lymphatic stomata. </w:t>
      </w:r>
      <w:proofErr w:type="spellStart"/>
      <w:r w:rsidRPr="00C16015">
        <w:rPr>
          <w:rFonts w:ascii="Book Antiqua" w:eastAsia="宋体" w:hAnsi="Book Antiqua" w:cs="宋体"/>
          <w:i/>
          <w:iCs/>
          <w:color w:val="000000" w:themeColor="text1"/>
          <w:kern w:val="0"/>
          <w:sz w:val="24"/>
          <w:szCs w:val="24"/>
        </w:rPr>
        <w:t>Anat</w:t>
      </w:r>
      <w:proofErr w:type="spellEnd"/>
      <w:r w:rsidRPr="00C16015">
        <w:rPr>
          <w:rFonts w:ascii="Book Antiqua" w:eastAsia="宋体" w:hAnsi="Book Antiqua" w:cs="宋体"/>
          <w:i/>
          <w:iCs/>
          <w:color w:val="000000" w:themeColor="text1"/>
          <w:kern w:val="0"/>
          <w:sz w:val="24"/>
          <w:szCs w:val="24"/>
        </w:rPr>
        <w:t xml:space="preserve"> Rec</w:t>
      </w:r>
      <w:r w:rsidRPr="00C16015">
        <w:rPr>
          <w:rFonts w:ascii="Book Antiqua" w:eastAsia="宋体" w:hAnsi="Book Antiqua" w:cs="宋体"/>
          <w:iCs/>
          <w:color w:val="000000" w:themeColor="text1"/>
          <w:kern w:val="0"/>
          <w:sz w:val="24"/>
          <w:szCs w:val="24"/>
        </w:rPr>
        <w:t xml:space="preserve"> (Hoboken)</w:t>
      </w:r>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293</w:t>
      </w:r>
      <w:r w:rsidRPr="00C16015">
        <w:rPr>
          <w:rFonts w:ascii="Book Antiqua" w:eastAsia="宋体" w:hAnsi="Book Antiqua" w:cs="宋体"/>
          <w:color w:val="000000" w:themeColor="text1"/>
          <w:kern w:val="0"/>
          <w:sz w:val="24"/>
          <w:szCs w:val="24"/>
        </w:rPr>
        <w:t>: 754-761 [PMID: 20186966 DOI: 10.1002/ar.21101]</w:t>
      </w:r>
    </w:p>
    <w:p w14:paraId="2D8E777B"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23 </w:t>
      </w:r>
      <w:proofErr w:type="spellStart"/>
      <w:r w:rsidRPr="00C16015">
        <w:rPr>
          <w:rFonts w:ascii="Book Antiqua" w:eastAsia="宋体" w:hAnsi="Book Antiqua" w:cs="宋体"/>
          <w:b/>
          <w:bCs/>
          <w:color w:val="000000" w:themeColor="text1"/>
          <w:kern w:val="0"/>
          <w:sz w:val="24"/>
          <w:szCs w:val="24"/>
        </w:rPr>
        <w:t>Markman</w:t>
      </w:r>
      <w:proofErr w:type="spellEnd"/>
      <w:r w:rsidRPr="00C16015">
        <w:rPr>
          <w:rFonts w:ascii="Book Antiqua" w:eastAsia="宋体" w:hAnsi="Book Antiqua" w:cs="宋体"/>
          <w:b/>
          <w:bCs/>
          <w:color w:val="000000" w:themeColor="text1"/>
          <w:kern w:val="0"/>
          <w:sz w:val="24"/>
          <w:szCs w:val="24"/>
        </w:rPr>
        <w:t xml:space="preserve"> M</w:t>
      </w:r>
      <w:r w:rsidRPr="00C16015">
        <w:rPr>
          <w:rFonts w:ascii="Book Antiqua" w:eastAsia="宋体" w:hAnsi="Book Antiqua" w:cs="宋体"/>
          <w:color w:val="000000" w:themeColor="text1"/>
          <w:kern w:val="0"/>
          <w:sz w:val="24"/>
          <w:szCs w:val="24"/>
        </w:rPr>
        <w:t xml:space="preserve">. Intraperitoneal antineoplastic drug </w:t>
      </w:r>
      <w:proofErr w:type="gramStart"/>
      <w:r w:rsidRPr="00C16015">
        <w:rPr>
          <w:rFonts w:ascii="Book Antiqua" w:eastAsia="宋体" w:hAnsi="Book Antiqua" w:cs="宋体"/>
          <w:color w:val="000000" w:themeColor="text1"/>
          <w:kern w:val="0"/>
          <w:sz w:val="24"/>
          <w:szCs w:val="24"/>
        </w:rPr>
        <w:t>delivery</w:t>
      </w:r>
      <w:proofErr w:type="gramEnd"/>
      <w:r w:rsidRPr="00C16015">
        <w:rPr>
          <w:rFonts w:ascii="Book Antiqua" w:eastAsia="宋体" w:hAnsi="Book Antiqua" w:cs="宋体"/>
          <w:color w:val="000000" w:themeColor="text1"/>
          <w:kern w:val="0"/>
          <w:sz w:val="24"/>
          <w:szCs w:val="24"/>
        </w:rPr>
        <w:t xml:space="preserve">: rationale and results. </w:t>
      </w:r>
      <w:r w:rsidRPr="00C16015">
        <w:rPr>
          <w:rFonts w:ascii="Book Antiqua" w:eastAsia="宋体" w:hAnsi="Book Antiqua" w:cs="宋体"/>
          <w:i/>
          <w:iCs/>
          <w:color w:val="000000" w:themeColor="text1"/>
          <w:kern w:val="0"/>
          <w:sz w:val="24"/>
          <w:szCs w:val="24"/>
        </w:rPr>
        <w:t xml:space="preserve">Lancet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2003; </w:t>
      </w:r>
      <w:r w:rsidRPr="00C16015">
        <w:rPr>
          <w:rFonts w:ascii="Book Antiqua" w:eastAsia="宋体" w:hAnsi="Book Antiqua" w:cs="宋体"/>
          <w:b/>
          <w:bCs/>
          <w:color w:val="000000" w:themeColor="text1"/>
          <w:kern w:val="0"/>
          <w:sz w:val="24"/>
          <w:szCs w:val="24"/>
        </w:rPr>
        <w:t>4</w:t>
      </w:r>
      <w:r w:rsidRPr="00C16015">
        <w:rPr>
          <w:rFonts w:ascii="Book Antiqua" w:eastAsia="宋体" w:hAnsi="Book Antiqua" w:cs="宋体"/>
          <w:color w:val="000000" w:themeColor="text1"/>
          <w:kern w:val="0"/>
          <w:sz w:val="24"/>
          <w:szCs w:val="24"/>
        </w:rPr>
        <w:t>: 277-283 [PMID: 12732164 DOI: 10.1016/s1470-2045(03)01074-x]</w:t>
      </w:r>
    </w:p>
    <w:p w14:paraId="4D8A651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24 </w:t>
      </w:r>
      <w:proofErr w:type="spellStart"/>
      <w:r w:rsidRPr="00C16015">
        <w:rPr>
          <w:rFonts w:ascii="Book Antiqua" w:eastAsia="宋体" w:hAnsi="Book Antiqua" w:cs="宋体"/>
          <w:b/>
          <w:bCs/>
          <w:color w:val="000000" w:themeColor="text1"/>
          <w:kern w:val="0"/>
          <w:sz w:val="24"/>
          <w:szCs w:val="24"/>
        </w:rPr>
        <w:t>Ceelen</w:t>
      </w:r>
      <w:proofErr w:type="spellEnd"/>
      <w:r w:rsidRPr="00C16015">
        <w:rPr>
          <w:rFonts w:ascii="Book Antiqua" w:eastAsia="宋体" w:hAnsi="Book Antiqua" w:cs="宋体"/>
          <w:b/>
          <w:bCs/>
          <w:color w:val="000000" w:themeColor="text1"/>
          <w:kern w:val="0"/>
          <w:sz w:val="24"/>
          <w:szCs w:val="24"/>
        </w:rPr>
        <w:t xml:space="preserve"> WP</w:t>
      </w:r>
      <w:r w:rsidRPr="00C16015">
        <w:rPr>
          <w:rFonts w:ascii="Book Antiqua" w:eastAsia="宋体" w:hAnsi="Book Antiqua" w:cs="宋体"/>
          <w:color w:val="000000" w:themeColor="text1"/>
          <w:kern w:val="0"/>
          <w:sz w:val="24"/>
          <w:szCs w:val="24"/>
        </w:rPr>
        <w:t xml:space="preserve">, Flessner MF. Intraperitoneal therapy for peritoneal tumors: biophysics and clinical evidence. </w:t>
      </w:r>
      <w:r w:rsidRPr="00C16015">
        <w:rPr>
          <w:rFonts w:ascii="Book Antiqua" w:eastAsia="宋体" w:hAnsi="Book Antiqua" w:cs="宋体"/>
          <w:i/>
          <w:iCs/>
          <w:color w:val="000000" w:themeColor="text1"/>
          <w:kern w:val="0"/>
          <w:sz w:val="24"/>
          <w:szCs w:val="24"/>
        </w:rPr>
        <w:t xml:space="preserve">Nat Rev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7</w:t>
      </w:r>
      <w:r w:rsidRPr="00C16015">
        <w:rPr>
          <w:rFonts w:ascii="Book Antiqua" w:eastAsia="宋体" w:hAnsi="Book Antiqua" w:cs="宋体"/>
          <w:color w:val="000000" w:themeColor="text1"/>
          <w:kern w:val="0"/>
          <w:sz w:val="24"/>
          <w:szCs w:val="24"/>
        </w:rPr>
        <w:t>: 108-115 [PMID: 20010898 DOI: 10.1038/nrclinonc.2009.217]</w:t>
      </w:r>
    </w:p>
    <w:p w14:paraId="515571DB"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25 </w:t>
      </w:r>
      <w:r w:rsidRPr="00C16015">
        <w:rPr>
          <w:rFonts w:ascii="Book Antiqua" w:eastAsia="宋体" w:hAnsi="Book Antiqua" w:cs="宋体"/>
          <w:b/>
          <w:bCs/>
          <w:color w:val="000000" w:themeColor="text1"/>
          <w:kern w:val="0"/>
          <w:sz w:val="24"/>
          <w:szCs w:val="24"/>
        </w:rPr>
        <w:t>Yan TD</w:t>
      </w:r>
      <w:r w:rsidRPr="00C16015">
        <w:rPr>
          <w:rFonts w:ascii="Book Antiqua" w:eastAsia="宋体" w:hAnsi="Book Antiqua" w:cs="宋体"/>
          <w:color w:val="000000" w:themeColor="text1"/>
          <w:kern w:val="0"/>
          <w:sz w:val="24"/>
          <w:szCs w:val="24"/>
        </w:rPr>
        <w:t xml:space="preserve">, Cao CQ, </w:t>
      </w:r>
      <w:proofErr w:type="spellStart"/>
      <w:r w:rsidRPr="00C16015">
        <w:rPr>
          <w:rFonts w:ascii="Book Antiqua" w:eastAsia="宋体" w:hAnsi="Book Antiqua" w:cs="宋体"/>
          <w:color w:val="000000" w:themeColor="text1"/>
          <w:kern w:val="0"/>
          <w:sz w:val="24"/>
          <w:szCs w:val="24"/>
        </w:rPr>
        <w:t>Munkholm</w:t>
      </w:r>
      <w:proofErr w:type="spellEnd"/>
      <w:r w:rsidRPr="00C16015">
        <w:rPr>
          <w:rFonts w:ascii="Book Antiqua" w:eastAsia="宋体" w:hAnsi="Book Antiqua" w:cs="宋体"/>
          <w:color w:val="000000" w:themeColor="text1"/>
          <w:kern w:val="0"/>
          <w:sz w:val="24"/>
          <w:szCs w:val="24"/>
        </w:rPr>
        <w:t xml:space="preserve">-Larsen S. </w:t>
      </w:r>
      <w:proofErr w:type="gramStart"/>
      <w:r w:rsidRPr="00C16015">
        <w:rPr>
          <w:rFonts w:ascii="Book Antiqua" w:eastAsia="宋体" w:hAnsi="Book Antiqua" w:cs="宋体"/>
          <w:color w:val="000000" w:themeColor="text1"/>
          <w:kern w:val="0"/>
          <w:sz w:val="24"/>
          <w:szCs w:val="24"/>
        </w:rPr>
        <w:t>A pharmacological review on intraperitoneal chemotherapy for peritoneal malignancy.</w:t>
      </w:r>
      <w:proofErr w:type="gram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World J </w:t>
      </w:r>
      <w:proofErr w:type="spellStart"/>
      <w:r w:rsidRPr="00C16015">
        <w:rPr>
          <w:rFonts w:ascii="Book Antiqua" w:eastAsia="宋体" w:hAnsi="Book Antiqua" w:cs="宋体"/>
          <w:i/>
          <w:iCs/>
          <w:color w:val="000000" w:themeColor="text1"/>
          <w:kern w:val="0"/>
          <w:sz w:val="24"/>
          <w:szCs w:val="24"/>
        </w:rPr>
        <w:t>Gastrointest</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2</w:t>
      </w:r>
      <w:r w:rsidRPr="00C16015">
        <w:rPr>
          <w:rFonts w:ascii="Book Antiqua" w:eastAsia="宋体" w:hAnsi="Book Antiqua" w:cs="宋体"/>
          <w:color w:val="000000" w:themeColor="text1"/>
          <w:kern w:val="0"/>
          <w:sz w:val="24"/>
          <w:szCs w:val="24"/>
        </w:rPr>
        <w:t>: 109-116 [PMID: 21160929 DOI: 10.4251/wjgo.v2.i2.109]</w:t>
      </w:r>
    </w:p>
    <w:p w14:paraId="55FDCF79"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26 </w:t>
      </w:r>
      <w:proofErr w:type="spellStart"/>
      <w:r w:rsidRPr="00C16015">
        <w:rPr>
          <w:rFonts w:ascii="Book Antiqua" w:eastAsia="宋体" w:hAnsi="Book Antiqua" w:cs="宋体"/>
          <w:b/>
          <w:bCs/>
          <w:color w:val="000000" w:themeColor="text1"/>
          <w:kern w:val="0"/>
          <w:sz w:val="24"/>
          <w:szCs w:val="24"/>
        </w:rPr>
        <w:t>Fushida</w:t>
      </w:r>
      <w:proofErr w:type="spellEnd"/>
      <w:r w:rsidRPr="00C16015">
        <w:rPr>
          <w:rFonts w:ascii="Book Antiqua" w:eastAsia="宋体" w:hAnsi="Book Antiqua" w:cs="宋体"/>
          <w:b/>
          <w:bCs/>
          <w:color w:val="000000" w:themeColor="text1"/>
          <w:kern w:val="0"/>
          <w:sz w:val="24"/>
          <w:szCs w:val="24"/>
        </w:rPr>
        <w:t xml:space="preserve"> S</w:t>
      </w:r>
      <w:r w:rsidRPr="00C16015">
        <w:rPr>
          <w:rFonts w:ascii="Book Antiqua" w:eastAsia="宋体" w:hAnsi="Book Antiqua" w:cs="宋体"/>
          <w:color w:val="000000" w:themeColor="text1"/>
          <w:kern w:val="0"/>
          <w:sz w:val="24"/>
          <w:szCs w:val="24"/>
        </w:rPr>
        <w:t xml:space="preserve">, Kinoshita J, Yagi Y, Funaki H, </w:t>
      </w:r>
      <w:proofErr w:type="spellStart"/>
      <w:r w:rsidRPr="00C16015">
        <w:rPr>
          <w:rFonts w:ascii="Book Antiqua" w:eastAsia="宋体" w:hAnsi="Book Antiqua" w:cs="宋体"/>
          <w:color w:val="000000" w:themeColor="text1"/>
          <w:kern w:val="0"/>
          <w:sz w:val="24"/>
          <w:szCs w:val="24"/>
        </w:rPr>
        <w:t>Kinami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Ninomiya</w:t>
      </w:r>
      <w:proofErr w:type="spellEnd"/>
      <w:r w:rsidRPr="00C16015">
        <w:rPr>
          <w:rFonts w:ascii="Book Antiqua" w:eastAsia="宋体" w:hAnsi="Book Antiqua" w:cs="宋体"/>
          <w:color w:val="000000" w:themeColor="text1"/>
          <w:kern w:val="0"/>
          <w:sz w:val="24"/>
          <w:szCs w:val="24"/>
        </w:rPr>
        <w:t xml:space="preserve"> I, Fujimura T, Nishimura G, </w:t>
      </w:r>
      <w:proofErr w:type="spellStart"/>
      <w:r w:rsidRPr="00C16015">
        <w:rPr>
          <w:rFonts w:ascii="Book Antiqua" w:eastAsia="宋体" w:hAnsi="Book Antiqua" w:cs="宋体"/>
          <w:color w:val="000000" w:themeColor="text1"/>
          <w:kern w:val="0"/>
          <w:sz w:val="24"/>
          <w:szCs w:val="24"/>
        </w:rPr>
        <w:t>Kayahara</w:t>
      </w:r>
      <w:proofErr w:type="spellEnd"/>
      <w:r w:rsidRPr="00C16015">
        <w:rPr>
          <w:rFonts w:ascii="Book Antiqua" w:eastAsia="宋体" w:hAnsi="Book Antiqua" w:cs="宋体"/>
          <w:color w:val="000000" w:themeColor="text1"/>
          <w:kern w:val="0"/>
          <w:sz w:val="24"/>
          <w:szCs w:val="24"/>
        </w:rPr>
        <w:t xml:space="preserve"> M, </w:t>
      </w:r>
      <w:proofErr w:type="spellStart"/>
      <w:r w:rsidRPr="00C16015">
        <w:rPr>
          <w:rFonts w:ascii="Book Antiqua" w:eastAsia="宋体" w:hAnsi="Book Antiqua" w:cs="宋体"/>
          <w:color w:val="000000" w:themeColor="text1"/>
          <w:kern w:val="0"/>
          <w:sz w:val="24"/>
          <w:szCs w:val="24"/>
        </w:rPr>
        <w:t>Ohta</w:t>
      </w:r>
      <w:proofErr w:type="spellEnd"/>
      <w:r w:rsidRPr="00C16015">
        <w:rPr>
          <w:rFonts w:ascii="Book Antiqua" w:eastAsia="宋体" w:hAnsi="Book Antiqua" w:cs="宋体"/>
          <w:color w:val="000000" w:themeColor="text1"/>
          <w:kern w:val="0"/>
          <w:sz w:val="24"/>
          <w:szCs w:val="24"/>
        </w:rPr>
        <w:t xml:space="preserve"> T. Dual anti-cancer effects of weekly intraperitoneal docetaxel in treatment of advanced gastric cancer patients with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a feasibility and pharmacokinetic study.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i/>
          <w:iCs/>
          <w:color w:val="000000" w:themeColor="text1"/>
          <w:kern w:val="0"/>
          <w:sz w:val="24"/>
          <w:szCs w:val="24"/>
        </w:rPr>
        <w:t xml:space="preserve"> Rep</w:t>
      </w:r>
      <w:r w:rsidRPr="00C16015">
        <w:rPr>
          <w:rFonts w:ascii="Book Antiqua" w:eastAsia="宋体" w:hAnsi="Book Antiqua" w:cs="宋体"/>
          <w:color w:val="000000" w:themeColor="text1"/>
          <w:kern w:val="0"/>
          <w:sz w:val="24"/>
          <w:szCs w:val="24"/>
        </w:rPr>
        <w:t xml:space="preserve"> 2008; </w:t>
      </w:r>
      <w:r w:rsidRPr="00C16015">
        <w:rPr>
          <w:rFonts w:ascii="Book Antiqua" w:eastAsia="宋体" w:hAnsi="Book Antiqua" w:cs="宋体"/>
          <w:b/>
          <w:bCs/>
          <w:color w:val="000000" w:themeColor="text1"/>
          <w:kern w:val="0"/>
          <w:sz w:val="24"/>
          <w:szCs w:val="24"/>
        </w:rPr>
        <w:t>19</w:t>
      </w:r>
      <w:r w:rsidRPr="00C16015">
        <w:rPr>
          <w:rFonts w:ascii="Book Antiqua" w:eastAsia="宋体" w:hAnsi="Book Antiqua" w:cs="宋体"/>
          <w:color w:val="000000" w:themeColor="text1"/>
          <w:kern w:val="0"/>
          <w:sz w:val="24"/>
          <w:szCs w:val="24"/>
        </w:rPr>
        <w:t>: 1305-1310 [PMID: 18425392 DOI: 10.3892/or.19.5.1305]</w:t>
      </w:r>
    </w:p>
    <w:p w14:paraId="050D4AE6"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27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Elnemr</w:t>
      </w:r>
      <w:proofErr w:type="spellEnd"/>
      <w:r w:rsidRPr="00C16015">
        <w:rPr>
          <w:rFonts w:ascii="Book Antiqua" w:eastAsia="宋体" w:hAnsi="Book Antiqua" w:cs="宋体"/>
          <w:color w:val="000000" w:themeColor="text1"/>
          <w:kern w:val="0"/>
          <w:sz w:val="24"/>
          <w:szCs w:val="24"/>
        </w:rPr>
        <w:t xml:space="preserve"> A, </w:t>
      </w:r>
      <w:proofErr w:type="spellStart"/>
      <w:r w:rsidRPr="00C16015">
        <w:rPr>
          <w:rFonts w:ascii="Book Antiqua" w:eastAsia="宋体" w:hAnsi="Book Antiqua" w:cs="宋体"/>
          <w:color w:val="000000" w:themeColor="text1"/>
          <w:kern w:val="0"/>
          <w:sz w:val="24"/>
          <w:szCs w:val="24"/>
        </w:rPr>
        <w:t>Endou</w:t>
      </w:r>
      <w:proofErr w:type="spellEnd"/>
      <w:r w:rsidRPr="00C16015">
        <w:rPr>
          <w:rFonts w:ascii="Book Antiqua" w:eastAsia="宋体" w:hAnsi="Book Antiqua" w:cs="宋体"/>
          <w:color w:val="000000" w:themeColor="text1"/>
          <w:kern w:val="0"/>
          <w:sz w:val="24"/>
          <w:szCs w:val="24"/>
        </w:rPr>
        <w:t xml:space="preserve"> Y, Hirano M, </w:t>
      </w:r>
      <w:proofErr w:type="spellStart"/>
      <w:r w:rsidRPr="00C16015">
        <w:rPr>
          <w:rFonts w:ascii="Book Antiqua" w:eastAsia="宋体" w:hAnsi="Book Antiqua" w:cs="宋体"/>
          <w:color w:val="000000" w:themeColor="text1"/>
          <w:kern w:val="0"/>
          <w:sz w:val="24"/>
          <w:szCs w:val="24"/>
        </w:rPr>
        <w:t>Mizumoto</w:t>
      </w:r>
      <w:proofErr w:type="spellEnd"/>
      <w:r w:rsidRPr="00C16015">
        <w:rPr>
          <w:rFonts w:ascii="Book Antiqua" w:eastAsia="宋体" w:hAnsi="Book Antiqua" w:cs="宋体"/>
          <w:color w:val="000000" w:themeColor="text1"/>
          <w:kern w:val="0"/>
          <w:sz w:val="24"/>
          <w:szCs w:val="24"/>
        </w:rPr>
        <w:t xml:space="preserve"> A, Takao N, Ichinose M, Miura M, Li Y. Multidisciplinary therapy for treatment of patients with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from gastric cancer. </w:t>
      </w:r>
      <w:r w:rsidRPr="00C16015">
        <w:rPr>
          <w:rFonts w:ascii="Book Antiqua" w:eastAsia="宋体" w:hAnsi="Book Antiqua" w:cs="宋体"/>
          <w:i/>
          <w:iCs/>
          <w:color w:val="000000" w:themeColor="text1"/>
          <w:kern w:val="0"/>
          <w:sz w:val="24"/>
          <w:szCs w:val="24"/>
        </w:rPr>
        <w:t xml:space="preserve">World J </w:t>
      </w:r>
      <w:proofErr w:type="spellStart"/>
      <w:r w:rsidRPr="00C16015">
        <w:rPr>
          <w:rFonts w:ascii="Book Antiqua" w:eastAsia="宋体" w:hAnsi="Book Antiqua" w:cs="宋体"/>
          <w:i/>
          <w:iCs/>
          <w:color w:val="000000" w:themeColor="text1"/>
          <w:kern w:val="0"/>
          <w:sz w:val="24"/>
          <w:szCs w:val="24"/>
        </w:rPr>
        <w:t>Gastrointest</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2</w:t>
      </w:r>
      <w:r w:rsidRPr="00C16015">
        <w:rPr>
          <w:rFonts w:ascii="Book Antiqua" w:eastAsia="宋体" w:hAnsi="Book Antiqua" w:cs="宋体"/>
          <w:color w:val="000000" w:themeColor="text1"/>
          <w:kern w:val="0"/>
          <w:sz w:val="24"/>
          <w:szCs w:val="24"/>
        </w:rPr>
        <w:t>: 85-97 [PMID: 21160926 DOI: 10.4251/wjgo.v2.i2.85]</w:t>
      </w:r>
    </w:p>
    <w:p w14:paraId="69FF094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28 </w:t>
      </w:r>
      <w:proofErr w:type="spellStart"/>
      <w:r w:rsidRPr="00C16015">
        <w:rPr>
          <w:rFonts w:ascii="Book Antiqua" w:eastAsia="宋体" w:hAnsi="Book Antiqua" w:cs="宋体"/>
          <w:b/>
          <w:bCs/>
          <w:color w:val="000000" w:themeColor="text1"/>
          <w:kern w:val="0"/>
          <w:sz w:val="24"/>
          <w:szCs w:val="24"/>
        </w:rPr>
        <w:t>Imano</w:t>
      </w:r>
      <w:proofErr w:type="spellEnd"/>
      <w:r w:rsidRPr="00C16015">
        <w:rPr>
          <w:rFonts w:ascii="Book Antiqua" w:eastAsia="宋体" w:hAnsi="Book Antiqua" w:cs="宋体"/>
          <w:b/>
          <w:bCs/>
          <w:color w:val="000000" w:themeColor="text1"/>
          <w:kern w:val="0"/>
          <w:sz w:val="24"/>
          <w:szCs w:val="24"/>
        </w:rPr>
        <w:t xml:space="preserve"> M</w:t>
      </w:r>
      <w:r w:rsidRPr="00C16015">
        <w:rPr>
          <w:rFonts w:ascii="Book Antiqua" w:eastAsia="宋体" w:hAnsi="Book Antiqua" w:cs="宋体"/>
          <w:color w:val="000000" w:themeColor="text1"/>
          <w:kern w:val="0"/>
          <w:sz w:val="24"/>
          <w:szCs w:val="24"/>
        </w:rPr>
        <w:t xml:space="preserve">, Peng YF, Itoh T, Nishikawa M, </w:t>
      </w:r>
      <w:proofErr w:type="spellStart"/>
      <w:r w:rsidRPr="00C16015">
        <w:rPr>
          <w:rFonts w:ascii="Book Antiqua" w:eastAsia="宋体" w:hAnsi="Book Antiqua" w:cs="宋体"/>
          <w:color w:val="000000" w:themeColor="text1"/>
          <w:kern w:val="0"/>
          <w:sz w:val="24"/>
          <w:szCs w:val="24"/>
        </w:rPr>
        <w:t>Satou</w:t>
      </w:r>
      <w:proofErr w:type="spellEnd"/>
      <w:r w:rsidRPr="00C16015">
        <w:rPr>
          <w:rFonts w:ascii="Book Antiqua" w:eastAsia="宋体" w:hAnsi="Book Antiqua" w:cs="宋体"/>
          <w:color w:val="000000" w:themeColor="text1"/>
          <w:kern w:val="0"/>
          <w:sz w:val="24"/>
          <w:szCs w:val="24"/>
        </w:rPr>
        <w:t xml:space="preserve"> T, Yasuda A, Inoue K, Kato H, </w:t>
      </w:r>
      <w:proofErr w:type="spellStart"/>
      <w:r w:rsidRPr="00C16015">
        <w:rPr>
          <w:rFonts w:ascii="Book Antiqua" w:eastAsia="宋体" w:hAnsi="Book Antiqua" w:cs="宋体"/>
          <w:color w:val="000000" w:themeColor="text1"/>
          <w:kern w:val="0"/>
          <w:sz w:val="24"/>
          <w:szCs w:val="24"/>
        </w:rPr>
        <w:t>Shinkai</w:t>
      </w:r>
      <w:proofErr w:type="spellEnd"/>
      <w:r w:rsidRPr="00C16015">
        <w:rPr>
          <w:rFonts w:ascii="Book Antiqua" w:eastAsia="宋体" w:hAnsi="Book Antiqua" w:cs="宋体"/>
          <w:color w:val="000000" w:themeColor="text1"/>
          <w:kern w:val="0"/>
          <w:sz w:val="24"/>
          <w:szCs w:val="24"/>
        </w:rPr>
        <w:t xml:space="preserve"> M, </w:t>
      </w:r>
      <w:proofErr w:type="spellStart"/>
      <w:r w:rsidRPr="00C16015">
        <w:rPr>
          <w:rFonts w:ascii="Book Antiqua" w:eastAsia="宋体" w:hAnsi="Book Antiqua" w:cs="宋体"/>
          <w:color w:val="000000" w:themeColor="text1"/>
          <w:kern w:val="0"/>
          <w:sz w:val="24"/>
          <w:szCs w:val="24"/>
        </w:rPr>
        <w:t>Tsubaki</w:t>
      </w:r>
      <w:proofErr w:type="spellEnd"/>
      <w:r w:rsidRPr="00C16015">
        <w:rPr>
          <w:rFonts w:ascii="Book Antiqua" w:eastAsia="宋体" w:hAnsi="Book Antiqua" w:cs="宋体"/>
          <w:color w:val="000000" w:themeColor="text1"/>
          <w:kern w:val="0"/>
          <w:sz w:val="24"/>
          <w:szCs w:val="24"/>
        </w:rPr>
        <w:t xml:space="preserve"> M, Yasuda T, </w:t>
      </w:r>
      <w:proofErr w:type="spellStart"/>
      <w:r w:rsidRPr="00C16015">
        <w:rPr>
          <w:rFonts w:ascii="Book Antiqua" w:eastAsia="宋体" w:hAnsi="Book Antiqua" w:cs="宋体"/>
          <w:color w:val="000000" w:themeColor="text1"/>
          <w:kern w:val="0"/>
          <w:sz w:val="24"/>
          <w:szCs w:val="24"/>
        </w:rPr>
        <w:t>Imamoto</w:t>
      </w:r>
      <w:proofErr w:type="spellEnd"/>
      <w:r w:rsidRPr="00C16015">
        <w:rPr>
          <w:rFonts w:ascii="Book Antiqua" w:eastAsia="宋体" w:hAnsi="Book Antiqua" w:cs="宋体"/>
          <w:color w:val="000000" w:themeColor="text1"/>
          <w:kern w:val="0"/>
          <w:sz w:val="24"/>
          <w:szCs w:val="24"/>
        </w:rPr>
        <w:t xml:space="preserve"> H, Nishida S, Furukawa H, Takeyama Y, </w:t>
      </w:r>
      <w:proofErr w:type="spellStart"/>
      <w:r w:rsidRPr="00C16015">
        <w:rPr>
          <w:rFonts w:ascii="Book Antiqua" w:eastAsia="宋体" w:hAnsi="Book Antiqua" w:cs="宋体"/>
          <w:color w:val="000000" w:themeColor="text1"/>
          <w:kern w:val="0"/>
          <w:sz w:val="24"/>
          <w:szCs w:val="24"/>
        </w:rPr>
        <w:t>Okuno</w:t>
      </w:r>
      <w:proofErr w:type="spellEnd"/>
      <w:r w:rsidRPr="00C16015">
        <w:rPr>
          <w:rFonts w:ascii="Book Antiqua" w:eastAsia="宋体" w:hAnsi="Book Antiqua" w:cs="宋体"/>
          <w:color w:val="000000" w:themeColor="text1"/>
          <w:kern w:val="0"/>
          <w:sz w:val="24"/>
          <w:szCs w:val="24"/>
        </w:rPr>
        <w:t xml:space="preserve"> K, </w:t>
      </w:r>
      <w:proofErr w:type="spellStart"/>
      <w:r w:rsidRPr="00C16015">
        <w:rPr>
          <w:rFonts w:ascii="Book Antiqua" w:eastAsia="宋体" w:hAnsi="Book Antiqua" w:cs="宋体"/>
          <w:color w:val="000000" w:themeColor="text1"/>
          <w:kern w:val="0"/>
          <w:sz w:val="24"/>
          <w:szCs w:val="24"/>
        </w:rPr>
        <w:t>Shiozaki</w:t>
      </w:r>
      <w:proofErr w:type="spellEnd"/>
      <w:r w:rsidRPr="00C16015">
        <w:rPr>
          <w:rFonts w:ascii="Book Antiqua" w:eastAsia="宋体" w:hAnsi="Book Antiqua" w:cs="宋体"/>
          <w:color w:val="000000" w:themeColor="text1"/>
          <w:kern w:val="0"/>
          <w:sz w:val="24"/>
          <w:szCs w:val="24"/>
        </w:rPr>
        <w:t xml:space="preserve"> H. A preliminary study of single intraperitoneal administration of paclitaxel followed by sequential systemic chemotherapy with S-1 plus paclitaxel for advanced gastric cancer with peritoneal metastasis. </w:t>
      </w:r>
      <w:r w:rsidRPr="00C16015">
        <w:rPr>
          <w:rFonts w:ascii="Book Antiqua" w:eastAsia="宋体" w:hAnsi="Book Antiqua" w:cs="宋体"/>
          <w:i/>
          <w:iCs/>
          <w:color w:val="000000" w:themeColor="text1"/>
          <w:kern w:val="0"/>
          <w:sz w:val="24"/>
          <w:szCs w:val="24"/>
        </w:rPr>
        <w:t>Anticancer Res</w:t>
      </w:r>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32</w:t>
      </w:r>
      <w:r w:rsidRPr="00C16015">
        <w:rPr>
          <w:rFonts w:ascii="Book Antiqua" w:eastAsia="宋体" w:hAnsi="Book Antiqua" w:cs="宋体"/>
          <w:color w:val="000000" w:themeColor="text1"/>
          <w:kern w:val="0"/>
          <w:sz w:val="24"/>
          <w:szCs w:val="24"/>
        </w:rPr>
        <w:t>: 4071-4075 [PMID: 22993363]</w:t>
      </w:r>
    </w:p>
    <w:p w14:paraId="7814040B"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29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Endou</w:t>
      </w:r>
      <w:proofErr w:type="spellEnd"/>
      <w:r w:rsidRPr="00C16015">
        <w:rPr>
          <w:rFonts w:ascii="Book Antiqua" w:eastAsia="宋体" w:hAnsi="Book Antiqua" w:cs="宋体"/>
          <w:color w:val="000000" w:themeColor="text1"/>
          <w:kern w:val="0"/>
          <w:sz w:val="24"/>
          <w:szCs w:val="24"/>
        </w:rPr>
        <w:t xml:space="preserve"> Y, Bando E, </w:t>
      </w:r>
      <w:proofErr w:type="spellStart"/>
      <w:r w:rsidRPr="00C16015">
        <w:rPr>
          <w:rFonts w:ascii="Book Antiqua" w:eastAsia="宋体" w:hAnsi="Book Antiqua" w:cs="宋体"/>
          <w:color w:val="000000" w:themeColor="text1"/>
          <w:kern w:val="0"/>
          <w:sz w:val="24"/>
          <w:szCs w:val="24"/>
        </w:rPr>
        <w:t>Kuno</w:t>
      </w:r>
      <w:proofErr w:type="spellEnd"/>
      <w:r w:rsidRPr="00C16015">
        <w:rPr>
          <w:rFonts w:ascii="Book Antiqua" w:eastAsia="宋体" w:hAnsi="Book Antiqua" w:cs="宋体"/>
          <w:color w:val="000000" w:themeColor="text1"/>
          <w:kern w:val="0"/>
          <w:sz w:val="24"/>
          <w:szCs w:val="24"/>
        </w:rPr>
        <w:t xml:space="preserve"> K, Kawamura T, Kimura M, Shimada T, Miyamoto K, Sasaki T, </w:t>
      </w:r>
      <w:proofErr w:type="spellStart"/>
      <w:r w:rsidRPr="00C16015">
        <w:rPr>
          <w:rFonts w:ascii="Book Antiqua" w:eastAsia="宋体" w:hAnsi="Book Antiqua" w:cs="宋体"/>
          <w:color w:val="000000" w:themeColor="text1"/>
          <w:kern w:val="0"/>
          <w:sz w:val="24"/>
          <w:szCs w:val="24"/>
        </w:rPr>
        <w:t>Sugarbaker</w:t>
      </w:r>
      <w:proofErr w:type="spellEnd"/>
      <w:r w:rsidRPr="00C16015">
        <w:rPr>
          <w:rFonts w:ascii="Book Antiqua" w:eastAsia="宋体" w:hAnsi="Book Antiqua" w:cs="宋体"/>
          <w:color w:val="000000" w:themeColor="text1"/>
          <w:kern w:val="0"/>
          <w:sz w:val="24"/>
          <w:szCs w:val="24"/>
        </w:rPr>
        <w:t xml:space="preserve"> PH. Effect of intraperitoneal administration of docetaxel on peritoneal dissemination of gastric cancer. </w:t>
      </w:r>
      <w:r w:rsidRPr="00C16015">
        <w:rPr>
          <w:rFonts w:ascii="Book Antiqua" w:eastAsia="宋体" w:hAnsi="Book Antiqua" w:cs="宋体"/>
          <w:i/>
          <w:iCs/>
          <w:color w:val="000000" w:themeColor="text1"/>
          <w:kern w:val="0"/>
          <w:sz w:val="24"/>
          <w:szCs w:val="24"/>
        </w:rPr>
        <w:t>Cancer Lett</w:t>
      </w:r>
      <w:r w:rsidRPr="00C16015">
        <w:rPr>
          <w:rFonts w:ascii="Book Antiqua" w:eastAsia="宋体" w:hAnsi="Book Antiqua" w:cs="宋体"/>
          <w:color w:val="000000" w:themeColor="text1"/>
          <w:kern w:val="0"/>
          <w:sz w:val="24"/>
          <w:szCs w:val="24"/>
        </w:rPr>
        <w:t xml:space="preserve"> 2004; </w:t>
      </w:r>
      <w:r w:rsidRPr="00C16015">
        <w:rPr>
          <w:rFonts w:ascii="Book Antiqua" w:eastAsia="宋体" w:hAnsi="Book Antiqua" w:cs="宋体"/>
          <w:b/>
          <w:bCs/>
          <w:color w:val="000000" w:themeColor="text1"/>
          <w:kern w:val="0"/>
          <w:sz w:val="24"/>
          <w:szCs w:val="24"/>
        </w:rPr>
        <w:t>210</w:t>
      </w:r>
      <w:r w:rsidRPr="00C16015">
        <w:rPr>
          <w:rFonts w:ascii="Book Antiqua" w:eastAsia="宋体" w:hAnsi="Book Antiqua" w:cs="宋体"/>
          <w:color w:val="000000" w:themeColor="text1"/>
          <w:kern w:val="0"/>
          <w:sz w:val="24"/>
          <w:szCs w:val="24"/>
        </w:rPr>
        <w:t>: 189-196 [PMID: 15183534 DOI: 10.1016/j.canlet.2004.03.018]</w:t>
      </w:r>
    </w:p>
    <w:p w14:paraId="32EC01A0"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30 </w:t>
      </w:r>
      <w:r w:rsidRPr="00C16015">
        <w:rPr>
          <w:rFonts w:ascii="Book Antiqua" w:eastAsia="宋体" w:hAnsi="Book Antiqua" w:cs="宋体"/>
          <w:b/>
          <w:bCs/>
          <w:color w:val="000000" w:themeColor="text1"/>
          <w:kern w:val="0"/>
          <w:sz w:val="24"/>
          <w:szCs w:val="24"/>
        </w:rPr>
        <w:t>Soma D</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Nagawa</w:t>
      </w:r>
      <w:proofErr w:type="spellEnd"/>
      <w:r w:rsidRPr="00C16015">
        <w:rPr>
          <w:rFonts w:ascii="Book Antiqua" w:eastAsia="宋体" w:hAnsi="Book Antiqua" w:cs="宋体"/>
          <w:color w:val="000000" w:themeColor="text1"/>
          <w:kern w:val="0"/>
          <w:sz w:val="24"/>
          <w:szCs w:val="24"/>
        </w:rPr>
        <w:t xml:space="preserve"> H. Different tissue distribution of paclitaxel with intravenous and intraperitoneal administration.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Res</w:t>
      </w:r>
      <w:r w:rsidRPr="00C16015">
        <w:rPr>
          <w:rFonts w:ascii="Book Antiqua" w:eastAsia="宋体" w:hAnsi="Book Antiqua" w:cs="宋体"/>
          <w:color w:val="000000" w:themeColor="text1"/>
          <w:kern w:val="0"/>
          <w:sz w:val="24"/>
          <w:szCs w:val="24"/>
        </w:rPr>
        <w:t xml:space="preserve"> 2009; </w:t>
      </w:r>
      <w:r w:rsidRPr="00C16015">
        <w:rPr>
          <w:rFonts w:ascii="Book Antiqua" w:eastAsia="宋体" w:hAnsi="Book Antiqua" w:cs="宋体"/>
          <w:b/>
          <w:bCs/>
          <w:color w:val="000000" w:themeColor="text1"/>
          <w:kern w:val="0"/>
          <w:sz w:val="24"/>
          <w:szCs w:val="24"/>
        </w:rPr>
        <w:t>155</w:t>
      </w:r>
      <w:r w:rsidRPr="00C16015">
        <w:rPr>
          <w:rFonts w:ascii="Book Antiqua" w:eastAsia="宋体" w:hAnsi="Book Antiqua" w:cs="宋体"/>
          <w:color w:val="000000" w:themeColor="text1"/>
          <w:kern w:val="0"/>
          <w:sz w:val="24"/>
          <w:szCs w:val="24"/>
        </w:rPr>
        <w:t>: 142-146 [PMID: 19328496 DOI: 10.1016/j.jss.2008.06.049]</w:t>
      </w:r>
    </w:p>
    <w:p w14:paraId="230712B2"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31 </w:t>
      </w:r>
      <w:r w:rsidRPr="00C16015">
        <w:rPr>
          <w:rFonts w:ascii="Book Antiqua" w:eastAsia="宋体" w:hAnsi="Book Antiqua" w:cs="宋体"/>
          <w:b/>
          <w:bCs/>
          <w:color w:val="000000" w:themeColor="text1"/>
          <w:kern w:val="0"/>
          <w:sz w:val="24"/>
          <w:szCs w:val="24"/>
        </w:rPr>
        <w:t>Soma D</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Konno T, Ishihara K, Yamada J, Kamei T,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Nagawa</w:t>
      </w:r>
      <w:proofErr w:type="spellEnd"/>
      <w:r w:rsidRPr="00C16015">
        <w:rPr>
          <w:rFonts w:ascii="Book Antiqua" w:eastAsia="宋体" w:hAnsi="Book Antiqua" w:cs="宋体"/>
          <w:color w:val="000000" w:themeColor="text1"/>
          <w:kern w:val="0"/>
          <w:sz w:val="24"/>
          <w:szCs w:val="24"/>
        </w:rPr>
        <w:t xml:space="preserve"> H. Intraperitoneal administration of paclitaxel solubilized with poly(2-methacryloxyethyl </w:t>
      </w:r>
      <w:proofErr w:type="spellStart"/>
      <w:r w:rsidRPr="00C16015">
        <w:rPr>
          <w:rFonts w:ascii="Book Antiqua" w:eastAsia="宋体" w:hAnsi="Book Antiqua" w:cs="宋体"/>
          <w:color w:val="000000" w:themeColor="text1"/>
          <w:kern w:val="0"/>
          <w:sz w:val="24"/>
          <w:szCs w:val="24"/>
        </w:rPr>
        <w:t>phosphorylcholine</w:t>
      </w:r>
      <w:proofErr w:type="spellEnd"/>
      <w:r w:rsidRPr="00C16015">
        <w:rPr>
          <w:rFonts w:ascii="Book Antiqua" w:eastAsia="宋体" w:hAnsi="Book Antiqua" w:cs="宋体"/>
          <w:color w:val="000000" w:themeColor="text1"/>
          <w:kern w:val="0"/>
          <w:sz w:val="24"/>
          <w:szCs w:val="24"/>
        </w:rPr>
        <w:t xml:space="preserve">-co n-butyl methacrylate) for peritoneal dissemination of gastric cancer. </w:t>
      </w:r>
      <w:r w:rsidRPr="00C16015">
        <w:rPr>
          <w:rFonts w:ascii="Book Antiqua" w:eastAsia="宋体" w:hAnsi="Book Antiqua" w:cs="宋体"/>
          <w:i/>
          <w:iCs/>
          <w:color w:val="000000" w:themeColor="text1"/>
          <w:kern w:val="0"/>
          <w:sz w:val="24"/>
          <w:szCs w:val="24"/>
        </w:rPr>
        <w:t xml:space="preserve">Cancer </w:t>
      </w:r>
      <w:proofErr w:type="spellStart"/>
      <w:r w:rsidRPr="00C16015">
        <w:rPr>
          <w:rFonts w:ascii="Book Antiqua" w:eastAsia="宋体" w:hAnsi="Book Antiqua" w:cs="宋体"/>
          <w:i/>
          <w:iCs/>
          <w:color w:val="000000" w:themeColor="text1"/>
          <w:kern w:val="0"/>
          <w:sz w:val="24"/>
          <w:szCs w:val="24"/>
        </w:rPr>
        <w:t>Sci</w:t>
      </w:r>
      <w:proofErr w:type="spellEnd"/>
      <w:r w:rsidRPr="00C16015">
        <w:rPr>
          <w:rFonts w:ascii="Book Antiqua" w:eastAsia="宋体" w:hAnsi="Book Antiqua" w:cs="宋体"/>
          <w:color w:val="000000" w:themeColor="text1"/>
          <w:kern w:val="0"/>
          <w:sz w:val="24"/>
          <w:szCs w:val="24"/>
        </w:rPr>
        <w:t xml:space="preserve"> 2009; </w:t>
      </w:r>
      <w:r w:rsidRPr="00C16015">
        <w:rPr>
          <w:rFonts w:ascii="Book Antiqua" w:eastAsia="宋体" w:hAnsi="Book Antiqua" w:cs="宋体"/>
          <w:b/>
          <w:bCs/>
          <w:color w:val="000000" w:themeColor="text1"/>
          <w:kern w:val="0"/>
          <w:sz w:val="24"/>
          <w:szCs w:val="24"/>
        </w:rPr>
        <w:t>100</w:t>
      </w:r>
      <w:r w:rsidRPr="00C16015">
        <w:rPr>
          <w:rFonts w:ascii="Book Antiqua" w:eastAsia="宋体" w:hAnsi="Book Antiqua" w:cs="宋体"/>
          <w:color w:val="000000" w:themeColor="text1"/>
          <w:kern w:val="0"/>
          <w:sz w:val="24"/>
          <w:szCs w:val="24"/>
        </w:rPr>
        <w:t>: 1979-1985 [PMID: 19604244 DOI: 10.1111/j.1349-7006.2009.01265.x]</w:t>
      </w:r>
    </w:p>
    <w:p w14:paraId="6164F9A6"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32 </w:t>
      </w:r>
      <w:proofErr w:type="spellStart"/>
      <w:r w:rsidRPr="00C16015">
        <w:rPr>
          <w:rFonts w:ascii="Book Antiqua" w:eastAsia="宋体" w:hAnsi="Book Antiqua" w:cs="宋体"/>
          <w:b/>
          <w:bCs/>
          <w:color w:val="000000" w:themeColor="text1"/>
          <w:kern w:val="0"/>
          <w:sz w:val="24"/>
          <w:szCs w:val="24"/>
        </w:rPr>
        <w:t>Kitayama</w:t>
      </w:r>
      <w:proofErr w:type="spellEnd"/>
      <w:r w:rsidRPr="00C16015">
        <w:rPr>
          <w:rFonts w:ascii="Book Antiqua" w:eastAsia="宋体" w:hAnsi="Book Antiqua" w:cs="宋体"/>
          <w:b/>
          <w:bCs/>
          <w:color w:val="000000" w:themeColor="text1"/>
          <w:kern w:val="0"/>
          <w:sz w:val="24"/>
          <w:szCs w:val="24"/>
        </w:rPr>
        <w:t xml:space="preserve"> J</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Emoto</w:t>
      </w:r>
      <w:proofErr w:type="spellEnd"/>
      <w:r w:rsidRPr="00C16015">
        <w:rPr>
          <w:rFonts w:ascii="Book Antiqua" w:eastAsia="宋体" w:hAnsi="Book Antiqua" w:cs="宋体"/>
          <w:color w:val="000000" w:themeColor="text1"/>
          <w:kern w:val="0"/>
          <w:sz w:val="24"/>
          <w:szCs w:val="24"/>
        </w:rPr>
        <w:t xml:space="preserve"> S, Yamaguchi H,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Watanabe T. Intraperitoneal paclitaxel induces regression of peritoneal metastasis partly by destruction of peripheral </w:t>
      </w:r>
      <w:proofErr w:type="spellStart"/>
      <w:r w:rsidRPr="00C16015">
        <w:rPr>
          <w:rFonts w:ascii="Book Antiqua" w:eastAsia="宋体" w:hAnsi="Book Antiqua" w:cs="宋体"/>
          <w:color w:val="000000" w:themeColor="text1"/>
          <w:kern w:val="0"/>
          <w:sz w:val="24"/>
          <w:szCs w:val="24"/>
        </w:rPr>
        <w:t>microvessels</w:t>
      </w:r>
      <w:proofErr w:type="spell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Cancer </w:t>
      </w:r>
      <w:proofErr w:type="spellStart"/>
      <w:r w:rsidRPr="00C16015">
        <w:rPr>
          <w:rFonts w:ascii="Book Antiqua" w:eastAsia="宋体" w:hAnsi="Book Antiqua" w:cs="宋体"/>
          <w:i/>
          <w:iCs/>
          <w:color w:val="000000" w:themeColor="text1"/>
          <w:kern w:val="0"/>
          <w:sz w:val="24"/>
          <w:szCs w:val="24"/>
        </w:rPr>
        <w:t>Chemother</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Pharmacol</w:t>
      </w:r>
      <w:proofErr w:type="spellEnd"/>
      <w:r w:rsidRPr="00C16015">
        <w:rPr>
          <w:rFonts w:ascii="Book Antiqua" w:eastAsia="宋体" w:hAnsi="Book Antiqua" w:cs="宋体"/>
          <w:color w:val="000000" w:themeColor="text1"/>
          <w:kern w:val="0"/>
          <w:sz w:val="24"/>
          <w:szCs w:val="24"/>
        </w:rPr>
        <w:t xml:space="preserve"> 2014; </w:t>
      </w:r>
      <w:r w:rsidRPr="00C16015">
        <w:rPr>
          <w:rFonts w:ascii="Book Antiqua" w:eastAsia="宋体" w:hAnsi="Book Antiqua" w:cs="宋体"/>
          <w:b/>
          <w:bCs/>
          <w:color w:val="000000" w:themeColor="text1"/>
          <w:kern w:val="0"/>
          <w:sz w:val="24"/>
          <w:szCs w:val="24"/>
        </w:rPr>
        <w:t>73</w:t>
      </w:r>
      <w:r w:rsidRPr="00C16015">
        <w:rPr>
          <w:rFonts w:ascii="Book Antiqua" w:eastAsia="宋体" w:hAnsi="Book Antiqua" w:cs="宋体"/>
          <w:color w:val="000000" w:themeColor="text1"/>
          <w:kern w:val="0"/>
          <w:sz w:val="24"/>
          <w:szCs w:val="24"/>
        </w:rPr>
        <w:t>: 605-612 [PMID: 24464356 DOI: 10.1007/s00280-014-2393-0]</w:t>
      </w:r>
    </w:p>
    <w:p w14:paraId="79CA3DF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proofErr w:type="gramStart"/>
      <w:r w:rsidRPr="00C16015">
        <w:rPr>
          <w:rFonts w:ascii="Book Antiqua" w:eastAsia="宋体" w:hAnsi="Book Antiqua" w:cs="宋体"/>
          <w:color w:val="000000" w:themeColor="text1"/>
          <w:kern w:val="0"/>
          <w:sz w:val="24"/>
          <w:szCs w:val="24"/>
        </w:rPr>
        <w:t xml:space="preserve">33 </w:t>
      </w:r>
      <w:proofErr w:type="spellStart"/>
      <w:r w:rsidRPr="00C16015">
        <w:rPr>
          <w:rFonts w:ascii="Book Antiqua" w:eastAsia="宋体" w:hAnsi="Book Antiqua" w:cs="宋体"/>
          <w:b/>
          <w:bCs/>
          <w:color w:val="000000" w:themeColor="text1"/>
          <w:kern w:val="0"/>
          <w:sz w:val="24"/>
          <w:szCs w:val="24"/>
        </w:rPr>
        <w:t>Kuh</w:t>
      </w:r>
      <w:proofErr w:type="spellEnd"/>
      <w:r w:rsidRPr="00C16015">
        <w:rPr>
          <w:rFonts w:ascii="Book Antiqua" w:eastAsia="宋体" w:hAnsi="Book Antiqua" w:cs="宋体"/>
          <w:b/>
          <w:bCs/>
          <w:color w:val="000000" w:themeColor="text1"/>
          <w:kern w:val="0"/>
          <w:sz w:val="24"/>
          <w:szCs w:val="24"/>
        </w:rPr>
        <w:t xml:space="preserve"> HJ</w:t>
      </w:r>
      <w:r w:rsidRPr="00C16015">
        <w:rPr>
          <w:rFonts w:ascii="Book Antiqua" w:eastAsia="宋体" w:hAnsi="Book Antiqua" w:cs="宋体"/>
          <w:color w:val="000000" w:themeColor="text1"/>
          <w:kern w:val="0"/>
          <w:sz w:val="24"/>
          <w:szCs w:val="24"/>
        </w:rPr>
        <w:t xml:space="preserve">, Jang SH, </w:t>
      </w:r>
      <w:proofErr w:type="spellStart"/>
      <w:r w:rsidRPr="00C16015">
        <w:rPr>
          <w:rFonts w:ascii="Book Antiqua" w:eastAsia="宋体" w:hAnsi="Book Antiqua" w:cs="宋体"/>
          <w:color w:val="000000" w:themeColor="text1"/>
          <w:kern w:val="0"/>
          <w:sz w:val="24"/>
          <w:szCs w:val="24"/>
        </w:rPr>
        <w:t>Wientjes</w:t>
      </w:r>
      <w:proofErr w:type="spellEnd"/>
      <w:r w:rsidRPr="00C16015">
        <w:rPr>
          <w:rFonts w:ascii="Book Antiqua" w:eastAsia="宋体" w:hAnsi="Book Antiqua" w:cs="宋体"/>
          <w:color w:val="000000" w:themeColor="text1"/>
          <w:kern w:val="0"/>
          <w:sz w:val="24"/>
          <w:szCs w:val="24"/>
        </w:rPr>
        <w:t xml:space="preserve"> MG, Weaver JR, Au JL.</w:t>
      </w:r>
      <w:proofErr w:type="gramEnd"/>
      <w:r w:rsidRPr="00C16015">
        <w:rPr>
          <w:rFonts w:ascii="Book Antiqua" w:eastAsia="宋体" w:hAnsi="Book Antiqua" w:cs="宋体"/>
          <w:color w:val="000000" w:themeColor="text1"/>
          <w:kern w:val="0"/>
          <w:sz w:val="24"/>
          <w:szCs w:val="24"/>
        </w:rPr>
        <w:t xml:space="preserve"> </w:t>
      </w:r>
      <w:proofErr w:type="gramStart"/>
      <w:r w:rsidRPr="00C16015">
        <w:rPr>
          <w:rFonts w:ascii="Book Antiqua" w:eastAsia="宋体" w:hAnsi="Book Antiqua" w:cs="宋体"/>
          <w:color w:val="000000" w:themeColor="text1"/>
          <w:kern w:val="0"/>
          <w:sz w:val="24"/>
          <w:szCs w:val="24"/>
        </w:rPr>
        <w:t>Determinants of paclitaxel penetration and accumulation in human solid tumor.</w:t>
      </w:r>
      <w:proofErr w:type="gram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Pharmacol</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Exp</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Ther</w:t>
      </w:r>
      <w:proofErr w:type="spellEnd"/>
      <w:r w:rsidRPr="00C16015">
        <w:rPr>
          <w:rFonts w:ascii="Book Antiqua" w:eastAsia="宋体" w:hAnsi="Book Antiqua" w:cs="宋体"/>
          <w:color w:val="000000" w:themeColor="text1"/>
          <w:kern w:val="0"/>
          <w:sz w:val="24"/>
          <w:szCs w:val="24"/>
        </w:rPr>
        <w:t xml:space="preserve"> 1999; </w:t>
      </w:r>
      <w:r w:rsidRPr="00C16015">
        <w:rPr>
          <w:rFonts w:ascii="Book Antiqua" w:eastAsia="宋体" w:hAnsi="Book Antiqua" w:cs="宋体"/>
          <w:b/>
          <w:bCs/>
          <w:color w:val="000000" w:themeColor="text1"/>
          <w:kern w:val="0"/>
          <w:sz w:val="24"/>
          <w:szCs w:val="24"/>
        </w:rPr>
        <w:t>290</w:t>
      </w:r>
      <w:r w:rsidRPr="00C16015">
        <w:rPr>
          <w:rFonts w:ascii="Book Antiqua" w:eastAsia="宋体" w:hAnsi="Book Antiqua" w:cs="宋体"/>
          <w:color w:val="000000" w:themeColor="text1"/>
          <w:kern w:val="0"/>
          <w:sz w:val="24"/>
          <w:szCs w:val="24"/>
        </w:rPr>
        <w:t>: 871-880 [PMID: 10411604]</w:t>
      </w:r>
    </w:p>
    <w:p w14:paraId="5EB89681"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proofErr w:type="gramStart"/>
      <w:r w:rsidRPr="00C16015">
        <w:rPr>
          <w:rFonts w:ascii="Book Antiqua" w:eastAsia="宋体" w:hAnsi="Book Antiqua" w:cs="宋体"/>
          <w:color w:val="000000" w:themeColor="text1"/>
          <w:kern w:val="0"/>
          <w:sz w:val="24"/>
          <w:szCs w:val="24"/>
        </w:rPr>
        <w:t xml:space="preserve">34 </w:t>
      </w:r>
      <w:r w:rsidRPr="00C16015">
        <w:rPr>
          <w:rFonts w:ascii="Book Antiqua" w:eastAsia="宋体" w:hAnsi="Book Antiqua" w:cs="宋体"/>
          <w:b/>
          <w:bCs/>
          <w:color w:val="000000" w:themeColor="text1"/>
          <w:kern w:val="0"/>
          <w:sz w:val="24"/>
          <w:szCs w:val="24"/>
        </w:rPr>
        <w:t>Kyle AH</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Huxham</w:t>
      </w:r>
      <w:proofErr w:type="spellEnd"/>
      <w:r w:rsidRPr="00C16015">
        <w:rPr>
          <w:rFonts w:ascii="Book Antiqua" w:eastAsia="宋体" w:hAnsi="Book Antiqua" w:cs="宋体"/>
          <w:color w:val="000000" w:themeColor="text1"/>
          <w:kern w:val="0"/>
          <w:sz w:val="24"/>
          <w:szCs w:val="24"/>
        </w:rPr>
        <w:t xml:space="preserve"> LA, Yeoman DM, </w:t>
      </w:r>
      <w:proofErr w:type="spellStart"/>
      <w:r w:rsidRPr="00C16015">
        <w:rPr>
          <w:rFonts w:ascii="Book Antiqua" w:eastAsia="宋体" w:hAnsi="Book Antiqua" w:cs="宋体"/>
          <w:color w:val="000000" w:themeColor="text1"/>
          <w:kern w:val="0"/>
          <w:sz w:val="24"/>
          <w:szCs w:val="24"/>
        </w:rPr>
        <w:t>Minchinton</w:t>
      </w:r>
      <w:proofErr w:type="spellEnd"/>
      <w:r w:rsidRPr="00C16015">
        <w:rPr>
          <w:rFonts w:ascii="Book Antiqua" w:eastAsia="宋体" w:hAnsi="Book Antiqua" w:cs="宋体"/>
          <w:color w:val="000000" w:themeColor="text1"/>
          <w:kern w:val="0"/>
          <w:sz w:val="24"/>
          <w:szCs w:val="24"/>
        </w:rPr>
        <w:t xml:space="preserve"> AI.</w:t>
      </w:r>
      <w:proofErr w:type="gramEnd"/>
      <w:r w:rsidRPr="00C16015">
        <w:rPr>
          <w:rFonts w:ascii="Book Antiqua" w:eastAsia="宋体" w:hAnsi="Book Antiqua" w:cs="宋体"/>
          <w:color w:val="000000" w:themeColor="text1"/>
          <w:kern w:val="0"/>
          <w:sz w:val="24"/>
          <w:szCs w:val="24"/>
        </w:rPr>
        <w:t xml:space="preserve"> Limited tissue penetration of </w:t>
      </w:r>
      <w:proofErr w:type="spellStart"/>
      <w:r w:rsidRPr="00C16015">
        <w:rPr>
          <w:rFonts w:ascii="Book Antiqua" w:eastAsia="宋体" w:hAnsi="Book Antiqua" w:cs="宋体"/>
          <w:color w:val="000000" w:themeColor="text1"/>
          <w:kern w:val="0"/>
          <w:sz w:val="24"/>
          <w:szCs w:val="24"/>
        </w:rPr>
        <w:t>taxanes</w:t>
      </w:r>
      <w:proofErr w:type="spellEnd"/>
      <w:r w:rsidRPr="00C16015">
        <w:rPr>
          <w:rFonts w:ascii="Book Antiqua" w:eastAsia="宋体" w:hAnsi="Book Antiqua" w:cs="宋体"/>
          <w:color w:val="000000" w:themeColor="text1"/>
          <w:kern w:val="0"/>
          <w:sz w:val="24"/>
          <w:szCs w:val="24"/>
        </w:rPr>
        <w:t xml:space="preserve">: a mechanism for resistance in solid tumors.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Cancer Res</w:t>
      </w:r>
      <w:r w:rsidRPr="00C16015">
        <w:rPr>
          <w:rFonts w:ascii="Book Antiqua" w:eastAsia="宋体" w:hAnsi="Book Antiqua" w:cs="宋体"/>
          <w:color w:val="000000" w:themeColor="text1"/>
          <w:kern w:val="0"/>
          <w:sz w:val="24"/>
          <w:szCs w:val="24"/>
        </w:rPr>
        <w:t xml:space="preserve"> 2007; </w:t>
      </w:r>
      <w:r w:rsidRPr="00C16015">
        <w:rPr>
          <w:rFonts w:ascii="Book Antiqua" w:eastAsia="宋体" w:hAnsi="Book Antiqua" w:cs="宋体"/>
          <w:b/>
          <w:bCs/>
          <w:color w:val="000000" w:themeColor="text1"/>
          <w:kern w:val="0"/>
          <w:sz w:val="24"/>
          <w:szCs w:val="24"/>
        </w:rPr>
        <w:t>13</w:t>
      </w:r>
      <w:r w:rsidRPr="00C16015">
        <w:rPr>
          <w:rFonts w:ascii="Book Antiqua" w:eastAsia="宋体" w:hAnsi="Book Antiqua" w:cs="宋体"/>
          <w:color w:val="000000" w:themeColor="text1"/>
          <w:kern w:val="0"/>
          <w:sz w:val="24"/>
          <w:szCs w:val="24"/>
        </w:rPr>
        <w:t>: 2804-2810 [PMID: 17473214 DOI: 10.1158/1078-0432.CCR-06-1941]</w:t>
      </w:r>
    </w:p>
    <w:p w14:paraId="6A72C846"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35 </w:t>
      </w:r>
      <w:r w:rsidRPr="00C16015">
        <w:rPr>
          <w:rFonts w:ascii="Book Antiqua" w:eastAsia="宋体" w:hAnsi="Book Antiqua" w:cs="宋体"/>
          <w:b/>
          <w:bCs/>
          <w:color w:val="000000" w:themeColor="text1"/>
          <w:kern w:val="0"/>
          <w:sz w:val="24"/>
          <w:szCs w:val="24"/>
        </w:rPr>
        <w:t>Kamei T</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Yamaguchi H, Soma D, </w:t>
      </w:r>
      <w:proofErr w:type="spellStart"/>
      <w:r w:rsidRPr="00C16015">
        <w:rPr>
          <w:rFonts w:ascii="Book Antiqua" w:eastAsia="宋体" w:hAnsi="Book Antiqua" w:cs="宋体"/>
          <w:color w:val="000000" w:themeColor="text1"/>
          <w:kern w:val="0"/>
          <w:sz w:val="24"/>
          <w:szCs w:val="24"/>
        </w:rPr>
        <w:t>Emoto</w:t>
      </w:r>
      <w:proofErr w:type="spellEnd"/>
      <w:r w:rsidRPr="00C16015">
        <w:rPr>
          <w:rFonts w:ascii="Book Antiqua" w:eastAsia="宋体" w:hAnsi="Book Antiqua" w:cs="宋体"/>
          <w:color w:val="000000" w:themeColor="text1"/>
          <w:kern w:val="0"/>
          <w:sz w:val="24"/>
          <w:szCs w:val="24"/>
        </w:rPr>
        <w:t xml:space="preserve"> S, Konno T, Ishihara K,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Nagawa</w:t>
      </w:r>
      <w:proofErr w:type="spellEnd"/>
      <w:r w:rsidRPr="00C16015">
        <w:rPr>
          <w:rFonts w:ascii="Book Antiqua" w:eastAsia="宋体" w:hAnsi="Book Antiqua" w:cs="宋体"/>
          <w:color w:val="000000" w:themeColor="text1"/>
          <w:kern w:val="0"/>
          <w:sz w:val="24"/>
          <w:szCs w:val="24"/>
        </w:rPr>
        <w:t xml:space="preserve"> H. Spatial distribution of intraperitoneally administrated paclitaxel nanoparticles solubilized with poly (2-methacryloxyethyl </w:t>
      </w:r>
      <w:proofErr w:type="spellStart"/>
      <w:r w:rsidRPr="00C16015">
        <w:rPr>
          <w:rFonts w:ascii="Book Antiqua" w:eastAsia="宋体" w:hAnsi="Book Antiqua" w:cs="宋体"/>
          <w:color w:val="000000" w:themeColor="text1"/>
          <w:kern w:val="0"/>
          <w:sz w:val="24"/>
          <w:szCs w:val="24"/>
        </w:rPr>
        <w:t>phosphorylcholine</w:t>
      </w:r>
      <w:proofErr w:type="spellEnd"/>
      <w:r w:rsidRPr="00C16015">
        <w:rPr>
          <w:rFonts w:ascii="Book Antiqua" w:eastAsia="宋体" w:hAnsi="Book Antiqua" w:cs="宋体"/>
          <w:color w:val="000000" w:themeColor="text1"/>
          <w:kern w:val="0"/>
          <w:sz w:val="24"/>
          <w:szCs w:val="24"/>
        </w:rPr>
        <w:t xml:space="preserve">-co n-butyl methacrylate) in peritoneal metastatic nodules. </w:t>
      </w:r>
      <w:r w:rsidRPr="00C16015">
        <w:rPr>
          <w:rFonts w:ascii="Book Antiqua" w:eastAsia="宋体" w:hAnsi="Book Antiqua" w:cs="宋体"/>
          <w:i/>
          <w:iCs/>
          <w:color w:val="000000" w:themeColor="text1"/>
          <w:kern w:val="0"/>
          <w:sz w:val="24"/>
          <w:szCs w:val="24"/>
        </w:rPr>
        <w:t xml:space="preserve">Cancer </w:t>
      </w:r>
      <w:proofErr w:type="spellStart"/>
      <w:r w:rsidRPr="00C16015">
        <w:rPr>
          <w:rFonts w:ascii="Book Antiqua" w:eastAsia="宋体" w:hAnsi="Book Antiqua" w:cs="宋体"/>
          <w:i/>
          <w:iCs/>
          <w:color w:val="000000" w:themeColor="text1"/>
          <w:kern w:val="0"/>
          <w:sz w:val="24"/>
          <w:szCs w:val="24"/>
        </w:rPr>
        <w:t>Sci</w:t>
      </w:r>
      <w:proofErr w:type="spellEnd"/>
      <w:r w:rsidRPr="00C16015">
        <w:rPr>
          <w:rFonts w:ascii="Book Antiqua" w:eastAsia="宋体" w:hAnsi="Book Antiqua" w:cs="宋体"/>
          <w:color w:val="000000" w:themeColor="text1"/>
          <w:kern w:val="0"/>
          <w:sz w:val="24"/>
          <w:szCs w:val="24"/>
        </w:rPr>
        <w:t xml:space="preserve"> 2011; </w:t>
      </w:r>
      <w:r w:rsidRPr="00C16015">
        <w:rPr>
          <w:rFonts w:ascii="Book Antiqua" w:eastAsia="宋体" w:hAnsi="Book Antiqua" w:cs="宋体"/>
          <w:b/>
          <w:bCs/>
          <w:color w:val="000000" w:themeColor="text1"/>
          <w:kern w:val="0"/>
          <w:sz w:val="24"/>
          <w:szCs w:val="24"/>
        </w:rPr>
        <w:t>102</w:t>
      </w:r>
      <w:r w:rsidRPr="00C16015">
        <w:rPr>
          <w:rFonts w:ascii="Book Antiqua" w:eastAsia="宋体" w:hAnsi="Book Antiqua" w:cs="宋体"/>
          <w:color w:val="000000" w:themeColor="text1"/>
          <w:kern w:val="0"/>
          <w:sz w:val="24"/>
          <w:szCs w:val="24"/>
        </w:rPr>
        <w:t>: 200-205 [PMID: 20942868 DOI: 10.1111/j.1349-7006.2010.01747.x]</w:t>
      </w:r>
    </w:p>
    <w:p w14:paraId="507A177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36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Endou</w:t>
      </w:r>
      <w:proofErr w:type="spellEnd"/>
      <w:r w:rsidRPr="00C16015">
        <w:rPr>
          <w:rFonts w:ascii="Book Antiqua" w:eastAsia="宋体" w:hAnsi="Book Antiqua" w:cs="宋体"/>
          <w:color w:val="000000" w:themeColor="text1"/>
          <w:kern w:val="0"/>
          <w:sz w:val="24"/>
          <w:szCs w:val="24"/>
        </w:rPr>
        <w:t xml:space="preserve"> Y, Sasaki T, Hirano M, </w:t>
      </w:r>
      <w:proofErr w:type="spellStart"/>
      <w:r w:rsidRPr="00C16015">
        <w:rPr>
          <w:rFonts w:ascii="Book Antiqua" w:eastAsia="宋体" w:hAnsi="Book Antiqua" w:cs="宋体"/>
          <w:color w:val="000000" w:themeColor="text1"/>
          <w:kern w:val="0"/>
          <w:sz w:val="24"/>
          <w:szCs w:val="24"/>
        </w:rPr>
        <w:t>Mizumoto</w:t>
      </w:r>
      <w:proofErr w:type="spellEnd"/>
      <w:r w:rsidRPr="00C16015">
        <w:rPr>
          <w:rFonts w:ascii="Book Antiqua" w:eastAsia="宋体" w:hAnsi="Book Antiqua" w:cs="宋体"/>
          <w:color w:val="000000" w:themeColor="text1"/>
          <w:kern w:val="0"/>
          <w:sz w:val="24"/>
          <w:szCs w:val="24"/>
        </w:rPr>
        <w:t xml:space="preserve"> A, Matsuda T, Takao N, Ichinose M, Miura M, Li Y. Surgical treatment for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from gastric cancer. </w:t>
      </w:r>
      <w:proofErr w:type="spellStart"/>
      <w:r w:rsidRPr="00C16015">
        <w:rPr>
          <w:rFonts w:ascii="Book Antiqua" w:eastAsia="宋体" w:hAnsi="Book Antiqua" w:cs="宋体"/>
          <w:i/>
          <w:iCs/>
          <w:color w:val="000000" w:themeColor="text1"/>
          <w:kern w:val="0"/>
          <w:sz w:val="24"/>
          <w:szCs w:val="24"/>
        </w:rPr>
        <w:t>Eur</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36</w:t>
      </w:r>
      <w:r w:rsidRPr="00C16015">
        <w:rPr>
          <w:rFonts w:ascii="Book Antiqua" w:eastAsia="宋体" w:hAnsi="Book Antiqua" w:cs="宋体"/>
          <w:color w:val="000000" w:themeColor="text1"/>
          <w:kern w:val="0"/>
          <w:sz w:val="24"/>
          <w:szCs w:val="24"/>
        </w:rPr>
        <w:t>: 1131-1138 [PMID: 20933363 DOI: 10.1016/j.ejso.2010.09.006]</w:t>
      </w:r>
    </w:p>
    <w:p w14:paraId="76E341F7"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37 </w:t>
      </w:r>
      <w:proofErr w:type="spellStart"/>
      <w:r w:rsidRPr="00C16015">
        <w:rPr>
          <w:rFonts w:ascii="Book Antiqua" w:eastAsia="宋体" w:hAnsi="Book Antiqua" w:cs="宋体"/>
          <w:b/>
          <w:bCs/>
          <w:color w:val="000000" w:themeColor="text1"/>
          <w:kern w:val="0"/>
          <w:sz w:val="24"/>
          <w:szCs w:val="24"/>
        </w:rPr>
        <w:t>Cashin</w:t>
      </w:r>
      <w:proofErr w:type="spellEnd"/>
      <w:r w:rsidRPr="00C16015">
        <w:rPr>
          <w:rFonts w:ascii="Book Antiqua" w:eastAsia="宋体" w:hAnsi="Book Antiqua" w:cs="宋体"/>
          <w:b/>
          <w:bCs/>
          <w:color w:val="000000" w:themeColor="text1"/>
          <w:kern w:val="0"/>
          <w:sz w:val="24"/>
          <w:szCs w:val="24"/>
        </w:rPr>
        <w:t xml:space="preserve"> PH</w:t>
      </w:r>
      <w:r w:rsidRPr="00C16015">
        <w:rPr>
          <w:rFonts w:ascii="Book Antiqua" w:eastAsia="宋体" w:hAnsi="Book Antiqua" w:cs="宋体"/>
          <w:color w:val="000000" w:themeColor="text1"/>
          <w:kern w:val="0"/>
          <w:sz w:val="24"/>
          <w:szCs w:val="24"/>
        </w:rPr>
        <w:t xml:space="preserve">, Graf W, </w:t>
      </w:r>
      <w:proofErr w:type="spellStart"/>
      <w:r w:rsidRPr="00C16015">
        <w:rPr>
          <w:rFonts w:ascii="Book Antiqua" w:eastAsia="宋体" w:hAnsi="Book Antiqua" w:cs="宋体"/>
          <w:color w:val="000000" w:themeColor="text1"/>
          <w:kern w:val="0"/>
          <w:sz w:val="24"/>
          <w:szCs w:val="24"/>
        </w:rPr>
        <w:t>Nygren</w:t>
      </w:r>
      <w:proofErr w:type="spellEnd"/>
      <w:r w:rsidRPr="00C16015">
        <w:rPr>
          <w:rFonts w:ascii="Book Antiqua" w:eastAsia="宋体" w:hAnsi="Book Antiqua" w:cs="宋体"/>
          <w:color w:val="000000" w:themeColor="text1"/>
          <w:kern w:val="0"/>
          <w:sz w:val="24"/>
          <w:szCs w:val="24"/>
        </w:rPr>
        <w:t xml:space="preserve"> P, </w:t>
      </w:r>
      <w:proofErr w:type="spellStart"/>
      <w:r w:rsidRPr="00C16015">
        <w:rPr>
          <w:rFonts w:ascii="Book Antiqua" w:eastAsia="宋体" w:hAnsi="Book Antiqua" w:cs="宋体"/>
          <w:color w:val="000000" w:themeColor="text1"/>
          <w:kern w:val="0"/>
          <w:sz w:val="24"/>
          <w:szCs w:val="24"/>
        </w:rPr>
        <w:t>Mahteme</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Cytoreductive</w:t>
      </w:r>
      <w:proofErr w:type="spellEnd"/>
      <w:r w:rsidRPr="00C16015">
        <w:rPr>
          <w:rFonts w:ascii="Book Antiqua" w:eastAsia="宋体" w:hAnsi="Book Antiqua" w:cs="宋体"/>
          <w:color w:val="000000" w:themeColor="text1"/>
          <w:kern w:val="0"/>
          <w:sz w:val="24"/>
          <w:szCs w:val="24"/>
        </w:rPr>
        <w:t xml:space="preserve"> surgery and intraperitoneal chemotherapy for colorectal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prognosis and treatment of recurrences in a cohort study. </w:t>
      </w:r>
      <w:proofErr w:type="spellStart"/>
      <w:r w:rsidRPr="00C16015">
        <w:rPr>
          <w:rFonts w:ascii="Book Antiqua" w:eastAsia="宋体" w:hAnsi="Book Antiqua" w:cs="宋体"/>
          <w:i/>
          <w:iCs/>
          <w:color w:val="000000" w:themeColor="text1"/>
          <w:kern w:val="0"/>
          <w:sz w:val="24"/>
          <w:szCs w:val="24"/>
        </w:rPr>
        <w:t>Eur</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38</w:t>
      </w:r>
      <w:r w:rsidRPr="00C16015">
        <w:rPr>
          <w:rFonts w:ascii="Book Antiqua" w:eastAsia="宋体" w:hAnsi="Book Antiqua" w:cs="宋体"/>
          <w:color w:val="000000" w:themeColor="text1"/>
          <w:kern w:val="0"/>
          <w:sz w:val="24"/>
          <w:szCs w:val="24"/>
        </w:rPr>
        <w:t>: 509-515 [PMID: 22475555 DOI: 10.1016/j.ejso.2012.03.001]</w:t>
      </w:r>
    </w:p>
    <w:p w14:paraId="076685BD"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38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Bandou</w:t>
      </w:r>
      <w:proofErr w:type="spellEnd"/>
      <w:r w:rsidRPr="00C16015">
        <w:rPr>
          <w:rFonts w:ascii="Book Antiqua" w:eastAsia="宋体" w:hAnsi="Book Antiqua" w:cs="宋体"/>
          <w:color w:val="000000" w:themeColor="text1"/>
          <w:kern w:val="0"/>
          <w:sz w:val="24"/>
          <w:szCs w:val="24"/>
        </w:rPr>
        <w:t xml:space="preserve"> E, </w:t>
      </w:r>
      <w:proofErr w:type="spellStart"/>
      <w:r w:rsidRPr="00C16015">
        <w:rPr>
          <w:rFonts w:ascii="Book Antiqua" w:eastAsia="宋体" w:hAnsi="Book Antiqua" w:cs="宋体"/>
          <w:color w:val="000000" w:themeColor="text1"/>
          <w:kern w:val="0"/>
          <w:sz w:val="24"/>
          <w:szCs w:val="24"/>
        </w:rPr>
        <w:t>Sawa</w:t>
      </w:r>
      <w:proofErr w:type="spellEnd"/>
      <w:r w:rsidRPr="00C16015">
        <w:rPr>
          <w:rFonts w:ascii="Book Antiqua" w:eastAsia="宋体" w:hAnsi="Book Antiqua" w:cs="宋体"/>
          <w:color w:val="000000" w:themeColor="text1"/>
          <w:kern w:val="0"/>
          <w:sz w:val="24"/>
          <w:szCs w:val="24"/>
        </w:rPr>
        <w:t xml:space="preserve"> T, </w:t>
      </w:r>
      <w:proofErr w:type="spellStart"/>
      <w:r w:rsidRPr="00C16015">
        <w:rPr>
          <w:rFonts w:ascii="Book Antiqua" w:eastAsia="宋体" w:hAnsi="Book Antiqua" w:cs="宋体"/>
          <w:color w:val="000000" w:themeColor="text1"/>
          <w:kern w:val="0"/>
          <w:sz w:val="24"/>
          <w:szCs w:val="24"/>
        </w:rPr>
        <w:t>Yoshimitsu</w:t>
      </w:r>
      <w:proofErr w:type="spellEnd"/>
      <w:r w:rsidRPr="00C16015">
        <w:rPr>
          <w:rFonts w:ascii="Book Antiqua" w:eastAsia="宋体" w:hAnsi="Book Antiqua" w:cs="宋体"/>
          <w:color w:val="000000" w:themeColor="text1"/>
          <w:kern w:val="0"/>
          <w:sz w:val="24"/>
          <w:szCs w:val="24"/>
        </w:rPr>
        <w:t xml:space="preserve"> Y, </w:t>
      </w:r>
      <w:proofErr w:type="spellStart"/>
      <w:r w:rsidRPr="00C16015">
        <w:rPr>
          <w:rFonts w:ascii="Book Antiqua" w:eastAsia="宋体" w:hAnsi="Book Antiqua" w:cs="宋体"/>
          <w:color w:val="000000" w:themeColor="text1"/>
          <w:kern w:val="0"/>
          <w:sz w:val="24"/>
          <w:szCs w:val="24"/>
        </w:rPr>
        <w:t>Endou</w:t>
      </w:r>
      <w:proofErr w:type="spellEnd"/>
      <w:r w:rsidRPr="00C16015">
        <w:rPr>
          <w:rFonts w:ascii="Book Antiqua" w:eastAsia="宋体" w:hAnsi="Book Antiqua" w:cs="宋体"/>
          <w:color w:val="000000" w:themeColor="text1"/>
          <w:kern w:val="0"/>
          <w:sz w:val="24"/>
          <w:szCs w:val="24"/>
        </w:rPr>
        <w:t xml:space="preserve"> Y, Sasaki T, </w:t>
      </w:r>
      <w:proofErr w:type="spellStart"/>
      <w:r w:rsidRPr="00C16015">
        <w:rPr>
          <w:rFonts w:ascii="Book Antiqua" w:eastAsia="宋体" w:hAnsi="Book Antiqua" w:cs="宋体"/>
          <w:color w:val="000000" w:themeColor="text1"/>
          <w:kern w:val="0"/>
          <w:sz w:val="24"/>
          <w:szCs w:val="24"/>
        </w:rPr>
        <w:t>Sugarbaker</w:t>
      </w:r>
      <w:proofErr w:type="spellEnd"/>
      <w:r w:rsidRPr="00C16015">
        <w:rPr>
          <w:rFonts w:ascii="Book Antiqua" w:eastAsia="宋体" w:hAnsi="Book Antiqua" w:cs="宋体"/>
          <w:color w:val="000000" w:themeColor="text1"/>
          <w:kern w:val="0"/>
          <w:sz w:val="24"/>
          <w:szCs w:val="24"/>
        </w:rPr>
        <w:t xml:space="preserve"> PH. Neoadjuvant treatment of gastric cancer with peritoneal dissemination. </w:t>
      </w:r>
      <w:proofErr w:type="spellStart"/>
      <w:r w:rsidRPr="00C16015">
        <w:rPr>
          <w:rFonts w:ascii="Book Antiqua" w:eastAsia="宋体" w:hAnsi="Book Antiqua" w:cs="宋体"/>
          <w:i/>
          <w:iCs/>
          <w:color w:val="000000" w:themeColor="text1"/>
          <w:kern w:val="0"/>
          <w:sz w:val="24"/>
          <w:szCs w:val="24"/>
        </w:rPr>
        <w:t>Eur</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2006; </w:t>
      </w:r>
      <w:r w:rsidRPr="00C16015">
        <w:rPr>
          <w:rFonts w:ascii="Book Antiqua" w:eastAsia="宋体" w:hAnsi="Book Antiqua" w:cs="宋体"/>
          <w:b/>
          <w:bCs/>
          <w:color w:val="000000" w:themeColor="text1"/>
          <w:kern w:val="0"/>
          <w:sz w:val="24"/>
          <w:szCs w:val="24"/>
        </w:rPr>
        <w:t>32</w:t>
      </w:r>
      <w:r w:rsidRPr="00C16015">
        <w:rPr>
          <w:rFonts w:ascii="Book Antiqua" w:eastAsia="宋体" w:hAnsi="Book Antiqua" w:cs="宋体"/>
          <w:color w:val="000000" w:themeColor="text1"/>
          <w:kern w:val="0"/>
          <w:sz w:val="24"/>
          <w:szCs w:val="24"/>
        </w:rPr>
        <w:t>: 661-665 [PMID: 16621433 DOI: 10.1016/j.ejso.2006.03.007]</w:t>
      </w:r>
    </w:p>
    <w:p w14:paraId="03255172"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39 </w:t>
      </w:r>
      <w:proofErr w:type="spellStart"/>
      <w:r w:rsidRPr="00C16015">
        <w:rPr>
          <w:rFonts w:ascii="Book Antiqua" w:eastAsia="宋体" w:hAnsi="Book Antiqua" w:cs="宋体"/>
          <w:b/>
          <w:bCs/>
          <w:color w:val="000000" w:themeColor="text1"/>
          <w:kern w:val="0"/>
          <w:sz w:val="24"/>
          <w:szCs w:val="24"/>
        </w:rPr>
        <w:t>Imano</w:t>
      </w:r>
      <w:proofErr w:type="spellEnd"/>
      <w:r w:rsidRPr="00C16015">
        <w:rPr>
          <w:rFonts w:ascii="Book Antiqua" w:eastAsia="宋体" w:hAnsi="Book Antiqua" w:cs="宋体"/>
          <w:b/>
          <w:bCs/>
          <w:color w:val="000000" w:themeColor="text1"/>
          <w:kern w:val="0"/>
          <w:sz w:val="24"/>
          <w:szCs w:val="24"/>
        </w:rPr>
        <w:t xml:space="preserve"> M</w:t>
      </w:r>
      <w:r w:rsidRPr="00C16015">
        <w:rPr>
          <w:rFonts w:ascii="Book Antiqua" w:eastAsia="宋体" w:hAnsi="Book Antiqua" w:cs="宋体"/>
          <w:color w:val="000000" w:themeColor="text1"/>
          <w:kern w:val="0"/>
          <w:sz w:val="24"/>
          <w:szCs w:val="24"/>
        </w:rPr>
        <w:t xml:space="preserve">, Yasuda A, Itoh T, </w:t>
      </w:r>
      <w:proofErr w:type="spellStart"/>
      <w:r w:rsidRPr="00C16015">
        <w:rPr>
          <w:rFonts w:ascii="Book Antiqua" w:eastAsia="宋体" w:hAnsi="Book Antiqua" w:cs="宋体"/>
          <w:color w:val="000000" w:themeColor="text1"/>
          <w:kern w:val="0"/>
          <w:sz w:val="24"/>
          <w:szCs w:val="24"/>
        </w:rPr>
        <w:t>Satou</w:t>
      </w:r>
      <w:proofErr w:type="spellEnd"/>
      <w:r w:rsidRPr="00C16015">
        <w:rPr>
          <w:rFonts w:ascii="Book Antiqua" w:eastAsia="宋体" w:hAnsi="Book Antiqua" w:cs="宋体"/>
          <w:color w:val="000000" w:themeColor="text1"/>
          <w:kern w:val="0"/>
          <w:sz w:val="24"/>
          <w:szCs w:val="24"/>
        </w:rPr>
        <w:t xml:space="preserve"> T, Peng YF, Kato H, </w:t>
      </w:r>
      <w:proofErr w:type="spellStart"/>
      <w:r w:rsidRPr="00C16015">
        <w:rPr>
          <w:rFonts w:ascii="Book Antiqua" w:eastAsia="宋体" w:hAnsi="Book Antiqua" w:cs="宋体"/>
          <w:color w:val="000000" w:themeColor="text1"/>
          <w:kern w:val="0"/>
          <w:sz w:val="24"/>
          <w:szCs w:val="24"/>
        </w:rPr>
        <w:t>Shinkai</w:t>
      </w:r>
      <w:proofErr w:type="spellEnd"/>
      <w:r w:rsidRPr="00C16015">
        <w:rPr>
          <w:rFonts w:ascii="Book Antiqua" w:eastAsia="宋体" w:hAnsi="Book Antiqua" w:cs="宋体"/>
          <w:color w:val="000000" w:themeColor="text1"/>
          <w:kern w:val="0"/>
          <w:sz w:val="24"/>
          <w:szCs w:val="24"/>
        </w:rPr>
        <w:t xml:space="preserve"> M, </w:t>
      </w:r>
      <w:proofErr w:type="spellStart"/>
      <w:r w:rsidRPr="00C16015">
        <w:rPr>
          <w:rFonts w:ascii="Book Antiqua" w:eastAsia="宋体" w:hAnsi="Book Antiqua" w:cs="宋体"/>
          <w:color w:val="000000" w:themeColor="text1"/>
          <w:kern w:val="0"/>
          <w:sz w:val="24"/>
          <w:szCs w:val="24"/>
        </w:rPr>
        <w:t>Tsubaki</w:t>
      </w:r>
      <w:proofErr w:type="spellEnd"/>
      <w:r w:rsidRPr="00C16015">
        <w:rPr>
          <w:rFonts w:ascii="Book Antiqua" w:eastAsia="宋体" w:hAnsi="Book Antiqua" w:cs="宋体"/>
          <w:color w:val="000000" w:themeColor="text1"/>
          <w:kern w:val="0"/>
          <w:sz w:val="24"/>
          <w:szCs w:val="24"/>
        </w:rPr>
        <w:t xml:space="preserve"> M, Chiba Y, Yasuda T, </w:t>
      </w:r>
      <w:proofErr w:type="spellStart"/>
      <w:r w:rsidRPr="00C16015">
        <w:rPr>
          <w:rFonts w:ascii="Book Antiqua" w:eastAsia="宋体" w:hAnsi="Book Antiqua" w:cs="宋体"/>
          <w:color w:val="000000" w:themeColor="text1"/>
          <w:kern w:val="0"/>
          <w:sz w:val="24"/>
          <w:szCs w:val="24"/>
        </w:rPr>
        <w:t>Imamoto</w:t>
      </w:r>
      <w:proofErr w:type="spellEnd"/>
      <w:r w:rsidRPr="00C16015">
        <w:rPr>
          <w:rFonts w:ascii="Book Antiqua" w:eastAsia="宋体" w:hAnsi="Book Antiqua" w:cs="宋体"/>
          <w:color w:val="000000" w:themeColor="text1"/>
          <w:kern w:val="0"/>
          <w:sz w:val="24"/>
          <w:szCs w:val="24"/>
        </w:rPr>
        <w:t xml:space="preserve"> H, Nishida S, Takeyama Y, </w:t>
      </w:r>
      <w:proofErr w:type="spellStart"/>
      <w:r w:rsidRPr="00C16015">
        <w:rPr>
          <w:rFonts w:ascii="Book Antiqua" w:eastAsia="宋体" w:hAnsi="Book Antiqua" w:cs="宋体"/>
          <w:color w:val="000000" w:themeColor="text1"/>
          <w:kern w:val="0"/>
          <w:sz w:val="24"/>
          <w:szCs w:val="24"/>
        </w:rPr>
        <w:t>Okuno</w:t>
      </w:r>
      <w:proofErr w:type="spellEnd"/>
      <w:r w:rsidRPr="00C16015">
        <w:rPr>
          <w:rFonts w:ascii="Book Antiqua" w:eastAsia="宋体" w:hAnsi="Book Antiqua" w:cs="宋体"/>
          <w:color w:val="000000" w:themeColor="text1"/>
          <w:kern w:val="0"/>
          <w:sz w:val="24"/>
          <w:szCs w:val="24"/>
        </w:rPr>
        <w:t xml:space="preserve"> K, Furukawa H, </w:t>
      </w:r>
      <w:proofErr w:type="spellStart"/>
      <w:r w:rsidRPr="00C16015">
        <w:rPr>
          <w:rFonts w:ascii="Book Antiqua" w:eastAsia="宋体" w:hAnsi="Book Antiqua" w:cs="宋体"/>
          <w:color w:val="000000" w:themeColor="text1"/>
          <w:kern w:val="0"/>
          <w:sz w:val="24"/>
          <w:szCs w:val="24"/>
        </w:rPr>
        <w:t>Shiozaki</w:t>
      </w:r>
      <w:proofErr w:type="spellEnd"/>
      <w:r w:rsidRPr="00C16015">
        <w:rPr>
          <w:rFonts w:ascii="Book Antiqua" w:eastAsia="宋体" w:hAnsi="Book Antiqua" w:cs="宋体"/>
          <w:color w:val="000000" w:themeColor="text1"/>
          <w:kern w:val="0"/>
          <w:sz w:val="24"/>
          <w:szCs w:val="24"/>
        </w:rPr>
        <w:t xml:space="preserve"> H. Phase II study of single intraperitoneal chemotherapy followed by systemic chemotherapy for gastric cancer with peritoneal metastasis.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Gastrointest</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16</w:t>
      </w:r>
      <w:r w:rsidRPr="00C16015">
        <w:rPr>
          <w:rFonts w:ascii="Book Antiqua" w:eastAsia="宋体" w:hAnsi="Book Antiqua" w:cs="宋体"/>
          <w:color w:val="000000" w:themeColor="text1"/>
          <w:kern w:val="0"/>
          <w:sz w:val="24"/>
          <w:szCs w:val="24"/>
        </w:rPr>
        <w:t>: 2190-2196 [PMID: 23099736 DOI: 10.1007/s11605-012-2059-3]</w:t>
      </w:r>
    </w:p>
    <w:p w14:paraId="49B23537"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40 </w:t>
      </w:r>
      <w:proofErr w:type="spellStart"/>
      <w:r w:rsidRPr="00C16015">
        <w:rPr>
          <w:rFonts w:ascii="Book Antiqua" w:eastAsia="宋体" w:hAnsi="Book Antiqua" w:cs="宋体"/>
          <w:b/>
          <w:bCs/>
          <w:color w:val="000000" w:themeColor="text1"/>
          <w:kern w:val="0"/>
          <w:sz w:val="24"/>
          <w:szCs w:val="24"/>
        </w:rPr>
        <w:t>Emoto</w:t>
      </w:r>
      <w:proofErr w:type="spellEnd"/>
      <w:r w:rsidRPr="00C16015">
        <w:rPr>
          <w:rFonts w:ascii="Book Antiqua" w:eastAsia="宋体" w:hAnsi="Book Antiqua" w:cs="宋体"/>
          <w:b/>
          <w:bCs/>
          <w:color w:val="000000" w:themeColor="text1"/>
          <w:kern w:val="0"/>
          <w:sz w:val="24"/>
          <w:szCs w:val="24"/>
        </w:rPr>
        <w:t xml:space="preserve"> S</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Ishigami</w:t>
      </w:r>
      <w:proofErr w:type="spellEnd"/>
      <w:r w:rsidRPr="00C16015">
        <w:rPr>
          <w:rFonts w:ascii="Book Antiqua" w:eastAsia="宋体" w:hAnsi="Book Antiqua" w:cs="宋体"/>
          <w:color w:val="000000" w:themeColor="text1"/>
          <w:kern w:val="0"/>
          <w:sz w:val="24"/>
          <w:szCs w:val="24"/>
        </w:rPr>
        <w:t xml:space="preserve"> H, </w:t>
      </w:r>
      <w:proofErr w:type="spellStart"/>
      <w:r w:rsidRPr="00C16015">
        <w:rPr>
          <w:rFonts w:ascii="Book Antiqua" w:eastAsia="宋体" w:hAnsi="Book Antiqua" w:cs="宋体"/>
          <w:color w:val="000000" w:themeColor="text1"/>
          <w:kern w:val="0"/>
          <w:sz w:val="24"/>
          <w:szCs w:val="24"/>
        </w:rPr>
        <w:t>Hidemura</w:t>
      </w:r>
      <w:proofErr w:type="spellEnd"/>
      <w:r w:rsidRPr="00C16015">
        <w:rPr>
          <w:rFonts w:ascii="Book Antiqua" w:eastAsia="宋体" w:hAnsi="Book Antiqua" w:cs="宋体"/>
          <w:color w:val="000000" w:themeColor="text1"/>
          <w:kern w:val="0"/>
          <w:sz w:val="24"/>
          <w:szCs w:val="24"/>
        </w:rPr>
        <w:t xml:space="preserve"> A, Yamaguchi H, Yamashita H,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Watanabe T. Complications and management of an implanted intraperitoneal access port system for intraperitoneal chemotherapy for gastric cancer with peritoneal metastasis. </w:t>
      </w:r>
      <w:proofErr w:type="spellStart"/>
      <w:r w:rsidRPr="00C16015">
        <w:rPr>
          <w:rFonts w:ascii="Book Antiqua" w:eastAsia="宋体" w:hAnsi="Book Antiqua" w:cs="宋体"/>
          <w:i/>
          <w:iCs/>
          <w:color w:val="000000" w:themeColor="text1"/>
          <w:kern w:val="0"/>
          <w:sz w:val="24"/>
          <w:szCs w:val="24"/>
        </w:rPr>
        <w:t>Jpn</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42</w:t>
      </w:r>
      <w:r w:rsidRPr="00C16015">
        <w:rPr>
          <w:rFonts w:ascii="Book Antiqua" w:eastAsia="宋体" w:hAnsi="Book Antiqua" w:cs="宋体"/>
          <w:color w:val="000000" w:themeColor="text1"/>
          <w:kern w:val="0"/>
          <w:sz w:val="24"/>
          <w:szCs w:val="24"/>
        </w:rPr>
        <w:t>: 1013-1019 [PMID: 22872745 DOI: 10.1093/</w:t>
      </w:r>
      <w:proofErr w:type="spellStart"/>
      <w:r w:rsidRPr="00C16015">
        <w:rPr>
          <w:rFonts w:ascii="Book Antiqua" w:eastAsia="宋体" w:hAnsi="Book Antiqua" w:cs="宋体"/>
          <w:color w:val="000000" w:themeColor="text1"/>
          <w:kern w:val="0"/>
          <w:sz w:val="24"/>
          <w:szCs w:val="24"/>
        </w:rPr>
        <w:t>jjco</w:t>
      </w:r>
      <w:proofErr w:type="spellEnd"/>
      <w:r w:rsidRPr="00C16015">
        <w:rPr>
          <w:rFonts w:ascii="Book Antiqua" w:eastAsia="宋体" w:hAnsi="Book Antiqua" w:cs="宋体"/>
          <w:color w:val="000000" w:themeColor="text1"/>
          <w:kern w:val="0"/>
          <w:sz w:val="24"/>
          <w:szCs w:val="24"/>
        </w:rPr>
        <w:t>/hys129]</w:t>
      </w:r>
    </w:p>
    <w:p w14:paraId="54B05EAA"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41 </w:t>
      </w:r>
      <w:r w:rsidRPr="00C16015">
        <w:rPr>
          <w:rFonts w:ascii="Book Antiqua" w:eastAsia="宋体" w:hAnsi="Book Antiqua" w:cs="宋体"/>
          <w:b/>
          <w:bCs/>
          <w:color w:val="000000" w:themeColor="text1"/>
          <w:kern w:val="0"/>
          <w:sz w:val="24"/>
          <w:szCs w:val="24"/>
        </w:rPr>
        <w:t>Walker JL</w:t>
      </w:r>
      <w:r w:rsidRPr="00C16015">
        <w:rPr>
          <w:rFonts w:ascii="Book Antiqua" w:eastAsia="宋体" w:hAnsi="Book Antiqua" w:cs="宋体"/>
          <w:color w:val="000000" w:themeColor="text1"/>
          <w:kern w:val="0"/>
          <w:sz w:val="24"/>
          <w:szCs w:val="24"/>
        </w:rPr>
        <w:t xml:space="preserve">, Armstrong DK, Huang HQ, Fowler J, Webster K, Burger RA, Clarke-Pearson D. Intraperitoneal catheter outcomes in a phase III trial of intravenous versus intraperitoneal chemotherapy in optimal stage III ovarian and primary peritoneal cancer: a Gynecologic Oncology Group Study. </w:t>
      </w:r>
      <w:proofErr w:type="spellStart"/>
      <w:r w:rsidRPr="00C16015">
        <w:rPr>
          <w:rFonts w:ascii="Book Antiqua" w:eastAsia="宋体" w:hAnsi="Book Antiqua" w:cs="宋体"/>
          <w:i/>
          <w:iCs/>
          <w:color w:val="000000" w:themeColor="text1"/>
          <w:kern w:val="0"/>
          <w:sz w:val="24"/>
          <w:szCs w:val="24"/>
        </w:rPr>
        <w:t>Gynecol</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2006; </w:t>
      </w:r>
      <w:r w:rsidRPr="00C16015">
        <w:rPr>
          <w:rFonts w:ascii="Book Antiqua" w:eastAsia="宋体" w:hAnsi="Book Antiqua" w:cs="宋体"/>
          <w:b/>
          <w:bCs/>
          <w:color w:val="000000" w:themeColor="text1"/>
          <w:kern w:val="0"/>
          <w:sz w:val="24"/>
          <w:szCs w:val="24"/>
        </w:rPr>
        <w:t>100</w:t>
      </w:r>
      <w:r w:rsidRPr="00C16015">
        <w:rPr>
          <w:rFonts w:ascii="Book Antiqua" w:eastAsia="宋体" w:hAnsi="Book Antiqua" w:cs="宋体"/>
          <w:color w:val="000000" w:themeColor="text1"/>
          <w:kern w:val="0"/>
          <w:sz w:val="24"/>
          <w:szCs w:val="24"/>
        </w:rPr>
        <w:t>: 27-32 [PMID: 16368440 DOI: 10.1016/j.ygyno.2005.11.013]</w:t>
      </w:r>
    </w:p>
    <w:p w14:paraId="0D2C8EE1"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42 </w:t>
      </w:r>
      <w:r w:rsidRPr="00C16015">
        <w:rPr>
          <w:rFonts w:ascii="Book Antiqua" w:eastAsia="宋体" w:hAnsi="Book Antiqua" w:cs="宋体"/>
          <w:b/>
          <w:bCs/>
          <w:color w:val="000000" w:themeColor="text1"/>
          <w:kern w:val="0"/>
          <w:sz w:val="24"/>
          <w:szCs w:val="24"/>
        </w:rPr>
        <w:t>Kodera Y</w:t>
      </w:r>
      <w:r w:rsidRPr="00C16015">
        <w:rPr>
          <w:rFonts w:ascii="Book Antiqua" w:eastAsia="宋体" w:hAnsi="Book Antiqua" w:cs="宋体"/>
          <w:color w:val="000000" w:themeColor="text1"/>
          <w:kern w:val="0"/>
          <w:sz w:val="24"/>
          <w:szCs w:val="24"/>
        </w:rPr>
        <w:t xml:space="preserve">, Ito Y, Ito S, </w:t>
      </w:r>
      <w:proofErr w:type="spellStart"/>
      <w:r w:rsidRPr="00C16015">
        <w:rPr>
          <w:rFonts w:ascii="Book Antiqua" w:eastAsia="宋体" w:hAnsi="Book Antiqua" w:cs="宋体"/>
          <w:color w:val="000000" w:themeColor="text1"/>
          <w:kern w:val="0"/>
          <w:sz w:val="24"/>
          <w:szCs w:val="24"/>
        </w:rPr>
        <w:t>Ohashi</w:t>
      </w:r>
      <w:proofErr w:type="spellEnd"/>
      <w:r w:rsidRPr="00C16015">
        <w:rPr>
          <w:rFonts w:ascii="Book Antiqua" w:eastAsia="宋体" w:hAnsi="Book Antiqua" w:cs="宋体"/>
          <w:color w:val="000000" w:themeColor="text1"/>
          <w:kern w:val="0"/>
          <w:sz w:val="24"/>
          <w:szCs w:val="24"/>
        </w:rPr>
        <w:t xml:space="preserve"> N, Mochizuki Y, Yamamura Y, Koike M, Fujiwara M, Nakanishi H, Nakao A. Intraperitoneal paclitaxel: a possible impact of regional delivery for prevention of peritoneal </w:t>
      </w:r>
      <w:proofErr w:type="spellStart"/>
      <w:r w:rsidRPr="00C16015">
        <w:rPr>
          <w:rFonts w:ascii="Book Antiqua" w:eastAsia="宋体" w:hAnsi="Book Antiqua" w:cs="宋体"/>
          <w:color w:val="000000" w:themeColor="text1"/>
          <w:kern w:val="0"/>
          <w:sz w:val="24"/>
          <w:szCs w:val="24"/>
        </w:rPr>
        <w:t>carcinomatosis</w:t>
      </w:r>
      <w:proofErr w:type="spellEnd"/>
      <w:r w:rsidRPr="00C16015">
        <w:rPr>
          <w:rFonts w:ascii="Book Antiqua" w:eastAsia="宋体" w:hAnsi="Book Antiqua" w:cs="宋体"/>
          <w:color w:val="000000" w:themeColor="text1"/>
          <w:kern w:val="0"/>
          <w:sz w:val="24"/>
          <w:szCs w:val="24"/>
        </w:rPr>
        <w:t xml:space="preserve"> in patients with gastric carcinoma. </w:t>
      </w:r>
      <w:proofErr w:type="spellStart"/>
      <w:r w:rsidRPr="00C16015">
        <w:rPr>
          <w:rFonts w:ascii="Book Antiqua" w:eastAsia="宋体" w:hAnsi="Book Antiqua" w:cs="宋体"/>
          <w:i/>
          <w:iCs/>
          <w:color w:val="000000" w:themeColor="text1"/>
          <w:kern w:val="0"/>
          <w:sz w:val="24"/>
          <w:szCs w:val="24"/>
        </w:rPr>
        <w:t>Hepatogastroenterology</w:t>
      </w:r>
      <w:proofErr w:type="spellEnd"/>
      <w:r w:rsidRPr="00C16015">
        <w:rPr>
          <w:rFonts w:ascii="Book Antiqua" w:eastAsia="宋体" w:hAnsi="Book Antiqua" w:cs="宋体"/>
          <w:color w:val="000000" w:themeColor="text1"/>
          <w:kern w:val="0"/>
          <w:sz w:val="24"/>
          <w:szCs w:val="24"/>
        </w:rPr>
        <w:t xml:space="preserve"> 2007; </w:t>
      </w:r>
      <w:r w:rsidRPr="00C16015">
        <w:rPr>
          <w:rFonts w:ascii="Book Antiqua" w:eastAsia="宋体" w:hAnsi="Book Antiqua" w:cs="宋体"/>
          <w:b/>
          <w:bCs/>
          <w:color w:val="000000" w:themeColor="text1"/>
          <w:kern w:val="0"/>
          <w:sz w:val="24"/>
          <w:szCs w:val="24"/>
        </w:rPr>
        <w:t>54</w:t>
      </w:r>
      <w:r w:rsidRPr="00C16015">
        <w:rPr>
          <w:rFonts w:ascii="Book Antiqua" w:eastAsia="宋体" w:hAnsi="Book Antiqua" w:cs="宋体"/>
          <w:color w:val="000000" w:themeColor="text1"/>
          <w:kern w:val="0"/>
          <w:sz w:val="24"/>
          <w:szCs w:val="24"/>
        </w:rPr>
        <w:t>: 960-963 [PMID: 17591103]</w:t>
      </w:r>
    </w:p>
    <w:p w14:paraId="01720F88"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43 </w:t>
      </w:r>
      <w:r w:rsidRPr="00C16015">
        <w:rPr>
          <w:rFonts w:ascii="Book Antiqua" w:eastAsia="宋体" w:hAnsi="Book Antiqua" w:cs="宋体"/>
          <w:b/>
          <w:bCs/>
          <w:color w:val="000000" w:themeColor="text1"/>
          <w:kern w:val="0"/>
          <w:sz w:val="24"/>
          <w:szCs w:val="24"/>
        </w:rPr>
        <w:t>Fujiwara Y</w:t>
      </w:r>
      <w:r w:rsidRPr="00C16015">
        <w:rPr>
          <w:rFonts w:ascii="Book Antiqua" w:eastAsia="宋体" w:hAnsi="Book Antiqua" w:cs="宋体"/>
          <w:color w:val="000000" w:themeColor="text1"/>
          <w:kern w:val="0"/>
          <w:sz w:val="24"/>
          <w:szCs w:val="24"/>
        </w:rPr>
        <w:t xml:space="preserve">, Nishida T, </w:t>
      </w:r>
      <w:proofErr w:type="spellStart"/>
      <w:r w:rsidRPr="00C16015">
        <w:rPr>
          <w:rFonts w:ascii="Book Antiqua" w:eastAsia="宋体" w:hAnsi="Book Antiqua" w:cs="宋体"/>
          <w:color w:val="000000" w:themeColor="text1"/>
          <w:kern w:val="0"/>
          <w:sz w:val="24"/>
          <w:szCs w:val="24"/>
        </w:rPr>
        <w:t>Takiguchi</w:t>
      </w:r>
      <w:proofErr w:type="spellEnd"/>
      <w:r w:rsidRPr="00C16015">
        <w:rPr>
          <w:rFonts w:ascii="Book Antiqua" w:eastAsia="宋体" w:hAnsi="Book Antiqua" w:cs="宋体"/>
          <w:color w:val="000000" w:themeColor="text1"/>
          <w:kern w:val="0"/>
          <w:sz w:val="24"/>
          <w:szCs w:val="24"/>
        </w:rPr>
        <w:t xml:space="preserve"> S, Nakajima K, Miyata H, Yamasaki M, Yamamoto K, Moon JH, Mori M, </w:t>
      </w:r>
      <w:proofErr w:type="spellStart"/>
      <w:r w:rsidRPr="00C16015">
        <w:rPr>
          <w:rFonts w:ascii="Book Antiqua" w:eastAsia="宋体" w:hAnsi="Book Antiqua" w:cs="宋体"/>
          <w:color w:val="000000" w:themeColor="text1"/>
          <w:kern w:val="0"/>
          <w:sz w:val="24"/>
          <w:szCs w:val="24"/>
        </w:rPr>
        <w:t>Doki</w:t>
      </w:r>
      <w:proofErr w:type="spellEnd"/>
      <w:r w:rsidRPr="00C16015">
        <w:rPr>
          <w:rFonts w:ascii="Book Antiqua" w:eastAsia="宋体" w:hAnsi="Book Antiqua" w:cs="宋体"/>
          <w:color w:val="000000" w:themeColor="text1"/>
          <w:kern w:val="0"/>
          <w:sz w:val="24"/>
          <w:szCs w:val="24"/>
        </w:rPr>
        <w:t xml:space="preserve"> Y. Feasibility study of S-1 and intraperitoneal docetaxel combination chemotherapy for gastric cancer with peritoneal dissemination. </w:t>
      </w:r>
      <w:r w:rsidRPr="00C16015">
        <w:rPr>
          <w:rFonts w:ascii="Book Antiqua" w:eastAsia="宋体" w:hAnsi="Book Antiqua" w:cs="宋体"/>
          <w:i/>
          <w:iCs/>
          <w:color w:val="000000" w:themeColor="text1"/>
          <w:kern w:val="0"/>
          <w:sz w:val="24"/>
          <w:szCs w:val="24"/>
        </w:rPr>
        <w:t>Anticancer Res</w:t>
      </w:r>
      <w:r w:rsidRPr="00C16015">
        <w:rPr>
          <w:rFonts w:ascii="Book Antiqua" w:eastAsia="宋体" w:hAnsi="Book Antiqua" w:cs="宋体"/>
          <w:color w:val="000000" w:themeColor="text1"/>
          <w:kern w:val="0"/>
          <w:sz w:val="24"/>
          <w:szCs w:val="24"/>
        </w:rPr>
        <w:t xml:space="preserve"> 2010; </w:t>
      </w:r>
      <w:r w:rsidRPr="00C16015">
        <w:rPr>
          <w:rFonts w:ascii="Book Antiqua" w:eastAsia="宋体" w:hAnsi="Book Antiqua" w:cs="宋体"/>
          <w:b/>
          <w:bCs/>
          <w:color w:val="000000" w:themeColor="text1"/>
          <w:kern w:val="0"/>
          <w:sz w:val="24"/>
          <w:szCs w:val="24"/>
        </w:rPr>
        <w:t>30</w:t>
      </w:r>
      <w:r w:rsidRPr="00C16015">
        <w:rPr>
          <w:rFonts w:ascii="Book Antiqua" w:eastAsia="宋体" w:hAnsi="Book Antiqua" w:cs="宋体"/>
          <w:color w:val="000000" w:themeColor="text1"/>
          <w:kern w:val="0"/>
          <w:sz w:val="24"/>
          <w:szCs w:val="24"/>
        </w:rPr>
        <w:t>: 1335-1339 [PMID: 20530449]</w:t>
      </w:r>
    </w:p>
    <w:p w14:paraId="0FCA73F4"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44 </w:t>
      </w:r>
      <w:r w:rsidRPr="00C16015">
        <w:rPr>
          <w:rFonts w:ascii="Book Antiqua" w:eastAsia="宋体" w:hAnsi="Book Antiqua" w:cs="宋体"/>
          <w:b/>
          <w:bCs/>
          <w:color w:val="000000" w:themeColor="text1"/>
          <w:kern w:val="0"/>
          <w:sz w:val="24"/>
          <w:szCs w:val="24"/>
        </w:rPr>
        <w:t>Kurita N</w:t>
      </w:r>
      <w:r w:rsidRPr="00C16015">
        <w:rPr>
          <w:rFonts w:ascii="Book Antiqua" w:eastAsia="宋体" w:hAnsi="Book Antiqua" w:cs="宋体"/>
          <w:color w:val="000000" w:themeColor="text1"/>
          <w:kern w:val="0"/>
          <w:sz w:val="24"/>
          <w:szCs w:val="24"/>
        </w:rPr>
        <w:t xml:space="preserve">, Shimada M, Iwata T, </w:t>
      </w:r>
      <w:proofErr w:type="spellStart"/>
      <w:r w:rsidRPr="00C16015">
        <w:rPr>
          <w:rFonts w:ascii="Book Antiqua" w:eastAsia="宋体" w:hAnsi="Book Antiqua" w:cs="宋体"/>
          <w:color w:val="000000" w:themeColor="text1"/>
          <w:kern w:val="0"/>
          <w:sz w:val="24"/>
          <w:szCs w:val="24"/>
        </w:rPr>
        <w:t>Nishioka</w:t>
      </w:r>
      <w:proofErr w:type="spellEnd"/>
      <w:r w:rsidRPr="00C16015">
        <w:rPr>
          <w:rFonts w:ascii="Book Antiqua" w:eastAsia="宋体" w:hAnsi="Book Antiqua" w:cs="宋体"/>
          <w:color w:val="000000" w:themeColor="text1"/>
          <w:kern w:val="0"/>
          <w:sz w:val="24"/>
          <w:szCs w:val="24"/>
        </w:rPr>
        <w:t xml:space="preserve"> M, Morimoto S, Yoshikawa K, </w:t>
      </w:r>
      <w:proofErr w:type="spellStart"/>
      <w:r w:rsidRPr="00C16015">
        <w:rPr>
          <w:rFonts w:ascii="Book Antiqua" w:eastAsia="宋体" w:hAnsi="Book Antiqua" w:cs="宋体"/>
          <w:color w:val="000000" w:themeColor="text1"/>
          <w:kern w:val="0"/>
          <w:sz w:val="24"/>
          <w:szCs w:val="24"/>
        </w:rPr>
        <w:t>Higashijima</w:t>
      </w:r>
      <w:proofErr w:type="spellEnd"/>
      <w:r w:rsidRPr="00C16015">
        <w:rPr>
          <w:rFonts w:ascii="Book Antiqua" w:eastAsia="宋体" w:hAnsi="Book Antiqua" w:cs="宋体"/>
          <w:color w:val="000000" w:themeColor="text1"/>
          <w:kern w:val="0"/>
          <w:sz w:val="24"/>
          <w:szCs w:val="24"/>
        </w:rPr>
        <w:t xml:space="preserve"> J, </w:t>
      </w:r>
      <w:proofErr w:type="spellStart"/>
      <w:r w:rsidRPr="00C16015">
        <w:rPr>
          <w:rFonts w:ascii="Book Antiqua" w:eastAsia="宋体" w:hAnsi="Book Antiqua" w:cs="宋体"/>
          <w:color w:val="000000" w:themeColor="text1"/>
          <w:kern w:val="0"/>
          <w:sz w:val="24"/>
          <w:szCs w:val="24"/>
        </w:rPr>
        <w:t>Miyatani</w:t>
      </w:r>
      <w:proofErr w:type="spellEnd"/>
      <w:r w:rsidRPr="00C16015">
        <w:rPr>
          <w:rFonts w:ascii="Book Antiqua" w:eastAsia="宋体" w:hAnsi="Book Antiqua" w:cs="宋体"/>
          <w:color w:val="000000" w:themeColor="text1"/>
          <w:kern w:val="0"/>
          <w:sz w:val="24"/>
          <w:szCs w:val="24"/>
        </w:rPr>
        <w:t xml:space="preserve"> T, Nakao T. Intraperitoneal infusion of paclitaxel with S-1 for peritoneal metastasis of advanced gastric cancer: phase I study. </w:t>
      </w:r>
      <w:r w:rsidRPr="00C16015">
        <w:rPr>
          <w:rFonts w:ascii="Book Antiqua" w:eastAsia="宋体" w:hAnsi="Book Antiqua" w:cs="宋体"/>
          <w:i/>
          <w:iCs/>
          <w:color w:val="000000" w:themeColor="text1"/>
          <w:kern w:val="0"/>
          <w:sz w:val="24"/>
          <w:szCs w:val="24"/>
        </w:rPr>
        <w:t>J Med Invest</w:t>
      </w:r>
      <w:r w:rsidRPr="00C16015">
        <w:rPr>
          <w:rFonts w:ascii="Book Antiqua" w:eastAsia="宋体" w:hAnsi="Book Antiqua" w:cs="宋体"/>
          <w:color w:val="000000" w:themeColor="text1"/>
          <w:kern w:val="0"/>
          <w:sz w:val="24"/>
          <w:szCs w:val="24"/>
        </w:rPr>
        <w:t xml:space="preserve"> 2011; </w:t>
      </w:r>
      <w:r w:rsidRPr="00C16015">
        <w:rPr>
          <w:rFonts w:ascii="Book Antiqua" w:eastAsia="宋体" w:hAnsi="Book Antiqua" w:cs="宋体"/>
          <w:b/>
          <w:bCs/>
          <w:color w:val="000000" w:themeColor="text1"/>
          <w:kern w:val="0"/>
          <w:sz w:val="24"/>
          <w:szCs w:val="24"/>
        </w:rPr>
        <w:t>58</w:t>
      </w:r>
      <w:r w:rsidRPr="00C16015">
        <w:rPr>
          <w:rFonts w:ascii="Book Antiqua" w:eastAsia="宋体" w:hAnsi="Book Antiqua" w:cs="宋体"/>
          <w:color w:val="000000" w:themeColor="text1"/>
          <w:kern w:val="0"/>
          <w:sz w:val="24"/>
          <w:szCs w:val="24"/>
        </w:rPr>
        <w:t>: 134-139 [PMID: 21372498]</w:t>
      </w:r>
    </w:p>
    <w:p w14:paraId="64CF1D2C"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lastRenderedPageBreak/>
        <w:t xml:space="preserve">45 </w:t>
      </w:r>
      <w:proofErr w:type="spellStart"/>
      <w:r w:rsidRPr="00C16015">
        <w:rPr>
          <w:rFonts w:ascii="Book Antiqua" w:eastAsia="宋体" w:hAnsi="Book Antiqua" w:cs="宋体"/>
          <w:b/>
          <w:bCs/>
          <w:color w:val="000000" w:themeColor="text1"/>
          <w:kern w:val="0"/>
          <w:sz w:val="24"/>
          <w:szCs w:val="24"/>
        </w:rPr>
        <w:t>Ishigami</w:t>
      </w:r>
      <w:proofErr w:type="spellEnd"/>
      <w:r w:rsidRPr="00C16015">
        <w:rPr>
          <w:rFonts w:ascii="Book Antiqua" w:eastAsia="宋体" w:hAnsi="Book Antiqua" w:cs="宋体"/>
          <w:b/>
          <w:bCs/>
          <w:color w:val="000000" w:themeColor="text1"/>
          <w:kern w:val="0"/>
          <w:sz w:val="24"/>
          <w:szCs w:val="24"/>
        </w:rPr>
        <w:t xml:space="preserve"> H</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Kitayama</w:t>
      </w:r>
      <w:proofErr w:type="spellEnd"/>
      <w:r w:rsidRPr="00C16015">
        <w:rPr>
          <w:rFonts w:ascii="Book Antiqua" w:eastAsia="宋体" w:hAnsi="Book Antiqua" w:cs="宋体"/>
          <w:color w:val="000000" w:themeColor="text1"/>
          <w:kern w:val="0"/>
          <w:sz w:val="24"/>
          <w:szCs w:val="24"/>
        </w:rPr>
        <w:t xml:space="preserve"> J, </w:t>
      </w:r>
      <w:proofErr w:type="spellStart"/>
      <w:r w:rsidRPr="00C16015">
        <w:rPr>
          <w:rFonts w:ascii="Book Antiqua" w:eastAsia="宋体" w:hAnsi="Book Antiqua" w:cs="宋体"/>
          <w:color w:val="000000" w:themeColor="text1"/>
          <w:kern w:val="0"/>
          <w:sz w:val="24"/>
          <w:szCs w:val="24"/>
        </w:rPr>
        <w:t>Otani</w:t>
      </w:r>
      <w:proofErr w:type="spellEnd"/>
      <w:r w:rsidRPr="00C16015">
        <w:rPr>
          <w:rFonts w:ascii="Book Antiqua" w:eastAsia="宋体" w:hAnsi="Book Antiqua" w:cs="宋体"/>
          <w:color w:val="000000" w:themeColor="text1"/>
          <w:kern w:val="0"/>
          <w:sz w:val="24"/>
          <w:szCs w:val="24"/>
        </w:rPr>
        <w:t xml:space="preserve"> K, Kamei T, Soma D, </w:t>
      </w:r>
      <w:proofErr w:type="spellStart"/>
      <w:r w:rsidRPr="00C16015">
        <w:rPr>
          <w:rFonts w:ascii="Book Antiqua" w:eastAsia="宋体" w:hAnsi="Book Antiqua" w:cs="宋体"/>
          <w:color w:val="000000" w:themeColor="text1"/>
          <w:kern w:val="0"/>
          <w:sz w:val="24"/>
          <w:szCs w:val="24"/>
        </w:rPr>
        <w:t>Miyato</w:t>
      </w:r>
      <w:proofErr w:type="spellEnd"/>
      <w:r w:rsidRPr="00C16015">
        <w:rPr>
          <w:rFonts w:ascii="Book Antiqua" w:eastAsia="宋体" w:hAnsi="Book Antiqua" w:cs="宋体"/>
          <w:color w:val="000000" w:themeColor="text1"/>
          <w:kern w:val="0"/>
          <w:sz w:val="24"/>
          <w:szCs w:val="24"/>
        </w:rPr>
        <w:t xml:space="preserve"> H, Yamashita H, </w:t>
      </w:r>
      <w:proofErr w:type="spellStart"/>
      <w:r w:rsidRPr="00C16015">
        <w:rPr>
          <w:rFonts w:ascii="Book Antiqua" w:eastAsia="宋体" w:hAnsi="Book Antiqua" w:cs="宋体"/>
          <w:color w:val="000000" w:themeColor="text1"/>
          <w:kern w:val="0"/>
          <w:sz w:val="24"/>
          <w:szCs w:val="24"/>
        </w:rPr>
        <w:t>Hidemura</w:t>
      </w:r>
      <w:proofErr w:type="spellEnd"/>
      <w:r w:rsidRPr="00C16015">
        <w:rPr>
          <w:rFonts w:ascii="Book Antiqua" w:eastAsia="宋体" w:hAnsi="Book Antiqua" w:cs="宋体"/>
          <w:color w:val="000000" w:themeColor="text1"/>
          <w:kern w:val="0"/>
          <w:sz w:val="24"/>
          <w:szCs w:val="24"/>
        </w:rPr>
        <w:t xml:space="preserve"> A, </w:t>
      </w:r>
      <w:proofErr w:type="spellStart"/>
      <w:r w:rsidRPr="00C16015">
        <w:rPr>
          <w:rFonts w:ascii="Book Antiqua" w:eastAsia="宋体" w:hAnsi="Book Antiqua" w:cs="宋体"/>
          <w:color w:val="000000" w:themeColor="text1"/>
          <w:kern w:val="0"/>
          <w:sz w:val="24"/>
          <w:szCs w:val="24"/>
        </w:rPr>
        <w:t>Kaisaki</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Nagawa</w:t>
      </w:r>
      <w:proofErr w:type="spellEnd"/>
      <w:r w:rsidRPr="00C16015">
        <w:rPr>
          <w:rFonts w:ascii="Book Antiqua" w:eastAsia="宋体" w:hAnsi="Book Antiqua" w:cs="宋体"/>
          <w:color w:val="000000" w:themeColor="text1"/>
          <w:kern w:val="0"/>
          <w:sz w:val="24"/>
          <w:szCs w:val="24"/>
        </w:rPr>
        <w:t xml:space="preserve"> H. Phase I pharmacokinetic study of weekly intravenous and intraperitoneal paclitaxel combined with S-1 for advanced gastric cancer. </w:t>
      </w:r>
      <w:r w:rsidRPr="00C16015">
        <w:rPr>
          <w:rFonts w:ascii="Book Antiqua" w:eastAsia="宋体" w:hAnsi="Book Antiqua" w:cs="宋体"/>
          <w:i/>
          <w:iCs/>
          <w:color w:val="000000" w:themeColor="text1"/>
          <w:kern w:val="0"/>
          <w:sz w:val="24"/>
          <w:szCs w:val="24"/>
        </w:rPr>
        <w:t>Oncology</w:t>
      </w:r>
      <w:r w:rsidRPr="00C16015">
        <w:rPr>
          <w:rFonts w:ascii="Book Antiqua" w:eastAsia="宋体" w:hAnsi="Book Antiqua" w:cs="宋体"/>
          <w:color w:val="000000" w:themeColor="text1"/>
          <w:kern w:val="0"/>
          <w:sz w:val="24"/>
          <w:szCs w:val="24"/>
        </w:rPr>
        <w:t xml:space="preserve"> 2009; </w:t>
      </w:r>
      <w:r w:rsidRPr="00C16015">
        <w:rPr>
          <w:rFonts w:ascii="Book Antiqua" w:eastAsia="宋体" w:hAnsi="Book Antiqua" w:cs="宋体"/>
          <w:b/>
          <w:bCs/>
          <w:color w:val="000000" w:themeColor="text1"/>
          <w:kern w:val="0"/>
          <w:sz w:val="24"/>
          <w:szCs w:val="24"/>
        </w:rPr>
        <w:t>76</w:t>
      </w:r>
      <w:r w:rsidRPr="00C16015">
        <w:rPr>
          <w:rFonts w:ascii="Book Antiqua" w:eastAsia="宋体" w:hAnsi="Book Antiqua" w:cs="宋体"/>
          <w:color w:val="000000" w:themeColor="text1"/>
          <w:kern w:val="0"/>
          <w:sz w:val="24"/>
          <w:szCs w:val="24"/>
        </w:rPr>
        <w:t>: 311-314 [PMID: 19299904 DOI: 10.1159/000209277]</w:t>
      </w:r>
    </w:p>
    <w:p w14:paraId="789F1BE7"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46 </w:t>
      </w:r>
      <w:proofErr w:type="spellStart"/>
      <w:r w:rsidRPr="00C16015">
        <w:rPr>
          <w:rFonts w:ascii="Book Antiqua" w:eastAsia="宋体" w:hAnsi="Book Antiqua" w:cs="宋体"/>
          <w:b/>
          <w:bCs/>
          <w:color w:val="000000" w:themeColor="text1"/>
          <w:kern w:val="0"/>
          <w:sz w:val="24"/>
          <w:szCs w:val="24"/>
        </w:rPr>
        <w:t>Yonemura</w:t>
      </w:r>
      <w:proofErr w:type="spellEnd"/>
      <w:r w:rsidRPr="00C16015">
        <w:rPr>
          <w:rFonts w:ascii="Book Antiqua" w:eastAsia="宋体" w:hAnsi="Book Antiqua" w:cs="宋体"/>
          <w:b/>
          <w:bCs/>
          <w:color w:val="000000" w:themeColor="text1"/>
          <w:kern w:val="0"/>
          <w:sz w:val="24"/>
          <w:szCs w:val="24"/>
        </w:rPr>
        <w:t xml:space="preserve"> Y</w:t>
      </w:r>
      <w:r w:rsidRPr="00C16015">
        <w:rPr>
          <w:rFonts w:ascii="Book Antiqua" w:eastAsia="宋体" w:hAnsi="Book Antiqua" w:cs="宋体"/>
          <w:color w:val="000000" w:themeColor="text1"/>
          <w:kern w:val="0"/>
          <w:sz w:val="24"/>
          <w:szCs w:val="24"/>
        </w:rPr>
        <w:t xml:space="preserve">, </w:t>
      </w:r>
      <w:proofErr w:type="spellStart"/>
      <w:r w:rsidRPr="00C16015">
        <w:rPr>
          <w:rFonts w:ascii="Book Antiqua" w:eastAsia="宋体" w:hAnsi="Book Antiqua" w:cs="宋体"/>
          <w:color w:val="000000" w:themeColor="text1"/>
          <w:kern w:val="0"/>
          <w:sz w:val="24"/>
          <w:szCs w:val="24"/>
        </w:rPr>
        <w:t>Elnemr</w:t>
      </w:r>
      <w:proofErr w:type="spellEnd"/>
      <w:r w:rsidRPr="00C16015">
        <w:rPr>
          <w:rFonts w:ascii="Book Antiqua" w:eastAsia="宋体" w:hAnsi="Book Antiqua" w:cs="宋体"/>
          <w:color w:val="000000" w:themeColor="text1"/>
          <w:kern w:val="0"/>
          <w:sz w:val="24"/>
          <w:szCs w:val="24"/>
        </w:rPr>
        <w:t xml:space="preserve"> A, </w:t>
      </w:r>
      <w:proofErr w:type="spellStart"/>
      <w:r w:rsidRPr="00C16015">
        <w:rPr>
          <w:rFonts w:ascii="Book Antiqua" w:eastAsia="宋体" w:hAnsi="Book Antiqua" w:cs="宋体"/>
          <w:color w:val="000000" w:themeColor="text1"/>
          <w:kern w:val="0"/>
          <w:sz w:val="24"/>
          <w:szCs w:val="24"/>
        </w:rPr>
        <w:t>Endou</w:t>
      </w:r>
      <w:proofErr w:type="spellEnd"/>
      <w:r w:rsidRPr="00C16015">
        <w:rPr>
          <w:rFonts w:ascii="Book Antiqua" w:eastAsia="宋体" w:hAnsi="Book Antiqua" w:cs="宋体"/>
          <w:color w:val="000000" w:themeColor="text1"/>
          <w:kern w:val="0"/>
          <w:sz w:val="24"/>
          <w:szCs w:val="24"/>
        </w:rPr>
        <w:t xml:space="preserve"> Y, Ishibashi H, </w:t>
      </w:r>
      <w:proofErr w:type="spellStart"/>
      <w:r w:rsidRPr="00C16015">
        <w:rPr>
          <w:rFonts w:ascii="Book Antiqua" w:eastAsia="宋体" w:hAnsi="Book Antiqua" w:cs="宋体"/>
          <w:color w:val="000000" w:themeColor="text1"/>
          <w:kern w:val="0"/>
          <w:sz w:val="24"/>
          <w:szCs w:val="24"/>
        </w:rPr>
        <w:t>Mizumoto</w:t>
      </w:r>
      <w:proofErr w:type="spellEnd"/>
      <w:r w:rsidRPr="00C16015">
        <w:rPr>
          <w:rFonts w:ascii="Book Antiqua" w:eastAsia="宋体" w:hAnsi="Book Antiqua" w:cs="宋体"/>
          <w:color w:val="000000" w:themeColor="text1"/>
          <w:kern w:val="0"/>
          <w:sz w:val="24"/>
          <w:szCs w:val="24"/>
        </w:rPr>
        <w:t xml:space="preserve"> A, Miura M, Li Y. Effects of neoadjuvant intraperitoneal/systemic chemotherapy (bidirectional chemotherapy) for the treatment of patients with peritoneal metastasis from gastric cancer. </w:t>
      </w:r>
      <w:proofErr w:type="spellStart"/>
      <w:r w:rsidRPr="00C16015">
        <w:rPr>
          <w:rFonts w:ascii="Book Antiqua" w:eastAsia="宋体" w:hAnsi="Book Antiqua" w:cs="宋体"/>
          <w:i/>
          <w:iCs/>
          <w:color w:val="000000" w:themeColor="text1"/>
          <w:kern w:val="0"/>
          <w:sz w:val="24"/>
          <w:szCs w:val="24"/>
        </w:rPr>
        <w:t>Int</w:t>
      </w:r>
      <w:proofErr w:type="spellEnd"/>
      <w:r w:rsidRPr="00C16015">
        <w:rPr>
          <w:rFonts w:ascii="Book Antiqua" w:eastAsia="宋体" w:hAnsi="Book Antiqua" w:cs="宋体"/>
          <w:i/>
          <w:iCs/>
          <w:color w:val="000000" w:themeColor="text1"/>
          <w:kern w:val="0"/>
          <w:sz w:val="24"/>
          <w:szCs w:val="24"/>
        </w:rPr>
        <w:t xml:space="preserve"> J </w:t>
      </w:r>
      <w:proofErr w:type="spellStart"/>
      <w:r w:rsidRPr="00C16015">
        <w:rPr>
          <w:rFonts w:ascii="Book Antiqua" w:eastAsia="宋体" w:hAnsi="Book Antiqua" w:cs="宋体"/>
          <w:i/>
          <w:iCs/>
          <w:color w:val="000000" w:themeColor="text1"/>
          <w:kern w:val="0"/>
          <w:sz w:val="24"/>
          <w:szCs w:val="24"/>
        </w:rPr>
        <w:t>Surg</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2012; </w:t>
      </w:r>
      <w:r w:rsidRPr="00C16015">
        <w:rPr>
          <w:rFonts w:ascii="Book Antiqua" w:eastAsia="宋体" w:hAnsi="Book Antiqua" w:cs="宋体"/>
          <w:b/>
          <w:bCs/>
          <w:color w:val="000000" w:themeColor="text1"/>
          <w:kern w:val="0"/>
          <w:sz w:val="24"/>
          <w:szCs w:val="24"/>
        </w:rPr>
        <w:t>2012</w:t>
      </w:r>
      <w:r w:rsidRPr="00C16015">
        <w:rPr>
          <w:rFonts w:ascii="Book Antiqua" w:eastAsia="宋体" w:hAnsi="Book Antiqua" w:cs="宋体"/>
          <w:color w:val="000000" w:themeColor="text1"/>
          <w:kern w:val="0"/>
          <w:sz w:val="24"/>
          <w:szCs w:val="24"/>
        </w:rPr>
        <w:t>: 148420 [PMID: 22900159 DOI: 10.1155/2012/148420]</w:t>
      </w:r>
    </w:p>
    <w:p w14:paraId="0AFE5945"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47 </w:t>
      </w:r>
      <w:r w:rsidRPr="00C16015">
        <w:rPr>
          <w:rFonts w:ascii="Book Antiqua" w:eastAsia="宋体" w:hAnsi="Book Antiqua" w:cs="宋体"/>
          <w:b/>
          <w:bCs/>
          <w:color w:val="000000" w:themeColor="text1"/>
          <w:kern w:val="0"/>
          <w:sz w:val="24"/>
          <w:szCs w:val="24"/>
        </w:rPr>
        <w:t>Armstrong DK</w:t>
      </w:r>
      <w:r w:rsidRPr="00C16015">
        <w:rPr>
          <w:rFonts w:ascii="Book Antiqua" w:eastAsia="宋体" w:hAnsi="Book Antiqua" w:cs="宋体"/>
          <w:color w:val="000000" w:themeColor="text1"/>
          <w:kern w:val="0"/>
          <w:sz w:val="24"/>
          <w:szCs w:val="24"/>
        </w:rPr>
        <w:t xml:space="preserve">, Bundy B, Wenzel L, Huang HQ, </w:t>
      </w:r>
      <w:proofErr w:type="spellStart"/>
      <w:r w:rsidRPr="00C16015">
        <w:rPr>
          <w:rFonts w:ascii="Book Antiqua" w:eastAsia="宋体" w:hAnsi="Book Antiqua" w:cs="宋体"/>
          <w:color w:val="000000" w:themeColor="text1"/>
          <w:kern w:val="0"/>
          <w:sz w:val="24"/>
          <w:szCs w:val="24"/>
        </w:rPr>
        <w:t>Baergen</w:t>
      </w:r>
      <w:proofErr w:type="spellEnd"/>
      <w:r w:rsidRPr="00C16015">
        <w:rPr>
          <w:rFonts w:ascii="Book Antiqua" w:eastAsia="宋体" w:hAnsi="Book Antiqua" w:cs="宋体"/>
          <w:color w:val="000000" w:themeColor="text1"/>
          <w:kern w:val="0"/>
          <w:sz w:val="24"/>
          <w:szCs w:val="24"/>
        </w:rPr>
        <w:t xml:space="preserve"> R, </w:t>
      </w:r>
      <w:proofErr w:type="spellStart"/>
      <w:r w:rsidRPr="00C16015">
        <w:rPr>
          <w:rFonts w:ascii="Book Antiqua" w:eastAsia="宋体" w:hAnsi="Book Antiqua" w:cs="宋体"/>
          <w:color w:val="000000" w:themeColor="text1"/>
          <w:kern w:val="0"/>
          <w:sz w:val="24"/>
          <w:szCs w:val="24"/>
        </w:rPr>
        <w:t>Lele</w:t>
      </w:r>
      <w:proofErr w:type="spellEnd"/>
      <w:r w:rsidRPr="00C16015">
        <w:rPr>
          <w:rFonts w:ascii="Book Antiqua" w:eastAsia="宋体" w:hAnsi="Book Antiqua" w:cs="宋体"/>
          <w:color w:val="000000" w:themeColor="text1"/>
          <w:kern w:val="0"/>
          <w:sz w:val="24"/>
          <w:szCs w:val="24"/>
        </w:rPr>
        <w:t xml:space="preserve"> S, Copeland LJ, Walker JL, Burger RA. </w:t>
      </w:r>
      <w:proofErr w:type="gramStart"/>
      <w:r w:rsidRPr="00C16015">
        <w:rPr>
          <w:rFonts w:ascii="Book Antiqua" w:eastAsia="宋体" w:hAnsi="Book Antiqua" w:cs="宋体"/>
          <w:color w:val="000000" w:themeColor="text1"/>
          <w:kern w:val="0"/>
          <w:sz w:val="24"/>
          <w:szCs w:val="24"/>
        </w:rPr>
        <w:t>Intraperitoneal cisplatin and paclitaxel in ovarian cancer.</w:t>
      </w:r>
      <w:proofErr w:type="gramEnd"/>
      <w:r w:rsidRPr="00C16015">
        <w:rPr>
          <w:rFonts w:ascii="Book Antiqua" w:eastAsia="宋体" w:hAnsi="Book Antiqua" w:cs="宋体"/>
          <w:color w:val="000000" w:themeColor="text1"/>
          <w:kern w:val="0"/>
          <w:sz w:val="24"/>
          <w:szCs w:val="24"/>
        </w:rPr>
        <w:t xml:space="preserve"> </w:t>
      </w:r>
      <w:r w:rsidRPr="00C16015">
        <w:rPr>
          <w:rFonts w:ascii="Book Antiqua" w:eastAsia="宋体" w:hAnsi="Book Antiqua" w:cs="宋体"/>
          <w:i/>
          <w:iCs/>
          <w:color w:val="000000" w:themeColor="text1"/>
          <w:kern w:val="0"/>
          <w:sz w:val="24"/>
          <w:szCs w:val="24"/>
        </w:rPr>
        <w:t xml:space="preserve">N </w:t>
      </w:r>
      <w:proofErr w:type="spellStart"/>
      <w:r w:rsidRPr="00C16015">
        <w:rPr>
          <w:rFonts w:ascii="Book Antiqua" w:eastAsia="宋体" w:hAnsi="Book Antiqua" w:cs="宋体"/>
          <w:i/>
          <w:iCs/>
          <w:color w:val="000000" w:themeColor="text1"/>
          <w:kern w:val="0"/>
          <w:sz w:val="24"/>
          <w:szCs w:val="24"/>
        </w:rPr>
        <w:t>Engl</w:t>
      </w:r>
      <w:proofErr w:type="spellEnd"/>
      <w:r w:rsidRPr="00C16015">
        <w:rPr>
          <w:rFonts w:ascii="Book Antiqua" w:eastAsia="宋体" w:hAnsi="Book Antiqua" w:cs="宋体"/>
          <w:i/>
          <w:iCs/>
          <w:color w:val="000000" w:themeColor="text1"/>
          <w:kern w:val="0"/>
          <w:sz w:val="24"/>
          <w:szCs w:val="24"/>
        </w:rPr>
        <w:t xml:space="preserve"> J Med</w:t>
      </w:r>
      <w:r w:rsidRPr="00C16015">
        <w:rPr>
          <w:rFonts w:ascii="Book Antiqua" w:eastAsia="宋体" w:hAnsi="Book Antiqua" w:cs="宋体"/>
          <w:color w:val="000000" w:themeColor="text1"/>
          <w:kern w:val="0"/>
          <w:sz w:val="24"/>
          <w:szCs w:val="24"/>
        </w:rPr>
        <w:t xml:space="preserve"> 2006; </w:t>
      </w:r>
      <w:r w:rsidRPr="00C16015">
        <w:rPr>
          <w:rFonts w:ascii="Book Antiqua" w:eastAsia="宋体" w:hAnsi="Book Antiqua" w:cs="宋体"/>
          <w:b/>
          <w:bCs/>
          <w:color w:val="000000" w:themeColor="text1"/>
          <w:kern w:val="0"/>
          <w:sz w:val="24"/>
          <w:szCs w:val="24"/>
        </w:rPr>
        <w:t>354</w:t>
      </w:r>
      <w:r w:rsidRPr="00C16015">
        <w:rPr>
          <w:rFonts w:ascii="Book Antiqua" w:eastAsia="宋体" w:hAnsi="Book Antiqua" w:cs="宋体"/>
          <w:color w:val="000000" w:themeColor="text1"/>
          <w:kern w:val="0"/>
          <w:sz w:val="24"/>
          <w:szCs w:val="24"/>
        </w:rPr>
        <w:t>: 34-43 [PMID: 16394300 DOI: 10.1056/NEJMoa052985]</w:t>
      </w:r>
    </w:p>
    <w:p w14:paraId="5AB35234"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48 </w:t>
      </w:r>
      <w:r w:rsidRPr="00C16015">
        <w:rPr>
          <w:rFonts w:ascii="Book Antiqua" w:eastAsia="宋体" w:hAnsi="Book Antiqua" w:cs="宋体"/>
          <w:b/>
          <w:bCs/>
          <w:color w:val="000000" w:themeColor="text1"/>
          <w:kern w:val="0"/>
          <w:sz w:val="24"/>
          <w:szCs w:val="24"/>
        </w:rPr>
        <w:t>Alberts DS</w:t>
      </w:r>
      <w:r w:rsidRPr="00C16015">
        <w:rPr>
          <w:rFonts w:ascii="Book Antiqua" w:eastAsia="宋体" w:hAnsi="Book Antiqua" w:cs="宋体"/>
          <w:color w:val="000000" w:themeColor="text1"/>
          <w:kern w:val="0"/>
          <w:sz w:val="24"/>
          <w:szCs w:val="24"/>
        </w:rPr>
        <w:t xml:space="preserve">, Liu PY, Hannigan EV, O'Toole R, Williams SD, Young JA, Franklin EW, Clarke-Pearson DL, </w:t>
      </w:r>
      <w:proofErr w:type="spellStart"/>
      <w:r w:rsidRPr="00C16015">
        <w:rPr>
          <w:rFonts w:ascii="Book Antiqua" w:eastAsia="宋体" w:hAnsi="Book Antiqua" w:cs="宋体"/>
          <w:color w:val="000000" w:themeColor="text1"/>
          <w:kern w:val="0"/>
          <w:sz w:val="24"/>
          <w:szCs w:val="24"/>
        </w:rPr>
        <w:t>Malviya</w:t>
      </w:r>
      <w:proofErr w:type="spellEnd"/>
      <w:r w:rsidRPr="00C16015">
        <w:rPr>
          <w:rFonts w:ascii="Book Antiqua" w:eastAsia="宋体" w:hAnsi="Book Antiqua" w:cs="宋体"/>
          <w:color w:val="000000" w:themeColor="text1"/>
          <w:kern w:val="0"/>
          <w:sz w:val="24"/>
          <w:szCs w:val="24"/>
        </w:rPr>
        <w:t xml:space="preserve"> VK, </w:t>
      </w:r>
      <w:proofErr w:type="spellStart"/>
      <w:r w:rsidRPr="00C16015">
        <w:rPr>
          <w:rFonts w:ascii="Book Antiqua" w:eastAsia="宋体" w:hAnsi="Book Antiqua" w:cs="宋体"/>
          <w:color w:val="000000" w:themeColor="text1"/>
          <w:kern w:val="0"/>
          <w:sz w:val="24"/>
          <w:szCs w:val="24"/>
        </w:rPr>
        <w:t>DuBeshter</w:t>
      </w:r>
      <w:proofErr w:type="spellEnd"/>
      <w:r w:rsidRPr="00C16015">
        <w:rPr>
          <w:rFonts w:ascii="Book Antiqua" w:eastAsia="宋体" w:hAnsi="Book Antiqua" w:cs="宋体"/>
          <w:color w:val="000000" w:themeColor="text1"/>
          <w:kern w:val="0"/>
          <w:sz w:val="24"/>
          <w:szCs w:val="24"/>
        </w:rPr>
        <w:t xml:space="preserve"> B. Intraperitoneal cisplatin plus intravenous cyclophosphamide versus intravenous cisplatin plus intravenous cyclophosphamide for stage III ovarian cancer. </w:t>
      </w:r>
      <w:r w:rsidRPr="00C16015">
        <w:rPr>
          <w:rFonts w:ascii="Book Antiqua" w:eastAsia="宋体" w:hAnsi="Book Antiqua" w:cs="宋体"/>
          <w:i/>
          <w:iCs/>
          <w:color w:val="000000" w:themeColor="text1"/>
          <w:kern w:val="0"/>
          <w:sz w:val="24"/>
          <w:szCs w:val="24"/>
        </w:rPr>
        <w:t xml:space="preserve">N </w:t>
      </w:r>
      <w:proofErr w:type="spellStart"/>
      <w:r w:rsidRPr="00C16015">
        <w:rPr>
          <w:rFonts w:ascii="Book Antiqua" w:eastAsia="宋体" w:hAnsi="Book Antiqua" w:cs="宋体"/>
          <w:i/>
          <w:iCs/>
          <w:color w:val="000000" w:themeColor="text1"/>
          <w:kern w:val="0"/>
          <w:sz w:val="24"/>
          <w:szCs w:val="24"/>
        </w:rPr>
        <w:t>Engl</w:t>
      </w:r>
      <w:proofErr w:type="spellEnd"/>
      <w:r w:rsidRPr="00C16015">
        <w:rPr>
          <w:rFonts w:ascii="Book Antiqua" w:eastAsia="宋体" w:hAnsi="Book Antiqua" w:cs="宋体"/>
          <w:i/>
          <w:iCs/>
          <w:color w:val="000000" w:themeColor="text1"/>
          <w:kern w:val="0"/>
          <w:sz w:val="24"/>
          <w:szCs w:val="24"/>
        </w:rPr>
        <w:t xml:space="preserve"> J Med</w:t>
      </w:r>
      <w:r w:rsidRPr="00C16015">
        <w:rPr>
          <w:rFonts w:ascii="Book Antiqua" w:eastAsia="宋体" w:hAnsi="Book Antiqua" w:cs="宋体"/>
          <w:color w:val="000000" w:themeColor="text1"/>
          <w:kern w:val="0"/>
          <w:sz w:val="24"/>
          <w:szCs w:val="24"/>
        </w:rPr>
        <w:t xml:space="preserve"> 1996; </w:t>
      </w:r>
      <w:r w:rsidRPr="00C16015">
        <w:rPr>
          <w:rFonts w:ascii="Book Antiqua" w:eastAsia="宋体" w:hAnsi="Book Antiqua" w:cs="宋体"/>
          <w:b/>
          <w:bCs/>
          <w:color w:val="000000" w:themeColor="text1"/>
          <w:kern w:val="0"/>
          <w:sz w:val="24"/>
          <w:szCs w:val="24"/>
        </w:rPr>
        <w:t>335</w:t>
      </w:r>
      <w:r w:rsidRPr="00C16015">
        <w:rPr>
          <w:rFonts w:ascii="Book Antiqua" w:eastAsia="宋体" w:hAnsi="Book Antiqua" w:cs="宋体"/>
          <w:color w:val="000000" w:themeColor="text1"/>
          <w:kern w:val="0"/>
          <w:sz w:val="24"/>
          <w:szCs w:val="24"/>
        </w:rPr>
        <w:t>: 1950-1955 [PMID: 8960474 DOI: 10.1056/NEJM199612263352603]</w:t>
      </w:r>
    </w:p>
    <w:p w14:paraId="2C658031" w14:textId="77777777" w:rsidR="00236584" w:rsidRPr="00C16015" w:rsidRDefault="00236584" w:rsidP="00C16015">
      <w:pPr>
        <w:widowControl/>
        <w:spacing w:line="360" w:lineRule="auto"/>
        <w:rPr>
          <w:rFonts w:ascii="Book Antiqua" w:eastAsia="宋体" w:hAnsi="Book Antiqua" w:cs="宋体"/>
          <w:color w:val="000000" w:themeColor="text1"/>
          <w:kern w:val="0"/>
          <w:sz w:val="24"/>
          <w:szCs w:val="24"/>
        </w:rPr>
      </w:pPr>
      <w:r w:rsidRPr="00C16015">
        <w:rPr>
          <w:rFonts w:ascii="Book Antiqua" w:eastAsia="宋体" w:hAnsi="Book Antiqua" w:cs="宋体"/>
          <w:color w:val="000000" w:themeColor="text1"/>
          <w:kern w:val="0"/>
          <w:sz w:val="24"/>
          <w:szCs w:val="24"/>
        </w:rPr>
        <w:t xml:space="preserve">49 </w:t>
      </w:r>
      <w:proofErr w:type="spellStart"/>
      <w:r w:rsidRPr="00C16015">
        <w:rPr>
          <w:rFonts w:ascii="Book Antiqua" w:eastAsia="宋体" w:hAnsi="Book Antiqua" w:cs="宋体"/>
          <w:b/>
          <w:bCs/>
          <w:color w:val="000000" w:themeColor="text1"/>
          <w:kern w:val="0"/>
          <w:sz w:val="24"/>
          <w:szCs w:val="24"/>
        </w:rPr>
        <w:t>Markman</w:t>
      </w:r>
      <w:proofErr w:type="spellEnd"/>
      <w:r w:rsidRPr="00C16015">
        <w:rPr>
          <w:rFonts w:ascii="Book Antiqua" w:eastAsia="宋体" w:hAnsi="Book Antiqua" w:cs="宋体"/>
          <w:b/>
          <w:bCs/>
          <w:color w:val="000000" w:themeColor="text1"/>
          <w:kern w:val="0"/>
          <w:sz w:val="24"/>
          <w:szCs w:val="24"/>
        </w:rPr>
        <w:t xml:space="preserve"> M</w:t>
      </w:r>
      <w:r w:rsidRPr="00C16015">
        <w:rPr>
          <w:rFonts w:ascii="Book Antiqua" w:eastAsia="宋体" w:hAnsi="Book Antiqua" w:cs="宋体"/>
          <w:color w:val="000000" w:themeColor="text1"/>
          <w:kern w:val="0"/>
          <w:sz w:val="24"/>
          <w:szCs w:val="24"/>
        </w:rPr>
        <w:t xml:space="preserve">, Bundy BN, Alberts DS, Fowler JM, Clark-Pearson DL, Carson LF, </w:t>
      </w:r>
      <w:proofErr w:type="spellStart"/>
      <w:r w:rsidRPr="00C16015">
        <w:rPr>
          <w:rFonts w:ascii="Book Antiqua" w:eastAsia="宋体" w:hAnsi="Book Antiqua" w:cs="宋体"/>
          <w:color w:val="000000" w:themeColor="text1"/>
          <w:kern w:val="0"/>
          <w:sz w:val="24"/>
          <w:szCs w:val="24"/>
        </w:rPr>
        <w:t>Wadler</w:t>
      </w:r>
      <w:proofErr w:type="spellEnd"/>
      <w:r w:rsidRPr="00C16015">
        <w:rPr>
          <w:rFonts w:ascii="Book Antiqua" w:eastAsia="宋体" w:hAnsi="Book Antiqua" w:cs="宋体"/>
          <w:color w:val="000000" w:themeColor="text1"/>
          <w:kern w:val="0"/>
          <w:sz w:val="24"/>
          <w:szCs w:val="24"/>
        </w:rPr>
        <w:t xml:space="preserve"> S, </w:t>
      </w:r>
      <w:proofErr w:type="spellStart"/>
      <w:r w:rsidRPr="00C16015">
        <w:rPr>
          <w:rFonts w:ascii="Book Antiqua" w:eastAsia="宋体" w:hAnsi="Book Antiqua" w:cs="宋体"/>
          <w:color w:val="000000" w:themeColor="text1"/>
          <w:kern w:val="0"/>
          <w:sz w:val="24"/>
          <w:szCs w:val="24"/>
        </w:rPr>
        <w:t>Sickel</w:t>
      </w:r>
      <w:proofErr w:type="spellEnd"/>
      <w:r w:rsidRPr="00C16015">
        <w:rPr>
          <w:rFonts w:ascii="Book Antiqua" w:eastAsia="宋体" w:hAnsi="Book Antiqua" w:cs="宋体"/>
          <w:color w:val="000000" w:themeColor="text1"/>
          <w:kern w:val="0"/>
          <w:sz w:val="24"/>
          <w:szCs w:val="24"/>
        </w:rPr>
        <w:t xml:space="preserve"> J. Phase III trial of standard-dose intravenous cisplatin plus paclitaxel versus moderately high-dose carboplatin followed by intravenous paclitaxel and intraperitoneal cisplatin in small-volume stage III ovarian carcinoma: an intergroup study of the Gynecologic Oncology Group, </w:t>
      </w:r>
      <w:r w:rsidRPr="00C16015">
        <w:rPr>
          <w:rFonts w:ascii="Book Antiqua" w:eastAsia="宋体" w:hAnsi="Book Antiqua" w:cs="宋体"/>
          <w:color w:val="000000" w:themeColor="text1"/>
          <w:kern w:val="0"/>
          <w:sz w:val="24"/>
          <w:szCs w:val="24"/>
        </w:rPr>
        <w:lastRenderedPageBreak/>
        <w:t xml:space="preserve">Southwestern Oncology Group, and Eastern Cooperative Oncology Group. </w:t>
      </w:r>
      <w:r w:rsidRPr="00C16015">
        <w:rPr>
          <w:rFonts w:ascii="Book Antiqua" w:eastAsia="宋体" w:hAnsi="Book Antiqua" w:cs="宋体"/>
          <w:i/>
          <w:iCs/>
          <w:color w:val="000000" w:themeColor="text1"/>
          <w:kern w:val="0"/>
          <w:sz w:val="24"/>
          <w:szCs w:val="24"/>
        </w:rPr>
        <w:t xml:space="preserve">J </w:t>
      </w:r>
      <w:proofErr w:type="spellStart"/>
      <w:r w:rsidRPr="00C16015">
        <w:rPr>
          <w:rFonts w:ascii="Book Antiqua" w:eastAsia="宋体" w:hAnsi="Book Antiqua" w:cs="宋体"/>
          <w:i/>
          <w:iCs/>
          <w:color w:val="000000" w:themeColor="text1"/>
          <w:kern w:val="0"/>
          <w:sz w:val="24"/>
          <w:szCs w:val="24"/>
        </w:rPr>
        <w:t>Clin</w:t>
      </w:r>
      <w:proofErr w:type="spellEnd"/>
      <w:r w:rsidRPr="00C16015">
        <w:rPr>
          <w:rFonts w:ascii="Book Antiqua" w:eastAsia="宋体" w:hAnsi="Book Antiqua" w:cs="宋体"/>
          <w:i/>
          <w:iCs/>
          <w:color w:val="000000" w:themeColor="text1"/>
          <w:kern w:val="0"/>
          <w:sz w:val="24"/>
          <w:szCs w:val="24"/>
        </w:rPr>
        <w:t xml:space="preserve"> </w:t>
      </w:r>
      <w:proofErr w:type="spellStart"/>
      <w:r w:rsidRPr="00C16015">
        <w:rPr>
          <w:rFonts w:ascii="Book Antiqua" w:eastAsia="宋体" w:hAnsi="Book Antiqua" w:cs="宋体"/>
          <w:i/>
          <w:iCs/>
          <w:color w:val="000000" w:themeColor="text1"/>
          <w:kern w:val="0"/>
          <w:sz w:val="24"/>
          <w:szCs w:val="24"/>
        </w:rPr>
        <w:t>Oncol</w:t>
      </w:r>
      <w:proofErr w:type="spellEnd"/>
      <w:r w:rsidRPr="00C16015">
        <w:rPr>
          <w:rFonts w:ascii="Book Antiqua" w:eastAsia="宋体" w:hAnsi="Book Antiqua" w:cs="宋体"/>
          <w:color w:val="000000" w:themeColor="text1"/>
          <w:kern w:val="0"/>
          <w:sz w:val="24"/>
          <w:szCs w:val="24"/>
        </w:rPr>
        <w:t xml:space="preserve"> 2001; </w:t>
      </w:r>
      <w:r w:rsidRPr="00C16015">
        <w:rPr>
          <w:rFonts w:ascii="Book Antiqua" w:eastAsia="宋体" w:hAnsi="Book Antiqua" w:cs="宋体"/>
          <w:b/>
          <w:bCs/>
          <w:color w:val="000000" w:themeColor="text1"/>
          <w:kern w:val="0"/>
          <w:sz w:val="24"/>
          <w:szCs w:val="24"/>
        </w:rPr>
        <w:t>19</w:t>
      </w:r>
      <w:r w:rsidRPr="00C16015">
        <w:rPr>
          <w:rFonts w:ascii="Book Antiqua" w:eastAsia="宋体" w:hAnsi="Book Antiqua" w:cs="宋体"/>
          <w:color w:val="000000" w:themeColor="text1"/>
          <w:kern w:val="0"/>
          <w:sz w:val="24"/>
          <w:szCs w:val="24"/>
        </w:rPr>
        <w:t>: 1001-1007 [PMID: 11181662]</w:t>
      </w:r>
    </w:p>
    <w:p w14:paraId="4CF38F79" w14:textId="5C7F9631" w:rsidR="00236584" w:rsidRPr="00C16015" w:rsidRDefault="00236584" w:rsidP="00C16015">
      <w:pPr>
        <w:widowControl/>
        <w:spacing w:line="360" w:lineRule="auto"/>
        <w:rPr>
          <w:rFonts w:ascii="Book Antiqua" w:eastAsia="宋体" w:hAnsi="Book Antiqua" w:cs="宋体"/>
          <w:color w:val="000000" w:themeColor="text1"/>
          <w:kern w:val="0"/>
          <w:sz w:val="24"/>
          <w:szCs w:val="24"/>
          <w:lang w:eastAsia="zh-CN"/>
        </w:rPr>
      </w:pPr>
      <w:proofErr w:type="gramStart"/>
      <w:r w:rsidRPr="00C16015">
        <w:rPr>
          <w:rFonts w:ascii="Book Antiqua" w:eastAsia="宋体" w:hAnsi="Book Antiqua" w:cs="宋体"/>
          <w:color w:val="000000" w:themeColor="text1"/>
          <w:kern w:val="0"/>
          <w:sz w:val="24"/>
          <w:szCs w:val="24"/>
        </w:rPr>
        <w:t xml:space="preserve">50 </w:t>
      </w:r>
      <w:r w:rsidRPr="00C16015">
        <w:rPr>
          <w:rFonts w:ascii="Book Antiqua" w:eastAsia="宋体" w:hAnsi="Book Antiqua" w:cs="宋体"/>
          <w:b/>
          <w:color w:val="000000" w:themeColor="text1"/>
          <w:kern w:val="0"/>
          <w:sz w:val="24"/>
          <w:szCs w:val="24"/>
        </w:rPr>
        <w:t>National Cancer Institute.</w:t>
      </w:r>
      <w:proofErr w:type="gramEnd"/>
      <w:r w:rsidRPr="00C16015">
        <w:rPr>
          <w:rFonts w:ascii="Book Antiqua" w:eastAsia="宋体" w:hAnsi="Book Antiqua" w:cs="宋体"/>
          <w:color w:val="000000" w:themeColor="text1"/>
          <w:kern w:val="0"/>
          <w:sz w:val="24"/>
          <w:szCs w:val="24"/>
        </w:rPr>
        <w:t xml:space="preserve"> Clinical Announcement: Intraperitoneal chemotherapy for ovarian cancer. </w:t>
      </w:r>
      <w:r w:rsidR="006C63C3">
        <w:rPr>
          <w:rFonts w:ascii="Book Antiqua" w:eastAsia="宋体" w:hAnsi="Book Antiqua" w:cs="宋体"/>
          <w:color w:val="000000" w:themeColor="text1"/>
          <w:kern w:val="0"/>
          <w:sz w:val="24"/>
          <w:szCs w:val="24"/>
        </w:rPr>
        <w:t>[</w:t>
      </w:r>
      <w:proofErr w:type="gramStart"/>
      <w:r w:rsidR="006C63C3">
        <w:rPr>
          <w:rFonts w:ascii="Book Antiqua" w:eastAsia="宋体" w:hAnsi="Book Antiqua" w:cs="宋体"/>
          <w:color w:val="000000" w:themeColor="text1"/>
          <w:kern w:val="0"/>
          <w:sz w:val="24"/>
          <w:szCs w:val="24"/>
        </w:rPr>
        <w:t>accessed</w:t>
      </w:r>
      <w:proofErr w:type="gramEnd"/>
      <w:r w:rsidR="006C63C3">
        <w:rPr>
          <w:rFonts w:ascii="Book Antiqua" w:eastAsia="宋体" w:hAnsi="Book Antiqua" w:cs="宋体"/>
          <w:color w:val="000000" w:themeColor="text1"/>
          <w:kern w:val="0"/>
          <w:sz w:val="24"/>
          <w:szCs w:val="24"/>
        </w:rPr>
        <w:t xml:space="preserve"> 2006</w:t>
      </w:r>
      <w:r w:rsidR="006C63C3" w:rsidRPr="006C63C3">
        <w:rPr>
          <w:rFonts w:ascii="Book Antiqua" w:eastAsia="宋体" w:hAnsi="Book Antiqua" w:cs="宋体"/>
          <w:color w:val="000000" w:themeColor="text1"/>
          <w:kern w:val="0"/>
          <w:sz w:val="24"/>
          <w:szCs w:val="24"/>
        </w:rPr>
        <w:t xml:space="preserve"> </w:t>
      </w:r>
      <w:r w:rsidR="006C63C3">
        <w:rPr>
          <w:rFonts w:ascii="Book Antiqua" w:eastAsia="宋体" w:hAnsi="Book Antiqua" w:cs="宋体"/>
          <w:color w:val="000000" w:themeColor="text1"/>
          <w:kern w:val="0"/>
          <w:sz w:val="24"/>
          <w:szCs w:val="24"/>
        </w:rPr>
        <w:t>Jan 5</w:t>
      </w:r>
      <w:r w:rsidR="006C63C3">
        <w:rPr>
          <w:rFonts w:ascii="Book Antiqua" w:eastAsia="宋体" w:hAnsi="Book Antiqua" w:cs="宋体"/>
          <w:color w:val="000000" w:themeColor="text1"/>
          <w:kern w:val="0"/>
          <w:sz w:val="24"/>
          <w:szCs w:val="24"/>
        </w:rPr>
        <w:t>].</w:t>
      </w:r>
      <w:r w:rsidRPr="00C16015">
        <w:rPr>
          <w:rFonts w:ascii="Book Antiqua" w:eastAsia="宋体" w:hAnsi="Book Antiqua" w:cs="宋体"/>
          <w:color w:val="000000" w:themeColor="text1"/>
          <w:kern w:val="0"/>
          <w:sz w:val="24"/>
          <w:szCs w:val="24"/>
        </w:rPr>
        <w:t xml:space="preserve"> Available from: URL: </w:t>
      </w:r>
      <w:hyperlink r:id="rId9" w:history="1">
        <w:r w:rsidR="00C16015" w:rsidRPr="00C16015">
          <w:rPr>
            <w:rStyle w:val="Hyperlink"/>
            <w:rFonts w:ascii="Book Antiqua" w:eastAsia="宋体" w:hAnsi="Book Antiqua" w:cs="宋体"/>
            <w:kern w:val="0"/>
            <w:sz w:val="24"/>
            <w:szCs w:val="24"/>
          </w:rPr>
          <w:t>http://ctep.cancer.gov/highlights/clin_annc_0105</w:t>
        </w:r>
        <w:r w:rsidR="00C16015" w:rsidRPr="00C16015">
          <w:rPr>
            <w:rStyle w:val="Hyperlink"/>
            <w:rFonts w:ascii="Book Antiqua" w:eastAsia="宋体" w:hAnsi="Book Antiqua" w:cs="宋体"/>
            <w:kern w:val="0"/>
            <w:sz w:val="24"/>
            <w:szCs w:val="24"/>
          </w:rPr>
          <w:t>0</w:t>
        </w:r>
        <w:r w:rsidR="00C16015" w:rsidRPr="00C16015">
          <w:rPr>
            <w:rStyle w:val="Hyperlink"/>
            <w:rFonts w:ascii="Book Antiqua" w:eastAsia="宋体" w:hAnsi="Book Antiqua" w:cs="宋体"/>
            <w:kern w:val="0"/>
            <w:sz w:val="24"/>
            <w:szCs w:val="24"/>
          </w:rPr>
          <w:t>6.pdf</w:t>
        </w:r>
      </w:hyperlink>
    </w:p>
    <w:p w14:paraId="2FEFF02C" w14:textId="08A8D84A" w:rsidR="00C16015" w:rsidRPr="00C16015" w:rsidRDefault="00C16015" w:rsidP="00C16015">
      <w:pPr>
        <w:adjustRightInd w:val="0"/>
        <w:snapToGrid w:val="0"/>
        <w:spacing w:line="360" w:lineRule="auto"/>
        <w:ind w:right="239"/>
        <w:jc w:val="right"/>
        <w:rPr>
          <w:rFonts w:ascii="Book Antiqua" w:hAnsi="Book Antiqua"/>
          <w:b/>
          <w:bCs/>
          <w:sz w:val="24"/>
          <w:szCs w:val="24"/>
          <w:lang w:val="en-GB"/>
        </w:rPr>
      </w:pPr>
      <w:r w:rsidRPr="00C16015">
        <w:rPr>
          <w:rStyle w:val="Strong"/>
          <w:rFonts w:ascii="Book Antiqua" w:hAnsi="Book Antiqua" w:cs="Arial"/>
          <w:noProof/>
          <w:sz w:val="24"/>
          <w:szCs w:val="24"/>
          <w:lang w:val="en-GB"/>
        </w:rPr>
        <w:t>P-Reviewer:</w:t>
      </w:r>
      <w:r w:rsidRPr="00C16015">
        <w:rPr>
          <w:rFonts w:ascii="Book Antiqua" w:hAnsi="Book Antiqua"/>
          <w:color w:val="000000"/>
          <w:sz w:val="24"/>
          <w:szCs w:val="24"/>
          <w:lang w:val="en-GB"/>
        </w:rPr>
        <w:t xml:space="preserve"> </w:t>
      </w:r>
      <w:proofErr w:type="spellStart"/>
      <w:r w:rsidRPr="00C16015">
        <w:rPr>
          <w:rFonts w:ascii="Book Antiqua" w:hAnsi="Book Antiqua"/>
          <w:color w:val="000000"/>
          <w:sz w:val="24"/>
          <w:szCs w:val="24"/>
          <w:lang w:val="en-GB"/>
        </w:rPr>
        <w:t>Arsenijevic</w:t>
      </w:r>
      <w:proofErr w:type="spellEnd"/>
      <w:r w:rsidRPr="00C16015">
        <w:rPr>
          <w:rFonts w:ascii="Book Antiqua" w:eastAsia="宋体" w:hAnsi="Book Antiqua"/>
          <w:color w:val="000000"/>
          <w:sz w:val="24"/>
          <w:szCs w:val="24"/>
          <w:lang w:val="en-GB" w:eastAsia="zh-CN"/>
        </w:rPr>
        <w:t xml:space="preserve"> </w:t>
      </w:r>
      <w:r w:rsidRPr="00C16015">
        <w:rPr>
          <w:rFonts w:ascii="Book Antiqua" w:hAnsi="Book Antiqua"/>
          <w:color w:val="000000"/>
          <w:sz w:val="24"/>
          <w:szCs w:val="24"/>
          <w:lang w:val="en-GB"/>
        </w:rPr>
        <w:t>T</w:t>
      </w:r>
      <w:r w:rsidRPr="00C16015">
        <w:rPr>
          <w:rFonts w:ascii="Book Antiqua" w:hAnsi="Book Antiqua"/>
          <w:bCs/>
          <w:sz w:val="24"/>
          <w:szCs w:val="24"/>
          <w:lang w:val="en-GB"/>
        </w:rPr>
        <w:t xml:space="preserve"> </w:t>
      </w:r>
      <w:r w:rsidRPr="00C16015">
        <w:rPr>
          <w:rFonts w:ascii="Book Antiqua" w:hAnsi="Book Antiqua"/>
          <w:b/>
          <w:bCs/>
          <w:sz w:val="24"/>
          <w:szCs w:val="24"/>
          <w:lang w:val="en-GB"/>
        </w:rPr>
        <w:t>S-Editor:</w:t>
      </w:r>
      <w:r w:rsidRPr="00C16015">
        <w:rPr>
          <w:rFonts w:ascii="Book Antiqua" w:hAnsi="Book Antiqua"/>
          <w:bCs/>
          <w:sz w:val="24"/>
          <w:szCs w:val="24"/>
          <w:lang w:val="en-GB"/>
        </w:rPr>
        <w:t xml:space="preserve"> Tian YL</w:t>
      </w:r>
    </w:p>
    <w:p w14:paraId="7148093A" w14:textId="507E4C66" w:rsidR="00C16015" w:rsidRPr="00C16015" w:rsidRDefault="00C16015" w:rsidP="00C16015">
      <w:pPr>
        <w:adjustRightInd w:val="0"/>
        <w:snapToGrid w:val="0"/>
        <w:spacing w:line="360" w:lineRule="auto"/>
        <w:ind w:right="239"/>
        <w:jc w:val="right"/>
        <w:rPr>
          <w:rFonts w:ascii="Book Antiqua" w:eastAsia="宋体" w:hAnsi="Book Antiqua"/>
          <w:bCs/>
          <w:sz w:val="24"/>
          <w:szCs w:val="24"/>
          <w:lang w:eastAsia="zh-CN"/>
        </w:rPr>
      </w:pPr>
      <w:bookmarkStart w:id="4" w:name="_GoBack"/>
      <w:bookmarkEnd w:id="4"/>
      <w:r w:rsidRPr="00C16015">
        <w:rPr>
          <w:rFonts w:ascii="Book Antiqua" w:hAnsi="Book Antiqua"/>
          <w:b/>
          <w:bCs/>
          <w:sz w:val="24"/>
          <w:szCs w:val="24"/>
        </w:rPr>
        <w:t>L-Editor:   E-Editor:</w:t>
      </w:r>
    </w:p>
    <w:p w14:paraId="7B407C7E" w14:textId="77777777" w:rsidR="00236584" w:rsidRPr="00C16015" w:rsidRDefault="00236584"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br w:type="page"/>
      </w:r>
    </w:p>
    <w:p w14:paraId="1891D7AA" w14:textId="36D3ED39" w:rsidR="00015D39" w:rsidRPr="00C16015" w:rsidRDefault="00015D39" w:rsidP="00C16015">
      <w:pPr>
        <w:widowControl/>
        <w:spacing w:line="360" w:lineRule="auto"/>
        <w:rPr>
          <w:rFonts w:ascii="Book Antiqua" w:hAnsi="Book Antiqua"/>
          <w:color w:val="000000" w:themeColor="text1"/>
          <w:kern w:val="0"/>
          <w:sz w:val="24"/>
          <w:szCs w:val="24"/>
        </w:rPr>
      </w:pPr>
      <w:r w:rsidRPr="00C16015">
        <w:rPr>
          <w:rFonts w:ascii="Book Antiqua" w:hAnsi="Book Antiqua"/>
          <w:b/>
          <w:color w:val="000000" w:themeColor="text1"/>
          <w:kern w:val="0"/>
          <w:sz w:val="24"/>
          <w:szCs w:val="24"/>
        </w:rPr>
        <w:lastRenderedPageBreak/>
        <w:t>Figure 1</w:t>
      </w:r>
      <w:r w:rsidRPr="00C16015">
        <w:rPr>
          <w:rFonts w:ascii="Book Antiqua" w:hAnsi="Book Antiqua"/>
          <w:color w:val="000000" w:themeColor="text1"/>
          <w:kern w:val="0"/>
          <w:sz w:val="24"/>
          <w:szCs w:val="24"/>
        </w:rPr>
        <w:t xml:space="preserve"> </w:t>
      </w:r>
      <w:r w:rsidRPr="00C16015">
        <w:rPr>
          <w:rFonts w:ascii="Book Antiqua" w:hAnsi="Book Antiqua"/>
          <w:b/>
          <w:color w:val="000000" w:themeColor="text1"/>
          <w:kern w:val="0"/>
          <w:sz w:val="24"/>
          <w:szCs w:val="24"/>
        </w:rPr>
        <w:t>Laparoscopy before and after treatment.</w:t>
      </w:r>
      <w:r w:rsidRPr="00C16015">
        <w:rPr>
          <w:rFonts w:ascii="Book Antiqua" w:hAnsi="Book Antiqua"/>
          <w:color w:val="000000" w:themeColor="text1"/>
          <w:kern w:val="0"/>
          <w:sz w:val="24"/>
          <w:szCs w:val="24"/>
        </w:rPr>
        <w:t xml:space="preserve"> </w:t>
      </w:r>
      <w:r w:rsidR="00293202" w:rsidRPr="00C16015">
        <w:rPr>
          <w:rFonts w:ascii="Book Antiqua" w:hAnsi="Book Antiqua"/>
          <w:noProof/>
          <w:color w:val="000000" w:themeColor="text1"/>
          <w:kern w:val="0"/>
          <w:sz w:val="24"/>
          <w:szCs w:val="24"/>
          <w:lang w:eastAsia="en-US" w:bidi="ar-SA"/>
        </w:rPr>
        <w:drawing>
          <wp:anchor distT="0" distB="0" distL="114300" distR="114300" simplePos="0" relativeHeight="251659264" behindDoc="1" locked="0" layoutInCell="1" allowOverlap="1" wp14:anchorId="73631529" wp14:editId="3B2FC041">
            <wp:simplePos x="0" y="0"/>
            <wp:positionH relativeFrom="column">
              <wp:posOffset>-2046</wp:posOffset>
            </wp:positionH>
            <wp:positionV relativeFrom="paragraph">
              <wp:posOffset>1711325</wp:posOffset>
            </wp:positionV>
            <wp:extent cx="5328355" cy="3767585"/>
            <wp:effectExtent l="0" t="0" r="5715" b="4445"/>
            <wp:wrapNone/>
            <wp:docPr id="1" name="図 1" descr="C:\Users\Yamaguchi\Dropbox\論文\WJG\Figure\Figure1TIF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guchi\Dropbox\論文\WJG\Figure\Figure1TIFF.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0798" cy="37693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015">
        <w:rPr>
          <w:rFonts w:ascii="Book Antiqua" w:hAnsi="Book Antiqua"/>
          <w:color w:val="000000" w:themeColor="text1"/>
          <w:kern w:val="0"/>
          <w:sz w:val="24"/>
          <w:szCs w:val="24"/>
        </w:rPr>
        <w:t xml:space="preserve">Staging laparoscopy (upper) showing peritoneal metastatic nodules in the right </w:t>
      </w:r>
      <w:proofErr w:type="spellStart"/>
      <w:r w:rsidRPr="00C16015">
        <w:rPr>
          <w:rFonts w:ascii="Book Antiqua" w:hAnsi="Book Antiqua"/>
          <w:color w:val="000000" w:themeColor="text1"/>
          <w:kern w:val="0"/>
          <w:sz w:val="24"/>
          <w:szCs w:val="24"/>
        </w:rPr>
        <w:t>subphrenic</w:t>
      </w:r>
      <w:proofErr w:type="spellEnd"/>
      <w:r w:rsidRPr="00C16015">
        <w:rPr>
          <w:rFonts w:ascii="Book Antiqua" w:hAnsi="Book Antiqua"/>
          <w:color w:val="000000" w:themeColor="text1"/>
          <w:kern w:val="0"/>
          <w:sz w:val="24"/>
          <w:szCs w:val="24"/>
        </w:rPr>
        <w:t xml:space="preserve"> peritoneum (left), left </w:t>
      </w:r>
      <w:proofErr w:type="spellStart"/>
      <w:r w:rsidRPr="00C16015">
        <w:rPr>
          <w:rFonts w:ascii="Book Antiqua" w:hAnsi="Book Antiqua"/>
          <w:color w:val="000000" w:themeColor="text1"/>
          <w:kern w:val="0"/>
          <w:sz w:val="24"/>
          <w:szCs w:val="24"/>
        </w:rPr>
        <w:t>subphrenic</w:t>
      </w:r>
      <w:proofErr w:type="spellEnd"/>
      <w:r w:rsidRPr="00C16015">
        <w:rPr>
          <w:rFonts w:ascii="Book Antiqua" w:hAnsi="Book Antiqua"/>
          <w:color w:val="000000" w:themeColor="text1"/>
          <w:kern w:val="0"/>
          <w:sz w:val="24"/>
          <w:szCs w:val="24"/>
        </w:rPr>
        <w:t xml:space="preserve"> peritoneum (middle), and Douglas pouch (left). The second laparoscopy (lower) revealing that the metastatic nodules have disappeared after 12 courses of the intravenous and intraperitoneal administration of </w:t>
      </w:r>
      <w:r w:rsidRPr="00C16015">
        <w:rPr>
          <w:rFonts w:ascii="Book Antiqua" w:hAnsi="Book Antiqua"/>
          <w:color w:val="000000" w:themeColor="text1"/>
          <w:sz w:val="24"/>
          <w:szCs w:val="24"/>
        </w:rPr>
        <w:t>paclitaxel</w:t>
      </w:r>
      <w:r w:rsidRPr="00C16015">
        <w:rPr>
          <w:rFonts w:ascii="Book Antiqua" w:hAnsi="Book Antiqua"/>
          <w:color w:val="000000" w:themeColor="text1"/>
          <w:kern w:val="0"/>
          <w:sz w:val="24"/>
          <w:szCs w:val="24"/>
        </w:rPr>
        <w:t xml:space="preserve"> and oral S-1 chemotherapy.</w:t>
      </w:r>
    </w:p>
    <w:p w14:paraId="2E0B4F5A"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02F00B30"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4DE9DB98"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1F9A480A"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7CCA6EBD"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7D0730F5"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17EE2137"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257CF859" w14:textId="77777777" w:rsidR="00350910" w:rsidRPr="00C16015" w:rsidRDefault="00350910" w:rsidP="00C16015">
      <w:pPr>
        <w:widowControl/>
        <w:spacing w:line="360" w:lineRule="auto"/>
        <w:rPr>
          <w:rFonts w:ascii="Book Antiqua" w:hAnsi="Book Antiqua"/>
          <w:color w:val="000000" w:themeColor="text1"/>
          <w:kern w:val="0"/>
          <w:sz w:val="24"/>
          <w:szCs w:val="24"/>
        </w:rPr>
      </w:pPr>
    </w:p>
    <w:p w14:paraId="6B531BEC" w14:textId="77777777" w:rsidR="00015D39" w:rsidRPr="00C16015" w:rsidRDefault="00015D39"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br w:type="page"/>
      </w:r>
    </w:p>
    <w:p w14:paraId="6C417635" w14:textId="40B470AE" w:rsidR="00015D39" w:rsidRPr="00C16015" w:rsidRDefault="008E4F6B"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lastRenderedPageBreak/>
        <w:t>Table 1</w:t>
      </w:r>
      <w:r w:rsidR="00015D39" w:rsidRPr="00C16015">
        <w:rPr>
          <w:rFonts w:ascii="Book Antiqua" w:hAnsi="Book Antiqua"/>
          <w:b/>
          <w:color w:val="000000" w:themeColor="text1"/>
          <w:kern w:val="0"/>
          <w:sz w:val="24"/>
          <w:szCs w:val="24"/>
        </w:rPr>
        <w:t xml:space="preserve"> Phase I studies on intraperitoneal chemotherapy using </w:t>
      </w:r>
      <w:proofErr w:type="spellStart"/>
      <w:r w:rsidR="00015D39" w:rsidRPr="00C16015">
        <w:rPr>
          <w:rFonts w:ascii="Book Antiqua" w:hAnsi="Book Antiqua"/>
          <w:b/>
          <w:color w:val="000000" w:themeColor="text1"/>
          <w:kern w:val="0"/>
          <w:sz w:val="24"/>
          <w:szCs w:val="24"/>
        </w:rPr>
        <w:t>taxanes</w:t>
      </w:r>
      <w:proofErr w:type="spellEnd"/>
      <w:r w:rsidR="00015D39" w:rsidRPr="00C16015">
        <w:rPr>
          <w:rFonts w:ascii="Book Antiqua" w:hAnsi="Book Antiqua"/>
          <w:b/>
          <w:color w:val="000000" w:themeColor="text1"/>
          <w:kern w:val="0"/>
          <w:sz w:val="24"/>
          <w:szCs w:val="24"/>
        </w:rPr>
        <w:t xml:space="preserve"> for the treatment of gastric cancer with peritoneal </w:t>
      </w:r>
      <w:proofErr w:type="spellStart"/>
      <w:r w:rsidR="00015D39" w:rsidRPr="00C16015">
        <w:rPr>
          <w:rFonts w:ascii="Book Antiqua" w:hAnsi="Book Antiqua"/>
          <w:b/>
          <w:color w:val="000000" w:themeColor="text1"/>
          <w:kern w:val="0"/>
          <w:sz w:val="24"/>
          <w:szCs w:val="24"/>
        </w:rPr>
        <w:t>carcinomatosis</w:t>
      </w:r>
      <w:proofErr w:type="spellEnd"/>
    </w:p>
    <w:tbl>
      <w:tblPr>
        <w:tblStyle w:val="TableGrid"/>
        <w:tblW w:w="9465" w:type="dxa"/>
        <w:tblLook w:val="04A0" w:firstRow="1" w:lastRow="0" w:firstColumn="1" w:lastColumn="0" w:noHBand="0" w:noVBand="1"/>
      </w:tblPr>
      <w:tblGrid>
        <w:gridCol w:w="1596"/>
        <w:gridCol w:w="456"/>
        <w:gridCol w:w="2083"/>
        <w:gridCol w:w="1088"/>
        <w:gridCol w:w="1159"/>
        <w:gridCol w:w="1159"/>
        <w:gridCol w:w="1925"/>
      </w:tblGrid>
      <w:tr w:rsidR="00236584" w:rsidRPr="00C16015" w14:paraId="46B0442C" w14:textId="77777777" w:rsidTr="00322DFB">
        <w:trPr>
          <w:trHeight w:val="630"/>
        </w:trPr>
        <w:tc>
          <w:tcPr>
            <w:tcW w:w="1596" w:type="dxa"/>
            <w:noWrap/>
            <w:hideMark/>
          </w:tcPr>
          <w:p w14:paraId="2660C1AC" w14:textId="77777777" w:rsidR="00015D39" w:rsidRPr="00C16015" w:rsidRDefault="00995759" w:rsidP="00C16015">
            <w:pPr>
              <w:widowControl/>
              <w:spacing w:line="360" w:lineRule="auto"/>
              <w:rPr>
                <w:rFonts w:ascii="Book Antiqua" w:eastAsia="宋体" w:hAnsi="Book Antiqua"/>
                <w:b/>
                <w:color w:val="000000" w:themeColor="text1"/>
                <w:kern w:val="0"/>
                <w:sz w:val="24"/>
                <w:szCs w:val="24"/>
                <w:lang w:eastAsia="zh-CN" w:bidi="ar-SA"/>
              </w:rPr>
            </w:pPr>
            <w:r w:rsidRPr="00C16015">
              <w:rPr>
                <w:rFonts w:ascii="Book Antiqua" w:eastAsia="宋体" w:hAnsi="Book Antiqua"/>
                <w:b/>
                <w:color w:val="000000" w:themeColor="text1"/>
                <w:kern w:val="0"/>
                <w:sz w:val="24"/>
                <w:szCs w:val="24"/>
                <w:lang w:eastAsia="zh-CN" w:bidi="ar-SA"/>
              </w:rPr>
              <w:t>Ref.</w:t>
            </w:r>
          </w:p>
        </w:tc>
        <w:tc>
          <w:tcPr>
            <w:tcW w:w="456" w:type="dxa"/>
          </w:tcPr>
          <w:p w14:paraId="68F2A50B" w14:textId="77777777" w:rsidR="00015D39" w:rsidRPr="00C16015" w:rsidRDefault="00995759" w:rsidP="00C16015">
            <w:pPr>
              <w:widowControl/>
              <w:spacing w:line="360" w:lineRule="auto"/>
              <w:rPr>
                <w:rFonts w:ascii="Book Antiqua" w:eastAsia="MS PGothic" w:hAnsi="Book Antiqua"/>
                <w:b/>
                <w:i/>
                <w:color w:val="000000" w:themeColor="text1"/>
                <w:kern w:val="0"/>
                <w:sz w:val="24"/>
                <w:szCs w:val="24"/>
                <w:lang w:bidi="ar-SA"/>
              </w:rPr>
            </w:pPr>
            <w:r w:rsidRPr="00C16015">
              <w:rPr>
                <w:rFonts w:ascii="Book Antiqua" w:eastAsia="MS PGothic" w:hAnsi="Book Antiqua"/>
                <w:b/>
                <w:i/>
                <w:color w:val="000000" w:themeColor="text1"/>
                <w:kern w:val="0"/>
                <w:sz w:val="24"/>
                <w:szCs w:val="24"/>
                <w:lang w:bidi="ar-SA"/>
              </w:rPr>
              <w:t>n</w:t>
            </w:r>
          </w:p>
        </w:tc>
        <w:tc>
          <w:tcPr>
            <w:tcW w:w="2011" w:type="dxa"/>
          </w:tcPr>
          <w:p w14:paraId="3FB294BA"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 xml:space="preserve">Intraperitoneally administered </w:t>
            </w:r>
            <w:proofErr w:type="spellStart"/>
            <w:r w:rsidRPr="00C16015">
              <w:rPr>
                <w:rFonts w:ascii="Book Antiqua" w:eastAsia="MS PGothic" w:hAnsi="Book Antiqua"/>
                <w:b/>
                <w:color w:val="000000" w:themeColor="text1"/>
                <w:kern w:val="0"/>
                <w:sz w:val="24"/>
                <w:szCs w:val="24"/>
                <w:lang w:bidi="ar-SA"/>
              </w:rPr>
              <w:t>taxanes</w:t>
            </w:r>
            <w:proofErr w:type="spellEnd"/>
          </w:p>
        </w:tc>
        <w:tc>
          <w:tcPr>
            <w:tcW w:w="1159" w:type="dxa"/>
          </w:tcPr>
          <w:p w14:paraId="41007578"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Initial dose</w:t>
            </w:r>
          </w:p>
          <w:p w14:paraId="49A74486"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(mg/m</w:t>
            </w:r>
            <w:r w:rsidRPr="00C16015">
              <w:rPr>
                <w:rFonts w:ascii="Book Antiqua" w:eastAsia="MS PGothic" w:hAnsi="Book Antiqua"/>
                <w:b/>
                <w:color w:val="000000" w:themeColor="text1"/>
                <w:kern w:val="0"/>
                <w:sz w:val="24"/>
                <w:szCs w:val="24"/>
                <w:vertAlign w:val="superscript"/>
                <w:lang w:bidi="ar-SA"/>
              </w:rPr>
              <w:t>2</w:t>
            </w:r>
            <w:r w:rsidRPr="00C16015">
              <w:rPr>
                <w:rFonts w:ascii="Book Antiqua" w:eastAsia="MS PGothic" w:hAnsi="Book Antiqua"/>
                <w:b/>
                <w:color w:val="000000" w:themeColor="text1"/>
                <w:kern w:val="0"/>
                <w:sz w:val="24"/>
                <w:szCs w:val="24"/>
                <w:lang w:bidi="ar-SA"/>
              </w:rPr>
              <w:t>)</w:t>
            </w:r>
          </w:p>
        </w:tc>
        <w:tc>
          <w:tcPr>
            <w:tcW w:w="1159" w:type="dxa"/>
            <w:noWrap/>
            <w:hideMark/>
          </w:tcPr>
          <w:p w14:paraId="30FCB0E8"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MTD</w:t>
            </w:r>
          </w:p>
          <w:p w14:paraId="691B8128"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(mg/m</w:t>
            </w:r>
            <w:r w:rsidRPr="00C16015">
              <w:rPr>
                <w:rFonts w:ascii="Book Antiqua" w:eastAsia="MS PGothic" w:hAnsi="Book Antiqua"/>
                <w:b/>
                <w:color w:val="000000" w:themeColor="text1"/>
                <w:kern w:val="0"/>
                <w:sz w:val="24"/>
                <w:szCs w:val="24"/>
                <w:vertAlign w:val="superscript"/>
                <w:lang w:bidi="ar-SA"/>
              </w:rPr>
              <w:t>2</w:t>
            </w:r>
            <w:r w:rsidRPr="00C16015">
              <w:rPr>
                <w:rFonts w:ascii="Book Antiqua" w:eastAsia="MS PGothic" w:hAnsi="Book Antiqua"/>
                <w:b/>
                <w:color w:val="000000" w:themeColor="text1"/>
                <w:kern w:val="0"/>
                <w:sz w:val="24"/>
                <w:szCs w:val="24"/>
                <w:lang w:bidi="ar-SA"/>
              </w:rPr>
              <w:t>)</w:t>
            </w:r>
          </w:p>
        </w:tc>
        <w:tc>
          <w:tcPr>
            <w:tcW w:w="1159" w:type="dxa"/>
            <w:noWrap/>
            <w:hideMark/>
          </w:tcPr>
          <w:p w14:paraId="5F36C34E"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RD</w:t>
            </w:r>
          </w:p>
          <w:p w14:paraId="52EF7721"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(mg/m</w:t>
            </w:r>
            <w:r w:rsidRPr="00C16015">
              <w:rPr>
                <w:rFonts w:ascii="Book Antiqua" w:eastAsia="MS PGothic" w:hAnsi="Book Antiqua"/>
                <w:b/>
                <w:color w:val="000000" w:themeColor="text1"/>
                <w:kern w:val="0"/>
                <w:sz w:val="24"/>
                <w:szCs w:val="24"/>
                <w:vertAlign w:val="superscript"/>
                <w:lang w:bidi="ar-SA"/>
              </w:rPr>
              <w:t>2</w:t>
            </w:r>
            <w:r w:rsidRPr="00C16015">
              <w:rPr>
                <w:rFonts w:ascii="Book Antiqua" w:eastAsia="MS PGothic" w:hAnsi="Book Antiqua"/>
                <w:b/>
                <w:color w:val="000000" w:themeColor="text1"/>
                <w:kern w:val="0"/>
                <w:sz w:val="24"/>
                <w:szCs w:val="24"/>
                <w:lang w:bidi="ar-SA"/>
              </w:rPr>
              <w:t>)</w:t>
            </w:r>
          </w:p>
        </w:tc>
        <w:tc>
          <w:tcPr>
            <w:tcW w:w="1925" w:type="dxa"/>
            <w:noWrap/>
            <w:hideMark/>
          </w:tcPr>
          <w:p w14:paraId="47BA0720"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DLT</w:t>
            </w:r>
          </w:p>
        </w:tc>
      </w:tr>
      <w:tr w:rsidR="00236584" w:rsidRPr="00C16015" w14:paraId="43D325FC" w14:textId="77777777" w:rsidTr="00322DFB">
        <w:trPr>
          <w:trHeight w:val="503"/>
        </w:trPr>
        <w:tc>
          <w:tcPr>
            <w:tcW w:w="1596" w:type="dxa"/>
            <w:noWrap/>
            <w:hideMark/>
          </w:tcPr>
          <w:p w14:paraId="733414E3" w14:textId="77777777" w:rsidR="00015D39" w:rsidRPr="00C16015" w:rsidRDefault="0099575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Kodera</w:t>
            </w:r>
            <w:r w:rsidRPr="00C16015">
              <w:rPr>
                <w:rFonts w:ascii="Book Antiqua" w:eastAsia="宋体" w:hAnsi="Book Antiqua"/>
                <w:color w:val="000000" w:themeColor="text1"/>
                <w:kern w:val="0"/>
                <w:sz w:val="24"/>
                <w:szCs w:val="24"/>
                <w:lang w:eastAsia="zh-CN" w:bidi="ar-SA"/>
              </w:rPr>
              <w:t xml:space="preserve"> </w:t>
            </w:r>
            <w:r w:rsidRPr="00C16015">
              <w:rPr>
                <w:rFonts w:ascii="Book Antiqua" w:eastAsia="宋体" w:hAnsi="Book Antiqua"/>
                <w:i/>
                <w:color w:val="000000" w:themeColor="text1"/>
                <w:kern w:val="0"/>
                <w:sz w:val="24"/>
                <w:szCs w:val="24"/>
                <w:lang w:eastAsia="zh-CN" w:bidi="ar-SA"/>
              </w:rPr>
              <w:t>et al</w:t>
            </w:r>
            <w:r w:rsidR="00015D39" w:rsidRPr="00C16015">
              <w:rPr>
                <w:rFonts w:ascii="Book Antiqua" w:eastAsia="MS PGothic" w:hAnsi="Book Antiqua"/>
                <w:noProof/>
                <w:color w:val="000000" w:themeColor="text1"/>
                <w:kern w:val="0"/>
                <w:sz w:val="24"/>
                <w:szCs w:val="24"/>
                <w:vertAlign w:val="superscript"/>
                <w:lang w:bidi="ar-SA"/>
              </w:rPr>
              <w:t>[42]</w:t>
            </w:r>
          </w:p>
        </w:tc>
        <w:tc>
          <w:tcPr>
            <w:tcW w:w="456" w:type="dxa"/>
          </w:tcPr>
          <w:p w14:paraId="30123E8E"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w:t>
            </w:r>
          </w:p>
        </w:tc>
        <w:tc>
          <w:tcPr>
            <w:tcW w:w="2011" w:type="dxa"/>
          </w:tcPr>
          <w:p w14:paraId="46F68B40"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w:t>
            </w:r>
          </w:p>
        </w:tc>
        <w:tc>
          <w:tcPr>
            <w:tcW w:w="1159" w:type="dxa"/>
          </w:tcPr>
          <w:p w14:paraId="7B4902E5"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60</w:t>
            </w:r>
          </w:p>
        </w:tc>
        <w:tc>
          <w:tcPr>
            <w:tcW w:w="1159" w:type="dxa"/>
            <w:noWrap/>
          </w:tcPr>
          <w:p w14:paraId="3B00F391"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w:t>
            </w:r>
          </w:p>
        </w:tc>
        <w:tc>
          <w:tcPr>
            <w:tcW w:w="1159" w:type="dxa"/>
            <w:noWrap/>
            <w:hideMark/>
          </w:tcPr>
          <w:p w14:paraId="2E8CDC91"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w:t>
            </w:r>
          </w:p>
        </w:tc>
        <w:tc>
          <w:tcPr>
            <w:tcW w:w="1925" w:type="dxa"/>
            <w:noWrap/>
            <w:hideMark/>
          </w:tcPr>
          <w:p w14:paraId="6CF666D0"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w:t>
            </w:r>
          </w:p>
        </w:tc>
      </w:tr>
      <w:tr w:rsidR="00236584" w:rsidRPr="00C16015" w14:paraId="3B301FFE" w14:textId="77777777" w:rsidTr="00322DFB">
        <w:trPr>
          <w:trHeight w:val="413"/>
        </w:trPr>
        <w:tc>
          <w:tcPr>
            <w:tcW w:w="1596" w:type="dxa"/>
            <w:noWrap/>
          </w:tcPr>
          <w:p w14:paraId="16650818" w14:textId="4BEE5735" w:rsidR="00322DFB" w:rsidRPr="004B4F92" w:rsidRDefault="00322DFB" w:rsidP="00C16015">
            <w:pPr>
              <w:widowControl/>
              <w:spacing w:line="360" w:lineRule="auto"/>
              <w:rPr>
                <w:rFonts w:ascii="Book Antiqua" w:eastAsia="宋体" w:hAnsi="Book Antiqua"/>
                <w:color w:val="000000" w:themeColor="text1"/>
                <w:kern w:val="0"/>
                <w:sz w:val="24"/>
                <w:szCs w:val="24"/>
                <w:lang w:eastAsia="zh-CN" w:bidi="ar-SA"/>
              </w:rPr>
            </w:pPr>
            <w:proofErr w:type="spellStart"/>
            <w:r w:rsidRPr="00C16015">
              <w:rPr>
                <w:rFonts w:ascii="Book Antiqua" w:eastAsia="MS PGothic" w:hAnsi="Book Antiqua"/>
                <w:color w:val="000000" w:themeColor="text1"/>
                <w:kern w:val="0"/>
                <w:sz w:val="24"/>
                <w:szCs w:val="24"/>
                <w:lang w:bidi="ar-SA"/>
              </w:rPr>
              <w:t>Fushida</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Pr="00C16015">
              <w:rPr>
                <w:rFonts w:ascii="Book Antiqua" w:eastAsia="MS PGothic" w:hAnsi="Book Antiqua"/>
                <w:noProof/>
                <w:color w:val="000000" w:themeColor="text1"/>
                <w:kern w:val="0"/>
                <w:sz w:val="24"/>
                <w:szCs w:val="24"/>
                <w:vertAlign w:val="superscript"/>
                <w:lang w:bidi="ar-SA"/>
              </w:rPr>
              <w:t>[26]</w:t>
            </w:r>
          </w:p>
        </w:tc>
        <w:tc>
          <w:tcPr>
            <w:tcW w:w="456" w:type="dxa"/>
          </w:tcPr>
          <w:p w14:paraId="3CF44880" w14:textId="7777777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24</w:t>
            </w:r>
          </w:p>
        </w:tc>
        <w:tc>
          <w:tcPr>
            <w:tcW w:w="2011" w:type="dxa"/>
          </w:tcPr>
          <w:p w14:paraId="028E30CB"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w:t>
            </w:r>
          </w:p>
        </w:tc>
        <w:tc>
          <w:tcPr>
            <w:tcW w:w="1159" w:type="dxa"/>
          </w:tcPr>
          <w:p w14:paraId="23F28A81"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25</w:t>
            </w:r>
          </w:p>
        </w:tc>
        <w:tc>
          <w:tcPr>
            <w:tcW w:w="1159" w:type="dxa"/>
            <w:noWrap/>
          </w:tcPr>
          <w:p w14:paraId="2AB83788"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60</w:t>
            </w:r>
          </w:p>
        </w:tc>
        <w:tc>
          <w:tcPr>
            <w:tcW w:w="1159" w:type="dxa"/>
            <w:noWrap/>
          </w:tcPr>
          <w:p w14:paraId="78371D84"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45</w:t>
            </w:r>
          </w:p>
        </w:tc>
        <w:tc>
          <w:tcPr>
            <w:tcW w:w="1925" w:type="dxa"/>
            <w:noWrap/>
          </w:tcPr>
          <w:p w14:paraId="75744B3C" w14:textId="63BA6274" w:rsidR="00322DFB" w:rsidRPr="00C16015" w:rsidRDefault="00322DFB" w:rsidP="00C16015">
            <w:pPr>
              <w:widowControl/>
              <w:spacing w:line="360" w:lineRule="auto"/>
              <w:textAlignment w:val="center"/>
              <w:rPr>
                <w:rFonts w:ascii="Book Antiqua" w:eastAsia="宋体" w:hAnsi="Book Antiqua"/>
                <w:color w:val="000000" w:themeColor="text1"/>
                <w:kern w:val="0"/>
                <w:sz w:val="24"/>
                <w:szCs w:val="24"/>
                <w:lang w:eastAsia="zh-CN" w:bidi="ar-SA"/>
              </w:rPr>
            </w:pPr>
            <w:r w:rsidRPr="00C16015">
              <w:rPr>
                <w:rFonts w:ascii="Book Antiqua" w:eastAsia="MS PGothic" w:hAnsi="Book Antiqua"/>
                <w:color w:val="000000" w:themeColor="text1"/>
                <w:kern w:val="0"/>
                <w:sz w:val="24"/>
                <w:szCs w:val="24"/>
                <w:lang w:bidi="ar-SA"/>
              </w:rPr>
              <w:t xml:space="preserve">Abdominal pain </w:t>
            </w:r>
            <w:r w:rsidR="008E4F6B" w:rsidRPr="00C16015">
              <w:rPr>
                <w:rFonts w:ascii="Book Antiqua" w:eastAsia="宋体" w:hAnsi="Book Antiqua"/>
                <w:color w:val="000000" w:themeColor="text1"/>
                <w:kern w:val="0"/>
                <w:sz w:val="24"/>
                <w:szCs w:val="24"/>
                <w:lang w:eastAsia="zh-CN" w:bidi="ar-SA"/>
              </w:rPr>
              <w:t>and</w:t>
            </w:r>
          </w:p>
          <w:p w14:paraId="0977276C"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diarrhea </w:t>
            </w:r>
          </w:p>
        </w:tc>
      </w:tr>
      <w:tr w:rsidR="00236584" w:rsidRPr="00C16015" w14:paraId="7816F710" w14:textId="77777777" w:rsidTr="00322DFB">
        <w:trPr>
          <w:trHeight w:val="413"/>
        </w:trPr>
        <w:tc>
          <w:tcPr>
            <w:tcW w:w="1596" w:type="dxa"/>
            <w:noWrap/>
          </w:tcPr>
          <w:p w14:paraId="4048313C" w14:textId="053FF6D8"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Ishigami</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Pr="00C16015">
              <w:rPr>
                <w:rFonts w:ascii="Book Antiqua" w:eastAsia="MS PGothic" w:hAnsi="Book Antiqua"/>
                <w:noProof/>
                <w:color w:val="000000" w:themeColor="text1"/>
                <w:kern w:val="0"/>
                <w:sz w:val="24"/>
                <w:szCs w:val="24"/>
                <w:vertAlign w:val="superscript"/>
                <w:lang w:bidi="ar-SA"/>
              </w:rPr>
              <w:t>[45]</w:t>
            </w:r>
          </w:p>
        </w:tc>
        <w:tc>
          <w:tcPr>
            <w:tcW w:w="456" w:type="dxa"/>
          </w:tcPr>
          <w:p w14:paraId="2C959C18" w14:textId="7777777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9</w:t>
            </w:r>
          </w:p>
        </w:tc>
        <w:tc>
          <w:tcPr>
            <w:tcW w:w="2011" w:type="dxa"/>
          </w:tcPr>
          <w:p w14:paraId="029221A2"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w:t>
            </w:r>
          </w:p>
        </w:tc>
        <w:tc>
          <w:tcPr>
            <w:tcW w:w="1159" w:type="dxa"/>
          </w:tcPr>
          <w:p w14:paraId="3B210052"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20</w:t>
            </w:r>
          </w:p>
        </w:tc>
        <w:tc>
          <w:tcPr>
            <w:tcW w:w="1159" w:type="dxa"/>
            <w:noWrap/>
          </w:tcPr>
          <w:p w14:paraId="7C1613AB"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30</w:t>
            </w:r>
          </w:p>
        </w:tc>
        <w:tc>
          <w:tcPr>
            <w:tcW w:w="1159" w:type="dxa"/>
            <w:noWrap/>
          </w:tcPr>
          <w:p w14:paraId="75FD7BB5"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20</w:t>
            </w:r>
          </w:p>
        </w:tc>
        <w:tc>
          <w:tcPr>
            <w:tcW w:w="1925" w:type="dxa"/>
            <w:noWrap/>
          </w:tcPr>
          <w:p w14:paraId="187FC0DF" w14:textId="68862BCB"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Febrile neutropenia </w:t>
            </w:r>
            <w:r w:rsidR="008E4F6B" w:rsidRPr="00C16015">
              <w:rPr>
                <w:rFonts w:ascii="Book Antiqua" w:eastAsia="宋体" w:hAnsi="Book Antiqua"/>
                <w:color w:val="000000" w:themeColor="text1"/>
                <w:kern w:val="0"/>
                <w:sz w:val="24"/>
                <w:szCs w:val="24"/>
                <w:lang w:eastAsia="zh-CN" w:bidi="ar-SA"/>
              </w:rPr>
              <w:t>and</w:t>
            </w:r>
            <w:r w:rsidRPr="00C16015">
              <w:rPr>
                <w:rFonts w:ascii="Book Antiqua" w:eastAsia="MS PGothic" w:hAnsi="Book Antiqua"/>
                <w:color w:val="000000" w:themeColor="text1"/>
                <w:kern w:val="0"/>
                <w:sz w:val="24"/>
                <w:szCs w:val="24"/>
                <w:lang w:bidi="ar-SA"/>
              </w:rPr>
              <w:t xml:space="preserve"> diarrhea</w:t>
            </w:r>
          </w:p>
        </w:tc>
      </w:tr>
      <w:tr w:rsidR="00236584" w:rsidRPr="00C16015" w14:paraId="16827D83" w14:textId="77777777" w:rsidTr="00322DFB">
        <w:trPr>
          <w:trHeight w:val="413"/>
        </w:trPr>
        <w:tc>
          <w:tcPr>
            <w:tcW w:w="1596" w:type="dxa"/>
            <w:noWrap/>
          </w:tcPr>
          <w:p w14:paraId="241108AA" w14:textId="0B31BC81"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Fujiwara </w:t>
            </w:r>
            <w:r w:rsidRPr="00C16015">
              <w:rPr>
                <w:rFonts w:ascii="Book Antiqua" w:eastAsia="MS PGothic" w:hAnsi="Book Antiqua"/>
                <w:i/>
                <w:color w:val="000000" w:themeColor="text1"/>
                <w:kern w:val="0"/>
                <w:sz w:val="24"/>
                <w:szCs w:val="24"/>
                <w:lang w:bidi="ar-SA"/>
              </w:rPr>
              <w:t>et al</w:t>
            </w:r>
            <w:r w:rsidRPr="00C16015">
              <w:rPr>
                <w:rFonts w:ascii="Book Antiqua" w:eastAsia="MS PGothic" w:hAnsi="Book Antiqua"/>
                <w:noProof/>
                <w:color w:val="000000" w:themeColor="text1"/>
                <w:kern w:val="0"/>
                <w:sz w:val="24"/>
                <w:szCs w:val="24"/>
                <w:vertAlign w:val="superscript"/>
                <w:lang w:bidi="ar-SA"/>
              </w:rPr>
              <w:t>[43]</w:t>
            </w:r>
          </w:p>
        </w:tc>
        <w:tc>
          <w:tcPr>
            <w:tcW w:w="456" w:type="dxa"/>
          </w:tcPr>
          <w:p w14:paraId="3C86324E" w14:textId="7777777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12</w:t>
            </w:r>
          </w:p>
        </w:tc>
        <w:tc>
          <w:tcPr>
            <w:tcW w:w="2011" w:type="dxa"/>
          </w:tcPr>
          <w:p w14:paraId="0344BE4B"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w:t>
            </w:r>
          </w:p>
        </w:tc>
        <w:tc>
          <w:tcPr>
            <w:tcW w:w="1159" w:type="dxa"/>
          </w:tcPr>
          <w:p w14:paraId="7F45028F"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40</w:t>
            </w:r>
          </w:p>
        </w:tc>
        <w:tc>
          <w:tcPr>
            <w:tcW w:w="1159" w:type="dxa"/>
            <w:noWrap/>
          </w:tcPr>
          <w:p w14:paraId="15801473"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w:t>
            </w:r>
          </w:p>
        </w:tc>
        <w:tc>
          <w:tcPr>
            <w:tcW w:w="1159" w:type="dxa"/>
            <w:noWrap/>
          </w:tcPr>
          <w:p w14:paraId="6D9D4AEE"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60</w:t>
            </w:r>
          </w:p>
        </w:tc>
        <w:tc>
          <w:tcPr>
            <w:tcW w:w="1925" w:type="dxa"/>
            <w:noWrap/>
          </w:tcPr>
          <w:p w14:paraId="46506D6B"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w:t>
            </w:r>
          </w:p>
        </w:tc>
      </w:tr>
      <w:tr w:rsidR="00236584" w:rsidRPr="00C16015" w14:paraId="0530E926" w14:textId="77777777" w:rsidTr="00322DFB">
        <w:trPr>
          <w:trHeight w:val="413"/>
        </w:trPr>
        <w:tc>
          <w:tcPr>
            <w:tcW w:w="1596" w:type="dxa"/>
            <w:noWrap/>
          </w:tcPr>
          <w:p w14:paraId="2715C3B0" w14:textId="7FD3531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Kurita </w:t>
            </w:r>
            <w:r w:rsidRPr="00C16015">
              <w:rPr>
                <w:rFonts w:ascii="Book Antiqua" w:eastAsia="MS PGothic" w:hAnsi="Book Antiqua"/>
                <w:i/>
                <w:color w:val="000000" w:themeColor="text1"/>
                <w:kern w:val="0"/>
                <w:sz w:val="24"/>
                <w:szCs w:val="24"/>
                <w:lang w:bidi="ar-SA"/>
              </w:rPr>
              <w:t>et al</w:t>
            </w:r>
            <w:r w:rsidRPr="00C16015">
              <w:rPr>
                <w:rFonts w:ascii="Book Antiqua" w:eastAsia="MS PGothic" w:hAnsi="Book Antiqua"/>
                <w:noProof/>
                <w:color w:val="000000" w:themeColor="text1"/>
                <w:kern w:val="0"/>
                <w:sz w:val="24"/>
                <w:szCs w:val="24"/>
                <w:vertAlign w:val="superscript"/>
                <w:lang w:bidi="ar-SA"/>
              </w:rPr>
              <w:t>[44]</w:t>
            </w:r>
          </w:p>
        </w:tc>
        <w:tc>
          <w:tcPr>
            <w:tcW w:w="456" w:type="dxa"/>
          </w:tcPr>
          <w:p w14:paraId="0900FA27" w14:textId="7777777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18</w:t>
            </w:r>
          </w:p>
        </w:tc>
        <w:tc>
          <w:tcPr>
            <w:tcW w:w="2011" w:type="dxa"/>
          </w:tcPr>
          <w:p w14:paraId="05895B06"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w:t>
            </w:r>
          </w:p>
        </w:tc>
        <w:tc>
          <w:tcPr>
            <w:tcW w:w="1159" w:type="dxa"/>
          </w:tcPr>
          <w:p w14:paraId="0175B925"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40</w:t>
            </w:r>
          </w:p>
        </w:tc>
        <w:tc>
          <w:tcPr>
            <w:tcW w:w="1159" w:type="dxa"/>
            <w:noWrap/>
          </w:tcPr>
          <w:p w14:paraId="1C4C6A41"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90</w:t>
            </w:r>
          </w:p>
        </w:tc>
        <w:tc>
          <w:tcPr>
            <w:tcW w:w="1159" w:type="dxa"/>
            <w:noWrap/>
          </w:tcPr>
          <w:p w14:paraId="3A9500BA"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80</w:t>
            </w:r>
          </w:p>
        </w:tc>
        <w:tc>
          <w:tcPr>
            <w:tcW w:w="1925" w:type="dxa"/>
            <w:noWrap/>
          </w:tcPr>
          <w:p w14:paraId="0149BEFF"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Leukocytopenia</w:t>
            </w:r>
          </w:p>
        </w:tc>
      </w:tr>
      <w:tr w:rsidR="00236584" w:rsidRPr="00C16015" w14:paraId="6666338F" w14:textId="77777777" w:rsidTr="00322DFB">
        <w:trPr>
          <w:trHeight w:val="419"/>
        </w:trPr>
        <w:tc>
          <w:tcPr>
            <w:tcW w:w="1596" w:type="dxa"/>
            <w:noWrap/>
          </w:tcPr>
          <w:p w14:paraId="406D063C" w14:textId="30029BBF"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Fushida</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Pr="00C16015">
              <w:rPr>
                <w:rFonts w:ascii="Book Antiqua" w:eastAsia="MS PGothic" w:hAnsi="Book Antiqua"/>
                <w:noProof/>
                <w:color w:val="000000" w:themeColor="text1"/>
                <w:kern w:val="0"/>
                <w:sz w:val="24"/>
                <w:szCs w:val="24"/>
                <w:vertAlign w:val="superscript"/>
                <w:lang w:bidi="ar-SA"/>
              </w:rPr>
              <w:t>[16]</w:t>
            </w:r>
          </w:p>
        </w:tc>
        <w:tc>
          <w:tcPr>
            <w:tcW w:w="456" w:type="dxa"/>
          </w:tcPr>
          <w:p w14:paraId="3195104F" w14:textId="77777777" w:rsidR="00322DFB"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12</w:t>
            </w:r>
          </w:p>
        </w:tc>
        <w:tc>
          <w:tcPr>
            <w:tcW w:w="2011" w:type="dxa"/>
          </w:tcPr>
          <w:p w14:paraId="3E9F7F7D"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w:t>
            </w:r>
          </w:p>
        </w:tc>
        <w:tc>
          <w:tcPr>
            <w:tcW w:w="1159" w:type="dxa"/>
          </w:tcPr>
          <w:p w14:paraId="07EAC19E"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35</w:t>
            </w:r>
          </w:p>
        </w:tc>
        <w:tc>
          <w:tcPr>
            <w:tcW w:w="1159" w:type="dxa"/>
            <w:noWrap/>
          </w:tcPr>
          <w:p w14:paraId="541290C1"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50</w:t>
            </w:r>
          </w:p>
        </w:tc>
        <w:tc>
          <w:tcPr>
            <w:tcW w:w="1159" w:type="dxa"/>
            <w:noWrap/>
          </w:tcPr>
          <w:p w14:paraId="67482B74"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45</w:t>
            </w:r>
          </w:p>
        </w:tc>
        <w:tc>
          <w:tcPr>
            <w:tcW w:w="1925" w:type="dxa"/>
            <w:noWrap/>
          </w:tcPr>
          <w:p w14:paraId="56B7FE32" w14:textId="5E2D77C1" w:rsidR="00322DFB" w:rsidRPr="00C16015" w:rsidRDefault="00322DFB" w:rsidP="00C16015">
            <w:pPr>
              <w:widowControl/>
              <w:spacing w:line="360" w:lineRule="auto"/>
              <w:textAlignment w:val="center"/>
              <w:rPr>
                <w:rFonts w:ascii="Book Antiqua" w:eastAsia="宋体" w:hAnsi="Book Antiqua"/>
                <w:color w:val="000000" w:themeColor="text1"/>
                <w:kern w:val="0"/>
                <w:sz w:val="24"/>
                <w:szCs w:val="24"/>
                <w:lang w:eastAsia="zh-CN" w:bidi="ar-SA"/>
              </w:rPr>
            </w:pPr>
            <w:r w:rsidRPr="00C16015">
              <w:rPr>
                <w:rFonts w:ascii="Book Antiqua" w:eastAsia="MS PGothic" w:hAnsi="Book Antiqua"/>
                <w:color w:val="000000" w:themeColor="text1"/>
                <w:kern w:val="0"/>
                <w:sz w:val="24"/>
                <w:szCs w:val="24"/>
                <w:lang w:bidi="ar-SA"/>
              </w:rPr>
              <w:t xml:space="preserve">Febrile neutropenia </w:t>
            </w:r>
            <w:r w:rsidR="008E4F6B" w:rsidRPr="00C16015">
              <w:rPr>
                <w:rFonts w:ascii="Book Antiqua" w:eastAsia="宋体" w:hAnsi="Book Antiqua"/>
                <w:color w:val="000000" w:themeColor="text1"/>
                <w:kern w:val="0"/>
                <w:sz w:val="24"/>
                <w:szCs w:val="24"/>
                <w:lang w:eastAsia="zh-CN" w:bidi="ar-SA"/>
              </w:rPr>
              <w:t>and</w:t>
            </w:r>
          </w:p>
          <w:p w14:paraId="6B9FA412" w14:textId="77777777" w:rsidR="00322DFB" w:rsidRPr="00C16015" w:rsidRDefault="00322DFB"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diarrhea</w:t>
            </w:r>
          </w:p>
        </w:tc>
      </w:tr>
    </w:tbl>
    <w:p w14:paraId="79D4D9E0" w14:textId="702F6DBB" w:rsidR="00015D39" w:rsidRPr="00C16015" w:rsidRDefault="008E4F6B" w:rsidP="00C16015">
      <w:pPr>
        <w:widowControl/>
        <w:spacing w:line="360" w:lineRule="auto"/>
        <w:rPr>
          <w:rFonts w:ascii="Book Antiqua" w:hAnsi="Book Antiqua"/>
          <w:b/>
          <w:color w:val="000000" w:themeColor="text1"/>
          <w:kern w:val="0"/>
          <w:sz w:val="24"/>
          <w:szCs w:val="24"/>
        </w:rPr>
      </w:pPr>
      <w:r w:rsidRPr="00C16015">
        <w:rPr>
          <w:rFonts w:ascii="Book Antiqua" w:hAnsi="Book Antiqua"/>
          <w:color w:val="000000" w:themeColor="text1"/>
          <w:kern w:val="0"/>
          <w:sz w:val="24"/>
          <w:szCs w:val="24"/>
        </w:rPr>
        <w:t>MTD</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t xml:space="preserve">Maximum </w:t>
      </w:r>
      <w:r w:rsidR="00015D39" w:rsidRPr="00C16015">
        <w:rPr>
          <w:rFonts w:ascii="Book Antiqua" w:hAnsi="Book Antiqua"/>
          <w:color w:val="000000" w:themeColor="text1"/>
          <w:kern w:val="0"/>
          <w:sz w:val="24"/>
          <w:szCs w:val="24"/>
        </w:rPr>
        <w:t>tolerated dose; RD</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t xml:space="preserve">Recommended </w:t>
      </w:r>
      <w:r w:rsidR="00015D39" w:rsidRPr="00C16015">
        <w:rPr>
          <w:rFonts w:ascii="Book Antiqua" w:hAnsi="Book Antiqua"/>
          <w:color w:val="000000" w:themeColor="text1"/>
          <w:kern w:val="0"/>
          <w:sz w:val="24"/>
          <w:szCs w:val="24"/>
        </w:rPr>
        <w:t>dose; DLT</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t>Dose</w:t>
      </w:r>
      <w:r w:rsidR="00015D39" w:rsidRPr="00C16015">
        <w:rPr>
          <w:rFonts w:ascii="Book Antiqua" w:hAnsi="Book Antiqua"/>
          <w:color w:val="000000" w:themeColor="text1"/>
          <w:kern w:val="0"/>
          <w:sz w:val="24"/>
          <w:szCs w:val="24"/>
        </w:rPr>
        <w:t>-limiting toxicities; PTX</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t>Paclitaxel</w:t>
      </w:r>
      <w:r w:rsidR="00015D39" w:rsidRPr="00C16015">
        <w:rPr>
          <w:rFonts w:ascii="Book Antiqua" w:hAnsi="Book Antiqua"/>
          <w:color w:val="000000" w:themeColor="text1"/>
          <w:kern w:val="0"/>
          <w:sz w:val="24"/>
          <w:szCs w:val="24"/>
        </w:rPr>
        <w:t>; DOC</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color w:val="000000" w:themeColor="text1"/>
          <w:kern w:val="0"/>
          <w:sz w:val="24"/>
          <w:szCs w:val="24"/>
        </w:rPr>
        <w:t xml:space="preserve"> </w:t>
      </w:r>
      <w:r w:rsidRPr="00C16015">
        <w:rPr>
          <w:rFonts w:ascii="Book Antiqua" w:hAnsi="Book Antiqua"/>
          <w:color w:val="000000" w:themeColor="text1"/>
          <w:kern w:val="0"/>
          <w:sz w:val="24"/>
          <w:szCs w:val="24"/>
        </w:rPr>
        <w:t>Docetaxel</w:t>
      </w:r>
      <w:r w:rsidRPr="00C16015">
        <w:rPr>
          <w:rFonts w:ascii="Book Antiqua" w:eastAsia="宋体" w:hAnsi="Book Antiqua"/>
          <w:color w:val="000000" w:themeColor="text1"/>
          <w:kern w:val="0"/>
          <w:sz w:val="24"/>
          <w:szCs w:val="24"/>
          <w:lang w:eastAsia="zh-CN"/>
        </w:rPr>
        <w:t>.</w:t>
      </w:r>
      <w:r w:rsidR="00015D39" w:rsidRPr="00C16015">
        <w:rPr>
          <w:rFonts w:ascii="Book Antiqua" w:hAnsi="Book Antiqua"/>
          <w:b/>
          <w:color w:val="000000" w:themeColor="text1"/>
          <w:kern w:val="0"/>
          <w:sz w:val="24"/>
          <w:szCs w:val="24"/>
        </w:rPr>
        <w:br w:type="page"/>
      </w:r>
    </w:p>
    <w:p w14:paraId="75B759E9" w14:textId="76E14984" w:rsidR="00015D39" w:rsidRPr="00C16015" w:rsidRDefault="008E4F6B" w:rsidP="00C16015">
      <w:pPr>
        <w:widowControl/>
        <w:spacing w:line="360" w:lineRule="auto"/>
        <w:rPr>
          <w:rFonts w:ascii="Book Antiqua" w:hAnsi="Book Antiqua"/>
          <w:b/>
          <w:color w:val="000000" w:themeColor="text1"/>
          <w:kern w:val="0"/>
          <w:sz w:val="24"/>
          <w:szCs w:val="24"/>
        </w:rPr>
      </w:pPr>
      <w:r w:rsidRPr="00C16015">
        <w:rPr>
          <w:rFonts w:ascii="Book Antiqua" w:hAnsi="Book Antiqua"/>
          <w:b/>
          <w:color w:val="000000" w:themeColor="text1"/>
          <w:kern w:val="0"/>
          <w:sz w:val="24"/>
          <w:szCs w:val="24"/>
        </w:rPr>
        <w:lastRenderedPageBreak/>
        <w:t>Table 2</w:t>
      </w:r>
      <w:r w:rsidR="00015D39" w:rsidRPr="00C16015">
        <w:rPr>
          <w:rFonts w:ascii="Book Antiqua" w:hAnsi="Book Antiqua"/>
          <w:b/>
          <w:color w:val="000000" w:themeColor="text1"/>
          <w:kern w:val="0"/>
          <w:sz w:val="24"/>
          <w:szCs w:val="24"/>
        </w:rPr>
        <w:t xml:space="preserve"> Phase II studies on intraperitoneal chemotherapy using </w:t>
      </w:r>
      <w:proofErr w:type="spellStart"/>
      <w:r w:rsidR="00015D39" w:rsidRPr="00C16015">
        <w:rPr>
          <w:rFonts w:ascii="Book Antiqua" w:hAnsi="Book Antiqua"/>
          <w:b/>
          <w:color w:val="000000" w:themeColor="text1"/>
          <w:kern w:val="0"/>
          <w:sz w:val="24"/>
          <w:szCs w:val="24"/>
        </w:rPr>
        <w:t>taxanes</w:t>
      </w:r>
      <w:proofErr w:type="spellEnd"/>
      <w:r w:rsidR="00015D39" w:rsidRPr="00C16015">
        <w:rPr>
          <w:rFonts w:ascii="Book Antiqua" w:hAnsi="Book Antiqua"/>
          <w:b/>
          <w:color w:val="000000" w:themeColor="text1"/>
          <w:kern w:val="0"/>
          <w:sz w:val="24"/>
          <w:szCs w:val="24"/>
        </w:rPr>
        <w:t xml:space="preserve"> for the treatment of gastric cancer with peritoneal </w:t>
      </w:r>
      <w:proofErr w:type="spellStart"/>
      <w:r w:rsidR="00015D39" w:rsidRPr="00C16015">
        <w:rPr>
          <w:rFonts w:ascii="Book Antiqua" w:hAnsi="Book Antiqua"/>
          <w:b/>
          <w:color w:val="000000" w:themeColor="text1"/>
          <w:kern w:val="0"/>
          <w:sz w:val="24"/>
          <w:szCs w:val="24"/>
        </w:rPr>
        <w:t>carcinomatosis</w:t>
      </w:r>
      <w:proofErr w:type="spellEnd"/>
    </w:p>
    <w:tbl>
      <w:tblPr>
        <w:tblStyle w:val="TableGrid"/>
        <w:tblW w:w="8927" w:type="dxa"/>
        <w:tblLook w:val="04A0" w:firstRow="1" w:lastRow="0" w:firstColumn="1" w:lastColumn="0" w:noHBand="0" w:noVBand="1"/>
      </w:tblPr>
      <w:tblGrid>
        <w:gridCol w:w="1701"/>
        <w:gridCol w:w="456"/>
        <w:gridCol w:w="1083"/>
        <w:gridCol w:w="2083"/>
        <w:gridCol w:w="763"/>
        <w:gridCol w:w="992"/>
        <w:gridCol w:w="935"/>
        <w:gridCol w:w="1046"/>
      </w:tblGrid>
      <w:tr w:rsidR="00236584" w:rsidRPr="00C16015" w14:paraId="1815F29D" w14:textId="77777777" w:rsidTr="008E4F6B">
        <w:trPr>
          <w:trHeight w:val="630"/>
        </w:trPr>
        <w:tc>
          <w:tcPr>
            <w:tcW w:w="1701" w:type="dxa"/>
            <w:noWrap/>
            <w:hideMark/>
          </w:tcPr>
          <w:p w14:paraId="16014372" w14:textId="40EFD7D8" w:rsidR="00015D39" w:rsidRPr="00C16015" w:rsidRDefault="008E4F6B" w:rsidP="00C16015">
            <w:pPr>
              <w:widowControl/>
              <w:spacing w:line="360" w:lineRule="auto"/>
              <w:rPr>
                <w:rFonts w:ascii="Book Antiqua" w:eastAsia="宋体" w:hAnsi="Book Antiqua"/>
                <w:b/>
                <w:color w:val="000000" w:themeColor="text1"/>
                <w:kern w:val="0"/>
                <w:sz w:val="24"/>
                <w:szCs w:val="24"/>
                <w:lang w:eastAsia="zh-CN" w:bidi="ar-SA"/>
              </w:rPr>
            </w:pPr>
            <w:r w:rsidRPr="00C16015">
              <w:rPr>
                <w:rFonts w:ascii="Book Antiqua" w:eastAsia="宋体" w:hAnsi="Book Antiqua"/>
                <w:b/>
                <w:color w:val="000000" w:themeColor="text1"/>
                <w:kern w:val="0"/>
                <w:sz w:val="24"/>
                <w:szCs w:val="24"/>
                <w:lang w:eastAsia="zh-CN" w:bidi="ar-SA"/>
              </w:rPr>
              <w:t>Ref.</w:t>
            </w:r>
          </w:p>
        </w:tc>
        <w:tc>
          <w:tcPr>
            <w:tcW w:w="709" w:type="dxa"/>
          </w:tcPr>
          <w:p w14:paraId="4985335F" w14:textId="25264ECD" w:rsidR="00015D39" w:rsidRPr="00C16015" w:rsidRDefault="008E4F6B" w:rsidP="00C16015">
            <w:pPr>
              <w:widowControl/>
              <w:spacing w:line="360" w:lineRule="auto"/>
              <w:rPr>
                <w:rFonts w:ascii="Book Antiqua" w:eastAsia="MS PGothic" w:hAnsi="Book Antiqua"/>
                <w:b/>
                <w:i/>
                <w:color w:val="000000" w:themeColor="text1"/>
                <w:kern w:val="0"/>
                <w:sz w:val="24"/>
                <w:szCs w:val="24"/>
                <w:lang w:bidi="ar-SA"/>
              </w:rPr>
            </w:pPr>
            <w:r w:rsidRPr="00C16015">
              <w:rPr>
                <w:rFonts w:ascii="Book Antiqua" w:eastAsia="MS PGothic" w:hAnsi="Book Antiqua"/>
                <w:b/>
                <w:i/>
                <w:color w:val="000000" w:themeColor="text1"/>
                <w:kern w:val="0"/>
                <w:sz w:val="24"/>
                <w:szCs w:val="24"/>
                <w:lang w:bidi="ar-SA"/>
              </w:rPr>
              <w:t>n</w:t>
            </w:r>
          </w:p>
        </w:tc>
        <w:tc>
          <w:tcPr>
            <w:tcW w:w="709" w:type="dxa"/>
            <w:noWrap/>
          </w:tcPr>
          <w:p w14:paraId="16109DE1"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Method</w:t>
            </w:r>
          </w:p>
        </w:tc>
        <w:tc>
          <w:tcPr>
            <w:tcW w:w="1788" w:type="dxa"/>
            <w:noWrap/>
            <w:hideMark/>
          </w:tcPr>
          <w:p w14:paraId="16857677"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Intraperitoneally administered agents</w:t>
            </w:r>
          </w:p>
        </w:tc>
        <w:tc>
          <w:tcPr>
            <w:tcW w:w="1047" w:type="dxa"/>
          </w:tcPr>
          <w:p w14:paraId="191E6FC6" w14:textId="110972E0"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MST (mo)</w:t>
            </w:r>
          </w:p>
        </w:tc>
        <w:tc>
          <w:tcPr>
            <w:tcW w:w="992" w:type="dxa"/>
            <w:noWrap/>
            <w:hideMark/>
          </w:tcPr>
          <w:p w14:paraId="3FB2CFC7"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 xml:space="preserve">1-year OS </w:t>
            </w:r>
          </w:p>
          <w:p w14:paraId="49D9DEC2"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w:t>
            </w:r>
          </w:p>
        </w:tc>
        <w:tc>
          <w:tcPr>
            <w:tcW w:w="935" w:type="dxa"/>
            <w:noWrap/>
            <w:hideMark/>
          </w:tcPr>
          <w:p w14:paraId="46438DAC"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2-year OS (%)</w:t>
            </w:r>
          </w:p>
        </w:tc>
        <w:tc>
          <w:tcPr>
            <w:tcW w:w="1046" w:type="dxa"/>
            <w:noWrap/>
            <w:hideMark/>
          </w:tcPr>
          <w:p w14:paraId="289EC71E"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5-year OS</w:t>
            </w:r>
          </w:p>
          <w:p w14:paraId="6E49963F" w14:textId="77777777" w:rsidR="00015D39" w:rsidRPr="00C16015" w:rsidRDefault="00015D39" w:rsidP="00C16015">
            <w:pPr>
              <w:widowControl/>
              <w:spacing w:line="360" w:lineRule="auto"/>
              <w:rPr>
                <w:rFonts w:ascii="Book Antiqua" w:eastAsia="MS PGothic" w:hAnsi="Book Antiqua"/>
                <w:b/>
                <w:color w:val="000000" w:themeColor="text1"/>
                <w:kern w:val="0"/>
                <w:sz w:val="24"/>
                <w:szCs w:val="24"/>
                <w:lang w:bidi="ar-SA"/>
              </w:rPr>
            </w:pPr>
            <w:r w:rsidRPr="00C16015">
              <w:rPr>
                <w:rFonts w:ascii="Book Antiqua" w:eastAsia="MS PGothic" w:hAnsi="Book Antiqua"/>
                <w:b/>
                <w:color w:val="000000" w:themeColor="text1"/>
                <w:kern w:val="0"/>
                <w:sz w:val="24"/>
                <w:szCs w:val="24"/>
                <w:lang w:bidi="ar-SA"/>
              </w:rPr>
              <w:t>(%)</w:t>
            </w:r>
          </w:p>
        </w:tc>
      </w:tr>
      <w:tr w:rsidR="00236584" w:rsidRPr="00C16015" w14:paraId="64ADCAF0" w14:textId="77777777" w:rsidTr="008E4F6B">
        <w:trPr>
          <w:trHeight w:val="503"/>
        </w:trPr>
        <w:tc>
          <w:tcPr>
            <w:tcW w:w="1701" w:type="dxa"/>
            <w:noWrap/>
            <w:hideMark/>
          </w:tcPr>
          <w:p w14:paraId="1D09311A" w14:textId="5B6E25F8"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Yonemura</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00015D39" w:rsidRPr="00C16015">
              <w:rPr>
                <w:rFonts w:ascii="Book Antiqua" w:eastAsia="MS PGothic" w:hAnsi="Book Antiqua"/>
                <w:noProof/>
                <w:color w:val="000000" w:themeColor="text1"/>
                <w:kern w:val="0"/>
                <w:sz w:val="24"/>
                <w:szCs w:val="24"/>
                <w:vertAlign w:val="superscript"/>
                <w:lang w:bidi="ar-SA"/>
              </w:rPr>
              <w:t>[38]</w:t>
            </w:r>
            <w:r w:rsidR="00015D39" w:rsidRPr="00C16015">
              <w:rPr>
                <w:rFonts w:ascii="Book Antiqua" w:eastAsia="MS PGothic" w:hAnsi="Book Antiqua"/>
                <w:color w:val="000000" w:themeColor="text1"/>
                <w:kern w:val="0"/>
                <w:sz w:val="24"/>
                <w:szCs w:val="24"/>
                <w:lang w:bidi="ar-SA"/>
              </w:rPr>
              <w:t xml:space="preserve"> </w:t>
            </w:r>
          </w:p>
        </w:tc>
        <w:tc>
          <w:tcPr>
            <w:tcW w:w="709" w:type="dxa"/>
          </w:tcPr>
          <w:p w14:paraId="04AD718A"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61</w:t>
            </w:r>
          </w:p>
        </w:tc>
        <w:tc>
          <w:tcPr>
            <w:tcW w:w="709" w:type="dxa"/>
            <w:noWrap/>
          </w:tcPr>
          <w:p w14:paraId="0CE96C5D"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NIPS</w:t>
            </w:r>
          </w:p>
        </w:tc>
        <w:tc>
          <w:tcPr>
            <w:tcW w:w="1788" w:type="dxa"/>
            <w:noWrap/>
            <w:hideMark/>
          </w:tcPr>
          <w:p w14:paraId="71EEEC39"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 (40 mg) + CBDCA (150 mg)</w:t>
            </w:r>
          </w:p>
        </w:tc>
        <w:tc>
          <w:tcPr>
            <w:tcW w:w="1047" w:type="dxa"/>
          </w:tcPr>
          <w:p w14:paraId="75E928A3"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14.4</w:t>
            </w:r>
          </w:p>
        </w:tc>
        <w:tc>
          <w:tcPr>
            <w:tcW w:w="992" w:type="dxa"/>
            <w:noWrap/>
          </w:tcPr>
          <w:p w14:paraId="0CC8DEA4"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67</w:t>
            </w:r>
          </w:p>
        </w:tc>
        <w:tc>
          <w:tcPr>
            <w:tcW w:w="935" w:type="dxa"/>
            <w:noWrap/>
            <w:hideMark/>
          </w:tcPr>
          <w:p w14:paraId="111202F0"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c>
          <w:tcPr>
            <w:tcW w:w="1046" w:type="dxa"/>
            <w:noWrap/>
            <w:hideMark/>
          </w:tcPr>
          <w:p w14:paraId="7B075DFE"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r>
      <w:tr w:rsidR="00236584" w:rsidRPr="00C16015" w14:paraId="19AEC6B0" w14:textId="77777777" w:rsidTr="008E4F6B">
        <w:trPr>
          <w:trHeight w:val="437"/>
        </w:trPr>
        <w:tc>
          <w:tcPr>
            <w:tcW w:w="1701" w:type="dxa"/>
            <w:noWrap/>
            <w:hideMark/>
          </w:tcPr>
          <w:p w14:paraId="7A4F4827" w14:textId="3DBFC9BA"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Ishigami</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00015D39" w:rsidRPr="00C16015">
              <w:rPr>
                <w:rFonts w:ascii="Book Antiqua" w:eastAsia="MS PGothic" w:hAnsi="Book Antiqua"/>
                <w:noProof/>
                <w:color w:val="000000" w:themeColor="text1"/>
                <w:kern w:val="0"/>
                <w:sz w:val="24"/>
                <w:szCs w:val="24"/>
                <w:vertAlign w:val="superscript"/>
                <w:lang w:bidi="ar-SA"/>
              </w:rPr>
              <w:t>[14]</w:t>
            </w:r>
          </w:p>
        </w:tc>
        <w:tc>
          <w:tcPr>
            <w:tcW w:w="709" w:type="dxa"/>
          </w:tcPr>
          <w:p w14:paraId="4E9000BF"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40</w:t>
            </w:r>
          </w:p>
        </w:tc>
        <w:tc>
          <w:tcPr>
            <w:tcW w:w="709" w:type="dxa"/>
            <w:noWrap/>
          </w:tcPr>
          <w:p w14:paraId="05796D8A"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SPIC</w:t>
            </w:r>
          </w:p>
        </w:tc>
        <w:tc>
          <w:tcPr>
            <w:tcW w:w="1788" w:type="dxa"/>
            <w:noWrap/>
            <w:hideMark/>
          </w:tcPr>
          <w:p w14:paraId="1E6C0BEB"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 (20 mg/m</w:t>
            </w:r>
            <w:r w:rsidRPr="00C16015">
              <w:rPr>
                <w:rFonts w:ascii="Book Antiqua" w:eastAsia="MS PGothic" w:hAnsi="Book Antiqua"/>
                <w:color w:val="000000" w:themeColor="text1"/>
                <w:kern w:val="0"/>
                <w:sz w:val="24"/>
                <w:szCs w:val="24"/>
                <w:vertAlign w:val="superscript"/>
                <w:lang w:bidi="ar-SA"/>
              </w:rPr>
              <w:t>2</w:t>
            </w:r>
            <w:r w:rsidRPr="00C16015">
              <w:rPr>
                <w:rFonts w:ascii="Book Antiqua" w:eastAsia="MS PGothic" w:hAnsi="Book Antiqua"/>
                <w:color w:val="000000" w:themeColor="text1"/>
                <w:kern w:val="0"/>
                <w:sz w:val="24"/>
                <w:szCs w:val="24"/>
                <w:lang w:bidi="ar-SA"/>
              </w:rPr>
              <w:t>)</w:t>
            </w:r>
          </w:p>
        </w:tc>
        <w:tc>
          <w:tcPr>
            <w:tcW w:w="1047" w:type="dxa"/>
          </w:tcPr>
          <w:p w14:paraId="32120678"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22.6</w:t>
            </w:r>
          </w:p>
        </w:tc>
        <w:tc>
          <w:tcPr>
            <w:tcW w:w="992" w:type="dxa"/>
            <w:noWrap/>
          </w:tcPr>
          <w:p w14:paraId="788F0A19"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78</w:t>
            </w:r>
          </w:p>
        </w:tc>
        <w:tc>
          <w:tcPr>
            <w:tcW w:w="935" w:type="dxa"/>
            <w:noWrap/>
            <w:hideMark/>
          </w:tcPr>
          <w:p w14:paraId="22835F7D"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c>
          <w:tcPr>
            <w:tcW w:w="1046" w:type="dxa"/>
            <w:noWrap/>
          </w:tcPr>
          <w:p w14:paraId="24F3025F"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r>
      <w:tr w:rsidR="00236584" w:rsidRPr="00C16015" w14:paraId="3584B371" w14:textId="77777777" w:rsidTr="008E4F6B">
        <w:trPr>
          <w:trHeight w:val="413"/>
        </w:trPr>
        <w:tc>
          <w:tcPr>
            <w:tcW w:w="1701" w:type="dxa"/>
            <w:noWrap/>
          </w:tcPr>
          <w:p w14:paraId="61090F0C" w14:textId="15195514"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Fujiwara </w:t>
            </w:r>
            <w:r w:rsidRPr="00C16015">
              <w:rPr>
                <w:rFonts w:ascii="Book Antiqua" w:eastAsia="MS PGothic" w:hAnsi="Book Antiqua"/>
                <w:i/>
                <w:color w:val="000000" w:themeColor="text1"/>
                <w:kern w:val="0"/>
                <w:sz w:val="24"/>
                <w:szCs w:val="24"/>
                <w:lang w:bidi="ar-SA"/>
              </w:rPr>
              <w:t>et al</w:t>
            </w:r>
            <w:r w:rsidR="00015D39" w:rsidRPr="00C16015">
              <w:rPr>
                <w:rFonts w:ascii="Book Antiqua" w:eastAsia="MS PGothic" w:hAnsi="Book Antiqua"/>
                <w:noProof/>
                <w:color w:val="000000" w:themeColor="text1"/>
                <w:kern w:val="0"/>
                <w:sz w:val="24"/>
                <w:szCs w:val="24"/>
                <w:vertAlign w:val="superscript"/>
                <w:lang w:bidi="ar-SA"/>
              </w:rPr>
              <w:t>[17]</w:t>
            </w:r>
          </w:p>
        </w:tc>
        <w:tc>
          <w:tcPr>
            <w:tcW w:w="709" w:type="dxa"/>
          </w:tcPr>
          <w:p w14:paraId="339339A5"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18</w:t>
            </w:r>
          </w:p>
        </w:tc>
        <w:tc>
          <w:tcPr>
            <w:tcW w:w="709" w:type="dxa"/>
            <w:noWrap/>
          </w:tcPr>
          <w:p w14:paraId="32173334"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NIPS</w:t>
            </w:r>
          </w:p>
        </w:tc>
        <w:tc>
          <w:tcPr>
            <w:tcW w:w="1788" w:type="dxa"/>
            <w:noWrap/>
          </w:tcPr>
          <w:p w14:paraId="3F141793"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 (40–60 mg/m</w:t>
            </w:r>
            <w:r w:rsidRPr="00C16015">
              <w:rPr>
                <w:rFonts w:ascii="Book Antiqua" w:eastAsia="MS PGothic" w:hAnsi="Book Antiqua"/>
                <w:color w:val="000000" w:themeColor="text1"/>
                <w:kern w:val="0"/>
                <w:sz w:val="24"/>
                <w:szCs w:val="24"/>
                <w:vertAlign w:val="superscript"/>
                <w:lang w:bidi="ar-SA"/>
              </w:rPr>
              <w:t>2</w:t>
            </w:r>
            <w:r w:rsidRPr="00C16015">
              <w:rPr>
                <w:rFonts w:ascii="Book Antiqua" w:eastAsia="MS PGothic" w:hAnsi="Book Antiqua"/>
                <w:color w:val="000000" w:themeColor="text1"/>
                <w:kern w:val="0"/>
                <w:sz w:val="24"/>
                <w:szCs w:val="24"/>
                <w:lang w:bidi="ar-SA"/>
              </w:rPr>
              <w:t>)</w:t>
            </w:r>
          </w:p>
        </w:tc>
        <w:tc>
          <w:tcPr>
            <w:tcW w:w="1047" w:type="dxa"/>
          </w:tcPr>
          <w:p w14:paraId="00D93966"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24.6</w:t>
            </w:r>
          </w:p>
        </w:tc>
        <w:tc>
          <w:tcPr>
            <w:tcW w:w="992" w:type="dxa"/>
            <w:noWrap/>
          </w:tcPr>
          <w:p w14:paraId="287BAD1D"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76</w:t>
            </w:r>
          </w:p>
        </w:tc>
        <w:tc>
          <w:tcPr>
            <w:tcW w:w="935" w:type="dxa"/>
            <w:noWrap/>
          </w:tcPr>
          <w:p w14:paraId="2BACE7B6"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54</w:t>
            </w:r>
          </w:p>
        </w:tc>
        <w:tc>
          <w:tcPr>
            <w:tcW w:w="1046" w:type="dxa"/>
            <w:noWrap/>
          </w:tcPr>
          <w:p w14:paraId="2341FC9C"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r>
      <w:tr w:rsidR="00236584" w:rsidRPr="00C16015" w14:paraId="378DB02B" w14:textId="77777777" w:rsidTr="008E4F6B">
        <w:trPr>
          <w:trHeight w:val="413"/>
        </w:trPr>
        <w:tc>
          <w:tcPr>
            <w:tcW w:w="1701" w:type="dxa"/>
            <w:noWrap/>
          </w:tcPr>
          <w:p w14:paraId="3EE4D22D" w14:textId="523F94AD"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Imano</w:t>
            </w:r>
            <w:proofErr w:type="spellEnd"/>
            <w:r w:rsidRPr="00C16015">
              <w:rPr>
                <w:rFonts w:ascii="Book Antiqua" w:eastAsia="MS PGothic" w:hAnsi="Book Antiqua"/>
                <w:i/>
                <w:color w:val="000000" w:themeColor="text1"/>
                <w:kern w:val="0"/>
                <w:sz w:val="24"/>
                <w:szCs w:val="24"/>
                <w:lang w:bidi="ar-SA"/>
              </w:rPr>
              <w:t xml:space="preserve"> et al</w:t>
            </w:r>
            <w:r w:rsidR="00015D39" w:rsidRPr="00C16015">
              <w:rPr>
                <w:rFonts w:ascii="Book Antiqua" w:eastAsia="MS PGothic" w:hAnsi="Book Antiqua"/>
                <w:noProof/>
                <w:color w:val="000000" w:themeColor="text1"/>
                <w:kern w:val="0"/>
                <w:sz w:val="24"/>
                <w:szCs w:val="24"/>
                <w:vertAlign w:val="superscript"/>
                <w:lang w:bidi="ar-SA"/>
              </w:rPr>
              <w:t>[39]</w:t>
            </w:r>
          </w:p>
        </w:tc>
        <w:tc>
          <w:tcPr>
            <w:tcW w:w="709" w:type="dxa"/>
          </w:tcPr>
          <w:p w14:paraId="6B5FDB84"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35</w:t>
            </w:r>
          </w:p>
        </w:tc>
        <w:tc>
          <w:tcPr>
            <w:tcW w:w="709" w:type="dxa"/>
            <w:noWrap/>
          </w:tcPr>
          <w:p w14:paraId="5775489E"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NIPS</w:t>
            </w:r>
          </w:p>
        </w:tc>
        <w:tc>
          <w:tcPr>
            <w:tcW w:w="1788" w:type="dxa"/>
            <w:noWrap/>
          </w:tcPr>
          <w:p w14:paraId="496FC45E"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 (80 mg/m</w:t>
            </w:r>
            <w:r w:rsidRPr="00C16015">
              <w:rPr>
                <w:rFonts w:ascii="Book Antiqua" w:eastAsia="MS PGothic" w:hAnsi="Book Antiqua"/>
                <w:color w:val="000000" w:themeColor="text1"/>
                <w:kern w:val="0"/>
                <w:sz w:val="24"/>
                <w:szCs w:val="24"/>
                <w:vertAlign w:val="superscript"/>
                <w:lang w:bidi="ar-SA"/>
              </w:rPr>
              <w:t>2</w:t>
            </w:r>
            <w:r w:rsidRPr="00C16015">
              <w:rPr>
                <w:rFonts w:ascii="Book Antiqua" w:eastAsia="MS PGothic" w:hAnsi="Book Antiqua"/>
                <w:color w:val="000000" w:themeColor="text1"/>
                <w:kern w:val="0"/>
                <w:sz w:val="24"/>
                <w:szCs w:val="24"/>
                <w:lang w:bidi="ar-SA"/>
              </w:rPr>
              <w:t>)</w:t>
            </w:r>
          </w:p>
        </w:tc>
        <w:tc>
          <w:tcPr>
            <w:tcW w:w="1047" w:type="dxa"/>
          </w:tcPr>
          <w:p w14:paraId="5FCD245C"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21.3</w:t>
            </w:r>
          </w:p>
        </w:tc>
        <w:tc>
          <w:tcPr>
            <w:tcW w:w="992" w:type="dxa"/>
            <w:noWrap/>
          </w:tcPr>
          <w:p w14:paraId="5BF8D1EF"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69</w:t>
            </w:r>
          </w:p>
        </w:tc>
        <w:tc>
          <w:tcPr>
            <w:tcW w:w="935" w:type="dxa"/>
            <w:noWrap/>
          </w:tcPr>
          <w:p w14:paraId="739AA8F8"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46</w:t>
            </w:r>
          </w:p>
        </w:tc>
        <w:tc>
          <w:tcPr>
            <w:tcW w:w="1046" w:type="dxa"/>
            <w:noWrap/>
          </w:tcPr>
          <w:p w14:paraId="0F51288F"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14</w:t>
            </w:r>
          </w:p>
        </w:tc>
      </w:tr>
      <w:tr w:rsidR="00236584" w:rsidRPr="00C16015" w14:paraId="1C682824" w14:textId="77777777" w:rsidTr="008E4F6B">
        <w:trPr>
          <w:trHeight w:val="413"/>
        </w:trPr>
        <w:tc>
          <w:tcPr>
            <w:tcW w:w="1701" w:type="dxa"/>
            <w:noWrap/>
          </w:tcPr>
          <w:p w14:paraId="51AC40A1" w14:textId="31F34098"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 xml:space="preserve">Yamaguchi </w:t>
            </w:r>
            <w:r w:rsidRPr="00C16015">
              <w:rPr>
                <w:rFonts w:ascii="Book Antiqua" w:eastAsia="MS PGothic" w:hAnsi="Book Antiqua"/>
                <w:i/>
                <w:color w:val="000000" w:themeColor="text1"/>
                <w:kern w:val="0"/>
                <w:sz w:val="24"/>
                <w:szCs w:val="24"/>
                <w:lang w:bidi="ar-SA"/>
              </w:rPr>
              <w:t>et al</w:t>
            </w:r>
            <w:r w:rsidR="00015D39" w:rsidRPr="00C16015">
              <w:rPr>
                <w:rFonts w:ascii="Book Antiqua" w:eastAsia="MS PGothic" w:hAnsi="Book Antiqua"/>
                <w:noProof/>
                <w:color w:val="000000" w:themeColor="text1"/>
                <w:kern w:val="0"/>
                <w:sz w:val="24"/>
                <w:szCs w:val="24"/>
                <w:vertAlign w:val="superscript"/>
                <w:lang w:bidi="ar-SA"/>
              </w:rPr>
              <w:t>[15]</w:t>
            </w:r>
          </w:p>
        </w:tc>
        <w:tc>
          <w:tcPr>
            <w:tcW w:w="709" w:type="dxa"/>
          </w:tcPr>
          <w:p w14:paraId="5838469D"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35</w:t>
            </w:r>
          </w:p>
        </w:tc>
        <w:tc>
          <w:tcPr>
            <w:tcW w:w="709" w:type="dxa"/>
            <w:noWrap/>
          </w:tcPr>
          <w:p w14:paraId="01F9E4FB"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SPIC</w:t>
            </w:r>
          </w:p>
        </w:tc>
        <w:tc>
          <w:tcPr>
            <w:tcW w:w="1788" w:type="dxa"/>
            <w:noWrap/>
          </w:tcPr>
          <w:p w14:paraId="6AD232E5"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PTX (20 mg/m</w:t>
            </w:r>
            <w:r w:rsidRPr="00C16015">
              <w:rPr>
                <w:rFonts w:ascii="Book Antiqua" w:eastAsia="MS PGothic" w:hAnsi="Book Antiqua"/>
                <w:color w:val="000000" w:themeColor="text1"/>
                <w:kern w:val="0"/>
                <w:sz w:val="24"/>
                <w:szCs w:val="24"/>
                <w:vertAlign w:val="superscript"/>
                <w:lang w:bidi="ar-SA"/>
              </w:rPr>
              <w:t>2</w:t>
            </w:r>
            <w:r w:rsidRPr="00C16015">
              <w:rPr>
                <w:rFonts w:ascii="Book Antiqua" w:eastAsia="MS PGothic" w:hAnsi="Book Antiqua"/>
                <w:color w:val="000000" w:themeColor="text1"/>
                <w:kern w:val="0"/>
                <w:sz w:val="24"/>
                <w:szCs w:val="24"/>
                <w:lang w:bidi="ar-SA"/>
              </w:rPr>
              <w:t>)</w:t>
            </w:r>
          </w:p>
        </w:tc>
        <w:tc>
          <w:tcPr>
            <w:tcW w:w="1047" w:type="dxa"/>
          </w:tcPr>
          <w:p w14:paraId="1CF76080"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17.6</w:t>
            </w:r>
          </w:p>
        </w:tc>
        <w:tc>
          <w:tcPr>
            <w:tcW w:w="992" w:type="dxa"/>
            <w:noWrap/>
          </w:tcPr>
          <w:p w14:paraId="593DC8DE"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77</w:t>
            </w:r>
          </w:p>
        </w:tc>
        <w:tc>
          <w:tcPr>
            <w:tcW w:w="935" w:type="dxa"/>
            <w:noWrap/>
          </w:tcPr>
          <w:p w14:paraId="324FD998"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45</w:t>
            </w:r>
          </w:p>
        </w:tc>
        <w:tc>
          <w:tcPr>
            <w:tcW w:w="1046" w:type="dxa"/>
            <w:noWrap/>
          </w:tcPr>
          <w:p w14:paraId="3C5B7A1B"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r>
      <w:tr w:rsidR="00236584" w:rsidRPr="00C16015" w14:paraId="05F3BA53" w14:textId="77777777" w:rsidTr="008E4F6B">
        <w:trPr>
          <w:trHeight w:val="419"/>
        </w:trPr>
        <w:tc>
          <w:tcPr>
            <w:tcW w:w="1701" w:type="dxa"/>
            <w:noWrap/>
          </w:tcPr>
          <w:p w14:paraId="62D8A7BF" w14:textId="08660FF9" w:rsidR="00015D39" w:rsidRPr="00C16015" w:rsidRDefault="00322DFB" w:rsidP="00C16015">
            <w:pPr>
              <w:widowControl/>
              <w:spacing w:line="360" w:lineRule="auto"/>
              <w:rPr>
                <w:rFonts w:ascii="Book Antiqua" w:eastAsia="MS PGothic" w:hAnsi="Book Antiqua"/>
                <w:color w:val="000000" w:themeColor="text1"/>
                <w:kern w:val="0"/>
                <w:sz w:val="24"/>
                <w:szCs w:val="24"/>
                <w:lang w:bidi="ar-SA"/>
              </w:rPr>
            </w:pPr>
            <w:proofErr w:type="spellStart"/>
            <w:r w:rsidRPr="00C16015">
              <w:rPr>
                <w:rFonts w:ascii="Book Antiqua" w:eastAsia="MS PGothic" w:hAnsi="Book Antiqua"/>
                <w:color w:val="000000" w:themeColor="text1"/>
                <w:kern w:val="0"/>
                <w:sz w:val="24"/>
                <w:szCs w:val="24"/>
                <w:lang w:bidi="ar-SA"/>
              </w:rPr>
              <w:t>Fushida</w:t>
            </w:r>
            <w:proofErr w:type="spellEnd"/>
            <w:r w:rsidRPr="00C16015">
              <w:rPr>
                <w:rFonts w:ascii="Book Antiqua" w:eastAsia="MS PGothic" w:hAnsi="Book Antiqua"/>
                <w:color w:val="000000" w:themeColor="text1"/>
                <w:kern w:val="0"/>
                <w:sz w:val="24"/>
                <w:szCs w:val="24"/>
                <w:lang w:bidi="ar-SA"/>
              </w:rPr>
              <w:t xml:space="preserve"> </w:t>
            </w:r>
            <w:r w:rsidRPr="00C16015">
              <w:rPr>
                <w:rFonts w:ascii="Book Antiqua" w:eastAsia="MS PGothic" w:hAnsi="Book Antiqua"/>
                <w:i/>
                <w:color w:val="000000" w:themeColor="text1"/>
                <w:kern w:val="0"/>
                <w:sz w:val="24"/>
                <w:szCs w:val="24"/>
                <w:lang w:bidi="ar-SA"/>
              </w:rPr>
              <w:t>et al</w:t>
            </w:r>
            <w:r w:rsidR="00015D39" w:rsidRPr="00C16015">
              <w:rPr>
                <w:rFonts w:ascii="Book Antiqua" w:eastAsia="MS PGothic" w:hAnsi="Book Antiqua"/>
                <w:noProof/>
                <w:color w:val="000000" w:themeColor="text1"/>
                <w:kern w:val="0"/>
                <w:sz w:val="24"/>
                <w:szCs w:val="24"/>
                <w:vertAlign w:val="superscript"/>
                <w:lang w:bidi="ar-SA"/>
              </w:rPr>
              <w:t>[16]</w:t>
            </w:r>
          </w:p>
        </w:tc>
        <w:tc>
          <w:tcPr>
            <w:tcW w:w="709" w:type="dxa"/>
          </w:tcPr>
          <w:p w14:paraId="2CA82CD8"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27</w:t>
            </w:r>
          </w:p>
        </w:tc>
        <w:tc>
          <w:tcPr>
            <w:tcW w:w="709" w:type="dxa"/>
            <w:noWrap/>
          </w:tcPr>
          <w:p w14:paraId="4ACD27DF" w14:textId="77777777"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SPIC</w:t>
            </w:r>
          </w:p>
        </w:tc>
        <w:tc>
          <w:tcPr>
            <w:tcW w:w="1788" w:type="dxa"/>
            <w:noWrap/>
          </w:tcPr>
          <w:p w14:paraId="3B7F61D7" w14:textId="404F96E0" w:rsidR="00015D39" w:rsidRPr="00C16015" w:rsidRDefault="00015D39" w:rsidP="00C16015">
            <w:pPr>
              <w:widowControl/>
              <w:spacing w:line="360" w:lineRule="auto"/>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DOC (35</w:t>
            </w:r>
            <w:r w:rsidR="008E4F6B" w:rsidRPr="00C16015">
              <w:rPr>
                <w:rFonts w:ascii="Book Antiqua" w:eastAsia="宋体" w:hAnsi="Book Antiqua"/>
                <w:color w:val="000000" w:themeColor="text1"/>
                <w:kern w:val="0"/>
                <w:sz w:val="24"/>
                <w:szCs w:val="24"/>
                <w:lang w:eastAsia="zh-CN" w:bidi="ar-SA"/>
              </w:rPr>
              <w:t>-</w:t>
            </w:r>
            <w:r w:rsidRPr="00C16015">
              <w:rPr>
                <w:rFonts w:ascii="Book Antiqua" w:eastAsia="MS PGothic" w:hAnsi="Book Antiqua"/>
                <w:color w:val="000000" w:themeColor="text1"/>
                <w:kern w:val="0"/>
                <w:sz w:val="24"/>
                <w:szCs w:val="24"/>
                <w:lang w:bidi="ar-SA"/>
              </w:rPr>
              <w:t>50 mg/m</w:t>
            </w:r>
            <w:r w:rsidRPr="00C16015">
              <w:rPr>
                <w:rFonts w:ascii="Book Antiqua" w:eastAsia="MS PGothic" w:hAnsi="Book Antiqua"/>
                <w:color w:val="000000" w:themeColor="text1"/>
                <w:kern w:val="0"/>
                <w:sz w:val="24"/>
                <w:szCs w:val="24"/>
                <w:vertAlign w:val="superscript"/>
                <w:lang w:bidi="ar-SA"/>
              </w:rPr>
              <w:t>2</w:t>
            </w:r>
            <w:r w:rsidRPr="00C16015">
              <w:rPr>
                <w:rFonts w:ascii="Book Antiqua" w:eastAsia="MS PGothic" w:hAnsi="Book Antiqua"/>
                <w:color w:val="000000" w:themeColor="text1"/>
                <w:kern w:val="0"/>
                <w:sz w:val="24"/>
                <w:szCs w:val="24"/>
                <w:lang w:bidi="ar-SA"/>
              </w:rPr>
              <w:t>)</w:t>
            </w:r>
          </w:p>
        </w:tc>
        <w:tc>
          <w:tcPr>
            <w:tcW w:w="1047" w:type="dxa"/>
          </w:tcPr>
          <w:p w14:paraId="20D9480E"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16.2</w:t>
            </w:r>
          </w:p>
        </w:tc>
        <w:tc>
          <w:tcPr>
            <w:tcW w:w="992" w:type="dxa"/>
            <w:noWrap/>
          </w:tcPr>
          <w:p w14:paraId="4AADF77C"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70</w:t>
            </w:r>
          </w:p>
        </w:tc>
        <w:tc>
          <w:tcPr>
            <w:tcW w:w="935" w:type="dxa"/>
            <w:noWrap/>
          </w:tcPr>
          <w:p w14:paraId="0EFC24F2"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r w:rsidRPr="00C16015">
              <w:rPr>
                <w:rFonts w:ascii="Book Antiqua" w:eastAsia="MS PGothic" w:hAnsi="Book Antiqua"/>
                <w:color w:val="000000" w:themeColor="text1"/>
                <w:kern w:val="0"/>
                <w:sz w:val="24"/>
                <w:szCs w:val="24"/>
                <w:lang w:bidi="ar-SA"/>
              </w:rPr>
              <w:t>33</w:t>
            </w:r>
          </w:p>
        </w:tc>
        <w:tc>
          <w:tcPr>
            <w:tcW w:w="1046" w:type="dxa"/>
            <w:noWrap/>
          </w:tcPr>
          <w:p w14:paraId="7A2203AB" w14:textId="77777777" w:rsidR="00015D39" w:rsidRPr="00C16015" w:rsidRDefault="00015D39" w:rsidP="00C16015">
            <w:pPr>
              <w:widowControl/>
              <w:spacing w:line="360" w:lineRule="auto"/>
              <w:textAlignment w:val="center"/>
              <w:rPr>
                <w:rFonts w:ascii="Book Antiqua" w:eastAsia="MS PGothic" w:hAnsi="Book Antiqua"/>
                <w:color w:val="000000" w:themeColor="text1"/>
                <w:kern w:val="0"/>
                <w:sz w:val="24"/>
                <w:szCs w:val="24"/>
                <w:lang w:bidi="ar-SA"/>
              </w:rPr>
            </w:pPr>
          </w:p>
        </w:tc>
      </w:tr>
    </w:tbl>
    <w:p w14:paraId="4AC49A5F" w14:textId="534234A5" w:rsidR="00C443FA" w:rsidRPr="00C16015" w:rsidRDefault="00015D39" w:rsidP="00C16015">
      <w:pPr>
        <w:widowControl/>
        <w:spacing w:line="360" w:lineRule="auto"/>
        <w:rPr>
          <w:rFonts w:ascii="Book Antiqua" w:eastAsia="宋体" w:hAnsi="Book Antiqua"/>
          <w:color w:val="000000" w:themeColor="text1"/>
          <w:kern w:val="0"/>
          <w:sz w:val="24"/>
          <w:szCs w:val="24"/>
          <w:lang w:eastAsia="zh-CN"/>
        </w:rPr>
      </w:pPr>
      <w:r w:rsidRPr="00C16015">
        <w:rPr>
          <w:rFonts w:ascii="Book Antiqua" w:hAnsi="Book Antiqua"/>
          <w:color w:val="000000" w:themeColor="text1"/>
          <w:kern w:val="0"/>
          <w:sz w:val="24"/>
          <w:szCs w:val="24"/>
        </w:rPr>
        <w:t>MST</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 xml:space="preserve">Median </w:t>
      </w:r>
      <w:r w:rsidRPr="00C16015">
        <w:rPr>
          <w:rFonts w:ascii="Book Antiqua" w:hAnsi="Book Antiqua"/>
          <w:color w:val="000000" w:themeColor="text1"/>
          <w:kern w:val="0"/>
          <w:sz w:val="24"/>
          <w:szCs w:val="24"/>
        </w:rPr>
        <w:t>survival time; OS</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 xml:space="preserve">Overall </w:t>
      </w:r>
      <w:r w:rsidRPr="00C16015">
        <w:rPr>
          <w:rFonts w:ascii="Book Antiqua" w:hAnsi="Book Antiqua"/>
          <w:color w:val="000000" w:themeColor="text1"/>
          <w:kern w:val="0"/>
          <w:sz w:val="24"/>
          <w:szCs w:val="24"/>
        </w:rPr>
        <w:t>survival; DOC</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Docetaxel</w:t>
      </w:r>
      <w:r w:rsidRPr="00C16015">
        <w:rPr>
          <w:rFonts w:ascii="Book Antiqua" w:hAnsi="Book Antiqua"/>
          <w:color w:val="000000" w:themeColor="text1"/>
          <w:kern w:val="0"/>
          <w:sz w:val="24"/>
          <w:szCs w:val="24"/>
        </w:rPr>
        <w:t>; CBDCA</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Carboplatin</w:t>
      </w:r>
      <w:r w:rsidRPr="00C16015">
        <w:rPr>
          <w:rFonts w:ascii="Book Antiqua" w:hAnsi="Book Antiqua"/>
          <w:color w:val="000000" w:themeColor="text1"/>
          <w:kern w:val="0"/>
          <w:sz w:val="24"/>
          <w:szCs w:val="24"/>
        </w:rPr>
        <w:t>; PTX</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Paclitaxel</w:t>
      </w:r>
      <w:r w:rsidRPr="00C16015">
        <w:rPr>
          <w:rFonts w:ascii="Book Antiqua" w:hAnsi="Book Antiqua"/>
          <w:color w:val="000000" w:themeColor="text1"/>
          <w:kern w:val="0"/>
          <w:sz w:val="24"/>
          <w:szCs w:val="24"/>
        </w:rPr>
        <w:t>; NIPS</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 xml:space="preserve">Neoadjuvant </w:t>
      </w:r>
      <w:r w:rsidRPr="00C16015">
        <w:rPr>
          <w:rFonts w:ascii="Book Antiqua" w:hAnsi="Book Antiqua"/>
          <w:color w:val="000000" w:themeColor="text1"/>
          <w:kern w:val="0"/>
          <w:sz w:val="24"/>
          <w:szCs w:val="24"/>
        </w:rPr>
        <w:t>intraperitoneal and systemic chemotherapy; SPIC</w:t>
      </w:r>
      <w:r w:rsidR="008E4F6B" w:rsidRPr="00C16015">
        <w:rPr>
          <w:rFonts w:ascii="Book Antiqua" w:eastAsia="宋体" w:hAnsi="Book Antiqua"/>
          <w:color w:val="000000" w:themeColor="text1"/>
          <w:kern w:val="0"/>
          <w:sz w:val="24"/>
          <w:szCs w:val="24"/>
          <w:lang w:eastAsia="zh-CN"/>
        </w:rPr>
        <w:t>:</w:t>
      </w:r>
      <w:r w:rsidRPr="00C16015">
        <w:rPr>
          <w:rFonts w:ascii="Book Antiqua" w:hAnsi="Book Antiqua"/>
          <w:color w:val="000000" w:themeColor="text1"/>
          <w:kern w:val="0"/>
          <w:sz w:val="24"/>
          <w:szCs w:val="24"/>
        </w:rPr>
        <w:t xml:space="preserve"> </w:t>
      </w:r>
      <w:r w:rsidR="008E4F6B" w:rsidRPr="00C16015">
        <w:rPr>
          <w:rFonts w:ascii="Book Antiqua" w:hAnsi="Book Antiqua"/>
          <w:color w:val="000000" w:themeColor="text1"/>
          <w:kern w:val="0"/>
          <w:sz w:val="24"/>
          <w:szCs w:val="24"/>
        </w:rPr>
        <w:t xml:space="preserve">Sequential </w:t>
      </w:r>
      <w:r w:rsidRPr="00C16015">
        <w:rPr>
          <w:rFonts w:ascii="Book Antiqua" w:hAnsi="Book Antiqua"/>
          <w:color w:val="000000" w:themeColor="text1"/>
          <w:kern w:val="0"/>
          <w:sz w:val="24"/>
          <w:szCs w:val="24"/>
        </w:rPr>
        <w:t>perioperative intraperitoneal chemotherapy</w:t>
      </w:r>
      <w:r w:rsidR="008E4F6B" w:rsidRPr="00C16015">
        <w:rPr>
          <w:rFonts w:ascii="Book Antiqua" w:eastAsia="宋体" w:hAnsi="Book Antiqua"/>
          <w:color w:val="000000" w:themeColor="text1"/>
          <w:kern w:val="0"/>
          <w:sz w:val="24"/>
          <w:szCs w:val="24"/>
          <w:lang w:eastAsia="zh-CN"/>
        </w:rPr>
        <w:t>.</w:t>
      </w:r>
    </w:p>
    <w:sectPr w:rsidR="00C443FA" w:rsidRPr="00C16015" w:rsidSect="009E6EDB">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C24A" w14:textId="77777777" w:rsidR="009D7C3E" w:rsidRDefault="009D7C3E" w:rsidP="00293202">
      <w:r>
        <w:separator/>
      </w:r>
    </w:p>
  </w:endnote>
  <w:endnote w:type="continuationSeparator" w:id="0">
    <w:p w14:paraId="49FF9698" w14:textId="77777777" w:rsidR="009D7C3E" w:rsidRDefault="009D7C3E" w:rsidP="0029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altName w:val="Arial Unicode MS"/>
    <w:charset w:val="86"/>
    <w:family w:val="script"/>
    <w:pitch w:val="fixed"/>
    <w:sig w:usb0="00000001" w:usb1="080E0000" w:usb2="00000010" w:usb3="00000000" w:csb0="00040000" w:csb1="00000000"/>
  </w:font>
  <w:font w:name="MS PGothic">
    <w:altName w:val="ＭＳ Ｐゴシック"/>
    <w:charset w:val="80"/>
    <w:family w:val="swiss"/>
    <w:pitch w:val="variable"/>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7087"/>
      <w:docPartObj>
        <w:docPartGallery w:val="Page Numbers (Bottom of Page)"/>
        <w:docPartUnique/>
      </w:docPartObj>
    </w:sdtPr>
    <w:sdtEndPr/>
    <w:sdtContent>
      <w:p w14:paraId="370FDF59" w14:textId="77777777" w:rsidR="00293202" w:rsidRDefault="00293202">
        <w:pPr>
          <w:pStyle w:val="Footer"/>
          <w:jc w:val="right"/>
        </w:pPr>
        <w:r>
          <w:fldChar w:fldCharType="begin"/>
        </w:r>
        <w:r>
          <w:instrText>PAGE   \* MERGEFORMAT</w:instrText>
        </w:r>
        <w:r>
          <w:fldChar w:fldCharType="separate"/>
        </w:r>
        <w:r w:rsidR="006C63C3" w:rsidRPr="006C63C3">
          <w:rPr>
            <w:noProof/>
            <w:lang w:val="ja-JP"/>
          </w:rPr>
          <w:t>28</w:t>
        </w:r>
        <w:r>
          <w:fldChar w:fldCharType="end"/>
        </w:r>
      </w:p>
    </w:sdtContent>
  </w:sdt>
  <w:p w14:paraId="76F81E43" w14:textId="77777777" w:rsidR="00293202" w:rsidRDefault="00293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7E85A" w14:textId="77777777" w:rsidR="009D7C3E" w:rsidRDefault="009D7C3E" w:rsidP="00293202">
      <w:r>
        <w:separator/>
      </w:r>
    </w:p>
  </w:footnote>
  <w:footnote w:type="continuationSeparator" w:id="0">
    <w:p w14:paraId="494DA46E" w14:textId="77777777" w:rsidR="009D7C3E" w:rsidRDefault="009D7C3E" w:rsidP="00293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5D39"/>
    <w:rsid w:val="00001093"/>
    <w:rsid w:val="00015D39"/>
    <w:rsid w:val="000E676F"/>
    <w:rsid w:val="0015463E"/>
    <w:rsid w:val="00236584"/>
    <w:rsid w:val="00293202"/>
    <w:rsid w:val="00322DFB"/>
    <w:rsid w:val="00350910"/>
    <w:rsid w:val="00402955"/>
    <w:rsid w:val="004B4F92"/>
    <w:rsid w:val="00531E0B"/>
    <w:rsid w:val="005C1600"/>
    <w:rsid w:val="005E4006"/>
    <w:rsid w:val="006C63C3"/>
    <w:rsid w:val="00726996"/>
    <w:rsid w:val="00882EEB"/>
    <w:rsid w:val="008E4F6B"/>
    <w:rsid w:val="00995759"/>
    <w:rsid w:val="009D7C3E"/>
    <w:rsid w:val="00A02DDD"/>
    <w:rsid w:val="00AC47D9"/>
    <w:rsid w:val="00BD586A"/>
    <w:rsid w:val="00C035B8"/>
    <w:rsid w:val="00C062DD"/>
    <w:rsid w:val="00C078D3"/>
    <w:rsid w:val="00C16015"/>
    <w:rsid w:val="00C443FA"/>
    <w:rsid w:val="00D0470D"/>
    <w:rsid w:val="00D8018B"/>
    <w:rsid w:val="00E14A02"/>
    <w:rsid w:val="00F62D92"/>
    <w:rsid w:val="00F6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E08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39"/>
    <w:pPr>
      <w:widowControl w:val="0"/>
      <w:jc w:val="both"/>
    </w:pPr>
    <w:rPr>
      <w:rFonts w:ascii="Century" w:eastAsia="MS Mincho" w:hAnsi="Century" w:cs="Times New Roman"/>
      <w:lang w:bidi="en-US"/>
    </w:rPr>
  </w:style>
  <w:style w:type="paragraph" w:styleId="Heading1">
    <w:name w:val="heading 1"/>
    <w:basedOn w:val="Normal"/>
    <w:next w:val="Normal"/>
    <w:link w:val="Heading1Char"/>
    <w:uiPriority w:val="9"/>
    <w:qFormat/>
    <w:rsid w:val="00015D39"/>
    <w:pPr>
      <w:keepNext/>
      <w:outlineLvl w:val="0"/>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D39"/>
    <w:rPr>
      <w:rFonts w:ascii="Arial" w:eastAsia="MS Gothic" w:hAnsi="Arial" w:cs="Times New Roman"/>
      <w:sz w:val="24"/>
      <w:szCs w:val="24"/>
      <w:lang w:bidi="en-US"/>
    </w:rPr>
  </w:style>
  <w:style w:type="paragraph" w:styleId="Header">
    <w:name w:val="header"/>
    <w:basedOn w:val="Normal"/>
    <w:link w:val="HeaderChar1"/>
    <w:uiPriority w:val="99"/>
    <w:rsid w:val="00015D39"/>
    <w:pPr>
      <w:tabs>
        <w:tab w:val="center" w:pos="4252"/>
        <w:tab w:val="right" w:pos="8504"/>
      </w:tabs>
      <w:snapToGrid w:val="0"/>
    </w:pPr>
  </w:style>
  <w:style w:type="character" w:customStyle="1" w:styleId="HeaderChar1">
    <w:name w:val="Header Char1"/>
    <w:basedOn w:val="DefaultParagraphFont"/>
    <w:link w:val="Header"/>
    <w:uiPriority w:val="99"/>
    <w:rsid w:val="00015D39"/>
    <w:rPr>
      <w:rFonts w:ascii="Century" w:eastAsia="MS Mincho" w:hAnsi="Century" w:cs="Times New Roman"/>
      <w:lang w:bidi="en-US"/>
    </w:rPr>
  </w:style>
  <w:style w:type="character" w:customStyle="1" w:styleId="HeaderChar">
    <w:name w:val="Header Char"/>
    <w:basedOn w:val="DefaultParagraphFont"/>
    <w:uiPriority w:val="99"/>
    <w:rsid w:val="00015D39"/>
    <w:rPr>
      <w:rFonts w:cs="Times New Roman"/>
    </w:rPr>
  </w:style>
  <w:style w:type="paragraph" w:styleId="Footer">
    <w:name w:val="footer"/>
    <w:basedOn w:val="Normal"/>
    <w:link w:val="FooterChar1"/>
    <w:uiPriority w:val="99"/>
    <w:rsid w:val="00015D39"/>
    <w:pPr>
      <w:tabs>
        <w:tab w:val="center" w:pos="4252"/>
        <w:tab w:val="right" w:pos="8504"/>
      </w:tabs>
      <w:snapToGrid w:val="0"/>
    </w:pPr>
  </w:style>
  <w:style w:type="character" w:customStyle="1" w:styleId="FooterChar1">
    <w:name w:val="Footer Char1"/>
    <w:basedOn w:val="DefaultParagraphFont"/>
    <w:link w:val="Footer"/>
    <w:uiPriority w:val="99"/>
    <w:rsid w:val="00015D39"/>
    <w:rPr>
      <w:rFonts w:ascii="Century" w:eastAsia="MS Mincho" w:hAnsi="Century" w:cs="Times New Roman"/>
      <w:lang w:bidi="en-US"/>
    </w:rPr>
  </w:style>
  <w:style w:type="character" w:customStyle="1" w:styleId="FooterChar">
    <w:name w:val="Footer Char"/>
    <w:basedOn w:val="DefaultParagraphFont"/>
    <w:uiPriority w:val="99"/>
    <w:rsid w:val="00015D39"/>
    <w:rPr>
      <w:rFonts w:cs="Times New Roman"/>
    </w:rPr>
  </w:style>
  <w:style w:type="character" w:styleId="Hyperlink">
    <w:name w:val="Hyperlink"/>
    <w:basedOn w:val="DefaultParagraphFont"/>
    <w:rsid w:val="00015D39"/>
    <w:rPr>
      <w:color w:val="0000FF"/>
      <w:u w:val="single"/>
    </w:rPr>
  </w:style>
  <w:style w:type="paragraph" w:customStyle="1" w:styleId="Default">
    <w:name w:val="Default"/>
    <w:rsid w:val="00015D39"/>
    <w:pPr>
      <w:widowControl w:val="0"/>
      <w:autoSpaceDE w:val="0"/>
      <w:autoSpaceDN w:val="0"/>
      <w:adjustRightInd w:val="0"/>
    </w:pPr>
    <w:rPr>
      <w:rFonts w:ascii="Times New Roman" w:eastAsia="MS Mincho" w:hAnsi="Times New Roman" w:cs="Times New Roman"/>
      <w:color w:val="000000"/>
      <w:kern w:val="0"/>
      <w:sz w:val="24"/>
      <w:szCs w:val="24"/>
      <w:lang w:bidi="en-US"/>
    </w:rPr>
  </w:style>
  <w:style w:type="paragraph" w:styleId="BalloonText">
    <w:name w:val="Balloon Text"/>
    <w:basedOn w:val="Normal"/>
    <w:link w:val="BalloonTextChar"/>
    <w:uiPriority w:val="99"/>
    <w:semiHidden/>
    <w:rsid w:val="00015D39"/>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015D39"/>
    <w:rPr>
      <w:rFonts w:ascii="Arial" w:eastAsia="MS Gothic" w:hAnsi="Arial" w:cs="Times New Roman"/>
      <w:sz w:val="18"/>
      <w:szCs w:val="18"/>
      <w:lang w:bidi="en-US"/>
    </w:rPr>
  </w:style>
  <w:style w:type="character" w:styleId="CommentReference">
    <w:name w:val="annotation reference"/>
    <w:basedOn w:val="DefaultParagraphFont"/>
    <w:uiPriority w:val="99"/>
    <w:semiHidden/>
    <w:rsid w:val="00015D39"/>
    <w:rPr>
      <w:rFonts w:cs="Times New Roman"/>
      <w:sz w:val="18"/>
    </w:rPr>
  </w:style>
  <w:style w:type="paragraph" w:styleId="CommentText">
    <w:name w:val="annotation text"/>
    <w:basedOn w:val="Normal"/>
    <w:link w:val="CommentTextChar1"/>
    <w:uiPriority w:val="99"/>
    <w:semiHidden/>
    <w:rsid w:val="00015D39"/>
    <w:pPr>
      <w:jc w:val="left"/>
    </w:pPr>
  </w:style>
  <w:style w:type="character" w:customStyle="1" w:styleId="CommentTextChar1">
    <w:name w:val="Comment Text Char1"/>
    <w:basedOn w:val="DefaultParagraphFont"/>
    <w:link w:val="CommentText"/>
    <w:uiPriority w:val="99"/>
    <w:semiHidden/>
    <w:rsid w:val="00015D39"/>
    <w:rPr>
      <w:rFonts w:ascii="Century" w:eastAsia="MS Mincho" w:hAnsi="Century" w:cs="Times New Roman"/>
      <w:lang w:bidi="en-US"/>
    </w:rPr>
  </w:style>
  <w:style w:type="character" w:customStyle="1" w:styleId="CommentTextChar">
    <w:name w:val="Comment Text Char"/>
    <w:basedOn w:val="DefaultParagraphFont"/>
    <w:uiPriority w:val="99"/>
    <w:semiHidden/>
    <w:rsid w:val="00015D39"/>
    <w:rPr>
      <w:rFonts w:cs="Times New Roman"/>
      <w:kern w:val="2"/>
      <w:sz w:val="22"/>
    </w:rPr>
  </w:style>
  <w:style w:type="paragraph" w:styleId="CommentSubject">
    <w:name w:val="annotation subject"/>
    <w:basedOn w:val="CommentText"/>
    <w:next w:val="CommentText"/>
    <w:link w:val="CommentSubjectChar1"/>
    <w:uiPriority w:val="99"/>
    <w:semiHidden/>
    <w:rsid w:val="00015D39"/>
    <w:rPr>
      <w:b/>
      <w:bCs/>
    </w:rPr>
  </w:style>
  <w:style w:type="character" w:customStyle="1" w:styleId="CommentSubjectChar1">
    <w:name w:val="Comment Subject Char1"/>
    <w:basedOn w:val="CommentTextChar1"/>
    <w:link w:val="CommentSubject"/>
    <w:uiPriority w:val="99"/>
    <w:semiHidden/>
    <w:rsid w:val="00015D39"/>
    <w:rPr>
      <w:rFonts w:ascii="Century" w:eastAsia="MS Mincho" w:hAnsi="Century" w:cs="Times New Roman"/>
      <w:b/>
      <w:bCs/>
      <w:lang w:bidi="en-US"/>
    </w:rPr>
  </w:style>
  <w:style w:type="character" w:customStyle="1" w:styleId="CommentSubjectChar">
    <w:name w:val="Comment Subject Char"/>
    <w:basedOn w:val="CommentTextChar"/>
    <w:uiPriority w:val="99"/>
    <w:semiHidden/>
    <w:rsid w:val="00015D39"/>
    <w:rPr>
      <w:rFonts w:cs="Times New Roman"/>
      <w:b/>
      <w:bCs/>
      <w:kern w:val="2"/>
      <w:sz w:val="22"/>
    </w:rPr>
  </w:style>
  <w:style w:type="character" w:customStyle="1" w:styleId="apple-converted-space">
    <w:name w:val="apple-converted-space"/>
    <w:basedOn w:val="DefaultParagraphFont"/>
    <w:rsid w:val="00015D39"/>
  </w:style>
  <w:style w:type="paragraph" w:styleId="Revision">
    <w:name w:val="Revision"/>
    <w:hidden/>
    <w:uiPriority w:val="99"/>
    <w:semiHidden/>
    <w:rsid w:val="00015D39"/>
    <w:rPr>
      <w:rFonts w:ascii="Century" w:eastAsia="MS Mincho" w:hAnsi="Century" w:cs="Times New Roman"/>
      <w:lang w:bidi="en-US"/>
    </w:rPr>
  </w:style>
  <w:style w:type="table" w:styleId="TableGrid">
    <w:name w:val="Table Grid"/>
    <w:basedOn w:val="TableNormal"/>
    <w:uiPriority w:val="39"/>
    <w:rsid w:val="00995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16015"/>
    <w:rPr>
      <w:b/>
      <w:bCs/>
    </w:rPr>
  </w:style>
  <w:style w:type="character" w:styleId="Emphasis">
    <w:name w:val="Emphasis"/>
    <w:qFormat/>
    <w:rsid w:val="006C63C3"/>
    <w:rPr>
      <w:rFonts w:ascii="Book Antiqua" w:hAnsi="Book Antiqua"/>
      <w:iCs/>
      <w:sz w:val="24"/>
    </w:rPr>
  </w:style>
  <w:style w:type="character" w:styleId="FollowedHyperlink">
    <w:name w:val="FollowedHyperlink"/>
    <w:basedOn w:val="DefaultParagraphFont"/>
    <w:uiPriority w:val="99"/>
    <w:semiHidden/>
    <w:unhideWhenUsed/>
    <w:rsid w:val="006C63C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39"/>
    <w:pPr>
      <w:widowControl w:val="0"/>
      <w:jc w:val="both"/>
    </w:pPr>
    <w:rPr>
      <w:rFonts w:ascii="Century" w:eastAsia="MS Mincho" w:hAnsi="Century" w:cs="Times New Roman"/>
      <w:lang w:bidi="en-US"/>
    </w:rPr>
  </w:style>
  <w:style w:type="paragraph" w:styleId="Heading1">
    <w:name w:val="heading 1"/>
    <w:basedOn w:val="Normal"/>
    <w:next w:val="Normal"/>
    <w:link w:val="Heading1Char"/>
    <w:uiPriority w:val="9"/>
    <w:qFormat/>
    <w:rsid w:val="00015D39"/>
    <w:pPr>
      <w:keepNext/>
      <w:outlineLvl w:val="0"/>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D39"/>
    <w:rPr>
      <w:rFonts w:ascii="Arial" w:eastAsia="MS Gothic" w:hAnsi="Arial" w:cs="Times New Roman"/>
      <w:sz w:val="24"/>
      <w:szCs w:val="24"/>
      <w:lang w:bidi="en-US"/>
    </w:rPr>
  </w:style>
  <w:style w:type="paragraph" w:styleId="Header">
    <w:name w:val="header"/>
    <w:basedOn w:val="Normal"/>
    <w:link w:val="HeaderChar1"/>
    <w:uiPriority w:val="99"/>
    <w:rsid w:val="00015D39"/>
    <w:pPr>
      <w:tabs>
        <w:tab w:val="center" w:pos="4252"/>
        <w:tab w:val="right" w:pos="8504"/>
      </w:tabs>
      <w:snapToGrid w:val="0"/>
    </w:pPr>
  </w:style>
  <w:style w:type="character" w:customStyle="1" w:styleId="HeaderChar1">
    <w:name w:val="Header Char1"/>
    <w:basedOn w:val="DefaultParagraphFont"/>
    <w:link w:val="Header"/>
    <w:uiPriority w:val="99"/>
    <w:rsid w:val="00015D39"/>
    <w:rPr>
      <w:rFonts w:ascii="Century" w:eastAsia="MS Mincho" w:hAnsi="Century" w:cs="Times New Roman"/>
      <w:lang w:bidi="en-US"/>
    </w:rPr>
  </w:style>
  <w:style w:type="character" w:customStyle="1" w:styleId="HeaderChar">
    <w:name w:val="Header Char"/>
    <w:basedOn w:val="DefaultParagraphFont"/>
    <w:uiPriority w:val="99"/>
    <w:rsid w:val="00015D39"/>
    <w:rPr>
      <w:rFonts w:cs="Times New Roman"/>
    </w:rPr>
  </w:style>
  <w:style w:type="paragraph" w:styleId="Footer">
    <w:name w:val="footer"/>
    <w:basedOn w:val="Normal"/>
    <w:link w:val="FooterChar1"/>
    <w:uiPriority w:val="99"/>
    <w:rsid w:val="00015D39"/>
    <w:pPr>
      <w:tabs>
        <w:tab w:val="center" w:pos="4252"/>
        <w:tab w:val="right" w:pos="8504"/>
      </w:tabs>
      <w:snapToGrid w:val="0"/>
    </w:pPr>
  </w:style>
  <w:style w:type="character" w:customStyle="1" w:styleId="FooterChar1">
    <w:name w:val="Footer Char1"/>
    <w:basedOn w:val="DefaultParagraphFont"/>
    <w:link w:val="Footer"/>
    <w:uiPriority w:val="99"/>
    <w:rsid w:val="00015D39"/>
    <w:rPr>
      <w:rFonts w:ascii="Century" w:eastAsia="MS Mincho" w:hAnsi="Century" w:cs="Times New Roman"/>
      <w:lang w:bidi="en-US"/>
    </w:rPr>
  </w:style>
  <w:style w:type="character" w:customStyle="1" w:styleId="FooterChar">
    <w:name w:val="Footer Char"/>
    <w:basedOn w:val="DefaultParagraphFont"/>
    <w:uiPriority w:val="99"/>
    <w:rsid w:val="00015D39"/>
    <w:rPr>
      <w:rFonts w:cs="Times New Roman"/>
    </w:rPr>
  </w:style>
  <w:style w:type="character" w:styleId="Hyperlink">
    <w:name w:val="Hyperlink"/>
    <w:basedOn w:val="DefaultParagraphFont"/>
    <w:rsid w:val="00015D39"/>
    <w:rPr>
      <w:color w:val="0000FF"/>
      <w:u w:val="single"/>
    </w:rPr>
  </w:style>
  <w:style w:type="paragraph" w:customStyle="1" w:styleId="Default">
    <w:name w:val="Default"/>
    <w:rsid w:val="00015D39"/>
    <w:pPr>
      <w:widowControl w:val="0"/>
      <w:autoSpaceDE w:val="0"/>
      <w:autoSpaceDN w:val="0"/>
      <w:adjustRightInd w:val="0"/>
    </w:pPr>
    <w:rPr>
      <w:rFonts w:ascii="Times New Roman" w:eastAsia="MS Mincho" w:hAnsi="Times New Roman" w:cs="Times New Roman"/>
      <w:color w:val="000000"/>
      <w:kern w:val="0"/>
      <w:sz w:val="24"/>
      <w:szCs w:val="24"/>
      <w:lang w:bidi="en-US"/>
    </w:rPr>
  </w:style>
  <w:style w:type="paragraph" w:styleId="BalloonText">
    <w:name w:val="Balloon Text"/>
    <w:basedOn w:val="Normal"/>
    <w:link w:val="BalloonTextChar"/>
    <w:uiPriority w:val="99"/>
    <w:semiHidden/>
    <w:rsid w:val="00015D39"/>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015D39"/>
    <w:rPr>
      <w:rFonts w:ascii="Arial" w:eastAsia="MS Gothic" w:hAnsi="Arial" w:cs="Times New Roman"/>
      <w:sz w:val="18"/>
      <w:szCs w:val="18"/>
      <w:lang w:bidi="en-US"/>
    </w:rPr>
  </w:style>
  <w:style w:type="character" w:styleId="CommentReference">
    <w:name w:val="annotation reference"/>
    <w:basedOn w:val="DefaultParagraphFont"/>
    <w:uiPriority w:val="99"/>
    <w:semiHidden/>
    <w:rsid w:val="00015D39"/>
    <w:rPr>
      <w:rFonts w:cs="Times New Roman"/>
      <w:sz w:val="18"/>
    </w:rPr>
  </w:style>
  <w:style w:type="paragraph" w:styleId="CommentText">
    <w:name w:val="annotation text"/>
    <w:basedOn w:val="Normal"/>
    <w:link w:val="CommentTextChar1"/>
    <w:uiPriority w:val="99"/>
    <w:semiHidden/>
    <w:rsid w:val="00015D39"/>
    <w:pPr>
      <w:jc w:val="left"/>
    </w:pPr>
  </w:style>
  <w:style w:type="character" w:customStyle="1" w:styleId="CommentTextChar1">
    <w:name w:val="Comment Text Char1"/>
    <w:basedOn w:val="DefaultParagraphFont"/>
    <w:link w:val="CommentText"/>
    <w:uiPriority w:val="99"/>
    <w:semiHidden/>
    <w:rsid w:val="00015D39"/>
    <w:rPr>
      <w:rFonts w:ascii="Century" w:eastAsia="MS Mincho" w:hAnsi="Century" w:cs="Times New Roman"/>
      <w:lang w:bidi="en-US"/>
    </w:rPr>
  </w:style>
  <w:style w:type="character" w:customStyle="1" w:styleId="CommentTextChar">
    <w:name w:val="Comment Text Char"/>
    <w:basedOn w:val="DefaultParagraphFont"/>
    <w:uiPriority w:val="99"/>
    <w:semiHidden/>
    <w:rsid w:val="00015D39"/>
    <w:rPr>
      <w:rFonts w:cs="Times New Roman"/>
      <w:kern w:val="2"/>
      <w:sz w:val="22"/>
    </w:rPr>
  </w:style>
  <w:style w:type="paragraph" w:styleId="CommentSubject">
    <w:name w:val="annotation subject"/>
    <w:basedOn w:val="CommentText"/>
    <w:next w:val="CommentText"/>
    <w:link w:val="CommentSubjectChar1"/>
    <w:uiPriority w:val="99"/>
    <w:semiHidden/>
    <w:rsid w:val="00015D39"/>
    <w:rPr>
      <w:b/>
      <w:bCs/>
    </w:rPr>
  </w:style>
  <w:style w:type="character" w:customStyle="1" w:styleId="CommentSubjectChar1">
    <w:name w:val="Comment Subject Char1"/>
    <w:basedOn w:val="CommentTextChar1"/>
    <w:link w:val="CommentSubject"/>
    <w:uiPriority w:val="99"/>
    <w:semiHidden/>
    <w:rsid w:val="00015D39"/>
    <w:rPr>
      <w:rFonts w:ascii="Century" w:eastAsia="MS Mincho" w:hAnsi="Century" w:cs="Times New Roman"/>
      <w:b/>
      <w:bCs/>
      <w:lang w:bidi="en-US"/>
    </w:rPr>
  </w:style>
  <w:style w:type="character" w:customStyle="1" w:styleId="CommentSubjectChar">
    <w:name w:val="Comment Subject Char"/>
    <w:basedOn w:val="CommentTextChar"/>
    <w:uiPriority w:val="99"/>
    <w:semiHidden/>
    <w:rsid w:val="00015D39"/>
    <w:rPr>
      <w:rFonts w:cs="Times New Roman"/>
      <w:b/>
      <w:bCs/>
      <w:kern w:val="2"/>
      <w:sz w:val="22"/>
    </w:rPr>
  </w:style>
  <w:style w:type="character" w:customStyle="1" w:styleId="apple-converted-space">
    <w:name w:val="apple-converted-space"/>
    <w:basedOn w:val="DefaultParagraphFont"/>
    <w:rsid w:val="00015D39"/>
  </w:style>
  <w:style w:type="paragraph" w:styleId="Revision">
    <w:name w:val="Revision"/>
    <w:hidden/>
    <w:uiPriority w:val="99"/>
    <w:semiHidden/>
    <w:rsid w:val="00015D39"/>
    <w:rPr>
      <w:rFonts w:ascii="Century" w:eastAsia="MS Mincho" w:hAnsi="Century" w:cs="Times New Roman"/>
      <w:lang w:bidi="en-US"/>
    </w:rPr>
  </w:style>
  <w:style w:type="table" w:styleId="TableGrid">
    <w:name w:val="Table Grid"/>
    <w:basedOn w:val="TableNormal"/>
    <w:uiPriority w:val="39"/>
    <w:rsid w:val="00995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16015"/>
    <w:rPr>
      <w:b/>
      <w:bCs/>
    </w:rPr>
  </w:style>
  <w:style w:type="character" w:styleId="Emphasis">
    <w:name w:val="Emphasis"/>
    <w:qFormat/>
    <w:rsid w:val="006C63C3"/>
    <w:rPr>
      <w:rFonts w:ascii="Book Antiqua" w:hAnsi="Book Antiqua"/>
      <w:iCs/>
      <w:sz w:val="24"/>
    </w:rPr>
  </w:style>
  <w:style w:type="character" w:styleId="FollowedHyperlink">
    <w:name w:val="FollowedHyperlink"/>
    <w:basedOn w:val="DefaultParagraphFont"/>
    <w:uiPriority w:val="99"/>
    <w:semiHidden/>
    <w:unhideWhenUsed/>
    <w:rsid w:val="006C6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ctep.cancer.gov/highlights/clin_annc_010506.pdf" TargetMode="External"/><Relationship Id="rId10"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9FBD-AE59-B04B-853B-4EEB4D3B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5518</Words>
  <Characters>31454</Characters>
  <Application>Microsoft Macintosh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Hironori Yamaguchi</dc:creator>
  <cp:keywords/>
  <dc:description/>
  <cp:lastModifiedBy>Na Ma</cp:lastModifiedBy>
  <cp:revision>2</cp:revision>
  <dcterms:created xsi:type="dcterms:W3CDTF">2015-09-14T16:37:00Z</dcterms:created>
  <dcterms:modified xsi:type="dcterms:W3CDTF">2015-09-14T16:37:00Z</dcterms:modified>
</cp:coreProperties>
</file>