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5B16" w:rsidRPr="00BC5786" w:rsidRDefault="00DD5B16" w:rsidP="009C1A68">
      <w:pPr>
        <w:spacing w:after="0" w:line="360" w:lineRule="auto"/>
        <w:jc w:val="both"/>
        <w:rPr>
          <w:rFonts w:ascii="Book Antiqua" w:hAnsi="Book Antiqua"/>
          <w:b/>
          <w:color w:val="000000"/>
          <w:lang w:eastAsia="en-US"/>
        </w:rPr>
      </w:pPr>
      <w:r w:rsidRPr="00BC5786">
        <w:rPr>
          <w:rFonts w:ascii="Book Antiqua" w:hAnsi="Book Antiqua"/>
          <w:b/>
          <w:color w:val="000000"/>
          <w:lang w:eastAsia="en-US"/>
        </w:rPr>
        <w:t xml:space="preserve">Name of Journal: </w:t>
      </w:r>
      <w:r w:rsidRPr="00BC5786">
        <w:rPr>
          <w:rFonts w:ascii="Book Antiqua" w:hAnsi="Book Antiqua"/>
          <w:b/>
          <w:i/>
          <w:color w:val="000000"/>
          <w:lang w:eastAsia="en-US"/>
        </w:rPr>
        <w:t>World Journal of Hepatology</w:t>
      </w:r>
    </w:p>
    <w:p w:rsidR="00DD5B16" w:rsidRPr="00BC5786" w:rsidRDefault="00DD5B16" w:rsidP="009C1A68">
      <w:pPr>
        <w:spacing w:after="0" w:line="360" w:lineRule="auto"/>
        <w:jc w:val="both"/>
        <w:rPr>
          <w:rFonts w:ascii="Book Antiqua" w:hAnsi="Book Antiqua"/>
          <w:b/>
          <w:color w:val="000000"/>
          <w:lang w:eastAsia="en-US"/>
        </w:rPr>
      </w:pPr>
      <w:r w:rsidRPr="00BC5786">
        <w:rPr>
          <w:rFonts w:ascii="Book Antiqua" w:hAnsi="Book Antiqua"/>
          <w:b/>
          <w:color w:val="000000"/>
          <w:lang w:eastAsia="en-US"/>
        </w:rPr>
        <w:t>ESPS Manuscript NO: 20437</w:t>
      </w:r>
    </w:p>
    <w:p w:rsidR="00DD5B16" w:rsidRPr="00BC5786" w:rsidRDefault="00DD5B16" w:rsidP="009C1A68">
      <w:pPr>
        <w:spacing w:after="0" w:line="360" w:lineRule="auto"/>
        <w:jc w:val="both"/>
        <w:rPr>
          <w:rFonts w:ascii="Book Antiqua" w:hAnsi="Book Antiqua"/>
          <w:b/>
          <w:color w:val="000000"/>
          <w:lang w:eastAsia="en-US"/>
        </w:rPr>
      </w:pPr>
      <w:r w:rsidRPr="00BC5786">
        <w:rPr>
          <w:rFonts w:ascii="Book Antiqua" w:hAnsi="Book Antiqua"/>
          <w:b/>
          <w:color w:val="000000"/>
          <w:lang w:eastAsia="en-US"/>
        </w:rPr>
        <w:t>Manuscript Type: Case Report</w:t>
      </w:r>
    </w:p>
    <w:p w:rsidR="00DD5B16" w:rsidRPr="00BC5786" w:rsidRDefault="00DD5B16" w:rsidP="009C1A68">
      <w:pPr>
        <w:spacing w:after="0" w:line="360" w:lineRule="auto"/>
        <w:jc w:val="both"/>
        <w:rPr>
          <w:rFonts w:ascii="Book Antiqua" w:hAnsi="Book Antiqua"/>
          <w:b/>
          <w:lang w:eastAsia="zh-CN"/>
        </w:rPr>
      </w:pPr>
    </w:p>
    <w:p w:rsidR="00DD5B16" w:rsidRPr="00BC5786" w:rsidRDefault="00DD5B16" w:rsidP="009C1A68">
      <w:pPr>
        <w:spacing w:after="0" w:line="360" w:lineRule="auto"/>
        <w:jc w:val="both"/>
        <w:rPr>
          <w:rFonts w:ascii="Book Antiqua" w:hAnsi="Book Antiqua"/>
          <w:b/>
        </w:rPr>
      </w:pPr>
      <w:r w:rsidRPr="00BC5786">
        <w:rPr>
          <w:rFonts w:ascii="Book Antiqua" w:hAnsi="Book Antiqua"/>
          <w:b/>
        </w:rPr>
        <w:t xml:space="preserve">Unusual case of drug-induced cholestasis due to glucosamine and chondroitin sulfate </w:t>
      </w:r>
    </w:p>
    <w:p w:rsidR="00DD5B16" w:rsidRPr="00BC5786" w:rsidRDefault="00DD5B16" w:rsidP="009C1A68">
      <w:pPr>
        <w:spacing w:after="0" w:line="360" w:lineRule="auto"/>
        <w:jc w:val="both"/>
        <w:rPr>
          <w:rFonts w:ascii="Book Antiqua" w:hAnsi="Book Antiqua"/>
          <w:b/>
          <w:lang w:eastAsia="zh-CN"/>
        </w:rPr>
      </w:pPr>
    </w:p>
    <w:p w:rsidR="00DD5B16" w:rsidRPr="00BC5786" w:rsidRDefault="00DD5B16" w:rsidP="009C1A68">
      <w:pPr>
        <w:pStyle w:val="CommentText"/>
        <w:spacing w:after="0" w:line="360" w:lineRule="auto"/>
        <w:jc w:val="both"/>
        <w:rPr>
          <w:rFonts w:ascii="Book Antiqua" w:hAnsi="Book Antiqua"/>
          <w:szCs w:val="24"/>
          <w:lang w:eastAsia="zh-CN"/>
        </w:rPr>
      </w:pPr>
      <w:r w:rsidRPr="00BC5786">
        <w:rPr>
          <w:rFonts w:ascii="Book Antiqua" w:hAnsi="Book Antiqua"/>
          <w:szCs w:val="24"/>
        </w:rPr>
        <w:t>Ip</w:t>
      </w:r>
      <w:r w:rsidRPr="00BC5786">
        <w:rPr>
          <w:rFonts w:ascii="Book Antiqua" w:hAnsi="Book Antiqua"/>
          <w:szCs w:val="24"/>
          <w:lang w:eastAsia="zh-CN"/>
        </w:rPr>
        <w:t xml:space="preserve"> S </w:t>
      </w:r>
      <w:r w:rsidRPr="00BC5786">
        <w:rPr>
          <w:rFonts w:ascii="Book Antiqua" w:hAnsi="Book Antiqua"/>
          <w:i/>
          <w:szCs w:val="24"/>
          <w:lang w:eastAsia="zh-CN"/>
        </w:rPr>
        <w:t>et al</w:t>
      </w:r>
      <w:r w:rsidRPr="00BC5786">
        <w:rPr>
          <w:rFonts w:ascii="Book Antiqua" w:hAnsi="Book Antiqua"/>
          <w:szCs w:val="24"/>
          <w:lang w:eastAsia="zh-CN"/>
        </w:rPr>
        <w:t>. Glucosamine and chondroitin sulfate</w:t>
      </w:r>
    </w:p>
    <w:p w:rsidR="00DD5B16" w:rsidRPr="00BC5786" w:rsidRDefault="00DD5B16" w:rsidP="009C1A68">
      <w:pPr>
        <w:spacing w:after="0" w:line="360" w:lineRule="auto"/>
        <w:jc w:val="both"/>
        <w:rPr>
          <w:rFonts w:ascii="Book Antiqua" w:hAnsi="Book Antiqua"/>
          <w:lang w:eastAsia="zh-CN"/>
        </w:rPr>
      </w:pPr>
    </w:p>
    <w:p w:rsidR="00DD5B16" w:rsidRPr="00BC5786" w:rsidRDefault="00DD5B16" w:rsidP="009C1A68">
      <w:pPr>
        <w:spacing w:after="0" w:line="360" w:lineRule="auto"/>
        <w:jc w:val="both"/>
        <w:rPr>
          <w:rFonts w:ascii="Book Antiqua" w:hAnsi="Book Antiqua"/>
          <w:b/>
        </w:rPr>
      </w:pPr>
      <w:r w:rsidRPr="00BC5786">
        <w:rPr>
          <w:rFonts w:ascii="Book Antiqua" w:hAnsi="Book Antiqua"/>
          <w:b/>
        </w:rPr>
        <w:t>Stephen Ip, Rachel Jeong, David F Schaeffer, Eric M Yoshida</w:t>
      </w:r>
    </w:p>
    <w:p w:rsidR="00DD5B16" w:rsidRPr="00BC5786" w:rsidRDefault="00DD5B16" w:rsidP="009C1A68">
      <w:pPr>
        <w:spacing w:after="0" w:line="360" w:lineRule="auto"/>
        <w:jc w:val="both"/>
        <w:rPr>
          <w:rFonts w:ascii="Book Antiqua" w:hAnsi="Book Antiqua"/>
          <w:lang w:eastAsia="zh-CN"/>
        </w:rPr>
      </w:pPr>
    </w:p>
    <w:p w:rsidR="00DD5B16" w:rsidRPr="00BC5786" w:rsidRDefault="00DD5B16" w:rsidP="009C1A68">
      <w:pPr>
        <w:spacing w:after="0" w:line="360" w:lineRule="auto"/>
        <w:jc w:val="both"/>
        <w:rPr>
          <w:rFonts w:ascii="Book Antiqua" w:hAnsi="Book Antiqua"/>
          <w:lang w:eastAsia="zh-CN"/>
        </w:rPr>
      </w:pPr>
      <w:r w:rsidRPr="00BC5786">
        <w:rPr>
          <w:rFonts w:ascii="Book Antiqua" w:hAnsi="Book Antiqua"/>
          <w:b/>
        </w:rPr>
        <w:t>Stephen Ip</w:t>
      </w:r>
      <w:r w:rsidRPr="00BC5786">
        <w:rPr>
          <w:rFonts w:ascii="Book Antiqua" w:hAnsi="Book Antiqua"/>
          <w:b/>
          <w:lang w:eastAsia="zh-CN"/>
        </w:rPr>
        <w:t xml:space="preserve">, </w:t>
      </w:r>
      <w:r w:rsidRPr="00BC5786">
        <w:rPr>
          <w:rFonts w:ascii="Book Antiqua" w:hAnsi="Book Antiqua"/>
          <w:b/>
        </w:rPr>
        <w:t>Eric M Yoshida</w:t>
      </w:r>
      <w:r w:rsidRPr="00BC5786">
        <w:rPr>
          <w:rFonts w:ascii="Book Antiqua" w:hAnsi="Book Antiqua"/>
          <w:b/>
          <w:lang w:eastAsia="zh-CN"/>
        </w:rPr>
        <w:t>,</w:t>
      </w:r>
      <w:r w:rsidRPr="00BC5786">
        <w:rPr>
          <w:rFonts w:ascii="Book Antiqua" w:hAnsi="Book Antiqua"/>
        </w:rPr>
        <w:t xml:space="preserve"> Division of Gastroenterology, Vancouver General Hospital,</w:t>
      </w:r>
      <w:r w:rsidRPr="00BC5786">
        <w:rPr>
          <w:rFonts w:ascii="Book Antiqua" w:hAnsi="Book Antiqua"/>
          <w:lang w:eastAsia="zh-CN"/>
        </w:rPr>
        <w:t xml:space="preserve"> </w:t>
      </w:r>
      <w:r w:rsidRPr="00BC5786">
        <w:rPr>
          <w:rFonts w:ascii="Book Antiqua" w:hAnsi="Book Antiqua"/>
        </w:rPr>
        <w:t>University of British Columbia, Vancouver, British Columbia</w:t>
      </w:r>
      <w:r w:rsidRPr="00BC5786">
        <w:rPr>
          <w:rFonts w:ascii="Book Antiqua" w:hAnsi="Book Antiqua"/>
          <w:lang w:eastAsia="zh-CN"/>
        </w:rPr>
        <w:t xml:space="preserve"> </w:t>
      </w:r>
      <w:r w:rsidRPr="00BC5786">
        <w:rPr>
          <w:rFonts w:ascii="Book Antiqua" w:hAnsi="Book Antiqua"/>
        </w:rPr>
        <w:t>V5Z 1M9, Canada</w:t>
      </w:r>
    </w:p>
    <w:p w:rsidR="00DD5B16" w:rsidRPr="00BC5786" w:rsidRDefault="00DD5B16" w:rsidP="009C1A68">
      <w:pPr>
        <w:spacing w:after="0" w:line="360" w:lineRule="auto"/>
        <w:jc w:val="both"/>
        <w:rPr>
          <w:rFonts w:ascii="Book Antiqua" w:hAnsi="Book Antiqua"/>
          <w:lang w:eastAsia="zh-CN"/>
        </w:rPr>
      </w:pPr>
    </w:p>
    <w:p w:rsidR="00DD5B16" w:rsidRPr="00BC5786" w:rsidRDefault="00DD5B16" w:rsidP="009C1A68">
      <w:pPr>
        <w:spacing w:after="0" w:line="360" w:lineRule="auto"/>
        <w:jc w:val="both"/>
        <w:rPr>
          <w:rFonts w:ascii="Book Antiqua" w:eastAsia="宋体" w:hAnsi="Book Antiqua"/>
          <w:lang w:eastAsia="zh-CN"/>
        </w:rPr>
      </w:pPr>
      <w:r w:rsidRPr="00BC5786">
        <w:rPr>
          <w:rFonts w:ascii="Book Antiqua" w:hAnsi="Book Antiqua"/>
          <w:b/>
        </w:rPr>
        <w:t>Rachel Jeong</w:t>
      </w:r>
      <w:r w:rsidRPr="00BC5786">
        <w:rPr>
          <w:rFonts w:ascii="Book Antiqua" w:hAnsi="Book Antiqua"/>
          <w:lang w:eastAsia="zh-CN"/>
        </w:rPr>
        <w:t>,</w:t>
      </w:r>
      <w:r w:rsidRPr="00BC5786">
        <w:rPr>
          <w:rFonts w:ascii="Book Antiqua" w:hAnsi="Book Antiqua"/>
        </w:rPr>
        <w:t xml:space="preserve"> Faculty of Medicine and Dentistry, University of Alberta, Edmonton, Alberta</w:t>
      </w:r>
      <w:r w:rsidRPr="00BC5786">
        <w:rPr>
          <w:rFonts w:ascii="Book Antiqua" w:eastAsia="宋体" w:hAnsi="Book Antiqua"/>
          <w:lang w:eastAsia="zh-CN"/>
        </w:rPr>
        <w:t xml:space="preserve"> </w:t>
      </w:r>
      <w:r w:rsidRPr="00BC5786">
        <w:rPr>
          <w:rFonts w:ascii="Book Antiqua" w:hAnsi="Book Antiqua"/>
        </w:rPr>
        <w:t>T6G 2B7, Canada</w:t>
      </w:r>
    </w:p>
    <w:p w:rsidR="00DD5B16" w:rsidRPr="00BC5786" w:rsidRDefault="00DD5B16" w:rsidP="009C1A68">
      <w:pPr>
        <w:spacing w:after="0" w:line="360" w:lineRule="auto"/>
        <w:jc w:val="both"/>
        <w:rPr>
          <w:rFonts w:ascii="Book Antiqua" w:hAnsi="Book Antiqua"/>
          <w:lang w:eastAsia="zh-CN"/>
        </w:rPr>
      </w:pPr>
    </w:p>
    <w:p w:rsidR="00DD5B16" w:rsidRPr="00BC5786" w:rsidRDefault="00DD5B16" w:rsidP="009C1A68">
      <w:pPr>
        <w:spacing w:after="0" w:line="360" w:lineRule="auto"/>
        <w:jc w:val="both"/>
        <w:rPr>
          <w:rFonts w:ascii="Book Antiqua" w:eastAsia="宋体" w:hAnsi="Book Antiqua"/>
          <w:lang w:eastAsia="zh-CN"/>
        </w:rPr>
      </w:pPr>
      <w:r w:rsidRPr="00BC5786">
        <w:rPr>
          <w:rFonts w:ascii="Book Antiqua" w:hAnsi="Book Antiqua"/>
          <w:b/>
        </w:rPr>
        <w:t>David F Schaeffer</w:t>
      </w:r>
      <w:r w:rsidRPr="00BC5786">
        <w:rPr>
          <w:rFonts w:ascii="Book Antiqua" w:hAnsi="Book Antiqua"/>
          <w:lang w:eastAsia="zh-CN"/>
        </w:rPr>
        <w:t>,</w:t>
      </w:r>
      <w:r w:rsidRPr="00BC5786">
        <w:rPr>
          <w:rFonts w:ascii="Book Antiqua" w:hAnsi="Book Antiqua"/>
        </w:rPr>
        <w:t xml:space="preserve"> Department of Pathology and Laboratory Medicine, University of British Columbia, Vancouver, British Columbia</w:t>
      </w:r>
      <w:r w:rsidRPr="00BC5786">
        <w:rPr>
          <w:rFonts w:ascii="Book Antiqua" w:eastAsia="宋体" w:hAnsi="Book Antiqua"/>
          <w:lang w:eastAsia="zh-CN"/>
        </w:rPr>
        <w:t xml:space="preserve"> </w:t>
      </w:r>
      <w:r w:rsidRPr="00BC5786">
        <w:rPr>
          <w:rFonts w:ascii="Book Antiqua" w:hAnsi="Book Antiqua"/>
        </w:rPr>
        <w:t>V5Z 1M9, Canada</w:t>
      </w:r>
    </w:p>
    <w:p w:rsidR="00DD5B16" w:rsidRPr="00BC5786" w:rsidRDefault="00DD5B16" w:rsidP="009C1A68">
      <w:pPr>
        <w:spacing w:after="0" w:line="360" w:lineRule="auto"/>
        <w:jc w:val="both"/>
        <w:rPr>
          <w:rFonts w:ascii="Book Antiqua" w:hAnsi="Book Antiqua"/>
        </w:rPr>
      </w:pPr>
      <w:r w:rsidRPr="00BC5786">
        <w:rPr>
          <w:rFonts w:ascii="Book Antiqua" w:hAnsi="Book Antiqua"/>
        </w:rPr>
        <w:t xml:space="preserve"> </w:t>
      </w:r>
    </w:p>
    <w:p w:rsidR="00DD5B16" w:rsidRPr="00BC5786" w:rsidRDefault="00DD5B16" w:rsidP="009C1A68">
      <w:pPr>
        <w:spacing w:after="0" w:line="360" w:lineRule="auto"/>
        <w:jc w:val="both"/>
        <w:rPr>
          <w:rFonts w:ascii="Book Antiqua" w:hAnsi="Book Antiqua"/>
        </w:rPr>
      </w:pPr>
      <w:r w:rsidRPr="00BC5786">
        <w:rPr>
          <w:rFonts w:ascii="Book Antiqua" w:hAnsi="Book Antiqua"/>
          <w:b/>
        </w:rPr>
        <w:t>Author contributions:</w:t>
      </w:r>
      <w:r w:rsidRPr="00BC5786">
        <w:rPr>
          <w:rFonts w:ascii="Book Antiqua" w:hAnsi="Book Antiqua"/>
          <w:b/>
          <w:lang w:eastAsia="zh-CN"/>
        </w:rPr>
        <w:t xml:space="preserve"> </w:t>
      </w:r>
      <w:r w:rsidRPr="00BC5786">
        <w:rPr>
          <w:rFonts w:ascii="Book Antiqua" w:hAnsi="Book Antiqua"/>
        </w:rPr>
        <w:t>All authors contributed to the writing of this case report.</w:t>
      </w:r>
    </w:p>
    <w:p w:rsidR="00DD5B16" w:rsidRPr="00BC5786" w:rsidRDefault="00DD5B16" w:rsidP="009C1A68">
      <w:pPr>
        <w:spacing w:after="0" w:line="360" w:lineRule="auto"/>
        <w:jc w:val="both"/>
        <w:rPr>
          <w:rFonts w:ascii="Book Antiqua" w:hAnsi="Book Antiqua"/>
          <w:b/>
          <w:lang w:eastAsia="zh-CN"/>
        </w:rPr>
      </w:pPr>
    </w:p>
    <w:p w:rsidR="00DD5B16" w:rsidRDefault="00DD5B16" w:rsidP="009C1A68">
      <w:pPr>
        <w:spacing w:after="0" w:line="360" w:lineRule="auto"/>
        <w:jc w:val="both"/>
        <w:rPr>
          <w:rFonts w:ascii="Book Antiqua" w:eastAsia="宋体" w:hAnsi="Book Antiqua"/>
          <w:lang w:eastAsia="zh-CN"/>
        </w:rPr>
      </w:pPr>
      <w:r w:rsidRPr="00BC5786">
        <w:rPr>
          <w:rFonts w:ascii="Book Antiqua" w:hAnsi="Book Antiqua"/>
          <w:b/>
        </w:rPr>
        <w:t xml:space="preserve">Institutional review board statement: </w:t>
      </w:r>
      <w:r w:rsidRPr="00BC5786">
        <w:rPr>
          <w:rFonts w:ascii="Book Antiqua" w:hAnsi="Book Antiqua"/>
        </w:rPr>
        <w:t>The University of British Columbia Clinical Ethics Review Board does not require approval for case reports. Ethics approval is not necessary for this case report.</w:t>
      </w:r>
    </w:p>
    <w:p w:rsidR="00DD5B16" w:rsidRPr="00A04B0D" w:rsidRDefault="00DD5B16" w:rsidP="009C1A68">
      <w:pPr>
        <w:spacing w:after="0" w:line="360" w:lineRule="auto"/>
        <w:jc w:val="both"/>
        <w:rPr>
          <w:rFonts w:ascii="Book Antiqua" w:eastAsia="宋体" w:hAnsi="Book Antiqua"/>
          <w:lang w:eastAsia="zh-CN"/>
        </w:rPr>
      </w:pPr>
    </w:p>
    <w:p w:rsidR="00DD5B16" w:rsidRDefault="00DD5B16" w:rsidP="009C1A68">
      <w:pPr>
        <w:spacing w:after="0" w:line="360" w:lineRule="auto"/>
        <w:jc w:val="both"/>
        <w:rPr>
          <w:rFonts w:ascii="Book Antiqua" w:eastAsia="宋体" w:hAnsi="Book Antiqua"/>
          <w:lang w:eastAsia="zh-CN"/>
        </w:rPr>
      </w:pPr>
      <w:r w:rsidRPr="00BC5786">
        <w:rPr>
          <w:rFonts w:ascii="Book Antiqua" w:hAnsi="Book Antiqua"/>
          <w:b/>
        </w:rPr>
        <w:t>Informed consent statement:</w:t>
      </w:r>
      <w:r w:rsidRPr="00BC5786">
        <w:rPr>
          <w:rFonts w:ascii="Book Antiqua" w:hAnsi="Book Antiqua"/>
          <w:b/>
          <w:lang w:eastAsia="zh-CN"/>
        </w:rPr>
        <w:t xml:space="preserve"> </w:t>
      </w:r>
      <w:r w:rsidRPr="00BC5786">
        <w:rPr>
          <w:rFonts w:ascii="Book Antiqua" w:hAnsi="Book Antiqua"/>
        </w:rPr>
        <w:t>Informed consent was obtained from the patient.</w:t>
      </w:r>
    </w:p>
    <w:p w:rsidR="00DD5B16" w:rsidRPr="00A04B0D" w:rsidRDefault="00DD5B16" w:rsidP="009C1A68">
      <w:pPr>
        <w:spacing w:after="0" w:line="360" w:lineRule="auto"/>
        <w:jc w:val="both"/>
        <w:rPr>
          <w:rFonts w:ascii="Book Antiqua" w:eastAsia="宋体" w:hAnsi="Book Antiqua"/>
          <w:lang w:eastAsia="zh-CN"/>
        </w:rPr>
      </w:pPr>
    </w:p>
    <w:p w:rsidR="00DD5B16" w:rsidRPr="00BC5786" w:rsidRDefault="00DD5B16" w:rsidP="009C1A68">
      <w:pPr>
        <w:spacing w:after="0" w:line="360" w:lineRule="auto"/>
        <w:jc w:val="both"/>
        <w:rPr>
          <w:rFonts w:ascii="Book Antiqua" w:hAnsi="Book Antiqua"/>
        </w:rPr>
      </w:pPr>
      <w:r w:rsidRPr="00BC5786">
        <w:rPr>
          <w:rFonts w:ascii="Book Antiqua" w:hAnsi="Book Antiqua"/>
          <w:b/>
        </w:rPr>
        <w:t>Conflict-of-interest statement:</w:t>
      </w:r>
      <w:r w:rsidRPr="00BC5786">
        <w:rPr>
          <w:rFonts w:ascii="Book Antiqua" w:hAnsi="Book Antiqua"/>
          <w:b/>
          <w:lang w:eastAsia="zh-CN"/>
        </w:rPr>
        <w:t xml:space="preserve"> </w:t>
      </w:r>
      <w:r w:rsidRPr="00BC5786">
        <w:rPr>
          <w:rFonts w:ascii="Book Antiqua" w:hAnsi="Book Antiqua"/>
        </w:rPr>
        <w:t>The authors have no financial support or conflicts of interest to report.</w:t>
      </w:r>
    </w:p>
    <w:p w:rsidR="00DD5B16" w:rsidRPr="00BC5786" w:rsidRDefault="00DD5B16" w:rsidP="009C1A68">
      <w:pPr>
        <w:spacing w:after="0" w:line="360" w:lineRule="auto"/>
        <w:jc w:val="both"/>
        <w:rPr>
          <w:rFonts w:ascii="Book Antiqua" w:hAnsi="Book Antiqua"/>
          <w:lang w:eastAsia="zh-CN"/>
        </w:rPr>
      </w:pPr>
    </w:p>
    <w:p w:rsidR="00DD5B16" w:rsidRPr="00BC5786" w:rsidRDefault="00DD5B16" w:rsidP="009C1A68">
      <w:pPr>
        <w:spacing w:after="0" w:line="360" w:lineRule="auto"/>
        <w:jc w:val="both"/>
        <w:rPr>
          <w:rFonts w:ascii="Book Antiqua" w:hAnsi="Book Antiqua"/>
        </w:rPr>
      </w:pPr>
      <w:bookmarkStart w:id="0" w:name="OLE_LINK507"/>
      <w:bookmarkStart w:id="1" w:name="OLE_LINK506"/>
      <w:bookmarkStart w:id="2" w:name="OLE_LINK496"/>
      <w:bookmarkStart w:id="3" w:name="OLE_LINK479"/>
      <w:r w:rsidRPr="00BC5786">
        <w:rPr>
          <w:rFonts w:ascii="Book Antiqua" w:hAnsi="Book Antiqua"/>
          <w:b/>
        </w:rPr>
        <w:t xml:space="preserve">Open-Access: </w:t>
      </w:r>
      <w:r w:rsidRPr="00BC5786">
        <w:rPr>
          <w:rFonts w:ascii="Book Antiqua" w:hAnsi="Book Antiqua"/>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p w:rsidR="00DD5B16" w:rsidRPr="00BC5786" w:rsidRDefault="00DD5B16" w:rsidP="009C1A68">
      <w:pPr>
        <w:spacing w:after="0" w:line="360" w:lineRule="auto"/>
        <w:jc w:val="both"/>
        <w:rPr>
          <w:rFonts w:ascii="Book Antiqua" w:hAnsi="Book Antiqua"/>
          <w:lang w:eastAsia="zh-CN"/>
        </w:rPr>
      </w:pPr>
    </w:p>
    <w:p w:rsidR="00DD5B16" w:rsidRPr="00BC5786" w:rsidRDefault="00DD5B16" w:rsidP="009C1A68">
      <w:pPr>
        <w:spacing w:after="0" w:line="360" w:lineRule="auto"/>
        <w:jc w:val="both"/>
        <w:rPr>
          <w:rFonts w:ascii="Book Antiqua" w:hAnsi="Book Antiqua"/>
        </w:rPr>
      </w:pPr>
      <w:r w:rsidRPr="00BC5786">
        <w:rPr>
          <w:rFonts w:ascii="Book Antiqua" w:hAnsi="Book Antiqua"/>
          <w:b/>
        </w:rPr>
        <w:t>Correspondence to</w:t>
      </w:r>
      <w:r w:rsidRPr="00B5727E">
        <w:rPr>
          <w:rFonts w:ascii="Book Antiqua" w:hAnsi="Book Antiqua"/>
          <w:b/>
        </w:rPr>
        <w:t>:</w:t>
      </w:r>
      <w:r w:rsidRPr="00BC5786">
        <w:rPr>
          <w:rFonts w:ascii="Book Antiqua" w:hAnsi="Book Antiqua"/>
        </w:rPr>
        <w:t xml:space="preserve"> </w:t>
      </w:r>
      <w:r w:rsidRPr="00BC5786">
        <w:rPr>
          <w:rFonts w:ascii="Book Antiqua" w:hAnsi="Book Antiqua"/>
          <w:b/>
        </w:rPr>
        <w:t>Dr. Eric M Yoshida,</w:t>
      </w:r>
      <w:r w:rsidRPr="00BC5786">
        <w:rPr>
          <w:rFonts w:ascii="Book Antiqua" w:hAnsi="Book Antiqua"/>
        </w:rPr>
        <w:t xml:space="preserve"> </w:t>
      </w:r>
      <w:r w:rsidRPr="00BC5786">
        <w:rPr>
          <w:rFonts w:ascii="Book Antiqua" w:hAnsi="Book Antiqua"/>
          <w:b/>
        </w:rPr>
        <w:t>Professor</w:t>
      </w:r>
      <w:r w:rsidRPr="00BC5786">
        <w:rPr>
          <w:rFonts w:ascii="Book Antiqua" w:hAnsi="Book Antiqua"/>
        </w:rPr>
        <w:t xml:space="preserve"> of Medicine, Division of Gastroenterology, Vancouver General Hospital, University of British Columbia, 5</w:t>
      </w:r>
      <w:r w:rsidRPr="00BC5786">
        <w:rPr>
          <w:rFonts w:ascii="Book Antiqua" w:hAnsi="Book Antiqua"/>
          <w:vertAlign w:val="superscript"/>
        </w:rPr>
        <w:t>th</w:t>
      </w:r>
      <w:r w:rsidRPr="00BC5786">
        <w:rPr>
          <w:rFonts w:ascii="Book Antiqua" w:hAnsi="Book Antiqua"/>
        </w:rPr>
        <w:t xml:space="preserve"> Floor, 2775 Laurel Street, Vancouver, British Columbia</w:t>
      </w:r>
      <w:r w:rsidRPr="00BC5786">
        <w:rPr>
          <w:rFonts w:ascii="Book Antiqua" w:hAnsi="Book Antiqua"/>
          <w:lang w:eastAsia="zh-CN"/>
        </w:rPr>
        <w:t xml:space="preserve"> </w:t>
      </w:r>
      <w:r w:rsidRPr="00BC5786">
        <w:rPr>
          <w:rFonts w:ascii="Book Antiqua" w:hAnsi="Book Antiqua"/>
        </w:rPr>
        <w:t>V5Z 1M9, Canada</w:t>
      </w:r>
      <w:r w:rsidRPr="00BC5786">
        <w:rPr>
          <w:rFonts w:ascii="Book Antiqua" w:hAnsi="Book Antiqua"/>
          <w:lang w:eastAsia="zh-CN"/>
        </w:rPr>
        <w:t xml:space="preserve">. </w:t>
      </w:r>
      <w:hyperlink r:id="rId7" w:history="1">
        <w:r w:rsidRPr="00BC5786">
          <w:rPr>
            <w:rFonts w:ascii="Book Antiqua" w:hAnsi="Book Antiqua"/>
          </w:rPr>
          <w:t>eric.yoshida@vch.ca</w:t>
        </w:r>
      </w:hyperlink>
    </w:p>
    <w:p w:rsidR="00DD5B16" w:rsidRPr="00BC5786" w:rsidRDefault="00DD5B16" w:rsidP="009C1A68">
      <w:pPr>
        <w:spacing w:after="0" w:line="360" w:lineRule="auto"/>
        <w:jc w:val="both"/>
        <w:rPr>
          <w:rFonts w:ascii="Book Antiqua" w:hAnsi="Book Antiqua"/>
          <w:b/>
        </w:rPr>
      </w:pPr>
      <w:r w:rsidRPr="00BC5786">
        <w:rPr>
          <w:rFonts w:ascii="Book Antiqua" w:hAnsi="Book Antiqua"/>
          <w:b/>
        </w:rPr>
        <w:t xml:space="preserve">Telephone: </w:t>
      </w:r>
      <w:r w:rsidRPr="00BC5786">
        <w:rPr>
          <w:rFonts w:ascii="Book Antiqua" w:hAnsi="Book Antiqua"/>
          <w:lang w:eastAsia="zh-CN"/>
        </w:rPr>
        <w:t>+1-</w:t>
      </w:r>
      <w:r w:rsidRPr="00BC5786">
        <w:rPr>
          <w:rFonts w:ascii="Book Antiqua" w:hAnsi="Book Antiqua"/>
        </w:rPr>
        <w:t xml:space="preserve">604-8755371 </w:t>
      </w:r>
    </w:p>
    <w:p w:rsidR="00DD5B16" w:rsidRPr="00BC5786" w:rsidRDefault="00DD5B16" w:rsidP="009C1A68">
      <w:pPr>
        <w:spacing w:after="0" w:line="360" w:lineRule="auto"/>
        <w:jc w:val="both"/>
        <w:rPr>
          <w:rFonts w:ascii="Book Antiqua" w:hAnsi="Book Antiqua"/>
        </w:rPr>
      </w:pPr>
      <w:r w:rsidRPr="00BC5786">
        <w:rPr>
          <w:rFonts w:ascii="Book Antiqua" w:hAnsi="Book Antiqua"/>
          <w:b/>
        </w:rPr>
        <w:t>Fax:</w:t>
      </w:r>
      <w:r w:rsidRPr="00BC5786">
        <w:rPr>
          <w:rFonts w:ascii="Book Antiqua" w:hAnsi="Book Antiqua"/>
        </w:rPr>
        <w:t xml:space="preserve"> </w:t>
      </w:r>
      <w:r w:rsidRPr="00BC5786">
        <w:rPr>
          <w:rFonts w:ascii="Book Antiqua" w:hAnsi="Book Antiqua"/>
          <w:lang w:eastAsia="zh-CN"/>
        </w:rPr>
        <w:t>+1-</w:t>
      </w:r>
      <w:r w:rsidRPr="00BC5786">
        <w:rPr>
          <w:rFonts w:ascii="Book Antiqua" w:hAnsi="Book Antiqua"/>
        </w:rPr>
        <w:t xml:space="preserve">604-8755447 </w:t>
      </w:r>
    </w:p>
    <w:p w:rsidR="00DD5B16" w:rsidRPr="00BC5786" w:rsidRDefault="00DD5B16" w:rsidP="009C1A68">
      <w:pPr>
        <w:spacing w:after="0" w:line="360" w:lineRule="auto"/>
        <w:jc w:val="both"/>
        <w:rPr>
          <w:rFonts w:ascii="Book Antiqua" w:hAnsi="Book Antiqua"/>
        </w:rPr>
      </w:pPr>
    </w:p>
    <w:p w:rsidR="00DD5B16" w:rsidRPr="00BC5786" w:rsidRDefault="00DD5B16" w:rsidP="009C1A68">
      <w:pPr>
        <w:spacing w:after="0" w:line="360" w:lineRule="auto"/>
        <w:jc w:val="both"/>
        <w:rPr>
          <w:rFonts w:ascii="Book Antiqua" w:eastAsia="宋体" w:hAnsi="Book Antiqua"/>
          <w:b/>
          <w:lang w:eastAsia="zh-CN"/>
        </w:rPr>
      </w:pPr>
      <w:r w:rsidRPr="00BC5786">
        <w:rPr>
          <w:rFonts w:ascii="Book Antiqua" w:hAnsi="Book Antiqua"/>
          <w:b/>
        </w:rPr>
        <w:t>Received:</w:t>
      </w:r>
      <w:r w:rsidRPr="00BC5786">
        <w:rPr>
          <w:rFonts w:ascii="Book Antiqua" w:eastAsia="宋体" w:hAnsi="Book Antiqua"/>
          <w:b/>
          <w:lang w:eastAsia="zh-CN"/>
        </w:rPr>
        <w:t xml:space="preserve"> </w:t>
      </w:r>
      <w:r w:rsidRPr="00BC5786">
        <w:rPr>
          <w:rFonts w:ascii="Book Antiqua" w:eastAsia="宋体" w:hAnsi="Book Antiqua"/>
          <w:lang w:eastAsia="zh-CN"/>
        </w:rPr>
        <w:t>June 4, 2015</w:t>
      </w:r>
    </w:p>
    <w:p w:rsidR="00DD5B16" w:rsidRPr="00BC5786" w:rsidRDefault="00DD5B16" w:rsidP="009C1A68">
      <w:pPr>
        <w:spacing w:after="0" w:line="360" w:lineRule="auto"/>
        <w:jc w:val="both"/>
        <w:rPr>
          <w:rFonts w:ascii="Book Antiqua" w:eastAsia="宋体" w:hAnsi="Book Antiqua"/>
          <w:b/>
          <w:lang w:eastAsia="zh-CN"/>
        </w:rPr>
      </w:pPr>
      <w:r w:rsidRPr="00BC5786">
        <w:rPr>
          <w:rFonts w:ascii="Book Antiqua" w:hAnsi="Book Antiqua"/>
          <w:b/>
        </w:rPr>
        <w:t>Peer-review started:</w:t>
      </w:r>
      <w:r w:rsidRPr="00BC5786">
        <w:rPr>
          <w:rFonts w:ascii="Book Antiqua" w:eastAsia="宋体" w:hAnsi="Book Antiqua"/>
          <w:b/>
          <w:lang w:eastAsia="zh-CN"/>
        </w:rPr>
        <w:t xml:space="preserve"> </w:t>
      </w:r>
      <w:r w:rsidRPr="00BC5786">
        <w:rPr>
          <w:rFonts w:ascii="Book Antiqua" w:eastAsia="宋体" w:hAnsi="Book Antiqua"/>
          <w:lang w:eastAsia="zh-CN"/>
        </w:rPr>
        <w:t>June 9, 2015</w:t>
      </w:r>
    </w:p>
    <w:p w:rsidR="00DD5B16" w:rsidRPr="00BC5786" w:rsidRDefault="00DD5B16" w:rsidP="009C1A68">
      <w:pPr>
        <w:spacing w:after="0" w:line="360" w:lineRule="auto"/>
        <w:jc w:val="both"/>
        <w:rPr>
          <w:rFonts w:ascii="Book Antiqua" w:eastAsia="宋体" w:hAnsi="Book Antiqua"/>
          <w:b/>
          <w:lang w:eastAsia="zh-CN"/>
        </w:rPr>
      </w:pPr>
      <w:r w:rsidRPr="00BC5786">
        <w:rPr>
          <w:rFonts w:ascii="Book Antiqua" w:hAnsi="Book Antiqua"/>
          <w:b/>
        </w:rPr>
        <w:t>First decision:</w:t>
      </w:r>
      <w:r w:rsidRPr="00BC5786">
        <w:rPr>
          <w:rFonts w:ascii="Book Antiqua" w:eastAsia="宋体" w:hAnsi="Book Antiqua"/>
          <w:b/>
          <w:lang w:eastAsia="zh-CN"/>
        </w:rPr>
        <w:t xml:space="preserve"> </w:t>
      </w:r>
      <w:r w:rsidRPr="00BC5786">
        <w:rPr>
          <w:rFonts w:ascii="Book Antiqua" w:eastAsia="宋体" w:hAnsi="Book Antiqua"/>
          <w:lang w:eastAsia="zh-CN"/>
        </w:rPr>
        <w:t>July 6, 2015</w:t>
      </w:r>
    </w:p>
    <w:p w:rsidR="00DD5B16" w:rsidRPr="00BC5786" w:rsidRDefault="00DD5B16" w:rsidP="009C1A68">
      <w:pPr>
        <w:spacing w:after="0" w:line="360" w:lineRule="auto"/>
        <w:jc w:val="both"/>
        <w:rPr>
          <w:rFonts w:ascii="Book Antiqua" w:hAnsi="Book Antiqua"/>
          <w:b/>
        </w:rPr>
      </w:pPr>
      <w:r w:rsidRPr="00BC5786">
        <w:rPr>
          <w:rFonts w:ascii="Book Antiqua" w:hAnsi="Book Antiqua"/>
          <w:b/>
        </w:rPr>
        <w:t xml:space="preserve">Revised: </w:t>
      </w:r>
      <w:r w:rsidRPr="00BC5786">
        <w:rPr>
          <w:rFonts w:ascii="Book Antiqua" w:eastAsia="宋体" w:hAnsi="Book Antiqua"/>
          <w:lang w:eastAsia="zh-CN"/>
        </w:rPr>
        <w:t>July 25, 2015</w:t>
      </w:r>
    </w:p>
    <w:p w:rsidR="00DD5B16" w:rsidRPr="00DF213C" w:rsidRDefault="00DD5B16" w:rsidP="00DF213C">
      <w:pPr>
        <w:rPr>
          <w:rFonts w:ascii="Book Antiqua" w:hAnsi="Book Antiqua"/>
          <w:iCs/>
        </w:rPr>
      </w:pPr>
      <w:r w:rsidRPr="00BC5786">
        <w:rPr>
          <w:rFonts w:ascii="Book Antiqua" w:hAnsi="Book Antiqua"/>
          <w:b/>
        </w:rPr>
        <w:t xml:space="preserve">Accepted: </w:t>
      </w:r>
      <w:r w:rsidR="00DF213C">
        <w:rPr>
          <w:rStyle w:val="Emphasis"/>
        </w:rPr>
        <w:t>September 16</w:t>
      </w:r>
      <w:r w:rsidR="00DF213C" w:rsidRPr="00235CD4">
        <w:rPr>
          <w:rStyle w:val="Emphasis"/>
        </w:rPr>
        <w:t>, 2015</w:t>
      </w:r>
      <w:bookmarkStart w:id="4" w:name="_GoBack"/>
      <w:bookmarkEnd w:id="4"/>
    </w:p>
    <w:p w:rsidR="00DD5B16" w:rsidRPr="00BC5786" w:rsidRDefault="00DD5B16" w:rsidP="009C1A68">
      <w:pPr>
        <w:spacing w:after="0" w:line="360" w:lineRule="auto"/>
        <w:jc w:val="both"/>
        <w:rPr>
          <w:rFonts w:ascii="Book Antiqua" w:hAnsi="Book Antiqua"/>
          <w:b/>
        </w:rPr>
      </w:pPr>
      <w:r w:rsidRPr="00BC5786">
        <w:rPr>
          <w:rFonts w:ascii="Book Antiqua" w:hAnsi="Book Antiqua"/>
          <w:b/>
        </w:rPr>
        <w:t>Article in press:</w:t>
      </w:r>
    </w:p>
    <w:p w:rsidR="00DD5B16" w:rsidRPr="00BC5786" w:rsidRDefault="00DD5B16" w:rsidP="009C1A68">
      <w:pPr>
        <w:spacing w:after="0" w:line="360" w:lineRule="auto"/>
        <w:jc w:val="both"/>
        <w:rPr>
          <w:rFonts w:ascii="Book Antiqua" w:hAnsi="Book Antiqua"/>
          <w:b/>
        </w:rPr>
      </w:pPr>
      <w:r w:rsidRPr="00BC5786">
        <w:rPr>
          <w:rFonts w:ascii="Book Antiqua" w:hAnsi="Book Antiqua"/>
          <w:b/>
        </w:rPr>
        <w:t xml:space="preserve">Published online: </w:t>
      </w:r>
    </w:p>
    <w:p w:rsidR="00DD5B16" w:rsidRPr="00BC5786" w:rsidRDefault="00DD5B16" w:rsidP="009C1A68">
      <w:pPr>
        <w:spacing w:after="0" w:line="360" w:lineRule="auto"/>
        <w:jc w:val="both"/>
        <w:rPr>
          <w:rFonts w:ascii="Book Antiqua" w:hAnsi="Book Antiqua"/>
          <w:b/>
        </w:rPr>
      </w:pPr>
      <w:r w:rsidRPr="00BC5786">
        <w:rPr>
          <w:rFonts w:ascii="Book Antiqua" w:hAnsi="Book Antiqua"/>
        </w:rPr>
        <w:br w:type="page"/>
      </w:r>
      <w:r w:rsidRPr="00BC5786">
        <w:rPr>
          <w:rFonts w:ascii="Book Antiqua" w:hAnsi="Book Antiqua"/>
          <w:b/>
        </w:rPr>
        <w:lastRenderedPageBreak/>
        <w:t>Abstract</w:t>
      </w:r>
    </w:p>
    <w:p w:rsidR="00DD5B16" w:rsidRPr="00BC5786" w:rsidRDefault="00DD5B16" w:rsidP="009C1A68">
      <w:pPr>
        <w:spacing w:after="0" w:line="360" w:lineRule="auto"/>
        <w:jc w:val="both"/>
        <w:rPr>
          <w:rFonts w:ascii="Book Antiqua" w:hAnsi="Book Antiqua"/>
        </w:rPr>
      </w:pPr>
      <w:r w:rsidRPr="00BC5786">
        <w:rPr>
          <w:rFonts w:ascii="Book Antiqua" w:hAnsi="Book Antiqua"/>
        </w:rPr>
        <w:t>Glucosamine (GS) and chondroitin sulfate (CS) are common over-the-counter (OTC) supplements used in the treatment of osteoarthritis. These medications are seemingly safe, but there are increasing reports of hepatotoxicity with these supplements. We reported a unique case of drug-induced cholestasis caused by GS and CS in a combination tablet. The etiology of the jaundice was overlooked despite extensive investigations over a three-month period. Unlike drug-induced hepatocellular injury, drug-induced cholestatic jaundice with GS and CS has only been reported twice before. This case emphasizes the importance of a complete medication history, especially OTC supplements, in the assessment of cholestasis.</w:t>
      </w:r>
    </w:p>
    <w:p w:rsidR="00DD5B16" w:rsidRPr="00BC5786" w:rsidRDefault="00DD5B16" w:rsidP="009C1A68">
      <w:pPr>
        <w:spacing w:after="0" w:line="360" w:lineRule="auto"/>
        <w:jc w:val="both"/>
        <w:rPr>
          <w:rFonts w:ascii="Book Antiqua" w:hAnsi="Book Antiqua"/>
          <w:lang w:eastAsia="zh-CN"/>
        </w:rPr>
      </w:pPr>
    </w:p>
    <w:p w:rsidR="00DD5B16" w:rsidRPr="00BC5786" w:rsidRDefault="00DD5B16" w:rsidP="009C1A68">
      <w:pPr>
        <w:spacing w:after="0" w:line="360" w:lineRule="auto"/>
        <w:jc w:val="both"/>
        <w:rPr>
          <w:rFonts w:ascii="Book Antiqua" w:hAnsi="Book Antiqua"/>
          <w:lang w:eastAsia="zh-CN"/>
        </w:rPr>
      </w:pPr>
      <w:r w:rsidRPr="00BC5786">
        <w:rPr>
          <w:rFonts w:ascii="Book Antiqua" w:hAnsi="Book Antiqua"/>
          <w:b/>
        </w:rPr>
        <w:t>Key words:</w:t>
      </w:r>
      <w:r w:rsidRPr="00BC5786">
        <w:rPr>
          <w:rFonts w:ascii="Book Antiqua" w:hAnsi="Book Antiqua"/>
        </w:rPr>
        <w:t xml:space="preserve"> Glucosamine</w:t>
      </w:r>
      <w:r w:rsidRPr="00BC5786">
        <w:rPr>
          <w:rFonts w:ascii="Book Antiqua" w:hAnsi="Book Antiqua"/>
          <w:lang w:eastAsia="zh-CN"/>
        </w:rPr>
        <w:t>;</w:t>
      </w:r>
      <w:r w:rsidRPr="00BC5786">
        <w:rPr>
          <w:rFonts w:ascii="Book Antiqua" w:hAnsi="Book Antiqua"/>
        </w:rPr>
        <w:t xml:space="preserve"> Chondroitin</w:t>
      </w:r>
      <w:r w:rsidRPr="00BC5786">
        <w:rPr>
          <w:rFonts w:ascii="Book Antiqua" w:hAnsi="Book Antiqua"/>
          <w:lang w:eastAsia="zh-CN"/>
        </w:rPr>
        <w:t>;</w:t>
      </w:r>
      <w:r w:rsidRPr="00BC5786">
        <w:rPr>
          <w:rFonts w:ascii="Book Antiqua" w:hAnsi="Book Antiqua"/>
        </w:rPr>
        <w:t xml:space="preserve"> Hepatotoxicity</w:t>
      </w:r>
      <w:r w:rsidRPr="00BC5786">
        <w:rPr>
          <w:rFonts w:ascii="Book Antiqua" w:hAnsi="Book Antiqua"/>
          <w:lang w:eastAsia="zh-CN"/>
        </w:rPr>
        <w:t>;</w:t>
      </w:r>
      <w:r w:rsidRPr="00BC5786">
        <w:rPr>
          <w:rFonts w:ascii="Book Antiqua" w:hAnsi="Book Antiqua"/>
        </w:rPr>
        <w:t xml:space="preserve"> Cholestasis</w:t>
      </w:r>
      <w:r w:rsidRPr="00BC5786">
        <w:rPr>
          <w:rFonts w:ascii="Book Antiqua" w:hAnsi="Book Antiqua"/>
          <w:lang w:eastAsia="zh-CN"/>
        </w:rPr>
        <w:t>;</w:t>
      </w:r>
      <w:r w:rsidRPr="00BC5786">
        <w:rPr>
          <w:rFonts w:ascii="Book Antiqua" w:hAnsi="Book Antiqua"/>
        </w:rPr>
        <w:t xml:space="preserve"> Jaundice</w:t>
      </w:r>
    </w:p>
    <w:p w:rsidR="00DD5B16" w:rsidRPr="00BC5786" w:rsidRDefault="00DD5B16" w:rsidP="009C1A68">
      <w:pPr>
        <w:spacing w:after="0" w:line="360" w:lineRule="auto"/>
        <w:jc w:val="both"/>
        <w:rPr>
          <w:rFonts w:ascii="Book Antiqua" w:eastAsia="宋体" w:hAnsi="Book Antiqua"/>
          <w:b/>
          <w:lang w:eastAsia="zh-CN"/>
        </w:rPr>
      </w:pPr>
    </w:p>
    <w:p w:rsidR="00DD5B16" w:rsidRPr="00BC5786" w:rsidRDefault="00DD5B16" w:rsidP="009C1A68">
      <w:pPr>
        <w:snapToGrid w:val="0"/>
        <w:spacing w:after="0" w:line="360" w:lineRule="auto"/>
        <w:jc w:val="both"/>
        <w:rPr>
          <w:rFonts w:ascii="Book Antiqua" w:hAnsi="Book Antiqua"/>
        </w:rPr>
      </w:pPr>
      <w:r w:rsidRPr="00BC5786">
        <w:rPr>
          <w:rFonts w:ascii="Book Antiqua" w:hAnsi="Book Antiqua"/>
        </w:rPr>
        <w:t xml:space="preserve">© </w:t>
      </w:r>
      <w:r w:rsidRPr="00BC5786">
        <w:rPr>
          <w:rFonts w:ascii="Book Antiqua" w:hAnsi="Book Antiqua"/>
          <w:b/>
        </w:rPr>
        <w:t>The Author(s) 2015</w:t>
      </w:r>
      <w:r w:rsidRPr="00BC5786">
        <w:rPr>
          <w:rFonts w:ascii="Book Antiqua" w:hAnsi="Book Antiqua"/>
        </w:rPr>
        <w:t>. Published by Baishideng Publishing Group Inc. All rights reserved.</w:t>
      </w:r>
    </w:p>
    <w:p w:rsidR="00DD5B16" w:rsidRPr="00BC5786" w:rsidRDefault="00DD5B16" w:rsidP="009C1A68">
      <w:pPr>
        <w:spacing w:after="0" w:line="360" w:lineRule="auto"/>
        <w:jc w:val="both"/>
        <w:rPr>
          <w:rFonts w:ascii="Book Antiqua" w:eastAsia="宋体" w:hAnsi="Book Antiqua"/>
          <w:b/>
          <w:lang w:eastAsia="zh-CN"/>
        </w:rPr>
      </w:pPr>
    </w:p>
    <w:p w:rsidR="00DD5B16" w:rsidRPr="00BC5786" w:rsidRDefault="00DD5B16" w:rsidP="009C1A68">
      <w:pPr>
        <w:spacing w:after="0" w:line="360" w:lineRule="auto"/>
        <w:jc w:val="both"/>
        <w:rPr>
          <w:rFonts w:ascii="Book Antiqua" w:hAnsi="Book Antiqua"/>
          <w:lang w:eastAsia="zh-CN"/>
        </w:rPr>
      </w:pPr>
      <w:r w:rsidRPr="00BC5786">
        <w:rPr>
          <w:rFonts w:ascii="Book Antiqua" w:hAnsi="Book Antiqua"/>
          <w:b/>
          <w:lang w:eastAsia="zh-CN"/>
        </w:rPr>
        <w:t xml:space="preserve">Core tip: </w:t>
      </w:r>
      <w:r w:rsidRPr="00BC5786">
        <w:rPr>
          <w:rFonts w:ascii="Book Antiqua" w:hAnsi="Book Antiqua"/>
          <w:lang w:eastAsia="zh-CN"/>
        </w:rPr>
        <w:t xml:space="preserve">Glucosamine and chondroitin sulfate are common over-the-counter medications available in North America and other countries in the treatment of osteoarthritis. We report a unique case of drug-induced cholestatic injury caused by this combination tablet. The etiology of this patient’s new jaundice went undiagnosed despite extensive investigations over three months. Only after careful questioning of his medication history and review of his liver biopsy was the correct diagnosis obtained. This case adds to the increasing reports of hepatoxicity related to this supplement. Furthermore, it highlights the importance of a complete medication history, especially over-the-counter medications, in the assessment of cholestatic jaundice. </w:t>
      </w:r>
    </w:p>
    <w:p w:rsidR="00DD5B16" w:rsidRPr="00BC5786" w:rsidRDefault="00DD5B16" w:rsidP="009C1A68">
      <w:pPr>
        <w:spacing w:after="0" w:line="360" w:lineRule="auto"/>
        <w:jc w:val="both"/>
        <w:rPr>
          <w:rFonts w:ascii="Book Antiqua" w:hAnsi="Book Antiqua"/>
          <w:lang w:eastAsia="zh-CN"/>
        </w:rPr>
      </w:pPr>
    </w:p>
    <w:p w:rsidR="00DD5B16" w:rsidRPr="00BC5786" w:rsidRDefault="00DD5B16" w:rsidP="009C1A68">
      <w:pPr>
        <w:spacing w:after="0" w:line="360" w:lineRule="auto"/>
        <w:jc w:val="both"/>
        <w:rPr>
          <w:rFonts w:ascii="Book Antiqua" w:hAnsi="Book Antiqua"/>
          <w:lang w:eastAsia="zh-CN"/>
        </w:rPr>
      </w:pPr>
      <w:r w:rsidRPr="00BC5786">
        <w:rPr>
          <w:rFonts w:ascii="Book Antiqua" w:hAnsi="Book Antiqua"/>
        </w:rPr>
        <w:t>Ip</w:t>
      </w:r>
      <w:r w:rsidRPr="00BC5786">
        <w:rPr>
          <w:rFonts w:ascii="Book Antiqua" w:hAnsi="Book Antiqua"/>
          <w:lang w:eastAsia="zh-CN"/>
        </w:rPr>
        <w:t xml:space="preserve"> S</w:t>
      </w:r>
      <w:r w:rsidRPr="00BC5786">
        <w:rPr>
          <w:rFonts w:ascii="Book Antiqua" w:hAnsi="Book Antiqua"/>
        </w:rPr>
        <w:t>, Jeong</w:t>
      </w:r>
      <w:r w:rsidRPr="00BC5786">
        <w:rPr>
          <w:rFonts w:ascii="Book Antiqua" w:hAnsi="Book Antiqua"/>
          <w:lang w:eastAsia="zh-CN"/>
        </w:rPr>
        <w:t xml:space="preserve"> R</w:t>
      </w:r>
      <w:r w:rsidRPr="00BC5786">
        <w:rPr>
          <w:rFonts w:ascii="Book Antiqua" w:hAnsi="Book Antiqua"/>
        </w:rPr>
        <w:t>, Schaeffer</w:t>
      </w:r>
      <w:r w:rsidRPr="00BC5786">
        <w:rPr>
          <w:rFonts w:ascii="Book Antiqua" w:hAnsi="Book Antiqua"/>
          <w:lang w:eastAsia="zh-CN"/>
        </w:rPr>
        <w:t xml:space="preserve"> DF</w:t>
      </w:r>
      <w:r w:rsidRPr="00BC5786">
        <w:rPr>
          <w:rFonts w:ascii="Book Antiqua" w:hAnsi="Book Antiqua"/>
        </w:rPr>
        <w:t>, Yoshida</w:t>
      </w:r>
      <w:r w:rsidRPr="00BC5786">
        <w:rPr>
          <w:rFonts w:ascii="Book Antiqua" w:hAnsi="Book Antiqua"/>
          <w:lang w:eastAsia="zh-CN"/>
        </w:rPr>
        <w:t xml:space="preserve"> EM. </w:t>
      </w:r>
      <w:r w:rsidRPr="00BC5786">
        <w:rPr>
          <w:rFonts w:ascii="Book Antiqua" w:hAnsi="Book Antiqua"/>
        </w:rPr>
        <w:t>Unusual case of drug-induced cholestasis due to glucosamine and chondroitin sulfate</w:t>
      </w:r>
      <w:r w:rsidRPr="00BC5786">
        <w:rPr>
          <w:rFonts w:ascii="Book Antiqua" w:hAnsi="Book Antiqua"/>
          <w:lang w:eastAsia="zh-CN"/>
        </w:rPr>
        <w:t xml:space="preserve">. </w:t>
      </w:r>
      <w:r w:rsidRPr="00BC5786">
        <w:rPr>
          <w:rFonts w:ascii="Book Antiqua" w:hAnsi="Book Antiqua"/>
          <w:i/>
          <w:iCs/>
        </w:rPr>
        <w:t>World J Hepatol</w:t>
      </w:r>
      <w:r w:rsidRPr="00BC5786">
        <w:rPr>
          <w:rFonts w:ascii="Book Antiqua" w:hAnsi="Book Antiqua"/>
          <w:iCs/>
          <w:lang w:eastAsia="zh-CN"/>
        </w:rPr>
        <w:t xml:space="preserve"> 2015; In press</w:t>
      </w:r>
    </w:p>
    <w:p w:rsidR="00DD5B16" w:rsidRPr="00BC5786" w:rsidRDefault="00DD5B16" w:rsidP="009C1A68">
      <w:pPr>
        <w:spacing w:after="0" w:line="360" w:lineRule="auto"/>
        <w:jc w:val="both"/>
        <w:rPr>
          <w:rFonts w:ascii="Book Antiqua" w:hAnsi="Book Antiqua"/>
          <w:lang w:eastAsia="zh-CN"/>
        </w:rPr>
      </w:pPr>
    </w:p>
    <w:p w:rsidR="00DD5B16" w:rsidRPr="00BC5786" w:rsidRDefault="00DD5B16" w:rsidP="009C1A68">
      <w:pPr>
        <w:spacing w:after="0" w:line="360" w:lineRule="auto"/>
        <w:jc w:val="both"/>
        <w:rPr>
          <w:rFonts w:ascii="Book Antiqua" w:hAnsi="Book Antiqua"/>
        </w:rPr>
      </w:pPr>
      <w:r w:rsidRPr="00BC5786">
        <w:rPr>
          <w:rFonts w:ascii="Book Antiqua" w:hAnsi="Book Antiqua"/>
          <w:b/>
        </w:rPr>
        <w:br w:type="page"/>
      </w:r>
      <w:r w:rsidRPr="00BC5786">
        <w:rPr>
          <w:rFonts w:ascii="Book Antiqua" w:hAnsi="Book Antiqua"/>
          <w:b/>
        </w:rPr>
        <w:lastRenderedPageBreak/>
        <w:t>INTRODUCTION</w:t>
      </w:r>
    </w:p>
    <w:p w:rsidR="00DD5B16" w:rsidRPr="00BC5786" w:rsidRDefault="00DD5B16" w:rsidP="009C1A68">
      <w:pPr>
        <w:spacing w:after="0" w:line="360" w:lineRule="auto"/>
        <w:jc w:val="both"/>
        <w:rPr>
          <w:rFonts w:ascii="Book Antiqua" w:hAnsi="Book Antiqua"/>
        </w:rPr>
      </w:pPr>
      <w:r w:rsidRPr="00BC5786">
        <w:rPr>
          <w:rFonts w:ascii="Book Antiqua" w:hAnsi="Book Antiqua"/>
        </w:rPr>
        <w:t>In North America and other countries, glucosamine (GS) and chondroitin sulfate (CS) are common over-the-counter (OTC) supplements marketed for supporting the structure and function of joints, especially in treating osteoarthritis (OA). Although clinical trials have suggested that these medications have minimal to no significant clinical benefit in OA</w:t>
      </w:r>
      <w:r w:rsidRPr="00BC5786">
        <w:rPr>
          <w:rFonts w:ascii="Book Antiqua" w:hAnsi="Book Antiqua"/>
          <w:vertAlign w:val="superscript"/>
        </w:rPr>
        <w:t>[1,2</w:t>
      </w:r>
      <w:r w:rsidRPr="00BC5786">
        <w:rPr>
          <w:rFonts w:ascii="Book Antiqua" w:hAnsi="Book Antiqua"/>
          <w:vertAlign w:val="superscript"/>
          <w:lang w:eastAsia="zh-CN"/>
        </w:rPr>
        <w:t>]</w:t>
      </w:r>
      <w:r w:rsidRPr="00BC5786">
        <w:rPr>
          <w:rFonts w:ascii="Book Antiqua" w:hAnsi="Book Antiqua"/>
        </w:rPr>
        <w:t>, they continue to be utilized, which may be attributed to their reputation as “natural products”, easy tolerability, and low side-effect profile</w:t>
      </w:r>
      <w:r w:rsidRPr="00BC5786">
        <w:rPr>
          <w:rFonts w:ascii="Book Antiqua" w:hAnsi="Book Antiqua"/>
          <w:vertAlign w:val="superscript"/>
        </w:rPr>
        <w:t>[3]</w:t>
      </w:r>
      <w:r w:rsidRPr="00BC5786">
        <w:rPr>
          <w:rFonts w:ascii="Book Antiqua" w:hAnsi="Book Antiqua"/>
        </w:rPr>
        <w:t>. A rare complication related to GS and/or CS use is hepatotoxicity especially classic hepatocellular drug-induced liver injury (DILI)</w:t>
      </w:r>
      <w:r w:rsidRPr="00BC5786">
        <w:rPr>
          <w:rFonts w:ascii="Book Antiqua" w:hAnsi="Book Antiqua"/>
          <w:vertAlign w:val="superscript"/>
        </w:rPr>
        <w:t>[3-5]</w:t>
      </w:r>
      <w:r w:rsidRPr="00BC5786">
        <w:rPr>
          <w:rFonts w:ascii="Book Antiqua" w:hAnsi="Book Antiqua"/>
        </w:rPr>
        <w:t>; however, purely cholestatic injury is less documented</w:t>
      </w:r>
      <w:r w:rsidRPr="00BC5786">
        <w:rPr>
          <w:rFonts w:ascii="Book Antiqua" w:hAnsi="Book Antiqua"/>
          <w:vertAlign w:val="superscript"/>
        </w:rPr>
        <w:t>[4,6]</w:t>
      </w:r>
      <w:r w:rsidRPr="00BC5786">
        <w:rPr>
          <w:rFonts w:ascii="Book Antiqua" w:hAnsi="Book Antiqua"/>
        </w:rPr>
        <w:t>. We report a unique case of drug-induced cholestasis caused by GS and CS. The etiology of the jaundice was missed despite exhaustive medical investigations over three months. This case adds to the growing literature of hepatotoxicity related to this supplement. Furthermore, it highlights the importance of a complete medication history, especially OTC supplements, in the assessment of cholestatic jaundice.</w:t>
      </w:r>
    </w:p>
    <w:p w:rsidR="00DD5B16" w:rsidRPr="00BC5786" w:rsidRDefault="00DD5B16" w:rsidP="009C1A68">
      <w:pPr>
        <w:spacing w:after="0" w:line="360" w:lineRule="auto"/>
        <w:jc w:val="both"/>
        <w:rPr>
          <w:rFonts w:ascii="Book Antiqua" w:hAnsi="Book Antiqua"/>
        </w:rPr>
      </w:pPr>
    </w:p>
    <w:p w:rsidR="00DD5B16" w:rsidRPr="00BC5786" w:rsidRDefault="00DD5B16" w:rsidP="009C1A68">
      <w:pPr>
        <w:spacing w:after="0" w:line="360" w:lineRule="auto"/>
        <w:jc w:val="both"/>
        <w:rPr>
          <w:rFonts w:ascii="Book Antiqua" w:hAnsi="Book Antiqua"/>
          <w:b/>
        </w:rPr>
      </w:pPr>
      <w:r w:rsidRPr="00BC5786">
        <w:rPr>
          <w:rFonts w:ascii="Book Antiqua" w:hAnsi="Book Antiqua"/>
          <w:b/>
        </w:rPr>
        <w:t>CASE REPORT</w:t>
      </w:r>
    </w:p>
    <w:p w:rsidR="00DD5B16" w:rsidRPr="00BC5786" w:rsidRDefault="00DD5B16" w:rsidP="009C1A68">
      <w:pPr>
        <w:spacing w:after="0" w:line="360" w:lineRule="auto"/>
        <w:jc w:val="both"/>
        <w:rPr>
          <w:rFonts w:ascii="Book Antiqua" w:hAnsi="Book Antiqua"/>
        </w:rPr>
      </w:pPr>
      <w:r w:rsidRPr="00BC5786">
        <w:rPr>
          <w:rFonts w:ascii="Book Antiqua" w:hAnsi="Book Antiqua"/>
        </w:rPr>
        <w:t xml:space="preserve">A 78-year-old man originally presented with a three-month history of jaundice of unknown etiology at his home hospital. He was subsequently transferred to a tertiary centre for further investigations. His past medical history was significant for a subarachnoid hemorrhage and OA. He was previously well until he reported a three-month history of pruritus, fatigue, nausea, vomiting, and a thirty-pound weight loss with no abdominal pain. He had no history of alcohol abuse or intravenous drug use, no recent travel history, no mushroom ingestion, and no family history of similar jaundice or any liver disease. According to records from his home hospital, he had not taken any other medications except acetaminophen intermittently and vitamin D, which he had been consuming for many years. On direct questioning, however, he disclosed that he had taken GS and CS approximately two months prior to the onset of jaundice. This was his first exposure to this supplement, and he took three tablets per day for his </w:t>
      </w:r>
      <w:r w:rsidRPr="00BC5786">
        <w:rPr>
          <w:rFonts w:ascii="Book Antiqua" w:hAnsi="Book Antiqua"/>
        </w:rPr>
        <w:lastRenderedPageBreak/>
        <w:t xml:space="preserve">joint pain (maximum daily dose outlined on the bottle). When he started to become jaundiced three months ago, he discontinued the supplement. </w:t>
      </w:r>
    </w:p>
    <w:p w:rsidR="00DD5B16" w:rsidRPr="00BC5786" w:rsidRDefault="00DD5B16" w:rsidP="009C1A68">
      <w:pPr>
        <w:spacing w:after="0" w:line="360" w:lineRule="auto"/>
        <w:jc w:val="both"/>
        <w:rPr>
          <w:rFonts w:ascii="Book Antiqua" w:hAnsi="Book Antiqua"/>
        </w:rPr>
      </w:pPr>
      <w:r w:rsidRPr="00BC5786">
        <w:rPr>
          <w:rFonts w:ascii="Book Antiqua" w:hAnsi="Book Antiqua"/>
        </w:rPr>
        <w:t>On exam, he was clearly jaundiced with no asterixis. His body mass index was 28 kg/m</w:t>
      </w:r>
      <w:r w:rsidRPr="00BC5786">
        <w:rPr>
          <w:rFonts w:ascii="Book Antiqua" w:hAnsi="Book Antiqua"/>
          <w:vertAlign w:val="superscript"/>
        </w:rPr>
        <w:t>2</w:t>
      </w:r>
      <w:r w:rsidRPr="00BC5786">
        <w:rPr>
          <w:rFonts w:ascii="Book Antiqua" w:hAnsi="Book Antiqua"/>
        </w:rPr>
        <w:t xml:space="preserve">. He had no other stigmata of chronic liver disease. His abdominal exam was benign with no appreciable hepatosplenomegaly. </w:t>
      </w:r>
    </w:p>
    <w:p w:rsidR="00DD5B16" w:rsidRPr="00BC5786" w:rsidRDefault="00DD5B16" w:rsidP="009C1A68">
      <w:pPr>
        <w:spacing w:after="0" w:line="360" w:lineRule="auto"/>
        <w:jc w:val="both"/>
        <w:rPr>
          <w:rFonts w:ascii="Book Antiqua" w:hAnsi="Book Antiqua"/>
        </w:rPr>
      </w:pPr>
      <w:r w:rsidRPr="00BC5786">
        <w:rPr>
          <w:rFonts w:ascii="Book Antiqua" w:hAnsi="Book Antiqua"/>
        </w:rPr>
        <w:t>His bloodwork drawn at the tertiary centre revealed a total bilirubin of 470</w:t>
      </w:r>
      <w:r w:rsidRPr="00BC5786">
        <w:rPr>
          <w:rFonts w:ascii="Book Antiqua" w:hAnsi="Book Antiqua" w:cs="Book Antiqua"/>
        </w:rPr>
        <w:t></w:t>
      </w:r>
      <w:r w:rsidRPr="00BC5786">
        <w:rPr>
          <w:rFonts w:ascii="Book Antiqua" w:hAnsi="Book Antiqua"/>
        </w:rPr>
        <w:t>mol/L (normal is &lt;</w:t>
      </w:r>
      <w:r w:rsidRPr="00BC5786">
        <w:rPr>
          <w:rFonts w:ascii="Book Antiqua" w:hAnsi="Book Antiqua"/>
          <w:lang w:eastAsia="zh-CN"/>
        </w:rPr>
        <w:t xml:space="preserve"> </w:t>
      </w:r>
      <w:r w:rsidRPr="00BC5786">
        <w:rPr>
          <w:rFonts w:ascii="Book Antiqua" w:hAnsi="Book Antiqua"/>
        </w:rPr>
        <w:t>18 mol/L), direct bilirubin of 383 mol/L (normal is &lt;</w:t>
      </w:r>
      <w:r w:rsidRPr="00BC5786">
        <w:rPr>
          <w:rFonts w:ascii="Book Antiqua" w:hAnsi="Book Antiqua"/>
          <w:lang w:eastAsia="zh-CN"/>
        </w:rPr>
        <w:t xml:space="preserve"> </w:t>
      </w:r>
      <w:r w:rsidRPr="00BC5786">
        <w:rPr>
          <w:rFonts w:ascii="Book Antiqua" w:hAnsi="Book Antiqua"/>
        </w:rPr>
        <w:t xml:space="preserve">5 mol/L), alkaline phosphate of 136 U/L (normal is 30-135 U/L), gamma-glutamyl transferase of 59 U/L (normal is 0-80 U/L), aspartate transferase of 46 U/L (normal is 10-80 U/L), and alanine transferase (ALT) of 52 U/L (normal is 10-80 U/L). This was virtually unchanged from his previous bloodwork at his home hospital (Table 1). His international normalized ratio and albumin levels were near normal. The remainder of his bloodwork was non-contributory. Liver enzymes and liver function tests were previously normal. </w:t>
      </w:r>
    </w:p>
    <w:p w:rsidR="00DD5B16" w:rsidRPr="00BC5786" w:rsidRDefault="00DD5B16" w:rsidP="009C1A68">
      <w:pPr>
        <w:spacing w:after="0" w:line="360" w:lineRule="auto"/>
        <w:jc w:val="both"/>
        <w:rPr>
          <w:rFonts w:ascii="Book Antiqua" w:hAnsi="Book Antiqua"/>
        </w:rPr>
      </w:pPr>
      <w:r w:rsidRPr="00BC5786">
        <w:rPr>
          <w:rFonts w:ascii="Book Antiqua" w:hAnsi="Book Antiqua"/>
        </w:rPr>
        <w:t>At his home hospital, he had had extensive investigations for his jaundice. Serology for hepatitis A, B and C were negative. Antinuclear antibody, antimitochondrial antibody, and antineutrophil cytoplasmic antibody were negative. Ceruloplasmin and alpha-antitrypsin levels were normal, and anti-tissue transglutaminase was negative with a normal IgA level. A skin biopsy was negative for vasculitis. He had had multiple abdominal ultrasounds that showed cholelithiasis, a somewhat inhomogeneous liver with no discrete lesions, but specifically no evidence of intra or extrahepatic bile duct dilatation. He had two endoscopic retrograde cholangiopancreatographies (ERCPs), which revealed no biliary tract abnormalities. A sphincterotomy and stent insertion were completed in hopes of relieving any kind of obstruction with no success. A subsequent magnetic resonance cholangiopancreatography (MRCP) showed no evidence of duct dilatation. Two liver biopsies showed non-specific signs of acute cholestasis (Figure 1). Upon further review with a pathologist at the tertiary centre, these biopsies were most consistent with drug-related cholestasis. Temporally, GS and CS fit as the likely culprit.</w:t>
      </w:r>
    </w:p>
    <w:p w:rsidR="00DD5B16" w:rsidRPr="00BC5786" w:rsidRDefault="00DD5B16" w:rsidP="009C1A68">
      <w:pPr>
        <w:spacing w:after="0" w:line="360" w:lineRule="auto"/>
        <w:jc w:val="both"/>
        <w:rPr>
          <w:rFonts w:ascii="Book Antiqua" w:hAnsi="Book Antiqua"/>
        </w:rPr>
      </w:pPr>
    </w:p>
    <w:p w:rsidR="00DD5B16" w:rsidRPr="00BC5786" w:rsidRDefault="00DD5B16" w:rsidP="009C1A68">
      <w:pPr>
        <w:spacing w:after="0" w:line="360" w:lineRule="auto"/>
        <w:jc w:val="both"/>
        <w:rPr>
          <w:rFonts w:ascii="Book Antiqua" w:hAnsi="Book Antiqua"/>
          <w:b/>
        </w:rPr>
      </w:pPr>
      <w:r w:rsidRPr="00BC5786">
        <w:rPr>
          <w:rFonts w:ascii="Book Antiqua" w:hAnsi="Book Antiqua"/>
          <w:b/>
        </w:rPr>
        <w:t>DISCUSSION</w:t>
      </w:r>
    </w:p>
    <w:p w:rsidR="00DD5B16" w:rsidRPr="00BC5786" w:rsidRDefault="00DD5B16" w:rsidP="009C1A68">
      <w:pPr>
        <w:spacing w:after="0" w:line="360" w:lineRule="auto"/>
        <w:jc w:val="both"/>
        <w:rPr>
          <w:rFonts w:ascii="Book Antiqua" w:hAnsi="Book Antiqua"/>
        </w:rPr>
      </w:pPr>
      <w:r w:rsidRPr="00BC5786">
        <w:rPr>
          <w:rFonts w:ascii="Book Antiqua" w:hAnsi="Book Antiqua"/>
        </w:rPr>
        <w:lastRenderedPageBreak/>
        <w:t>GS is an aminosaacharide that is important for proteoglycan formation, which helps preserve cartilage integrity of joints</w:t>
      </w:r>
      <w:r w:rsidRPr="00BC5786">
        <w:rPr>
          <w:rFonts w:ascii="Book Antiqua" w:hAnsi="Book Antiqua"/>
          <w:vertAlign w:val="superscript"/>
        </w:rPr>
        <w:t>[7]</w:t>
      </w:r>
      <w:r w:rsidRPr="00BC5786">
        <w:rPr>
          <w:rFonts w:ascii="Book Antiqua" w:hAnsi="Book Antiqua"/>
        </w:rPr>
        <w:t xml:space="preserve"> while CS is an essential part of aggrecan, a component of the cartilage structure</w:t>
      </w:r>
      <w:r w:rsidRPr="00BC5786">
        <w:rPr>
          <w:rFonts w:ascii="Book Antiqua" w:hAnsi="Book Antiqua"/>
          <w:vertAlign w:val="superscript"/>
        </w:rPr>
        <w:t>[8]</w:t>
      </w:r>
      <w:r w:rsidRPr="00BC5786">
        <w:rPr>
          <w:rFonts w:ascii="Book Antiqua" w:hAnsi="Book Antiqua"/>
        </w:rPr>
        <w:t>. Both supplements are frequently taken together in the treatment of OA. Previous systemic reviews have shown that these supplements are safe with no significant side effects</w:t>
      </w:r>
      <w:r w:rsidRPr="00BC5786">
        <w:rPr>
          <w:rFonts w:ascii="Book Antiqua" w:hAnsi="Book Antiqua"/>
          <w:vertAlign w:val="superscript"/>
        </w:rPr>
        <w:t>[8,9]</w:t>
      </w:r>
      <w:r w:rsidRPr="00BC5786">
        <w:rPr>
          <w:rFonts w:ascii="Book Antiqua" w:hAnsi="Book Antiqua"/>
        </w:rPr>
        <w:t>; however, reports of hepatotoxicity have been documented</w:t>
      </w:r>
      <w:r w:rsidRPr="00BC5786">
        <w:rPr>
          <w:rFonts w:ascii="Book Antiqua" w:hAnsi="Book Antiqua"/>
          <w:vertAlign w:val="superscript"/>
        </w:rPr>
        <w:t>[3-5]</w:t>
      </w:r>
      <w:r w:rsidRPr="00BC5786">
        <w:rPr>
          <w:rFonts w:ascii="Book Antiqua" w:hAnsi="Book Antiqua"/>
        </w:rPr>
        <w:t>. We report a unique case of drug-related cholestasis that adds to the expanding literature of this mechanism of liver injury associated with GS and CS.</w:t>
      </w:r>
    </w:p>
    <w:p w:rsidR="00DD5B16" w:rsidRPr="00BC5786" w:rsidRDefault="00DD5B16" w:rsidP="009C1A68">
      <w:pPr>
        <w:spacing w:after="0" w:line="360" w:lineRule="auto"/>
        <w:jc w:val="both"/>
        <w:rPr>
          <w:rFonts w:ascii="Book Antiqua" w:hAnsi="Book Antiqua"/>
        </w:rPr>
      </w:pPr>
      <w:r w:rsidRPr="00BC5786">
        <w:rPr>
          <w:rFonts w:ascii="Book Antiqua" w:hAnsi="Book Antiqua"/>
        </w:rPr>
        <w:t xml:space="preserve">There have been two other similar reports regarding cholestatic DILI with GS and/or CS. Ossendza </w:t>
      </w:r>
      <w:r w:rsidRPr="00BC5786">
        <w:rPr>
          <w:rFonts w:ascii="Book Antiqua" w:hAnsi="Book Antiqua"/>
          <w:i/>
        </w:rPr>
        <w:t>et al</w:t>
      </w:r>
      <w:r w:rsidRPr="00BC5786">
        <w:rPr>
          <w:rFonts w:ascii="Book Antiqua" w:hAnsi="Book Antiqua"/>
          <w:vertAlign w:val="superscript"/>
        </w:rPr>
        <w:t>[6]</w:t>
      </w:r>
      <w:r w:rsidRPr="00BC5786">
        <w:rPr>
          <w:rFonts w:ascii="Book Antiqua" w:hAnsi="Book Antiqua"/>
        </w:rPr>
        <w:t xml:space="preserve"> describe a case of hepatitis with significant ALT and bilirubin elevation, approximately 6- and 10-fold respectively, in a patient taking therapeutic doses of GS four months prior to presenting with pruritus and jaundice. This patient recovered with discontinuation of the supplement. Smith and Dillon</w:t>
      </w:r>
      <w:r w:rsidRPr="00BC5786">
        <w:rPr>
          <w:rFonts w:ascii="Book Antiqua" w:hAnsi="Book Antiqua"/>
          <w:vertAlign w:val="superscript"/>
        </w:rPr>
        <w:t>[4]</w:t>
      </w:r>
      <w:r w:rsidRPr="00BC5786">
        <w:rPr>
          <w:rFonts w:ascii="Book Antiqua" w:hAnsi="Book Antiqua"/>
        </w:rPr>
        <w:t xml:space="preserve"> describe a case of elevated cholestastic liver enzymes and normal bilirubin that return to normal after stopping GS and CS. Our case is unique in that the patient presented with purely hyperbilirubinemia with mild liver enzyme derangement. An exhaustive search for a cause was undertaken including multiple investigations (</w:t>
      </w:r>
      <w:r w:rsidRPr="00BC5786">
        <w:rPr>
          <w:rFonts w:ascii="Book Antiqua" w:hAnsi="Book Antiqua"/>
          <w:i/>
        </w:rPr>
        <w:t>e.g.</w:t>
      </w:r>
      <w:r w:rsidRPr="00BC5786">
        <w:rPr>
          <w:rFonts w:ascii="Book Antiqua" w:hAnsi="Book Antiqua"/>
          <w:lang w:eastAsia="zh-CN"/>
        </w:rPr>
        <w:t>,</w:t>
      </w:r>
      <w:r w:rsidRPr="00BC5786">
        <w:rPr>
          <w:rFonts w:ascii="Book Antiqua" w:hAnsi="Book Antiqua"/>
        </w:rPr>
        <w:t xml:space="preserve"> ERCPs, MRCP, </w:t>
      </w:r>
      <w:r w:rsidRPr="00BC5786">
        <w:rPr>
          <w:rFonts w:ascii="Book Antiqua" w:hAnsi="Book Antiqua"/>
          <w:i/>
        </w:rPr>
        <w:t>etc</w:t>
      </w:r>
      <w:r w:rsidRPr="00BC5786">
        <w:rPr>
          <w:rFonts w:ascii="Book Antiqua" w:hAnsi="Book Antiqua"/>
        </w:rPr>
        <w:t>.), highlighting the importance of a complete medication history in the evaluation of new onset jaundice.</w:t>
      </w:r>
    </w:p>
    <w:p w:rsidR="00DD5B16" w:rsidRPr="00BC5786" w:rsidRDefault="00DD5B16" w:rsidP="00FA4830">
      <w:pPr>
        <w:spacing w:after="0" w:line="360" w:lineRule="auto"/>
        <w:ind w:firstLineChars="100" w:firstLine="240"/>
        <w:jc w:val="both"/>
        <w:rPr>
          <w:rFonts w:ascii="Book Antiqua" w:hAnsi="Book Antiqua"/>
        </w:rPr>
      </w:pPr>
      <w:r w:rsidRPr="00BC5786">
        <w:rPr>
          <w:rFonts w:ascii="Book Antiqua" w:hAnsi="Book Antiqua"/>
        </w:rPr>
        <w:t>The mechanism by which GS and/or CS causes hepatotoxicity is unclear. An allergic mechanism has been proposed given the presence of rash and/or eosinophilia in previous case reports</w:t>
      </w:r>
      <w:r w:rsidRPr="00BC5786">
        <w:rPr>
          <w:rFonts w:ascii="Book Antiqua" w:hAnsi="Book Antiqua"/>
          <w:vertAlign w:val="superscript"/>
        </w:rPr>
        <w:t>[3]</w:t>
      </w:r>
      <w:r w:rsidRPr="00BC5786">
        <w:rPr>
          <w:rFonts w:ascii="Book Antiqua" w:hAnsi="Book Antiqua"/>
        </w:rPr>
        <w:t>. Furthermore, GS is derived from the exoskeleton of shellfish, which would theoretically worsen in those with known seafood allergies. No cases of hepatotoxicity, however, have been recorded in patients with known shellfish allergy</w:t>
      </w:r>
      <w:r w:rsidRPr="00BC5786">
        <w:rPr>
          <w:rFonts w:ascii="Book Antiqua" w:hAnsi="Book Antiqua"/>
          <w:vertAlign w:val="superscript"/>
        </w:rPr>
        <w:t>[10]</w:t>
      </w:r>
      <w:r w:rsidRPr="00BC5786">
        <w:rPr>
          <w:rFonts w:ascii="Book Antiqua" w:hAnsi="Book Antiqua"/>
        </w:rPr>
        <w:t>. The purity of the supplement may be another factor in causing hepatotoxicity. In Europe, GS and/or CS is classified as a medication, but in North America and other countries, they are available as an OTC supplements, which is not under regulative scrutiny regarding purity or efficacy. In our case, our patient appeared only to be taking therapeutic doses suggested by the manufacturer.</w:t>
      </w:r>
    </w:p>
    <w:p w:rsidR="00DD5B16" w:rsidRPr="00BC5786" w:rsidRDefault="00DD5B16" w:rsidP="00FA4830">
      <w:pPr>
        <w:spacing w:after="0" w:line="360" w:lineRule="auto"/>
        <w:ind w:firstLineChars="100" w:firstLine="240"/>
        <w:jc w:val="both"/>
        <w:rPr>
          <w:rFonts w:ascii="Book Antiqua" w:hAnsi="Book Antiqua"/>
        </w:rPr>
      </w:pPr>
      <w:r w:rsidRPr="00BC5786">
        <w:rPr>
          <w:rFonts w:ascii="Book Antiqua" w:hAnsi="Book Antiqua"/>
        </w:rPr>
        <w:t xml:space="preserve">In conclusion, we report a rare case of cholestatic injury related to GS and CS, adding to increasing reports of hepatotoxicity of this supplement. Although this supplement </w:t>
      </w:r>
      <w:r w:rsidRPr="00BC5786">
        <w:rPr>
          <w:rFonts w:ascii="Book Antiqua" w:hAnsi="Book Antiqua"/>
        </w:rPr>
        <w:lastRenderedPageBreak/>
        <w:t xml:space="preserve">may be thought to be harmless, clinicians need to consider this supplement in the evaluation of liver enzyme derangement and/or jaundice. </w:t>
      </w:r>
    </w:p>
    <w:p w:rsidR="00DD5B16" w:rsidRPr="00BC5786" w:rsidRDefault="00DD5B16" w:rsidP="009C1A68">
      <w:pPr>
        <w:spacing w:after="0" w:line="360" w:lineRule="auto"/>
        <w:jc w:val="both"/>
        <w:rPr>
          <w:rFonts w:ascii="Book Antiqua" w:hAnsi="Book Antiqua"/>
          <w:lang w:eastAsia="zh-CN"/>
        </w:rPr>
      </w:pPr>
      <w:r w:rsidRPr="00BC5786">
        <w:rPr>
          <w:rFonts w:ascii="Book Antiqua" w:hAnsi="Book Antiqua"/>
        </w:rPr>
        <w:tab/>
      </w:r>
    </w:p>
    <w:p w:rsidR="00DD5B16" w:rsidRPr="00BC5786" w:rsidRDefault="00DD5B16" w:rsidP="009C1A68">
      <w:pPr>
        <w:spacing w:after="0" w:line="360" w:lineRule="auto"/>
        <w:jc w:val="both"/>
        <w:rPr>
          <w:rFonts w:ascii="Book Antiqua" w:hAnsi="Book Antiqua"/>
          <w:b/>
        </w:rPr>
      </w:pPr>
      <w:r w:rsidRPr="00BC5786">
        <w:rPr>
          <w:rFonts w:ascii="Book Antiqua" w:hAnsi="Book Antiqua"/>
          <w:b/>
        </w:rPr>
        <w:t>COMMENTS</w:t>
      </w:r>
    </w:p>
    <w:p w:rsidR="00DD5B16" w:rsidRPr="00BC5786" w:rsidRDefault="00DD5B16" w:rsidP="009C1A68">
      <w:pPr>
        <w:spacing w:after="0" w:line="360" w:lineRule="auto"/>
        <w:jc w:val="both"/>
        <w:rPr>
          <w:rFonts w:ascii="Book Antiqua" w:hAnsi="Book Antiqua"/>
          <w:i/>
        </w:rPr>
      </w:pPr>
      <w:r w:rsidRPr="00BC5786">
        <w:rPr>
          <w:rFonts w:ascii="Book Antiqua" w:hAnsi="Book Antiqua"/>
          <w:b/>
          <w:i/>
        </w:rPr>
        <w:t>Case characteristics</w:t>
      </w:r>
    </w:p>
    <w:p w:rsidR="00DD5B16" w:rsidRPr="00BC5786" w:rsidRDefault="00DD5B16" w:rsidP="009C1A68">
      <w:pPr>
        <w:spacing w:after="0" w:line="360" w:lineRule="auto"/>
        <w:jc w:val="both"/>
        <w:rPr>
          <w:rFonts w:ascii="Book Antiqua" w:hAnsi="Book Antiqua" w:cs="Arial"/>
          <w:color w:val="000000"/>
          <w:lang w:eastAsia="zh-CN"/>
        </w:rPr>
      </w:pPr>
      <w:r w:rsidRPr="00BC5786">
        <w:rPr>
          <w:rFonts w:ascii="Book Antiqua" w:hAnsi="Book Antiqua" w:cs="Arial"/>
          <w:color w:val="000000"/>
        </w:rPr>
        <w:t>A 78-year old man presents with 3 mo of painless jaundice.</w:t>
      </w:r>
    </w:p>
    <w:p w:rsidR="00DD5B16" w:rsidRPr="00BC5786" w:rsidRDefault="00DD5B16" w:rsidP="009C1A68">
      <w:pPr>
        <w:spacing w:after="0" w:line="360" w:lineRule="auto"/>
        <w:jc w:val="both"/>
        <w:rPr>
          <w:rFonts w:ascii="Book Antiqua" w:hAnsi="Book Antiqua"/>
          <w:lang w:eastAsia="zh-CN"/>
        </w:rPr>
      </w:pPr>
    </w:p>
    <w:p w:rsidR="00DD5B16" w:rsidRPr="00BC5786" w:rsidRDefault="00DD5B16" w:rsidP="009C1A68">
      <w:pPr>
        <w:spacing w:after="0" w:line="360" w:lineRule="auto"/>
        <w:jc w:val="both"/>
        <w:rPr>
          <w:rFonts w:ascii="Book Antiqua" w:hAnsi="Book Antiqua" w:cs="??"/>
          <w:b/>
          <w:i/>
          <w:color w:val="000000"/>
        </w:rPr>
      </w:pPr>
      <w:r w:rsidRPr="00BC5786">
        <w:rPr>
          <w:rFonts w:ascii="Book Antiqua" w:hAnsi="Book Antiqua" w:cs="Arial"/>
          <w:b/>
          <w:i/>
          <w:color w:val="000000"/>
        </w:rPr>
        <w:t>Clinical diagnosis</w:t>
      </w:r>
    </w:p>
    <w:p w:rsidR="00DD5B16" w:rsidRPr="00BC5786" w:rsidRDefault="00DD5B16" w:rsidP="009C1A68">
      <w:pPr>
        <w:spacing w:after="0" w:line="360" w:lineRule="auto"/>
        <w:jc w:val="both"/>
        <w:rPr>
          <w:rFonts w:ascii="Book Antiqua" w:hAnsi="Book Antiqua" w:cs="Arial"/>
          <w:color w:val="000000"/>
          <w:lang w:eastAsia="zh-CN"/>
        </w:rPr>
      </w:pPr>
      <w:r w:rsidRPr="00BC5786">
        <w:rPr>
          <w:rFonts w:ascii="Book Antiqua" w:hAnsi="Book Antiqua" w:cs="Arial"/>
          <w:color w:val="000000"/>
        </w:rPr>
        <w:t>The patient clearly had scleral icterus but no other stigmata of chronic liver disease. His abdominal exam revealed no masses</w:t>
      </w:r>
      <w:r w:rsidRPr="00BC5786">
        <w:rPr>
          <w:rFonts w:ascii="Book Antiqua" w:hAnsi="Book Antiqua" w:cs="Arial"/>
          <w:color w:val="000000"/>
          <w:lang w:eastAsia="zh-CN"/>
        </w:rPr>
        <w:t>.</w:t>
      </w:r>
    </w:p>
    <w:p w:rsidR="00DD5B16" w:rsidRPr="00BC5786" w:rsidRDefault="00DD5B16" w:rsidP="009C1A68">
      <w:pPr>
        <w:spacing w:after="0" w:line="360" w:lineRule="auto"/>
        <w:jc w:val="both"/>
        <w:rPr>
          <w:rFonts w:ascii="Book Antiqua" w:hAnsi="Book Antiqua" w:cs="Arial"/>
          <w:color w:val="000000"/>
          <w:lang w:eastAsia="zh-CN"/>
        </w:rPr>
      </w:pPr>
    </w:p>
    <w:p w:rsidR="00DD5B16" w:rsidRPr="00BC5786" w:rsidRDefault="00DD5B16" w:rsidP="009C1A68">
      <w:pPr>
        <w:spacing w:after="0" w:line="360" w:lineRule="auto"/>
        <w:jc w:val="both"/>
        <w:rPr>
          <w:rFonts w:ascii="Book Antiqua" w:hAnsi="Book Antiqua" w:cs="Arial"/>
          <w:b/>
          <w:i/>
          <w:color w:val="000000"/>
        </w:rPr>
      </w:pPr>
      <w:r w:rsidRPr="00BC5786">
        <w:rPr>
          <w:rFonts w:ascii="Book Antiqua" w:hAnsi="Book Antiqua" w:cs="Arial"/>
          <w:b/>
          <w:i/>
          <w:color w:val="000000"/>
        </w:rPr>
        <w:t>Differential diagnosis</w:t>
      </w:r>
    </w:p>
    <w:p w:rsidR="00DD5B16" w:rsidRPr="00BC5786" w:rsidRDefault="00DD5B16" w:rsidP="009C1A68">
      <w:pPr>
        <w:spacing w:after="0" w:line="360" w:lineRule="auto"/>
        <w:jc w:val="both"/>
        <w:rPr>
          <w:rFonts w:ascii="Book Antiqua" w:hAnsi="Book Antiqua" w:cs="Arial"/>
          <w:color w:val="000000"/>
          <w:lang w:eastAsia="zh-CN"/>
        </w:rPr>
      </w:pPr>
      <w:r w:rsidRPr="00BC5786">
        <w:rPr>
          <w:rFonts w:ascii="Book Antiqua" w:hAnsi="Book Antiqua" w:cs="Arial"/>
          <w:color w:val="000000"/>
        </w:rPr>
        <w:t>Medication (</w:t>
      </w:r>
      <w:r w:rsidRPr="00BC5786">
        <w:rPr>
          <w:rFonts w:ascii="Book Antiqua" w:hAnsi="Book Antiqua" w:cs="Arial"/>
          <w:i/>
          <w:color w:val="000000"/>
        </w:rPr>
        <w:t>e.g.</w:t>
      </w:r>
      <w:r w:rsidRPr="00BC5786">
        <w:rPr>
          <w:rFonts w:ascii="Book Antiqua" w:hAnsi="Book Antiqua" w:cs="Arial"/>
          <w:color w:val="000000"/>
          <w:lang w:eastAsia="zh-CN"/>
        </w:rPr>
        <w:t>,</w:t>
      </w:r>
      <w:r w:rsidRPr="00BC5786">
        <w:rPr>
          <w:rFonts w:ascii="Book Antiqua" w:hAnsi="Book Antiqua" w:cs="Arial"/>
          <w:color w:val="000000"/>
        </w:rPr>
        <w:t xml:space="preserve"> over-the-counter), malignant (</w:t>
      </w:r>
      <w:r w:rsidRPr="00BC5786">
        <w:rPr>
          <w:rFonts w:ascii="Book Antiqua" w:hAnsi="Book Antiqua" w:cs="Arial"/>
          <w:i/>
          <w:color w:val="000000"/>
        </w:rPr>
        <w:t>e.g.</w:t>
      </w:r>
      <w:r w:rsidRPr="00BC5786">
        <w:rPr>
          <w:rFonts w:ascii="Book Antiqua" w:hAnsi="Book Antiqua" w:cs="Arial"/>
          <w:color w:val="000000"/>
          <w:lang w:eastAsia="zh-CN"/>
        </w:rPr>
        <w:t>,</w:t>
      </w:r>
      <w:r w:rsidRPr="00BC5786">
        <w:rPr>
          <w:rFonts w:ascii="Book Antiqua" w:hAnsi="Book Antiqua" w:cs="Arial"/>
          <w:color w:val="000000"/>
        </w:rPr>
        <w:t xml:space="preserve"> pancreatic cancer), benign obstruction (</w:t>
      </w:r>
      <w:r w:rsidRPr="00BC5786">
        <w:rPr>
          <w:rFonts w:ascii="Book Antiqua" w:hAnsi="Book Antiqua" w:cs="Arial"/>
          <w:i/>
          <w:color w:val="000000"/>
        </w:rPr>
        <w:t>e.g.</w:t>
      </w:r>
      <w:r w:rsidRPr="00BC5786">
        <w:rPr>
          <w:rFonts w:ascii="Book Antiqua" w:hAnsi="Book Antiqua" w:cs="Arial"/>
          <w:color w:val="000000"/>
          <w:lang w:eastAsia="zh-CN"/>
        </w:rPr>
        <w:t>,</w:t>
      </w:r>
      <w:r w:rsidRPr="00BC5786">
        <w:rPr>
          <w:rFonts w:ascii="Book Antiqua" w:hAnsi="Book Antiqua" w:cs="Arial"/>
          <w:color w:val="000000"/>
        </w:rPr>
        <w:t xml:space="preserve"> gallstones), autoimmune hepatitis</w:t>
      </w:r>
      <w:r w:rsidRPr="00BC5786">
        <w:rPr>
          <w:rFonts w:ascii="Book Antiqua" w:hAnsi="Book Antiqua" w:cs="Arial"/>
          <w:color w:val="000000"/>
          <w:lang w:eastAsia="zh-CN"/>
        </w:rPr>
        <w:t>.</w:t>
      </w:r>
    </w:p>
    <w:p w:rsidR="00DD5B16" w:rsidRPr="00BC5786" w:rsidRDefault="00DD5B16" w:rsidP="009C1A68">
      <w:pPr>
        <w:spacing w:after="0" w:line="360" w:lineRule="auto"/>
        <w:jc w:val="both"/>
        <w:rPr>
          <w:rFonts w:ascii="Book Antiqua" w:hAnsi="Book Antiqua" w:cs="Arial"/>
          <w:b/>
          <w:color w:val="000000"/>
        </w:rPr>
      </w:pPr>
      <w:r w:rsidRPr="00BC5786">
        <w:rPr>
          <w:rFonts w:ascii="Book Antiqua" w:hAnsi="Book Antiqua" w:cs="Arial"/>
          <w:color w:val="000000"/>
        </w:rPr>
        <w:t xml:space="preserve">  </w:t>
      </w:r>
    </w:p>
    <w:p w:rsidR="00DD5B16" w:rsidRPr="00BC5786" w:rsidRDefault="00DD5B16" w:rsidP="009C1A68">
      <w:pPr>
        <w:spacing w:after="0" w:line="360" w:lineRule="auto"/>
        <w:jc w:val="both"/>
        <w:rPr>
          <w:rFonts w:ascii="Book Antiqua" w:hAnsi="Book Antiqua" w:cs="Arial"/>
          <w:b/>
          <w:i/>
          <w:color w:val="000000"/>
        </w:rPr>
      </w:pPr>
      <w:r w:rsidRPr="00BC5786">
        <w:rPr>
          <w:rFonts w:ascii="Book Antiqua" w:hAnsi="Book Antiqua" w:cs="Arial"/>
          <w:b/>
          <w:i/>
          <w:color w:val="000000"/>
        </w:rPr>
        <w:t>Laboratory diagnosis</w:t>
      </w:r>
    </w:p>
    <w:p w:rsidR="00DD5B16" w:rsidRPr="00BC5786" w:rsidRDefault="00DD5B16" w:rsidP="009C1A68">
      <w:pPr>
        <w:spacing w:after="0" w:line="360" w:lineRule="auto"/>
        <w:jc w:val="both"/>
        <w:rPr>
          <w:rFonts w:ascii="Book Antiqua" w:hAnsi="Book Antiqua"/>
          <w:lang w:eastAsia="zh-CN"/>
        </w:rPr>
      </w:pPr>
      <w:r w:rsidRPr="00BC5786">
        <w:rPr>
          <w:rFonts w:ascii="Book Antiqua" w:hAnsi="Book Antiqua"/>
        </w:rPr>
        <w:t>His bloodwork revealed significant hyperbilirubinemia of 470 mol/L (normal is &lt;</w:t>
      </w:r>
      <w:r w:rsidRPr="00BC5786">
        <w:rPr>
          <w:rFonts w:ascii="Book Antiqua" w:hAnsi="Book Antiqua"/>
          <w:lang w:eastAsia="zh-CN"/>
        </w:rPr>
        <w:t xml:space="preserve"> </w:t>
      </w:r>
      <w:r w:rsidRPr="00BC5786">
        <w:rPr>
          <w:rFonts w:ascii="Book Antiqua" w:hAnsi="Book Antiqua"/>
        </w:rPr>
        <w:t xml:space="preserve">18 mol/L) with relatively preserved liver enzymes and liver function tests. </w:t>
      </w:r>
    </w:p>
    <w:p w:rsidR="00DD5B16" w:rsidRPr="00BC5786" w:rsidRDefault="00DD5B16" w:rsidP="009C1A68">
      <w:pPr>
        <w:spacing w:after="0" w:line="360" w:lineRule="auto"/>
        <w:jc w:val="both"/>
        <w:rPr>
          <w:rFonts w:ascii="Book Antiqua" w:hAnsi="Book Antiqua" w:cs="Arial"/>
          <w:b/>
          <w:color w:val="000000"/>
          <w:lang w:eastAsia="zh-CN"/>
        </w:rPr>
      </w:pPr>
    </w:p>
    <w:p w:rsidR="00DD5B16" w:rsidRPr="00BC5786" w:rsidRDefault="00DD5B16" w:rsidP="009C1A68">
      <w:pPr>
        <w:tabs>
          <w:tab w:val="center" w:pos="4153"/>
        </w:tabs>
        <w:spacing w:after="0" w:line="360" w:lineRule="auto"/>
        <w:jc w:val="both"/>
        <w:rPr>
          <w:rFonts w:ascii="Book Antiqua" w:hAnsi="Book Antiqua" w:cs="Arial"/>
          <w:b/>
          <w:i/>
          <w:color w:val="000000"/>
        </w:rPr>
      </w:pPr>
      <w:r w:rsidRPr="00BC5786">
        <w:rPr>
          <w:rFonts w:ascii="Book Antiqua" w:hAnsi="Book Antiqua" w:cs="Arial"/>
          <w:b/>
          <w:i/>
          <w:color w:val="000000"/>
        </w:rPr>
        <w:t>Imaging diagnosis</w:t>
      </w:r>
    </w:p>
    <w:p w:rsidR="00DD5B16" w:rsidRPr="00BC5786" w:rsidRDefault="00DD5B16" w:rsidP="009C1A68">
      <w:pPr>
        <w:spacing w:after="0" w:line="360" w:lineRule="auto"/>
        <w:jc w:val="both"/>
        <w:rPr>
          <w:rFonts w:ascii="Book Antiqua" w:hAnsi="Book Antiqua" w:cs="Arial"/>
          <w:color w:val="000000"/>
          <w:lang w:eastAsia="zh-CN"/>
        </w:rPr>
      </w:pPr>
      <w:r w:rsidRPr="00BC5786">
        <w:rPr>
          <w:rFonts w:ascii="Book Antiqua" w:hAnsi="Book Antiqua" w:cs="Arial"/>
          <w:color w:val="000000"/>
        </w:rPr>
        <w:t xml:space="preserve">He has multiple normal abdominal ultrasounds, </w:t>
      </w:r>
      <w:r w:rsidRPr="00BC5786">
        <w:rPr>
          <w:rFonts w:ascii="Book Antiqua" w:hAnsi="Book Antiqua"/>
        </w:rPr>
        <w:t>endoscopic retrograde cholangiopancreatographies</w:t>
      </w:r>
      <w:r w:rsidRPr="00BC5786">
        <w:rPr>
          <w:rFonts w:ascii="Book Antiqua" w:hAnsi="Book Antiqua" w:cs="Arial"/>
          <w:color w:val="000000"/>
        </w:rPr>
        <w:t xml:space="preserve"> and a </w:t>
      </w:r>
      <w:r w:rsidRPr="00BC5786">
        <w:rPr>
          <w:rFonts w:ascii="Book Antiqua" w:hAnsi="Book Antiqua"/>
        </w:rPr>
        <w:t>magnetic resonance cholangiopancreatography</w:t>
      </w:r>
      <w:r w:rsidRPr="00BC5786">
        <w:rPr>
          <w:rFonts w:ascii="Book Antiqua" w:hAnsi="Book Antiqua" w:cs="Arial"/>
          <w:color w:val="000000"/>
        </w:rPr>
        <w:t>.</w:t>
      </w:r>
    </w:p>
    <w:p w:rsidR="00DD5B16" w:rsidRPr="00BC5786" w:rsidRDefault="00DD5B16" w:rsidP="009C1A68">
      <w:pPr>
        <w:spacing w:after="0" w:line="360" w:lineRule="auto"/>
        <w:jc w:val="both"/>
        <w:rPr>
          <w:rFonts w:ascii="Book Antiqua" w:hAnsi="Book Antiqua" w:cs="Arial"/>
          <w:color w:val="000000"/>
          <w:lang w:eastAsia="zh-CN"/>
        </w:rPr>
      </w:pPr>
    </w:p>
    <w:p w:rsidR="00DD5B16" w:rsidRPr="00BC5786" w:rsidRDefault="00DD5B16" w:rsidP="009C1A68">
      <w:pPr>
        <w:spacing w:after="0" w:line="360" w:lineRule="auto"/>
        <w:jc w:val="both"/>
        <w:rPr>
          <w:rFonts w:ascii="Book Antiqua" w:hAnsi="Book Antiqua" w:cs="Arial"/>
          <w:b/>
          <w:i/>
          <w:color w:val="000000"/>
        </w:rPr>
      </w:pPr>
      <w:r w:rsidRPr="00BC5786">
        <w:rPr>
          <w:rFonts w:ascii="Book Antiqua" w:hAnsi="Book Antiqua" w:cs="Arial"/>
          <w:b/>
          <w:i/>
          <w:color w:val="000000"/>
        </w:rPr>
        <w:t>Pathological diagnosis</w:t>
      </w:r>
    </w:p>
    <w:p w:rsidR="00DD5B16" w:rsidRPr="00BC5786" w:rsidRDefault="00DD5B16" w:rsidP="009C1A68">
      <w:pPr>
        <w:spacing w:after="0" w:line="360" w:lineRule="auto"/>
        <w:jc w:val="both"/>
        <w:rPr>
          <w:rFonts w:ascii="Book Antiqua" w:hAnsi="Book Antiqua" w:cs="Arial"/>
          <w:color w:val="000000"/>
          <w:lang w:eastAsia="zh-CN"/>
        </w:rPr>
      </w:pPr>
      <w:r w:rsidRPr="00BC5786">
        <w:rPr>
          <w:rFonts w:ascii="Book Antiqua" w:hAnsi="Book Antiqua" w:cs="Arial"/>
          <w:color w:val="000000"/>
        </w:rPr>
        <w:t xml:space="preserve">The liver biopsy was consisted with drug-related cholestasis. </w:t>
      </w:r>
    </w:p>
    <w:p w:rsidR="00DD5B16" w:rsidRPr="00BC5786" w:rsidRDefault="00DD5B16" w:rsidP="009C1A68">
      <w:pPr>
        <w:spacing w:after="0" w:line="360" w:lineRule="auto"/>
        <w:jc w:val="both"/>
        <w:rPr>
          <w:rFonts w:ascii="Book Antiqua" w:hAnsi="Book Antiqua" w:cs="Arial"/>
          <w:color w:val="000000"/>
          <w:lang w:eastAsia="zh-CN"/>
        </w:rPr>
      </w:pPr>
    </w:p>
    <w:p w:rsidR="00DD5B16" w:rsidRPr="00BC5786" w:rsidRDefault="00DD5B16" w:rsidP="009C1A68">
      <w:pPr>
        <w:spacing w:after="0" w:line="360" w:lineRule="auto"/>
        <w:jc w:val="both"/>
        <w:rPr>
          <w:rFonts w:ascii="Book Antiqua" w:hAnsi="Book Antiqua" w:cs="Arial"/>
          <w:b/>
          <w:i/>
          <w:color w:val="000000"/>
        </w:rPr>
      </w:pPr>
      <w:r w:rsidRPr="00BC5786">
        <w:rPr>
          <w:rFonts w:ascii="Book Antiqua" w:hAnsi="Book Antiqua" w:cs="Arial"/>
          <w:b/>
          <w:i/>
          <w:color w:val="000000"/>
        </w:rPr>
        <w:t>Treatment</w:t>
      </w:r>
    </w:p>
    <w:p w:rsidR="00DD5B16" w:rsidRPr="00BC5786" w:rsidRDefault="00DD5B16" w:rsidP="009C1A68">
      <w:pPr>
        <w:spacing w:after="0" w:line="360" w:lineRule="auto"/>
        <w:jc w:val="both"/>
        <w:rPr>
          <w:rFonts w:ascii="Book Antiqua" w:hAnsi="Book Antiqua" w:cs="Arial"/>
          <w:color w:val="000000"/>
          <w:lang w:eastAsia="zh-CN"/>
        </w:rPr>
      </w:pPr>
      <w:r w:rsidRPr="00BC5786">
        <w:rPr>
          <w:rFonts w:ascii="Book Antiqua" w:hAnsi="Book Antiqua" w:cs="Arial"/>
          <w:color w:val="000000"/>
        </w:rPr>
        <w:t>His glucosamine and chondroitin sulfate supplements were stopped.</w:t>
      </w:r>
    </w:p>
    <w:p w:rsidR="00DD5B16" w:rsidRPr="00BC5786" w:rsidRDefault="00DD5B16" w:rsidP="009C1A68">
      <w:pPr>
        <w:spacing w:after="0" w:line="360" w:lineRule="auto"/>
        <w:jc w:val="both"/>
        <w:rPr>
          <w:rFonts w:ascii="Book Antiqua" w:hAnsi="Book Antiqua" w:cs="Arial"/>
          <w:color w:val="000000"/>
          <w:lang w:eastAsia="zh-CN"/>
        </w:rPr>
      </w:pPr>
    </w:p>
    <w:p w:rsidR="00DD5B16" w:rsidRPr="00BC5786" w:rsidRDefault="00DD5B16" w:rsidP="009C1A68">
      <w:pPr>
        <w:spacing w:after="0" w:line="360" w:lineRule="auto"/>
        <w:jc w:val="both"/>
        <w:rPr>
          <w:rFonts w:ascii="Book Antiqua" w:hAnsi="Book Antiqua" w:cs="Arial"/>
          <w:b/>
          <w:i/>
          <w:color w:val="000000"/>
        </w:rPr>
      </w:pPr>
      <w:r w:rsidRPr="00BC5786">
        <w:rPr>
          <w:rFonts w:ascii="Book Antiqua" w:hAnsi="Book Antiqua"/>
          <w:b/>
          <w:i/>
        </w:rPr>
        <w:t>Related reports</w:t>
      </w:r>
    </w:p>
    <w:p w:rsidR="00DD5B16" w:rsidRPr="00BC5786" w:rsidRDefault="00DD5B16" w:rsidP="009C1A68">
      <w:pPr>
        <w:spacing w:after="0" w:line="360" w:lineRule="auto"/>
        <w:jc w:val="both"/>
        <w:rPr>
          <w:rFonts w:ascii="Book Antiqua" w:hAnsi="Book Antiqua"/>
          <w:lang w:eastAsia="zh-CN"/>
        </w:rPr>
      </w:pPr>
      <w:r w:rsidRPr="00BC5786">
        <w:rPr>
          <w:rFonts w:ascii="Book Antiqua" w:hAnsi="Book Antiqua" w:cs="Arial"/>
          <w:color w:val="000000"/>
        </w:rPr>
        <w:lastRenderedPageBreak/>
        <w:t>There have been only two reports of drug-related cholestasis with glucosamine and/or chondroitin sulfate</w:t>
      </w:r>
      <w:r w:rsidRPr="00BC5786">
        <w:rPr>
          <w:rFonts w:ascii="Book Antiqua" w:hAnsi="Book Antiqua"/>
        </w:rPr>
        <w:t>.</w:t>
      </w:r>
    </w:p>
    <w:p w:rsidR="00DD5B16" w:rsidRPr="00BC5786" w:rsidRDefault="00DD5B16" w:rsidP="009C1A68">
      <w:pPr>
        <w:spacing w:after="0" w:line="360" w:lineRule="auto"/>
        <w:jc w:val="both"/>
        <w:rPr>
          <w:rFonts w:ascii="Book Antiqua" w:hAnsi="Book Antiqua"/>
          <w:lang w:eastAsia="zh-CN"/>
        </w:rPr>
      </w:pPr>
    </w:p>
    <w:p w:rsidR="00DD5B16" w:rsidRPr="00BC5786" w:rsidRDefault="00DD5B16" w:rsidP="009C1A68">
      <w:pPr>
        <w:spacing w:after="0" w:line="360" w:lineRule="auto"/>
        <w:jc w:val="both"/>
        <w:rPr>
          <w:rFonts w:ascii="Book Antiqua" w:hAnsi="Book Antiqua"/>
          <w:b/>
          <w:i/>
        </w:rPr>
      </w:pPr>
      <w:r w:rsidRPr="00BC5786">
        <w:rPr>
          <w:rFonts w:ascii="Book Antiqua" w:hAnsi="Book Antiqua"/>
          <w:b/>
          <w:i/>
        </w:rPr>
        <w:t xml:space="preserve">Term explanation </w:t>
      </w:r>
    </w:p>
    <w:p w:rsidR="00DD5B16" w:rsidRPr="00BC5786" w:rsidRDefault="00DD5B16" w:rsidP="009C1A68">
      <w:pPr>
        <w:spacing w:after="0" w:line="360" w:lineRule="auto"/>
        <w:jc w:val="both"/>
        <w:rPr>
          <w:rFonts w:ascii="Book Antiqua" w:hAnsi="Book Antiqua"/>
          <w:lang w:eastAsia="zh-CN"/>
        </w:rPr>
      </w:pPr>
      <w:r w:rsidRPr="00BC5786">
        <w:rPr>
          <w:rFonts w:ascii="Book Antiqua" w:hAnsi="Book Antiqua" w:cs="Arial"/>
          <w:color w:val="000000"/>
        </w:rPr>
        <w:t>Glucosamine and chondroitin sulfate are commonly available over-the-counter supplements in the treatment of osteoarthritis</w:t>
      </w:r>
      <w:r w:rsidRPr="00BC5786">
        <w:rPr>
          <w:rFonts w:ascii="Book Antiqua" w:hAnsi="Book Antiqua"/>
        </w:rPr>
        <w:t>.</w:t>
      </w:r>
    </w:p>
    <w:p w:rsidR="00DD5B16" w:rsidRPr="00BC5786" w:rsidRDefault="00DD5B16" w:rsidP="009C1A68">
      <w:pPr>
        <w:spacing w:after="0" w:line="360" w:lineRule="auto"/>
        <w:jc w:val="both"/>
        <w:rPr>
          <w:rFonts w:ascii="Book Antiqua" w:hAnsi="Book Antiqua"/>
          <w:lang w:eastAsia="zh-CN"/>
        </w:rPr>
      </w:pPr>
    </w:p>
    <w:p w:rsidR="00DD5B16" w:rsidRPr="00BC5786" w:rsidRDefault="00DD5B16" w:rsidP="009C1A68">
      <w:pPr>
        <w:spacing w:after="0" w:line="360" w:lineRule="auto"/>
        <w:jc w:val="both"/>
        <w:rPr>
          <w:rFonts w:ascii="Book Antiqua" w:hAnsi="Book Antiqua" w:cs="Arial"/>
          <w:b/>
          <w:i/>
          <w:color w:val="000000"/>
        </w:rPr>
      </w:pPr>
      <w:r w:rsidRPr="00BC5786">
        <w:rPr>
          <w:rFonts w:ascii="Book Antiqua" w:hAnsi="Book Antiqua" w:cs="Arial"/>
          <w:b/>
          <w:i/>
          <w:color w:val="000000"/>
        </w:rPr>
        <w:t>Experiences and lessons</w:t>
      </w:r>
    </w:p>
    <w:p w:rsidR="00DD5B16" w:rsidRPr="00BC5786" w:rsidRDefault="00DD5B16" w:rsidP="009C1A68">
      <w:pPr>
        <w:spacing w:after="0" w:line="360" w:lineRule="auto"/>
        <w:jc w:val="both"/>
        <w:rPr>
          <w:rFonts w:ascii="Book Antiqua" w:hAnsi="Book Antiqua" w:cs="Arial"/>
          <w:color w:val="000000"/>
          <w:lang w:eastAsia="zh-CN"/>
        </w:rPr>
      </w:pPr>
      <w:r w:rsidRPr="00BC5786">
        <w:rPr>
          <w:rFonts w:ascii="Book Antiqua" w:hAnsi="Book Antiqua" w:cs="Arial"/>
          <w:color w:val="000000"/>
        </w:rPr>
        <w:t>A complete drug history, especially over-the-counter medications, are important in the evaluation of liver enzyme derangement and/or jaundice.</w:t>
      </w:r>
    </w:p>
    <w:p w:rsidR="00DD5B16" w:rsidRPr="00BC5786" w:rsidRDefault="00DD5B16" w:rsidP="009C1A68">
      <w:pPr>
        <w:spacing w:after="0" w:line="360" w:lineRule="auto"/>
        <w:jc w:val="both"/>
        <w:rPr>
          <w:rFonts w:ascii="Book Antiqua" w:hAnsi="Book Antiqua"/>
          <w:b/>
          <w:lang w:eastAsia="zh-CN"/>
        </w:rPr>
      </w:pPr>
    </w:p>
    <w:p w:rsidR="00DD5B16" w:rsidRPr="00BC5786" w:rsidRDefault="00DD5B16" w:rsidP="009C1A68">
      <w:pPr>
        <w:spacing w:after="0" w:line="360" w:lineRule="auto"/>
        <w:jc w:val="both"/>
        <w:rPr>
          <w:rFonts w:ascii="Book Antiqua" w:hAnsi="Book Antiqua"/>
          <w:b/>
          <w:i/>
        </w:rPr>
      </w:pPr>
      <w:r w:rsidRPr="00BC5786">
        <w:rPr>
          <w:rFonts w:ascii="Book Antiqua" w:hAnsi="Book Antiqua"/>
          <w:b/>
          <w:i/>
        </w:rPr>
        <w:t>Peer</w:t>
      </w:r>
      <w:r w:rsidRPr="00BC5786">
        <w:rPr>
          <w:rFonts w:ascii="Book Antiqua" w:hAnsi="Book Antiqua"/>
          <w:b/>
          <w:i/>
          <w:lang w:eastAsia="zh-CN"/>
        </w:rPr>
        <w:t>-</w:t>
      </w:r>
      <w:r w:rsidRPr="00BC5786">
        <w:rPr>
          <w:rFonts w:ascii="Book Antiqua" w:hAnsi="Book Antiqua"/>
          <w:b/>
          <w:i/>
        </w:rPr>
        <w:t>review</w:t>
      </w:r>
    </w:p>
    <w:p w:rsidR="00DD5B16" w:rsidRPr="00BC5786" w:rsidRDefault="00DD5B16" w:rsidP="009C1A68">
      <w:pPr>
        <w:spacing w:after="0" w:line="360" w:lineRule="auto"/>
        <w:jc w:val="both"/>
        <w:rPr>
          <w:rFonts w:ascii="Book Antiqua" w:hAnsi="Book Antiqua" w:cs="Arial"/>
          <w:color w:val="000000"/>
          <w:lang w:eastAsia="zh-CN"/>
        </w:rPr>
      </w:pPr>
      <w:r w:rsidRPr="00BC5786">
        <w:rPr>
          <w:rFonts w:ascii="Book Antiqua" w:hAnsi="Book Antiqua"/>
          <w:lang w:eastAsia="zh-CN"/>
        </w:rPr>
        <w:t xml:space="preserve">This is a </w:t>
      </w:r>
      <w:r w:rsidRPr="00BC5786">
        <w:rPr>
          <w:rFonts w:ascii="Book Antiqua" w:hAnsi="Book Antiqua"/>
        </w:rPr>
        <w:t>good instructive case which will benefit readers</w:t>
      </w:r>
      <w:r w:rsidRPr="00BC5786">
        <w:rPr>
          <w:rFonts w:ascii="Book Antiqua" w:hAnsi="Book Antiqua" w:cs="Arial"/>
          <w:color w:val="000000"/>
          <w:lang w:eastAsia="zh-CN"/>
        </w:rPr>
        <w:t>.</w:t>
      </w:r>
    </w:p>
    <w:p w:rsidR="00DD5B16" w:rsidRPr="00BC5786" w:rsidRDefault="00DD5B16" w:rsidP="009C1A68">
      <w:pPr>
        <w:spacing w:after="0" w:line="360" w:lineRule="auto"/>
        <w:jc w:val="both"/>
        <w:rPr>
          <w:rFonts w:ascii="Book Antiqua" w:hAnsi="Book Antiqua"/>
        </w:rPr>
      </w:pPr>
      <w:r w:rsidRPr="00BC5786">
        <w:rPr>
          <w:rFonts w:ascii="Book Antiqua" w:hAnsi="Book Antiqua" w:cs="Arial"/>
          <w:color w:val="000000"/>
        </w:rPr>
        <w:br w:type="page"/>
      </w:r>
      <w:r w:rsidRPr="00BC5786">
        <w:rPr>
          <w:rFonts w:ascii="Book Antiqua" w:hAnsi="Book Antiqua"/>
          <w:b/>
        </w:rPr>
        <w:lastRenderedPageBreak/>
        <w:t>REFERENCES</w:t>
      </w:r>
    </w:p>
    <w:p w:rsidR="00DD5B16" w:rsidRPr="00BC5786" w:rsidRDefault="00DD5B16" w:rsidP="009C1A68">
      <w:pPr>
        <w:spacing w:after="0" w:line="360" w:lineRule="auto"/>
        <w:jc w:val="both"/>
        <w:rPr>
          <w:rFonts w:ascii="Book Antiqua" w:hAnsi="Book Antiqua" w:cs="??"/>
          <w:color w:val="000000"/>
        </w:rPr>
      </w:pPr>
      <w:r w:rsidRPr="00BC5786">
        <w:rPr>
          <w:rFonts w:ascii="Book Antiqua" w:hAnsi="Book Antiqua" w:cs="??"/>
          <w:color w:val="000000"/>
        </w:rPr>
        <w:t>1 </w:t>
      </w:r>
      <w:r w:rsidRPr="00BC5786">
        <w:rPr>
          <w:rFonts w:ascii="Book Antiqua" w:hAnsi="Book Antiqua" w:cs="??"/>
          <w:b/>
          <w:bCs/>
          <w:color w:val="000000"/>
        </w:rPr>
        <w:t>Clegg DO</w:t>
      </w:r>
      <w:r w:rsidRPr="00BC5786">
        <w:rPr>
          <w:rFonts w:ascii="Book Antiqua" w:hAnsi="Book Antiqua" w:cs="??"/>
          <w:color w:val="000000"/>
        </w:rPr>
        <w:t>, Reda DJ, Harris CL, Klein MA, O'Dell JR, Hooper MM, Bradley JD, Bingham CO, Weisman MH, Jackson CG, Lane NE, Cush JJ, Moreland LW, Schumacher HR, Oddis CV, Wolfe F, Molitor JA, Yocum DE, Schnitzer TJ, Furst DE, Sawitzke AD, Shi H, Brandt KD, Moskowitz RW, Williams HJ. Glucosamine, chondroitin sulfate, and the two in combination for painful knee osteoarthritis. </w:t>
      </w:r>
      <w:r w:rsidRPr="00BC5786">
        <w:rPr>
          <w:rFonts w:ascii="Book Antiqua" w:hAnsi="Book Antiqua" w:cs="??"/>
          <w:i/>
          <w:iCs/>
          <w:color w:val="000000"/>
        </w:rPr>
        <w:t>N Engl J Med</w:t>
      </w:r>
      <w:r w:rsidRPr="00BC5786">
        <w:rPr>
          <w:rFonts w:ascii="Book Antiqua" w:hAnsi="Book Antiqua" w:cs="??"/>
          <w:color w:val="000000"/>
        </w:rPr>
        <w:t> 2006; </w:t>
      </w:r>
      <w:r w:rsidRPr="00BC5786">
        <w:rPr>
          <w:rFonts w:ascii="Book Antiqua" w:hAnsi="Book Antiqua" w:cs="??"/>
          <w:b/>
          <w:bCs/>
          <w:color w:val="000000"/>
        </w:rPr>
        <w:t>354</w:t>
      </w:r>
      <w:r w:rsidRPr="00BC5786">
        <w:rPr>
          <w:rFonts w:ascii="Book Antiqua" w:hAnsi="Book Antiqua" w:cs="??"/>
          <w:color w:val="000000"/>
        </w:rPr>
        <w:t>: 795-808 [PMID: 16495392</w:t>
      </w:r>
      <w:r w:rsidRPr="00BC5786">
        <w:rPr>
          <w:rFonts w:ascii="Book Antiqua" w:hAnsi="Book Antiqua" w:cs="??"/>
          <w:color w:val="000000"/>
          <w:lang w:eastAsia="zh-CN"/>
        </w:rPr>
        <w:t xml:space="preserve"> DOI: </w:t>
      </w:r>
      <w:r w:rsidRPr="00BC5786">
        <w:rPr>
          <w:rFonts w:ascii="Book Antiqua" w:hAnsi="Book Antiqua"/>
          <w:shd w:val="clear" w:color="auto" w:fill="FFFFFF"/>
        </w:rPr>
        <w:t>10.1056/NEJMoa052771</w:t>
      </w:r>
      <w:r w:rsidRPr="00BC5786">
        <w:rPr>
          <w:rFonts w:ascii="Book Antiqua" w:hAnsi="Book Antiqua" w:cs="??"/>
          <w:color w:val="000000"/>
        </w:rPr>
        <w:t>]</w:t>
      </w:r>
    </w:p>
    <w:p w:rsidR="00DD5B16" w:rsidRPr="00BC5786" w:rsidRDefault="00DD5B16" w:rsidP="009C1A68">
      <w:pPr>
        <w:spacing w:after="0" w:line="360" w:lineRule="auto"/>
        <w:jc w:val="both"/>
        <w:rPr>
          <w:rFonts w:ascii="Book Antiqua" w:hAnsi="Book Antiqua" w:cs="??"/>
          <w:color w:val="000000"/>
        </w:rPr>
      </w:pPr>
      <w:r w:rsidRPr="00BC5786">
        <w:rPr>
          <w:rFonts w:ascii="Book Antiqua" w:hAnsi="Book Antiqua" w:cs="??"/>
          <w:color w:val="000000"/>
        </w:rPr>
        <w:t>2 </w:t>
      </w:r>
      <w:r w:rsidRPr="00BC5786">
        <w:rPr>
          <w:rFonts w:ascii="Book Antiqua" w:hAnsi="Book Antiqua" w:cs="??"/>
          <w:b/>
          <w:bCs/>
          <w:color w:val="000000"/>
        </w:rPr>
        <w:t>Sawitzke AD</w:t>
      </w:r>
      <w:r w:rsidRPr="00BC5786">
        <w:rPr>
          <w:rFonts w:ascii="Book Antiqua" w:hAnsi="Book Antiqua" w:cs="??"/>
          <w:color w:val="000000"/>
        </w:rPr>
        <w:t>, Shi H, Finco MF, Dunlop DD, Harris CL, Singer NG, Bradley JD, Silver D, Jackson CG, Lane NE, Oddis CV, Wolfe F, Lisse J, Furst DE, Bingham CO, Reda DJ, Moskowitz RW, Williams HJ, Clegg DO. Clinical efficacy and safety of glucosamine, chondroitin sulphate, their combination, celecoxib or placebo taken to treat osteoarthritis of the knee: 2-year results from GAIT. </w:t>
      </w:r>
      <w:r w:rsidRPr="00BC5786">
        <w:rPr>
          <w:rFonts w:ascii="Book Antiqua" w:hAnsi="Book Antiqua" w:cs="??"/>
          <w:i/>
          <w:iCs/>
          <w:color w:val="000000"/>
        </w:rPr>
        <w:t>Ann Rheum Dis</w:t>
      </w:r>
      <w:r w:rsidRPr="00BC5786">
        <w:rPr>
          <w:rFonts w:ascii="Book Antiqua" w:hAnsi="Book Antiqua" w:cs="??"/>
          <w:color w:val="000000"/>
        </w:rPr>
        <w:t> 2010; </w:t>
      </w:r>
      <w:r w:rsidRPr="00BC5786">
        <w:rPr>
          <w:rFonts w:ascii="Book Antiqua" w:hAnsi="Book Antiqua" w:cs="??"/>
          <w:b/>
          <w:bCs/>
          <w:color w:val="000000"/>
        </w:rPr>
        <w:t>69</w:t>
      </w:r>
      <w:r w:rsidRPr="00BC5786">
        <w:rPr>
          <w:rFonts w:ascii="Book Antiqua" w:hAnsi="Book Antiqua" w:cs="??"/>
          <w:color w:val="000000"/>
        </w:rPr>
        <w:t>: 1459-1464 [PMID: 20525840 DOI: 10.1136/ard.2009.120469]</w:t>
      </w:r>
    </w:p>
    <w:p w:rsidR="00DD5B16" w:rsidRPr="00BC5786" w:rsidRDefault="00DD5B16" w:rsidP="009C1A68">
      <w:pPr>
        <w:spacing w:after="0" w:line="360" w:lineRule="auto"/>
        <w:jc w:val="both"/>
        <w:rPr>
          <w:rFonts w:ascii="Book Antiqua" w:hAnsi="Book Antiqua" w:cs="??"/>
          <w:color w:val="000000"/>
        </w:rPr>
      </w:pPr>
      <w:r w:rsidRPr="00BC5786">
        <w:rPr>
          <w:rFonts w:ascii="Book Antiqua" w:hAnsi="Book Antiqua" w:cs="??"/>
          <w:color w:val="000000"/>
        </w:rPr>
        <w:t>3 </w:t>
      </w:r>
      <w:r w:rsidRPr="00BC5786">
        <w:rPr>
          <w:rFonts w:ascii="Book Antiqua" w:hAnsi="Book Antiqua" w:cs="??"/>
          <w:b/>
          <w:bCs/>
          <w:color w:val="000000"/>
        </w:rPr>
        <w:t>Cerda C</w:t>
      </w:r>
      <w:r w:rsidRPr="00BC5786">
        <w:rPr>
          <w:rFonts w:ascii="Book Antiqua" w:hAnsi="Book Antiqua" w:cs="??"/>
          <w:color w:val="000000"/>
        </w:rPr>
        <w:t>, Bruguera M, Parés A. Hepatotoxicity associated with glucosamine and chondroitin sulfate in patients with chronic liver disease. </w:t>
      </w:r>
      <w:r w:rsidRPr="00BC5786">
        <w:rPr>
          <w:rFonts w:ascii="Book Antiqua" w:hAnsi="Book Antiqua" w:cs="??"/>
          <w:i/>
          <w:iCs/>
          <w:color w:val="000000"/>
        </w:rPr>
        <w:t>World J Gastroenterol</w:t>
      </w:r>
      <w:r w:rsidRPr="00BC5786">
        <w:rPr>
          <w:rFonts w:ascii="Book Antiqua" w:hAnsi="Book Antiqua" w:cs="??"/>
          <w:color w:val="000000"/>
        </w:rPr>
        <w:t> 2013; </w:t>
      </w:r>
      <w:r w:rsidRPr="00BC5786">
        <w:rPr>
          <w:rFonts w:ascii="Book Antiqua" w:hAnsi="Book Antiqua" w:cs="??"/>
          <w:b/>
          <w:bCs/>
          <w:color w:val="000000"/>
        </w:rPr>
        <w:t>19</w:t>
      </w:r>
      <w:r w:rsidRPr="00BC5786">
        <w:rPr>
          <w:rFonts w:ascii="Book Antiqua" w:hAnsi="Book Antiqua" w:cs="??"/>
          <w:color w:val="000000"/>
        </w:rPr>
        <w:t>: 5381-5384 [PMID: 23983444 DOI: 10.3748/wjg.v19.i32.5381]</w:t>
      </w:r>
    </w:p>
    <w:p w:rsidR="00DD5B16" w:rsidRPr="00BC5786" w:rsidRDefault="00DD5B16" w:rsidP="009C1A68">
      <w:pPr>
        <w:spacing w:after="0" w:line="360" w:lineRule="auto"/>
        <w:jc w:val="both"/>
        <w:rPr>
          <w:rFonts w:ascii="Book Antiqua" w:hAnsi="Book Antiqua" w:cs="??"/>
          <w:color w:val="000000"/>
        </w:rPr>
      </w:pPr>
      <w:r w:rsidRPr="00BC5786">
        <w:rPr>
          <w:rFonts w:ascii="Book Antiqua" w:hAnsi="Book Antiqua" w:cs="??"/>
          <w:color w:val="000000"/>
        </w:rPr>
        <w:t>4 </w:t>
      </w:r>
      <w:r w:rsidRPr="00BC5786">
        <w:rPr>
          <w:rFonts w:ascii="Book Antiqua" w:hAnsi="Book Antiqua" w:cs="??"/>
          <w:b/>
          <w:bCs/>
          <w:color w:val="000000"/>
        </w:rPr>
        <w:t>Smith A</w:t>
      </w:r>
      <w:r w:rsidRPr="00BC5786">
        <w:rPr>
          <w:rFonts w:ascii="Book Antiqua" w:hAnsi="Book Antiqua" w:cs="??"/>
          <w:color w:val="000000"/>
        </w:rPr>
        <w:t>, Dillon J. Acute liver injury associated with the use of herbal preparations containing glucosamine: three case studies. </w:t>
      </w:r>
      <w:r w:rsidRPr="00BC5786">
        <w:rPr>
          <w:rFonts w:ascii="Book Antiqua" w:hAnsi="Book Antiqua" w:cs="??"/>
          <w:i/>
          <w:iCs/>
          <w:color w:val="000000"/>
        </w:rPr>
        <w:t>BMJ Case Rep</w:t>
      </w:r>
      <w:r w:rsidRPr="00BC5786">
        <w:rPr>
          <w:rFonts w:ascii="Book Antiqua" w:hAnsi="Book Antiqua" w:cs="??"/>
          <w:color w:val="000000"/>
        </w:rPr>
        <w:t> 2009; </w:t>
      </w:r>
      <w:r w:rsidRPr="00BC5786">
        <w:rPr>
          <w:rFonts w:ascii="Book Antiqua" w:hAnsi="Book Antiqua" w:cs="??"/>
          <w:b/>
          <w:bCs/>
          <w:color w:val="000000"/>
        </w:rPr>
        <w:t>2009</w:t>
      </w:r>
      <w:r w:rsidRPr="00BC5786">
        <w:rPr>
          <w:rFonts w:ascii="Book Antiqua" w:hAnsi="Book Antiqua" w:cs="??"/>
          <w:color w:val="000000"/>
        </w:rPr>
        <w:t>: pii: bcr02.2009.1603 [PMID: 21887162 DOI: 10.1136/bcr.02.2009.1603]</w:t>
      </w:r>
    </w:p>
    <w:p w:rsidR="00DD5B16" w:rsidRPr="00BC5786" w:rsidRDefault="00DD5B16" w:rsidP="009C1A68">
      <w:pPr>
        <w:spacing w:after="0" w:line="360" w:lineRule="auto"/>
        <w:jc w:val="both"/>
        <w:rPr>
          <w:rFonts w:ascii="Book Antiqua" w:hAnsi="Book Antiqua" w:cs="??"/>
          <w:color w:val="000000"/>
        </w:rPr>
      </w:pPr>
      <w:r w:rsidRPr="00BC5786">
        <w:rPr>
          <w:rFonts w:ascii="Book Antiqua" w:hAnsi="Book Antiqua" w:cs="??"/>
          <w:color w:val="000000"/>
        </w:rPr>
        <w:t>5 </w:t>
      </w:r>
      <w:r w:rsidRPr="00BC5786">
        <w:rPr>
          <w:rFonts w:ascii="Book Antiqua" w:hAnsi="Book Antiqua" w:cs="??"/>
          <w:b/>
          <w:bCs/>
          <w:color w:val="000000"/>
        </w:rPr>
        <w:t>Linnebur SA</w:t>
      </w:r>
      <w:r w:rsidRPr="00BC5786">
        <w:rPr>
          <w:rFonts w:ascii="Book Antiqua" w:hAnsi="Book Antiqua" w:cs="??"/>
          <w:color w:val="000000"/>
        </w:rPr>
        <w:t>, Rapacchietta OC, Vejar M. Hepatotoxicity associated with chinese skullcap contained in Move Free Advanced dietary supplement: two case reports and review of the literature. </w:t>
      </w:r>
      <w:r w:rsidRPr="00BC5786">
        <w:rPr>
          <w:rFonts w:ascii="Book Antiqua" w:hAnsi="Book Antiqua" w:cs="??"/>
          <w:i/>
          <w:iCs/>
          <w:color w:val="000000"/>
        </w:rPr>
        <w:t>Pharmacotherapy</w:t>
      </w:r>
      <w:r w:rsidRPr="00BC5786">
        <w:rPr>
          <w:rFonts w:ascii="Book Antiqua" w:hAnsi="Book Antiqua" w:cs="??"/>
          <w:color w:val="000000"/>
        </w:rPr>
        <w:t> 2010; </w:t>
      </w:r>
      <w:r w:rsidRPr="00BC5786">
        <w:rPr>
          <w:rFonts w:ascii="Book Antiqua" w:hAnsi="Book Antiqua" w:cs="??"/>
          <w:b/>
          <w:bCs/>
          <w:color w:val="000000"/>
        </w:rPr>
        <w:t>30</w:t>
      </w:r>
      <w:r w:rsidRPr="00BC5786">
        <w:rPr>
          <w:rFonts w:ascii="Book Antiqua" w:hAnsi="Book Antiqua" w:cs="??"/>
          <w:color w:val="000000"/>
        </w:rPr>
        <w:t>: 750, 258e-262e [PMID: 20586134]</w:t>
      </w:r>
    </w:p>
    <w:p w:rsidR="00DD5B16" w:rsidRPr="00BC5786" w:rsidRDefault="00DD5B16" w:rsidP="009C1A68">
      <w:pPr>
        <w:spacing w:after="0" w:line="360" w:lineRule="auto"/>
        <w:jc w:val="both"/>
        <w:rPr>
          <w:rFonts w:ascii="Book Antiqua" w:hAnsi="Book Antiqua" w:cs="??"/>
          <w:color w:val="000000"/>
        </w:rPr>
      </w:pPr>
      <w:r w:rsidRPr="00BC5786">
        <w:rPr>
          <w:rFonts w:ascii="Book Antiqua" w:hAnsi="Book Antiqua" w:cs="??"/>
          <w:color w:val="000000"/>
        </w:rPr>
        <w:t>6 </w:t>
      </w:r>
      <w:r w:rsidRPr="00BC5786">
        <w:rPr>
          <w:rFonts w:ascii="Book Antiqua" w:hAnsi="Book Antiqua" w:cs="??"/>
          <w:b/>
          <w:bCs/>
          <w:color w:val="000000"/>
        </w:rPr>
        <w:t>Ossendza RA</w:t>
      </w:r>
      <w:r w:rsidRPr="00BC5786">
        <w:rPr>
          <w:rFonts w:ascii="Book Antiqua" w:hAnsi="Book Antiqua" w:cs="??"/>
          <w:color w:val="000000"/>
        </w:rPr>
        <w:t>, Grandval P, Chinoune F, Rocher F, Chapel F, Bernardini D. [Acute cholestatic hepatitis due to glucosamine forte]. </w:t>
      </w:r>
      <w:r w:rsidRPr="00BC5786">
        <w:rPr>
          <w:rFonts w:ascii="Book Antiqua" w:hAnsi="Book Antiqua" w:cs="??"/>
          <w:i/>
          <w:iCs/>
          <w:color w:val="000000"/>
        </w:rPr>
        <w:t>Gastroenterol Clin Biol</w:t>
      </w:r>
      <w:r w:rsidRPr="00BC5786">
        <w:rPr>
          <w:rFonts w:ascii="Book Antiqua" w:hAnsi="Book Antiqua" w:cs="??"/>
          <w:color w:val="000000"/>
        </w:rPr>
        <w:t> 2007; </w:t>
      </w:r>
      <w:r w:rsidRPr="00BC5786">
        <w:rPr>
          <w:rFonts w:ascii="Book Antiqua" w:hAnsi="Book Antiqua" w:cs="??"/>
          <w:b/>
          <w:bCs/>
          <w:color w:val="000000"/>
        </w:rPr>
        <w:t>31</w:t>
      </w:r>
      <w:r w:rsidRPr="00BC5786">
        <w:rPr>
          <w:rFonts w:ascii="Book Antiqua" w:hAnsi="Book Antiqua" w:cs="??"/>
          <w:color w:val="000000"/>
        </w:rPr>
        <w:t>: 449-450 [PMID: 17483788]</w:t>
      </w:r>
    </w:p>
    <w:p w:rsidR="00DD5B16" w:rsidRPr="00BC5786" w:rsidRDefault="00DD5B16" w:rsidP="009C1A68">
      <w:pPr>
        <w:spacing w:after="0" w:line="360" w:lineRule="auto"/>
        <w:jc w:val="both"/>
        <w:rPr>
          <w:rFonts w:ascii="Book Antiqua" w:hAnsi="Book Antiqua" w:cs="??"/>
          <w:color w:val="000000"/>
        </w:rPr>
      </w:pPr>
      <w:r w:rsidRPr="00BC5786">
        <w:rPr>
          <w:rFonts w:ascii="Book Antiqua" w:hAnsi="Book Antiqua" w:cs="??"/>
          <w:color w:val="000000"/>
        </w:rPr>
        <w:t>7 </w:t>
      </w:r>
      <w:r w:rsidRPr="00BC5786">
        <w:rPr>
          <w:rFonts w:ascii="Book Antiqua" w:hAnsi="Book Antiqua" w:cs="??"/>
          <w:b/>
          <w:bCs/>
          <w:color w:val="000000"/>
        </w:rPr>
        <w:t>Fransen M</w:t>
      </w:r>
      <w:r w:rsidRPr="00BC5786">
        <w:rPr>
          <w:rFonts w:ascii="Book Antiqua" w:hAnsi="Book Antiqua" w:cs="??"/>
          <w:color w:val="000000"/>
        </w:rPr>
        <w:t xml:space="preserve">, Agaliotis M, Nairn L, Votrubec M, Bridgett L, Su S, Jan S, March L, Edmonds J, Norton R, Woodward M, Day R; </w:t>
      </w:r>
      <w:hyperlink r:id="rId8" w:history="1">
        <w:r w:rsidRPr="00BC5786">
          <w:rPr>
            <w:rFonts w:ascii="Book Antiqua" w:hAnsi="Book Antiqua" w:cs="??"/>
            <w:color w:val="000000"/>
          </w:rPr>
          <w:t>LEGS study collaborative group</w:t>
        </w:r>
      </w:hyperlink>
      <w:r w:rsidRPr="00BC5786">
        <w:rPr>
          <w:rFonts w:ascii="Book Antiqua" w:hAnsi="Book Antiqua" w:cs="??"/>
          <w:color w:val="000000"/>
        </w:rPr>
        <w:t>. Glucosamine and chondroitin for knee osteoarthritis: a double-blind randomised placebo-controlled clinical trial evaluating single and combination regimens. </w:t>
      </w:r>
      <w:r w:rsidRPr="00BC5786">
        <w:rPr>
          <w:rFonts w:ascii="Book Antiqua" w:hAnsi="Book Antiqua" w:cs="??"/>
          <w:i/>
          <w:iCs/>
          <w:color w:val="000000"/>
        </w:rPr>
        <w:t>Ann Rheum Dis</w:t>
      </w:r>
      <w:r w:rsidRPr="00BC5786">
        <w:rPr>
          <w:rFonts w:ascii="Book Antiqua" w:hAnsi="Book Antiqua" w:cs="??"/>
          <w:color w:val="000000"/>
        </w:rPr>
        <w:t> 2015; </w:t>
      </w:r>
      <w:r w:rsidRPr="00BC5786">
        <w:rPr>
          <w:rFonts w:ascii="Book Antiqua" w:hAnsi="Book Antiqua" w:cs="??"/>
          <w:b/>
          <w:bCs/>
          <w:color w:val="000000"/>
        </w:rPr>
        <w:t>74</w:t>
      </w:r>
      <w:r w:rsidRPr="00BC5786">
        <w:rPr>
          <w:rFonts w:ascii="Book Antiqua" w:hAnsi="Book Antiqua" w:cs="??"/>
          <w:color w:val="000000"/>
        </w:rPr>
        <w:t>: 851-858 [PMID: 24395557 DOI: 10.1136/annrheumdis-2013-203954]</w:t>
      </w:r>
    </w:p>
    <w:p w:rsidR="00DD5B16" w:rsidRPr="00BC5786" w:rsidRDefault="00DD5B16" w:rsidP="009C1A68">
      <w:pPr>
        <w:spacing w:after="0" w:line="360" w:lineRule="auto"/>
        <w:jc w:val="both"/>
        <w:rPr>
          <w:rFonts w:ascii="Book Antiqua" w:hAnsi="Book Antiqua" w:cs="??"/>
          <w:color w:val="000000"/>
        </w:rPr>
      </w:pPr>
      <w:r w:rsidRPr="00BC5786">
        <w:rPr>
          <w:rFonts w:ascii="Book Antiqua" w:hAnsi="Book Antiqua" w:cs="??"/>
          <w:color w:val="000000"/>
        </w:rPr>
        <w:lastRenderedPageBreak/>
        <w:t>8 </w:t>
      </w:r>
      <w:r w:rsidRPr="00BC5786">
        <w:rPr>
          <w:rFonts w:ascii="Book Antiqua" w:hAnsi="Book Antiqua" w:cs="??"/>
          <w:b/>
          <w:bCs/>
          <w:color w:val="000000"/>
        </w:rPr>
        <w:t>Towheed TE</w:t>
      </w:r>
      <w:r w:rsidRPr="00BC5786">
        <w:rPr>
          <w:rFonts w:ascii="Book Antiqua" w:hAnsi="Book Antiqua" w:cs="??"/>
          <w:color w:val="000000"/>
        </w:rPr>
        <w:t>, Maxwell L, Anastassiades TP, Shea B, Houpt J, Robinson V, Hochberg MC, Wells G. Glucosamine therapy for treating osteoarthritis. </w:t>
      </w:r>
      <w:r w:rsidRPr="00BC5786">
        <w:rPr>
          <w:rFonts w:ascii="Book Antiqua" w:hAnsi="Book Antiqua" w:cs="??"/>
          <w:i/>
          <w:iCs/>
          <w:color w:val="000000"/>
        </w:rPr>
        <w:t>Cochrane Database Syst Rev</w:t>
      </w:r>
      <w:r w:rsidRPr="00BC5786">
        <w:rPr>
          <w:rFonts w:ascii="Book Antiqua" w:hAnsi="Book Antiqua" w:cs="??"/>
          <w:color w:val="000000"/>
        </w:rPr>
        <w:t> 2005; </w:t>
      </w:r>
      <w:r w:rsidRPr="00BC5786">
        <w:rPr>
          <w:rFonts w:ascii="Book Antiqua" w:hAnsi="Book Antiqua" w:cs="??"/>
          <w:b/>
          <w:bCs/>
          <w:color w:val="000000"/>
        </w:rPr>
        <w:t>(2)</w:t>
      </w:r>
      <w:r w:rsidRPr="00BC5786">
        <w:rPr>
          <w:rFonts w:ascii="Book Antiqua" w:hAnsi="Book Antiqua" w:cs="??"/>
          <w:bCs/>
          <w:color w:val="000000"/>
        </w:rPr>
        <w:t>:</w:t>
      </w:r>
      <w:r w:rsidRPr="00BC5786">
        <w:rPr>
          <w:rFonts w:ascii="Book Antiqua" w:hAnsi="Book Antiqua" w:cs="??"/>
          <w:color w:val="000000"/>
        </w:rPr>
        <w:t xml:space="preserve"> CD002946 [PMID: 15846645]</w:t>
      </w:r>
    </w:p>
    <w:p w:rsidR="00DD5B16" w:rsidRPr="00BC5786" w:rsidRDefault="00DD5B16" w:rsidP="009C1A68">
      <w:pPr>
        <w:spacing w:after="0" w:line="360" w:lineRule="auto"/>
        <w:jc w:val="both"/>
        <w:rPr>
          <w:rFonts w:ascii="Book Antiqua" w:hAnsi="Book Antiqua" w:cs="??"/>
          <w:color w:val="000000"/>
        </w:rPr>
      </w:pPr>
      <w:r w:rsidRPr="00BC5786">
        <w:rPr>
          <w:rFonts w:ascii="Book Antiqua" w:hAnsi="Book Antiqua" w:cs="??"/>
          <w:color w:val="000000"/>
        </w:rPr>
        <w:t>9 </w:t>
      </w:r>
      <w:r w:rsidRPr="00BC5786">
        <w:rPr>
          <w:rFonts w:ascii="Book Antiqua" w:hAnsi="Book Antiqua" w:cs="??"/>
          <w:b/>
          <w:bCs/>
          <w:color w:val="000000"/>
        </w:rPr>
        <w:t>Wandel S</w:t>
      </w:r>
      <w:r w:rsidRPr="00BC5786">
        <w:rPr>
          <w:rFonts w:ascii="Book Antiqua" w:hAnsi="Book Antiqua" w:cs="??"/>
          <w:color w:val="000000"/>
        </w:rPr>
        <w:t>, Jüni P, Tendal B, Nüesch E, Villiger PM, Welton NJ, Reichenbach S, Trelle S. Effects of glucosamine, chondroitin, or placebo in patients with osteoarthritis of hip or knee: network meta-analysis. </w:t>
      </w:r>
      <w:r w:rsidRPr="00BC5786">
        <w:rPr>
          <w:rFonts w:ascii="Book Antiqua" w:hAnsi="Book Antiqua" w:cs="??"/>
          <w:i/>
          <w:iCs/>
          <w:color w:val="000000"/>
        </w:rPr>
        <w:t>BMJ</w:t>
      </w:r>
      <w:r w:rsidRPr="00BC5786">
        <w:rPr>
          <w:rFonts w:ascii="Book Antiqua" w:hAnsi="Book Antiqua" w:cs="??"/>
          <w:color w:val="000000"/>
        </w:rPr>
        <w:t> 2010; </w:t>
      </w:r>
      <w:r w:rsidRPr="00BC5786">
        <w:rPr>
          <w:rFonts w:ascii="Book Antiqua" w:hAnsi="Book Antiqua" w:cs="??"/>
          <w:b/>
          <w:bCs/>
          <w:color w:val="000000"/>
        </w:rPr>
        <w:t>341</w:t>
      </w:r>
      <w:r w:rsidRPr="00BC5786">
        <w:rPr>
          <w:rFonts w:ascii="Book Antiqua" w:hAnsi="Book Antiqua" w:cs="??"/>
          <w:color w:val="000000"/>
        </w:rPr>
        <w:t>: c4675 [PMID: 20847017 DOI: 10.1136/bmj.c4675]</w:t>
      </w:r>
    </w:p>
    <w:p w:rsidR="00DD5B16" w:rsidRPr="00850FF6" w:rsidRDefault="00DD5B16" w:rsidP="009C1A68">
      <w:pPr>
        <w:spacing w:after="0" w:line="360" w:lineRule="auto"/>
        <w:jc w:val="both"/>
        <w:rPr>
          <w:rFonts w:ascii="Book Antiqua" w:eastAsia="宋体" w:hAnsi="Book Antiqua" w:cs="??"/>
          <w:color w:val="000000"/>
          <w:lang w:eastAsia="zh-CN"/>
        </w:rPr>
      </w:pPr>
      <w:r w:rsidRPr="00BC5786">
        <w:rPr>
          <w:rFonts w:ascii="Book Antiqua" w:hAnsi="Book Antiqua" w:cs="??"/>
          <w:color w:val="000000"/>
        </w:rPr>
        <w:t>10 </w:t>
      </w:r>
      <w:r w:rsidRPr="00BC5786">
        <w:rPr>
          <w:rFonts w:ascii="Book Antiqua" w:hAnsi="Book Antiqua" w:cs="??"/>
          <w:b/>
          <w:bCs/>
          <w:color w:val="000000"/>
        </w:rPr>
        <w:t>Gray HC</w:t>
      </w:r>
      <w:r w:rsidRPr="00BC5786">
        <w:rPr>
          <w:rFonts w:ascii="Book Antiqua" w:hAnsi="Book Antiqua" w:cs="??"/>
          <w:color w:val="000000"/>
        </w:rPr>
        <w:t>, Hutcheson PS, Slavin RG. Is glucosamine safe in patients with seafood allergy? </w:t>
      </w:r>
      <w:r w:rsidRPr="00BC5786">
        <w:rPr>
          <w:rFonts w:ascii="Book Antiqua" w:hAnsi="Book Antiqua" w:cs="??"/>
          <w:i/>
          <w:iCs/>
          <w:color w:val="000000"/>
        </w:rPr>
        <w:t>J Allergy Clin Immunol</w:t>
      </w:r>
      <w:r w:rsidRPr="00BC5786">
        <w:rPr>
          <w:rFonts w:ascii="Book Antiqua" w:hAnsi="Book Antiqua" w:cs="??"/>
          <w:color w:val="000000"/>
        </w:rPr>
        <w:t> 2004; </w:t>
      </w:r>
      <w:r w:rsidRPr="00BC5786">
        <w:rPr>
          <w:rFonts w:ascii="Book Antiqua" w:hAnsi="Book Antiqua" w:cs="??"/>
          <w:b/>
          <w:bCs/>
          <w:color w:val="000000"/>
        </w:rPr>
        <w:t>114</w:t>
      </w:r>
      <w:r w:rsidRPr="00BC5786">
        <w:rPr>
          <w:rFonts w:ascii="Book Antiqua" w:hAnsi="Book Antiqua" w:cs="??"/>
          <w:color w:val="000000"/>
        </w:rPr>
        <w:t xml:space="preserve">: 459-460 [PMID: 15341031 DOI: </w:t>
      </w:r>
      <w:r w:rsidRPr="00BC5786">
        <w:rPr>
          <w:rFonts w:ascii="Book Antiqua" w:hAnsi="Book Antiqua"/>
          <w:shd w:val="clear" w:color="auto" w:fill="FFFFFF"/>
        </w:rPr>
        <w:t>10.1016/j.jaci.2004.05.050</w:t>
      </w:r>
      <w:r w:rsidRPr="00BC5786">
        <w:rPr>
          <w:rFonts w:ascii="Book Antiqua" w:hAnsi="Book Antiqua" w:cs="??"/>
          <w:color w:val="000000"/>
        </w:rPr>
        <w:t>]</w:t>
      </w:r>
    </w:p>
    <w:p w:rsidR="00DD5B16" w:rsidRPr="00BC5786" w:rsidRDefault="00DD5B16" w:rsidP="009C1A68">
      <w:pPr>
        <w:widowControl w:val="0"/>
        <w:autoSpaceDE w:val="0"/>
        <w:autoSpaceDN w:val="0"/>
        <w:adjustRightInd w:val="0"/>
        <w:spacing w:after="0" w:line="360" w:lineRule="auto"/>
        <w:jc w:val="both"/>
        <w:rPr>
          <w:rFonts w:ascii="Book Antiqua" w:hAnsi="Book Antiqua"/>
        </w:rPr>
      </w:pPr>
    </w:p>
    <w:p w:rsidR="00DD5B16" w:rsidRPr="00BC5786" w:rsidRDefault="00DD5B16" w:rsidP="009C1A68">
      <w:pPr>
        <w:spacing w:after="0" w:line="360" w:lineRule="auto"/>
        <w:jc w:val="right"/>
        <w:rPr>
          <w:rFonts w:ascii="Book Antiqua" w:hAnsi="Book Antiqua"/>
          <w:color w:val="000000"/>
        </w:rPr>
      </w:pPr>
      <w:r w:rsidRPr="00BC5786">
        <w:rPr>
          <w:rFonts w:ascii="Book Antiqua" w:hAnsi="Book Antiqua"/>
          <w:b/>
        </w:rPr>
        <w:t>P- Reviewer:</w:t>
      </w:r>
      <w:r w:rsidRPr="00BC5786">
        <w:rPr>
          <w:rFonts w:ascii="Book Antiqua" w:eastAsia="宋体" w:hAnsi="Book Antiqua"/>
          <w:b/>
          <w:lang w:eastAsia="zh-CN"/>
        </w:rPr>
        <w:t xml:space="preserve"> </w:t>
      </w:r>
      <w:r w:rsidRPr="00BC5786">
        <w:rPr>
          <w:rFonts w:ascii="Book Antiqua" w:hAnsi="Book Antiqua" w:cs="??"/>
          <w:color w:val="000000"/>
        </w:rPr>
        <w:t>Chetty R, Loomis T, Morales-Gonzalez J</w:t>
      </w:r>
      <w:r w:rsidRPr="00BC5786">
        <w:rPr>
          <w:rFonts w:ascii="Book Antiqua" w:hAnsi="Book Antiqua"/>
          <w:color w:val="000000"/>
        </w:rPr>
        <w:t xml:space="preserve">     </w:t>
      </w:r>
      <w:r w:rsidRPr="00BC5786">
        <w:rPr>
          <w:rFonts w:ascii="Book Antiqua" w:hAnsi="Book Antiqua"/>
          <w:b/>
        </w:rPr>
        <w:t>S- Editor:</w:t>
      </w:r>
      <w:r w:rsidRPr="00BC5786">
        <w:rPr>
          <w:rFonts w:ascii="Book Antiqua" w:hAnsi="Book Antiqua"/>
        </w:rPr>
        <w:t xml:space="preserve"> Gong XM</w:t>
      </w:r>
    </w:p>
    <w:p w:rsidR="00DD5B16" w:rsidRPr="00BC5786" w:rsidRDefault="00DD5B16" w:rsidP="009C1A68">
      <w:pPr>
        <w:spacing w:after="0" w:line="360" w:lineRule="auto"/>
        <w:jc w:val="right"/>
        <w:rPr>
          <w:rFonts w:ascii="Book Antiqua" w:hAnsi="Book Antiqua"/>
          <w:b/>
        </w:rPr>
      </w:pPr>
      <w:r w:rsidRPr="00BC5786">
        <w:rPr>
          <w:rFonts w:ascii="Book Antiqua" w:hAnsi="Book Antiqua"/>
          <w:b/>
        </w:rPr>
        <w:t xml:space="preserve"> L- Editor:</w:t>
      </w:r>
      <w:r w:rsidRPr="00BC5786">
        <w:rPr>
          <w:rFonts w:ascii="Book Antiqua" w:hAnsi="Book Antiqua"/>
        </w:rPr>
        <w:t xml:space="preserve"> </w:t>
      </w:r>
      <w:r w:rsidRPr="00BC5786">
        <w:rPr>
          <w:rFonts w:ascii="Book Antiqua" w:hAnsi="Book Antiqua"/>
          <w:b/>
        </w:rPr>
        <w:t>E- Editor:</w:t>
      </w:r>
    </w:p>
    <w:p w:rsidR="00DD5B16" w:rsidRPr="00BC5786" w:rsidRDefault="00DD5B16" w:rsidP="009C1A68">
      <w:pPr>
        <w:spacing w:after="0" w:line="360" w:lineRule="auto"/>
        <w:jc w:val="both"/>
        <w:rPr>
          <w:rFonts w:ascii="Book Antiqua" w:hAnsi="Book Antiqua"/>
          <w:lang w:val="en-CA" w:eastAsia="en-US"/>
        </w:rPr>
      </w:pPr>
    </w:p>
    <w:p w:rsidR="00DD5B16" w:rsidRPr="00BC5786" w:rsidRDefault="00DD5B16" w:rsidP="009C1A68">
      <w:pPr>
        <w:spacing w:after="0" w:line="360" w:lineRule="auto"/>
        <w:jc w:val="both"/>
        <w:rPr>
          <w:rFonts w:ascii="Book Antiqua" w:hAnsi="Book Antiqua"/>
          <w:lang w:val="en-CA" w:eastAsia="en-US"/>
        </w:rPr>
      </w:pPr>
    </w:p>
    <w:p w:rsidR="00DD5B16" w:rsidRPr="00BC5786" w:rsidRDefault="00DD5B16" w:rsidP="009C1A68">
      <w:pPr>
        <w:spacing w:after="0" w:line="360" w:lineRule="auto"/>
        <w:jc w:val="both"/>
        <w:rPr>
          <w:rFonts w:ascii="Book Antiqua" w:hAnsi="Book Antiqua"/>
        </w:rPr>
      </w:pPr>
    </w:p>
    <w:p w:rsidR="00DD5B16" w:rsidRPr="00BC5786" w:rsidRDefault="00DD5B16" w:rsidP="009C1A68">
      <w:pPr>
        <w:spacing w:after="0" w:line="360" w:lineRule="auto"/>
        <w:jc w:val="both"/>
        <w:rPr>
          <w:rFonts w:ascii="Book Antiqua" w:hAnsi="Book Antiqua" w:cs="Arial"/>
          <w:color w:val="000000"/>
        </w:rPr>
      </w:pPr>
    </w:p>
    <w:p w:rsidR="00DD5B16" w:rsidRPr="00850FF6" w:rsidRDefault="00DD5B16" w:rsidP="009C1A68">
      <w:pPr>
        <w:spacing w:after="0" w:line="360" w:lineRule="auto"/>
        <w:jc w:val="both"/>
        <w:rPr>
          <w:rFonts w:ascii="Book Antiqua" w:eastAsia="宋体" w:hAnsi="Book Antiqua"/>
          <w:b/>
          <w:lang w:eastAsia="zh-CN"/>
        </w:rPr>
      </w:pPr>
      <w:r w:rsidRPr="00BC5786">
        <w:rPr>
          <w:rFonts w:ascii="Book Antiqua" w:hAnsi="Book Antiqua" w:cs="Arial"/>
          <w:color w:val="000000"/>
        </w:rPr>
        <w:br w:type="page"/>
      </w:r>
      <w:r w:rsidRPr="00BC5786">
        <w:rPr>
          <w:rFonts w:ascii="Book Antiqua" w:hAnsi="Book Antiqua"/>
          <w:b/>
        </w:rPr>
        <w:lastRenderedPageBreak/>
        <w:t>Table 1 Pattern of liver enzymes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85"/>
        <w:gridCol w:w="2268"/>
        <w:gridCol w:w="2018"/>
      </w:tblGrid>
      <w:tr w:rsidR="00DD5B16" w:rsidRPr="00BC5786" w:rsidTr="00182DB0">
        <w:tc>
          <w:tcPr>
            <w:tcW w:w="3085" w:type="dxa"/>
          </w:tcPr>
          <w:p w:rsidR="00DD5B16" w:rsidRPr="00BC5786" w:rsidRDefault="00DD5B16" w:rsidP="009C1A68">
            <w:pPr>
              <w:spacing w:after="0" w:line="360" w:lineRule="auto"/>
              <w:jc w:val="both"/>
              <w:rPr>
                <w:rFonts w:ascii="Book Antiqua" w:eastAsia="MS MinNew Roman" w:hAnsi="Book Antiqua"/>
                <w:b/>
              </w:rPr>
            </w:pPr>
          </w:p>
        </w:tc>
        <w:tc>
          <w:tcPr>
            <w:tcW w:w="2268" w:type="dxa"/>
          </w:tcPr>
          <w:p w:rsidR="00DD5B16" w:rsidRPr="00BC5786" w:rsidRDefault="00DD5B16" w:rsidP="009C1A68">
            <w:pPr>
              <w:spacing w:after="0" w:line="360" w:lineRule="auto"/>
              <w:jc w:val="both"/>
              <w:rPr>
                <w:rFonts w:ascii="Book Antiqua" w:eastAsia="MS MinNew Roman" w:hAnsi="Book Antiqua"/>
                <w:b/>
              </w:rPr>
            </w:pPr>
            <w:r w:rsidRPr="00BC5786">
              <w:rPr>
                <w:rFonts w:ascii="Book Antiqua" w:eastAsia="MS MinNew Roman" w:hAnsi="Book Antiqua"/>
                <w:b/>
              </w:rPr>
              <w:t>Presentation at Home Hospital</w:t>
            </w:r>
          </w:p>
        </w:tc>
        <w:tc>
          <w:tcPr>
            <w:tcW w:w="2018" w:type="dxa"/>
          </w:tcPr>
          <w:p w:rsidR="00DD5B16" w:rsidRPr="00BC5786" w:rsidRDefault="00DD5B16" w:rsidP="009C1A68">
            <w:pPr>
              <w:spacing w:after="0" w:line="360" w:lineRule="auto"/>
              <w:jc w:val="both"/>
              <w:rPr>
                <w:rFonts w:ascii="Book Antiqua" w:eastAsia="MS MinNew Roman" w:hAnsi="Book Antiqua"/>
                <w:b/>
              </w:rPr>
            </w:pPr>
            <w:r w:rsidRPr="00BC5786">
              <w:rPr>
                <w:rFonts w:ascii="Book Antiqua" w:eastAsia="MS MinNew Roman" w:hAnsi="Book Antiqua"/>
                <w:b/>
              </w:rPr>
              <w:t>Presentation at Tertiary Centre</w:t>
            </w:r>
          </w:p>
        </w:tc>
      </w:tr>
      <w:tr w:rsidR="00DD5B16" w:rsidRPr="00BC5786" w:rsidTr="00182DB0">
        <w:tc>
          <w:tcPr>
            <w:tcW w:w="3085" w:type="dxa"/>
          </w:tcPr>
          <w:p w:rsidR="00DD5B16" w:rsidRPr="00BC5786" w:rsidRDefault="00DD5B16" w:rsidP="009C1A68">
            <w:pPr>
              <w:spacing w:after="0" w:line="360" w:lineRule="auto"/>
              <w:jc w:val="both"/>
              <w:rPr>
                <w:rFonts w:ascii="Book Antiqua" w:hAnsi="Book Antiqua"/>
                <w:lang w:eastAsia="zh-CN"/>
              </w:rPr>
            </w:pPr>
            <w:r w:rsidRPr="00BC5786">
              <w:rPr>
                <w:rFonts w:ascii="Book Antiqua" w:eastAsia="MS MinNew Roman" w:hAnsi="Book Antiqua"/>
              </w:rPr>
              <w:t>Total bilirubin (mol/L)</w:t>
            </w:r>
          </w:p>
          <w:p w:rsidR="00DD5B16" w:rsidRPr="00BC5786" w:rsidRDefault="00DD5B16" w:rsidP="009C1A68">
            <w:pPr>
              <w:spacing w:after="0" w:line="360" w:lineRule="auto"/>
              <w:jc w:val="both"/>
              <w:rPr>
                <w:rFonts w:ascii="Book Antiqua" w:eastAsia="MS MinNew Roman" w:hAnsi="Book Antiqua"/>
              </w:rPr>
            </w:pPr>
            <w:r w:rsidRPr="00BC5786">
              <w:rPr>
                <w:rFonts w:ascii="Book Antiqua" w:eastAsia="MS MinNew Roman" w:hAnsi="Book Antiqua"/>
              </w:rPr>
              <w:t>Normal: &lt;</w:t>
            </w:r>
            <w:r w:rsidRPr="00BC5786">
              <w:rPr>
                <w:rFonts w:ascii="Book Antiqua" w:hAnsi="Book Antiqua"/>
                <w:lang w:eastAsia="zh-CN"/>
              </w:rPr>
              <w:t xml:space="preserve"> </w:t>
            </w:r>
            <w:r w:rsidRPr="00BC5786">
              <w:rPr>
                <w:rFonts w:ascii="Book Antiqua" w:eastAsia="MS MinNew Roman" w:hAnsi="Book Antiqua"/>
              </w:rPr>
              <w:t>18 mol/L</w:t>
            </w:r>
          </w:p>
        </w:tc>
        <w:tc>
          <w:tcPr>
            <w:tcW w:w="2268" w:type="dxa"/>
          </w:tcPr>
          <w:p w:rsidR="00DD5B16" w:rsidRPr="00BC5786" w:rsidRDefault="00DD5B16" w:rsidP="009C1A68">
            <w:pPr>
              <w:spacing w:after="0" w:line="360" w:lineRule="auto"/>
              <w:jc w:val="both"/>
              <w:rPr>
                <w:rFonts w:ascii="Book Antiqua" w:eastAsia="MS MinNew Roman" w:hAnsi="Book Antiqua"/>
              </w:rPr>
            </w:pPr>
            <w:r w:rsidRPr="00BC5786">
              <w:rPr>
                <w:rFonts w:ascii="Book Antiqua" w:eastAsia="MS MinNew Roman" w:hAnsi="Book Antiqua"/>
              </w:rPr>
              <w:t>476</w:t>
            </w:r>
          </w:p>
        </w:tc>
        <w:tc>
          <w:tcPr>
            <w:tcW w:w="2018" w:type="dxa"/>
          </w:tcPr>
          <w:p w:rsidR="00DD5B16" w:rsidRPr="00BC5786" w:rsidRDefault="00DD5B16" w:rsidP="009C1A68">
            <w:pPr>
              <w:spacing w:after="0" w:line="360" w:lineRule="auto"/>
              <w:jc w:val="both"/>
              <w:rPr>
                <w:rFonts w:ascii="Book Antiqua" w:eastAsia="MS MinNew Roman" w:hAnsi="Book Antiqua"/>
              </w:rPr>
            </w:pPr>
            <w:r w:rsidRPr="00BC5786">
              <w:rPr>
                <w:rFonts w:ascii="Book Antiqua" w:eastAsia="MS MinNew Roman" w:hAnsi="Book Antiqua"/>
              </w:rPr>
              <w:t>440</w:t>
            </w:r>
          </w:p>
        </w:tc>
      </w:tr>
      <w:tr w:rsidR="00DD5B16" w:rsidRPr="00BC5786" w:rsidTr="00182DB0">
        <w:tc>
          <w:tcPr>
            <w:tcW w:w="3085" w:type="dxa"/>
          </w:tcPr>
          <w:p w:rsidR="00DD5B16" w:rsidRPr="00BC5786" w:rsidRDefault="00DD5B16" w:rsidP="009C1A68">
            <w:pPr>
              <w:spacing w:after="0" w:line="360" w:lineRule="auto"/>
              <w:jc w:val="both"/>
              <w:rPr>
                <w:rFonts w:ascii="Book Antiqua" w:hAnsi="Book Antiqua"/>
                <w:lang w:eastAsia="zh-CN"/>
              </w:rPr>
            </w:pPr>
            <w:r w:rsidRPr="00BC5786">
              <w:rPr>
                <w:rFonts w:ascii="Book Antiqua" w:eastAsia="MS MinNew Roman" w:hAnsi="Book Antiqua"/>
              </w:rPr>
              <w:t>AST (U/L)</w:t>
            </w:r>
          </w:p>
          <w:p w:rsidR="00DD5B16" w:rsidRPr="00BC5786" w:rsidRDefault="00DD5B16" w:rsidP="009C1A68">
            <w:pPr>
              <w:spacing w:after="0" w:line="360" w:lineRule="auto"/>
              <w:jc w:val="both"/>
              <w:rPr>
                <w:rFonts w:ascii="Book Antiqua" w:eastAsia="MS MinNew Roman" w:hAnsi="Book Antiqua"/>
              </w:rPr>
            </w:pPr>
            <w:r w:rsidRPr="00BC5786">
              <w:rPr>
                <w:rFonts w:ascii="Book Antiqua" w:eastAsia="MS MinNew Roman" w:hAnsi="Book Antiqua"/>
              </w:rPr>
              <w:t>Normal: 10-80 U/L</w:t>
            </w:r>
          </w:p>
        </w:tc>
        <w:tc>
          <w:tcPr>
            <w:tcW w:w="2268" w:type="dxa"/>
          </w:tcPr>
          <w:p w:rsidR="00DD5B16" w:rsidRPr="00BC5786" w:rsidRDefault="00DD5B16" w:rsidP="009C1A68">
            <w:pPr>
              <w:spacing w:after="0" w:line="360" w:lineRule="auto"/>
              <w:jc w:val="both"/>
              <w:rPr>
                <w:rFonts w:ascii="Book Antiqua" w:eastAsia="MS MinNew Roman" w:hAnsi="Book Antiqua"/>
              </w:rPr>
            </w:pPr>
            <w:r w:rsidRPr="00BC5786">
              <w:rPr>
                <w:rFonts w:ascii="Book Antiqua" w:eastAsia="MS MinNew Roman" w:hAnsi="Book Antiqua"/>
              </w:rPr>
              <w:t>45</w:t>
            </w:r>
          </w:p>
        </w:tc>
        <w:tc>
          <w:tcPr>
            <w:tcW w:w="2018" w:type="dxa"/>
          </w:tcPr>
          <w:p w:rsidR="00DD5B16" w:rsidRPr="00BC5786" w:rsidRDefault="00DD5B16" w:rsidP="009C1A68">
            <w:pPr>
              <w:spacing w:after="0" w:line="360" w:lineRule="auto"/>
              <w:jc w:val="both"/>
              <w:rPr>
                <w:rFonts w:ascii="Book Antiqua" w:eastAsia="MS MinNew Roman" w:hAnsi="Book Antiqua"/>
              </w:rPr>
            </w:pPr>
            <w:r w:rsidRPr="00BC5786">
              <w:rPr>
                <w:rFonts w:ascii="Book Antiqua" w:eastAsia="MS MinNew Roman" w:hAnsi="Book Antiqua"/>
              </w:rPr>
              <w:t>40</w:t>
            </w:r>
          </w:p>
        </w:tc>
      </w:tr>
      <w:tr w:rsidR="00DD5B16" w:rsidRPr="00BC5786" w:rsidTr="00182DB0">
        <w:tc>
          <w:tcPr>
            <w:tcW w:w="3085" w:type="dxa"/>
          </w:tcPr>
          <w:p w:rsidR="00DD5B16" w:rsidRPr="00BC5786" w:rsidRDefault="00DD5B16" w:rsidP="009C1A68">
            <w:pPr>
              <w:spacing w:after="0" w:line="360" w:lineRule="auto"/>
              <w:jc w:val="both"/>
              <w:rPr>
                <w:rFonts w:ascii="Book Antiqua" w:hAnsi="Book Antiqua"/>
                <w:lang w:eastAsia="zh-CN"/>
              </w:rPr>
            </w:pPr>
            <w:r w:rsidRPr="00BC5786">
              <w:rPr>
                <w:rFonts w:ascii="Book Antiqua" w:eastAsia="MS MinNew Roman" w:hAnsi="Book Antiqua"/>
              </w:rPr>
              <w:t>ALT (U/L)</w:t>
            </w:r>
          </w:p>
          <w:p w:rsidR="00DD5B16" w:rsidRPr="00BC5786" w:rsidRDefault="00DD5B16" w:rsidP="009C1A68">
            <w:pPr>
              <w:spacing w:after="0" w:line="360" w:lineRule="auto"/>
              <w:jc w:val="both"/>
              <w:rPr>
                <w:rFonts w:ascii="Book Antiqua" w:eastAsia="MS MinNew Roman" w:hAnsi="Book Antiqua"/>
              </w:rPr>
            </w:pPr>
            <w:r w:rsidRPr="00BC5786">
              <w:rPr>
                <w:rFonts w:ascii="Book Antiqua" w:eastAsia="MS MinNew Roman" w:hAnsi="Book Antiqua"/>
              </w:rPr>
              <w:t>Normal: 10-80 U/L</w:t>
            </w:r>
          </w:p>
        </w:tc>
        <w:tc>
          <w:tcPr>
            <w:tcW w:w="2268" w:type="dxa"/>
          </w:tcPr>
          <w:p w:rsidR="00DD5B16" w:rsidRPr="00BC5786" w:rsidRDefault="00DD5B16" w:rsidP="009C1A68">
            <w:pPr>
              <w:spacing w:after="0" w:line="360" w:lineRule="auto"/>
              <w:jc w:val="both"/>
              <w:rPr>
                <w:rFonts w:ascii="Book Antiqua" w:eastAsia="MS MinNew Roman" w:hAnsi="Book Antiqua"/>
              </w:rPr>
            </w:pPr>
            <w:r w:rsidRPr="00BC5786">
              <w:rPr>
                <w:rFonts w:ascii="Book Antiqua" w:eastAsia="MS MinNew Roman" w:hAnsi="Book Antiqua"/>
              </w:rPr>
              <w:t>47</w:t>
            </w:r>
          </w:p>
        </w:tc>
        <w:tc>
          <w:tcPr>
            <w:tcW w:w="2018" w:type="dxa"/>
          </w:tcPr>
          <w:p w:rsidR="00DD5B16" w:rsidRPr="00BC5786" w:rsidRDefault="00DD5B16" w:rsidP="009C1A68">
            <w:pPr>
              <w:spacing w:after="0" w:line="360" w:lineRule="auto"/>
              <w:jc w:val="both"/>
              <w:rPr>
                <w:rFonts w:ascii="Book Antiqua" w:eastAsia="MS MinNew Roman" w:hAnsi="Book Antiqua"/>
              </w:rPr>
            </w:pPr>
            <w:r w:rsidRPr="00BC5786">
              <w:rPr>
                <w:rFonts w:ascii="Book Antiqua" w:eastAsia="MS MinNew Roman" w:hAnsi="Book Antiqua"/>
              </w:rPr>
              <w:t>48</w:t>
            </w:r>
          </w:p>
        </w:tc>
      </w:tr>
      <w:tr w:rsidR="00DD5B16" w:rsidRPr="00BC5786" w:rsidTr="00182DB0">
        <w:tc>
          <w:tcPr>
            <w:tcW w:w="3085" w:type="dxa"/>
          </w:tcPr>
          <w:p w:rsidR="00DD5B16" w:rsidRPr="00BC5786" w:rsidRDefault="00DD5B16" w:rsidP="009C1A68">
            <w:pPr>
              <w:spacing w:after="0" w:line="360" w:lineRule="auto"/>
              <w:jc w:val="both"/>
              <w:rPr>
                <w:rFonts w:ascii="Book Antiqua" w:hAnsi="Book Antiqua"/>
                <w:lang w:eastAsia="zh-CN"/>
              </w:rPr>
            </w:pPr>
            <w:r w:rsidRPr="00BC5786">
              <w:rPr>
                <w:rFonts w:ascii="Book Antiqua" w:eastAsia="MS MinNew Roman" w:hAnsi="Book Antiqua"/>
              </w:rPr>
              <w:t>GGT (U/L)</w:t>
            </w:r>
          </w:p>
          <w:p w:rsidR="00DD5B16" w:rsidRPr="00BC5786" w:rsidRDefault="00DD5B16" w:rsidP="009C1A68">
            <w:pPr>
              <w:spacing w:after="0" w:line="360" w:lineRule="auto"/>
              <w:jc w:val="both"/>
              <w:rPr>
                <w:rFonts w:ascii="Book Antiqua" w:eastAsia="MS MinNew Roman" w:hAnsi="Book Antiqua"/>
              </w:rPr>
            </w:pPr>
            <w:r w:rsidRPr="00BC5786">
              <w:rPr>
                <w:rFonts w:ascii="Book Antiqua" w:eastAsia="MS MinNew Roman" w:hAnsi="Book Antiqua"/>
              </w:rPr>
              <w:t>Normal: 0-80 U/L</w:t>
            </w:r>
          </w:p>
        </w:tc>
        <w:tc>
          <w:tcPr>
            <w:tcW w:w="2268" w:type="dxa"/>
          </w:tcPr>
          <w:p w:rsidR="00DD5B16" w:rsidRPr="00BC5786" w:rsidRDefault="00DD5B16" w:rsidP="009C1A68">
            <w:pPr>
              <w:spacing w:after="0" w:line="360" w:lineRule="auto"/>
              <w:jc w:val="both"/>
              <w:rPr>
                <w:rFonts w:ascii="Book Antiqua" w:eastAsia="MS MinNew Roman" w:hAnsi="Book Antiqua"/>
              </w:rPr>
            </w:pPr>
            <w:r w:rsidRPr="00BC5786">
              <w:rPr>
                <w:rFonts w:ascii="Book Antiqua" w:eastAsia="MS MinNew Roman" w:hAnsi="Book Antiqua"/>
              </w:rPr>
              <w:t>59</w:t>
            </w:r>
          </w:p>
        </w:tc>
        <w:tc>
          <w:tcPr>
            <w:tcW w:w="2018" w:type="dxa"/>
          </w:tcPr>
          <w:p w:rsidR="00DD5B16" w:rsidRPr="00BC5786" w:rsidRDefault="00DD5B16" w:rsidP="009C1A68">
            <w:pPr>
              <w:spacing w:after="0" w:line="360" w:lineRule="auto"/>
              <w:jc w:val="both"/>
              <w:rPr>
                <w:rFonts w:ascii="Book Antiqua" w:eastAsia="MS MinNew Roman" w:hAnsi="Book Antiqua"/>
              </w:rPr>
            </w:pPr>
            <w:r w:rsidRPr="00BC5786">
              <w:rPr>
                <w:rFonts w:ascii="Book Antiqua" w:eastAsia="MS MinNew Roman" w:hAnsi="Book Antiqua"/>
              </w:rPr>
              <w:t>136</w:t>
            </w:r>
          </w:p>
        </w:tc>
      </w:tr>
      <w:tr w:rsidR="00DD5B16" w:rsidRPr="00BC5786" w:rsidTr="00182DB0">
        <w:tc>
          <w:tcPr>
            <w:tcW w:w="3085" w:type="dxa"/>
          </w:tcPr>
          <w:p w:rsidR="00DD5B16" w:rsidRPr="00BC5786" w:rsidRDefault="00DD5B16" w:rsidP="009C1A68">
            <w:pPr>
              <w:spacing w:after="0" w:line="360" w:lineRule="auto"/>
              <w:jc w:val="both"/>
              <w:rPr>
                <w:rFonts w:ascii="Book Antiqua" w:hAnsi="Book Antiqua"/>
                <w:lang w:eastAsia="zh-CN"/>
              </w:rPr>
            </w:pPr>
            <w:r w:rsidRPr="00BC5786">
              <w:rPr>
                <w:rFonts w:ascii="Book Antiqua" w:eastAsia="MS MinNew Roman" w:hAnsi="Book Antiqua"/>
              </w:rPr>
              <w:t>Alkaline phosphatase (U/L)</w:t>
            </w:r>
          </w:p>
          <w:p w:rsidR="00DD5B16" w:rsidRPr="00BC5786" w:rsidRDefault="00DD5B16" w:rsidP="009C1A68">
            <w:pPr>
              <w:spacing w:after="0" w:line="360" w:lineRule="auto"/>
              <w:jc w:val="both"/>
              <w:rPr>
                <w:rFonts w:ascii="Book Antiqua" w:eastAsia="MS MinNew Roman" w:hAnsi="Book Antiqua"/>
              </w:rPr>
            </w:pPr>
            <w:r w:rsidRPr="00BC5786">
              <w:rPr>
                <w:rFonts w:ascii="Book Antiqua" w:eastAsia="MS MinNew Roman" w:hAnsi="Book Antiqua"/>
              </w:rPr>
              <w:t>Normal: 30-135 U/L</w:t>
            </w:r>
          </w:p>
        </w:tc>
        <w:tc>
          <w:tcPr>
            <w:tcW w:w="2268" w:type="dxa"/>
          </w:tcPr>
          <w:p w:rsidR="00DD5B16" w:rsidRPr="00BC5786" w:rsidRDefault="00DD5B16" w:rsidP="009C1A68">
            <w:pPr>
              <w:spacing w:after="0" w:line="360" w:lineRule="auto"/>
              <w:jc w:val="both"/>
              <w:rPr>
                <w:rFonts w:ascii="Book Antiqua" w:eastAsia="MS MinNew Roman" w:hAnsi="Book Antiqua"/>
              </w:rPr>
            </w:pPr>
            <w:r w:rsidRPr="00BC5786">
              <w:rPr>
                <w:rFonts w:ascii="Book Antiqua" w:eastAsia="MS MinNew Roman" w:hAnsi="Book Antiqua"/>
              </w:rPr>
              <w:t>136</w:t>
            </w:r>
          </w:p>
        </w:tc>
        <w:tc>
          <w:tcPr>
            <w:tcW w:w="2018" w:type="dxa"/>
          </w:tcPr>
          <w:p w:rsidR="00DD5B16" w:rsidRPr="00BC5786" w:rsidRDefault="00DD5B16" w:rsidP="009C1A68">
            <w:pPr>
              <w:spacing w:after="0" w:line="360" w:lineRule="auto"/>
              <w:jc w:val="both"/>
              <w:rPr>
                <w:rFonts w:ascii="Book Antiqua" w:eastAsia="MS MinNew Roman" w:hAnsi="Book Antiqua"/>
              </w:rPr>
            </w:pPr>
            <w:r w:rsidRPr="00BC5786">
              <w:rPr>
                <w:rFonts w:ascii="Book Antiqua" w:eastAsia="MS MinNew Roman" w:hAnsi="Book Antiqua"/>
              </w:rPr>
              <w:t>136</w:t>
            </w:r>
          </w:p>
        </w:tc>
      </w:tr>
    </w:tbl>
    <w:p w:rsidR="00DD5B16" w:rsidRPr="00BC5786" w:rsidRDefault="00DD5B16" w:rsidP="009C1A68">
      <w:pPr>
        <w:spacing w:after="0" w:line="360" w:lineRule="auto"/>
        <w:jc w:val="both"/>
        <w:rPr>
          <w:rFonts w:ascii="Book Antiqua" w:hAnsi="Book Antiqua"/>
          <w:lang w:eastAsia="zh-CN"/>
        </w:rPr>
      </w:pPr>
      <w:r w:rsidRPr="00BC5786">
        <w:rPr>
          <w:rFonts w:ascii="Book Antiqua" w:hAnsi="Book Antiqua"/>
        </w:rPr>
        <w:t>AST: Aspartate transferase</w:t>
      </w:r>
      <w:r w:rsidRPr="00BC5786">
        <w:rPr>
          <w:rFonts w:ascii="Book Antiqua" w:hAnsi="Book Antiqua"/>
          <w:lang w:eastAsia="zh-CN"/>
        </w:rPr>
        <w:t>;</w:t>
      </w:r>
      <w:r w:rsidRPr="00BC5786">
        <w:rPr>
          <w:rFonts w:ascii="Book Antiqua" w:hAnsi="Book Antiqua"/>
        </w:rPr>
        <w:t xml:space="preserve"> ALT: Alanine transferase</w:t>
      </w:r>
      <w:r w:rsidRPr="00BC5786">
        <w:rPr>
          <w:rFonts w:ascii="Book Antiqua" w:hAnsi="Book Antiqua"/>
          <w:lang w:eastAsia="zh-CN"/>
        </w:rPr>
        <w:t>;</w:t>
      </w:r>
      <w:r w:rsidRPr="00BC5786">
        <w:rPr>
          <w:rFonts w:ascii="Book Antiqua" w:hAnsi="Book Antiqua"/>
        </w:rPr>
        <w:t xml:space="preserve"> GGT: Gamma-glutamyl transferase</w:t>
      </w:r>
      <w:r w:rsidRPr="00BC5786">
        <w:rPr>
          <w:rFonts w:ascii="Book Antiqua" w:hAnsi="Book Antiqua"/>
          <w:lang w:eastAsia="zh-CN"/>
        </w:rPr>
        <w:t>.</w:t>
      </w:r>
    </w:p>
    <w:p w:rsidR="00DD5B16" w:rsidRPr="00BC5786" w:rsidRDefault="00DD5B16" w:rsidP="009C1A68">
      <w:pPr>
        <w:spacing w:after="0" w:line="360" w:lineRule="auto"/>
        <w:jc w:val="both"/>
        <w:rPr>
          <w:rFonts w:ascii="Book Antiqua" w:hAnsi="Book Antiqua"/>
        </w:rPr>
      </w:pPr>
    </w:p>
    <w:p w:rsidR="00DD5B16" w:rsidRPr="00BC5786" w:rsidRDefault="00DD5B16" w:rsidP="009C1A68">
      <w:pPr>
        <w:spacing w:after="0" w:line="360" w:lineRule="auto"/>
        <w:jc w:val="both"/>
        <w:rPr>
          <w:rFonts w:ascii="Book Antiqua" w:hAnsi="Book Antiqua"/>
        </w:rPr>
      </w:pPr>
      <w:r w:rsidRPr="00BC5786">
        <w:rPr>
          <w:rFonts w:ascii="Book Antiqua" w:hAnsi="Book Antiqua"/>
        </w:rPr>
        <w:tab/>
      </w:r>
    </w:p>
    <w:p w:rsidR="00DD5B16" w:rsidRPr="00BC5786" w:rsidRDefault="00DD5B16" w:rsidP="009C1A68">
      <w:pPr>
        <w:spacing w:after="0" w:line="360" w:lineRule="auto"/>
        <w:jc w:val="both"/>
        <w:rPr>
          <w:rFonts w:ascii="Book Antiqua" w:hAnsi="Book Antiqua"/>
        </w:rPr>
      </w:pPr>
      <w:r w:rsidRPr="00BC5786">
        <w:rPr>
          <w:rFonts w:ascii="Book Antiqua" w:hAnsi="Book Antiqua"/>
        </w:rPr>
        <w:tab/>
      </w:r>
    </w:p>
    <w:p w:rsidR="00DD5B16" w:rsidRPr="00BC5786" w:rsidRDefault="00DD5B16" w:rsidP="009C1A68">
      <w:pPr>
        <w:spacing w:after="0" w:line="360" w:lineRule="auto"/>
        <w:jc w:val="both"/>
        <w:rPr>
          <w:rFonts w:ascii="Book Antiqua" w:hAnsi="Book Antiqua"/>
        </w:rPr>
      </w:pPr>
    </w:p>
    <w:p w:rsidR="00DD5B16" w:rsidRPr="00BC5786" w:rsidRDefault="00DD5B16" w:rsidP="009C1A68">
      <w:pPr>
        <w:spacing w:after="0" w:line="360" w:lineRule="auto"/>
        <w:jc w:val="both"/>
        <w:rPr>
          <w:rFonts w:ascii="Book Antiqua" w:hAnsi="Book Antiqua"/>
        </w:rPr>
      </w:pPr>
      <w:r w:rsidRPr="00BC5786">
        <w:rPr>
          <w:rFonts w:ascii="Book Antiqua" w:hAnsi="Book Antiqua"/>
        </w:rPr>
        <w:br w:type="page"/>
      </w:r>
    </w:p>
    <w:p w:rsidR="00DD5B16" w:rsidRPr="00BC5786" w:rsidRDefault="00DF213C" w:rsidP="009C1A68">
      <w:pPr>
        <w:spacing w:after="0" w:line="360" w:lineRule="auto"/>
        <w:jc w:val="both"/>
        <w:rPr>
          <w:rFonts w:ascii="Book Antiqua" w:hAnsi="Book Antiqua"/>
          <w:b/>
          <w:noProof/>
          <w:lang w:eastAsia="zh-CN"/>
        </w:rPr>
      </w:pPr>
      <w:r>
        <w:rPr>
          <w:rFonts w:ascii="Book Antiqua" w:hAnsi="Book Antiqua"/>
          <w:b/>
          <w:noProof/>
          <w:lang w:eastAsia="en-US"/>
        </w:rPr>
        <w:drawing>
          <wp:inline distT="0" distB="0" distL="0" distR="0">
            <wp:extent cx="5368925" cy="33769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68925" cy="3376930"/>
                    </a:xfrm>
                    <a:prstGeom prst="rect">
                      <a:avLst/>
                    </a:prstGeom>
                    <a:noFill/>
                    <a:ln>
                      <a:noFill/>
                    </a:ln>
                  </pic:spPr>
                </pic:pic>
              </a:graphicData>
            </a:graphic>
          </wp:inline>
        </w:drawing>
      </w:r>
    </w:p>
    <w:p w:rsidR="00DD5B16" w:rsidRPr="001B2786" w:rsidRDefault="00DD5B16" w:rsidP="009C1A68">
      <w:pPr>
        <w:spacing w:after="0" w:line="360" w:lineRule="auto"/>
        <w:jc w:val="both"/>
        <w:rPr>
          <w:rFonts w:ascii="Book Antiqua" w:eastAsia="宋体" w:hAnsi="Book Antiqua"/>
          <w:b/>
          <w:lang w:eastAsia="zh-CN"/>
        </w:rPr>
      </w:pPr>
      <w:r w:rsidRPr="00BC5786">
        <w:rPr>
          <w:rFonts w:ascii="Book Antiqua" w:hAnsi="Book Antiqua"/>
          <w:b/>
        </w:rPr>
        <w:t>Figure 1 Histologic micrograph of liver biopsy</w:t>
      </w:r>
      <w:r w:rsidRPr="00BC5786">
        <w:rPr>
          <w:rFonts w:ascii="Book Antiqua" w:hAnsi="Book Antiqua"/>
          <w:b/>
          <w:lang w:eastAsia="zh-CN"/>
        </w:rPr>
        <w:t xml:space="preserve">. </w:t>
      </w:r>
      <w:r>
        <w:rPr>
          <w:rFonts w:ascii="Book Antiqua" w:hAnsi="Book Antiqua"/>
        </w:rPr>
        <w:t>This H</w:t>
      </w:r>
      <w:r>
        <w:rPr>
          <w:rFonts w:ascii="Book Antiqua" w:eastAsia="宋体" w:hAnsi="Book Antiqua"/>
          <w:lang w:eastAsia="zh-CN"/>
        </w:rPr>
        <w:t xml:space="preserve"> and </w:t>
      </w:r>
      <w:r w:rsidRPr="00BC5786">
        <w:rPr>
          <w:rFonts w:ascii="Book Antiqua" w:hAnsi="Book Antiqua"/>
        </w:rPr>
        <w:t>E photomicrograph shows a representative area of the adequate core needle biopsy, depicting overall a very mild lobular lymphocytic hepatitis with areas of mild cholestasis with canalicular plugs and focal hepatocyte bile pigmentation. The hepatic architecture is preserved with a normal relationship of central veins and portal tracts and no evidence of fibrosis.</w:t>
      </w:r>
      <w:r w:rsidRPr="005520F7">
        <w:rPr>
          <w:rFonts w:ascii="Book Antiqua" w:hAnsi="Book Antiqua"/>
        </w:rPr>
        <w:t xml:space="preserve"> </w:t>
      </w:r>
    </w:p>
    <w:sectPr w:rsidR="00DD5B16" w:rsidRPr="001B2786" w:rsidSect="009E43F0">
      <w:footerReference w:type="even" r:id="rId10"/>
      <w:footerReference w:type="default" r:id="rId11"/>
      <w:pgSz w:w="12240" w:h="15840" w:code="1"/>
      <w:pgMar w:top="1440" w:right="1440" w:bottom="1440" w:left="1440" w:header="709" w:footer="709"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0FF6" w:rsidRDefault="00850FF6">
      <w:r>
        <w:separator/>
      </w:r>
    </w:p>
  </w:endnote>
  <w:endnote w:type="continuationSeparator" w:id="0">
    <w:p w:rsidR="00850FF6" w:rsidRDefault="00850F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MS Minngs">
    <w:altName w:val="ＭＳ ゴシック"/>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Book Antiqua">
    <w:panose1 w:val="02040602050305030304"/>
    <w:charset w:val="00"/>
    <w:family w:val="auto"/>
    <w:pitch w:val="variable"/>
    <w:sig w:usb0="00000003" w:usb1="00000000" w:usb2="00000000" w:usb3="00000000" w:csb0="00000001" w:csb1="00000000"/>
  </w:font>
  <w:font w:name="宋体">
    <w:charset w:val="50"/>
    <w:family w:val="auto"/>
    <w:pitch w:val="variable"/>
    <w:sig w:usb0="00000001" w:usb1="080E0000" w:usb2="00000010" w:usb3="00000000" w:csb0="00040000" w:csb1="00000000"/>
  </w:font>
  <w:font w:name="Arial">
    <w:panose1 w:val="020B0604020202020204"/>
    <w:charset w:val="00"/>
    <w:family w:val="auto"/>
    <w:pitch w:val="variable"/>
    <w:sig w:usb0="E0002AFF" w:usb1="C0007843" w:usb2="00000009" w:usb3="00000000" w:csb0="000001FF" w:csb1="00000000"/>
  </w:font>
  <w:font w:name="??">
    <w:panose1 w:val="00000000000000000000"/>
    <w:charset w:val="50"/>
    <w:family w:val="auto"/>
    <w:notTrueType/>
    <w:pitch w:val="variable"/>
    <w:sig w:usb0="00000001" w:usb1="00000000" w:usb2="00000000" w:usb3="00000000" w:csb0="00000000" w:csb1="00000000"/>
  </w:font>
  <w:font w:name="MS MinNew Roman">
    <w:altName w:val="Roman"/>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6" w:rsidRDefault="00DD5B16" w:rsidP="005B6BE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D5B16" w:rsidRDefault="00DD5B16">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B16" w:rsidRDefault="00DD5B16" w:rsidP="005B6BE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F213C">
      <w:rPr>
        <w:rStyle w:val="PageNumber"/>
        <w:noProof/>
      </w:rPr>
      <w:t>12</w:t>
    </w:r>
    <w:r>
      <w:rPr>
        <w:rStyle w:val="PageNumber"/>
      </w:rPr>
      <w:fldChar w:fldCharType="end"/>
    </w:r>
  </w:p>
  <w:p w:rsidR="00DD5B16" w:rsidRDefault="00DD5B1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0FF6" w:rsidRDefault="00850FF6">
      <w:r>
        <w:separator/>
      </w:r>
    </w:p>
  </w:footnote>
  <w:footnote w:type="continuationSeparator" w:id="0">
    <w:p w:rsidR="00850FF6" w:rsidRDefault="00850FF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bordersDoNotSurroundFooter/>
  <w:defaultTabStop w:val="720"/>
  <w:drawingGridHorizontalSpacing w:val="360"/>
  <w:drawingGridVerticalSpacing w:val="360"/>
  <w:displayHorizontalDrawingGridEvery w:val="0"/>
  <w:displayVerticalDrawingGridEvery w:val="0"/>
  <w:characterSpacingControl w:val="doNotCompress"/>
  <w:noLineBreaksAfter w:lang="zh-CN" w:val="$([{£¥·‘“〈《「『【〔〖〝﹙﹛﹝＄（．［｛￡￥"/>
  <w:noLineBreaksBefore w:lang="zh-CN" w:val="!%),.:;&gt;?]}¢¨°·ˇˉ―‖’”…‰′″›℃∶、。〃〉》」』】〕〗〞︶︺︾﹀﹄﹚﹜﹞！＂％＇），．：；？］｀｜｝～￠"/>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36C7"/>
    <w:rsid w:val="00000254"/>
    <w:rsid w:val="00012218"/>
    <w:rsid w:val="00023473"/>
    <w:rsid w:val="0002452D"/>
    <w:rsid w:val="000669A9"/>
    <w:rsid w:val="000743EE"/>
    <w:rsid w:val="00094060"/>
    <w:rsid w:val="000B3162"/>
    <w:rsid w:val="00101DA0"/>
    <w:rsid w:val="001125AF"/>
    <w:rsid w:val="00120329"/>
    <w:rsid w:val="00173892"/>
    <w:rsid w:val="0017593C"/>
    <w:rsid w:val="00180F71"/>
    <w:rsid w:val="00182DB0"/>
    <w:rsid w:val="001934EE"/>
    <w:rsid w:val="001B2786"/>
    <w:rsid w:val="001D4901"/>
    <w:rsid w:val="001E417E"/>
    <w:rsid w:val="001E5539"/>
    <w:rsid w:val="002017B7"/>
    <w:rsid w:val="00202160"/>
    <w:rsid w:val="00214105"/>
    <w:rsid w:val="0021445B"/>
    <w:rsid w:val="00263A66"/>
    <w:rsid w:val="00265E03"/>
    <w:rsid w:val="002A036E"/>
    <w:rsid w:val="002A5972"/>
    <w:rsid w:val="002D62D4"/>
    <w:rsid w:val="002E5277"/>
    <w:rsid w:val="003009D2"/>
    <w:rsid w:val="00317C4A"/>
    <w:rsid w:val="003336C7"/>
    <w:rsid w:val="00336F26"/>
    <w:rsid w:val="00350DF6"/>
    <w:rsid w:val="00373A76"/>
    <w:rsid w:val="00380CAE"/>
    <w:rsid w:val="00396F96"/>
    <w:rsid w:val="003A503D"/>
    <w:rsid w:val="003A72A3"/>
    <w:rsid w:val="003B2C09"/>
    <w:rsid w:val="003B5DF1"/>
    <w:rsid w:val="003D5B1D"/>
    <w:rsid w:val="003F62F1"/>
    <w:rsid w:val="004079C2"/>
    <w:rsid w:val="00410B29"/>
    <w:rsid w:val="0041147E"/>
    <w:rsid w:val="004166CA"/>
    <w:rsid w:val="0043378B"/>
    <w:rsid w:val="00441F5C"/>
    <w:rsid w:val="004824F9"/>
    <w:rsid w:val="00493A55"/>
    <w:rsid w:val="00497870"/>
    <w:rsid w:val="004B5076"/>
    <w:rsid w:val="004C0740"/>
    <w:rsid w:val="004E0704"/>
    <w:rsid w:val="004E1EAF"/>
    <w:rsid w:val="00510B82"/>
    <w:rsid w:val="00521CDE"/>
    <w:rsid w:val="005263B6"/>
    <w:rsid w:val="00546F4D"/>
    <w:rsid w:val="005520F7"/>
    <w:rsid w:val="00555BE6"/>
    <w:rsid w:val="0058786A"/>
    <w:rsid w:val="00587CCB"/>
    <w:rsid w:val="005B6BEE"/>
    <w:rsid w:val="005E37A2"/>
    <w:rsid w:val="005F74F9"/>
    <w:rsid w:val="006215DA"/>
    <w:rsid w:val="0062449A"/>
    <w:rsid w:val="006259DF"/>
    <w:rsid w:val="0065521E"/>
    <w:rsid w:val="00667BF2"/>
    <w:rsid w:val="0068096B"/>
    <w:rsid w:val="006B2C82"/>
    <w:rsid w:val="006D7759"/>
    <w:rsid w:val="00703F6F"/>
    <w:rsid w:val="00705EE9"/>
    <w:rsid w:val="00711F80"/>
    <w:rsid w:val="00727BF7"/>
    <w:rsid w:val="00757828"/>
    <w:rsid w:val="00765B9D"/>
    <w:rsid w:val="00780B68"/>
    <w:rsid w:val="00792F2D"/>
    <w:rsid w:val="007B21A1"/>
    <w:rsid w:val="007B25ED"/>
    <w:rsid w:val="007C3598"/>
    <w:rsid w:val="007E3960"/>
    <w:rsid w:val="007E60B3"/>
    <w:rsid w:val="007F45A5"/>
    <w:rsid w:val="00815D9D"/>
    <w:rsid w:val="008257BC"/>
    <w:rsid w:val="00850FF6"/>
    <w:rsid w:val="0085591E"/>
    <w:rsid w:val="00872D6B"/>
    <w:rsid w:val="00873CF0"/>
    <w:rsid w:val="008753DF"/>
    <w:rsid w:val="00880149"/>
    <w:rsid w:val="00892EBF"/>
    <w:rsid w:val="008951C2"/>
    <w:rsid w:val="008B2E27"/>
    <w:rsid w:val="008B4CAD"/>
    <w:rsid w:val="008D7B8B"/>
    <w:rsid w:val="008E66C1"/>
    <w:rsid w:val="009109BD"/>
    <w:rsid w:val="00927745"/>
    <w:rsid w:val="009327D9"/>
    <w:rsid w:val="00954801"/>
    <w:rsid w:val="00956D60"/>
    <w:rsid w:val="009602E3"/>
    <w:rsid w:val="00972CD9"/>
    <w:rsid w:val="00974890"/>
    <w:rsid w:val="009B20A2"/>
    <w:rsid w:val="009B4490"/>
    <w:rsid w:val="009C1584"/>
    <w:rsid w:val="009C1A68"/>
    <w:rsid w:val="009C5D80"/>
    <w:rsid w:val="009C6B03"/>
    <w:rsid w:val="009E43F0"/>
    <w:rsid w:val="009F0A73"/>
    <w:rsid w:val="00A0206E"/>
    <w:rsid w:val="00A04B0D"/>
    <w:rsid w:val="00A12069"/>
    <w:rsid w:val="00A30DCF"/>
    <w:rsid w:val="00A34AF8"/>
    <w:rsid w:val="00A53143"/>
    <w:rsid w:val="00A557B3"/>
    <w:rsid w:val="00A73204"/>
    <w:rsid w:val="00A740FC"/>
    <w:rsid w:val="00A75E93"/>
    <w:rsid w:val="00AA0B8B"/>
    <w:rsid w:val="00AC67C5"/>
    <w:rsid w:val="00AF107B"/>
    <w:rsid w:val="00AF4835"/>
    <w:rsid w:val="00B33467"/>
    <w:rsid w:val="00B50728"/>
    <w:rsid w:val="00B5727E"/>
    <w:rsid w:val="00B572C4"/>
    <w:rsid w:val="00B63727"/>
    <w:rsid w:val="00B726F7"/>
    <w:rsid w:val="00B731F6"/>
    <w:rsid w:val="00B753B5"/>
    <w:rsid w:val="00B91846"/>
    <w:rsid w:val="00B93ECE"/>
    <w:rsid w:val="00BA7D70"/>
    <w:rsid w:val="00BB24A6"/>
    <w:rsid w:val="00BC0F20"/>
    <w:rsid w:val="00BC5786"/>
    <w:rsid w:val="00C10D2B"/>
    <w:rsid w:val="00C25221"/>
    <w:rsid w:val="00C428AB"/>
    <w:rsid w:val="00C44C27"/>
    <w:rsid w:val="00C63BF8"/>
    <w:rsid w:val="00C81BFE"/>
    <w:rsid w:val="00CA34BD"/>
    <w:rsid w:val="00CB1E67"/>
    <w:rsid w:val="00CF53B5"/>
    <w:rsid w:val="00D26301"/>
    <w:rsid w:val="00D27DF7"/>
    <w:rsid w:val="00D320A6"/>
    <w:rsid w:val="00D37385"/>
    <w:rsid w:val="00D44ADD"/>
    <w:rsid w:val="00D80F88"/>
    <w:rsid w:val="00D82E8A"/>
    <w:rsid w:val="00DC2AFE"/>
    <w:rsid w:val="00DD5B16"/>
    <w:rsid w:val="00DF213C"/>
    <w:rsid w:val="00DF2193"/>
    <w:rsid w:val="00DF7F19"/>
    <w:rsid w:val="00E0777E"/>
    <w:rsid w:val="00E2737C"/>
    <w:rsid w:val="00E344F6"/>
    <w:rsid w:val="00E35CEB"/>
    <w:rsid w:val="00E507B7"/>
    <w:rsid w:val="00E543CB"/>
    <w:rsid w:val="00E71607"/>
    <w:rsid w:val="00E71930"/>
    <w:rsid w:val="00E72310"/>
    <w:rsid w:val="00E73EAA"/>
    <w:rsid w:val="00EA692E"/>
    <w:rsid w:val="00EC4806"/>
    <w:rsid w:val="00ED22D3"/>
    <w:rsid w:val="00EE6EA5"/>
    <w:rsid w:val="00EF1C2D"/>
    <w:rsid w:val="00EF47E0"/>
    <w:rsid w:val="00F06F82"/>
    <w:rsid w:val="00F53B33"/>
    <w:rsid w:val="00F87BCA"/>
    <w:rsid w:val="00F91797"/>
    <w:rsid w:val="00F92F56"/>
    <w:rsid w:val="00F94AFB"/>
    <w:rsid w:val="00F9704D"/>
    <w:rsid w:val="00FA4830"/>
    <w:rsid w:val="00FA4FEC"/>
    <w:rsid w:val="00FA773A"/>
    <w:rsid w:val="00FC56B4"/>
    <w:rsid w:val="00FF60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ngs" w:hAnsi="Cambria" w:cs="Times New Roman"/>
        <w:lang w:val="en-US" w:eastAsia="zh-CN"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36C7"/>
    <w:pPr>
      <w:spacing w:after="200"/>
    </w:pPr>
    <w:rPr>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43378B"/>
    <w:pPr>
      <w:ind w:left="720"/>
      <w:contextualSpacing/>
    </w:pPr>
  </w:style>
  <w:style w:type="table" w:styleId="TableGrid">
    <w:name w:val="Table Grid"/>
    <w:basedOn w:val="TableNormal"/>
    <w:uiPriority w:val="99"/>
    <w:rsid w:val="00A557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41147E"/>
    <w:pPr>
      <w:spacing w:after="0"/>
    </w:pPr>
    <w:rPr>
      <w:rFonts w:ascii="Lucida Grande" w:hAnsi="Lucida Grande" w:cs="Lucida Grande"/>
      <w:sz w:val="18"/>
      <w:szCs w:val="18"/>
    </w:rPr>
  </w:style>
  <w:style w:type="character" w:customStyle="1" w:styleId="BalloonTextChar">
    <w:name w:val="Balloon Text Char"/>
    <w:link w:val="BalloonText"/>
    <w:uiPriority w:val="99"/>
    <w:semiHidden/>
    <w:locked/>
    <w:rsid w:val="0041147E"/>
    <w:rPr>
      <w:rFonts w:ascii="Lucida Grande" w:hAnsi="Lucida Grande" w:cs="Lucida Grande"/>
      <w:sz w:val="18"/>
      <w:szCs w:val="18"/>
    </w:rPr>
  </w:style>
  <w:style w:type="character" w:customStyle="1" w:styleId="apple-converted-space">
    <w:name w:val="apple-converted-space"/>
    <w:uiPriority w:val="99"/>
    <w:rsid w:val="00023473"/>
    <w:rPr>
      <w:rFonts w:cs="Times New Roman"/>
    </w:rPr>
  </w:style>
  <w:style w:type="paragraph" w:customStyle="1" w:styleId="CharChar2">
    <w:name w:val="Char Char2"/>
    <w:basedOn w:val="Normal"/>
    <w:autoRedefine/>
    <w:uiPriority w:val="99"/>
    <w:rsid w:val="009E43F0"/>
    <w:pPr>
      <w:widowControl w:val="0"/>
      <w:tabs>
        <w:tab w:val="num" w:pos="360"/>
      </w:tabs>
      <w:spacing w:after="0"/>
      <w:ind w:left="360" w:hangingChars="200" w:hanging="360"/>
      <w:jc w:val="both"/>
    </w:pPr>
    <w:rPr>
      <w:rFonts w:ascii="Times New Roman" w:hAnsi="Times New Roman"/>
      <w:kern w:val="2"/>
      <w:lang w:eastAsia="zh-CN"/>
    </w:rPr>
  </w:style>
  <w:style w:type="character" w:styleId="CommentReference">
    <w:name w:val="annotation reference"/>
    <w:uiPriority w:val="99"/>
    <w:semiHidden/>
    <w:rsid w:val="00C10D2B"/>
    <w:rPr>
      <w:rFonts w:cs="Times New Roman"/>
      <w:sz w:val="21"/>
      <w:szCs w:val="21"/>
    </w:rPr>
  </w:style>
  <w:style w:type="paragraph" w:styleId="CommentText">
    <w:name w:val="annotation text"/>
    <w:basedOn w:val="Normal"/>
    <w:link w:val="CommentTextChar1"/>
    <w:uiPriority w:val="99"/>
    <w:semiHidden/>
    <w:rsid w:val="00C10D2B"/>
    <w:rPr>
      <w:szCs w:val="20"/>
    </w:rPr>
  </w:style>
  <w:style w:type="character" w:customStyle="1" w:styleId="CommentTextChar">
    <w:name w:val="Comment Text Char"/>
    <w:uiPriority w:val="99"/>
    <w:semiHidden/>
    <w:locked/>
    <w:rsid w:val="00441F5C"/>
    <w:rPr>
      <w:rFonts w:cs="Times New Roman"/>
      <w:kern w:val="0"/>
      <w:sz w:val="24"/>
      <w:szCs w:val="24"/>
      <w:lang w:eastAsia="ja-JP"/>
    </w:rPr>
  </w:style>
  <w:style w:type="paragraph" w:styleId="CommentSubject">
    <w:name w:val="annotation subject"/>
    <w:basedOn w:val="CommentText"/>
    <w:next w:val="CommentText"/>
    <w:link w:val="CommentSubjectChar"/>
    <w:uiPriority w:val="99"/>
    <w:semiHidden/>
    <w:rsid w:val="00C10D2B"/>
    <w:rPr>
      <w:b/>
      <w:bCs/>
    </w:rPr>
  </w:style>
  <w:style w:type="character" w:customStyle="1" w:styleId="CommentSubjectChar">
    <w:name w:val="Comment Subject Char"/>
    <w:link w:val="CommentSubject"/>
    <w:uiPriority w:val="99"/>
    <w:semiHidden/>
    <w:locked/>
    <w:rsid w:val="00441F5C"/>
    <w:rPr>
      <w:rFonts w:cs="Times New Roman"/>
      <w:b/>
      <w:bCs/>
      <w:kern w:val="0"/>
      <w:sz w:val="24"/>
      <w:szCs w:val="24"/>
      <w:lang w:eastAsia="ja-JP"/>
    </w:rPr>
  </w:style>
  <w:style w:type="character" w:styleId="Hyperlink">
    <w:name w:val="Hyperlink"/>
    <w:uiPriority w:val="99"/>
    <w:rsid w:val="00C10D2B"/>
    <w:rPr>
      <w:rFonts w:cs="Times New Roman"/>
      <w:color w:val="0000FF"/>
      <w:u w:val="single"/>
    </w:rPr>
  </w:style>
  <w:style w:type="character" w:customStyle="1" w:styleId="CommentTextChar1">
    <w:name w:val="Comment Text Char1"/>
    <w:link w:val="CommentText"/>
    <w:uiPriority w:val="99"/>
    <w:semiHidden/>
    <w:locked/>
    <w:rsid w:val="00C10D2B"/>
    <w:rPr>
      <w:rFonts w:ascii="Cambria" w:eastAsia="MS Minngs" w:hAnsi="Cambria"/>
      <w:sz w:val="24"/>
      <w:lang w:val="en-US" w:eastAsia="ja-JP"/>
    </w:rPr>
  </w:style>
  <w:style w:type="paragraph" w:customStyle="1" w:styleId="CharChar21">
    <w:name w:val="Char Char21"/>
    <w:basedOn w:val="Normal"/>
    <w:autoRedefine/>
    <w:uiPriority w:val="99"/>
    <w:rsid w:val="00C10D2B"/>
    <w:pPr>
      <w:widowControl w:val="0"/>
      <w:tabs>
        <w:tab w:val="num" w:pos="360"/>
      </w:tabs>
      <w:spacing w:after="0"/>
      <w:ind w:left="360" w:hangingChars="200" w:hanging="360"/>
      <w:jc w:val="both"/>
    </w:pPr>
    <w:rPr>
      <w:rFonts w:ascii="Times New Roman" w:hAnsi="Times New Roman"/>
      <w:kern w:val="2"/>
      <w:lang w:eastAsia="zh-CN"/>
    </w:rPr>
  </w:style>
  <w:style w:type="character" w:styleId="FollowedHyperlink">
    <w:name w:val="FollowedHyperlink"/>
    <w:uiPriority w:val="99"/>
    <w:semiHidden/>
    <w:rsid w:val="009C5D80"/>
    <w:rPr>
      <w:rFonts w:cs="Times New Roman"/>
      <w:color w:val="800080"/>
      <w:u w:val="single"/>
    </w:rPr>
  </w:style>
  <w:style w:type="character" w:customStyle="1" w:styleId="highlight">
    <w:name w:val="highlight"/>
    <w:uiPriority w:val="99"/>
    <w:rsid w:val="00880149"/>
    <w:rPr>
      <w:rFonts w:cs="Times New Roman"/>
    </w:rPr>
  </w:style>
  <w:style w:type="paragraph" w:styleId="Footer">
    <w:name w:val="footer"/>
    <w:basedOn w:val="Normal"/>
    <w:link w:val="FooterChar"/>
    <w:uiPriority w:val="99"/>
    <w:rsid w:val="009109BD"/>
    <w:pPr>
      <w:tabs>
        <w:tab w:val="center" w:pos="4153"/>
        <w:tab w:val="right" w:pos="8306"/>
      </w:tabs>
      <w:snapToGrid w:val="0"/>
    </w:pPr>
    <w:rPr>
      <w:sz w:val="18"/>
      <w:szCs w:val="18"/>
    </w:rPr>
  </w:style>
  <w:style w:type="character" w:customStyle="1" w:styleId="FooterChar">
    <w:name w:val="Footer Char"/>
    <w:link w:val="Footer"/>
    <w:uiPriority w:val="99"/>
    <w:semiHidden/>
    <w:locked/>
    <w:rsid w:val="00263A66"/>
    <w:rPr>
      <w:rFonts w:cs="Times New Roman"/>
      <w:kern w:val="0"/>
      <w:sz w:val="18"/>
      <w:szCs w:val="18"/>
      <w:lang w:eastAsia="ja-JP"/>
    </w:rPr>
  </w:style>
  <w:style w:type="character" w:styleId="PageNumber">
    <w:name w:val="page number"/>
    <w:uiPriority w:val="99"/>
    <w:rsid w:val="009109BD"/>
    <w:rPr>
      <w:rFonts w:cs="Times New Roman"/>
    </w:rPr>
  </w:style>
  <w:style w:type="character" w:customStyle="1" w:styleId="ecx969315014-28082015">
    <w:name w:val="ecx969315014-28082015"/>
    <w:uiPriority w:val="99"/>
    <w:rsid w:val="009F0A73"/>
    <w:rPr>
      <w:rFonts w:cs="Times New Roman"/>
    </w:rPr>
  </w:style>
  <w:style w:type="character" w:customStyle="1" w:styleId="baddress">
    <w:name w:val="b_address"/>
    <w:uiPriority w:val="99"/>
    <w:rsid w:val="009F0A73"/>
    <w:rPr>
      <w:rFonts w:cs="Times New Roman"/>
    </w:rPr>
  </w:style>
  <w:style w:type="paragraph" w:styleId="Header">
    <w:name w:val="header"/>
    <w:basedOn w:val="Normal"/>
    <w:link w:val="HeaderChar"/>
    <w:uiPriority w:val="99"/>
    <w:unhideWhenUsed/>
    <w:rsid w:val="00FA4830"/>
    <w:pPr>
      <w:pBdr>
        <w:bottom w:val="single" w:sz="6" w:space="1" w:color="auto"/>
      </w:pBdr>
      <w:tabs>
        <w:tab w:val="center" w:pos="4153"/>
        <w:tab w:val="right" w:pos="8306"/>
      </w:tabs>
      <w:snapToGrid w:val="0"/>
      <w:jc w:val="center"/>
    </w:pPr>
    <w:rPr>
      <w:sz w:val="18"/>
      <w:szCs w:val="18"/>
    </w:rPr>
  </w:style>
  <w:style w:type="character" w:customStyle="1" w:styleId="HeaderChar">
    <w:name w:val="Header Char"/>
    <w:link w:val="Header"/>
    <w:uiPriority w:val="99"/>
    <w:rsid w:val="00FA4830"/>
    <w:rPr>
      <w:kern w:val="0"/>
      <w:sz w:val="18"/>
      <w:szCs w:val="18"/>
      <w:lang w:eastAsia="ja-JP"/>
    </w:rPr>
  </w:style>
  <w:style w:type="character" w:styleId="Emphasis">
    <w:name w:val="Emphasis"/>
    <w:qFormat/>
    <w:locked/>
    <w:rsid w:val="00DF213C"/>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ngs" w:hAnsi="Cambria" w:cs="Times New Roman"/>
        <w:lang w:val="en-US" w:eastAsia="zh-CN"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36C7"/>
    <w:pPr>
      <w:spacing w:after="200"/>
    </w:pPr>
    <w:rPr>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43378B"/>
    <w:pPr>
      <w:ind w:left="720"/>
      <w:contextualSpacing/>
    </w:pPr>
  </w:style>
  <w:style w:type="table" w:styleId="TableGrid">
    <w:name w:val="Table Grid"/>
    <w:basedOn w:val="TableNormal"/>
    <w:uiPriority w:val="99"/>
    <w:rsid w:val="00A557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41147E"/>
    <w:pPr>
      <w:spacing w:after="0"/>
    </w:pPr>
    <w:rPr>
      <w:rFonts w:ascii="Lucida Grande" w:hAnsi="Lucida Grande" w:cs="Lucida Grande"/>
      <w:sz w:val="18"/>
      <w:szCs w:val="18"/>
    </w:rPr>
  </w:style>
  <w:style w:type="character" w:customStyle="1" w:styleId="BalloonTextChar">
    <w:name w:val="Balloon Text Char"/>
    <w:link w:val="BalloonText"/>
    <w:uiPriority w:val="99"/>
    <w:semiHidden/>
    <w:locked/>
    <w:rsid w:val="0041147E"/>
    <w:rPr>
      <w:rFonts w:ascii="Lucida Grande" w:hAnsi="Lucida Grande" w:cs="Lucida Grande"/>
      <w:sz w:val="18"/>
      <w:szCs w:val="18"/>
    </w:rPr>
  </w:style>
  <w:style w:type="character" w:customStyle="1" w:styleId="apple-converted-space">
    <w:name w:val="apple-converted-space"/>
    <w:uiPriority w:val="99"/>
    <w:rsid w:val="00023473"/>
    <w:rPr>
      <w:rFonts w:cs="Times New Roman"/>
    </w:rPr>
  </w:style>
  <w:style w:type="paragraph" w:customStyle="1" w:styleId="CharChar2">
    <w:name w:val="Char Char2"/>
    <w:basedOn w:val="Normal"/>
    <w:autoRedefine/>
    <w:uiPriority w:val="99"/>
    <w:rsid w:val="009E43F0"/>
    <w:pPr>
      <w:widowControl w:val="0"/>
      <w:tabs>
        <w:tab w:val="num" w:pos="360"/>
      </w:tabs>
      <w:spacing w:after="0"/>
      <w:ind w:left="360" w:hangingChars="200" w:hanging="360"/>
      <w:jc w:val="both"/>
    </w:pPr>
    <w:rPr>
      <w:rFonts w:ascii="Times New Roman" w:hAnsi="Times New Roman"/>
      <w:kern w:val="2"/>
      <w:lang w:eastAsia="zh-CN"/>
    </w:rPr>
  </w:style>
  <w:style w:type="character" w:styleId="CommentReference">
    <w:name w:val="annotation reference"/>
    <w:uiPriority w:val="99"/>
    <w:semiHidden/>
    <w:rsid w:val="00C10D2B"/>
    <w:rPr>
      <w:rFonts w:cs="Times New Roman"/>
      <w:sz w:val="21"/>
      <w:szCs w:val="21"/>
    </w:rPr>
  </w:style>
  <w:style w:type="paragraph" w:styleId="CommentText">
    <w:name w:val="annotation text"/>
    <w:basedOn w:val="Normal"/>
    <w:link w:val="CommentTextChar1"/>
    <w:uiPriority w:val="99"/>
    <w:semiHidden/>
    <w:rsid w:val="00C10D2B"/>
    <w:rPr>
      <w:szCs w:val="20"/>
    </w:rPr>
  </w:style>
  <w:style w:type="character" w:customStyle="1" w:styleId="CommentTextChar">
    <w:name w:val="Comment Text Char"/>
    <w:uiPriority w:val="99"/>
    <w:semiHidden/>
    <w:locked/>
    <w:rsid w:val="00441F5C"/>
    <w:rPr>
      <w:rFonts w:cs="Times New Roman"/>
      <w:kern w:val="0"/>
      <w:sz w:val="24"/>
      <w:szCs w:val="24"/>
      <w:lang w:eastAsia="ja-JP"/>
    </w:rPr>
  </w:style>
  <w:style w:type="paragraph" w:styleId="CommentSubject">
    <w:name w:val="annotation subject"/>
    <w:basedOn w:val="CommentText"/>
    <w:next w:val="CommentText"/>
    <w:link w:val="CommentSubjectChar"/>
    <w:uiPriority w:val="99"/>
    <w:semiHidden/>
    <w:rsid w:val="00C10D2B"/>
    <w:rPr>
      <w:b/>
      <w:bCs/>
    </w:rPr>
  </w:style>
  <w:style w:type="character" w:customStyle="1" w:styleId="CommentSubjectChar">
    <w:name w:val="Comment Subject Char"/>
    <w:link w:val="CommentSubject"/>
    <w:uiPriority w:val="99"/>
    <w:semiHidden/>
    <w:locked/>
    <w:rsid w:val="00441F5C"/>
    <w:rPr>
      <w:rFonts w:cs="Times New Roman"/>
      <w:b/>
      <w:bCs/>
      <w:kern w:val="0"/>
      <w:sz w:val="24"/>
      <w:szCs w:val="24"/>
      <w:lang w:eastAsia="ja-JP"/>
    </w:rPr>
  </w:style>
  <w:style w:type="character" w:styleId="Hyperlink">
    <w:name w:val="Hyperlink"/>
    <w:uiPriority w:val="99"/>
    <w:rsid w:val="00C10D2B"/>
    <w:rPr>
      <w:rFonts w:cs="Times New Roman"/>
      <w:color w:val="0000FF"/>
      <w:u w:val="single"/>
    </w:rPr>
  </w:style>
  <w:style w:type="character" w:customStyle="1" w:styleId="CommentTextChar1">
    <w:name w:val="Comment Text Char1"/>
    <w:link w:val="CommentText"/>
    <w:uiPriority w:val="99"/>
    <w:semiHidden/>
    <w:locked/>
    <w:rsid w:val="00C10D2B"/>
    <w:rPr>
      <w:rFonts w:ascii="Cambria" w:eastAsia="MS Minngs" w:hAnsi="Cambria"/>
      <w:sz w:val="24"/>
      <w:lang w:val="en-US" w:eastAsia="ja-JP"/>
    </w:rPr>
  </w:style>
  <w:style w:type="paragraph" w:customStyle="1" w:styleId="CharChar21">
    <w:name w:val="Char Char21"/>
    <w:basedOn w:val="Normal"/>
    <w:autoRedefine/>
    <w:uiPriority w:val="99"/>
    <w:rsid w:val="00C10D2B"/>
    <w:pPr>
      <w:widowControl w:val="0"/>
      <w:tabs>
        <w:tab w:val="num" w:pos="360"/>
      </w:tabs>
      <w:spacing w:after="0"/>
      <w:ind w:left="360" w:hangingChars="200" w:hanging="360"/>
      <w:jc w:val="both"/>
    </w:pPr>
    <w:rPr>
      <w:rFonts w:ascii="Times New Roman" w:hAnsi="Times New Roman"/>
      <w:kern w:val="2"/>
      <w:lang w:eastAsia="zh-CN"/>
    </w:rPr>
  </w:style>
  <w:style w:type="character" w:styleId="FollowedHyperlink">
    <w:name w:val="FollowedHyperlink"/>
    <w:uiPriority w:val="99"/>
    <w:semiHidden/>
    <w:rsid w:val="009C5D80"/>
    <w:rPr>
      <w:rFonts w:cs="Times New Roman"/>
      <w:color w:val="800080"/>
      <w:u w:val="single"/>
    </w:rPr>
  </w:style>
  <w:style w:type="character" w:customStyle="1" w:styleId="highlight">
    <w:name w:val="highlight"/>
    <w:uiPriority w:val="99"/>
    <w:rsid w:val="00880149"/>
    <w:rPr>
      <w:rFonts w:cs="Times New Roman"/>
    </w:rPr>
  </w:style>
  <w:style w:type="paragraph" w:styleId="Footer">
    <w:name w:val="footer"/>
    <w:basedOn w:val="Normal"/>
    <w:link w:val="FooterChar"/>
    <w:uiPriority w:val="99"/>
    <w:rsid w:val="009109BD"/>
    <w:pPr>
      <w:tabs>
        <w:tab w:val="center" w:pos="4153"/>
        <w:tab w:val="right" w:pos="8306"/>
      </w:tabs>
      <w:snapToGrid w:val="0"/>
    </w:pPr>
    <w:rPr>
      <w:sz w:val="18"/>
      <w:szCs w:val="18"/>
    </w:rPr>
  </w:style>
  <w:style w:type="character" w:customStyle="1" w:styleId="FooterChar">
    <w:name w:val="Footer Char"/>
    <w:link w:val="Footer"/>
    <w:uiPriority w:val="99"/>
    <w:semiHidden/>
    <w:locked/>
    <w:rsid w:val="00263A66"/>
    <w:rPr>
      <w:rFonts w:cs="Times New Roman"/>
      <w:kern w:val="0"/>
      <w:sz w:val="18"/>
      <w:szCs w:val="18"/>
      <w:lang w:eastAsia="ja-JP"/>
    </w:rPr>
  </w:style>
  <w:style w:type="character" w:styleId="PageNumber">
    <w:name w:val="page number"/>
    <w:uiPriority w:val="99"/>
    <w:rsid w:val="009109BD"/>
    <w:rPr>
      <w:rFonts w:cs="Times New Roman"/>
    </w:rPr>
  </w:style>
  <w:style w:type="character" w:customStyle="1" w:styleId="ecx969315014-28082015">
    <w:name w:val="ecx969315014-28082015"/>
    <w:uiPriority w:val="99"/>
    <w:rsid w:val="009F0A73"/>
    <w:rPr>
      <w:rFonts w:cs="Times New Roman"/>
    </w:rPr>
  </w:style>
  <w:style w:type="character" w:customStyle="1" w:styleId="baddress">
    <w:name w:val="b_address"/>
    <w:uiPriority w:val="99"/>
    <w:rsid w:val="009F0A73"/>
    <w:rPr>
      <w:rFonts w:cs="Times New Roman"/>
    </w:rPr>
  </w:style>
  <w:style w:type="paragraph" w:styleId="Header">
    <w:name w:val="header"/>
    <w:basedOn w:val="Normal"/>
    <w:link w:val="HeaderChar"/>
    <w:uiPriority w:val="99"/>
    <w:unhideWhenUsed/>
    <w:rsid w:val="00FA4830"/>
    <w:pPr>
      <w:pBdr>
        <w:bottom w:val="single" w:sz="6" w:space="1" w:color="auto"/>
      </w:pBdr>
      <w:tabs>
        <w:tab w:val="center" w:pos="4153"/>
        <w:tab w:val="right" w:pos="8306"/>
      </w:tabs>
      <w:snapToGrid w:val="0"/>
      <w:jc w:val="center"/>
    </w:pPr>
    <w:rPr>
      <w:sz w:val="18"/>
      <w:szCs w:val="18"/>
    </w:rPr>
  </w:style>
  <w:style w:type="character" w:customStyle="1" w:styleId="HeaderChar">
    <w:name w:val="Header Char"/>
    <w:link w:val="Header"/>
    <w:uiPriority w:val="99"/>
    <w:rsid w:val="00FA4830"/>
    <w:rPr>
      <w:kern w:val="0"/>
      <w:sz w:val="18"/>
      <w:szCs w:val="18"/>
      <w:lang w:eastAsia="ja-JP"/>
    </w:rPr>
  </w:style>
  <w:style w:type="character" w:styleId="Emphasis">
    <w:name w:val="Emphasis"/>
    <w:qFormat/>
    <w:locked/>
    <w:rsid w:val="00DF213C"/>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910004">
      <w:marLeft w:val="0"/>
      <w:marRight w:val="0"/>
      <w:marTop w:val="0"/>
      <w:marBottom w:val="0"/>
      <w:divBdr>
        <w:top w:val="none" w:sz="0" w:space="0" w:color="auto"/>
        <w:left w:val="none" w:sz="0" w:space="0" w:color="auto"/>
        <w:bottom w:val="none" w:sz="0" w:space="0" w:color="auto"/>
        <w:right w:val="none" w:sz="0" w:space="0" w:color="auto"/>
      </w:divBdr>
    </w:div>
    <w:div w:id="203910005">
      <w:marLeft w:val="0"/>
      <w:marRight w:val="0"/>
      <w:marTop w:val="0"/>
      <w:marBottom w:val="0"/>
      <w:divBdr>
        <w:top w:val="none" w:sz="0" w:space="0" w:color="auto"/>
        <w:left w:val="none" w:sz="0" w:space="0" w:color="auto"/>
        <w:bottom w:val="none" w:sz="0" w:space="0" w:color="auto"/>
        <w:right w:val="none" w:sz="0" w:space="0" w:color="auto"/>
      </w:divBdr>
    </w:div>
    <w:div w:id="203910006">
      <w:marLeft w:val="0"/>
      <w:marRight w:val="0"/>
      <w:marTop w:val="0"/>
      <w:marBottom w:val="0"/>
      <w:divBdr>
        <w:top w:val="none" w:sz="0" w:space="0" w:color="auto"/>
        <w:left w:val="none" w:sz="0" w:space="0" w:color="auto"/>
        <w:bottom w:val="none" w:sz="0" w:space="0" w:color="auto"/>
        <w:right w:val="none" w:sz="0" w:space="0" w:color="auto"/>
      </w:divBdr>
    </w:div>
    <w:div w:id="203910007">
      <w:marLeft w:val="0"/>
      <w:marRight w:val="0"/>
      <w:marTop w:val="0"/>
      <w:marBottom w:val="0"/>
      <w:divBdr>
        <w:top w:val="none" w:sz="0" w:space="0" w:color="auto"/>
        <w:left w:val="none" w:sz="0" w:space="0" w:color="auto"/>
        <w:bottom w:val="none" w:sz="0" w:space="0" w:color="auto"/>
        <w:right w:val="none" w:sz="0" w:space="0" w:color="auto"/>
      </w:divBdr>
    </w:div>
    <w:div w:id="203910008">
      <w:marLeft w:val="0"/>
      <w:marRight w:val="0"/>
      <w:marTop w:val="0"/>
      <w:marBottom w:val="0"/>
      <w:divBdr>
        <w:top w:val="none" w:sz="0" w:space="0" w:color="auto"/>
        <w:left w:val="none" w:sz="0" w:space="0" w:color="auto"/>
        <w:bottom w:val="none" w:sz="0" w:space="0" w:color="auto"/>
        <w:right w:val="none" w:sz="0" w:space="0" w:color="auto"/>
      </w:divBdr>
    </w:div>
    <w:div w:id="203910011">
      <w:marLeft w:val="0"/>
      <w:marRight w:val="0"/>
      <w:marTop w:val="0"/>
      <w:marBottom w:val="0"/>
      <w:divBdr>
        <w:top w:val="none" w:sz="0" w:space="0" w:color="auto"/>
        <w:left w:val="none" w:sz="0" w:space="0" w:color="auto"/>
        <w:bottom w:val="none" w:sz="0" w:space="0" w:color="auto"/>
        <w:right w:val="none" w:sz="0" w:space="0" w:color="auto"/>
      </w:divBdr>
      <w:divsChild>
        <w:div w:id="203910009">
          <w:marLeft w:val="0"/>
          <w:marRight w:val="0"/>
          <w:marTop w:val="0"/>
          <w:marBottom w:val="0"/>
          <w:divBdr>
            <w:top w:val="none" w:sz="0" w:space="0" w:color="auto"/>
            <w:left w:val="none" w:sz="0" w:space="0" w:color="auto"/>
            <w:bottom w:val="none" w:sz="0" w:space="0" w:color="auto"/>
            <w:right w:val="none" w:sz="0" w:space="0" w:color="auto"/>
          </w:divBdr>
          <w:divsChild>
            <w:div w:id="203910013">
              <w:marLeft w:val="0"/>
              <w:marRight w:val="0"/>
              <w:marTop w:val="0"/>
              <w:marBottom w:val="0"/>
              <w:divBdr>
                <w:top w:val="none" w:sz="0" w:space="0" w:color="auto"/>
                <w:left w:val="none" w:sz="0" w:space="0" w:color="auto"/>
                <w:bottom w:val="none" w:sz="0" w:space="0" w:color="auto"/>
                <w:right w:val="none" w:sz="0" w:space="0" w:color="auto"/>
              </w:divBdr>
              <w:divsChild>
                <w:div w:id="20391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0012">
      <w:marLeft w:val="0"/>
      <w:marRight w:val="0"/>
      <w:marTop w:val="0"/>
      <w:marBottom w:val="0"/>
      <w:divBdr>
        <w:top w:val="none" w:sz="0" w:space="0" w:color="auto"/>
        <w:left w:val="none" w:sz="0" w:space="0" w:color="auto"/>
        <w:bottom w:val="none" w:sz="0" w:space="0" w:color="auto"/>
        <w:right w:val="none" w:sz="0" w:space="0" w:color="auto"/>
      </w:divBdr>
      <w:divsChild>
        <w:div w:id="203910010">
          <w:marLeft w:val="0"/>
          <w:marRight w:val="0"/>
          <w:marTop w:val="0"/>
          <w:marBottom w:val="0"/>
          <w:divBdr>
            <w:top w:val="none" w:sz="0" w:space="0" w:color="auto"/>
            <w:left w:val="none" w:sz="0" w:space="0" w:color="auto"/>
            <w:bottom w:val="none" w:sz="0" w:space="0" w:color="auto"/>
            <w:right w:val="none" w:sz="0" w:space="0" w:color="auto"/>
          </w:divBdr>
        </w:div>
      </w:divsChild>
    </w:div>
    <w:div w:id="203910015">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eric.yoshida@vch.ca" TargetMode="External"/><Relationship Id="rId8" Type="http://schemas.openxmlformats.org/officeDocument/2006/relationships/hyperlink" Target="http://www.ncbi.nlm.nih.gov/pubmed/?term=LEGS%20study%20collaborative%20group%5BCorporate%20Author%5D" TargetMode="External"/><Relationship Id="rId9" Type="http://schemas.openxmlformats.org/officeDocument/2006/relationships/image" Target="media/image1.png"/><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2433</Words>
  <Characters>13871</Characters>
  <Application>Microsoft Macintosh Word</Application>
  <DocSecurity>0</DocSecurity>
  <Lines>115</Lines>
  <Paragraphs>32</Paragraphs>
  <ScaleCrop>false</ScaleCrop>
  <Company/>
  <LinksUpToDate>false</LinksUpToDate>
  <CharactersWithSpaces>16272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of journal: World Journal of Hepatology</dc:title>
  <dc:subject/>
  <dc:creator>Stephen  Ip</dc:creator>
  <cp:keywords/>
  <dc:description/>
  <cp:lastModifiedBy>Na Ma</cp:lastModifiedBy>
  <cp:revision>2</cp:revision>
  <dcterms:created xsi:type="dcterms:W3CDTF">2015-09-17T19:10:00Z</dcterms:created>
  <dcterms:modified xsi:type="dcterms:W3CDTF">2015-09-17T19:10:00Z</dcterms:modified>
</cp:coreProperties>
</file>