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67E08" w14:textId="77777777" w:rsidR="00FA3CB2" w:rsidRPr="004865E7" w:rsidRDefault="00FA3CB2" w:rsidP="00FA3CB2">
      <w:pPr>
        <w:adjustRightInd w:val="0"/>
        <w:spacing w:line="360" w:lineRule="auto"/>
        <w:rPr>
          <w:rFonts w:ascii="Book Antiqua" w:eastAsia="Times New Roman" w:hAnsi="Book Antiqua" w:cs="SimSun"/>
          <w:i/>
        </w:rPr>
      </w:pPr>
      <w:bookmarkStart w:id="0" w:name="OLE_LINK2088"/>
      <w:bookmarkStart w:id="1" w:name="OLE_LINK2089"/>
      <w:bookmarkStart w:id="2" w:name="OLE_LINK437"/>
      <w:bookmarkStart w:id="3" w:name="OLE_LINK438"/>
      <w:bookmarkStart w:id="4" w:name="OLE_LINK1420"/>
      <w:bookmarkStart w:id="5" w:name="OLE_LINK1602"/>
      <w:bookmarkStart w:id="6" w:name="OLE_LINK191"/>
      <w:bookmarkStart w:id="7" w:name="OLE_LINK192"/>
      <w:bookmarkStart w:id="8" w:name="OLE_LINK368"/>
      <w:bookmarkStart w:id="9" w:name="OLE_LINK1406"/>
      <w:r w:rsidRPr="004865E7">
        <w:rPr>
          <w:rFonts w:ascii="Book Antiqua" w:eastAsia="Times New Roman" w:hAnsi="Book Antiqua" w:cs="SimSun"/>
          <w:b/>
        </w:rPr>
        <w:t xml:space="preserve">Name of journal: </w:t>
      </w:r>
      <w:bookmarkStart w:id="10" w:name="OLE_LINK718"/>
      <w:bookmarkStart w:id="11" w:name="OLE_LINK719"/>
      <w:bookmarkStart w:id="12" w:name="OLE_LINK645"/>
      <w:bookmarkStart w:id="13" w:name="OLE_LINK661"/>
      <w:bookmarkStart w:id="14" w:name="OLE_LINK696"/>
      <w:bookmarkStart w:id="15" w:name="OLE_LINK1068"/>
      <w:bookmarkStart w:id="16" w:name="OLE_LINK335"/>
      <w:r w:rsidRPr="004865E7">
        <w:rPr>
          <w:rFonts w:ascii="Book Antiqua" w:eastAsia="Times New Roman" w:hAnsi="Book Antiqua" w:cs="SimSun"/>
          <w:i/>
          <w:kern w:val="0"/>
        </w:rPr>
        <w:t>World Journal of Gastroenterology</w:t>
      </w:r>
      <w:bookmarkEnd w:id="10"/>
      <w:bookmarkEnd w:id="11"/>
      <w:bookmarkEnd w:id="12"/>
      <w:bookmarkEnd w:id="13"/>
      <w:bookmarkEnd w:id="14"/>
      <w:bookmarkEnd w:id="15"/>
      <w:bookmarkEnd w:id="16"/>
    </w:p>
    <w:p w14:paraId="045DBA06" w14:textId="1FB52E6C" w:rsidR="00FA3CB2" w:rsidRPr="004865E7" w:rsidRDefault="00FA3CB2" w:rsidP="00FA3CB2">
      <w:pPr>
        <w:adjustRightInd w:val="0"/>
        <w:spacing w:line="360" w:lineRule="auto"/>
        <w:rPr>
          <w:rFonts w:ascii="Book Antiqua" w:eastAsia="SimSun" w:hAnsi="Book Antiqua" w:cs="SimSun"/>
          <w:b/>
          <w:i/>
          <w:lang w:eastAsia="zh-CN"/>
        </w:rPr>
      </w:pPr>
      <w:r w:rsidRPr="004865E7">
        <w:rPr>
          <w:rFonts w:ascii="Book Antiqua" w:hAnsi="Book Antiqua" w:cs="Arial"/>
          <w:b/>
          <w:lang w:val="en"/>
        </w:rPr>
        <w:t xml:space="preserve">ESPS Manuscript NO: </w:t>
      </w:r>
      <w:r w:rsidRPr="004865E7">
        <w:rPr>
          <w:rFonts w:ascii="Book Antiqua" w:eastAsia="SimSun" w:hAnsi="Book Antiqua" w:cs="Arial"/>
          <w:b/>
          <w:lang w:val="en" w:eastAsia="zh-CN"/>
        </w:rPr>
        <w:t>20548</w:t>
      </w:r>
    </w:p>
    <w:p w14:paraId="1AB625BD" w14:textId="24CB9A3D" w:rsidR="00FA3CB2" w:rsidRPr="004865E7" w:rsidRDefault="00FA3CB2" w:rsidP="00FA3CB2">
      <w:pPr>
        <w:adjustRightInd w:val="0"/>
        <w:spacing w:line="360" w:lineRule="auto"/>
        <w:rPr>
          <w:rFonts w:ascii="Book Antiqua" w:hAnsi="Book Antiqua" w:cs="Times New Roman"/>
          <w:b/>
        </w:rPr>
      </w:pPr>
      <w:bookmarkStart w:id="17" w:name="OLE_LINK886"/>
      <w:bookmarkStart w:id="18" w:name="OLE_LINK887"/>
      <w:bookmarkStart w:id="19" w:name="OLE_LINK888"/>
      <w:bookmarkStart w:id="20" w:name="OLE_LINK1072"/>
      <w:bookmarkStart w:id="21" w:name="OLE_LINK863"/>
      <w:bookmarkStart w:id="22" w:name="OLE_LINK965"/>
      <w:bookmarkStart w:id="23" w:name="OLE_LINK897"/>
      <w:bookmarkStart w:id="24" w:name="OLE_LINK1021"/>
      <w:bookmarkStart w:id="25" w:name="OLE_LINK1040"/>
      <w:bookmarkStart w:id="26" w:name="OLE_LINK870"/>
      <w:bookmarkStart w:id="27" w:name="OLE_LINK1029"/>
      <w:bookmarkStart w:id="28" w:name="OLE_LINK950"/>
      <w:bookmarkStart w:id="29" w:name="OLE_LINK1191"/>
      <w:bookmarkStart w:id="30" w:name="OLE_LINK1064"/>
      <w:bookmarkStart w:id="31" w:name="OLE_LINK1165"/>
      <w:bookmarkStart w:id="32" w:name="OLE_LINK1333"/>
      <w:bookmarkStart w:id="33" w:name="OLE_LINK1367"/>
      <w:bookmarkStart w:id="34" w:name="OLE_LINK1400"/>
      <w:bookmarkStart w:id="35" w:name="OLE_LINK1616"/>
      <w:bookmarkStart w:id="36" w:name="OLE_LINK1378"/>
      <w:bookmarkStart w:id="37" w:name="OLE_LINK1489"/>
      <w:bookmarkStart w:id="38" w:name="OLE_LINK1379"/>
      <w:bookmarkStart w:id="39" w:name="OLE_LINK1468"/>
      <w:bookmarkStart w:id="40" w:name="OLE_LINK1638"/>
      <w:bookmarkStart w:id="41" w:name="OLE_LINK1758"/>
      <w:bookmarkStart w:id="42" w:name="OLE_LINK1581"/>
      <w:bookmarkStart w:id="43" w:name="OLE_LINK1715"/>
      <w:bookmarkStart w:id="44" w:name="OLE_LINK1893"/>
      <w:bookmarkStart w:id="45" w:name="OLE_LINK1929"/>
      <w:bookmarkStart w:id="46" w:name="OLE_LINK1785"/>
      <w:bookmarkStart w:id="47" w:name="OLE_LINK1908"/>
      <w:bookmarkStart w:id="48" w:name="OLE_LINK1933"/>
      <w:bookmarkStart w:id="49" w:name="OLE_LINK1798"/>
      <w:bookmarkStart w:id="50" w:name="OLE_LINK1867"/>
      <w:bookmarkStart w:id="51" w:name="OLE_LINK1904"/>
      <w:bookmarkStart w:id="52" w:name="OLE_LINK2062"/>
      <w:bookmarkStart w:id="53" w:name="OLE_LINK2119"/>
      <w:bookmarkStart w:id="54" w:name="OLE_LINK2067"/>
      <w:bookmarkStart w:id="55" w:name="OLE_LINK2244"/>
      <w:bookmarkEnd w:id="0"/>
      <w:bookmarkEnd w:id="1"/>
      <w:r w:rsidRPr="004865E7">
        <w:rPr>
          <w:rFonts w:ascii="Book Antiqua" w:hAnsi="Book Antiqua" w:cs="Times New Roman"/>
          <w:b/>
        </w:rPr>
        <w:t>Manuscript Type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4865E7">
        <w:rPr>
          <w:rFonts w:ascii="Book Antiqua" w:hAnsi="Book Antiqua"/>
          <w:b/>
          <w:kern w:val="0"/>
        </w:rPr>
        <w:t xml:space="preserve">: </w:t>
      </w:r>
      <w:bookmarkStart w:id="56" w:name="OLE_LINK1386"/>
      <w:r w:rsidRPr="004865E7">
        <w:rPr>
          <w:rFonts w:ascii="Book Antiqua" w:hAnsi="Book Antiqua"/>
          <w:b/>
          <w:kern w:val="0"/>
        </w:rPr>
        <w:t>ORIGINAL ARTICLE</w:t>
      </w:r>
    </w:p>
    <w:p w14:paraId="04C295DE" w14:textId="77777777" w:rsidR="00FA3CB2" w:rsidRPr="004865E7" w:rsidRDefault="00FA3CB2" w:rsidP="00FA3CB2">
      <w:pPr>
        <w:autoSpaceDE w:val="0"/>
        <w:autoSpaceDN w:val="0"/>
        <w:adjustRightInd w:val="0"/>
        <w:snapToGrid w:val="0"/>
        <w:spacing w:line="360" w:lineRule="auto"/>
        <w:rPr>
          <w:rFonts w:ascii="Book Antiqua" w:eastAsia="SimSun" w:hAnsi="Book Antiqua"/>
          <w:b/>
          <w:kern w:val="0"/>
          <w:lang w:eastAsia="zh-CN"/>
        </w:rPr>
      </w:pPr>
    </w:p>
    <w:bookmarkEnd w:id="2"/>
    <w:bookmarkEnd w:id="3"/>
    <w:bookmarkEnd w:id="4"/>
    <w:bookmarkEnd w:id="5"/>
    <w:bookmarkEnd w:id="56"/>
    <w:p w14:paraId="58D287EB" w14:textId="20C52271" w:rsidR="00FA3CB2" w:rsidRPr="004865E7" w:rsidRDefault="00FA3CB2" w:rsidP="00FA3CB2">
      <w:pPr>
        <w:adjustRightInd w:val="0"/>
        <w:spacing w:line="360" w:lineRule="auto"/>
        <w:rPr>
          <w:rFonts w:ascii="Book Antiqua" w:eastAsia="YouYuan" w:hAnsi="Book Antiqua"/>
          <w:b/>
          <w:i/>
        </w:rPr>
      </w:pPr>
      <w:r w:rsidRPr="004865E7">
        <w:rPr>
          <w:rFonts w:ascii="Book Antiqua" w:eastAsia="YouYuan" w:hAnsi="Book Antiqua"/>
          <w:b/>
          <w:i/>
          <w:lang w:eastAsia="zh-CN"/>
        </w:rPr>
        <w:t xml:space="preserve">Retrospective Cohort </w:t>
      </w:r>
      <w:r w:rsidRPr="004865E7">
        <w:rPr>
          <w:rFonts w:ascii="Book Antiqua" w:eastAsia="YouYuan" w:hAnsi="Book Antiqua"/>
          <w:b/>
          <w:i/>
        </w:rPr>
        <w:t>Study</w:t>
      </w:r>
    </w:p>
    <w:p w14:paraId="396CF1D5" w14:textId="663685E8" w:rsidR="002C16E4" w:rsidRPr="004865E7" w:rsidRDefault="002C16E4" w:rsidP="00FA3CB2">
      <w:pPr>
        <w:pStyle w:val="Title"/>
        <w:snapToGrid w:val="0"/>
        <w:spacing w:after="0"/>
        <w:jc w:val="both"/>
        <w:rPr>
          <w:rFonts w:ascii="Book Antiqua" w:eastAsia="SimSun" w:hAnsi="Book Antiqua"/>
          <w:sz w:val="24"/>
          <w:szCs w:val="24"/>
          <w:lang w:eastAsia="zh-CN"/>
        </w:rPr>
      </w:pPr>
      <w:bookmarkStart w:id="57" w:name="OLE_LINK2024"/>
      <w:bookmarkStart w:id="58" w:name="OLE_LINK2025"/>
      <w:bookmarkEnd w:id="6"/>
      <w:bookmarkEnd w:id="7"/>
      <w:bookmarkEnd w:id="8"/>
      <w:bookmarkEnd w:id="9"/>
      <w:r w:rsidRPr="004865E7">
        <w:rPr>
          <w:rFonts w:ascii="Book Antiqua" w:hAnsi="Book Antiqua"/>
          <w:sz w:val="24"/>
          <w:szCs w:val="24"/>
        </w:rPr>
        <w:t xml:space="preserve">Can endoscopic atrophy predict histological atrophy? </w:t>
      </w:r>
      <w:r w:rsidR="00A95F89" w:rsidRPr="004865E7">
        <w:rPr>
          <w:rFonts w:ascii="Book Antiqua" w:hAnsi="Book Antiqua"/>
          <w:sz w:val="24"/>
          <w:szCs w:val="24"/>
        </w:rPr>
        <w:t xml:space="preserve">Historical </w:t>
      </w:r>
      <w:r w:rsidR="004D7993" w:rsidRPr="004865E7">
        <w:rPr>
          <w:rFonts w:ascii="Book Antiqua" w:hAnsi="Book Antiqua"/>
          <w:sz w:val="24"/>
          <w:szCs w:val="24"/>
        </w:rPr>
        <w:t>study</w:t>
      </w:r>
      <w:r w:rsidR="002B39D2" w:rsidRPr="004865E7">
        <w:rPr>
          <w:rFonts w:ascii="Book Antiqua" w:hAnsi="Book Antiqua"/>
          <w:sz w:val="24"/>
          <w:szCs w:val="24"/>
        </w:rPr>
        <w:t xml:space="preserve"> in U</w:t>
      </w:r>
      <w:r w:rsidR="00230AD3">
        <w:rPr>
          <w:rFonts w:ascii="Book Antiqua" w:eastAsia="SimSun" w:hAnsi="Book Antiqua" w:hint="eastAsia"/>
          <w:sz w:val="24"/>
          <w:szCs w:val="24"/>
          <w:lang w:eastAsia="zh-CN"/>
        </w:rPr>
        <w:t>nited Kingdom</w:t>
      </w:r>
      <w:r w:rsidR="002B39D2" w:rsidRPr="004865E7">
        <w:rPr>
          <w:rFonts w:ascii="Book Antiqua" w:hAnsi="Book Antiqua"/>
          <w:sz w:val="24"/>
          <w:szCs w:val="24"/>
        </w:rPr>
        <w:t xml:space="preserve"> and Japan</w:t>
      </w:r>
    </w:p>
    <w:bookmarkEnd w:id="57"/>
    <w:bookmarkEnd w:id="58"/>
    <w:p w14:paraId="17D2EBED" w14:textId="77777777" w:rsidR="00E60AF6" w:rsidRPr="00230AD3" w:rsidRDefault="00E60AF6" w:rsidP="00FA3CB2">
      <w:pPr>
        <w:adjustRightInd w:val="0"/>
        <w:snapToGrid w:val="0"/>
        <w:spacing w:line="360" w:lineRule="auto"/>
        <w:rPr>
          <w:rFonts w:ascii="Book Antiqua" w:eastAsia="SimSun" w:hAnsi="Book Antiqua"/>
          <w:lang w:eastAsia="zh-CN"/>
        </w:rPr>
      </w:pPr>
    </w:p>
    <w:p w14:paraId="4F37A80B" w14:textId="3CFCF011" w:rsidR="00FA3CB2" w:rsidRPr="004865E7" w:rsidRDefault="00FA3CB2" w:rsidP="00FA3CB2">
      <w:pPr>
        <w:adjustRightInd w:val="0"/>
        <w:snapToGrid w:val="0"/>
        <w:spacing w:line="360" w:lineRule="auto"/>
        <w:rPr>
          <w:rFonts w:ascii="Book Antiqua" w:eastAsia="SimSun" w:hAnsi="Book Antiqua"/>
          <w:lang w:eastAsia="zh-CN"/>
        </w:rPr>
      </w:pPr>
      <w:r w:rsidRPr="004865E7">
        <w:rPr>
          <w:rFonts w:ascii="Book Antiqua" w:eastAsia="SimSun" w:hAnsi="Book Antiqua"/>
          <w:lang w:eastAsia="zh-CN"/>
        </w:rPr>
        <w:t xml:space="preserve">Kono </w:t>
      </w:r>
      <w:r w:rsidRPr="004865E7">
        <w:rPr>
          <w:rFonts w:ascii="Book Antiqua" w:eastAsia="SimSun" w:hAnsi="Book Antiqua" w:hint="eastAsia"/>
          <w:lang w:eastAsia="zh-CN"/>
        </w:rPr>
        <w:t xml:space="preserve">S </w:t>
      </w:r>
      <w:r w:rsidRPr="004865E7">
        <w:rPr>
          <w:rFonts w:ascii="Book Antiqua" w:eastAsia="SimSun" w:hAnsi="Book Antiqua" w:hint="eastAsia"/>
          <w:i/>
          <w:lang w:eastAsia="zh-CN"/>
        </w:rPr>
        <w:t>et al.</w:t>
      </w:r>
      <w:r w:rsidRPr="004865E7">
        <w:rPr>
          <w:rFonts w:ascii="Book Antiqua" w:eastAsia="SimSun" w:hAnsi="Book Antiqua" w:hint="eastAsia"/>
          <w:lang w:eastAsia="zh-CN"/>
        </w:rPr>
        <w:t xml:space="preserve"> </w:t>
      </w:r>
      <w:r w:rsidRPr="004865E7">
        <w:rPr>
          <w:rFonts w:ascii="Book Antiqua" w:eastAsia="SimSun" w:hAnsi="Book Antiqua"/>
          <w:lang w:eastAsia="zh-CN"/>
        </w:rPr>
        <w:t>Correlation of endoscopic and histologic atrophy</w:t>
      </w:r>
    </w:p>
    <w:p w14:paraId="11BFBBBA" w14:textId="77777777" w:rsidR="00FA3CB2" w:rsidRPr="004865E7" w:rsidRDefault="00FA3CB2" w:rsidP="00FA3CB2">
      <w:pPr>
        <w:adjustRightInd w:val="0"/>
        <w:snapToGrid w:val="0"/>
        <w:spacing w:line="360" w:lineRule="auto"/>
        <w:rPr>
          <w:rFonts w:ascii="Book Antiqua" w:eastAsia="SimSun" w:hAnsi="Book Antiqua"/>
          <w:lang w:eastAsia="zh-CN"/>
        </w:rPr>
      </w:pPr>
    </w:p>
    <w:p w14:paraId="2386549E" w14:textId="4DDC268D" w:rsidR="002C16E4" w:rsidRPr="004865E7" w:rsidRDefault="002C16E4" w:rsidP="00FA3CB2">
      <w:pPr>
        <w:widowControl/>
        <w:autoSpaceDE w:val="0"/>
        <w:autoSpaceDN w:val="0"/>
        <w:adjustRightInd w:val="0"/>
        <w:snapToGrid w:val="0"/>
        <w:spacing w:line="360" w:lineRule="auto"/>
        <w:rPr>
          <w:rFonts w:ascii="Book Antiqua" w:eastAsia="SimSun" w:hAnsi="Book Antiqua" w:cs="Times"/>
          <w:kern w:val="0"/>
          <w:vertAlign w:val="superscript"/>
          <w:lang w:eastAsia="zh-CN"/>
        </w:rPr>
      </w:pPr>
      <w:bookmarkStart w:id="59" w:name="OLE_LINK2019"/>
      <w:bookmarkStart w:id="60" w:name="OLE_LINK2023"/>
      <w:bookmarkStart w:id="61" w:name="OLE_LINK2026"/>
      <w:bookmarkStart w:id="62" w:name="OLE_LINK2028"/>
      <w:r w:rsidRPr="004865E7">
        <w:rPr>
          <w:rFonts w:ascii="Book Antiqua" w:hAnsi="Book Antiqua" w:cs="Times"/>
          <w:kern w:val="0"/>
        </w:rPr>
        <w:t>Shin Kono</w:t>
      </w:r>
      <w:bookmarkEnd w:id="59"/>
      <w:bookmarkEnd w:id="60"/>
      <w:r w:rsidRPr="004865E7">
        <w:rPr>
          <w:rFonts w:ascii="Book Antiqua" w:hAnsi="Book Antiqua" w:cs="Times"/>
          <w:kern w:val="0"/>
        </w:rPr>
        <w:t xml:space="preserve">, Takuji Gotoda, </w:t>
      </w:r>
      <w:bookmarkStart w:id="63" w:name="OLE_LINK2001"/>
      <w:bookmarkStart w:id="64" w:name="OLE_LINK2002"/>
      <w:r w:rsidRPr="004865E7">
        <w:rPr>
          <w:rFonts w:ascii="Book Antiqua" w:hAnsi="Book Antiqua" w:cs="Times"/>
          <w:kern w:val="0"/>
        </w:rPr>
        <w:t>Shigeaki Yoshida</w:t>
      </w:r>
      <w:bookmarkEnd w:id="63"/>
      <w:bookmarkEnd w:id="64"/>
      <w:r w:rsidRPr="004865E7">
        <w:rPr>
          <w:rFonts w:ascii="Book Antiqua" w:hAnsi="Book Antiqua" w:cs="Times"/>
          <w:kern w:val="0"/>
        </w:rPr>
        <w:t xml:space="preserve">, Ichiro Oda, Hitoshi Kondo, Luigi Gatta, Greg Naylor, </w:t>
      </w:r>
      <w:bookmarkStart w:id="65" w:name="OLE_LINK2003"/>
      <w:r w:rsidR="00014588" w:rsidRPr="004865E7">
        <w:rPr>
          <w:rFonts w:ascii="Book Antiqua" w:hAnsi="Book Antiqua" w:cs="Times"/>
          <w:kern w:val="0"/>
        </w:rPr>
        <w:t>Michael</w:t>
      </w:r>
      <w:r w:rsidRPr="004865E7">
        <w:rPr>
          <w:rFonts w:ascii="Book Antiqua" w:hAnsi="Book Antiqua" w:cs="Times"/>
          <w:kern w:val="0"/>
        </w:rPr>
        <w:t xml:space="preserve"> Dixon</w:t>
      </w:r>
      <w:bookmarkEnd w:id="65"/>
      <w:r w:rsidRPr="004865E7">
        <w:rPr>
          <w:rFonts w:ascii="Book Antiqua" w:hAnsi="Book Antiqua" w:cs="Times"/>
          <w:kern w:val="0"/>
        </w:rPr>
        <w:t>, Fuminori Moriyasu, Anthony Axon</w:t>
      </w:r>
    </w:p>
    <w:bookmarkEnd w:id="61"/>
    <w:bookmarkEnd w:id="62"/>
    <w:p w14:paraId="6A278535"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p>
    <w:p w14:paraId="7368FBE0" w14:textId="3F33A116" w:rsidR="002C16E4"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kern w:val="0"/>
        </w:rPr>
        <w:t>Shin Kono, Takuji Gotoda</w:t>
      </w:r>
      <w:r w:rsidRPr="004865E7">
        <w:rPr>
          <w:rFonts w:ascii="Book Antiqua" w:eastAsia="SimSun" w:hAnsi="Book Antiqua" w:cs="Times" w:hint="eastAsia"/>
          <w:b/>
          <w:kern w:val="0"/>
          <w:lang w:eastAsia="zh-CN"/>
        </w:rPr>
        <w:t>,</w:t>
      </w:r>
      <w:r w:rsidRPr="004865E7">
        <w:rPr>
          <w:rFonts w:ascii="Book Antiqua" w:hAnsi="Book Antiqua" w:cs="Times"/>
          <w:kern w:val="0"/>
        </w:rPr>
        <w:t xml:space="preserve"> </w:t>
      </w:r>
      <w:r w:rsidRPr="004865E7">
        <w:rPr>
          <w:rFonts w:ascii="Book Antiqua" w:hAnsi="Book Antiqua" w:cs="Times"/>
          <w:b/>
          <w:kern w:val="0"/>
        </w:rPr>
        <w:t>Fuminori Moriyasu</w:t>
      </w:r>
      <w:r w:rsidRPr="004865E7">
        <w:rPr>
          <w:rFonts w:ascii="Book Antiqua" w:eastAsia="SimSun" w:hAnsi="Book Antiqua" w:cs="Times" w:hint="eastAsia"/>
          <w:b/>
          <w:kern w:val="0"/>
          <w:lang w:eastAsia="zh-CN"/>
        </w:rPr>
        <w:t>,</w:t>
      </w:r>
      <w:r w:rsidRPr="004865E7">
        <w:rPr>
          <w:rFonts w:ascii="Book Antiqua" w:hAnsi="Book Antiqua" w:cs="Times"/>
          <w:kern w:val="0"/>
        </w:rPr>
        <w:t xml:space="preserve"> </w:t>
      </w:r>
      <w:r w:rsidR="002C16E4" w:rsidRPr="004865E7">
        <w:rPr>
          <w:rFonts w:ascii="Book Antiqua" w:hAnsi="Book Antiqua" w:cs="Times"/>
          <w:kern w:val="0"/>
        </w:rPr>
        <w:t>Department of Gastroenterology and Hepatology, Tokyo Medical University, Tokyo</w:t>
      </w:r>
      <w:r w:rsidRPr="004865E7">
        <w:rPr>
          <w:rFonts w:ascii="Book Antiqua" w:eastAsia="SimSun" w:hAnsi="Book Antiqua" w:cs="Times" w:hint="eastAsia"/>
          <w:kern w:val="0"/>
          <w:lang w:eastAsia="zh-CN"/>
        </w:rPr>
        <w:t xml:space="preserve"> </w:t>
      </w:r>
      <w:r w:rsidRPr="004865E7">
        <w:rPr>
          <w:rFonts w:ascii="Book Antiqua" w:eastAsia="SimSun" w:hAnsi="Book Antiqua" w:cs="Times"/>
          <w:kern w:val="0"/>
          <w:lang w:eastAsia="zh-CN"/>
        </w:rPr>
        <w:t>160</w:t>
      </w:r>
      <w:r w:rsidR="008E025E" w:rsidRPr="004865E7">
        <w:rPr>
          <w:rFonts w:ascii="Book Antiqua" w:eastAsia="SimSun" w:hAnsi="Book Antiqua" w:cs="Times" w:hint="eastAsia"/>
          <w:kern w:val="0"/>
          <w:lang w:eastAsia="zh-CN"/>
        </w:rPr>
        <w:t>-</w:t>
      </w:r>
      <w:r w:rsidRPr="004865E7">
        <w:rPr>
          <w:rFonts w:ascii="Book Antiqua" w:eastAsia="SimSun" w:hAnsi="Book Antiqua" w:cs="Times"/>
          <w:kern w:val="0"/>
          <w:lang w:eastAsia="zh-CN"/>
        </w:rPr>
        <w:t>0023</w:t>
      </w:r>
      <w:r w:rsidR="002C16E4" w:rsidRPr="004865E7">
        <w:rPr>
          <w:rFonts w:ascii="Book Antiqua" w:hAnsi="Book Antiqua" w:cs="Times"/>
          <w:kern w:val="0"/>
        </w:rPr>
        <w:t>, Japan</w:t>
      </w:r>
    </w:p>
    <w:p w14:paraId="04EDFADB"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p>
    <w:p w14:paraId="1D93AF59" w14:textId="1AEA53FB" w:rsidR="002C16E4"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kern w:val="0"/>
        </w:rPr>
        <w:t>Shigeaki Yoshida</w:t>
      </w:r>
      <w:r w:rsidRPr="004865E7">
        <w:rPr>
          <w:rFonts w:ascii="Book Antiqua" w:eastAsia="SimSun" w:hAnsi="Book Antiqua" w:cs="Times" w:hint="eastAsia"/>
          <w:b/>
          <w:kern w:val="0"/>
          <w:lang w:eastAsia="zh-CN"/>
        </w:rPr>
        <w:t>,</w:t>
      </w:r>
      <w:r w:rsidRPr="004865E7">
        <w:rPr>
          <w:rFonts w:ascii="Book Antiqua" w:hAnsi="Book Antiqua" w:cs="Times"/>
          <w:kern w:val="0"/>
        </w:rPr>
        <w:t xml:space="preserve"> </w:t>
      </w:r>
      <w:r w:rsidR="002C16E4" w:rsidRPr="004865E7">
        <w:rPr>
          <w:rFonts w:ascii="Book Antiqua" w:hAnsi="Book Antiqua" w:cs="Times"/>
          <w:kern w:val="0"/>
        </w:rPr>
        <w:t>Aomori Prefectural Central Hospital, Aomori</w:t>
      </w:r>
      <w:r w:rsidRPr="004865E7">
        <w:rPr>
          <w:rFonts w:ascii="Book Antiqua" w:eastAsia="SimSun" w:hAnsi="Book Antiqua" w:cs="Times" w:hint="eastAsia"/>
          <w:kern w:val="0"/>
          <w:lang w:eastAsia="zh-CN"/>
        </w:rPr>
        <w:t xml:space="preserve"> 0300913</w:t>
      </w:r>
      <w:r w:rsidR="002C16E4" w:rsidRPr="004865E7">
        <w:rPr>
          <w:rFonts w:ascii="Book Antiqua" w:hAnsi="Book Antiqua" w:cs="Times"/>
          <w:kern w:val="0"/>
        </w:rPr>
        <w:t xml:space="preserve">, Japan </w:t>
      </w:r>
    </w:p>
    <w:p w14:paraId="63060B2E"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p>
    <w:p w14:paraId="45BA9D42" w14:textId="3AB7A441" w:rsidR="002C16E4" w:rsidRPr="004865E7" w:rsidRDefault="00FA3CB2" w:rsidP="00FA3CB2">
      <w:pPr>
        <w:widowControl/>
        <w:autoSpaceDE w:val="0"/>
        <w:autoSpaceDN w:val="0"/>
        <w:adjustRightInd w:val="0"/>
        <w:snapToGrid w:val="0"/>
        <w:spacing w:line="360" w:lineRule="auto"/>
        <w:rPr>
          <w:rFonts w:ascii="Book Antiqua" w:eastAsia="SimSun" w:hAnsi="Book Antiqua" w:cs="Times"/>
          <w:lang w:eastAsia="zh-CN"/>
        </w:rPr>
      </w:pPr>
      <w:r w:rsidRPr="004865E7">
        <w:rPr>
          <w:rFonts w:ascii="Book Antiqua" w:hAnsi="Book Antiqua" w:cs="Times"/>
          <w:b/>
          <w:kern w:val="0"/>
        </w:rPr>
        <w:t>Ichiro Oda</w:t>
      </w:r>
      <w:r w:rsidRPr="004865E7">
        <w:rPr>
          <w:rFonts w:ascii="Book Antiqua" w:eastAsia="SimSun" w:hAnsi="Book Antiqua" w:cs="Times" w:hint="eastAsia"/>
          <w:b/>
          <w:kern w:val="0"/>
          <w:lang w:eastAsia="zh-CN"/>
        </w:rPr>
        <w:t>,</w:t>
      </w:r>
      <w:r w:rsidRPr="004865E7">
        <w:rPr>
          <w:rFonts w:ascii="Book Antiqua" w:hAnsi="Book Antiqua" w:cs="Times"/>
          <w:b/>
        </w:rPr>
        <w:t xml:space="preserve"> </w:t>
      </w:r>
      <w:r w:rsidR="002C16E4" w:rsidRPr="004865E7">
        <w:rPr>
          <w:rFonts w:ascii="Book Antiqua" w:hAnsi="Book Antiqua" w:cs="Times"/>
        </w:rPr>
        <w:t>Endoscopy Division, National Cancer Center Hospital, Tokyo</w:t>
      </w:r>
      <w:r w:rsidRPr="004865E7">
        <w:rPr>
          <w:rFonts w:ascii="Book Antiqua" w:eastAsia="SimSun" w:hAnsi="Book Antiqua" w:cs="Times" w:hint="eastAsia"/>
          <w:lang w:eastAsia="zh-CN"/>
        </w:rPr>
        <w:t xml:space="preserve"> </w:t>
      </w:r>
      <w:r w:rsidRPr="004865E7">
        <w:rPr>
          <w:rFonts w:ascii="Book Antiqua" w:eastAsia="SimSun" w:hAnsi="Book Antiqua" w:cs="Times"/>
          <w:lang w:eastAsia="zh-CN"/>
        </w:rPr>
        <w:t>104</w:t>
      </w:r>
      <w:r w:rsidR="008E025E" w:rsidRPr="004865E7">
        <w:rPr>
          <w:rFonts w:ascii="Book Antiqua" w:eastAsia="SimSun" w:hAnsi="Book Antiqua" w:cs="Times" w:hint="eastAsia"/>
          <w:lang w:eastAsia="zh-CN"/>
        </w:rPr>
        <w:t>-</w:t>
      </w:r>
      <w:r w:rsidRPr="004865E7">
        <w:rPr>
          <w:rFonts w:ascii="Book Antiqua" w:eastAsia="SimSun" w:hAnsi="Book Antiqua" w:cs="Times"/>
          <w:lang w:eastAsia="zh-CN"/>
        </w:rPr>
        <w:t>0045</w:t>
      </w:r>
      <w:r w:rsidR="002C16E4" w:rsidRPr="004865E7">
        <w:rPr>
          <w:rFonts w:ascii="Book Antiqua" w:hAnsi="Book Antiqua" w:cs="Times"/>
        </w:rPr>
        <w:t>, Japan</w:t>
      </w:r>
    </w:p>
    <w:p w14:paraId="2D3D3A86"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lang w:eastAsia="zh-CN"/>
        </w:rPr>
      </w:pPr>
    </w:p>
    <w:p w14:paraId="232FC219" w14:textId="32253498" w:rsidR="002C16E4" w:rsidRPr="004865E7" w:rsidRDefault="00FA3CB2" w:rsidP="00FA3CB2">
      <w:pPr>
        <w:widowControl/>
        <w:autoSpaceDE w:val="0"/>
        <w:autoSpaceDN w:val="0"/>
        <w:adjustRightInd w:val="0"/>
        <w:snapToGrid w:val="0"/>
        <w:spacing w:line="360" w:lineRule="auto"/>
        <w:rPr>
          <w:rFonts w:ascii="Book Antiqua" w:eastAsia="SimSun" w:hAnsi="Book Antiqua" w:cs="Times"/>
          <w:lang w:eastAsia="zh-CN"/>
        </w:rPr>
      </w:pPr>
      <w:r w:rsidRPr="004865E7">
        <w:rPr>
          <w:rFonts w:ascii="Book Antiqua" w:hAnsi="Book Antiqua" w:cs="Times"/>
          <w:b/>
          <w:kern w:val="0"/>
        </w:rPr>
        <w:t>Hitoshi Kondo</w:t>
      </w:r>
      <w:r w:rsidRPr="004865E7">
        <w:rPr>
          <w:rFonts w:ascii="Book Antiqua" w:eastAsia="SimSun" w:hAnsi="Book Antiqua" w:cs="Times" w:hint="eastAsia"/>
          <w:b/>
          <w:kern w:val="0"/>
          <w:lang w:eastAsia="zh-CN"/>
        </w:rPr>
        <w:t>,</w:t>
      </w:r>
      <w:r w:rsidRPr="004865E7">
        <w:rPr>
          <w:rFonts w:ascii="Book Antiqua" w:hAnsi="Book Antiqua" w:cs="Times"/>
        </w:rPr>
        <w:t xml:space="preserve"> </w:t>
      </w:r>
      <w:r w:rsidR="002C16E4" w:rsidRPr="004865E7">
        <w:rPr>
          <w:rFonts w:ascii="Book Antiqua" w:hAnsi="Book Antiqua" w:cs="Times"/>
        </w:rPr>
        <w:t>Center for Digestive Diseases, Tonan Hospital, Sapporo</w:t>
      </w:r>
      <w:r w:rsidRPr="004865E7">
        <w:rPr>
          <w:rFonts w:ascii="Book Antiqua" w:eastAsia="SimSun" w:hAnsi="Book Antiqua" w:cs="Times" w:hint="eastAsia"/>
          <w:lang w:eastAsia="zh-CN"/>
        </w:rPr>
        <w:t xml:space="preserve"> 060</w:t>
      </w:r>
      <w:r w:rsidR="008E025E" w:rsidRPr="004865E7">
        <w:rPr>
          <w:rFonts w:ascii="Book Antiqua" w:eastAsia="SimSun" w:hAnsi="Book Antiqua" w:cs="Times" w:hint="eastAsia"/>
          <w:lang w:eastAsia="zh-CN"/>
        </w:rPr>
        <w:t>-</w:t>
      </w:r>
      <w:r w:rsidRPr="004865E7">
        <w:rPr>
          <w:rFonts w:ascii="Book Antiqua" w:eastAsia="SimSun" w:hAnsi="Book Antiqua" w:cs="Times" w:hint="eastAsia"/>
          <w:lang w:eastAsia="zh-CN"/>
        </w:rPr>
        <w:t>0001</w:t>
      </w:r>
      <w:r w:rsidR="002C16E4" w:rsidRPr="004865E7">
        <w:rPr>
          <w:rFonts w:ascii="Book Antiqua" w:hAnsi="Book Antiqua" w:cs="Times"/>
        </w:rPr>
        <w:t>, Japan</w:t>
      </w:r>
    </w:p>
    <w:p w14:paraId="3E46CEB6"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lang w:eastAsia="zh-CN"/>
        </w:rPr>
      </w:pPr>
    </w:p>
    <w:p w14:paraId="7A35F9BE" w14:textId="35AD0A92" w:rsidR="002C16E4" w:rsidRPr="004865E7" w:rsidRDefault="00FA3CB2" w:rsidP="00FA3CB2">
      <w:pPr>
        <w:adjustRightInd w:val="0"/>
        <w:snapToGrid w:val="0"/>
        <w:spacing w:line="360" w:lineRule="auto"/>
        <w:rPr>
          <w:rFonts w:ascii="Book Antiqua" w:eastAsia="SimSun" w:hAnsi="Book Antiqua" w:cs="Times"/>
          <w:lang w:eastAsia="zh-CN"/>
        </w:rPr>
      </w:pPr>
      <w:r w:rsidRPr="004865E7">
        <w:rPr>
          <w:rFonts w:ascii="Book Antiqua" w:hAnsi="Book Antiqua" w:cs="Times"/>
          <w:b/>
          <w:kern w:val="0"/>
        </w:rPr>
        <w:t>Luigi Gatta</w:t>
      </w:r>
      <w:r w:rsidRPr="004865E7">
        <w:rPr>
          <w:rFonts w:ascii="Book Antiqua" w:eastAsia="SimSun" w:hAnsi="Book Antiqua" w:cs="Times" w:hint="eastAsia"/>
          <w:b/>
          <w:kern w:val="0"/>
          <w:lang w:eastAsia="zh-CN"/>
        </w:rPr>
        <w:t>,</w:t>
      </w:r>
      <w:r w:rsidRPr="004865E7">
        <w:rPr>
          <w:rFonts w:ascii="Book Antiqua" w:hAnsi="Book Antiqua" w:cs="Times"/>
        </w:rPr>
        <w:t xml:space="preserve"> </w:t>
      </w:r>
      <w:r w:rsidR="002C16E4" w:rsidRPr="004865E7">
        <w:rPr>
          <w:rFonts w:ascii="Book Antiqua" w:hAnsi="Book Antiqua" w:cs="Times"/>
        </w:rPr>
        <w:t xml:space="preserve">Gastroenterology and Digestive Endoscopy Unit, Versilia Hospital, </w:t>
      </w:r>
      <w:r w:rsidR="000916F0" w:rsidRPr="004865E7">
        <w:rPr>
          <w:rFonts w:ascii="Book Antiqua" w:hAnsi="Book Antiqua" w:cs="Times"/>
        </w:rPr>
        <w:t>335</w:t>
      </w:r>
      <w:r w:rsidRPr="004865E7">
        <w:rPr>
          <w:rFonts w:ascii="Book Antiqua" w:eastAsia="SimSun" w:hAnsi="Book Antiqua" w:cs="Times" w:hint="eastAsia"/>
          <w:lang w:eastAsia="zh-CN"/>
        </w:rPr>
        <w:t xml:space="preserve"> </w:t>
      </w:r>
      <w:r w:rsidR="002C16E4" w:rsidRPr="004865E7">
        <w:rPr>
          <w:rFonts w:ascii="Book Antiqua" w:hAnsi="Book Antiqua" w:cs="Times"/>
        </w:rPr>
        <w:t>Lido di Camaiore, Italy</w:t>
      </w:r>
    </w:p>
    <w:p w14:paraId="4A7B4354" w14:textId="77777777" w:rsidR="00FA3CB2" w:rsidRPr="004865E7" w:rsidRDefault="00FA3CB2" w:rsidP="00FA3CB2">
      <w:pPr>
        <w:adjustRightInd w:val="0"/>
        <w:snapToGrid w:val="0"/>
        <w:spacing w:line="360" w:lineRule="auto"/>
        <w:rPr>
          <w:rFonts w:ascii="Book Antiqua" w:eastAsia="SimSun" w:hAnsi="Book Antiqua" w:cs="Times"/>
          <w:lang w:eastAsia="zh-CN"/>
        </w:rPr>
      </w:pPr>
    </w:p>
    <w:p w14:paraId="03BAE4DD" w14:textId="3D4BA7DF" w:rsidR="002C16E4" w:rsidRPr="004865E7" w:rsidRDefault="00FA3CB2" w:rsidP="00FA3CB2">
      <w:pPr>
        <w:widowControl/>
        <w:autoSpaceDE w:val="0"/>
        <w:autoSpaceDN w:val="0"/>
        <w:adjustRightInd w:val="0"/>
        <w:snapToGrid w:val="0"/>
        <w:spacing w:line="360" w:lineRule="auto"/>
        <w:rPr>
          <w:rFonts w:ascii="Book Antiqua" w:eastAsia="SimSun" w:hAnsi="Book Antiqua" w:cs="AdvPA0C4"/>
          <w:lang w:eastAsia="zh-CN"/>
        </w:rPr>
      </w:pPr>
      <w:r w:rsidRPr="004865E7">
        <w:rPr>
          <w:rFonts w:ascii="Book Antiqua" w:hAnsi="Book Antiqua" w:cs="Times"/>
          <w:b/>
          <w:kern w:val="0"/>
        </w:rPr>
        <w:lastRenderedPageBreak/>
        <w:t>Greg Naylor</w:t>
      </w:r>
      <w:r w:rsidRPr="004865E7">
        <w:rPr>
          <w:rFonts w:ascii="Book Antiqua" w:eastAsia="SimSun" w:hAnsi="Book Antiqua" w:cs="Times" w:hint="eastAsia"/>
          <w:b/>
          <w:kern w:val="0"/>
          <w:lang w:eastAsia="zh-CN"/>
        </w:rPr>
        <w:t xml:space="preserve">, </w:t>
      </w:r>
      <w:r w:rsidR="002C16E4" w:rsidRPr="004865E7">
        <w:rPr>
          <w:rFonts w:ascii="Book Antiqua" w:hAnsi="Book Antiqua" w:cs="AdvPA0C4"/>
        </w:rPr>
        <w:t xml:space="preserve">Chesterfield Royal Hospital, </w:t>
      </w:r>
      <w:r w:rsidR="0059707D" w:rsidRPr="004865E7">
        <w:rPr>
          <w:rFonts w:ascii="Book Antiqua" w:hAnsi="Book Antiqua" w:cs="AdvPA0C4"/>
        </w:rPr>
        <w:t xml:space="preserve">S44 5BL </w:t>
      </w:r>
      <w:r w:rsidR="002C16E4" w:rsidRPr="004865E7">
        <w:rPr>
          <w:rFonts w:ascii="Book Antiqua" w:hAnsi="Book Antiqua" w:cs="AdvPA0C4"/>
        </w:rPr>
        <w:t>Derbyshire, U</w:t>
      </w:r>
      <w:r w:rsidRPr="004865E7">
        <w:rPr>
          <w:rFonts w:ascii="Book Antiqua" w:eastAsia="SimSun" w:hAnsi="Book Antiqua" w:cs="AdvPA0C4" w:hint="eastAsia"/>
          <w:lang w:eastAsia="zh-CN"/>
        </w:rPr>
        <w:t>nited Kingdom</w:t>
      </w:r>
    </w:p>
    <w:p w14:paraId="1A53D569"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p>
    <w:p w14:paraId="5AC6884F" w14:textId="77777777" w:rsidR="00FA3CB2" w:rsidRPr="004865E7" w:rsidRDefault="00FA3CB2"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b/>
          <w:kern w:val="0"/>
        </w:rPr>
        <w:t>Michael Dixon</w:t>
      </w:r>
      <w:r w:rsidRPr="004865E7">
        <w:rPr>
          <w:rFonts w:ascii="Book Antiqua" w:eastAsia="SimSun" w:hAnsi="Book Antiqua" w:cs="Times" w:hint="eastAsia"/>
          <w:b/>
          <w:kern w:val="0"/>
          <w:lang w:eastAsia="zh-CN"/>
        </w:rPr>
        <w:t>,</w:t>
      </w:r>
      <w:r w:rsidRPr="004865E7">
        <w:rPr>
          <w:rFonts w:ascii="Book Antiqua" w:hAnsi="Book Antiqua" w:cs="Times"/>
          <w:b/>
          <w:kern w:val="0"/>
        </w:rPr>
        <w:t xml:space="preserve"> </w:t>
      </w:r>
      <w:r w:rsidR="002C16E4" w:rsidRPr="004865E7">
        <w:rPr>
          <w:rFonts w:ascii="Book Antiqua" w:hAnsi="Book Antiqua" w:cs="Times"/>
          <w:kern w:val="0"/>
        </w:rPr>
        <w:t xml:space="preserve">Academic Unit of Pathology, University of Leeds, </w:t>
      </w:r>
      <w:r w:rsidR="0059707D" w:rsidRPr="004865E7">
        <w:rPr>
          <w:rFonts w:ascii="Book Antiqua" w:hAnsi="Book Antiqua" w:cs="Times"/>
          <w:kern w:val="0"/>
        </w:rPr>
        <w:t xml:space="preserve">LS2 9JT Leeds, </w:t>
      </w:r>
      <w:r w:rsidRPr="004865E7">
        <w:rPr>
          <w:rFonts w:ascii="Book Antiqua" w:hAnsi="Book Antiqua" w:cs="Times"/>
          <w:kern w:val="0"/>
        </w:rPr>
        <w:t>U</w:t>
      </w:r>
      <w:r w:rsidRPr="004865E7">
        <w:rPr>
          <w:rFonts w:ascii="Book Antiqua" w:hAnsi="Book Antiqua" w:cs="Times" w:hint="eastAsia"/>
          <w:kern w:val="0"/>
        </w:rPr>
        <w:t>nited Kingdom</w:t>
      </w:r>
    </w:p>
    <w:p w14:paraId="62AAB696" w14:textId="77777777" w:rsidR="00FA3CB2" w:rsidRPr="004865E7" w:rsidRDefault="00FA3CB2" w:rsidP="00FA3CB2">
      <w:pPr>
        <w:widowControl/>
        <w:autoSpaceDE w:val="0"/>
        <w:autoSpaceDN w:val="0"/>
        <w:adjustRightInd w:val="0"/>
        <w:snapToGrid w:val="0"/>
        <w:spacing w:line="360" w:lineRule="auto"/>
        <w:rPr>
          <w:rFonts w:ascii="Book Antiqua" w:eastAsia="SimSun" w:hAnsi="Book Antiqua" w:cs="Times"/>
          <w:kern w:val="0"/>
          <w:lang w:eastAsia="zh-CN"/>
        </w:rPr>
      </w:pPr>
    </w:p>
    <w:p w14:paraId="7FE18B14" w14:textId="77ACB51B" w:rsidR="00FA3CB2" w:rsidRPr="004865E7" w:rsidRDefault="00FA3CB2" w:rsidP="00FA3CB2">
      <w:pPr>
        <w:widowControl/>
        <w:autoSpaceDE w:val="0"/>
        <w:autoSpaceDN w:val="0"/>
        <w:adjustRightInd w:val="0"/>
        <w:snapToGrid w:val="0"/>
        <w:spacing w:line="360" w:lineRule="auto"/>
        <w:rPr>
          <w:rFonts w:ascii="Book Antiqua" w:eastAsia="SimSun" w:hAnsi="Book Antiqua" w:cs="Times"/>
          <w:b/>
          <w:kern w:val="0"/>
          <w:vertAlign w:val="superscript"/>
          <w:lang w:eastAsia="zh-CN"/>
        </w:rPr>
      </w:pPr>
      <w:r w:rsidRPr="004865E7">
        <w:rPr>
          <w:rFonts w:ascii="Book Antiqua" w:hAnsi="Book Antiqua" w:cs="Times"/>
          <w:b/>
          <w:kern w:val="0"/>
        </w:rPr>
        <w:t>Anthony Axon</w:t>
      </w:r>
      <w:r w:rsidRPr="004865E7">
        <w:rPr>
          <w:rFonts w:ascii="Book Antiqua" w:eastAsia="SimSun" w:hAnsi="Book Antiqua" w:cs="Times" w:hint="eastAsia"/>
          <w:b/>
          <w:kern w:val="0"/>
          <w:lang w:eastAsia="zh-CN"/>
        </w:rPr>
        <w:t>,</w:t>
      </w:r>
      <w:r w:rsidRPr="004865E7">
        <w:rPr>
          <w:rFonts w:ascii="Book Antiqua" w:eastAsia="SimSun" w:hAnsi="Book Antiqua" w:cs="Times" w:hint="eastAsia"/>
          <w:b/>
          <w:kern w:val="0"/>
          <w:vertAlign w:val="superscript"/>
          <w:lang w:eastAsia="zh-CN"/>
        </w:rPr>
        <w:t xml:space="preserve"> </w:t>
      </w:r>
      <w:r w:rsidR="002C16E4" w:rsidRPr="004865E7">
        <w:rPr>
          <w:rFonts w:ascii="Book Antiqua" w:hAnsi="Book Antiqua" w:cs="AdvPA0C4"/>
        </w:rPr>
        <w:t xml:space="preserve">Centre for Digestive Disease, Leeds General Infirmary, </w:t>
      </w:r>
      <w:r w:rsidR="0059707D" w:rsidRPr="004865E7">
        <w:rPr>
          <w:rFonts w:ascii="Book Antiqua" w:hAnsi="Book Antiqua" w:cs="AdvPA0C4"/>
        </w:rPr>
        <w:t xml:space="preserve">LS1 3EX </w:t>
      </w:r>
      <w:r w:rsidR="002C16E4" w:rsidRPr="004865E7">
        <w:rPr>
          <w:rFonts w:ascii="Book Antiqua" w:hAnsi="Book Antiqua" w:cs="AdvPA0C4"/>
        </w:rPr>
        <w:t xml:space="preserve">Leeds, </w:t>
      </w:r>
      <w:r w:rsidRPr="004865E7">
        <w:rPr>
          <w:rFonts w:ascii="Book Antiqua" w:eastAsia="SimSun" w:hAnsi="Book Antiqua" w:cs="Times"/>
          <w:kern w:val="0"/>
          <w:lang w:eastAsia="zh-CN"/>
        </w:rPr>
        <w:t>U</w:t>
      </w:r>
      <w:r w:rsidRPr="004865E7">
        <w:rPr>
          <w:rFonts w:ascii="Book Antiqua" w:eastAsia="SimSun" w:hAnsi="Book Antiqua" w:cs="Times" w:hint="eastAsia"/>
          <w:kern w:val="0"/>
          <w:lang w:eastAsia="zh-CN"/>
        </w:rPr>
        <w:t>nited Kingdom</w:t>
      </w:r>
    </w:p>
    <w:p w14:paraId="4508DD2B" w14:textId="14BF09A4"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F45452C" w14:textId="76BE8771" w:rsidR="00FA3CB2" w:rsidRPr="004865E7" w:rsidRDefault="00FA3CB2" w:rsidP="00FA3CB2">
      <w:pPr>
        <w:widowControl/>
        <w:autoSpaceDE w:val="0"/>
        <w:autoSpaceDN w:val="0"/>
        <w:adjustRightInd w:val="0"/>
        <w:snapToGrid w:val="0"/>
        <w:spacing w:line="360" w:lineRule="auto"/>
        <w:rPr>
          <w:rFonts w:ascii="Book Antiqua" w:eastAsia="SimSun" w:hAnsi="Book Antiqua" w:cs="Times"/>
          <w:b/>
          <w:kern w:val="0"/>
          <w:lang w:eastAsia="zh-CN"/>
        </w:rPr>
      </w:pPr>
      <w:r w:rsidRPr="004865E7">
        <w:rPr>
          <w:rFonts w:ascii="Book Antiqua" w:hAnsi="Book Antiqua" w:cs="Times"/>
          <w:b/>
          <w:kern w:val="0"/>
        </w:rPr>
        <w:t>Author contributions:</w:t>
      </w:r>
      <w:r w:rsidRPr="004865E7">
        <w:rPr>
          <w:rFonts w:ascii="Book Antiqua" w:eastAsia="SimSun" w:hAnsi="Book Antiqua" w:cs="Times" w:hint="eastAsia"/>
          <w:b/>
          <w:kern w:val="0"/>
          <w:lang w:eastAsia="zh-CN"/>
        </w:rPr>
        <w:t xml:space="preserve"> </w:t>
      </w:r>
      <w:r w:rsidRPr="004865E7">
        <w:rPr>
          <w:rFonts w:ascii="Book Antiqua" w:eastAsia="SimSun" w:hAnsi="Book Antiqua" w:cs="Times"/>
          <w:b/>
          <w:kern w:val="0"/>
          <w:lang w:eastAsia="zh-CN"/>
        </w:rPr>
        <w:t>Kono</w:t>
      </w:r>
      <w:r w:rsidRPr="004865E7">
        <w:rPr>
          <w:rFonts w:ascii="Book Antiqua" w:eastAsia="SimSun" w:hAnsi="Book Antiqua" w:cs="Times" w:hint="eastAsia"/>
          <w:b/>
          <w:kern w:val="0"/>
          <w:lang w:eastAsia="zh-CN"/>
        </w:rPr>
        <w:t xml:space="preserve"> S </w:t>
      </w:r>
      <w:r w:rsidRPr="004865E7">
        <w:rPr>
          <w:rFonts w:ascii="Book Antiqua" w:hAnsi="Book Antiqua" w:cs="Times"/>
          <w:kern w:val="0"/>
        </w:rPr>
        <w:t>analy</w:t>
      </w:r>
      <w:r w:rsidRPr="004865E7">
        <w:rPr>
          <w:rFonts w:ascii="Book Antiqua" w:eastAsia="SimSun" w:hAnsi="Book Antiqua" w:cs="Times" w:hint="eastAsia"/>
          <w:kern w:val="0"/>
          <w:lang w:eastAsia="zh-CN"/>
        </w:rPr>
        <w:t>zed</w:t>
      </w:r>
      <w:r w:rsidRPr="004865E7">
        <w:rPr>
          <w:rFonts w:ascii="Book Antiqua" w:hAnsi="Book Antiqua" w:cs="Times"/>
          <w:kern w:val="0"/>
        </w:rPr>
        <w:t xml:space="preserve"> and interpret</w:t>
      </w:r>
      <w:r w:rsidRPr="004865E7">
        <w:rPr>
          <w:rFonts w:ascii="Book Antiqua" w:eastAsia="SimSun" w:hAnsi="Book Antiqua" w:cs="Times" w:hint="eastAsia"/>
          <w:kern w:val="0"/>
          <w:lang w:eastAsia="zh-CN"/>
        </w:rPr>
        <w:t>ed</w:t>
      </w:r>
      <w:r w:rsidRPr="004865E7">
        <w:rPr>
          <w:rFonts w:ascii="Book Antiqua" w:hAnsi="Book Antiqua" w:cs="Times"/>
          <w:kern w:val="0"/>
        </w:rPr>
        <w:t xml:space="preserve"> the data, and draft</w:t>
      </w:r>
      <w:r w:rsidRPr="004865E7">
        <w:rPr>
          <w:rFonts w:ascii="Book Antiqua" w:eastAsia="SimSun" w:hAnsi="Book Antiqua" w:cs="Times" w:hint="eastAsia"/>
          <w:kern w:val="0"/>
          <w:lang w:eastAsia="zh-CN"/>
        </w:rPr>
        <w:t>ed</w:t>
      </w:r>
      <w:r w:rsidRPr="004865E7">
        <w:rPr>
          <w:rFonts w:ascii="Book Antiqua" w:hAnsi="Book Antiqua" w:cs="Times"/>
          <w:kern w:val="0"/>
        </w:rPr>
        <w:t xml:space="preserve"> the paper</w:t>
      </w:r>
      <w:r w:rsidRPr="004865E7">
        <w:rPr>
          <w:rFonts w:ascii="Book Antiqua" w:eastAsia="SimSun" w:hAnsi="Book Antiqua" w:cs="Times" w:hint="eastAsia"/>
          <w:kern w:val="0"/>
          <w:lang w:eastAsia="zh-CN"/>
        </w:rPr>
        <w:t xml:space="preserve">; </w:t>
      </w:r>
      <w:r w:rsidRPr="004865E7">
        <w:rPr>
          <w:rFonts w:ascii="Book Antiqua" w:eastAsia="SimSun" w:hAnsi="Book Antiqua" w:cs="Times"/>
          <w:kern w:val="0"/>
          <w:lang w:eastAsia="zh-CN"/>
        </w:rPr>
        <w:t>Gotoda</w:t>
      </w:r>
      <w:r w:rsidRPr="004865E7">
        <w:rPr>
          <w:rFonts w:ascii="Book Antiqua" w:eastAsia="SimSun" w:hAnsi="Book Antiqua" w:cs="Times" w:hint="eastAsia"/>
          <w:kern w:val="0"/>
          <w:lang w:eastAsia="zh-CN"/>
        </w:rPr>
        <w:t xml:space="preserve"> T made contributions to </w:t>
      </w:r>
      <w:r w:rsidRPr="004865E7">
        <w:rPr>
          <w:rFonts w:ascii="Book Antiqua" w:hAnsi="Book Antiqua" w:cs="Times"/>
          <w:kern w:val="0"/>
        </w:rPr>
        <w:t>data collection, conception and design, analysis and data</w:t>
      </w:r>
      <w:r w:rsidR="008E025E" w:rsidRPr="004865E7">
        <w:rPr>
          <w:rFonts w:ascii="Book Antiqua" w:eastAsia="SimSun" w:hAnsi="Book Antiqua" w:cs="Times" w:hint="eastAsia"/>
          <w:kern w:val="0"/>
          <w:lang w:eastAsia="zh-CN"/>
        </w:rPr>
        <w:t xml:space="preserve"> </w:t>
      </w:r>
      <w:r w:rsidR="008E025E" w:rsidRPr="004865E7">
        <w:rPr>
          <w:rFonts w:ascii="Book Antiqua" w:eastAsia="SimSun" w:hAnsi="Book Antiqua" w:cs="Times"/>
          <w:kern w:val="0"/>
          <w:lang w:eastAsia="zh-CN"/>
        </w:rPr>
        <w:t>interpretation</w:t>
      </w:r>
      <w:r w:rsidRPr="004865E7">
        <w:rPr>
          <w:rFonts w:ascii="Book Antiqua" w:eastAsia="SimSun" w:hAnsi="Book Antiqua" w:cs="Times" w:hint="eastAsia"/>
          <w:kern w:val="0"/>
          <w:lang w:eastAsia="zh-CN"/>
        </w:rPr>
        <w:t>;</w:t>
      </w:r>
      <w:r w:rsidRPr="004865E7">
        <w:rPr>
          <w:rFonts w:ascii="Book Antiqua" w:hAnsi="Book Antiqua" w:cs="Times"/>
          <w:kern w:val="0"/>
        </w:rPr>
        <w:t xml:space="preserve"> Gatta</w:t>
      </w:r>
      <w:r w:rsidR="008E025E" w:rsidRPr="004865E7">
        <w:rPr>
          <w:rFonts w:ascii="Book Antiqua" w:eastAsia="SimSun" w:hAnsi="Book Antiqua" w:cs="Times" w:hint="eastAsia"/>
          <w:kern w:val="0"/>
          <w:lang w:eastAsia="zh-CN"/>
        </w:rPr>
        <w:t xml:space="preserve"> L</w:t>
      </w:r>
      <w:r w:rsidRPr="004865E7">
        <w:rPr>
          <w:rFonts w:ascii="Book Antiqua" w:hAnsi="Book Antiqua" w:cs="Times"/>
          <w:kern w:val="0"/>
        </w:rPr>
        <w:t>, Naylor</w:t>
      </w:r>
      <w:r w:rsidR="008E025E" w:rsidRPr="004865E7">
        <w:rPr>
          <w:rFonts w:ascii="Book Antiqua" w:eastAsia="SimSun" w:hAnsi="Book Antiqua" w:cs="Times" w:hint="eastAsia"/>
          <w:kern w:val="0"/>
          <w:lang w:eastAsia="zh-CN"/>
        </w:rPr>
        <w:t xml:space="preserve"> G</w:t>
      </w:r>
      <w:r w:rsidRPr="004865E7">
        <w:rPr>
          <w:rFonts w:ascii="Book Antiqua" w:hAnsi="Book Antiqua" w:cs="Times"/>
          <w:kern w:val="0"/>
        </w:rPr>
        <w:t>, Dixon</w:t>
      </w:r>
      <w:r w:rsidR="008E025E" w:rsidRPr="004865E7">
        <w:rPr>
          <w:rFonts w:ascii="Book Antiqua" w:eastAsia="SimSun" w:hAnsi="Book Antiqua" w:cs="Times" w:hint="eastAsia"/>
          <w:kern w:val="0"/>
          <w:lang w:eastAsia="zh-CN"/>
        </w:rPr>
        <w:t xml:space="preserve"> M collected </w:t>
      </w:r>
      <w:r w:rsidR="008E025E" w:rsidRPr="004865E7">
        <w:rPr>
          <w:rFonts w:ascii="Book Antiqua" w:eastAsia="SimSun" w:hAnsi="Book Antiqua" w:cs="Times"/>
          <w:kern w:val="0"/>
          <w:lang w:eastAsia="zh-CN"/>
        </w:rPr>
        <w:t>data</w:t>
      </w:r>
      <w:r w:rsidR="008E025E" w:rsidRPr="004865E7">
        <w:rPr>
          <w:rFonts w:ascii="Book Antiqua" w:eastAsia="SimSun" w:hAnsi="Book Antiqua" w:cs="Times" w:hint="eastAsia"/>
          <w:kern w:val="0"/>
          <w:lang w:eastAsia="zh-CN"/>
        </w:rPr>
        <w:t>;</w:t>
      </w:r>
      <w:r w:rsidR="008E025E" w:rsidRPr="004865E7">
        <w:rPr>
          <w:rFonts w:ascii="Book Antiqua" w:eastAsia="SimSun" w:hAnsi="Book Antiqua" w:cs="Times"/>
          <w:kern w:val="0"/>
          <w:lang w:eastAsia="zh-CN"/>
        </w:rPr>
        <w:t xml:space="preserve"> </w:t>
      </w:r>
      <w:r w:rsidRPr="004865E7">
        <w:rPr>
          <w:rFonts w:ascii="Book Antiqua" w:hAnsi="Book Antiqua" w:cs="Times"/>
          <w:kern w:val="0"/>
        </w:rPr>
        <w:t>Yoshida</w:t>
      </w:r>
      <w:r w:rsidR="008E025E" w:rsidRPr="004865E7">
        <w:rPr>
          <w:rFonts w:ascii="Book Antiqua" w:eastAsia="SimSun" w:hAnsi="Book Antiqua" w:cs="Times" w:hint="eastAsia"/>
          <w:kern w:val="0"/>
          <w:lang w:eastAsia="zh-CN"/>
        </w:rPr>
        <w:t xml:space="preserve"> S</w:t>
      </w:r>
      <w:r w:rsidRPr="004865E7">
        <w:rPr>
          <w:rFonts w:ascii="Book Antiqua" w:hAnsi="Book Antiqua" w:cs="Times"/>
          <w:kern w:val="0"/>
        </w:rPr>
        <w:t>, Oda</w:t>
      </w:r>
      <w:r w:rsidR="008E025E" w:rsidRPr="004865E7">
        <w:rPr>
          <w:rFonts w:ascii="Book Antiqua" w:eastAsia="SimSun" w:hAnsi="Book Antiqua" w:cs="Times" w:hint="eastAsia"/>
          <w:kern w:val="0"/>
          <w:lang w:eastAsia="zh-CN"/>
        </w:rPr>
        <w:t xml:space="preserve"> I</w:t>
      </w:r>
      <w:r w:rsidRPr="004865E7">
        <w:rPr>
          <w:rFonts w:ascii="Book Antiqua" w:hAnsi="Book Antiqua" w:cs="Times"/>
          <w:kern w:val="0"/>
        </w:rPr>
        <w:t>, and Kondo</w:t>
      </w:r>
      <w:r w:rsidR="008E025E" w:rsidRPr="004865E7">
        <w:rPr>
          <w:rFonts w:ascii="Book Antiqua" w:eastAsia="SimSun" w:hAnsi="Book Antiqua" w:cs="Times" w:hint="eastAsia"/>
          <w:kern w:val="0"/>
          <w:lang w:eastAsia="zh-CN"/>
        </w:rPr>
        <w:t xml:space="preserve"> H contributed to </w:t>
      </w:r>
      <w:r w:rsidR="008E025E" w:rsidRPr="004865E7">
        <w:rPr>
          <w:rFonts w:ascii="Book Antiqua" w:eastAsia="SimSun" w:hAnsi="Book Antiqua" w:cs="Times"/>
          <w:kern w:val="0"/>
          <w:lang w:eastAsia="zh-CN"/>
        </w:rPr>
        <w:t xml:space="preserve">conception and </w:t>
      </w:r>
      <w:r w:rsidR="008E025E" w:rsidRPr="004865E7">
        <w:rPr>
          <w:rFonts w:ascii="Book Antiqua" w:eastAsia="SimSun" w:hAnsi="Book Antiqua" w:cs="Times" w:hint="eastAsia"/>
          <w:kern w:val="0"/>
          <w:lang w:eastAsia="zh-CN"/>
        </w:rPr>
        <w:t xml:space="preserve">study </w:t>
      </w:r>
      <w:r w:rsidR="008E025E" w:rsidRPr="004865E7">
        <w:rPr>
          <w:rFonts w:ascii="Book Antiqua" w:eastAsia="SimSun" w:hAnsi="Book Antiqua" w:cs="Times"/>
          <w:kern w:val="0"/>
          <w:lang w:eastAsia="zh-CN"/>
        </w:rPr>
        <w:t>design</w:t>
      </w:r>
      <w:r w:rsidR="008E025E" w:rsidRPr="004865E7">
        <w:rPr>
          <w:rFonts w:ascii="Book Antiqua" w:eastAsia="SimSun" w:hAnsi="Book Antiqua" w:cs="Times" w:hint="eastAsia"/>
          <w:kern w:val="0"/>
          <w:lang w:eastAsia="zh-CN"/>
        </w:rPr>
        <w:t>;</w:t>
      </w:r>
      <w:r w:rsidR="008E025E" w:rsidRPr="004865E7">
        <w:rPr>
          <w:rFonts w:ascii="Book Antiqua" w:eastAsia="SimSun" w:hAnsi="Book Antiqua" w:cs="Times" w:hint="eastAsia"/>
          <w:b/>
          <w:kern w:val="0"/>
          <w:lang w:eastAsia="zh-CN"/>
        </w:rPr>
        <w:t xml:space="preserve"> </w:t>
      </w:r>
      <w:r w:rsidR="008E025E" w:rsidRPr="004865E7">
        <w:rPr>
          <w:rFonts w:ascii="Book Antiqua" w:hAnsi="Book Antiqua" w:cs="Times"/>
          <w:kern w:val="0"/>
        </w:rPr>
        <w:t xml:space="preserve">Axon </w:t>
      </w:r>
      <w:r w:rsidR="008E025E" w:rsidRPr="004865E7">
        <w:rPr>
          <w:rFonts w:ascii="Book Antiqua" w:eastAsia="SimSun" w:hAnsi="Book Antiqua" w:cs="Times" w:hint="eastAsia"/>
          <w:kern w:val="0"/>
          <w:lang w:eastAsia="zh-CN"/>
        </w:rPr>
        <w:t xml:space="preserve">A </w:t>
      </w:r>
      <w:r w:rsidR="008E025E" w:rsidRPr="004865E7">
        <w:rPr>
          <w:rFonts w:ascii="Book Antiqua" w:hAnsi="Book Antiqua" w:cs="Times"/>
          <w:kern w:val="0"/>
        </w:rPr>
        <w:t>interpret</w:t>
      </w:r>
      <w:r w:rsidR="008E025E" w:rsidRPr="004865E7">
        <w:rPr>
          <w:rFonts w:ascii="Book Antiqua" w:hAnsi="Book Antiqua" w:cs="Times" w:hint="eastAsia"/>
          <w:kern w:val="0"/>
        </w:rPr>
        <w:t>ed</w:t>
      </w:r>
      <w:r w:rsidR="008E025E" w:rsidRPr="004865E7">
        <w:rPr>
          <w:rFonts w:ascii="Book Antiqua" w:hAnsi="Book Antiqua" w:cs="Times"/>
          <w:kern w:val="0"/>
        </w:rPr>
        <w:t xml:space="preserve"> the data</w:t>
      </w:r>
      <w:r w:rsidR="008E025E" w:rsidRPr="004865E7">
        <w:rPr>
          <w:rFonts w:ascii="Book Antiqua" w:eastAsia="SimSun" w:hAnsi="Book Antiqua" w:cs="Times" w:hint="eastAsia"/>
          <w:kern w:val="0"/>
          <w:lang w:eastAsia="zh-CN"/>
        </w:rPr>
        <w:t>;</w:t>
      </w:r>
      <w:r w:rsidR="008E025E" w:rsidRPr="004865E7">
        <w:rPr>
          <w:rFonts w:ascii="Book Antiqua" w:eastAsia="SimSun" w:hAnsi="Book Antiqua" w:cs="Times" w:hint="eastAsia"/>
          <w:b/>
          <w:kern w:val="0"/>
          <w:lang w:eastAsia="zh-CN"/>
        </w:rPr>
        <w:t xml:space="preserve"> </w:t>
      </w:r>
      <w:r w:rsidRPr="004865E7">
        <w:rPr>
          <w:rFonts w:ascii="Book Antiqua" w:hAnsi="Book Antiqua" w:cs="Times"/>
          <w:kern w:val="0"/>
        </w:rPr>
        <w:t>Moriyasu</w:t>
      </w:r>
      <w:r w:rsidR="008E025E" w:rsidRPr="004865E7">
        <w:rPr>
          <w:rFonts w:ascii="Book Antiqua" w:eastAsia="SimSun" w:hAnsi="Book Antiqua" w:cs="Times" w:hint="eastAsia"/>
          <w:kern w:val="0"/>
          <w:lang w:eastAsia="zh-CN"/>
        </w:rPr>
        <w:t xml:space="preserve"> F and </w:t>
      </w:r>
      <w:r w:rsidR="008E025E" w:rsidRPr="004865E7">
        <w:rPr>
          <w:rFonts w:ascii="Book Antiqua" w:eastAsia="SimSun" w:hAnsi="Book Antiqua" w:cs="Times"/>
          <w:kern w:val="0"/>
          <w:lang w:eastAsia="zh-CN"/>
        </w:rPr>
        <w:t xml:space="preserve">Axon </w:t>
      </w:r>
      <w:r w:rsidR="008E025E" w:rsidRPr="004865E7">
        <w:rPr>
          <w:rFonts w:ascii="Book Antiqua" w:eastAsia="SimSun" w:hAnsi="Book Antiqua" w:cs="Times" w:hint="eastAsia"/>
          <w:kern w:val="0"/>
          <w:lang w:eastAsia="zh-CN"/>
        </w:rPr>
        <w:t xml:space="preserve">A are </w:t>
      </w:r>
      <w:r w:rsidR="008E025E" w:rsidRPr="004865E7">
        <w:rPr>
          <w:rFonts w:ascii="Book Antiqua" w:eastAsia="SimSun" w:hAnsi="Book Antiqua" w:cs="Times"/>
          <w:kern w:val="0"/>
          <w:lang w:eastAsia="zh-CN"/>
        </w:rPr>
        <w:t>supervisors</w:t>
      </w:r>
      <w:r w:rsidR="008E025E" w:rsidRPr="004865E7">
        <w:rPr>
          <w:rFonts w:ascii="Book Antiqua" w:eastAsia="SimSun" w:hAnsi="Book Antiqua" w:cs="Times" w:hint="eastAsia"/>
          <w:kern w:val="0"/>
          <w:lang w:eastAsia="zh-CN"/>
        </w:rPr>
        <w:t>.</w:t>
      </w:r>
    </w:p>
    <w:p w14:paraId="711C1C21" w14:textId="77777777" w:rsidR="002C16E4" w:rsidRPr="004865E7" w:rsidRDefault="002C16E4" w:rsidP="00FA3CB2">
      <w:pPr>
        <w:widowControl/>
        <w:autoSpaceDE w:val="0"/>
        <w:autoSpaceDN w:val="0"/>
        <w:adjustRightInd w:val="0"/>
        <w:snapToGrid w:val="0"/>
        <w:spacing w:line="360" w:lineRule="auto"/>
        <w:rPr>
          <w:rFonts w:ascii="Book Antiqua" w:eastAsia="SimSun" w:hAnsi="Book Antiqua" w:cs="Times"/>
          <w:kern w:val="0"/>
          <w:lang w:eastAsia="zh-CN"/>
        </w:rPr>
      </w:pPr>
    </w:p>
    <w:p w14:paraId="36FA00D7" w14:textId="227D92EA" w:rsidR="00E60AF6" w:rsidRPr="004865E7" w:rsidRDefault="008E025E" w:rsidP="008E025E">
      <w:pPr>
        <w:spacing w:line="360" w:lineRule="auto"/>
        <w:rPr>
          <w:rFonts w:ascii="Book Antiqua" w:hAnsi="Book Antiqua"/>
          <w:b/>
          <w:bCs/>
          <w:iCs/>
          <w:kern w:val="0"/>
        </w:rPr>
      </w:pPr>
      <w:bookmarkStart w:id="66" w:name="OLE_LINK923"/>
      <w:bookmarkStart w:id="67" w:name="OLE_LINK924"/>
      <w:bookmarkStart w:id="68" w:name="OLE_LINK925"/>
      <w:bookmarkStart w:id="69" w:name="OLE_LINK926"/>
      <w:bookmarkStart w:id="70" w:name="OLE_LINK928"/>
      <w:bookmarkStart w:id="71" w:name="OLE_LINK932"/>
      <w:bookmarkStart w:id="72" w:name="OLE_LINK903"/>
      <w:bookmarkStart w:id="73" w:name="OLE_LINK1125"/>
      <w:bookmarkStart w:id="74" w:name="OLE_LINK1048"/>
      <w:bookmarkStart w:id="75" w:name="OLE_LINK1057"/>
      <w:bookmarkStart w:id="76" w:name="OLE_LINK1159"/>
      <w:bookmarkStart w:id="77" w:name="OLE_LINK1358"/>
      <w:bookmarkStart w:id="78" w:name="OLE_LINK1521"/>
      <w:bookmarkStart w:id="79" w:name="OLE_LINK1617"/>
      <w:bookmarkStart w:id="80" w:name="OLE_LINK1341"/>
      <w:bookmarkStart w:id="81" w:name="OLE_LINK1452"/>
      <w:bookmarkStart w:id="82" w:name="OLE_LINK1498"/>
      <w:bookmarkStart w:id="83" w:name="OLE_LINK1466"/>
      <w:bookmarkStart w:id="84" w:name="OLE_LINK1624"/>
      <w:bookmarkStart w:id="85" w:name="OLE_LINK1853"/>
      <w:bookmarkStart w:id="86" w:name="OLE_LINK1948"/>
      <w:bookmarkStart w:id="87" w:name="OLE_LINK1864"/>
      <w:bookmarkStart w:id="88" w:name="OLE_LINK1868"/>
      <w:bookmarkStart w:id="89" w:name="OLE_LINK1962"/>
      <w:bookmarkStart w:id="90" w:name="OLE_LINK2121"/>
      <w:bookmarkStart w:id="91" w:name="OLE_LINK1172"/>
      <w:bookmarkStart w:id="92" w:name="OLE_LINK1173"/>
      <w:bookmarkStart w:id="93" w:name="OLE_LINK984"/>
      <w:r w:rsidRPr="004865E7">
        <w:rPr>
          <w:rFonts w:ascii="Book Antiqua" w:hAnsi="Book Antiqua"/>
          <w:b/>
          <w:bCs/>
          <w:iCs/>
          <w:kern w:val="0"/>
        </w:rPr>
        <w:t xml:space="preserve">Institutional review board </w:t>
      </w:r>
      <w:bookmarkStart w:id="94" w:name="OLE_LINK1938"/>
      <w:bookmarkStart w:id="95" w:name="OLE_LINK1940"/>
      <w:r w:rsidRPr="004865E7">
        <w:rPr>
          <w:rFonts w:ascii="Book Antiqua" w:hAnsi="Book Antiqua"/>
          <w:b/>
          <w:bCs/>
          <w:iCs/>
          <w:kern w:val="0"/>
        </w:rPr>
        <w:t>statement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4"/>
      <w:bookmarkEnd w:id="95"/>
      <w:r w:rsidR="00E60AF6" w:rsidRPr="004865E7">
        <w:rPr>
          <w:rFonts w:ascii="Book Antiqua" w:hAnsi="Book Antiqua"/>
          <w:b/>
          <w:bCs/>
          <w:iCs/>
          <w:kern w:val="0"/>
        </w:rPr>
        <w:t>:</w:t>
      </w:r>
      <w:r w:rsidR="000916F0" w:rsidRPr="004865E7">
        <w:rPr>
          <w:rFonts w:ascii="Book Antiqua" w:hAnsi="Book Antiqua"/>
          <w:b/>
          <w:bCs/>
          <w:iCs/>
          <w:kern w:val="0"/>
        </w:rPr>
        <w:t xml:space="preserve"> </w:t>
      </w:r>
      <w:r w:rsidR="000916F0" w:rsidRPr="004865E7">
        <w:rPr>
          <w:rFonts w:ascii="Book Antiqua" w:hAnsi="Book Antiqua"/>
          <w:bCs/>
          <w:iCs/>
          <w:kern w:val="0"/>
        </w:rPr>
        <w:t xml:space="preserve">The study protocol was approved by the local </w:t>
      </w:r>
      <w:r w:rsidRPr="004865E7">
        <w:rPr>
          <w:rFonts w:ascii="Book Antiqua" w:hAnsi="Book Antiqua"/>
          <w:bCs/>
          <w:iCs/>
          <w:kern w:val="0"/>
        </w:rPr>
        <w:t xml:space="preserve">Ethics Committees, </w:t>
      </w:r>
      <w:r w:rsidR="000916F0" w:rsidRPr="004865E7">
        <w:rPr>
          <w:rFonts w:ascii="Book Antiqua" w:hAnsi="Book Antiqua"/>
          <w:bCs/>
          <w:iCs/>
          <w:kern w:val="0"/>
        </w:rPr>
        <w:t>and all patients provided written informed consent.</w:t>
      </w:r>
    </w:p>
    <w:p w14:paraId="2FFF1637" w14:textId="77777777" w:rsidR="00E60AF6" w:rsidRPr="004865E7" w:rsidRDefault="00E60AF6" w:rsidP="00FA3CB2">
      <w:pPr>
        <w:autoSpaceDE w:val="0"/>
        <w:autoSpaceDN w:val="0"/>
        <w:adjustRightInd w:val="0"/>
        <w:snapToGrid w:val="0"/>
        <w:spacing w:line="360" w:lineRule="auto"/>
        <w:rPr>
          <w:rFonts w:ascii="Book Antiqua" w:hAnsi="Book Antiqua"/>
          <w:b/>
          <w:bCs/>
          <w:iCs/>
        </w:rPr>
      </w:pPr>
    </w:p>
    <w:p w14:paraId="68041B36" w14:textId="295159E5" w:rsidR="00E60AF6" w:rsidRPr="004865E7" w:rsidRDefault="00E60AF6" w:rsidP="00FA3CB2">
      <w:pPr>
        <w:autoSpaceDE w:val="0"/>
        <w:autoSpaceDN w:val="0"/>
        <w:adjustRightInd w:val="0"/>
        <w:snapToGrid w:val="0"/>
        <w:spacing w:line="360" w:lineRule="auto"/>
        <w:rPr>
          <w:rFonts w:ascii="Book Antiqua" w:hAnsi="Book Antiqua"/>
          <w:bCs/>
          <w:iCs/>
          <w:kern w:val="0"/>
        </w:rPr>
      </w:pPr>
      <w:r w:rsidRPr="004865E7">
        <w:rPr>
          <w:rFonts w:ascii="Book Antiqua" w:hAnsi="Book Antiqua"/>
          <w:b/>
          <w:bCs/>
          <w:iCs/>
          <w:kern w:val="0"/>
        </w:rPr>
        <w:t>Informed consent</w:t>
      </w:r>
      <w:r w:rsidR="008E025E" w:rsidRPr="004865E7">
        <w:rPr>
          <w:rFonts w:ascii="Book Antiqua" w:eastAsia="SimSun" w:hAnsi="Book Antiqua" w:hint="eastAsia"/>
          <w:b/>
          <w:bCs/>
          <w:iCs/>
          <w:kern w:val="0"/>
          <w:lang w:eastAsia="zh-CN"/>
        </w:rPr>
        <w:t xml:space="preserve"> </w:t>
      </w:r>
      <w:r w:rsidR="008E025E" w:rsidRPr="004865E7">
        <w:rPr>
          <w:rFonts w:ascii="Book Antiqua" w:eastAsia="SimSun" w:hAnsi="Book Antiqua"/>
          <w:b/>
          <w:bCs/>
          <w:iCs/>
          <w:kern w:val="0"/>
          <w:lang w:eastAsia="zh-CN"/>
        </w:rPr>
        <w:t>statement</w:t>
      </w:r>
      <w:r w:rsidRPr="004865E7">
        <w:rPr>
          <w:rFonts w:ascii="Book Antiqua" w:hAnsi="Book Antiqua"/>
          <w:b/>
          <w:bCs/>
          <w:iCs/>
        </w:rPr>
        <w:t>:</w:t>
      </w:r>
      <w:r w:rsidRPr="004865E7">
        <w:rPr>
          <w:rFonts w:ascii="Book Antiqua" w:hAnsi="Book Antiqua"/>
          <w:b/>
          <w:bCs/>
          <w:iCs/>
          <w:kern w:val="0"/>
        </w:rPr>
        <w:t xml:space="preserve"> </w:t>
      </w:r>
      <w:r w:rsidR="006B7736" w:rsidRPr="004865E7">
        <w:rPr>
          <w:rFonts w:ascii="Book Antiqua" w:hAnsi="Book Antiqua"/>
          <w:bCs/>
          <w:iCs/>
          <w:kern w:val="0"/>
        </w:rPr>
        <w:t>All study participants or their legal guardian provided informed written consent about personal and medical data collection prior to study enrolment.</w:t>
      </w:r>
    </w:p>
    <w:p w14:paraId="50DA474D" w14:textId="77777777" w:rsidR="00E60AF6" w:rsidRPr="004865E7" w:rsidRDefault="00E60AF6" w:rsidP="00FA3CB2">
      <w:pPr>
        <w:autoSpaceDE w:val="0"/>
        <w:autoSpaceDN w:val="0"/>
        <w:adjustRightInd w:val="0"/>
        <w:snapToGrid w:val="0"/>
        <w:spacing w:line="360" w:lineRule="auto"/>
        <w:rPr>
          <w:rFonts w:ascii="Book Antiqua" w:eastAsia="SimSun" w:hAnsi="Book Antiqua" w:cs="TimesNewRomanPS-BoldItalicMT"/>
          <w:b/>
          <w:bCs/>
          <w:iCs/>
          <w:lang w:eastAsia="zh-CN"/>
        </w:rPr>
      </w:pPr>
    </w:p>
    <w:p w14:paraId="60EE3B2C" w14:textId="7F238CA0" w:rsidR="00E60AF6" w:rsidRPr="004865E7" w:rsidRDefault="00E60AF6" w:rsidP="00FA3CB2">
      <w:pPr>
        <w:autoSpaceDE w:val="0"/>
        <w:autoSpaceDN w:val="0"/>
        <w:adjustRightInd w:val="0"/>
        <w:snapToGrid w:val="0"/>
        <w:spacing w:line="360" w:lineRule="auto"/>
        <w:rPr>
          <w:rFonts w:ascii="Book Antiqua" w:hAnsi="Book Antiqua" w:cs="TimesNewRomanPS-BoldItalicMT"/>
          <w:bCs/>
          <w:iCs/>
          <w:kern w:val="0"/>
        </w:rPr>
      </w:pPr>
      <w:bookmarkStart w:id="96" w:name="OLE_LINK2682"/>
      <w:bookmarkStart w:id="97" w:name="OLE_LINK2683"/>
      <w:r w:rsidRPr="004865E7">
        <w:rPr>
          <w:rFonts w:ascii="Book Antiqua" w:hAnsi="Book Antiqua" w:cs="TimesNewRomanPS-BoldItalicMT"/>
          <w:b/>
          <w:bCs/>
          <w:iCs/>
          <w:kern w:val="0"/>
        </w:rPr>
        <w:t>Conflict-of-interest</w:t>
      </w:r>
      <w:r w:rsidR="008E025E" w:rsidRPr="004865E7">
        <w:rPr>
          <w:rFonts w:ascii="Book Antiqua" w:eastAsia="SimSun" w:hAnsi="Book Antiqua" w:cs="TimesNewRomanPS-BoldItalicMT" w:hint="eastAsia"/>
          <w:b/>
          <w:bCs/>
          <w:iCs/>
          <w:kern w:val="0"/>
          <w:lang w:eastAsia="zh-CN"/>
        </w:rPr>
        <w:t xml:space="preserve"> </w:t>
      </w:r>
      <w:r w:rsidR="008E025E" w:rsidRPr="004865E7">
        <w:rPr>
          <w:rFonts w:ascii="Book Antiqua" w:eastAsia="SimSun" w:hAnsi="Book Antiqua" w:cs="TimesNewRomanPS-BoldItalicMT"/>
          <w:b/>
          <w:bCs/>
          <w:iCs/>
          <w:kern w:val="0"/>
          <w:lang w:eastAsia="zh-CN"/>
        </w:rPr>
        <w:t>statement</w:t>
      </w:r>
      <w:r w:rsidRPr="004865E7">
        <w:rPr>
          <w:rFonts w:ascii="Book Antiqua" w:hAnsi="Book Antiqua" w:cs="TimesNewRomanPS-BoldItalicMT"/>
          <w:b/>
          <w:bCs/>
          <w:iCs/>
        </w:rPr>
        <w:t>:</w:t>
      </w:r>
      <w:r w:rsidR="006729BE" w:rsidRPr="004865E7">
        <w:rPr>
          <w:rFonts w:ascii="Book Antiqua" w:hAnsi="Book Antiqua"/>
        </w:rPr>
        <w:t xml:space="preserve"> </w:t>
      </w:r>
      <w:r w:rsidR="008E025E" w:rsidRPr="004865E7">
        <w:rPr>
          <w:rFonts w:ascii="Book Antiqua" w:eastAsia="SimSun" w:hAnsi="Book Antiqua"/>
          <w:lang w:eastAsia="zh-CN"/>
        </w:rPr>
        <w:t>The</w:t>
      </w:r>
      <w:r w:rsidR="008E025E" w:rsidRPr="004865E7">
        <w:rPr>
          <w:rFonts w:ascii="Book Antiqua" w:eastAsia="SimSun" w:hAnsi="Book Antiqua" w:hint="eastAsia"/>
          <w:lang w:eastAsia="zh-CN"/>
        </w:rPr>
        <w:t xml:space="preserve"> authors have </w:t>
      </w:r>
      <w:r w:rsidR="008E025E" w:rsidRPr="004865E7">
        <w:rPr>
          <w:rFonts w:ascii="Book Antiqua" w:hAnsi="Book Antiqua" w:cs="TimesNewRomanPS-BoldItalicMT"/>
          <w:bCs/>
          <w:iCs/>
        </w:rPr>
        <w:t xml:space="preserve">none </w:t>
      </w:r>
      <w:r w:rsidR="008E025E" w:rsidRPr="004865E7">
        <w:rPr>
          <w:rFonts w:ascii="Book Antiqua" w:eastAsia="SimSun" w:hAnsi="Book Antiqua" w:cs="TimesNewRomanPS-BoldItalicMT" w:hint="eastAsia"/>
          <w:bCs/>
          <w:iCs/>
          <w:lang w:eastAsia="zh-CN"/>
        </w:rPr>
        <w:t xml:space="preserve">to </w:t>
      </w:r>
      <w:r w:rsidR="008E025E" w:rsidRPr="004865E7">
        <w:rPr>
          <w:rFonts w:ascii="Book Antiqua" w:hAnsi="Book Antiqua" w:cs="TimesNewRomanPS-BoldItalicMT"/>
          <w:bCs/>
          <w:iCs/>
        </w:rPr>
        <w:t>declar</w:t>
      </w:r>
      <w:r w:rsidR="008E025E" w:rsidRPr="004865E7">
        <w:rPr>
          <w:rFonts w:ascii="Book Antiqua" w:eastAsia="SimSun" w:hAnsi="Book Antiqua" w:cs="TimesNewRomanPS-BoldItalicMT" w:hint="eastAsia"/>
          <w:bCs/>
          <w:iCs/>
          <w:lang w:eastAsia="zh-CN"/>
        </w:rPr>
        <w:t>e</w:t>
      </w:r>
      <w:r w:rsidR="006729BE" w:rsidRPr="004865E7">
        <w:rPr>
          <w:rFonts w:ascii="Book Antiqua" w:hAnsi="Book Antiqua" w:cs="TimesNewRomanPS-BoldItalicMT"/>
          <w:bCs/>
          <w:iCs/>
        </w:rPr>
        <w:t>.</w:t>
      </w:r>
    </w:p>
    <w:bookmarkEnd w:id="96"/>
    <w:bookmarkEnd w:id="97"/>
    <w:p w14:paraId="2E60FDE6" w14:textId="77777777" w:rsidR="00E60AF6" w:rsidRPr="004865E7" w:rsidRDefault="00E60AF6" w:rsidP="00FA3CB2">
      <w:pPr>
        <w:autoSpaceDE w:val="0"/>
        <w:autoSpaceDN w:val="0"/>
        <w:adjustRightInd w:val="0"/>
        <w:snapToGrid w:val="0"/>
        <w:spacing w:line="360" w:lineRule="auto"/>
        <w:rPr>
          <w:rFonts w:ascii="Book Antiqua" w:hAnsi="Book Antiqua" w:cs="TimesNewRomanPS-BoldItalicMT"/>
          <w:b/>
          <w:bCs/>
          <w:iCs/>
        </w:rPr>
      </w:pPr>
    </w:p>
    <w:p w14:paraId="59F91E25" w14:textId="7930C9FB" w:rsidR="00E60AF6" w:rsidRPr="004865E7" w:rsidRDefault="00E60AF6" w:rsidP="00FA3CB2">
      <w:pPr>
        <w:autoSpaceDE w:val="0"/>
        <w:autoSpaceDN w:val="0"/>
        <w:adjustRightInd w:val="0"/>
        <w:snapToGrid w:val="0"/>
        <w:spacing w:line="360" w:lineRule="auto"/>
        <w:rPr>
          <w:rFonts w:ascii="Book Antiqua" w:hAnsi="Book Antiqua" w:cs="TimesNewRomanPS-BoldItalicMT"/>
          <w:bCs/>
          <w:iCs/>
          <w:kern w:val="0"/>
        </w:rPr>
      </w:pPr>
      <w:r w:rsidRPr="004865E7">
        <w:rPr>
          <w:rFonts w:ascii="Book Antiqua" w:hAnsi="Book Antiqua" w:cs="TimesNewRomanPS-BoldItalicMT"/>
          <w:b/>
          <w:bCs/>
          <w:iCs/>
          <w:kern w:val="0"/>
        </w:rPr>
        <w:t>Data sharing</w:t>
      </w:r>
      <w:r w:rsidR="008E025E" w:rsidRPr="004865E7">
        <w:rPr>
          <w:rFonts w:ascii="Book Antiqua" w:eastAsia="SimSun" w:hAnsi="Book Antiqua" w:cs="TimesNewRomanPS-BoldItalicMT" w:hint="eastAsia"/>
          <w:b/>
          <w:bCs/>
          <w:iCs/>
          <w:kern w:val="0"/>
          <w:lang w:eastAsia="zh-CN"/>
        </w:rPr>
        <w:t xml:space="preserve"> </w:t>
      </w:r>
      <w:r w:rsidR="008E025E" w:rsidRPr="004865E7">
        <w:rPr>
          <w:rFonts w:ascii="Book Antiqua" w:eastAsia="SimSun" w:hAnsi="Book Antiqua" w:cs="TimesNewRomanPS-BoldItalicMT"/>
          <w:b/>
          <w:bCs/>
          <w:iCs/>
          <w:kern w:val="0"/>
          <w:lang w:eastAsia="zh-CN"/>
        </w:rPr>
        <w:t>statement</w:t>
      </w:r>
      <w:r w:rsidRPr="004865E7">
        <w:rPr>
          <w:rFonts w:ascii="Book Antiqua" w:hAnsi="Book Antiqua" w:cs="TimesNewRomanPS-BoldItalicMT"/>
          <w:b/>
          <w:bCs/>
          <w:iCs/>
        </w:rPr>
        <w:t>:</w:t>
      </w:r>
      <w:r w:rsidR="00716851" w:rsidRPr="004865E7">
        <w:rPr>
          <w:rFonts w:ascii="Book Antiqua" w:hAnsi="Book Antiqua" w:cs="TimesNewRomanPS-BoldItalicMT"/>
          <w:b/>
          <w:bCs/>
          <w:iCs/>
        </w:rPr>
        <w:t xml:space="preserve"> </w:t>
      </w:r>
      <w:r w:rsidR="00716851" w:rsidRPr="004865E7">
        <w:rPr>
          <w:rFonts w:ascii="Book Antiqua" w:hAnsi="Book Antiqua" w:cs="TimesNewRomanPS-BoldItalicMT"/>
          <w:bCs/>
          <w:iCs/>
        </w:rPr>
        <w:t>No additional data are available.</w:t>
      </w:r>
    </w:p>
    <w:bookmarkEnd w:id="91"/>
    <w:bookmarkEnd w:id="92"/>
    <w:bookmarkEnd w:id="93"/>
    <w:p w14:paraId="6A18494D" w14:textId="77777777" w:rsidR="00E60AF6" w:rsidRPr="004865E7" w:rsidRDefault="00E60AF6" w:rsidP="00FA3CB2">
      <w:pPr>
        <w:widowControl/>
        <w:autoSpaceDE w:val="0"/>
        <w:autoSpaceDN w:val="0"/>
        <w:adjustRightInd w:val="0"/>
        <w:snapToGrid w:val="0"/>
        <w:spacing w:line="360" w:lineRule="auto"/>
        <w:rPr>
          <w:rFonts w:ascii="Book Antiqua" w:eastAsia="SimSun" w:hAnsi="Book Antiqua" w:cs="Times"/>
          <w:kern w:val="0"/>
          <w:lang w:eastAsia="zh-CN"/>
        </w:rPr>
      </w:pPr>
    </w:p>
    <w:p w14:paraId="2F5230DD" w14:textId="77777777" w:rsidR="008E025E" w:rsidRPr="004865E7" w:rsidRDefault="008E025E" w:rsidP="008E025E">
      <w:pPr>
        <w:widowControl/>
        <w:spacing w:line="360" w:lineRule="auto"/>
        <w:rPr>
          <w:rFonts w:ascii="Book Antiqua" w:eastAsia="SimSun" w:hAnsi="Book Antiqua" w:cs="SimSun"/>
          <w:kern w:val="0"/>
          <w:lang w:eastAsia="zh-CN"/>
        </w:rPr>
      </w:pPr>
      <w:bookmarkStart w:id="98" w:name="OLE_LINK441"/>
      <w:bookmarkStart w:id="99" w:name="OLE_LINK442"/>
      <w:bookmarkStart w:id="100" w:name="OLE_LINK1032"/>
      <w:bookmarkStart w:id="101" w:name="OLE_LINK1232"/>
      <w:bookmarkStart w:id="102" w:name="OLE_LINK1460"/>
      <w:bookmarkStart w:id="103" w:name="OLE_LINK1708"/>
      <w:bookmarkStart w:id="104" w:name="OLE_LINK1435"/>
      <w:bookmarkStart w:id="105" w:name="OLE_LINK1478"/>
      <w:bookmarkStart w:id="106" w:name="OLE_LINK1428"/>
      <w:bookmarkStart w:id="107" w:name="OLE_LINK1355"/>
      <w:bookmarkStart w:id="108" w:name="OLE_LINK1425"/>
      <w:bookmarkStart w:id="109" w:name="OLE_LINK1504"/>
      <w:bookmarkStart w:id="110" w:name="OLE_LINK1544"/>
      <w:bookmarkStart w:id="111" w:name="OLE_LINK1680"/>
      <w:bookmarkStart w:id="112" w:name="OLE_LINK1710"/>
      <w:bookmarkStart w:id="113" w:name="OLE_LINK3317"/>
      <w:bookmarkStart w:id="114" w:name="OLE_LINK1684"/>
      <w:bookmarkStart w:id="115" w:name="OLE_LINK1799"/>
      <w:bookmarkStart w:id="116" w:name="OLE_LINK1894"/>
      <w:bookmarkStart w:id="117" w:name="OLE_LINK27"/>
      <w:bookmarkStart w:id="118" w:name="OLE_LINK732"/>
      <w:bookmarkStart w:id="119" w:name="OLE_LINK2053"/>
      <w:bookmarkStart w:id="120" w:name="OLE_LINK2096"/>
      <w:r w:rsidRPr="004865E7">
        <w:rPr>
          <w:rFonts w:ascii="Book Antiqua" w:eastAsia="SimSun" w:hAnsi="Book Antiqua" w:cs="Times New Roman"/>
          <w:b/>
          <w:kern w:val="0"/>
          <w:lang w:eastAsia="zh-CN"/>
        </w:rPr>
        <w:t xml:space="preserve">Open-Access: </w:t>
      </w:r>
      <w:bookmarkStart w:id="121" w:name="OLE_LINK479"/>
      <w:bookmarkStart w:id="122" w:name="OLE_LINK496"/>
      <w:bookmarkStart w:id="123" w:name="OLE_LINK506"/>
      <w:bookmarkStart w:id="124" w:name="OLE_LINK507"/>
      <w:bookmarkStart w:id="125" w:name="OLE_LINK2029"/>
      <w:bookmarkStart w:id="126" w:name="OLE_LINK2030"/>
      <w:r w:rsidRPr="004865E7">
        <w:rPr>
          <w:rFonts w:ascii="Book Antiqua" w:eastAsia="SimSun" w:hAnsi="Book Antiqua" w:cs="Times New Roman"/>
          <w:lang w:eastAsia="zh-CN"/>
        </w:rPr>
        <w:t xml:space="preserve">This article is an open-access article which was selected by an in-house editor and fully peer-reviewed by external reviewers. It is distributed in accordance with the Creative Commons Attribution Non </w:t>
      </w:r>
      <w:r w:rsidRPr="004865E7">
        <w:rPr>
          <w:rFonts w:ascii="Book Antiqua" w:eastAsia="SimSun" w:hAnsi="Book Antiqua" w:cs="Times New Roman"/>
          <w:lang w:eastAsia="zh-CN"/>
        </w:rPr>
        <w:lastRenderedPageBreak/>
        <w:t xml:space="preserve">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865E7">
          <w:rPr>
            <w:rFonts w:ascii="Book Antiqua" w:eastAsia="SimSun" w:hAnsi="Book Antiqua" w:cs="Times New Roman"/>
            <w:u w:val="single"/>
            <w:lang w:eastAsia="zh-CN"/>
          </w:rPr>
          <w:t>http://creativecommons.org/licenses/by-nc/4.0/</w:t>
        </w:r>
      </w:hyperlink>
      <w:bookmarkEnd w:id="121"/>
      <w:bookmarkEnd w:id="122"/>
      <w:bookmarkEnd w:id="123"/>
      <w:bookmarkEnd w:id="124"/>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14:paraId="1BB79C7D" w14:textId="77777777" w:rsidR="008E025E" w:rsidRPr="004865E7" w:rsidRDefault="008E025E" w:rsidP="00FA3CB2">
      <w:pPr>
        <w:widowControl/>
        <w:autoSpaceDE w:val="0"/>
        <w:autoSpaceDN w:val="0"/>
        <w:adjustRightInd w:val="0"/>
        <w:snapToGrid w:val="0"/>
        <w:spacing w:line="360" w:lineRule="auto"/>
        <w:rPr>
          <w:rFonts w:ascii="Book Antiqua" w:eastAsia="SimSun" w:hAnsi="Book Antiqua" w:cs="Times"/>
          <w:kern w:val="0"/>
          <w:lang w:eastAsia="zh-CN"/>
        </w:rPr>
      </w:pPr>
    </w:p>
    <w:p w14:paraId="0A99943A" w14:textId="0F773DE7" w:rsidR="002C16E4" w:rsidRPr="004865E7" w:rsidRDefault="008E025E" w:rsidP="00FA3CB2">
      <w:pPr>
        <w:widowControl/>
        <w:autoSpaceDE w:val="0"/>
        <w:autoSpaceDN w:val="0"/>
        <w:adjustRightInd w:val="0"/>
        <w:snapToGrid w:val="0"/>
        <w:spacing w:line="360" w:lineRule="auto"/>
        <w:rPr>
          <w:rFonts w:ascii="Book Antiqua" w:eastAsia="SimSun" w:hAnsi="Book Antiqua" w:cs="TradeGothic"/>
          <w:lang w:eastAsia="zh-CN"/>
        </w:rPr>
      </w:pPr>
      <w:bookmarkStart w:id="127" w:name="OLE_LINK1529"/>
      <w:bookmarkStart w:id="128" w:name="OLE_LINK1530"/>
      <w:bookmarkStart w:id="129" w:name="OLE_LINK1233"/>
      <w:bookmarkStart w:id="130" w:name="OLE_LINK1234"/>
      <w:bookmarkStart w:id="131" w:name="OLE_LINK1701"/>
      <w:bookmarkStart w:id="132" w:name="OLE_LINK193"/>
      <w:bookmarkStart w:id="133" w:name="OLE_LINK194"/>
      <w:bookmarkStart w:id="134" w:name="OLE_LINK1134"/>
      <w:bookmarkStart w:id="135" w:name="OLE_LINK1421"/>
      <w:bookmarkStart w:id="136" w:name="OLE_LINK1660"/>
      <w:bookmarkStart w:id="137" w:name="OLE_LINK3318"/>
      <w:bookmarkStart w:id="138" w:name="OLE_LINK1918"/>
      <w:bookmarkEnd w:id="125"/>
      <w:bookmarkEnd w:id="126"/>
      <w:r w:rsidRPr="004865E7">
        <w:rPr>
          <w:rFonts w:ascii="Book Antiqua" w:hAnsi="Book Antiqua"/>
          <w:b/>
        </w:rPr>
        <w:t xml:space="preserve">Correspondence </w:t>
      </w:r>
      <w:bookmarkEnd w:id="127"/>
      <w:bookmarkEnd w:id="128"/>
      <w:r w:rsidRPr="004865E7">
        <w:rPr>
          <w:rFonts w:ascii="Book Antiqua" w:hAnsi="Book Antiqua"/>
          <w:b/>
        </w:rPr>
        <w:t>to:</w:t>
      </w:r>
      <w:bookmarkEnd w:id="129"/>
      <w:bookmarkEnd w:id="130"/>
      <w:bookmarkEnd w:id="131"/>
      <w:r w:rsidRPr="004865E7">
        <w:rPr>
          <w:rFonts w:ascii="Book Antiqua" w:hAnsi="Book Antiqua"/>
          <w:b/>
        </w:rPr>
        <w:t xml:space="preserve"> </w:t>
      </w:r>
      <w:bookmarkStart w:id="139" w:name="OLE_LINK2032"/>
      <w:bookmarkStart w:id="140" w:name="OLE_LINK2033"/>
      <w:bookmarkEnd w:id="132"/>
      <w:bookmarkEnd w:id="133"/>
      <w:bookmarkEnd w:id="134"/>
      <w:bookmarkEnd w:id="135"/>
      <w:bookmarkEnd w:id="136"/>
      <w:bookmarkEnd w:id="137"/>
      <w:bookmarkEnd w:id="138"/>
      <w:r w:rsidR="002C16E4" w:rsidRPr="004865E7">
        <w:rPr>
          <w:rFonts w:ascii="Book Antiqua" w:hAnsi="Book Antiqua" w:cs="TradeGothic"/>
          <w:b/>
        </w:rPr>
        <w:t>Takuji Gotoda, MD, PhD</w:t>
      </w:r>
      <w:r w:rsidRPr="004865E7">
        <w:rPr>
          <w:rFonts w:ascii="Book Antiqua" w:eastAsia="SimSun" w:hAnsi="Book Antiqua" w:cs="TradeGothic" w:hint="eastAsia"/>
          <w:b/>
          <w:lang w:eastAsia="zh-CN"/>
        </w:rPr>
        <w:t>,</w:t>
      </w:r>
      <w:r w:rsidRPr="004865E7">
        <w:rPr>
          <w:rFonts w:ascii="Book Antiqua" w:eastAsia="SimSun" w:hAnsi="Book Antiqua" w:cs="Times" w:hint="eastAsia"/>
          <w:kern w:val="0"/>
          <w:lang w:eastAsia="zh-CN"/>
        </w:rPr>
        <w:t xml:space="preserve"> </w:t>
      </w:r>
      <w:r w:rsidR="002C16E4" w:rsidRPr="004865E7">
        <w:rPr>
          <w:rFonts w:ascii="Book Antiqua" w:hAnsi="Book Antiqua" w:cs="TradeGothic"/>
        </w:rPr>
        <w:t>Department of Gastroenterology and Hepatology, Tokyo Medical University</w:t>
      </w:r>
      <w:r w:rsidRPr="004865E7">
        <w:rPr>
          <w:rFonts w:ascii="Book Antiqua" w:eastAsia="SimSun" w:hAnsi="Book Antiqua" w:cs="TradeGothic" w:hint="eastAsia"/>
          <w:lang w:eastAsia="zh-CN"/>
        </w:rPr>
        <w:t>,</w:t>
      </w:r>
      <w:r w:rsidRPr="004865E7">
        <w:rPr>
          <w:rFonts w:ascii="Book Antiqua" w:eastAsia="SimSun" w:hAnsi="Book Antiqua" w:cs="Times" w:hint="eastAsia"/>
          <w:kern w:val="0"/>
          <w:lang w:eastAsia="zh-CN"/>
        </w:rPr>
        <w:t xml:space="preserve"> </w:t>
      </w:r>
      <w:r w:rsidR="002C16E4" w:rsidRPr="004865E7">
        <w:rPr>
          <w:rFonts w:ascii="Book Antiqua" w:hAnsi="Book Antiqua" w:cs="TradeGothic"/>
        </w:rPr>
        <w:t>6-7-1 Nishishinjuku, Shinjuku-ku, Tokyo 160-0023, Japan</w:t>
      </w:r>
      <w:r w:rsidRPr="004865E7">
        <w:rPr>
          <w:rFonts w:ascii="Book Antiqua" w:eastAsia="SimSun" w:hAnsi="Book Antiqua" w:cs="TradeGothic" w:hint="eastAsia"/>
          <w:lang w:eastAsia="zh-CN"/>
        </w:rPr>
        <w:t xml:space="preserve">. </w:t>
      </w:r>
      <w:hyperlink r:id="rId8" w:history="1">
        <w:r w:rsidRPr="004865E7">
          <w:rPr>
            <w:rStyle w:val="Hyperlink"/>
            <w:rFonts w:ascii="Book Antiqua" w:eastAsia="SimSun" w:hAnsi="Book Antiqua" w:cs="TradeGothic"/>
            <w:color w:val="auto"/>
            <w:lang w:eastAsia="zh-CN"/>
          </w:rPr>
          <w:t>takujigotoda@yahoo.co.jp</w:t>
        </w:r>
      </w:hyperlink>
    </w:p>
    <w:p w14:paraId="4E3E7C9C" w14:textId="6C75A2BC" w:rsidR="008E025E" w:rsidRPr="004865E7" w:rsidRDefault="008E025E" w:rsidP="008E025E">
      <w:pPr>
        <w:adjustRightInd w:val="0"/>
        <w:snapToGrid w:val="0"/>
        <w:spacing w:line="360" w:lineRule="auto"/>
        <w:rPr>
          <w:rFonts w:ascii="Book Antiqua" w:hAnsi="Book Antiqua"/>
          <w:b/>
        </w:rPr>
      </w:pPr>
      <w:bookmarkStart w:id="141" w:name="OLE_LINK14"/>
      <w:bookmarkStart w:id="142" w:name="OLE_LINK15"/>
      <w:bookmarkStart w:id="143" w:name="OLE_LINK1518"/>
      <w:bookmarkStart w:id="144" w:name="OLE_LINK1693"/>
      <w:bookmarkStart w:id="145" w:name="OLE_LINK28"/>
      <w:bookmarkStart w:id="146" w:name="OLE_LINK220"/>
      <w:bookmarkStart w:id="147" w:name="OLE_LINK221"/>
      <w:bookmarkStart w:id="148" w:name="OLE_LINK1374"/>
      <w:bookmarkStart w:id="149" w:name="OLE_LINK1919"/>
      <w:bookmarkStart w:id="150" w:name="OLE_LINK3319"/>
      <w:bookmarkStart w:id="151" w:name="OLE_LINK3320"/>
      <w:bookmarkStart w:id="152" w:name="OLE_LINK1664"/>
      <w:bookmarkStart w:id="153" w:name="OLE_LINK1665"/>
      <w:bookmarkStart w:id="154" w:name="OLE_LINK1494"/>
      <w:bookmarkStart w:id="155" w:name="OLE_LINK1545"/>
      <w:bookmarkStart w:id="156" w:name="OLE_LINK1641"/>
      <w:bookmarkStart w:id="157" w:name="OLE_LINK1932"/>
      <w:bookmarkEnd w:id="139"/>
      <w:bookmarkEnd w:id="140"/>
      <w:r w:rsidRPr="004865E7">
        <w:rPr>
          <w:rFonts w:ascii="Book Antiqua" w:hAnsi="Book Antiqua"/>
          <w:b/>
        </w:rPr>
        <w:t>Telephone:</w:t>
      </w:r>
      <w:bookmarkEnd w:id="141"/>
      <w:bookmarkEnd w:id="142"/>
      <w:bookmarkEnd w:id="143"/>
      <w:bookmarkEnd w:id="144"/>
      <w:bookmarkEnd w:id="145"/>
      <w:r w:rsidRPr="004865E7">
        <w:rPr>
          <w:rFonts w:ascii="Book Antiqua" w:hAnsi="Book Antiqua"/>
          <w:b/>
        </w:rPr>
        <w:t xml:space="preserve"> </w:t>
      </w:r>
      <w:bookmarkEnd w:id="146"/>
      <w:bookmarkEnd w:id="147"/>
      <w:bookmarkEnd w:id="148"/>
      <w:bookmarkEnd w:id="149"/>
      <w:r w:rsidR="00B05BC4">
        <w:rPr>
          <w:rFonts w:ascii="Book Antiqua" w:hAnsi="Book Antiqua"/>
        </w:rPr>
        <w:t>+81-3-3342</w:t>
      </w:r>
      <w:r w:rsidRPr="004865E7">
        <w:rPr>
          <w:rFonts w:ascii="Book Antiqua" w:hAnsi="Book Antiqua"/>
        </w:rPr>
        <w:t>6111</w:t>
      </w:r>
      <w:r w:rsidR="00F743FC" w:rsidRPr="004865E7">
        <w:rPr>
          <w:rFonts w:ascii="Book Antiqua" w:hAnsi="Book Antiqua"/>
        </w:rPr>
        <w:t xml:space="preserve"> </w:t>
      </w:r>
    </w:p>
    <w:p w14:paraId="12F30A87" w14:textId="77777777" w:rsidR="008E025E" w:rsidRPr="004865E7" w:rsidRDefault="008E025E" w:rsidP="008E025E">
      <w:pPr>
        <w:adjustRightInd w:val="0"/>
        <w:snapToGrid w:val="0"/>
        <w:spacing w:line="360" w:lineRule="auto"/>
        <w:rPr>
          <w:rFonts w:ascii="Book Antiqua" w:eastAsia="SimSun" w:hAnsi="Book Antiqua"/>
          <w:b/>
          <w:lang w:eastAsia="zh-CN"/>
        </w:rPr>
      </w:pPr>
      <w:bookmarkStart w:id="158" w:name="OLE_LINK1346"/>
      <w:bookmarkStart w:id="159" w:name="OLE_LINK1347"/>
      <w:bookmarkStart w:id="160" w:name="OLE_LINK1461"/>
      <w:bookmarkStart w:id="161" w:name="OLE_LINK1493"/>
      <w:bookmarkStart w:id="162" w:name="OLE_LINK1436"/>
      <w:bookmarkStart w:id="163" w:name="OLE_LINK1584"/>
      <w:bookmarkStart w:id="164" w:name="OLE_LINK1426"/>
      <w:bookmarkStart w:id="165" w:name="OLE_LINK1470"/>
      <w:bookmarkStart w:id="166" w:name="OLE_LINK1726"/>
      <w:bookmarkStart w:id="167" w:name="OLE_LINK1773"/>
      <w:bookmarkStart w:id="168" w:name="OLE_LINK1819"/>
      <w:bookmarkStart w:id="169" w:name="OLE_LINK1800"/>
      <w:bookmarkStart w:id="170" w:name="OLE_LINK1718"/>
      <w:bookmarkStart w:id="171" w:name="OLE_LINK1832"/>
      <w:bookmarkStart w:id="172" w:name="OLE_LINK733"/>
      <w:bookmarkStart w:id="173" w:name="OLE_LINK2054"/>
      <w:bookmarkStart w:id="174" w:name="OLE_LINK2097"/>
      <w:bookmarkStart w:id="175" w:name="OLE_LINK1569"/>
      <w:bookmarkStart w:id="176" w:name="OLE_LINK1709"/>
      <w:bookmarkStart w:id="177" w:name="OLE_LINK1387"/>
      <w:bookmarkStart w:id="178" w:name="OLE_LINK1479"/>
      <w:bookmarkStart w:id="179" w:name="OLE_LINK1603"/>
      <w:bookmarkStart w:id="180" w:name="OLE_LINK1711"/>
      <w:bookmarkStart w:id="181" w:name="OLE_LINK1859"/>
      <w:bookmarkEnd w:id="150"/>
      <w:bookmarkEnd w:id="151"/>
    </w:p>
    <w:p w14:paraId="428AAB28" w14:textId="01FD5D6E" w:rsidR="008E025E" w:rsidRPr="004865E7" w:rsidRDefault="008E025E" w:rsidP="008E025E">
      <w:pPr>
        <w:adjustRightInd w:val="0"/>
        <w:snapToGrid w:val="0"/>
        <w:spacing w:line="360" w:lineRule="auto"/>
        <w:rPr>
          <w:rFonts w:ascii="Book Antiqua" w:hAnsi="Book Antiqua"/>
          <w:b/>
          <w:bCs/>
        </w:rPr>
      </w:pPr>
      <w:r w:rsidRPr="004865E7">
        <w:rPr>
          <w:rFonts w:ascii="Book Antiqua" w:hAnsi="Book Antiqua"/>
          <w:b/>
          <w:bCs/>
        </w:rPr>
        <w:t xml:space="preserve">Received: </w:t>
      </w:r>
      <w:r w:rsidRPr="004865E7">
        <w:rPr>
          <w:rFonts w:ascii="Book Antiqua" w:eastAsia="SimSun" w:hAnsi="Book Antiqua" w:hint="eastAsia"/>
          <w:bCs/>
          <w:lang w:eastAsia="zh-CN"/>
        </w:rPr>
        <w:t>June</w:t>
      </w:r>
      <w:r w:rsidRPr="004865E7">
        <w:rPr>
          <w:rFonts w:ascii="Book Antiqua" w:hAnsi="Book Antiqua" w:hint="eastAsia"/>
          <w:bCs/>
        </w:rPr>
        <w:t xml:space="preserve"> </w:t>
      </w:r>
      <w:r w:rsidRPr="004865E7">
        <w:rPr>
          <w:rFonts w:ascii="Book Antiqua" w:eastAsia="SimSun" w:hAnsi="Book Antiqua" w:hint="eastAsia"/>
          <w:bCs/>
          <w:lang w:eastAsia="zh-CN"/>
        </w:rPr>
        <w:t>9</w:t>
      </w:r>
      <w:r w:rsidRPr="004865E7">
        <w:rPr>
          <w:rFonts w:ascii="Book Antiqua" w:hAnsi="Book Antiqua" w:hint="eastAsia"/>
          <w:bCs/>
        </w:rPr>
        <w:t>, 2015</w:t>
      </w:r>
    </w:p>
    <w:p w14:paraId="5CD50874" w14:textId="25E33133" w:rsidR="008E025E" w:rsidRPr="004865E7" w:rsidRDefault="008E025E" w:rsidP="008E025E">
      <w:pPr>
        <w:adjustRightInd w:val="0"/>
        <w:snapToGrid w:val="0"/>
        <w:spacing w:line="360" w:lineRule="auto"/>
        <w:rPr>
          <w:rFonts w:ascii="Book Antiqua" w:hAnsi="Book Antiqua"/>
          <w:bCs/>
        </w:rPr>
      </w:pPr>
      <w:r w:rsidRPr="004865E7">
        <w:rPr>
          <w:rFonts w:ascii="Book Antiqua" w:hAnsi="Book Antiqua"/>
          <w:b/>
          <w:bCs/>
        </w:rPr>
        <w:t>Peer-review started:</w:t>
      </w:r>
      <w:r w:rsidRPr="004865E7">
        <w:rPr>
          <w:rFonts w:ascii="Book Antiqua" w:hAnsi="Book Antiqua" w:hint="eastAsia"/>
          <w:b/>
          <w:bCs/>
        </w:rPr>
        <w:t xml:space="preserve"> </w:t>
      </w:r>
      <w:r w:rsidRPr="004865E7">
        <w:rPr>
          <w:rFonts w:ascii="Book Antiqua" w:eastAsia="SimSun" w:hAnsi="Book Antiqua" w:hint="eastAsia"/>
          <w:bCs/>
          <w:lang w:eastAsia="zh-CN"/>
        </w:rPr>
        <w:t>June</w:t>
      </w:r>
      <w:r w:rsidRPr="004865E7">
        <w:rPr>
          <w:rFonts w:ascii="Book Antiqua" w:hAnsi="Book Antiqua" w:hint="eastAsia"/>
          <w:bCs/>
        </w:rPr>
        <w:t xml:space="preserve"> </w:t>
      </w:r>
      <w:r w:rsidRPr="004865E7">
        <w:rPr>
          <w:rFonts w:ascii="Book Antiqua" w:eastAsia="SimSun" w:hAnsi="Book Antiqua" w:hint="eastAsia"/>
          <w:bCs/>
          <w:lang w:eastAsia="zh-CN"/>
        </w:rPr>
        <w:t>11</w:t>
      </w:r>
      <w:r w:rsidRPr="004865E7">
        <w:rPr>
          <w:rFonts w:ascii="Book Antiqua" w:hAnsi="Book Antiqua" w:hint="eastAsia"/>
          <w:bCs/>
        </w:rPr>
        <w:t>, 2015</w:t>
      </w:r>
    </w:p>
    <w:p w14:paraId="73B22BB2" w14:textId="5E1DBFD5" w:rsidR="008E025E" w:rsidRPr="004865E7" w:rsidRDefault="008E025E" w:rsidP="008E025E">
      <w:pPr>
        <w:adjustRightInd w:val="0"/>
        <w:snapToGrid w:val="0"/>
        <w:spacing w:line="360" w:lineRule="auto"/>
        <w:rPr>
          <w:rFonts w:ascii="Book Antiqua" w:hAnsi="Book Antiqua"/>
          <w:bCs/>
        </w:rPr>
      </w:pPr>
      <w:r w:rsidRPr="004865E7">
        <w:rPr>
          <w:rFonts w:ascii="Book Antiqua" w:hAnsi="Book Antiqua"/>
          <w:b/>
          <w:bCs/>
        </w:rPr>
        <w:t>First decision:</w:t>
      </w:r>
      <w:r w:rsidRPr="004865E7">
        <w:rPr>
          <w:rFonts w:ascii="Book Antiqua" w:hAnsi="Book Antiqua" w:hint="eastAsia"/>
          <w:bCs/>
        </w:rPr>
        <w:t xml:space="preserve"> </w:t>
      </w:r>
      <w:r w:rsidRPr="004865E7">
        <w:rPr>
          <w:rFonts w:ascii="Book Antiqua" w:eastAsia="SimSun" w:hAnsi="Book Antiqua" w:hint="eastAsia"/>
          <w:bCs/>
          <w:lang w:eastAsia="zh-CN"/>
        </w:rPr>
        <w:t>July</w:t>
      </w:r>
      <w:r w:rsidRPr="004865E7">
        <w:rPr>
          <w:rFonts w:ascii="Book Antiqua" w:hAnsi="Book Antiqua" w:hint="eastAsia"/>
          <w:bCs/>
        </w:rPr>
        <w:t xml:space="preserve"> </w:t>
      </w:r>
      <w:r w:rsidRPr="004865E7">
        <w:rPr>
          <w:rFonts w:ascii="Book Antiqua" w:eastAsia="SimSun" w:hAnsi="Book Antiqua" w:hint="eastAsia"/>
          <w:bCs/>
          <w:lang w:eastAsia="zh-CN"/>
        </w:rPr>
        <w:t>10</w:t>
      </w:r>
      <w:r w:rsidRPr="004865E7">
        <w:rPr>
          <w:rFonts w:ascii="Book Antiqua" w:hAnsi="Book Antiqua" w:hint="eastAsia"/>
          <w:bCs/>
        </w:rPr>
        <w:t>, 2015</w:t>
      </w:r>
    </w:p>
    <w:p w14:paraId="1543388A" w14:textId="60C94EDB" w:rsidR="008E025E" w:rsidRPr="004865E7" w:rsidRDefault="008E025E" w:rsidP="008E025E">
      <w:pPr>
        <w:adjustRightInd w:val="0"/>
        <w:snapToGrid w:val="0"/>
        <w:spacing w:line="360" w:lineRule="auto"/>
        <w:rPr>
          <w:rFonts w:ascii="Book Antiqua" w:hAnsi="Book Antiqua"/>
          <w:bCs/>
        </w:rPr>
      </w:pPr>
      <w:r w:rsidRPr="004865E7">
        <w:rPr>
          <w:rFonts w:ascii="Book Antiqua" w:hAnsi="Book Antiqua"/>
          <w:b/>
          <w:bCs/>
        </w:rPr>
        <w:t>Revised:</w:t>
      </w:r>
      <w:r w:rsidRPr="004865E7">
        <w:rPr>
          <w:rFonts w:ascii="Book Antiqua" w:hAnsi="Book Antiqua" w:hint="eastAsia"/>
          <w:bCs/>
        </w:rPr>
        <w:t xml:space="preserve"> July </w:t>
      </w:r>
      <w:r w:rsidRPr="004865E7">
        <w:rPr>
          <w:rFonts w:ascii="Book Antiqua" w:eastAsia="SimSun" w:hAnsi="Book Antiqua" w:hint="eastAsia"/>
          <w:bCs/>
          <w:lang w:eastAsia="zh-CN"/>
        </w:rPr>
        <w:t>28</w:t>
      </w:r>
      <w:r w:rsidRPr="004865E7">
        <w:rPr>
          <w:rFonts w:ascii="Book Antiqua" w:hAnsi="Book Antiqua" w:hint="eastAsia"/>
          <w:bCs/>
        </w:rPr>
        <w:t>, 2015</w:t>
      </w:r>
    </w:p>
    <w:p w14:paraId="4EDCB6C3" w14:textId="19093ECE" w:rsidR="008E025E" w:rsidRPr="008472C2" w:rsidRDefault="008E025E" w:rsidP="008472C2">
      <w:pPr>
        <w:spacing w:line="360" w:lineRule="auto"/>
        <w:rPr>
          <w:rFonts w:ascii="Book Antiqua" w:hAnsi="Book Antiqua"/>
          <w:color w:val="000000"/>
        </w:rPr>
      </w:pPr>
      <w:r w:rsidRPr="004865E7">
        <w:rPr>
          <w:rFonts w:ascii="Book Antiqua" w:hAnsi="Book Antiqua"/>
          <w:b/>
          <w:bCs/>
        </w:rPr>
        <w:t>Accepted:</w:t>
      </w:r>
      <w:bookmarkStart w:id="182" w:name="OLE_LINK98"/>
      <w:bookmarkStart w:id="183" w:name="OLE_LINK99"/>
      <w:bookmarkStart w:id="184" w:name="OLE_LINK104"/>
      <w:bookmarkStart w:id="185" w:name="OLE_LINK115"/>
      <w:bookmarkStart w:id="186" w:name="OLE_LINK116"/>
      <w:bookmarkStart w:id="187" w:name="OLE_LINK117"/>
      <w:bookmarkStart w:id="188" w:name="OLE_LINK118"/>
      <w:bookmarkStart w:id="189" w:name="OLE_LINK119"/>
      <w:bookmarkStart w:id="190" w:name="OLE_LINK120"/>
      <w:bookmarkStart w:id="191" w:name="OLE_LINK121"/>
      <w:bookmarkStart w:id="192" w:name="OLE_LINK122"/>
      <w:bookmarkStart w:id="193" w:name="OLE_LINK125"/>
      <w:bookmarkStart w:id="194" w:name="OLE_LINK126"/>
      <w:bookmarkStart w:id="195" w:name="OLE_LINK127"/>
      <w:bookmarkStart w:id="196" w:name="OLE_LINK129"/>
      <w:bookmarkStart w:id="197" w:name="OLE_LINK132"/>
      <w:bookmarkStart w:id="198" w:name="OLE_LINK134"/>
      <w:bookmarkStart w:id="199" w:name="OLE_LINK135"/>
      <w:bookmarkStart w:id="200" w:name="OLE_LINK136"/>
      <w:bookmarkStart w:id="201" w:name="OLE_LINK137"/>
      <w:bookmarkStart w:id="202" w:name="OLE_LINK138"/>
      <w:bookmarkStart w:id="203" w:name="OLE_LINK139"/>
      <w:bookmarkStart w:id="204" w:name="OLE_LINK141"/>
      <w:r w:rsidR="008472C2" w:rsidRPr="008472C2">
        <w:rPr>
          <w:rFonts w:ascii="Book Antiqua" w:hAnsi="Book Antiqua"/>
          <w:color w:val="000000"/>
        </w:rPr>
        <w:t xml:space="preserve"> </w:t>
      </w:r>
      <w:r w:rsidR="008472C2">
        <w:rPr>
          <w:rFonts w:ascii="Book Antiqua" w:hAnsi="Book Antiqua"/>
          <w:color w:val="000000"/>
        </w:rPr>
        <w:t>October 12, 2015</w:t>
      </w:r>
      <w:bookmarkStart w:id="205" w:name="_GoBack"/>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F743FC" w:rsidRPr="004865E7">
        <w:rPr>
          <w:rFonts w:ascii="Book Antiqua" w:hAnsi="Book Antiqua"/>
          <w:b/>
          <w:bCs/>
        </w:rPr>
        <w:t xml:space="preserve"> </w:t>
      </w:r>
    </w:p>
    <w:p w14:paraId="045C2C43" w14:textId="77777777" w:rsidR="008E025E" w:rsidRPr="004865E7" w:rsidRDefault="008E025E" w:rsidP="008E025E">
      <w:pPr>
        <w:adjustRightInd w:val="0"/>
        <w:snapToGrid w:val="0"/>
        <w:spacing w:line="360" w:lineRule="auto"/>
        <w:rPr>
          <w:rFonts w:ascii="Book Antiqua" w:hAnsi="Book Antiqua"/>
          <w:b/>
          <w:bCs/>
        </w:rPr>
      </w:pPr>
      <w:r w:rsidRPr="004865E7">
        <w:rPr>
          <w:rFonts w:ascii="Book Antiqua" w:hAnsi="Book Antiqua"/>
          <w:b/>
          <w:bCs/>
        </w:rPr>
        <w:t>Article in press:</w:t>
      </w:r>
    </w:p>
    <w:p w14:paraId="5F1ABC83" w14:textId="77777777" w:rsidR="008E025E" w:rsidRPr="004865E7" w:rsidRDefault="008E025E" w:rsidP="008E025E">
      <w:pPr>
        <w:adjustRightInd w:val="0"/>
        <w:snapToGrid w:val="0"/>
        <w:spacing w:line="360" w:lineRule="auto"/>
        <w:rPr>
          <w:rFonts w:ascii="Book Antiqua" w:hAnsi="Book Antiqua"/>
          <w:b/>
          <w:bCs/>
        </w:rPr>
      </w:pPr>
      <w:r w:rsidRPr="004865E7">
        <w:rPr>
          <w:rFonts w:ascii="Book Antiqua" w:hAnsi="Book Antiqua"/>
          <w:b/>
          <w:bCs/>
        </w:rPr>
        <w:t xml:space="preserve">Published online: </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1FBED3F2" w14:textId="77777777" w:rsidR="008E025E" w:rsidRPr="004865E7" w:rsidRDefault="008E025E" w:rsidP="008E025E">
      <w:pPr>
        <w:spacing w:line="360" w:lineRule="auto"/>
        <w:rPr>
          <w:rFonts w:ascii="Book Antiqua" w:hAnsi="Book Antiqua"/>
          <w:b/>
        </w:rPr>
      </w:pPr>
    </w:p>
    <w:bookmarkEnd w:id="175"/>
    <w:bookmarkEnd w:id="176"/>
    <w:bookmarkEnd w:id="177"/>
    <w:bookmarkEnd w:id="178"/>
    <w:bookmarkEnd w:id="179"/>
    <w:bookmarkEnd w:id="180"/>
    <w:bookmarkEnd w:id="181"/>
    <w:p w14:paraId="6C8E8AF3" w14:textId="77777777" w:rsidR="008E025E" w:rsidRPr="004865E7" w:rsidRDefault="008E025E" w:rsidP="00FA3CB2">
      <w:pPr>
        <w:widowControl/>
        <w:autoSpaceDE w:val="0"/>
        <w:autoSpaceDN w:val="0"/>
        <w:adjustRightInd w:val="0"/>
        <w:snapToGrid w:val="0"/>
        <w:spacing w:line="360" w:lineRule="auto"/>
        <w:rPr>
          <w:rFonts w:ascii="Book Antiqua" w:eastAsia="SimSun" w:hAnsi="Book Antiqua" w:cs="Times"/>
          <w:kern w:val="0"/>
          <w:lang w:eastAsia="zh-CN"/>
        </w:rPr>
      </w:pPr>
    </w:p>
    <w:p w14:paraId="346F78FC" w14:textId="77777777" w:rsidR="00752EDF" w:rsidRPr="004865E7" w:rsidRDefault="00752EDF" w:rsidP="00FA3CB2">
      <w:pPr>
        <w:widowControl/>
        <w:autoSpaceDE w:val="0"/>
        <w:autoSpaceDN w:val="0"/>
        <w:adjustRightInd w:val="0"/>
        <w:snapToGrid w:val="0"/>
        <w:spacing w:line="360" w:lineRule="auto"/>
        <w:rPr>
          <w:rFonts w:ascii="Book Antiqua" w:hAnsi="Book Antiqua" w:cs="Times"/>
          <w:kern w:val="0"/>
        </w:rPr>
      </w:pPr>
    </w:p>
    <w:p w14:paraId="384DF683" w14:textId="77777777" w:rsidR="008E025E" w:rsidRPr="004865E7" w:rsidRDefault="008E025E">
      <w:pPr>
        <w:widowControl/>
        <w:jc w:val="left"/>
        <w:rPr>
          <w:rFonts w:ascii="Book Antiqua" w:hAnsi="Book Antiqua" w:cs="Times"/>
          <w:b/>
          <w:caps/>
          <w:kern w:val="0"/>
        </w:rPr>
      </w:pPr>
      <w:r w:rsidRPr="004865E7">
        <w:rPr>
          <w:rFonts w:ascii="Book Antiqua" w:hAnsi="Book Antiqua"/>
        </w:rPr>
        <w:br w:type="page"/>
      </w:r>
    </w:p>
    <w:p w14:paraId="33812248" w14:textId="741C6979" w:rsidR="002C16E4" w:rsidRPr="004865E7" w:rsidRDefault="008E025E" w:rsidP="00FA3CB2">
      <w:pPr>
        <w:pStyle w:val="Heading1"/>
        <w:snapToGrid w:val="0"/>
        <w:spacing w:after="0"/>
        <w:jc w:val="both"/>
        <w:rPr>
          <w:rFonts w:ascii="Book Antiqua" w:hAnsi="Book Antiqua"/>
          <w:szCs w:val="24"/>
        </w:rPr>
      </w:pPr>
      <w:r w:rsidRPr="004865E7">
        <w:rPr>
          <w:rFonts w:ascii="Book Antiqua" w:hAnsi="Book Antiqua"/>
          <w:caps w:val="0"/>
          <w:szCs w:val="24"/>
        </w:rPr>
        <w:lastRenderedPageBreak/>
        <w:t>Abstract</w:t>
      </w:r>
    </w:p>
    <w:p w14:paraId="7C0CE99D" w14:textId="0E8657D3" w:rsidR="002C16E4" w:rsidRPr="004865E7" w:rsidRDefault="00165578"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kern w:val="0"/>
        </w:rPr>
        <w:t>AIM</w:t>
      </w:r>
      <w:r w:rsidR="002C16E4" w:rsidRPr="004865E7">
        <w:rPr>
          <w:rFonts w:ascii="Book Antiqua" w:hAnsi="Book Antiqua" w:cs="Times"/>
          <w:b/>
          <w:kern w:val="0"/>
        </w:rPr>
        <w:t xml:space="preserve">: </w:t>
      </w:r>
      <w:r w:rsidR="002C16E4" w:rsidRPr="004865E7">
        <w:rPr>
          <w:rFonts w:ascii="Book Antiqua" w:hAnsi="Book Antiqua" w:cs="Times"/>
          <w:kern w:val="0"/>
        </w:rPr>
        <w:t>T</w:t>
      </w:r>
      <w:r w:rsidR="008E025E" w:rsidRPr="004865E7">
        <w:rPr>
          <w:rFonts w:ascii="Book Antiqua" w:eastAsia="SimSun" w:hAnsi="Book Antiqua" w:cs="Times" w:hint="eastAsia"/>
          <w:kern w:val="0"/>
          <w:lang w:eastAsia="zh-CN"/>
        </w:rPr>
        <w:t>o</w:t>
      </w:r>
      <w:r w:rsidR="008E025E" w:rsidRPr="004865E7">
        <w:rPr>
          <w:rFonts w:ascii="Book Antiqua" w:hAnsi="Book Antiqua" w:cs="Times"/>
          <w:kern w:val="0"/>
        </w:rPr>
        <w:t xml:space="preserve"> assess</w:t>
      </w:r>
      <w:r w:rsidR="002C16E4" w:rsidRPr="004865E7">
        <w:rPr>
          <w:rFonts w:ascii="Book Antiqua" w:hAnsi="Book Antiqua" w:cs="Times"/>
          <w:kern w:val="0"/>
        </w:rPr>
        <w:t xml:space="preserve"> the diagnostic concordance between endoscopic and histological at</w:t>
      </w:r>
      <w:r w:rsidR="00165058">
        <w:rPr>
          <w:rFonts w:ascii="Book Antiqua" w:hAnsi="Book Antiqua" w:cs="Times"/>
          <w:kern w:val="0"/>
        </w:rPr>
        <w:t>rophy in the United Kingdom</w:t>
      </w:r>
      <w:r w:rsidR="002C16E4" w:rsidRPr="004865E7">
        <w:rPr>
          <w:rFonts w:ascii="Book Antiqua" w:hAnsi="Book Antiqua" w:cs="Times"/>
          <w:kern w:val="0"/>
        </w:rPr>
        <w:t xml:space="preserve"> and Japan.</w:t>
      </w:r>
    </w:p>
    <w:p w14:paraId="01074358" w14:textId="77777777" w:rsidR="008E025E" w:rsidRPr="00165058" w:rsidRDefault="008E025E" w:rsidP="00FA3CB2">
      <w:pPr>
        <w:widowControl/>
        <w:autoSpaceDE w:val="0"/>
        <w:autoSpaceDN w:val="0"/>
        <w:adjustRightInd w:val="0"/>
        <w:snapToGrid w:val="0"/>
        <w:spacing w:line="360" w:lineRule="auto"/>
        <w:rPr>
          <w:rFonts w:ascii="Book Antiqua" w:eastAsia="SimSun" w:hAnsi="Book Antiqua" w:cs="Times"/>
          <w:kern w:val="0"/>
          <w:lang w:eastAsia="zh-CN"/>
        </w:rPr>
      </w:pPr>
    </w:p>
    <w:p w14:paraId="166B147D" w14:textId="11CEB15C" w:rsidR="002C16E4" w:rsidRPr="004865E7" w:rsidRDefault="00165578"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kern w:val="0"/>
        </w:rPr>
        <w:t>METHODS</w:t>
      </w:r>
      <w:r w:rsidR="002C16E4" w:rsidRPr="004865E7">
        <w:rPr>
          <w:rFonts w:ascii="Book Antiqua" w:hAnsi="Book Antiqua" w:cs="Times"/>
          <w:b/>
          <w:kern w:val="0"/>
        </w:rPr>
        <w:t xml:space="preserve">: </w:t>
      </w:r>
      <w:r w:rsidR="002B39D2" w:rsidRPr="004865E7">
        <w:rPr>
          <w:rFonts w:ascii="Book Antiqua" w:hAnsi="Book Antiqua" w:cs="Times"/>
          <w:kern w:val="0"/>
        </w:rPr>
        <w:t>Using published data, a</w:t>
      </w:r>
      <w:r w:rsidR="002C16E4" w:rsidRPr="004865E7">
        <w:rPr>
          <w:rFonts w:ascii="Book Antiqua" w:hAnsi="Book Antiqua" w:cs="Times"/>
          <w:kern w:val="0"/>
        </w:rPr>
        <w:t xml:space="preserve"> total of 252 patients, 126 in the </w:t>
      </w:r>
      <w:r w:rsidR="006D6192" w:rsidRPr="004865E7">
        <w:rPr>
          <w:rFonts w:ascii="Book Antiqua" w:hAnsi="Book Antiqua" w:cs="Times"/>
          <w:kern w:val="0"/>
        </w:rPr>
        <w:t>U</w:t>
      </w:r>
      <w:r w:rsidR="006D6192" w:rsidRPr="004865E7">
        <w:rPr>
          <w:rFonts w:ascii="Book Antiqua" w:eastAsia="SimSun" w:hAnsi="Book Antiqua" w:cs="Times"/>
          <w:kern w:val="0"/>
          <w:lang w:eastAsia="zh-CN"/>
        </w:rPr>
        <w:t>nited Kingdom</w:t>
      </w:r>
      <w:r w:rsidR="002C16E4" w:rsidRPr="004865E7">
        <w:rPr>
          <w:rFonts w:ascii="Book Antiqua" w:hAnsi="Book Antiqua" w:cs="Times"/>
          <w:kern w:val="0"/>
        </w:rPr>
        <w:t xml:space="preserve"> and 126 in Japan, aged</w:t>
      </w:r>
      <w:r w:rsidR="002C16E4" w:rsidRPr="004865E7" w:rsidDel="00D95947">
        <w:rPr>
          <w:rFonts w:ascii="Book Antiqua" w:hAnsi="Book Antiqua" w:cs="Times"/>
          <w:kern w:val="0"/>
        </w:rPr>
        <w:t xml:space="preserve"> </w:t>
      </w:r>
      <w:r w:rsidR="002C16E4" w:rsidRPr="004865E7">
        <w:rPr>
          <w:rFonts w:ascii="Book Antiqua" w:hAnsi="Book Antiqua" w:cs="Times"/>
          <w:kern w:val="0"/>
        </w:rPr>
        <w:t xml:space="preserve">20 to 80 years, were evaluated. The extent of endoscopic atrophy was classified into five subgroups according to a modified Kimura–Takemoto classification system and was compared with histological findings of atrophy at five biopsy sites according to the updated Sydney system. </w:t>
      </w:r>
    </w:p>
    <w:p w14:paraId="7AB5582D" w14:textId="77777777" w:rsidR="008E025E" w:rsidRPr="004865E7" w:rsidRDefault="008E025E" w:rsidP="00FA3CB2">
      <w:pPr>
        <w:widowControl/>
        <w:autoSpaceDE w:val="0"/>
        <w:autoSpaceDN w:val="0"/>
        <w:adjustRightInd w:val="0"/>
        <w:snapToGrid w:val="0"/>
        <w:spacing w:line="360" w:lineRule="auto"/>
        <w:rPr>
          <w:rFonts w:ascii="Book Antiqua" w:eastAsia="SimSun" w:hAnsi="Book Antiqua" w:cs="Times"/>
          <w:kern w:val="0"/>
          <w:lang w:eastAsia="zh-CN"/>
        </w:rPr>
      </w:pPr>
    </w:p>
    <w:p w14:paraId="24FDBAFB" w14:textId="53B58C7E" w:rsidR="002C16E4" w:rsidRPr="004865E7" w:rsidRDefault="00165578"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kern w:val="0"/>
        </w:rPr>
        <w:t>RESULTS</w:t>
      </w:r>
      <w:r w:rsidR="002C16E4" w:rsidRPr="004865E7">
        <w:rPr>
          <w:rFonts w:ascii="Book Antiqua" w:hAnsi="Book Antiqua" w:cs="Times"/>
          <w:b/>
          <w:kern w:val="0"/>
        </w:rPr>
        <w:t xml:space="preserve">: </w:t>
      </w:r>
      <w:r w:rsidR="002C16E4" w:rsidRPr="004865E7">
        <w:rPr>
          <w:rFonts w:ascii="Book Antiqua" w:hAnsi="Book Antiqua" w:cs="Times"/>
          <w:kern w:val="0"/>
        </w:rPr>
        <w:t>The strength of agreement of the extent of atrophy between histology and visual endoscopic inspection showed good reproducibility, with a weighted kappa value of 0.76 (</w:t>
      </w:r>
      <w:r w:rsidR="006D6192" w:rsidRPr="004865E7">
        <w:rPr>
          <w:rFonts w:ascii="Book Antiqua" w:hAnsi="Book Antiqua" w:cs="Times"/>
          <w:i/>
          <w:kern w:val="0"/>
        </w:rPr>
        <w:t xml:space="preserve">P &lt; </w:t>
      </w:r>
      <w:r w:rsidR="002C16E4" w:rsidRPr="004865E7">
        <w:rPr>
          <w:rFonts w:ascii="Book Antiqua" w:hAnsi="Book Antiqua" w:cs="Times"/>
          <w:kern w:val="0"/>
        </w:rPr>
        <w:t xml:space="preserve">0.001). Multivariate analysis showed that three factors were associated with decreased concordance: Japanese ethnicity </w:t>
      </w:r>
      <w:r w:rsidR="006D6192" w:rsidRPr="004865E7">
        <w:rPr>
          <w:rFonts w:ascii="Book Antiqua" w:eastAsia="SimSun" w:hAnsi="Book Antiqua" w:cs="Times" w:hint="eastAsia"/>
          <w:kern w:val="0"/>
          <w:lang w:eastAsia="zh-CN"/>
        </w:rPr>
        <w:t>[</w:t>
      </w:r>
      <w:r w:rsidR="002C16E4" w:rsidRPr="004865E7">
        <w:rPr>
          <w:rFonts w:ascii="Book Antiqua" w:hAnsi="Book Antiqua" w:cs="Times"/>
          <w:kern w:val="0"/>
        </w:rPr>
        <w:t>odds rati</w:t>
      </w:r>
      <w:r w:rsidR="006D6192" w:rsidRPr="004865E7">
        <w:rPr>
          <w:rFonts w:ascii="Book Antiqua" w:hAnsi="Book Antiqua" w:cs="Times"/>
          <w:kern w:val="0"/>
        </w:rPr>
        <w:t xml:space="preserve">o </w:t>
      </w:r>
      <w:r w:rsidR="006D6192" w:rsidRPr="004865E7">
        <w:rPr>
          <w:rFonts w:ascii="Book Antiqua" w:eastAsia="SimSun" w:hAnsi="Book Antiqua" w:cs="Times" w:hint="eastAsia"/>
          <w:kern w:val="0"/>
          <w:lang w:eastAsia="zh-CN"/>
        </w:rPr>
        <w:t>(</w:t>
      </w:r>
      <w:r w:rsidR="006D6192" w:rsidRPr="004865E7">
        <w:rPr>
          <w:rFonts w:ascii="Book Antiqua" w:hAnsi="Book Antiqua" w:cs="Times"/>
          <w:kern w:val="0"/>
        </w:rPr>
        <w:t>OR</w:t>
      </w:r>
      <w:r w:rsidR="006D6192" w:rsidRPr="004865E7">
        <w:rPr>
          <w:rFonts w:ascii="Book Antiqua" w:eastAsia="SimSun" w:hAnsi="Book Antiqua" w:cs="Times" w:hint="eastAsia"/>
          <w:kern w:val="0"/>
          <w:lang w:eastAsia="zh-CN"/>
        </w:rPr>
        <w:t>)</w:t>
      </w:r>
      <w:r w:rsidR="006D6192" w:rsidRPr="004865E7">
        <w:rPr>
          <w:rFonts w:ascii="Book Antiqua" w:hAnsi="Book Antiqua" w:cs="Times"/>
          <w:kern w:val="0"/>
        </w:rPr>
        <w:t xml:space="preserve"> 0.22, 95% confidence interval </w:t>
      </w:r>
      <w:r w:rsidR="006D6192" w:rsidRPr="004865E7">
        <w:rPr>
          <w:rFonts w:ascii="Book Antiqua" w:eastAsia="SimSun" w:hAnsi="Book Antiqua" w:cs="Times"/>
          <w:kern w:val="0"/>
          <w:lang w:eastAsia="zh-CN"/>
        </w:rPr>
        <w:t>(</w:t>
      </w:r>
      <w:r w:rsidR="006D6192" w:rsidRPr="004865E7">
        <w:rPr>
          <w:rFonts w:ascii="Book Antiqua" w:hAnsi="Book Antiqua" w:cs="Times"/>
          <w:kern w:val="0"/>
        </w:rPr>
        <w:t>CI</w:t>
      </w:r>
      <w:r w:rsidR="006D6192" w:rsidRPr="004865E7">
        <w:rPr>
          <w:rFonts w:ascii="Book Antiqua" w:eastAsia="SimSun" w:hAnsi="Book Antiqua" w:cs="Times" w:hint="eastAsia"/>
          <w:kern w:val="0"/>
          <w:lang w:eastAsia="zh-CN"/>
        </w:rPr>
        <w:t>)</w:t>
      </w:r>
      <w:r w:rsidR="002C16E4" w:rsidRPr="004865E7">
        <w:rPr>
          <w:rFonts w:ascii="Book Antiqua" w:hAnsi="Book Antiqua" w:cs="Times"/>
          <w:kern w:val="0"/>
        </w:rPr>
        <w:t xml:space="preserve"> 0.11–0.43</w:t>
      </w:r>
      <w:r w:rsidR="006D6192" w:rsidRPr="004865E7">
        <w:rPr>
          <w:rFonts w:ascii="Book Antiqua" w:eastAsia="SimSun" w:hAnsi="Book Antiqua" w:cs="Times" w:hint="eastAsia"/>
          <w:kern w:val="0"/>
          <w:lang w:eastAsia="zh-CN"/>
        </w:rPr>
        <w:t>]</w:t>
      </w:r>
      <w:r w:rsidR="002C16E4" w:rsidRPr="004865E7">
        <w:rPr>
          <w:rFonts w:ascii="Book Antiqua" w:hAnsi="Book Antiqua" w:cs="Times"/>
          <w:kern w:val="0"/>
        </w:rPr>
        <w:t xml:space="preserve">, older age (OR </w:t>
      </w:r>
      <w:r w:rsidR="006D6192" w:rsidRPr="004865E7">
        <w:rPr>
          <w:rFonts w:ascii="Book Antiqua" w:eastAsia="SimSun" w:hAnsi="Book Antiqua" w:cs="Times" w:hint="eastAsia"/>
          <w:kern w:val="0"/>
          <w:lang w:eastAsia="zh-CN"/>
        </w:rPr>
        <w:t xml:space="preserve">= </w:t>
      </w:r>
      <w:r w:rsidR="002C16E4" w:rsidRPr="004865E7">
        <w:rPr>
          <w:rFonts w:ascii="Book Antiqua" w:hAnsi="Book Antiqua" w:cs="Times"/>
          <w:kern w:val="0"/>
        </w:rPr>
        <w:t xml:space="preserve">0.32, </w:t>
      </w:r>
      <w:r w:rsidR="006D6192" w:rsidRPr="004865E7">
        <w:rPr>
          <w:rFonts w:ascii="Book Antiqua" w:hAnsi="Book Antiqua" w:cs="Times"/>
          <w:kern w:val="0"/>
        </w:rPr>
        <w:t>95%CI:</w:t>
      </w:r>
      <w:r w:rsidR="002C16E4" w:rsidRPr="004865E7">
        <w:rPr>
          <w:rFonts w:ascii="Book Antiqua" w:hAnsi="Book Antiqua" w:cs="Times"/>
          <w:kern w:val="0"/>
        </w:rPr>
        <w:t xml:space="preserve"> 0.16–0.66) and endoscopic atrophy (OR </w:t>
      </w:r>
      <w:r w:rsidR="006D6192" w:rsidRPr="004865E7">
        <w:rPr>
          <w:rFonts w:ascii="Book Antiqua" w:eastAsia="SimSun" w:hAnsi="Book Antiqua" w:cs="Times" w:hint="eastAsia"/>
          <w:kern w:val="0"/>
          <w:lang w:eastAsia="zh-CN"/>
        </w:rPr>
        <w:t xml:space="preserve">= </w:t>
      </w:r>
      <w:r w:rsidR="002C16E4" w:rsidRPr="004865E7">
        <w:rPr>
          <w:rFonts w:ascii="Book Antiqua" w:hAnsi="Book Antiqua" w:cs="Times"/>
          <w:kern w:val="0"/>
        </w:rPr>
        <w:t xml:space="preserve">0.10, </w:t>
      </w:r>
      <w:r w:rsidR="006D6192" w:rsidRPr="004865E7">
        <w:rPr>
          <w:rFonts w:ascii="Book Antiqua" w:hAnsi="Book Antiqua" w:cs="Times"/>
          <w:kern w:val="0"/>
        </w:rPr>
        <w:t>95%CI:</w:t>
      </w:r>
      <w:r w:rsidR="002C16E4" w:rsidRPr="004865E7">
        <w:rPr>
          <w:rFonts w:ascii="Book Antiqua" w:hAnsi="Book Antiqua" w:cs="Times"/>
          <w:kern w:val="0"/>
        </w:rPr>
        <w:t xml:space="preserve"> 0.03–0.36). The strength of agreement between endoscopic and histological atrophy, assessed by cancer risk-oriented grading, was reproducible, with a kappa value of 0.81 (</w:t>
      </w:r>
      <w:r w:rsidR="006D6192" w:rsidRPr="004865E7">
        <w:rPr>
          <w:rFonts w:ascii="Book Antiqua" w:hAnsi="Book Antiqua" w:cs="Times"/>
          <w:kern w:val="0"/>
        </w:rPr>
        <w:t>95%CI:</w:t>
      </w:r>
      <w:r w:rsidR="002C16E4" w:rsidRPr="004865E7">
        <w:rPr>
          <w:rFonts w:ascii="Book Antiqua" w:hAnsi="Book Antiqua" w:cs="Times"/>
          <w:kern w:val="0"/>
        </w:rPr>
        <w:t xml:space="preserve"> 0.75–0.87). Only nine patients (3.6%) were endoscopically underdiagnosed with antral predominant rather than extensive atrophy and were considered false negatives.</w:t>
      </w:r>
    </w:p>
    <w:p w14:paraId="76DB90A4" w14:textId="77777777" w:rsidR="006D6192" w:rsidRPr="004865E7" w:rsidRDefault="006D6192" w:rsidP="00FA3CB2">
      <w:pPr>
        <w:widowControl/>
        <w:autoSpaceDE w:val="0"/>
        <w:autoSpaceDN w:val="0"/>
        <w:adjustRightInd w:val="0"/>
        <w:snapToGrid w:val="0"/>
        <w:spacing w:line="360" w:lineRule="auto"/>
        <w:rPr>
          <w:rFonts w:ascii="Book Antiqua" w:eastAsia="SimSun" w:hAnsi="Book Antiqua" w:cs="Times"/>
          <w:kern w:val="0"/>
          <w:lang w:eastAsia="zh-CN"/>
        </w:rPr>
      </w:pPr>
    </w:p>
    <w:p w14:paraId="34FAF22C" w14:textId="77777777" w:rsidR="00816D3F" w:rsidRPr="004865E7" w:rsidRDefault="00165578"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b/>
          <w:kern w:val="0"/>
        </w:rPr>
        <w:t>CONCLUSION</w:t>
      </w:r>
      <w:r w:rsidR="002C16E4" w:rsidRPr="004865E7">
        <w:rPr>
          <w:rFonts w:ascii="Book Antiqua" w:hAnsi="Book Antiqua" w:cs="Times"/>
          <w:b/>
          <w:kern w:val="0"/>
        </w:rPr>
        <w:t>:</w:t>
      </w:r>
      <w:r w:rsidR="002C16E4" w:rsidRPr="004865E7">
        <w:rPr>
          <w:rFonts w:ascii="Book Antiqua" w:hAnsi="Book Antiqua" w:cs="Times"/>
          <w:kern w:val="0"/>
        </w:rPr>
        <w:t xml:space="preserve"> Endoscopic grading can predict histological atrophy</w:t>
      </w:r>
      <w:r w:rsidRPr="004865E7">
        <w:rPr>
          <w:rFonts w:ascii="Book Antiqua" w:hAnsi="Book Antiqua" w:cs="Times"/>
          <w:kern w:val="0"/>
        </w:rPr>
        <w:t xml:space="preserve"> with few false negatives</w:t>
      </w:r>
      <w:r w:rsidR="002C16E4" w:rsidRPr="004865E7">
        <w:rPr>
          <w:rFonts w:ascii="Book Antiqua" w:hAnsi="Book Antiqua" w:cs="Times"/>
          <w:kern w:val="0"/>
        </w:rPr>
        <w:t xml:space="preserve">, indicating that precancerous conditions can be identified during screening endoscopy, particularly in patients in western countries. </w:t>
      </w:r>
      <w:r w:rsidR="002C16E4" w:rsidRPr="004865E7">
        <w:rPr>
          <w:rFonts w:ascii="Book Antiqua" w:hAnsi="Book Antiqua"/>
        </w:rPr>
        <w:br/>
      </w:r>
    </w:p>
    <w:p w14:paraId="3AFA88DB" w14:textId="4FC778AA" w:rsidR="008E025E" w:rsidRPr="004865E7" w:rsidRDefault="008E025E" w:rsidP="008E025E">
      <w:pPr>
        <w:widowControl/>
        <w:autoSpaceDE w:val="0"/>
        <w:autoSpaceDN w:val="0"/>
        <w:adjustRightInd w:val="0"/>
        <w:snapToGrid w:val="0"/>
        <w:spacing w:line="360" w:lineRule="auto"/>
        <w:rPr>
          <w:rFonts w:ascii="Book Antiqua" w:eastAsia="SimSun" w:hAnsi="Book Antiqua"/>
          <w:lang w:eastAsia="zh-CN"/>
        </w:rPr>
      </w:pPr>
      <w:r w:rsidRPr="004865E7">
        <w:rPr>
          <w:rFonts w:ascii="Book Antiqua" w:hAnsi="Book Antiqua"/>
          <w:b/>
        </w:rPr>
        <w:t>Key</w:t>
      </w:r>
      <w:r w:rsidRPr="004865E7">
        <w:rPr>
          <w:rFonts w:ascii="Book Antiqua" w:hAnsi="Book Antiqua" w:hint="eastAsia"/>
          <w:b/>
        </w:rPr>
        <w:t xml:space="preserve"> </w:t>
      </w:r>
      <w:r w:rsidRPr="004865E7">
        <w:rPr>
          <w:rFonts w:ascii="Book Antiqua" w:hAnsi="Book Antiqua"/>
          <w:b/>
        </w:rPr>
        <w:t xml:space="preserve">words: </w:t>
      </w:r>
      <w:bookmarkStart w:id="206" w:name="OLE_LINK2034"/>
      <w:bookmarkStart w:id="207" w:name="OLE_LINK2035"/>
      <w:r w:rsidR="006D6192" w:rsidRPr="004865E7">
        <w:rPr>
          <w:rFonts w:ascii="Book Antiqua" w:hAnsi="Book Antiqua"/>
        </w:rPr>
        <w:t>Gastritis</w:t>
      </w:r>
      <w:r w:rsidR="006D6192" w:rsidRPr="004865E7">
        <w:rPr>
          <w:rFonts w:ascii="Book Antiqua" w:eastAsia="SimSun" w:hAnsi="Book Antiqua" w:hint="eastAsia"/>
          <w:lang w:eastAsia="zh-CN"/>
        </w:rPr>
        <w:t>;</w:t>
      </w:r>
      <w:r w:rsidR="006D6192" w:rsidRPr="004865E7">
        <w:rPr>
          <w:rFonts w:ascii="Book Antiqua" w:hAnsi="Book Antiqua"/>
        </w:rPr>
        <w:t xml:space="preserve"> Atrophy</w:t>
      </w:r>
      <w:r w:rsidR="006D6192" w:rsidRPr="004865E7">
        <w:rPr>
          <w:rFonts w:ascii="Book Antiqua" w:eastAsia="SimSun" w:hAnsi="Book Antiqua" w:hint="eastAsia"/>
          <w:lang w:eastAsia="zh-CN"/>
        </w:rPr>
        <w:t xml:space="preserve">; </w:t>
      </w:r>
      <w:r w:rsidR="006D6192" w:rsidRPr="004865E7">
        <w:rPr>
          <w:rFonts w:ascii="Book Antiqua" w:hAnsi="Book Antiqua"/>
        </w:rPr>
        <w:t>Histology</w:t>
      </w:r>
      <w:r w:rsidR="006D6192" w:rsidRPr="004865E7">
        <w:rPr>
          <w:rFonts w:ascii="Book Antiqua" w:eastAsia="SimSun" w:hAnsi="Book Antiqua" w:hint="eastAsia"/>
          <w:lang w:eastAsia="zh-CN"/>
        </w:rPr>
        <w:t>;</w:t>
      </w:r>
      <w:r w:rsidR="006D6192" w:rsidRPr="004865E7">
        <w:rPr>
          <w:rFonts w:ascii="Book Antiqua" w:hAnsi="Book Antiqua"/>
        </w:rPr>
        <w:t xml:space="preserve"> Endoscopy</w:t>
      </w:r>
      <w:r w:rsidR="006D6192" w:rsidRPr="004865E7">
        <w:rPr>
          <w:rFonts w:ascii="Book Antiqua" w:eastAsia="SimSun" w:hAnsi="Book Antiqua" w:hint="eastAsia"/>
          <w:lang w:eastAsia="zh-CN"/>
        </w:rPr>
        <w:t>;</w:t>
      </w:r>
      <w:r w:rsidR="006D6192" w:rsidRPr="004865E7">
        <w:rPr>
          <w:rFonts w:ascii="Book Antiqua" w:hAnsi="Book Antiqua"/>
        </w:rPr>
        <w:t xml:space="preserve"> Diagnosis</w:t>
      </w:r>
    </w:p>
    <w:bookmarkEnd w:id="206"/>
    <w:bookmarkEnd w:id="207"/>
    <w:p w14:paraId="1A29444C" w14:textId="77777777" w:rsidR="00816D3F" w:rsidRDefault="00816D3F" w:rsidP="00FA3CB2">
      <w:pPr>
        <w:widowControl/>
        <w:autoSpaceDE w:val="0"/>
        <w:autoSpaceDN w:val="0"/>
        <w:adjustRightInd w:val="0"/>
        <w:snapToGrid w:val="0"/>
        <w:spacing w:line="360" w:lineRule="auto"/>
        <w:rPr>
          <w:rFonts w:ascii="Book Antiqua" w:eastAsia="SimSun" w:hAnsi="Book Antiqua"/>
          <w:lang w:eastAsia="zh-CN"/>
        </w:rPr>
      </w:pPr>
    </w:p>
    <w:p w14:paraId="739F86DB" w14:textId="77777777" w:rsidR="00BB503B" w:rsidRPr="00BB503B" w:rsidRDefault="00BB503B" w:rsidP="00BB503B">
      <w:pPr>
        <w:adjustRightInd w:val="0"/>
        <w:snapToGrid w:val="0"/>
        <w:spacing w:line="360" w:lineRule="auto"/>
        <w:rPr>
          <w:rFonts w:ascii="Book Antiqua" w:eastAsia="SimSun" w:hAnsi="Book Antiqua" w:cs="Times New Roman"/>
          <w:color w:val="000000"/>
          <w:szCs w:val="22"/>
          <w:lang w:eastAsia="zh-CN"/>
        </w:rPr>
      </w:pPr>
      <w:bookmarkStart w:id="208" w:name="OLE_LINK60"/>
      <w:bookmarkStart w:id="209" w:name="OLE_LINK61"/>
      <w:bookmarkStart w:id="210" w:name="OLE_LINK1429"/>
      <w:bookmarkStart w:id="211" w:name="OLE_LINK1801"/>
      <w:bookmarkStart w:id="212" w:name="OLE_LINK1833"/>
      <w:bookmarkStart w:id="213" w:name="OLE_LINK1896"/>
      <w:bookmarkStart w:id="214" w:name="OLE_LINK1974"/>
      <w:bookmarkStart w:id="215" w:name="OLE_LINK1795"/>
      <w:bookmarkStart w:id="216" w:name="OLE_LINK1866"/>
      <w:bookmarkStart w:id="217" w:name="OLE_LINK1956"/>
      <w:bookmarkStart w:id="218" w:name="OLE_LINK1915"/>
      <w:bookmarkStart w:id="219" w:name="OLE_LINK1941"/>
      <w:bookmarkStart w:id="220" w:name="OLE_LINK1992"/>
      <w:r w:rsidRPr="00BB503B">
        <w:rPr>
          <w:rFonts w:ascii="Book Antiqua" w:eastAsia="SimSun" w:hAnsi="Book Antiqua" w:cs="Times New Roman" w:hint="eastAsia"/>
          <w:b/>
          <w:color w:val="000000"/>
          <w:szCs w:val="22"/>
          <w:lang w:eastAsia="zh-CN"/>
        </w:rPr>
        <w:lastRenderedPageBreak/>
        <w:t>©</w:t>
      </w:r>
      <w:r w:rsidRPr="00BB503B">
        <w:rPr>
          <w:rFonts w:ascii="Book Antiqua" w:eastAsia="SimSun" w:hAnsi="Book Antiqua" w:cs="Times New Roman"/>
          <w:b/>
          <w:color w:val="000000"/>
          <w:szCs w:val="22"/>
          <w:lang w:eastAsia="zh-CN"/>
        </w:rPr>
        <w:t xml:space="preserve"> The Author(s) 2015. </w:t>
      </w:r>
      <w:r w:rsidRPr="00BB503B">
        <w:rPr>
          <w:rFonts w:ascii="Book Antiqua" w:eastAsia="SimSun" w:hAnsi="Book Antiqua" w:cs="Times New Roman"/>
          <w:color w:val="000000"/>
          <w:szCs w:val="22"/>
          <w:lang w:eastAsia="zh-CN"/>
        </w:rPr>
        <w:t>Published by Baishideng Publishing Group Inc. All rights reserved.</w:t>
      </w:r>
    </w:p>
    <w:bookmarkEnd w:id="208"/>
    <w:bookmarkEnd w:id="209"/>
    <w:bookmarkEnd w:id="210"/>
    <w:bookmarkEnd w:id="211"/>
    <w:bookmarkEnd w:id="212"/>
    <w:bookmarkEnd w:id="213"/>
    <w:bookmarkEnd w:id="214"/>
    <w:bookmarkEnd w:id="215"/>
    <w:bookmarkEnd w:id="216"/>
    <w:bookmarkEnd w:id="217"/>
    <w:bookmarkEnd w:id="218"/>
    <w:bookmarkEnd w:id="219"/>
    <w:bookmarkEnd w:id="220"/>
    <w:p w14:paraId="021C9CD3" w14:textId="77777777" w:rsidR="00BB503B" w:rsidRPr="00BB503B" w:rsidRDefault="00BB503B" w:rsidP="00FA3CB2">
      <w:pPr>
        <w:widowControl/>
        <w:autoSpaceDE w:val="0"/>
        <w:autoSpaceDN w:val="0"/>
        <w:adjustRightInd w:val="0"/>
        <w:snapToGrid w:val="0"/>
        <w:spacing w:line="360" w:lineRule="auto"/>
        <w:rPr>
          <w:rFonts w:ascii="Book Antiqua" w:eastAsia="SimSun" w:hAnsi="Book Antiqua"/>
          <w:lang w:eastAsia="zh-CN"/>
        </w:rPr>
      </w:pPr>
    </w:p>
    <w:p w14:paraId="7E19ECDE" w14:textId="10C221CB" w:rsidR="00E60AF6" w:rsidRPr="004865E7" w:rsidRDefault="00E60AF6" w:rsidP="00FA3CB2">
      <w:pPr>
        <w:widowControl/>
        <w:adjustRightInd w:val="0"/>
        <w:snapToGrid w:val="0"/>
        <w:spacing w:line="360" w:lineRule="auto"/>
        <w:rPr>
          <w:rFonts w:ascii="Book Antiqua" w:hAnsi="Book Antiqua" w:cs="SimSun"/>
          <w:kern w:val="0"/>
        </w:rPr>
      </w:pPr>
      <w:bookmarkStart w:id="221" w:name="OLE_LINK1196"/>
      <w:bookmarkStart w:id="222" w:name="OLE_LINK1154"/>
      <w:bookmarkStart w:id="223" w:name="OLE_LINK1155"/>
      <w:bookmarkStart w:id="224" w:name="OLE_LINK1322"/>
      <w:bookmarkStart w:id="225" w:name="OLE_LINK1044"/>
      <w:bookmarkStart w:id="226" w:name="OLE_LINK1224"/>
      <w:bookmarkStart w:id="227" w:name="OLE_LINK1225"/>
      <w:bookmarkStart w:id="228" w:name="OLE_LINK1634"/>
      <w:bookmarkStart w:id="229" w:name="OLE_LINK1635"/>
      <w:bookmarkStart w:id="230" w:name="OLE_LINK1762"/>
      <w:bookmarkStart w:id="231" w:name="OLE_LINK1763"/>
      <w:bookmarkStart w:id="232" w:name="OLE_LINK1764"/>
      <w:bookmarkStart w:id="233" w:name="OLE_LINK1939"/>
      <w:bookmarkStart w:id="234" w:name="OLE_LINK2194"/>
      <w:bookmarkStart w:id="235" w:name="OLE_LINK2878"/>
      <w:bookmarkStart w:id="236" w:name="OLE_LINK576"/>
      <w:bookmarkStart w:id="237" w:name="OLE_LINK579"/>
      <w:bookmarkStart w:id="238" w:name="OLE_LINK580"/>
      <w:bookmarkStart w:id="239" w:name="OLE_LINK521"/>
      <w:bookmarkStart w:id="240" w:name="OLE_LINK1043"/>
      <w:bookmarkStart w:id="241" w:name="OLE_LINK1886"/>
      <w:bookmarkStart w:id="242" w:name="OLE_LINK1887"/>
      <w:bookmarkStart w:id="243" w:name="OLE_LINK1888"/>
      <w:bookmarkStart w:id="244" w:name="OLE_LINK1889"/>
      <w:bookmarkStart w:id="245" w:name="OLE_LINK1903"/>
      <w:bookmarkStart w:id="246" w:name="OLE_LINK2083"/>
      <w:bookmarkStart w:id="247" w:name="OLE_LINK2084"/>
      <w:bookmarkStart w:id="248" w:name="OLE_LINK1977"/>
      <w:bookmarkStart w:id="249" w:name="OLE_LINK3258"/>
      <w:bookmarkStart w:id="250" w:name="OLE_LINK274"/>
      <w:bookmarkStart w:id="251" w:name="OLE_LINK275"/>
      <w:bookmarkStart w:id="252" w:name="OLE_LINK309"/>
      <w:bookmarkStart w:id="253" w:name="OLE_LINK477"/>
      <w:bookmarkStart w:id="254" w:name="OLE_LINK352"/>
      <w:bookmarkStart w:id="255" w:name="OLE_LINK312"/>
      <w:bookmarkStart w:id="256" w:name="OLE_LINK547"/>
      <w:bookmarkStart w:id="257" w:name="OLE_LINK1878"/>
      <w:bookmarkStart w:id="258" w:name="OLE_LINK581"/>
      <w:bookmarkStart w:id="259" w:name="OLE_LINK582"/>
      <w:bookmarkStart w:id="260" w:name="OLE_LINK994"/>
      <w:bookmarkStart w:id="261" w:name="OLE_LINK995"/>
      <w:bookmarkStart w:id="262" w:name="OLE_LINK1074"/>
      <w:bookmarkStart w:id="263" w:name="OLE_LINK1140"/>
      <w:bookmarkStart w:id="264" w:name="OLE_LINK1127"/>
      <w:bookmarkStart w:id="265" w:name="OLE_LINK1266"/>
      <w:bookmarkStart w:id="266" w:name="OLE_LINK1540"/>
      <w:bookmarkStart w:id="267" w:name="OLE_LINK1541"/>
      <w:bookmarkStart w:id="268" w:name="OLE_LINK1551"/>
      <w:bookmarkStart w:id="269" w:name="OLE_LINK1560"/>
      <w:bookmarkStart w:id="270" w:name="OLE_LINK1561"/>
      <w:bookmarkStart w:id="271" w:name="OLE_LINK1568"/>
      <w:bookmarkStart w:id="272" w:name="OLE_LINK1587"/>
      <w:bookmarkStart w:id="273" w:name="OLE_LINK1601"/>
      <w:bookmarkStart w:id="274" w:name="OLE_LINK1707"/>
      <w:bookmarkStart w:id="275" w:name="OLE_LINK1731"/>
      <w:bookmarkStart w:id="276" w:name="OLE_LINK1775"/>
      <w:bookmarkStart w:id="277" w:name="OLE_LINK1818"/>
      <w:bookmarkStart w:id="278" w:name="OLE_LINK1909"/>
      <w:bookmarkStart w:id="279" w:name="OLE_LINK1965"/>
      <w:bookmarkStart w:id="280" w:name="OLE_LINK1967"/>
      <w:bookmarkStart w:id="281" w:name="OLE_LINK1972"/>
      <w:bookmarkStart w:id="282" w:name="OLE_LINK1973"/>
      <w:bookmarkStart w:id="283" w:name="OLE_LINK2021"/>
      <w:bookmarkStart w:id="284" w:name="OLE_LINK2022"/>
      <w:bookmarkStart w:id="285" w:name="OLE_LINK2041"/>
      <w:bookmarkStart w:id="286" w:name="OLE_LINK2042"/>
      <w:bookmarkStart w:id="287" w:name="OLE_LINK2063"/>
      <w:bookmarkStart w:id="288" w:name="OLE_LINK2120"/>
      <w:bookmarkStart w:id="289" w:name="OLE_LINK2158"/>
      <w:bookmarkStart w:id="290" w:name="OLE_LINK2180"/>
      <w:bookmarkStart w:id="291" w:name="OLE_LINK2253"/>
      <w:bookmarkStart w:id="292" w:name="OLE_LINK2217"/>
      <w:bookmarkStart w:id="293" w:name="OLE_LINK2236"/>
      <w:bookmarkStart w:id="294" w:name="OLE_LINK2268"/>
      <w:bookmarkStart w:id="295" w:name="OLE_LINK2279"/>
      <w:bookmarkStart w:id="296" w:name="OLE_LINK2313"/>
      <w:bookmarkStart w:id="297" w:name="OLE_LINK2319"/>
      <w:bookmarkStart w:id="298" w:name="OLE_LINK2320"/>
      <w:bookmarkStart w:id="299" w:name="OLE_LINK2366"/>
      <w:bookmarkStart w:id="300" w:name="OLE_LINK2372"/>
      <w:bookmarkStart w:id="301" w:name="OLE_LINK2384"/>
      <w:bookmarkStart w:id="302" w:name="OLE_LINK2464"/>
      <w:bookmarkStart w:id="303" w:name="OLE_LINK2492"/>
      <w:bookmarkStart w:id="304" w:name="OLE_LINK2532"/>
      <w:bookmarkStart w:id="305" w:name="OLE_LINK2405"/>
      <w:bookmarkStart w:id="306" w:name="OLE_LINK2406"/>
      <w:bookmarkStart w:id="307" w:name="OLE_LINK2425"/>
      <w:bookmarkStart w:id="308" w:name="OLE_LINK2478"/>
      <w:bookmarkStart w:id="309" w:name="OLE_LINK525"/>
      <w:bookmarkStart w:id="310" w:name="OLE_LINK894"/>
      <w:bookmarkStart w:id="311" w:name="OLE_LINK2848"/>
      <w:bookmarkStart w:id="312" w:name="OLE_LINK2849"/>
      <w:bookmarkStart w:id="313" w:name="OLE_LINK2931"/>
      <w:bookmarkStart w:id="314" w:name="OLE_LINK2979"/>
      <w:bookmarkStart w:id="315" w:name="OLE_LINK2994"/>
      <w:bookmarkStart w:id="316" w:name="OLE_LINK2998"/>
      <w:bookmarkStart w:id="317" w:name="OLE_LINK3077"/>
      <w:r w:rsidRPr="004865E7">
        <w:rPr>
          <w:rFonts w:ascii="Book Antiqua" w:hAnsi="Book Antiqua" w:cs="SimSun"/>
          <w:b/>
          <w:kern w:val="0"/>
        </w:rPr>
        <w:t>Core tip:</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4865E7">
        <w:rPr>
          <w:rFonts w:ascii="Book Antiqua" w:hAnsi="Book Antiqua" w:cs="SimSun"/>
          <w:kern w:val="0"/>
        </w:rPr>
        <w:t xml:space="preserve"> </w:t>
      </w:r>
      <w:bookmarkStart w:id="318" w:name="OLE_LINK1130"/>
      <w:bookmarkStart w:id="319" w:name="OLE_LINK1131"/>
      <w:bookmarkStart w:id="320" w:name="OLE_LINK2036"/>
      <w:bookmarkStart w:id="321" w:name="OLE_LINK1226"/>
      <w:bookmarkStart w:id="322" w:name="OLE_LINK1227"/>
      <w:bookmarkStart w:id="323" w:name="OLE_LINK2554"/>
      <w:bookmarkStart w:id="324" w:name="OLE_LINK255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30714F" w:rsidRPr="004865E7">
        <w:rPr>
          <w:rFonts w:ascii="Book Antiqua" w:hAnsi="Book Antiqua" w:cs="SimSun"/>
          <w:kern w:val="0"/>
        </w:rPr>
        <w:t>Gastric atrophy is generally regarded as a precancerous condition. Thus, improvements in methods used to diagnose atrophy may identify patients at risk for gastric cancer. Our data on endoscopic assessment could be compared with diagnosis by an expert histopathologist with a weighted kappa value. Our data of this agreement is better than the inter-observer agreement between two histopathologists reported before. Thus, our results suggest that endoscopic atrophy grading can predict extensive histological atrophy and may serve as a practical assessment of precancerous conditions during endoscopy in routine clinical practice, especially for patients in western countries.</w:t>
      </w:r>
      <w:r w:rsidR="0030714F" w:rsidRPr="004865E7" w:rsidDel="0030714F">
        <w:rPr>
          <w:rFonts w:ascii="Book Antiqua" w:hAnsi="Book Antiqua" w:cs="Arial"/>
          <w:bCs/>
          <w:kern w:val="0"/>
        </w:rPr>
        <w:t xml:space="preserve"> </w:t>
      </w:r>
    </w:p>
    <w:p w14:paraId="43A109EB" w14:textId="77777777" w:rsidR="00E60AF6" w:rsidRPr="004865E7" w:rsidRDefault="00E60AF6" w:rsidP="00FA3CB2">
      <w:pPr>
        <w:widowControl/>
        <w:adjustRightInd w:val="0"/>
        <w:snapToGrid w:val="0"/>
        <w:spacing w:line="360" w:lineRule="auto"/>
        <w:rPr>
          <w:rFonts w:ascii="Book Antiqua" w:hAnsi="Book Antiqua" w:cs="SimSun"/>
          <w:kern w:val="0"/>
        </w:rPr>
      </w:pPr>
      <w:bookmarkStart w:id="325" w:name="OLE_LINK2965"/>
      <w:bookmarkStart w:id="326" w:name="OLE_LINK2966"/>
      <w:bookmarkEnd w:id="250"/>
      <w:bookmarkEnd w:id="251"/>
      <w:bookmarkEnd w:id="252"/>
      <w:bookmarkEnd w:id="253"/>
      <w:bookmarkEnd w:id="254"/>
      <w:bookmarkEnd w:id="255"/>
      <w:bookmarkEnd w:id="256"/>
      <w:bookmarkEnd w:id="257"/>
      <w:bookmarkEnd w:id="318"/>
      <w:bookmarkEnd w:id="319"/>
      <w:bookmarkEnd w:id="320"/>
    </w:p>
    <w:p w14:paraId="23B8830D" w14:textId="1D6962A5" w:rsidR="006D6192" w:rsidRPr="004865E7" w:rsidRDefault="006D6192" w:rsidP="006D6192">
      <w:pPr>
        <w:adjustRightInd w:val="0"/>
        <w:snapToGrid w:val="0"/>
        <w:spacing w:line="360" w:lineRule="auto"/>
        <w:rPr>
          <w:rFonts w:ascii="Book Antiqua" w:hAnsi="Book Antiqua"/>
        </w:rPr>
      </w:pPr>
      <w:bookmarkStart w:id="327" w:name="OLE_LINK2037"/>
      <w:bookmarkStart w:id="328" w:name="OLE_LINK2038"/>
      <w:bookmarkStart w:id="329" w:name="OLE_LINK2043"/>
      <w:bookmarkStart w:id="330" w:name="OLE_LINK2044"/>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21"/>
      <w:bookmarkEnd w:id="322"/>
      <w:bookmarkEnd w:id="323"/>
      <w:bookmarkEnd w:id="324"/>
      <w:bookmarkEnd w:id="325"/>
      <w:bookmarkEnd w:id="326"/>
      <w:r w:rsidRPr="004865E7">
        <w:rPr>
          <w:rFonts w:ascii="Book Antiqua" w:hAnsi="Book Antiqua"/>
        </w:rPr>
        <w:t>Kono</w:t>
      </w:r>
      <w:r w:rsidRPr="004865E7">
        <w:rPr>
          <w:rFonts w:ascii="Book Antiqua" w:eastAsia="SimSun" w:hAnsi="Book Antiqua" w:hint="eastAsia"/>
          <w:lang w:eastAsia="zh-CN"/>
        </w:rPr>
        <w:t xml:space="preserve"> S</w:t>
      </w:r>
      <w:r w:rsidRPr="004865E7">
        <w:rPr>
          <w:rFonts w:ascii="Book Antiqua" w:hAnsi="Book Antiqua"/>
        </w:rPr>
        <w:t>, Gotoda</w:t>
      </w:r>
      <w:r w:rsidRPr="004865E7">
        <w:rPr>
          <w:rFonts w:ascii="Book Antiqua" w:eastAsia="SimSun" w:hAnsi="Book Antiqua" w:hint="eastAsia"/>
          <w:lang w:eastAsia="zh-CN"/>
        </w:rPr>
        <w:t xml:space="preserve"> T</w:t>
      </w:r>
      <w:r w:rsidRPr="004865E7">
        <w:rPr>
          <w:rFonts w:ascii="Book Antiqua" w:hAnsi="Book Antiqua"/>
        </w:rPr>
        <w:t>, Yoshida</w:t>
      </w:r>
      <w:r w:rsidRPr="004865E7">
        <w:rPr>
          <w:rFonts w:ascii="Book Antiqua" w:eastAsia="SimSun" w:hAnsi="Book Antiqua" w:hint="eastAsia"/>
          <w:lang w:eastAsia="zh-CN"/>
        </w:rPr>
        <w:t xml:space="preserve"> S</w:t>
      </w:r>
      <w:r w:rsidRPr="004865E7">
        <w:rPr>
          <w:rFonts w:ascii="Book Antiqua" w:hAnsi="Book Antiqua"/>
        </w:rPr>
        <w:t>, Oda</w:t>
      </w:r>
      <w:r w:rsidRPr="004865E7">
        <w:rPr>
          <w:rFonts w:ascii="Book Antiqua" w:eastAsia="SimSun" w:hAnsi="Book Antiqua" w:hint="eastAsia"/>
          <w:lang w:eastAsia="zh-CN"/>
        </w:rPr>
        <w:t xml:space="preserve"> I</w:t>
      </w:r>
      <w:r w:rsidRPr="004865E7">
        <w:rPr>
          <w:rFonts w:ascii="Book Antiqua" w:hAnsi="Book Antiqua"/>
        </w:rPr>
        <w:t>, Kondo</w:t>
      </w:r>
      <w:r w:rsidRPr="004865E7">
        <w:rPr>
          <w:rFonts w:ascii="Book Antiqua" w:eastAsia="SimSun" w:hAnsi="Book Antiqua" w:hint="eastAsia"/>
          <w:lang w:eastAsia="zh-CN"/>
        </w:rPr>
        <w:t xml:space="preserve"> H</w:t>
      </w:r>
      <w:r w:rsidRPr="004865E7">
        <w:rPr>
          <w:rFonts w:ascii="Book Antiqua" w:hAnsi="Book Antiqua"/>
        </w:rPr>
        <w:t>, Gatta</w:t>
      </w:r>
      <w:r w:rsidRPr="004865E7">
        <w:rPr>
          <w:rFonts w:ascii="Book Antiqua" w:eastAsia="SimSun" w:hAnsi="Book Antiqua" w:hint="eastAsia"/>
          <w:lang w:eastAsia="zh-CN"/>
        </w:rPr>
        <w:t xml:space="preserve"> L</w:t>
      </w:r>
      <w:r w:rsidRPr="004865E7">
        <w:rPr>
          <w:rFonts w:ascii="Book Antiqua" w:hAnsi="Book Antiqua"/>
        </w:rPr>
        <w:t>, Naylor</w:t>
      </w:r>
      <w:r w:rsidRPr="004865E7">
        <w:rPr>
          <w:rFonts w:ascii="Book Antiqua" w:eastAsia="SimSun" w:hAnsi="Book Antiqua" w:hint="eastAsia"/>
          <w:lang w:eastAsia="zh-CN"/>
        </w:rPr>
        <w:t xml:space="preserve"> G</w:t>
      </w:r>
      <w:r w:rsidRPr="004865E7">
        <w:rPr>
          <w:rFonts w:ascii="Book Antiqua" w:hAnsi="Book Antiqua"/>
        </w:rPr>
        <w:t>, Dixon</w:t>
      </w:r>
      <w:r w:rsidRPr="004865E7">
        <w:rPr>
          <w:rFonts w:ascii="Book Antiqua" w:eastAsia="SimSun" w:hAnsi="Book Antiqua" w:hint="eastAsia"/>
          <w:lang w:eastAsia="zh-CN"/>
        </w:rPr>
        <w:t xml:space="preserve"> M</w:t>
      </w:r>
      <w:r w:rsidRPr="004865E7">
        <w:rPr>
          <w:rFonts w:ascii="Book Antiqua" w:hAnsi="Book Antiqua"/>
        </w:rPr>
        <w:t>, Moriyasu</w:t>
      </w:r>
      <w:r w:rsidRPr="004865E7">
        <w:rPr>
          <w:rFonts w:ascii="Book Antiqua" w:eastAsia="SimSun" w:hAnsi="Book Antiqua" w:hint="eastAsia"/>
          <w:lang w:eastAsia="zh-CN"/>
        </w:rPr>
        <w:t xml:space="preserve"> F</w:t>
      </w:r>
      <w:r w:rsidRPr="004865E7">
        <w:rPr>
          <w:rFonts w:ascii="Book Antiqua" w:hAnsi="Book Antiqua"/>
        </w:rPr>
        <w:t>, Axon</w:t>
      </w:r>
      <w:r w:rsidRPr="004865E7">
        <w:rPr>
          <w:rFonts w:ascii="Book Antiqua" w:eastAsia="SimSun" w:hAnsi="Book Antiqua" w:hint="eastAsia"/>
          <w:lang w:eastAsia="zh-CN"/>
        </w:rPr>
        <w:t xml:space="preserve"> A.</w:t>
      </w:r>
      <w:r w:rsidRPr="004865E7">
        <w:rPr>
          <w:rFonts w:ascii="Book Antiqua" w:eastAsia="SimSun" w:hAnsi="Book Antiqua" w:hint="eastAsia"/>
          <w:vertAlign w:val="superscript"/>
          <w:lang w:eastAsia="zh-CN"/>
        </w:rPr>
        <w:t xml:space="preserve"> </w:t>
      </w:r>
      <w:r w:rsidR="00461EFE" w:rsidRPr="00461EFE">
        <w:rPr>
          <w:rFonts w:ascii="Book Antiqua" w:hAnsi="Book Antiqua"/>
        </w:rPr>
        <w:t>Can endoscopic atrophy predict histological atrophy? Historical study in United Kingdom and Japan</w:t>
      </w:r>
      <w:r w:rsidRPr="004865E7">
        <w:rPr>
          <w:rFonts w:ascii="Book Antiqua" w:eastAsia="SimSun" w:hAnsi="Book Antiqua" w:hint="eastAsia"/>
          <w:lang w:eastAsia="zh-CN"/>
        </w:rPr>
        <w:t xml:space="preserve">. </w:t>
      </w:r>
      <w:bookmarkStart w:id="331" w:name="OLE_LINK110"/>
      <w:bookmarkStart w:id="332" w:name="OLE_LINK111"/>
      <w:bookmarkStart w:id="333" w:name="OLE_LINK140"/>
      <w:bookmarkStart w:id="334" w:name="OLE_LINK699"/>
      <w:bookmarkStart w:id="335" w:name="OLE_LINK658"/>
      <w:bookmarkStart w:id="336" w:name="OLE_LINK1236"/>
      <w:bookmarkStart w:id="337" w:name="OLE_LINK1369"/>
      <w:bookmarkStart w:id="338" w:name="OLE_LINK1802"/>
      <w:bookmarkStart w:id="339" w:name="OLE_LINK1719"/>
      <w:bookmarkStart w:id="340" w:name="OLE_LINK1796"/>
      <w:bookmarkStart w:id="341" w:name="OLE_LINK1869"/>
      <w:bookmarkStart w:id="342" w:name="OLE_LINK1875"/>
      <w:bookmarkStart w:id="343" w:name="OLE_LINK1917"/>
      <w:bookmarkStart w:id="344" w:name="OLE_LINK1942"/>
      <w:bookmarkStart w:id="345" w:name="OLE_LINK2176"/>
      <w:bookmarkStart w:id="346" w:name="OLE_LINK2074"/>
      <w:bookmarkStart w:id="347" w:name="OLE_LINK2206"/>
      <w:r w:rsidRPr="004865E7">
        <w:rPr>
          <w:rFonts w:ascii="Book Antiqua" w:hAnsi="Book Antiqua"/>
          <w:i/>
        </w:rPr>
        <w:t xml:space="preserve">World J Gastroenterol </w:t>
      </w:r>
      <w:r w:rsidRPr="004865E7">
        <w:rPr>
          <w:rFonts w:ascii="Book Antiqua" w:hAnsi="Book Antiqua" w:hint="eastAsia"/>
        </w:rPr>
        <w:t>2015</w:t>
      </w:r>
      <w:r w:rsidRPr="004865E7">
        <w:rPr>
          <w:rFonts w:ascii="Book Antiqua" w:hAnsi="Book Antiqua"/>
        </w:rPr>
        <w:t>; In press</w:t>
      </w:r>
    </w:p>
    <w:bookmarkEnd w:id="327"/>
    <w:bookmarkEnd w:id="328"/>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14:paraId="65637B65" w14:textId="6BFB5353" w:rsidR="006D6192" w:rsidRPr="004865E7" w:rsidRDefault="006D6192" w:rsidP="006D6192">
      <w:pPr>
        <w:widowControl/>
        <w:adjustRightInd w:val="0"/>
        <w:snapToGrid w:val="0"/>
        <w:spacing w:line="360" w:lineRule="auto"/>
        <w:rPr>
          <w:rFonts w:ascii="Book Antiqua" w:eastAsia="SimSun" w:hAnsi="Book Antiqua"/>
          <w:vertAlign w:val="superscript"/>
          <w:lang w:eastAsia="zh-CN"/>
        </w:rPr>
      </w:pPr>
    </w:p>
    <w:bookmarkEnd w:id="329"/>
    <w:bookmarkEnd w:id="330"/>
    <w:p w14:paraId="3C2DE7EF" w14:textId="77777777" w:rsidR="002C16E4" w:rsidRPr="004865E7" w:rsidRDefault="002C16E4" w:rsidP="00FA3CB2">
      <w:pPr>
        <w:widowControl/>
        <w:adjustRightInd w:val="0"/>
        <w:snapToGrid w:val="0"/>
        <w:spacing w:line="360" w:lineRule="auto"/>
        <w:rPr>
          <w:rFonts w:ascii="Book Antiqua" w:hAnsi="Book Antiqua"/>
        </w:rPr>
      </w:pPr>
    </w:p>
    <w:p w14:paraId="48278AE0" w14:textId="77777777" w:rsidR="00246C01" w:rsidRPr="004865E7" w:rsidRDefault="00246C01" w:rsidP="00FA3CB2">
      <w:pPr>
        <w:widowControl/>
        <w:adjustRightInd w:val="0"/>
        <w:snapToGrid w:val="0"/>
        <w:spacing w:line="360" w:lineRule="auto"/>
        <w:rPr>
          <w:rFonts w:ascii="Book Antiqua" w:hAnsi="Book Antiqua" w:cs="Times"/>
          <w:b/>
          <w:kern w:val="0"/>
        </w:rPr>
      </w:pPr>
    </w:p>
    <w:p w14:paraId="20DC79F5" w14:textId="77777777" w:rsidR="006D6192" w:rsidRPr="004865E7" w:rsidRDefault="006D6192">
      <w:pPr>
        <w:widowControl/>
        <w:jc w:val="left"/>
        <w:rPr>
          <w:rFonts w:ascii="Book Antiqua" w:hAnsi="Book Antiqua" w:cs="Times"/>
          <w:b/>
          <w:caps/>
          <w:kern w:val="0"/>
        </w:rPr>
      </w:pPr>
      <w:r w:rsidRPr="004865E7">
        <w:rPr>
          <w:rFonts w:ascii="Book Antiqua" w:hAnsi="Book Antiqua"/>
        </w:rPr>
        <w:br w:type="page"/>
      </w:r>
    </w:p>
    <w:p w14:paraId="30077F0E" w14:textId="788852C6" w:rsidR="002C16E4" w:rsidRPr="004865E7" w:rsidRDefault="002C16E4" w:rsidP="00FA3CB2">
      <w:pPr>
        <w:pStyle w:val="Heading1"/>
        <w:snapToGrid w:val="0"/>
        <w:spacing w:after="0"/>
        <w:jc w:val="both"/>
        <w:rPr>
          <w:rFonts w:ascii="Book Antiqua" w:hAnsi="Book Antiqua"/>
          <w:szCs w:val="24"/>
        </w:rPr>
      </w:pPr>
      <w:r w:rsidRPr="004865E7">
        <w:rPr>
          <w:rFonts w:ascii="Book Antiqua" w:hAnsi="Book Antiqua"/>
          <w:szCs w:val="24"/>
        </w:rPr>
        <w:lastRenderedPageBreak/>
        <w:t>Introduction</w:t>
      </w:r>
    </w:p>
    <w:p w14:paraId="2AA20119" w14:textId="13D0305C"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Gastric adenocarcinoma continues to be a leading cause of cancer-related deaths in many parts of the world. Patients at increased risk of gastric adenocarcinoma may be identified by endoscopic screening for precancerous conditions. According to the Correa hypothesis, gastric carcinogenesis is a progressive process, from chronic gastritis to gastric atrophy and then to dysplasia or cancer. Thus, gastric atrophy is generally regarded as a precancerous condition</w:t>
      </w:r>
      <w:r w:rsidR="00E60AF6" w:rsidRPr="004865E7">
        <w:rPr>
          <w:rFonts w:ascii="Book Antiqua" w:hAnsi="Book Antiqua" w:cs="Times"/>
          <w:kern w:val="0"/>
          <w:vertAlign w:val="superscript"/>
        </w:rPr>
        <w:t>[1,2]</w:t>
      </w:r>
      <w:r w:rsidRPr="004865E7">
        <w:rPr>
          <w:rFonts w:ascii="Book Antiqua" w:hAnsi="Book Antiqua" w:cs="Times"/>
          <w:kern w:val="0"/>
        </w:rPr>
        <w:t xml:space="preserve">. </w:t>
      </w:r>
    </w:p>
    <w:p w14:paraId="2410DAB9" w14:textId="2B897FFF"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Following the identification of </w:t>
      </w:r>
      <w:bookmarkStart w:id="348" w:name="OLE_LINK2009"/>
      <w:bookmarkStart w:id="349" w:name="OLE_LINK2010"/>
      <w:r w:rsidRPr="004865E7">
        <w:rPr>
          <w:rFonts w:ascii="Book Antiqua" w:hAnsi="Book Antiqua" w:cs="Times"/>
          <w:i/>
          <w:kern w:val="0"/>
        </w:rPr>
        <w:t>Helicobacter pylori</w:t>
      </w:r>
      <w:bookmarkEnd w:id="348"/>
      <w:bookmarkEnd w:id="349"/>
      <w:r w:rsidRPr="004865E7">
        <w:rPr>
          <w:rFonts w:ascii="Book Antiqua" w:hAnsi="Book Antiqua" w:cs="Times"/>
          <w:kern w:val="0"/>
        </w:rPr>
        <w:t xml:space="preserve"> (</w:t>
      </w:r>
      <w:r w:rsidRPr="004865E7">
        <w:rPr>
          <w:rFonts w:ascii="Book Antiqua" w:hAnsi="Book Antiqua" w:cs="Times"/>
          <w:i/>
          <w:kern w:val="0"/>
        </w:rPr>
        <w:t>H. pylori</w:t>
      </w:r>
      <w:r w:rsidR="00CD0E5C" w:rsidRPr="004865E7">
        <w:rPr>
          <w:rFonts w:ascii="Book Antiqua" w:hAnsi="Book Antiqua" w:cs="Times"/>
          <w:kern w:val="0"/>
        </w:rPr>
        <w:t>) in 1983</w:t>
      </w:r>
      <w:r w:rsidRPr="004865E7">
        <w:rPr>
          <w:rFonts w:ascii="Book Antiqua" w:hAnsi="Book Antiqua" w:cs="Times"/>
          <w:kern w:val="0"/>
          <w:vertAlign w:val="superscript"/>
        </w:rPr>
        <w:t>[3]</w:t>
      </w:r>
      <w:r w:rsidR="00CD0E5C" w:rsidRPr="004865E7">
        <w:rPr>
          <w:rFonts w:ascii="Book Antiqua" w:hAnsi="Book Antiqua" w:cs="Times"/>
          <w:kern w:val="0"/>
        </w:rPr>
        <w:t>,</w:t>
      </w:r>
      <w:r w:rsidRPr="004865E7">
        <w:rPr>
          <w:rFonts w:ascii="Book Antiqua" w:hAnsi="Book Antiqua" w:cs="Times"/>
          <w:kern w:val="0"/>
        </w:rPr>
        <w:t xml:space="preserve"> it became apparent that longstanding infection often leads to atrophic gastritis and that infection and the development of gastric cancer are strongly associated. These observations were confirmed by a long-term prospective trial, showing not only that the histological severity of gastritis, atrophy and intestinal metaplasia was predictive of cancer but that the anatomical distribution of the gastritis was even more important</w:t>
      </w:r>
      <w:r w:rsidRPr="004865E7">
        <w:rPr>
          <w:rFonts w:ascii="Book Antiqua" w:hAnsi="Book Antiqua" w:cs="Times"/>
          <w:kern w:val="0"/>
          <w:vertAlign w:val="superscript"/>
        </w:rPr>
        <w:t>[4]</w:t>
      </w:r>
      <w:r w:rsidR="00CD0E5C" w:rsidRPr="004865E7">
        <w:rPr>
          <w:rFonts w:ascii="Book Antiqua" w:hAnsi="Book Antiqua" w:cs="Times"/>
          <w:kern w:val="0"/>
        </w:rPr>
        <w:t>.</w:t>
      </w:r>
      <w:r w:rsidRPr="004865E7">
        <w:rPr>
          <w:rFonts w:ascii="Book Antiqua" w:hAnsi="Book Antiqua" w:cs="Times"/>
          <w:kern w:val="0"/>
        </w:rPr>
        <w:t xml:space="preserve"> Patients with corpus predominant or pangastritis were at much higher risk of cancer than patients with antral predominant gastritis</w:t>
      </w:r>
      <w:r w:rsidR="006D6192" w:rsidRPr="004865E7">
        <w:rPr>
          <w:rFonts w:ascii="Book Antiqua" w:hAnsi="Book Antiqua" w:cs="Times"/>
          <w:kern w:val="0"/>
          <w:vertAlign w:val="superscript"/>
        </w:rPr>
        <w:t>[4,</w:t>
      </w:r>
      <w:r w:rsidRPr="004865E7">
        <w:rPr>
          <w:rFonts w:ascii="Book Antiqua" w:hAnsi="Book Antiqua" w:cs="Times"/>
          <w:kern w:val="0"/>
          <w:vertAlign w:val="superscript"/>
        </w:rPr>
        <w:t>5]</w:t>
      </w:r>
      <w:r w:rsidR="00CD0E5C" w:rsidRPr="004865E7">
        <w:rPr>
          <w:rFonts w:ascii="Book Antiqua" w:hAnsi="Book Antiqua" w:cs="Times"/>
          <w:kern w:val="0"/>
        </w:rPr>
        <w:t>.</w:t>
      </w:r>
      <w:r w:rsidRPr="004865E7">
        <w:rPr>
          <w:rFonts w:ascii="Book Antiqua" w:hAnsi="Book Antiqua" w:cs="Times"/>
          <w:kern w:val="0"/>
        </w:rPr>
        <w:t xml:space="preserve"> Thus, endoscopic evaluation should assess both the presence and anatomic location of atrophic gastritis in determining the potential risk of future cancer. </w:t>
      </w:r>
    </w:p>
    <w:p w14:paraId="35A3BF5A" w14:textId="7E227984"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In Japan, where a large number of patients have atrophic gastritis caused by </w:t>
      </w:r>
      <w:r w:rsidRPr="004865E7">
        <w:rPr>
          <w:rFonts w:ascii="Book Antiqua" w:hAnsi="Book Antiqua" w:cs="Times"/>
          <w:i/>
          <w:kern w:val="0"/>
        </w:rPr>
        <w:t>H. pylori</w:t>
      </w:r>
      <w:r w:rsidRPr="004865E7">
        <w:rPr>
          <w:rFonts w:ascii="Book Antiqua" w:hAnsi="Book Antiqua" w:cs="Times"/>
          <w:kern w:val="0"/>
        </w:rPr>
        <w:t xml:space="preserve"> infection, endoscopy has long been used to assess the macroscopic changes associated with gastritis. An endoscopic scoring system was developed to determine the extent of atrophy by identifying the atrophic border</w:t>
      </w:r>
      <w:r w:rsidR="006D6192" w:rsidRPr="004865E7">
        <w:rPr>
          <w:rFonts w:ascii="Book Antiqua" w:hAnsi="Book Antiqua" w:cs="Times"/>
          <w:kern w:val="0"/>
          <w:vertAlign w:val="superscript"/>
        </w:rPr>
        <w:t>[6,</w:t>
      </w:r>
      <w:r w:rsidRPr="004865E7">
        <w:rPr>
          <w:rFonts w:ascii="Book Antiqua" w:hAnsi="Book Antiqua" w:cs="Times"/>
          <w:kern w:val="0"/>
          <w:vertAlign w:val="superscript"/>
        </w:rPr>
        <w:t>7]</w:t>
      </w:r>
      <w:r w:rsidR="00CD0E5C" w:rsidRPr="004865E7">
        <w:rPr>
          <w:rFonts w:ascii="Book Antiqua" w:hAnsi="Book Antiqua" w:cs="Times"/>
          <w:kern w:val="0"/>
        </w:rPr>
        <w:t>.</w:t>
      </w:r>
      <w:r w:rsidRPr="004865E7">
        <w:rPr>
          <w:rFonts w:ascii="Book Antiqua" w:hAnsi="Book Antiqua" w:cs="Times"/>
          <w:kern w:val="0"/>
        </w:rPr>
        <w:t xml:space="preserve"> defined as the transition zone between non-atrophic and atrophic gastritis, in the stomach. Endoscopic atrophy was found to closely correlate with gastric cancer</w:t>
      </w:r>
      <w:r w:rsidR="006D6192" w:rsidRPr="004865E7">
        <w:rPr>
          <w:rFonts w:ascii="Book Antiqua" w:hAnsi="Book Antiqua" w:cs="Times"/>
          <w:kern w:val="0"/>
          <w:vertAlign w:val="superscript"/>
        </w:rPr>
        <w:t>[4,</w:t>
      </w:r>
      <w:r w:rsidRPr="004865E7">
        <w:rPr>
          <w:rFonts w:ascii="Book Antiqua" w:hAnsi="Book Antiqua" w:cs="Times"/>
          <w:kern w:val="0"/>
          <w:vertAlign w:val="superscript"/>
        </w:rPr>
        <w:t>8]</w:t>
      </w:r>
      <w:r w:rsidR="00CD0E5C" w:rsidRPr="004865E7">
        <w:rPr>
          <w:rFonts w:ascii="Book Antiqua" w:hAnsi="Book Antiqua" w:cs="Times"/>
          <w:kern w:val="0"/>
        </w:rPr>
        <w:t>.</w:t>
      </w:r>
      <w:r w:rsidRPr="004865E7">
        <w:rPr>
          <w:rFonts w:ascii="Book Antiqua" w:hAnsi="Book Antiqua" w:cs="Times"/>
          <w:kern w:val="0"/>
        </w:rPr>
        <w:t xml:space="preserve"> This approach, however, is not widely used in western countries, with few endoscopists taking multiple biopsies during routine upper digestive endoscopy. Moreover, it is unclear whether histological atrophy correlates with endoscopic atrophy in western patients.</w:t>
      </w:r>
    </w:p>
    <w:p w14:paraId="65F0B8DC" w14:textId="3F4EB870" w:rsidR="002C16E4" w:rsidRPr="004865E7" w:rsidRDefault="002C16E4" w:rsidP="006D6192">
      <w:pPr>
        <w:widowControl/>
        <w:autoSpaceDE w:val="0"/>
        <w:autoSpaceDN w:val="0"/>
        <w:adjustRightInd w:val="0"/>
        <w:snapToGrid w:val="0"/>
        <w:spacing w:line="360" w:lineRule="auto"/>
        <w:ind w:firstLineChars="50" w:firstLine="120"/>
        <w:rPr>
          <w:rFonts w:ascii="Book Antiqua" w:hAnsi="Book Antiqua" w:cs="Times"/>
          <w:kern w:val="0"/>
        </w:rPr>
      </w:pPr>
      <w:r w:rsidRPr="004865E7">
        <w:rPr>
          <w:rFonts w:ascii="Book Antiqua" w:hAnsi="Book Antiqua" w:cs="Times"/>
          <w:kern w:val="0"/>
        </w:rPr>
        <w:lastRenderedPageBreak/>
        <w:t>Improvements in methods used to diagnose atrophic gastritis may identify patients at risk for gastric cancer. This study, using previously published data</w:t>
      </w:r>
      <w:r w:rsidRPr="004865E7">
        <w:rPr>
          <w:rFonts w:ascii="Book Antiqua" w:hAnsi="Book Antiqua" w:cs="Times"/>
          <w:kern w:val="0"/>
          <w:vertAlign w:val="superscript"/>
        </w:rPr>
        <w:t>[5]</w:t>
      </w:r>
      <w:r w:rsidR="00CD0E5C" w:rsidRPr="004865E7">
        <w:rPr>
          <w:rFonts w:ascii="Book Antiqua" w:hAnsi="Book Antiqua" w:cs="Times"/>
          <w:kern w:val="0"/>
        </w:rPr>
        <w:t>,</w:t>
      </w:r>
      <w:r w:rsidRPr="004865E7">
        <w:rPr>
          <w:rFonts w:ascii="Book Antiqua" w:hAnsi="Book Antiqua" w:cs="Times"/>
          <w:kern w:val="0"/>
        </w:rPr>
        <w:t xml:space="preserve"> compared the endoscopic and histological diagnosis of gastric atrophy in patients in the </w:t>
      </w:r>
      <w:r w:rsidR="00CF6DA1">
        <w:rPr>
          <w:rFonts w:ascii="Book Antiqua" w:hAnsi="Book Antiqua" w:cs="Times"/>
          <w:kern w:val="0"/>
        </w:rPr>
        <w:t>United Kingdom</w:t>
      </w:r>
      <w:r w:rsidR="00CF6DA1" w:rsidRPr="004865E7">
        <w:rPr>
          <w:rFonts w:ascii="Book Antiqua" w:hAnsi="Book Antiqua" w:cs="Times"/>
          <w:kern w:val="0"/>
        </w:rPr>
        <w:t xml:space="preserve"> </w:t>
      </w:r>
      <w:r w:rsidR="00CF6DA1">
        <w:rPr>
          <w:rFonts w:ascii="Book Antiqua" w:eastAsia="SimSun" w:hAnsi="Book Antiqua" w:cs="Times" w:hint="eastAsia"/>
          <w:kern w:val="0"/>
          <w:lang w:eastAsia="zh-CN"/>
        </w:rPr>
        <w:t>(</w:t>
      </w:r>
      <w:r w:rsidRPr="004865E7">
        <w:rPr>
          <w:rFonts w:ascii="Book Antiqua" w:hAnsi="Book Antiqua" w:cs="Times"/>
          <w:kern w:val="0"/>
        </w:rPr>
        <w:t>UK</w:t>
      </w:r>
      <w:r w:rsidR="00CF6DA1">
        <w:rPr>
          <w:rFonts w:ascii="Book Antiqua" w:eastAsia="SimSun" w:hAnsi="Book Antiqua" w:cs="Times" w:hint="eastAsia"/>
          <w:kern w:val="0"/>
          <w:lang w:eastAsia="zh-CN"/>
        </w:rPr>
        <w:t>)</w:t>
      </w:r>
      <w:r w:rsidRPr="004865E7">
        <w:rPr>
          <w:rFonts w:ascii="Book Antiqua" w:hAnsi="Book Antiqua" w:cs="Times"/>
          <w:kern w:val="0"/>
        </w:rPr>
        <w:t xml:space="preserve"> and Japan. Endoscopic atrophy, determined using the Kimura–Takemoto classification system, was compared with histological atrophy, determined using the updated Sydney classification system. </w:t>
      </w:r>
    </w:p>
    <w:p w14:paraId="5EF0AF9B"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528DA56C" w14:textId="77777777" w:rsidR="002C16E4" w:rsidRPr="004865E7" w:rsidRDefault="00246C01" w:rsidP="00FA3CB2">
      <w:pPr>
        <w:pStyle w:val="Heading1"/>
        <w:snapToGrid w:val="0"/>
        <w:spacing w:after="0"/>
        <w:jc w:val="both"/>
        <w:rPr>
          <w:rFonts w:ascii="Book Antiqua" w:hAnsi="Book Antiqua"/>
          <w:szCs w:val="24"/>
        </w:rPr>
      </w:pPr>
      <w:r w:rsidRPr="004865E7">
        <w:rPr>
          <w:rFonts w:ascii="Book Antiqua" w:hAnsi="Book Antiqua"/>
          <w:bCs/>
          <w:szCs w:val="24"/>
        </w:rPr>
        <w:t>MATERIALS AND METHODS</w:t>
      </w:r>
    </w:p>
    <w:p w14:paraId="1F101174" w14:textId="633D9776"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 xml:space="preserve">Study </w:t>
      </w:r>
      <w:r w:rsidR="006D6192" w:rsidRPr="004865E7">
        <w:rPr>
          <w:rFonts w:ascii="Book Antiqua" w:hAnsi="Book Antiqua"/>
          <w:i/>
          <w:szCs w:val="24"/>
        </w:rPr>
        <w:t>population</w:t>
      </w:r>
    </w:p>
    <w:p w14:paraId="467A5439" w14:textId="2CB7D419"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The study was performed at Leeds General Infirmary in the UK and the National Cancer Centre Hospital in Tokyo, Japan. The data were from a cross sectional, cluster sampling stud</w:t>
      </w:r>
      <w:r w:rsidR="006D6192" w:rsidRPr="004865E7">
        <w:rPr>
          <w:rFonts w:ascii="Book Antiqua" w:hAnsi="Book Antiqua" w:cs="Times"/>
          <w:kern w:val="0"/>
        </w:rPr>
        <w:t>y of patients</w:t>
      </w:r>
      <w:r w:rsidRPr="004865E7">
        <w:rPr>
          <w:rFonts w:ascii="Book Antiqua" w:hAnsi="Book Antiqua" w:cs="Times"/>
          <w:kern w:val="0"/>
          <w:vertAlign w:val="superscript"/>
        </w:rPr>
        <w:t>[5]</w:t>
      </w:r>
      <w:r w:rsidRPr="004865E7">
        <w:rPr>
          <w:rFonts w:ascii="Book Antiqua" w:hAnsi="Book Antiqua" w:cs="Times"/>
          <w:kern w:val="0"/>
        </w:rPr>
        <w:t xml:space="preserve">, and were used as a historical </w:t>
      </w:r>
      <w:r w:rsidR="00CD0E5C" w:rsidRPr="004865E7">
        <w:rPr>
          <w:rFonts w:ascii="Book Antiqua" w:hAnsi="Book Antiqua" w:cs="Times"/>
          <w:kern w:val="0"/>
        </w:rPr>
        <w:t>study</w:t>
      </w:r>
      <w:r w:rsidRPr="004865E7">
        <w:rPr>
          <w:rFonts w:ascii="Book Antiqua" w:hAnsi="Book Antiqua" w:cs="Times"/>
          <w:kern w:val="0"/>
        </w:rPr>
        <w:t xml:space="preserve">. Twenty-one patients in each 10-year age group from 20 to 80 years were recruited in both Leeds and Tokyo between May 2000 and April 2002. Other inclusion criteria were epigastric pain as the predominant symptom and no endoscopic evidence of reflux esophagitis, peptic ulcer disease, or malignancy. Patients were excluded if they had received </w:t>
      </w:r>
      <w:r w:rsidRPr="004865E7">
        <w:rPr>
          <w:rFonts w:ascii="Book Antiqua" w:hAnsi="Book Antiqua" w:cs="Times"/>
          <w:i/>
          <w:kern w:val="0"/>
        </w:rPr>
        <w:t>H. pylori</w:t>
      </w:r>
      <w:r w:rsidRPr="004865E7">
        <w:rPr>
          <w:rFonts w:ascii="Book Antiqua" w:hAnsi="Book Antiqua" w:cs="Times"/>
          <w:kern w:val="0"/>
        </w:rPr>
        <w:t xml:space="preserve"> eradication therapy in the past; had been treated with any non-steroidal anti-inflammatory drug, proton pump inhibitor, antibiotic, or bismuth-containing compound during the previous 2 </w:t>
      </w:r>
      <w:r w:rsidR="006D6192" w:rsidRPr="004865E7">
        <w:rPr>
          <w:rFonts w:ascii="Book Antiqua" w:eastAsia="SimSun" w:hAnsi="Book Antiqua" w:cs="Times" w:hint="eastAsia"/>
          <w:kern w:val="0"/>
          <w:lang w:eastAsia="zh-CN"/>
        </w:rPr>
        <w:t>wk</w:t>
      </w:r>
      <w:r w:rsidRPr="004865E7">
        <w:rPr>
          <w:rFonts w:ascii="Book Antiqua" w:hAnsi="Book Antiqua" w:cs="Times"/>
          <w:kern w:val="0"/>
        </w:rPr>
        <w:t xml:space="preserve">; or had received H2 receptor antagonists in the previous 2 </w:t>
      </w:r>
      <w:r w:rsidR="006D6192" w:rsidRPr="004865E7">
        <w:rPr>
          <w:rFonts w:ascii="Book Antiqua" w:eastAsia="SimSun" w:hAnsi="Book Antiqua" w:cs="Times" w:hint="eastAsia"/>
          <w:kern w:val="0"/>
          <w:lang w:eastAsia="zh-CN"/>
        </w:rPr>
        <w:t>d</w:t>
      </w:r>
      <w:r w:rsidRPr="004865E7">
        <w:rPr>
          <w:rFonts w:ascii="Book Antiqua" w:hAnsi="Book Antiqua" w:cs="Times"/>
          <w:kern w:val="0"/>
        </w:rPr>
        <w:t xml:space="preserve">. </w:t>
      </w:r>
    </w:p>
    <w:p w14:paraId="5DFDFAAD" w14:textId="361A3296" w:rsidR="002C16E4" w:rsidRPr="004865E7" w:rsidRDefault="002C16E4" w:rsidP="006D6192">
      <w:pPr>
        <w:widowControl/>
        <w:autoSpaceDE w:val="0"/>
        <w:autoSpaceDN w:val="0"/>
        <w:adjustRightInd w:val="0"/>
        <w:snapToGrid w:val="0"/>
        <w:spacing w:line="360" w:lineRule="auto"/>
        <w:ind w:firstLineChars="100" w:firstLine="240"/>
        <w:rPr>
          <w:rFonts w:ascii="Book Antiqua" w:eastAsia="SimSun" w:hAnsi="Book Antiqua" w:cs="Times"/>
          <w:kern w:val="0"/>
          <w:lang w:eastAsia="zh-CN"/>
        </w:rPr>
      </w:pPr>
      <w:r w:rsidRPr="004865E7">
        <w:rPr>
          <w:rFonts w:ascii="Book Antiqua" w:hAnsi="Book Antiqua" w:cs="Times"/>
          <w:kern w:val="0"/>
        </w:rPr>
        <w:t xml:space="preserve">Three endoscopists (T Gotoda in Tokyo and L Gatta and G Naylor in Leeds) trained together for 2 </w:t>
      </w:r>
      <w:r w:rsidR="006D6192" w:rsidRPr="004865E7">
        <w:rPr>
          <w:rFonts w:ascii="Book Antiqua" w:eastAsia="SimSun" w:hAnsi="Book Antiqua" w:cs="Times" w:hint="eastAsia"/>
          <w:kern w:val="0"/>
          <w:lang w:eastAsia="zh-CN"/>
        </w:rPr>
        <w:t>mo</w:t>
      </w:r>
      <w:r w:rsidRPr="004865E7">
        <w:rPr>
          <w:rFonts w:ascii="Book Antiqua" w:hAnsi="Book Antiqua" w:cs="Times"/>
          <w:kern w:val="0"/>
        </w:rPr>
        <w:t xml:space="preserve"> to ensure standardization of patient selection, recruitment, biopsy sites, processing of histological and microbiological specimens, blood sampling, and storage. The study protocol was approved by the local ethics committees, and all patients provided written informed consent.</w:t>
      </w:r>
    </w:p>
    <w:p w14:paraId="23507BCE" w14:textId="77777777" w:rsidR="006D6192" w:rsidRPr="004865E7" w:rsidRDefault="006D6192" w:rsidP="006D6192">
      <w:pPr>
        <w:widowControl/>
        <w:autoSpaceDE w:val="0"/>
        <w:autoSpaceDN w:val="0"/>
        <w:adjustRightInd w:val="0"/>
        <w:snapToGrid w:val="0"/>
        <w:spacing w:line="360" w:lineRule="auto"/>
        <w:ind w:firstLineChars="100" w:firstLine="240"/>
        <w:rPr>
          <w:rFonts w:ascii="Book Antiqua" w:eastAsia="SimSun" w:hAnsi="Book Antiqua" w:cs="Times"/>
          <w:kern w:val="0"/>
          <w:lang w:eastAsia="zh-CN"/>
        </w:rPr>
      </w:pPr>
    </w:p>
    <w:p w14:paraId="7386B53B" w14:textId="77777777"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Histology</w:t>
      </w:r>
    </w:p>
    <w:p w14:paraId="11E39857" w14:textId="66A4B560"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lastRenderedPageBreak/>
        <w:t>Biopsy samples were obtained using standard endoscopy biopsy forceps from the five sites specified in the updated Sydney system (</w:t>
      </w:r>
      <w:r w:rsidR="006D6192" w:rsidRPr="004865E7">
        <w:rPr>
          <w:rFonts w:ascii="Book Antiqua" w:hAnsi="Book Antiqua" w:cs="Times"/>
          <w:kern w:val="0"/>
        </w:rPr>
        <w:t>Figure</w:t>
      </w:r>
      <w:r w:rsidRPr="004865E7">
        <w:rPr>
          <w:rFonts w:ascii="Book Antiqua" w:hAnsi="Book Antiqua" w:cs="Times"/>
          <w:kern w:val="0"/>
        </w:rPr>
        <w:t xml:space="preserve"> 1). Each tissue sample was placed in a separate bottle of 10% formalin and embedded in paraffin for sectioning. Sections were staine</w:t>
      </w:r>
      <w:r w:rsidR="006D6192" w:rsidRPr="004865E7">
        <w:rPr>
          <w:rFonts w:ascii="Book Antiqua" w:hAnsi="Book Antiqua" w:cs="Times"/>
          <w:kern w:val="0"/>
        </w:rPr>
        <w:t>d with hematoxylin and eosin (H</w:t>
      </w:r>
      <w:r w:rsidRPr="004865E7">
        <w:rPr>
          <w:rFonts w:ascii="Book Antiqua" w:hAnsi="Book Antiqua" w:cs="Times"/>
          <w:kern w:val="0"/>
        </w:rPr>
        <w:t>E) and evaluated. In this study, results diagnosed by one super-expert histopathologist in Leeds were considered histological atrophy. The pathologist was blinded to the age and sex of the subjects. The graded features were scored according to the updated Sydney system for atrophy. Patients were considered positive for histological atrophy if the score was mild, moderate or marked in each location.</w:t>
      </w:r>
    </w:p>
    <w:p w14:paraId="6357F77A"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40BDF42A" w14:textId="614F0E4B"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 xml:space="preserve">Endoscopy </w:t>
      </w:r>
      <w:r w:rsidR="006D6192" w:rsidRPr="004865E7">
        <w:rPr>
          <w:rFonts w:ascii="Book Antiqua" w:hAnsi="Book Antiqua"/>
          <w:i/>
          <w:szCs w:val="24"/>
        </w:rPr>
        <w:t>examination</w:t>
      </w:r>
    </w:p>
    <w:p w14:paraId="524CB7DD" w14:textId="70567576"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Endoscopies were performed by the three previously described experienced endoscopists using GIF-Q240 conventional gastroscopes (Olympus Co., Tokyo, Japan). Atrophic features included discoloration of the mucosa, greater visibility of a submucosal vascular pattern due to thinning of the mucosa, uneven surfaces and fold disappearance. The border between atrophic and non-atrophic mucosa was defined endoscopically by differences in the color and height of the gastric mucosa. This atrophic border has been confirmed by assessments of sequential biopsy specimens</w:t>
      </w:r>
      <w:r w:rsidRPr="004865E7">
        <w:rPr>
          <w:rFonts w:ascii="Book Antiqua" w:hAnsi="Book Antiqua" w:cs="Times"/>
          <w:kern w:val="0"/>
          <w:vertAlign w:val="superscript"/>
        </w:rPr>
        <w:t>[6]</w:t>
      </w:r>
      <w:r w:rsidR="00CD0E5C" w:rsidRPr="004865E7">
        <w:rPr>
          <w:rFonts w:ascii="Book Antiqua" w:hAnsi="Book Antiqua" w:cs="Times"/>
          <w:kern w:val="0"/>
        </w:rPr>
        <w:t>.</w:t>
      </w:r>
      <w:r w:rsidRPr="004865E7">
        <w:rPr>
          <w:rFonts w:ascii="Book Antiqua" w:hAnsi="Book Antiqua" w:cs="Times"/>
          <w:kern w:val="0"/>
        </w:rPr>
        <w:t xml:space="preserve"> </w:t>
      </w:r>
    </w:p>
    <w:p w14:paraId="6436737F" w14:textId="15D439C1"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The atrophic border crosses the angulus on the lesser curvature in the C-1 pattern, the lower and middle parts of the corpus in the C-2 pattern, and the upper part of the corpus in the C-3 pattern (</w:t>
      </w:r>
      <w:r w:rsidR="006D6192" w:rsidRPr="004865E7">
        <w:rPr>
          <w:rFonts w:ascii="Book Antiqua" w:hAnsi="Book Antiqua" w:cs="Times"/>
          <w:kern w:val="0"/>
        </w:rPr>
        <w:t>Figure</w:t>
      </w:r>
      <w:r w:rsidRPr="004865E7">
        <w:rPr>
          <w:rFonts w:ascii="Book Antiqua" w:hAnsi="Book Antiqua" w:cs="Times"/>
          <w:kern w:val="0"/>
        </w:rPr>
        <w:t xml:space="preserve"> 2). The atrophic border, which is parallel to the vertical axis of the stomach, is on the lesser curvature in the O-1 pattern, on the anterior and posterior walls in the O-2 pattern, and on the greater curvature in the O-3 pattern. The C-1 pattern represents highly localized antral atrophy, with subsequent lines representing increasing extension through the lesser and greater curvatures. The O-3 pattern represents extensive atrophy, affecting almost the entire stomach. </w:t>
      </w:r>
    </w:p>
    <w:p w14:paraId="17F9C3A7" w14:textId="77777777" w:rsidR="002C16E4" w:rsidRPr="004865E7" w:rsidRDefault="002C16E4" w:rsidP="00FA3CB2">
      <w:pPr>
        <w:widowControl/>
        <w:autoSpaceDE w:val="0"/>
        <w:autoSpaceDN w:val="0"/>
        <w:adjustRightInd w:val="0"/>
        <w:snapToGrid w:val="0"/>
        <w:spacing w:line="360" w:lineRule="auto"/>
        <w:rPr>
          <w:rFonts w:ascii="Book Antiqua" w:hAnsi="Book Antiqua" w:cs="Lucida Grande"/>
        </w:rPr>
      </w:pPr>
    </w:p>
    <w:p w14:paraId="63D3A273" w14:textId="23535B73" w:rsidR="002C16E4" w:rsidRPr="004865E7" w:rsidRDefault="002C16E4" w:rsidP="00FA3CB2">
      <w:pPr>
        <w:pStyle w:val="Heading2"/>
        <w:snapToGrid w:val="0"/>
        <w:spacing w:after="0"/>
        <w:jc w:val="both"/>
        <w:rPr>
          <w:rFonts w:ascii="Book Antiqua" w:hAnsi="Book Antiqua"/>
          <w:b w:val="0"/>
          <w:szCs w:val="24"/>
        </w:rPr>
      </w:pPr>
      <w:r w:rsidRPr="004865E7">
        <w:rPr>
          <w:rFonts w:ascii="Book Antiqua" w:hAnsi="Book Antiqua"/>
          <w:i/>
          <w:szCs w:val="24"/>
        </w:rPr>
        <w:t xml:space="preserve">Definition of </w:t>
      </w:r>
      <w:r w:rsidR="006D6192" w:rsidRPr="004865E7">
        <w:rPr>
          <w:rFonts w:ascii="Book Antiqua" w:hAnsi="Book Antiqua"/>
          <w:i/>
          <w:szCs w:val="24"/>
        </w:rPr>
        <w:t>concordance</w:t>
      </w:r>
      <w:r w:rsidR="006D6192" w:rsidRPr="004865E7">
        <w:rPr>
          <w:rFonts w:ascii="Book Antiqua" w:hAnsi="Book Antiqua"/>
          <w:b w:val="0"/>
          <w:szCs w:val="24"/>
        </w:rPr>
        <w:t xml:space="preserve"> </w:t>
      </w:r>
    </w:p>
    <w:p w14:paraId="490C0C3D" w14:textId="34004732"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The endoscopic findings of the extent of atrophy were compared with the histological findings of glandular atrophy at five biopsy sites (</w:t>
      </w:r>
      <w:r w:rsidR="006D6192" w:rsidRPr="004865E7">
        <w:rPr>
          <w:rFonts w:ascii="Book Antiqua" w:hAnsi="Book Antiqua" w:cs="Times"/>
          <w:kern w:val="0"/>
        </w:rPr>
        <w:t>Figure</w:t>
      </w:r>
      <w:r w:rsidRPr="004865E7">
        <w:rPr>
          <w:rFonts w:ascii="Book Antiqua" w:hAnsi="Book Antiqua" w:cs="Times"/>
          <w:kern w:val="0"/>
        </w:rPr>
        <w:t xml:space="preserve"> 1). To compare the extent of atrophy strictly, both classifications were modified to five grades according to definitions of those anatomical locations. Histological grading was scored as 1, none; 2, antrum (site 1 and/or 2); 3, angulus (up to site 3); 4, the middle body of the lesser curvature (up to site 4) and 5, the middle body of the greater curvature (up to site 5). Endoscopic atrophic grading according to the modified Kimura–Takemoto classification was scored as 1, none; 2; antral (C-1); 3, antral predominant (C-2); 4, corpus predominant (C-3, O-1, O-2) and 5, pan-atrophy (O-3) (</w:t>
      </w:r>
      <w:r w:rsidR="006D6192" w:rsidRPr="004865E7">
        <w:rPr>
          <w:rFonts w:ascii="Book Antiqua" w:hAnsi="Book Antiqua" w:cs="Times"/>
          <w:kern w:val="0"/>
        </w:rPr>
        <w:t>Figure</w:t>
      </w:r>
      <w:r w:rsidRPr="004865E7">
        <w:rPr>
          <w:rFonts w:ascii="Book Antiqua" w:hAnsi="Book Antiqua" w:cs="Times"/>
          <w:kern w:val="0"/>
        </w:rPr>
        <w:t xml:space="preserve"> 3). </w:t>
      </w:r>
    </w:p>
    <w:p w14:paraId="6E3E60AA" w14:textId="3FE515D8"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Inasmuch as extensive atrophy is associated with a much higher cancer risk than limited atrophy</w:t>
      </w:r>
      <w:r w:rsidRPr="004865E7">
        <w:rPr>
          <w:rFonts w:ascii="Book Antiqua" w:hAnsi="Book Antiqua" w:cs="Times"/>
          <w:kern w:val="0"/>
          <w:vertAlign w:val="superscript"/>
        </w:rPr>
        <w:t>[4]</w:t>
      </w:r>
      <w:r w:rsidR="00CD0E5C" w:rsidRPr="004865E7">
        <w:rPr>
          <w:rFonts w:ascii="Book Antiqua" w:hAnsi="Book Antiqua" w:cs="Times"/>
          <w:kern w:val="0"/>
        </w:rPr>
        <w:t>,</w:t>
      </w:r>
      <w:r w:rsidRPr="004865E7">
        <w:rPr>
          <w:rFonts w:ascii="Book Antiqua" w:hAnsi="Book Antiqua" w:cs="Times"/>
          <w:kern w:val="0"/>
        </w:rPr>
        <w:t xml:space="preserve"> the Kimura–Takemoto classification was simplified to three grades of cancer risk oriented atrophy as: normal (no atrophy), limited atrophy (antral and antral predominant atrophy; C-1, C-2) and extended atrophy (corpus predominant and pan-atrophy; C-3, O-1, O-2, O-3).</w:t>
      </w:r>
    </w:p>
    <w:p w14:paraId="6A0F5829"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Concordance was defined as matching of endoscopic and histologic grades, with all other findings defined as discordance.</w:t>
      </w:r>
    </w:p>
    <w:p w14:paraId="69B60737"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073FBF85" w14:textId="00759673"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 xml:space="preserve">Serum </w:t>
      </w:r>
      <w:r w:rsidR="006D6192" w:rsidRPr="004865E7">
        <w:rPr>
          <w:rFonts w:ascii="Book Antiqua" w:hAnsi="Book Antiqua"/>
          <w:i/>
          <w:szCs w:val="24"/>
        </w:rPr>
        <w:t>pepsinogen levels</w:t>
      </w:r>
    </w:p>
    <w:p w14:paraId="33A3126E" w14:textId="7D5B9E74"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Fasting serum was collected from all subjects. The samples were centrifuged immediately at 4</w:t>
      </w:r>
      <w:r w:rsidR="006D6192" w:rsidRPr="004865E7">
        <w:rPr>
          <w:rFonts w:ascii="Book Antiqua" w:eastAsia="SimSun" w:hAnsi="Book Antiqua" w:cs="Times" w:hint="eastAsia"/>
          <w:kern w:val="0"/>
          <w:lang w:eastAsia="zh-CN"/>
        </w:rPr>
        <w:t xml:space="preserve"> </w:t>
      </w:r>
      <w:r w:rsidRPr="004865E7">
        <w:rPr>
          <w:rFonts w:ascii="Book Antiqua" w:hAnsi="Book Antiqua" w:cs="Times"/>
          <w:kern w:val="0"/>
        </w:rPr>
        <w:t>°C and serum stored at −70</w:t>
      </w:r>
      <w:r w:rsidR="006D6192" w:rsidRPr="004865E7">
        <w:rPr>
          <w:rFonts w:ascii="Book Antiqua" w:eastAsia="SimSun" w:hAnsi="Book Antiqua" w:cs="Times" w:hint="eastAsia"/>
          <w:kern w:val="0"/>
          <w:lang w:eastAsia="zh-CN"/>
        </w:rPr>
        <w:t xml:space="preserve"> </w:t>
      </w:r>
      <w:r w:rsidRPr="004865E7">
        <w:rPr>
          <w:rFonts w:ascii="Book Antiqua" w:hAnsi="Book Antiqua" w:cs="Times"/>
          <w:kern w:val="0"/>
        </w:rPr>
        <w:t>°C until used. Serum concentrations of pepsinogen (PG) I and II were measured using a latex-enhanced turbidimetric immunoassay, and the PG I to PG II ratios (PG I/II) were calculated.</w:t>
      </w:r>
    </w:p>
    <w:p w14:paraId="1206D9E2"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BE1775D" w14:textId="77777777"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Helicobacter pylori</w:t>
      </w:r>
    </w:p>
    <w:p w14:paraId="03ACF079"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lastRenderedPageBreak/>
        <w:t xml:space="preserve">Serum samples from all patients were tested by enzyme linked immunosorbent assay for the presence and concentration of IgG antibodies to </w:t>
      </w:r>
      <w:r w:rsidRPr="004865E7">
        <w:rPr>
          <w:rFonts w:ascii="Book Antiqua" w:hAnsi="Book Antiqua" w:cs="Times"/>
          <w:i/>
          <w:kern w:val="0"/>
        </w:rPr>
        <w:t>H. pylori</w:t>
      </w:r>
      <w:r w:rsidRPr="004865E7">
        <w:rPr>
          <w:rFonts w:ascii="Book Antiqua" w:hAnsi="Book Antiqua" w:cs="Times"/>
          <w:kern w:val="0"/>
        </w:rPr>
        <w:t xml:space="preserve"> (HM-CAP; Enteric Products Inc., Westbury, NY). A concentration ≥1.8 was defined as positive (sensitivity 98.7%, specificity 100%).</w:t>
      </w:r>
    </w:p>
    <w:p w14:paraId="1C920297"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87A09EA" w14:textId="0D47A219"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 xml:space="preserve">Statistical </w:t>
      </w:r>
      <w:r w:rsidR="006D6192" w:rsidRPr="004865E7">
        <w:rPr>
          <w:rFonts w:ascii="Book Antiqua" w:hAnsi="Book Antiqua"/>
          <w:i/>
          <w:szCs w:val="24"/>
        </w:rPr>
        <w:t>analysis</w:t>
      </w:r>
    </w:p>
    <w:p w14:paraId="6CDB0C2E" w14:textId="1EFB73ED" w:rsidR="002C16E4" w:rsidRPr="004865E7" w:rsidRDefault="002C16E4"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kern w:val="0"/>
        </w:rPr>
        <w:t xml:space="preserve">Analyses were performed with </w:t>
      </w:r>
      <w:r w:rsidR="00D820C6" w:rsidRPr="004865E7">
        <w:rPr>
          <w:rFonts w:ascii="Book Antiqua" w:hAnsi="Book Antiqua" w:cs="Times"/>
          <w:kern w:val="0"/>
        </w:rPr>
        <w:t xml:space="preserve">Microsoft Office Exel spreadsheet and </w:t>
      </w:r>
      <w:r w:rsidRPr="004865E7">
        <w:rPr>
          <w:rFonts w:ascii="Book Antiqua" w:hAnsi="Book Antiqua" w:cs="Times"/>
          <w:kern w:val="0"/>
        </w:rPr>
        <w:t xml:space="preserve">SPSS software, version 22 (SPSS Inc, Chicago, IL). Chi-squared tests and t tests were used to evaluate endoscopic, histological, and serological parameters in patients with gastric atrophy. Agreement between endoscopic and histologic evaluations of the grade of gastric atrophy was assessed by determining the weighted kappa value. Factors associated with extensive atrophy were estimated by univariate logistic regression analysis. Covariates showing a significant association with extensive atrophy by the </w:t>
      </w:r>
      <w:r w:rsidR="006D6192" w:rsidRPr="004865E7">
        <w:rPr>
          <w:rFonts w:ascii="Book Antiqua" w:hAnsi="Book Antiqua" w:cs="Times"/>
          <w:kern w:val="0"/>
        </w:rPr>
        <w:t>χ</w:t>
      </w:r>
      <w:r w:rsidR="006D6192" w:rsidRPr="004865E7">
        <w:rPr>
          <w:rFonts w:ascii="Book Antiqua" w:eastAsia="SimSun" w:hAnsi="Book Antiqua" w:cs="Times" w:hint="eastAsia"/>
          <w:kern w:val="0"/>
          <w:vertAlign w:val="superscript"/>
          <w:lang w:eastAsia="zh-CN"/>
        </w:rPr>
        <w:t>2</w:t>
      </w:r>
      <w:r w:rsidRPr="004865E7">
        <w:rPr>
          <w:rFonts w:ascii="Book Antiqua" w:hAnsi="Book Antiqua" w:cs="Times"/>
          <w:kern w:val="0"/>
        </w:rPr>
        <w:t xml:space="preserve"> or </w:t>
      </w:r>
      <w:r w:rsidRPr="004865E7">
        <w:rPr>
          <w:rFonts w:ascii="Book Antiqua" w:hAnsi="Book Antiqua" w:cs="Times"/>
          <w:i/>
          <w:kern w:val="0"/>
        </w:rPr>
        <w:t>t</w:t>
      </w:r>
      <w:r w:rsidRPr="004865E7">
        <w:rPr>
          <w:rFonts w:ascii="Book Antiqua" w:hAnsi="Book Antiqua" w:cs="Times"/>
          <w:kern w:val="0"/>
        </w:rPr>
        <w:t xml:space="preserve"> test were included in multiple logistic regression analyses. A </w:t>
      </w:r>
      <w:r w:rsidR="006D6192" w:rsidRPr="004865E7">
        <w:rPr>
          <w:rFonts w:ascii="Book Antiqua" w:hAnsi="Book Antiqua" w:cs="Times"/>
          <w:i/>
          <w:kern w:val="0"/>
        </w:rPr>
        <w:t xml:space="preserve">P </w:t>
      </w:r>
      <w:r w:rsidRPr="004865E7">
        <w:rPr>
          <w:rFonts w:ascii="Book Antiqua" w:hAnsi="Book Antiqua" w:cs="Times"/>
          <w:kern w:val="0"/>
        </w:rPr>
        <w:t>value &lt;</w:t>
      </w:r>
      <w:r w:rsidR="006D6192" w:rsidRPr="004865E7">
        <w:rPr>
          <w:rFonts w:ascii="Book Antiqua" w:eastAsia="SimSun" w:hAnsi="Book Antiqua" w:cs="Times" w:hint="eastAsia"/>
          <w:kern w:val="0"/>
          <w:lang w:eastAsia="zh-CN"/>
        </w:rPr>
        <w:t xml:space="preserve"> </w:t>
      </w:r>
      <w:r w:rsidRPr="004865E7">
        <w:rPr>
          <w:rFonts w:ascii="Book Antiqua" w:hAnsi="Book Antiqua" w:cs="Times"/>
          <w:kern w:val="0"/>
        </w:rPr>
        <w:t xml:space="preserve">0.05 was considered statistically significant. </w:t>
      </w:r>
    </w:p>
    <w:p w14:paraId="102246CB" w14:textId="77777777" w:rsidR="006D6192" w:rsidRPr="004865E7" w:rsidRDefault="006D6192" w:rsidP="00FA3CB2">
      <w:pPr>
        <w:widowControl/>
        <w:autoSpaceDE w:val="0"/>
        <w:autoSpaceDN w:val="0"/>
        <w:adjustRightInd w:val="0"/>
        <w:snapToGrid w:val="0"/>
        <w:spacing w:line="360" w:lineRule="auto"/>
        <w:rPr>
          <w:rFonts w:ascii="Book Antiqua" w:eastAsia="SimSun" w:hAnsi="Book Antiqua" w:cs="Times"/>
          <w:kern w:val="0"/>
          <w:lang w:eastAsia="zh-CN"/>
        </w:rPr>
      </w:pPr>
    </w:p>
    <w:p w14:paraId="2A6F2711" w14:textId="77777777" w:rsidR="002C16E4" w:rsidRPr="004865E7" w:rsidRDefault="002C16E4" w:rsidP="00FA3CB2">
      <w:pPr>
        <w:pStyle w:val="Heading1"/>
        <w:snapToGrid w:val="0"/>
        <w:spacing w:after="0"/>
        <w:jc w:val="both"/>
        <w:rPr>
          <w:rFonts w:ascii="Book Antiqua" w:hAnsi="Book Antiqua"/>
          <w:szCs w:val="24"/>
        </w:rPr>
      </w:pPr>
      <w:r w:rsidRPr="004865E7">
        <w:rPr>
          <w:rFonts w:ascii="Book Antiqua" w:hAnsi="Book Antiqua"/>
          <w:szCs w:val="24"/>
        </w:rPr>
        <w:t>Results</w:t>
      </w:r>
    </w:p>
    <w:p w14:paraId="053A6F73" w14:textId="74DB014D"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 xml:space="preserve">Demographic </w:t>
      </w:r>
      <w:r w:rsidR="006D6192" w:rsidRPr="004865E7">
        <w:rPr>
          <w:rFonts w:ascii="Book Antiqua" w:hAnsi="Book Antiqua"/>
          <w:i/>
          <w:szCs w:val="24"/>
        </w:rPr>
        <w:t>data</w:t>
      </w:r>
    </w:p>
    <w:p w14:paraId="2DD25210" w14:textId="1D857EEE"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A total of 252 patients aged 20 to 80 years were included in this study, including 126 patients from the UK and 126 from Japan. Mean (</w:t>
      </w:r>
      <w:r w:rsidR="00ED34B9" w:rsidRPr="004865E7">
        <w:rPr>
          <w:rFonts w:ascii="Book Antiqua" w:hAnsi="Book Antiqua" w:cs="Times"/>
          <w:kern w:val="0"/>
        </w:rPr>
        <w:t xml:space="preserve"> ±</w:t>
      </w:r>
      <w:r w:rsidR="00F743FC" w:rsidRPr="004865E7">
        <w:rPr>
          <w:rFonts w:ascii="Book Antiqua" w:hAnsi="Book Antiqua" w:cs="Times"/>
          <w:kern w:val="0"/>
        </w:rPr>
        <w:t xml:space="preserve"> </w:t>
      </w:r>
      <w:r w:rsidRPr="004865E7">
        <w:rPr>
          <w:rFonts w:ascii="Book Antiqua" w:hAnsi="Book Antiqua" w:cs="Times"/>
          <w:kern w:val="0"/>
        </w:rPr>
        <w:t>SD) patient age was 49.4 (</w:t>
      </w:r>
      <w:r w:rsidR="00ED34B9" w:rsidRPr="004865E7">
        <w:rPr>
          <w:rFonts w:ascii="Book Antiqua" w:hAnsi="Book Antiqua" w:cs="Times"/>
          <w:kern w:val="0"/>
        </w:rPr>
        <w:t xml:space="preserve"> ±</w:t>
      </w:r>
      <w:r w:rsidR="00F743FC" w:rsidRPr="004865E7">
        <w:rPr>
          <w:rFonts w:ascii="Book Antiqua" w:hAnsi="Book Antiqua" w:cs="Times"/>
          <w:kern w:val="0"/>
        </w:rPr>
        <w:t xml:space="preserve"> </w:t>
      </w:r>
      <w:r w:rsidRPr="004865E7">
        <w:rPr>
          <w:rFonts w:ascii="Book Antiqua" w:hAnsi="Book Antiqua" w:cs="Times"/>
          <w:kern w:val="0"/>
        </w:rPr>
        <w:t xml:space="preserve">16.9) years. Of these patients, 107 were male and 145 female; and 103 (40.9%) were serologically </w:t>
      </w:r>
      <w:r w:rsidRPr="004865E7">
        <w:rPr>
          <w:rFonts w:ascii="Book Antiqua" w:hAnsi="Book Antiqua" w:cs="Times"/>
          <w:i/>
          <w:kern w:val="0"/>
        </w:rPr>
        <w:t>H. pylori</w:t>
      </w:r>
      <w:r w:rsidRPr="004865E7">
        <w:rPr>
          <w:rFonts w:ascii="Book Antiqua" w:hAnsi="Book Antiqua" w:cs="Times"/>
          <w:kern w:val="0"/>
        </w:rPr>
        <w:t xml:space="preserve">-positive. The detailed characteristics of the two subgroups are shown in Table 1. </w:t>
      </w:r>
    </w:p>
    <w:p w14:paraId="78A30DFF"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eastAsia="SimSun" w:hAnsi="Book Antiqua" w:cs="Times"/>
          <w:kern w:val="0"/>
          <w:lang w:eastAsia="zh-CN"/>
        </w:rPr>
      </w:pPr>
      <w:r w:rsidRPr="004865E7">
        <w:rPr>
          <w:rFonts w:ascii="Book Antiqua" w:hAnsi="Book Antiqua" w:cs="Times"/>
          <w:kern w:val="0"/>
        </w:rPr>
        <w:t xml:space="preserve">There were significant differences between the groups from the UK and Japan, especially in the extent of atrophy. In the UK, only two patients (1.6%) were diagnosed histologically as having corpus atrophy, whereas, in Japan, 49 of 126 (38.9%) patients had corpus atrophy. Fifty-six (44.4%) patients in the UK and 38 (30.2%) in Japan showed no evidence of histological atrophy. </w:t>
      </w:r>
    </w:p>
    <w:p w14:paraId="25C9FDCC" w14:textId="77777777" w:rsidR="006D6192" w:rsidRPr="004865E7" w:rsidRDefault="006D6192" w:rsidP="006D6192">
      <w:pPr>
        <w:widowControl/>
        <w:autoSpaceDE w:val="0"/>
        <w:autoSpaceDN w:val="0"/>
        <w:adjustRightInd w:val="0"/>
        <w:snapToGrid w:val="0"/>
        <w:spacing w:line="360" w:lineRule="auto"/>
        <w:ind w:firstLineChars="100" w:firstLine="240"/>
        <w:rPr>
          <w:rFonts w:ascii="Book Antiqua" w:eastAsia="SimSun" w:hAnsi="Book Antiqua" w:cs="Times"/>
          <w:kern w:val="0"/>
          <w:lang w:eastAsia="zh-CN"/>
        </w:rPr>
      </w:pPr>
    </w:p>
    <w:p w14:paraId="225CD5D7" w14:textId="5C65233A" w:rsidR="002C16E4" w:rsidRPr="004865E7" w:rsidRDefault="006D6192" w:rsidP="00FA3CB2">
      <w:pPr>
        <w:pStyle w:val="Heading2"/>
        <w:snapToGrid w:val="0"/>
        <w:spacing w:after="0"/>
        <w:jc w:val="both"/>
        <w:rPr>
          <w:rFonts w:ascii="Book Antiqua" w:hAnsi="Book Antiqua"/>
          <w:i/>
          <w:szCs w:val="24"/>
        </w:rPr>
      </w:pPr>
      <w:r w:rsidRPr="004865E7">
        <w:rPr>
          <w:rFonts w:ascii="Book Antiqua" w:hAnsi="Book Antiqua"/>
          <w:i/>
          <w:szCs w:val="24"/>
        </w:rPr>
        <w:t>Concordance between endoscopic and histological atrophy</w:t>
      </w:r>
    </w:p>
    <w:p w14:paraId="5E8469A7" w14:textId="15CDC31E"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 xml:space="preserve">Table 2 shows comparisons between endoscopic and histological atrophy scores. Of the 252 patients, 176 (69.8%) showed complete concordance. The strength of agreement between the modified Kimura–Takemoto classification and histological atrophy, as defined by the updated Sydney system, showed good reproducibility, with a weighted kappa value of 0.76 </w:t>
      </w:r>
      <w:r w:rsidR="006D6192" w:rsidRPr="004865E7">
        <w:rPr>
          <w:rFonts w:ascii="Book Antiqua" w:eastAsia="SimSun" w:hAnsi="Book Antiqua" w:cs="Times" w:hint="eastAsia"/>
          <w:kern w:val="0"/>
          <w:lang w:eastAsia="zh-CN"/>
        </w:rPr>
        <w:t>[</w:t>
      </w:r>
      <w:r w:rsidRPr="004865E7">
        <w:rPr>
          <w:rFonts w:ascii="Book Antiqua" w:hAnsi="Book Antiqua" w:cs="Times"/>
          <w:kern w:val="0"/>
        </w:rPr>
        <w:t xml:space="preserve">95% confidence interval </w:t>
      </w:r>
      <w:r w:rsidR="006D6192" w:rsidRPr="004865E7">
        <w:rPr>
          <w:rFonts w:ascii="Book Antiqua" w:eastAsia="SimSun" w:hAnsi="Book Antiqua" w:cs="Times" w:hint="eastAsia"/>
          <w:kern w:val="0"/>
          <w:lang w:eastAsia="zh-CN"/>
        </w:rPr>
        <w:t>(</w:t>
      </w:r>
      <w:r w:rsidRPr="004865E7">
        <w:rPr>
          <w:rFonts w:ascii="Book Antiqua" w:hAnsi="Book Antiqua" w:cs="Times"/>
          <w:kern w:val="0"/>
        </w:rPr>
        <w:t>CI</w:t>
      </w:r>
      <w:r w:rsidR="006D6192" w:rsidRPr="004865E7">
        <w:rPr>
          <w:rFonts w:ascii="Book Antiqua" w:eastAsia="SimSun" w:hAnsi="Book Antiqua" w:cs="Times" w:hint="eastAsia"/>
          <w:kern w:val="0"/>
          <w:lang w:eastAsia="zh-CN"/>
        </w:rPr>
        <w:t>)</w:t>
      </w:r>
      <w:r w:rsidRPr="004865E7">
        <w:rPr>
          <w:rFonts w:ascii="Book Antiqua" w:hAnsi="Book Antiqua" w:cs="Times"/>
          <w:kern w:val="0"/>
        </w:rPr>
        <w:t xml:space="preserve"> 0.71–0.80</w:t>
      </w:r>
      <w:r w:rsidR="006D6192" w:rsidRPr="004865E7">
        <w:rPr>
          <w:rFonts w:ascii="Book Antiqua" w:eastAsia="SimSun" w:hAnsi="Book Antiqua" w:cs="Times" w:hint="eastAsia"/>
          <w:kern w:val="0"/>
          <w:lang w:eastAsia="zh-CN"/>
        </w:rPr>
        <w:t>]</w:t>
      </w:r>
      <w:r w:rsidRPr="004865E7">
        <w:rPr>
          <w:rFonts w:ascii="Book Antiqua" w:hAnsi="Book Antiqua" w:cs="Times"/>
          <w:kern w:val="0"/>
        </w:rPr>
        <w:t>.</w:t>
      </w:r>
    </w:p>
    <w:p w14:paraId="18D60FA0"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A total of 76 patients were endoscopically misdiagnosed, including 37 (14.7%) who were over-diagnosed and 39 (15.5%) who were under-diagnosed. Of the 24 patients histologically diagnosed with atrophy in the middle of the body of the greater curvature, 21 (87.5%) were under-diagnosed endoscopically. Moreover, 15 of 94 (16.0%) patients without histological atrophy were endoscopically over-diagnosed with antral or antral predominat atrophy (Table 2).</w:t>
      </w:r>
    </w:p>
    <w:p w14:paraId="11C30B1A" w14:textId="77777777" w:rsidR="006D6192" w:rsidRPr="004865E7" w:rsidRDefault="006D6192" w:rsidP="00FA3CB2">
      <w:pPr>
        <w:pStyle w:val="Heading2"/>
        <w:snapToGrid w:val="0"/>
        <w:spacing w:after="0"/>
        <w:jc w:val="both"/>
        <w:rPr>
          <w:rFonts w:ascii="Book Antiqua" w:eastAsia="SimSun" w:hAnsi="Book Antiqua"/>
          <w:szCs w:val="24"/>
          <w:lang w:eastAsia="zh-CN"/>
        </w:rPr>
      </w:pPr>
    </w:p>
    <w:p w14:paraId="67222C70" w14:textId="77777777"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Factors affecting concordance</w:t>
      </w:r>
    </w:p>
    <w:p w14:paraId="250FB130" w14:textId="7DE2C15A"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 xml:space="preserve">To identify factors affecting the concordance between endoscopic and histological atrophy, univariate analyses were performed; factors analyzed included the patient populations (UK vs Japan), age, sex, </w:t>
      </w:r>
      <w:r w:rsidRPr="004865E7">
        <w:rPr>
          <w:rFonts w:ascii="Book Antiqua" w:hAnsi="Book Antiqua" w:cs="Times"/>
          <w:i/>
          <w:kern w:val="0"/>
        </w:rPr>
        <w:t>H. pylori</w:t>
      </w:r>
      <w:r w:rsidRPr="004865E7">
        <w:rPr>
          <w:rFonts w:ascii="Book Antiqua" w:hAnsi="Book Antiqua" w:cs="Times"/>
          <w:kern w:val="0"/>
        </w:rPr>
        <w:t xml:space="preserve"> infection, endoscopic atrophy (no atrophy vs others) and PG I/II ratios. Factors significantly associated with reduced concordance included Japanese ethnicity (</w:t>
      </w:r>
      <w:r w:rsidR="006D6192" w:rsidRPr="004865E7">
        <w:rPr>
          <w:rFonts w:ascii="Book Antiqua" w:hAnsi="Book Antiqua" w:cs="Times"/>
          <w:i/>
          <w:kern w:val="0"/>
        </w:rPr>
        <w:t xml:space="preserve">P &lt; </w:t>
      </w:r>
      <w:r w:rsidRPr="004865E7">
        <w:rPr>
          <w:rFonts w:ascii="Book Antiqua" w:hAnsi="Book Antiqua" w:cs="Times"/>
          <w:kern w:val="0"/>
        </w:rPr>
        <w:t>0.001), older age (</w:t>
      </w:r>
      <w:r w:rsidR="006D6192" w:rsidRPr="004865E7">
        <w:rPr>
          <w:rFonts w:ascii="Book Antiqua" w:hAnsi="Book Antiqua" w:cs="Times"/>
          <w:i/>
          <w:kern w:val="0"/>
        </w:rPr>
        <w:t xml:space="preserve">P &lt; </w:t>
      </w:r>
      <w:r w:rsidRPr="004865E7">
        <w:rPr>
          <w:rFonts w:ascii="Book Antiqua" w:hAnsi="Book Antiqua" w:cs="Times"/>
          <w:kern w:val="0"/>
        </w:rPr>
        <w:t>0.001), low pepsinogen I/II ratio (</w:t>
      </w:r>
      <w:r w:rsidR="006D6192" w:rsidRPr="004865E7">
        <w:rPr>
          <w:rFonts w:ascii="Book Antiqua" w:hAnsi="Book Antiqua" w:cs="Times"/>
          <w:i/>
          <w:kern w:val="0"/>
        </w:rPr>
        <w:t xml:space="preserve">P = </w:t>
      </w:r>
      <w:r w:rsidRPr="004865E7">
        <w:rPr>
          <w:rFonts w:ascii="Book Antiqua" w:hAnsi="Book Antiqua" w:cs="Times"/>
          <w:kern w:val="0"/>
        </w:rPr>
        <w:t>0.015), endoscopic atrophy (</w:t>
      </w:r>
      <w:r w:rsidR="006D6192" w:rsidRPr="004865E7">
        <w:rPr>
          <w:rFonts w:ascii="Book Antiqua" w:hAnsi="Book Antiqua" w:cs="Times"/>
          <w:i/>
          <w:kern w:val="0"/>
        </w:rPr>
        <w:t xml:space="preserve">P &lt; </w:t>
      </w:r>
      <w:r w:rsidRPr="004865E7">
        <w:rPr>
          <w:rFonts w:ascii="Book Antiqua" w:hAnsi="Book Antiqua" w:cs="Times"/>
          <w:kern w:val="0"/>
        </w:rPr>
        <w:t xml:space="preserve">0.001) and </w:t>
      </w:r>
      <w:r w:rsidRPr="004865E7">
        <w:rPr>
          <w:rFonts w:ascii="Book Antiqua" w:hAnsi="Book Antiqua" w:cs="Times"/>
          <w:i/>
          <w:kern w:val="0"/>
        </w:rPr>
        <w:t xml:space="preserve">H. pylori </w:t>
      </w:r>
      <w:r w:rsidRPr="004865E7">
        <w:rPr>
          <w:rFonts w:ascii="Book Antiqua" w:hAnsi="Book Antiqua" w:cs="Times"/>
          <w:kern w:val="0"/>
        </w:rPr>
        <w:t>infection</w:t>
      </w:r>
      <w:r w:rsidRPr="004865E7">
        <w:rPr>
          <w:rFonts w:ascii="Book Antiqua" w:hAnsi="Book Antiqua" w:cs="Times"/>
          <w:i/>
          <w:kern w:val="0"/>
        </w:rPr>
        <w:t xml:space="preserve"> </w:t>
      </w:r>
      <w:r w:rsidRPr="004865E7">
        <w:rPr>
          <w:rFonts w:ascii="Book Antiqua" w:hAnsi="Book Antiqua" w:cs="Times"/>
          <w:kern w:val="0"/>
        </w:rPr>
        <w:t>(</w:t>
      </w:r>
      <w:r w:rsidR="006D6192" w:rsidRPr="004865E7">
        <w:rPr>
          <w:rFonts w:ascii="Book Antiqua" w:hAnsi="Book Antiqua" w:cs="Times"/>
          <w:i/>
          <w:kern w:val="0"/>
        </w:rPr>
        <w:t xml:space="preserve">P = </w:t>
      </w:r>
      <w:r w:rsidRPr="004865E7">
        <w:rPr>
          <w:rFonts w:ascii="Book Antiqua" w:hAnsi="Book Antiqua" w:cs="Times"/>
          <w:kern w:val="0"/>
        </w:rPr>
        <w:t>0.001) (Table 3). In contrast, sex was not significantly associated with reduced concordance (</w:t>
      </w:r>
      <w:r w:rsidR="006D6192" w:rsidRPr="004865E7">
        <w:rPr>
          <w:rFonts w:ascii="Book Antiqua" w:hAnsi="Book Antiqua" w:cs="Times"/>
          <w:i/>
          <w:kern w:val="0"/>
        </w:rPr>
        <w:t xml:space="preserve">P = </w:t>
      </w:r>
      <w:r w:rsidRPr="004865E7">
        <w:rPr>
          <w:rFonts w:ascii="Book Antiqua" w:hAnsi="Book Antiqua" w:cs="Times"/>
          <w:kern w:val="0"/>
        </w:rPr>
        <w:t>0.143). Multivariate analysis showed that only three factors were independently associated with reduced concordance: Japanese ethnicity, older age and endoscopic atrophy (Table 4).</w:t>
      </w:r>
    </w:p>
    <w:p w14:paraId="660D3283"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357AEA6" w14:textId="77777777"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lastRenderedPageBreak/>
        <w:t>Further assessments according to factors significant on multivariate analysis</w:t>
      </w:r>
    </w:p>
    <w:p w14:paraId="75D3CEB9" w14:textId="5785D118"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 xml:space="preserve">To further assess the disagreement between </w:t>
      </w:r>
      <w:bookmarkStart w:id="350" w:name="OLE_LINK43"/>
      <w:bookmarkStart w:id="351" w:name="OLE_LINK44"/>
      <w:r w:rsidRPr="004865E7">
        <w:rPr>
          <w:rFonts w:ascii="Book Antiqua" w:hAnsi="Book Antiqua" w:cs="Times"/>
          <w:kern w:val="0"/>
        </w:rPr>
        <w:t>histological and endoscopic atrophy</w:t>
      </w:r>
      <w:bookmarkEnd w:id="350"/>
      <w:bookmarkEnd w:id="351"/>
      <w:r w:rsidRPr="004865E7">
        <w:rPr>
          <w:rFonts w:ascii="Book Antiqua" w:hAnsi="Book Antiqua" w:cs="Times"/>
          <w:kern w:val="0"/>
        </w:rPr>
        <w:t>, patients were cross-tabulated by each factor found to be significant (Tables 5</w:t>
      </w:r>
      <w:r w:rsidR="006D6192" w:rsidRPr="004865E7">
        <w:rPr>
          <w:rFonts w:ascii="Book Antiqua" w:eastAsia="SimSun" w:hAnsi="Book Antiqua" w:cs="Times" w:hint="eastAsia"/>
          <w:kern w:val="0"/>
          <w:lang w:eastAsia="zh-CN"/>
        </w:rPr>
        <w:t xml:space="preserve"> and</w:t>
      </w:r>
      <w:r w:rsidRPr="004865E7">
        <w:rPr>
          <w:rFonts w:ascii="Book Antiqua" w:hAnsi="Book Antiqua" w:cs="Times"/>
          <w:kern w:val="0"/>
        </w:rPr>
        <w:t xml:space="preserve"> 6). Although lower concordance rates for extensive atrophy were observed in both populations, 19 (15.1%) of the 126 British patients were misdiagnosed, including 15 who were over-diagnosed with histological atrophy of the antrum or angulus. In contrast, 57 (45.2%) of the 126 Japanese patients, of all histological grades, were misdiagnosed, including 22 who were over-diagnosed and 35 who were under-diagnosed. Of the 24 patients with histological atrophy at the greater curvature in the middle body, 21 were under-diagnosed (Table 5). Age also was significantly associated with concordance. A significantly higher percentage of older than of younger patients with histological atrophy of the antrum or angulus or without atrophy were over-diagnosed </w:t>
      </w:r>
      <w:r w:rsidR="006D6192" w:rsidRPr="004865E7">
        <w:rPr>
          <w:rFonts w:ascii="Book Antiqua" w:eastAsia="SimSun" w:hAnsi="Book Antiqua" w:cs="Times" w:hint="eastAsia"/>
          <w:kern w:val="0"/>
          <w:lang w:eastAsia="zh-CN"/>
        </w:rPr>
        <w:t>[</w:t>
      </w:r>
      <w:r w:rsidRPr="004865E7">
        <w:rPr>
          <w:rFonts w:ascii="Book Antiqua" w:hAnsi="Book Antiqua" w:cs="Times"/>
          <w:kern w:val="0"/>
        </w:rPr>
        <w:t xml:space="preserve">27/91 </w:t>
      </w:r>
      <w:r w:rsidR="006D6192" w:rsidRPr="004865E7">
        <w:rPr>
          <w:rFonts w:ascii="Book Antiqua" w:eastAsia="SimSun" w:hAnsi="Book Antiqua" w:cs="Times" w:hint="eastAsia"/>
          <w:kern w:val="0"/>
          <w:lang w:eastAsia="zh-CN"/>
        </w:rPr>
        <w:t>(</w:t>
      </w:r>
      <w:r w:rsidR="006D6192" w:rsidRPr="004865E7">
        <w:rPr>
          <w:rFonts w:ascii="Book Antiqua" w:hAnsi="Book Antiqua" w:cs="Times"/>
          <w:kern w:val="0"/>
        </w:rPr>
        <w:t>29.7%</w:t>
      </w:r>
      <w:r w:rsidR="006D6192" w:rsidRPr="004865E7">
        <w:rPr>
          <w:rFonts w:ascii="Book Antiqua" w:eastAsia="SimSun" w:hAnsi="Book Antiqua" w:cs="Times" w:hint="eastAsia"/>
          <w:kern w:val="0"/>
          <w:lang w:eastAsia="zh-CN"/>
        </w:rPr>
        <w:t>)</w:t>
      </w:r>
      <w:r w:rsidR="006D6192" w:rsidRPr="004865E7">
        <w:rPr>
          <w:rFonts w:ascii="Book Antiqua" w:hAnsi="Book Antiqua" w:cs="Times"/>
          <w:kern w:val="0"/>
        </w:rPr>
        <w:t xml:space="preserve"> </w:t>
      </w:r>
      <w:r w:rsidR="006D6192" w:rsidRPr="004865E7">
        <w:rPr>
          <w:rFonts w:ascii="Book Antiqua" w:hAnsi="Book Antiqua" w:cs="Times"/>
          <w:i/>
          <w:kern w:val="0"/>
        </w:rPr>
        <w:t>vs</w:t>
      </w:r>
      <w:r w:rsidRPr="004865E7">
        <w:rPr>
          <w:rFonts w:ascii="Book Antiqua" w:hAnsi="Book Antiqua" w:cs="Times"/>
          <w:kern w:val="0"/>
        </w:rPr>
        <w:t xml:space="preserve"> 10/110</w:t>
      </w:r>
      <w:r w:rsidR="006D6192" w:rsidRPr="004865E7">
        <w:rPr>
          <w:rFonts w:ascii="Book Antiqua" w:eastAsia="SimSun" w:hAnsi="Book Antiqua" w:cs="Times" w:hint="eastAsia"/>
          <w:kern w:val="0"/>
          <w:lang w:eastAsia="zh-CN"/>
        </w:rPr>
        <w:t xml:space="preserve"> (</w:t>
      </w:r>
      <w:r w:rsidR="006D6192" w:rsidRPr="004865E7">
        <w:rPr>
          <w:rFonts w:ascii="Book Antiqua" w:hAnsi="Book Antiqua" w:cs="Times"/>
          <w:kern w:val="0"/>
        </w:rPr>
        <w:t>9.1%</w:t>
      </w:r>
      <w:r w:rsidR="006D6192" w:rsidRPr="004865E7">
        <w:rPr>
          <w:rFonts w:ascii="Book Antiqua" w:eastAsia="SimSun" w:hAnsi="Book Antiqua" w:cs="Times" w:hint="eastAsia"/>
          <w:kern w:val="0"/>
          <w:lang w:eastAsia="zh-CN"/>
        </w:rPr>
        <w:t>),</w:t>
      </w:r>
      <w:r w:rsidRPr="004865E7">
        <w:rPr>
          <w:rFonts w:ascii="Book Antiqua" w:hAnsi="Book Antiqua" w:cs="Times"/>
          <w:kern w:val="0"/>
        </w:rPr>
        <w:t xml:space="preserve"> </w:t>
      </w:r>
      <w:r w:rsidR="006D6192" w:rsidRPr="004865E7">
        <w:rPr>
          <w:rFonts w:ascii="Book Antiqua" w:hAnsi="Book Antiqua" w:cs="Times"/>
          <w:i/>
          <w:kern w:val="0"/>
        </w:rPr>
        <w:t xml:space="preserve">P &lt; </w:t>
      </w:r>
      <w:r w:rsidRPr="004865E7">
        <w:rPr>
          <w:rFonts w:ascii="Book Antiqua" w:hAnsi="Book Antiqua" w:cs="Times"/>
          <w:kern w:val="0"/>
        </w:rPr>
        <w:t>0.001</w:t>
      </w:r>
      <w:r w:rsidR="006D6192" w:rsidRPr="004865E7">
        <w:rPr>
          <w:rFonts w:ascii="Book Antiqua" w:eastAsia="SimSun" w:hAnsi="Book Antiqua" w:cs="Times" w:hint="eastAsia"/>
          <w:kern w:val="0"/>
          <w:lang w:eastAsia="zh-CN"/>
        </w:rPr>
        <w:t>]</w:t>
      </w:r>
      <w:r w:rsidRPr="004865E7">
        <w:rPr>
          <w:rFonts w:ascii="Book Antiqua" w:hAnsi="Book Antiqua" w:cs="Times"/>
          <w:kern w:val="0"/>
        </w:rPr>
        <w:t xml:space="preserve"> (Table 6).</w:t>
      </w:r>
    </w:p>
    <w:p w14:paraId="59AE86CB"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775EFB1" w14:textId="77777777" w:rsidR="002C16E4" w:rsidRPr="004865E7" w:rsidRDefault="002C16E4" w:rsidP="00FA3CB2">
      <w:pPr>
        <w:pStyle w:val="Heading2"/>
        <w:snapToGrid w:val="0"/>
        <w:spacing w:after="0"/>
        <w:jc w:val="both"/>
        <w:rPr>
          <w:rFonts w:ascii="Book Antiqua" w:hAnsi="Book Antiqua"/>
          <w:i/>
          <w:szCs w:val="24"/>
        </w:rPr>
      </w:pPr>
      <w:r w:rsidRPr="004865E7">
        <w:rPr>
          <w:rFonts w:ascii="Book Antiqua" w:hAnsi="Book Antiqua"/>
          <w:i/>
          <w:szCs w:val="24"/>
        </w:rPr>
        <w:t>Cancer risk-oriented atrophy grading</w:t>
      </w:r>
    </w:p>
    <w:p w14:paraId="227919E4" w14:textId="53D8BD72"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When classified according to cancer risk-oriented atrophy grading defined above, 222 (88.1%) of the 252 patients were concordant (Table 7). The strength of agreement between endoscopic and histological assessment by cancer risk-oriented grading showed good reproducibility, with a weighted kappa value of 0.81 (</w:t>
      </w:r>
      <w:r w:rsidR="006D6192" w:rsidRPr="004865E7">
        <w:rPr>
          <w:rFonts w:ascii="Book Antiqua" w:hAnsi="Book Antiqua" w:cs="Times"/>
          <w:kern w:val="0"/>
        </w:rPr>
        <w:t>95%CI:</w:t>
      </w:r>
      <w:r w:rsidRPr="004865E7">
        <w:rPr>
          <w:rFonts w:ascii="Book Antiqua" w:hAnsi="Book Antiqua" w:cs="Times"/>
          <w:kern w:val="0"/>
        </w:rPr>
        <w:t xml:space="preserve"> 0.75–0.87). However, nine patients (3.6%), all Japanese, were not diagnosed with extended atrophy but with limited atrophy (Table 8). Of these nine patients, seven were women and eight were negative for </w:t>
      </w:r>
      <w:r w:rsidRPr="004865E7">
        <w:rPr>
          <w:rFonts w:ascii="Book Antiqua" w:hAnsi="Book Antiqua" w:cs="Times"/>
          <w:i/>
          <w:kern w:val="0"/>
        </w:rPr>
        <w:t>H. pylori</w:t>
      </w:r>
      <w:r w:rsidRPr="004865E7">
        <w:rPr>
          <w:rFonts w:ascii="Book Antiqua" w:hAnsi="Book Antiqua" w:cs="Times"/>
          <w:kern w:val="0"/>
        </w:rPr>
        <w:t xml:space="preserve"> infection. Furthermore, six of the nine patients had PG I levels &lt;</w:t>
      </w:r>
      <w:r w:rsidR="006D6192" w:rsidRPr="004865E7">
        <w:rPr>
          <w:rFonts w:ascii="Book Antiqua" w:eastAsia="SimSun" w:hAnsi="Book Antiqua" w:cs="Times" w:hint="eastAsia"/>
          <w:kern w:val="0"/>
          <w:lang w:eastAsia="zh-CN"/>
        </w:rPr>
        <w:t xml:space="preserve"> </w:t>
      </w:r>
      <w:r w:rsidRPr="004865E7">
        <w:rPr>
          <w:rFonts w:ascii="Book Antiqua" w:hAnsi="Book Antiqua" w:cs="Times"/>
          <w:kern w:val="0"/>
        </w:rPr>
        <w:t>70</w:t>
      </w:r>
      <w:r w:rsidRPr="004865E7">
        <w:rPr>
          <w:rFonts w:ascii="Book Antiqua" w:hAnsi="Book Antiqua"/>
        </w:rPr>
        <w:t xml:space="preserve"> </w:t>
      </w:r>
      <w:r w:rsidRPr="004865E7">
        <w:rPr>
          <w:rFonts w:ascii="Book Antiqua" w:hAnsi="Book Antiqua" w:cs="Times"/>
          <w:kern w:val="0"/>
        </w:rPr>
        <w:t>ng/mL and eight of nine had PG I/II ratios ≤</w:t>
      </w:r>
      <w:r w:rsidR="006D6192" w:rsidRPr="004865E7">
        <w:rPr>
          <w:rFonts w:ascii="Book Antiqua" w:eastAsia="SimSun" w:hAnsi="Book Antiqua" w:cs="Times" w:hint="eastAsia"/>
          <w:kern w:val="0"/>
          <w:lang w:eastAsia="zh-CN"/>
        </w:rPr>
        <w:t xml:space="preserve"> </w:t>
      </w:r>
      <w:r w:rsidRPr="004865E7">
        <w:rPr>
          <w:rFonts w:ascii="Book Antiqua" w:hAnsi="Book Antiqua" w:cs="Times"/>
          <w:kern w:val="0"/>
        </w:rPr>
        <w:t xml:space="preserve">3. </w:t>
      </w:r>
    </w:p>
    <w:p w14:paraId="1AE30956"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2E9E2FD" w14:textId="77777777" w:rsidR="002C16E4" w:rsidRPr="004865E7" w:rsidRDefault="002C16E4" w:rsidP="00FA3CB2">
      <w:pPr>
        <w:pStyle w:val="Heading1"/>
        <w:snapToGrid w:val="0"/>
        <w:spacing w:after="0"/>
        <w:jc w:val="both"/>
        <w:rPr>
          <w:rFonts w:ascii="Book Antiqua" w:hAnsi="Book Antiqua"/>
          <w:szCs w:val="24"/>
        </w:rPr>
      </w:pPr>
      <w:r w:rsidRPr="004865E7">
        <w:rPr>
          <w:rFonts w:ascii="Book Antiqua" w:hAnsi="Book Antiqua"/>
          <w:szCs w:val="24"/>
        </w:rPr>
        <w:t>Discussion</w:t>
      </w:r>
    </w:p>
    <w:p w14:paraId="31B5C6F9" w14:textId="2870AF26"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 xml:space="preserve">Gastric atrophy has been found to progress, accompanied by repeated loss and regeneration of gastric mucosa due to chronic inflammation induced by </w:t>
      </w:r>
      <w:r w:rsidRPr="004865E7">
        <w:rPr>
          <w:rFonts w:ascii="Book Antiqua" w:hAnsi="Book Antiqua" w:cs="Times"/>
          <w:kern w:val="0"/>
        </w:rPr>
        <w:lastRenderedPageBreak/>
        <w:t xml:space="preserve">persistent </w:t>
      </w:r>
      <w:r w:rsidRPr="004865E7">
        <w:rPr>
          <w:rFonts w:ascii="Book Antiqua" w:hAnsi="Book Antiqua" w:cs="Times"/>
          <w:i/>
          <w:kern w:val="0"/>
        </w:rPr>
        <w:t>H. pylori</w:t>
      </w:r>
      <w:r w:rsidRPr="004865E7">
        <w:rPr>
          <w:rFonts w:ascii="Book Antiqua" w:hAnsi="Book Antiqua" w:cs="Times"/>
          <w:kern w:val="0"/>
        </w:rPr>
        <w:t xml:space="preserve"> infection</w:t>
      </w:r>
      <w:r w:rsidRPr="004865E7">
        <w:rPr>
          <w:rFonts w:ascii="Book Antiqua" w:hAnsi="Book Antiqua" w:cs="Times"/>
          <w:kern w:val="0"/>
          <w:vertAlign w:val="superscript"/>
        </w:rPr>
        <w:t>[9]</w:t>
      </w:r>
      <w:r w:rsidR="00B06BB0" w:rsidRPr="004865E7">
        <w:rPr>
          <w:rFonts w:ascii="Book Antiqua" w:hAnsi="Book Antiqua" w:cs="Times"/>
          <w:kern w:val="0"/>
        </w:rPr>
        <w:t>.</w:t>
      </w:r>
      <w:r w:rsidRPr="004865E7">
        <w:rPr>
          <w:rFonts w:ascii="Book Antiqua" w:hAnsi="Book Antiqua" w:cs="Times"/>
          <w:kern w:val="0"/>
        </w:rPr>
        <w:t xml:space="preserve"> The updated Sydney system was designed to assess histological gastritis and atrophy more objectively and has become the international standard</w:t>
      </w:r>
      <w:r w:rsidRPr="004865E7">
        <w:rPr>
          <w:rFonts w:ascii="Book Antiqua" w:hAnsi="Book Antiqua" w:cs="Times"/>
          <w:kern w:val="0"/>
          <w:vertAlign w:val="superscript"/>
        </w:rPr>
        <w:t>[10]</w:t>
      </w:r>
      <w:r w:rsidR="00B06BB0" w:rsidRPr="004865E7">
        <w:rPr>
          <w:rFonts w:ascii="Book Antiqua" w:hAnsi="Book Antiqua" w:cs="Times"/>
          <w:kern w:val="0"/>
        </w:rPr>
        <w:t>.</w:t>
      </w:r>
      <w:r w:rsidRPr="004865E7">
        <w:rPr>
          <w:rFonts w:ascii="Book Antiqua" w:hAnsi="Book Antiqua" w:cs="Times"/>
          <w:kern w:val="0"/>
        </w:rPr>
        <w:t xml:space="preserve"> Although this classification includes assessment of five biopsy sites, this extensive approach is not common in daily practice, because of patient discomfort, cost and time restrictions. Conversely, endoscopic classifications of atrophy are not common, except in Japan. </w:t>
      </w:r>
    </w:p>
    <w:p w14:paraId="259F07BD" w14:textId="73A4E6D9"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Several previous studies have assessed the relationship between endoscopic and histological diagnoses of gastritis and atrophy using a variety of evaluation methods. Negative results were reported in a prospective study, which found that endoscopy alone could not reliably diagnose </w:t>
      </w:r>
      <w:r w:rsidRPr="004865E7">
        <w:rPr>
          <w:rFonts w:ascii="Book Antiqua" w:hAnsi="Book Antiqua" w:cs="Times"/>
          <w:i/>
          <w:kern w:val="0"/>
        </w:rPr>
        <w:t>H. pylori</w:t>
      </w:r>
      <w:r w:rsidRPr="004865E7">
        <w:rPr>
          <w:rFonts w:ascii="Book Antiqua" w:hAnsi="Book Antiqua" w:cs="Times"/>
          <w:kern w:val="0"/>
        </w:rPr>
        <w:t xml:space="preserve"> gastritis</w:t>
      </w:r>
      <w:r w:rsidRPr="004865E7">
        <w:rPr>
          <w:rFonts w:ascii="Book Antiqua" w:hAnsi="Book Antiqua" w:cs="Times"/>
          <w:kern w:val="0"/>
          <w:vertAlign w:val="superscript"/>
        </w:rPr>
        <w:t>[11]</w:t>
      </w:r>
      <w:r w:rsidR="00B06BB0" w:rsidRPr="004865E7">
        <w:rPr>
          <w:rFonts w:ascii="Book Antiqua" w:hAnsi="Book Antiqua" w:cs="Times"/>
          <w:kern w:val="0"/>
        </w:rPr>
        <w:t>.</w:t>
      </w:r>
      <w:r w:rsidRPr="004865E7">
        <w:rPr>
          <w:rFonts w:ascii="Book Antiqua" w:hAnsi="Book Antiqua" w:cs="Times"/>
          <w:kern w:val="0"/>
        </w:rPr>
        <w:t xml:space="preserve"> The absence of rugae and the presence of visible vessels in the gastric mucosa predict severe atrophy but with relatively low sensitivity</w:t>
      </w:r>
      <w:r w:rsidRPr="004865E7">
        <w:rPr>
          <w:rFonts w:ascii="Book Antiqua" w:hAnsi="Book Antiqua" w:cs="Times"/>
          <w:kern w:val="0"/>
          <w:vertAlign w:val="superscript"/>
        </w:rPr>
        <w:t>[12]</w:t>
      </w:r>
      <w:r w:rsidR="00B06BB0" w:rsidRPr="004865E7">
        <w:rPr>
          <w:rFonts w:ascii="Book Antiqua" w:hAnsi="Book Antiqua" w:cs="Times"/>
          <w:kern w:val="0"/>
        </w:rPr>
        <w:t>.</w:t>
      </w:r>
      <w:r w:rsidRPr="004865E7">
        <w:rPr>
          <w:rFonts w:ascii="Book Antiqua" w:hAnsi="Book Antiqua" w:cs="Times"/>
          <w:kern w:val="0"/>
        </w:rPr>
        <w:t xml:space="preserve"> Based on these results, the recent guidelines of the European Society of Gastrointestinal Endoscopy, the European Helicobacter Study Group, the European Society of Pathology, and the Sociedade Portuguesa de Endoscopia Digestiva stated that conventional white light endoscopy cannot accurately differentiate among and diagnose preneoplastic gastric conditions</w:t>
      </w:r>
      <w:r w:rsidRPr="004865E7">
        <w:rPr>
          <w:rFonts w:ascii="Book Antiqua" w:hAnsi="Book Antiqua" w:cs="Times"/>
          <w:kern w:val="0"/>
          <w:vertAlign w:val="superscript"/>
        </w:rPr>
        <w:t>[13]</w:t>
      </w:r>
      <w:r w:rsidR="00B06BB0" w:rsidRPr="004865E7">
        <w:rPr>
          <w:rFonts w:ascii="Book Antiqua" w:hAnsi="Book Antiqua" w:cs="Times"/>
          <w:kern w:val="0"/>
        </w:rPr>
        <w:t>.</w:t>
      </w:r>
      <w:r w:rsidRPr="004865E7">
        <w:rPr>
          <w:rFonts w:ascii="Book Antiqua" w:hAnsi="Book Antiqua" w:cs="Times"/>
          <w:kern w:val="0"/>
        </w:rPr>
        <w:t xml:space="preserve"> However, these guidelines were based in part on the results of a very old study from the 1950s</w:t>
      </w:r>
      <w:r w:rsidRPr="004865E7">
        <w:rPr>
          <w:rFonts w:ascii="Book Antiqua" w:hAnsi="Book Antiqua" w:cs="Times"/>
          <w:kern w:val="0"/>
          <w:vertAlign w:val="superscript"/>
        </w:rPr>
        <w:t>[14]</w:t>
      </w:r>
      <w:r w:rsidR="00B06BB0" w:rsidRPr="004865E7">
        <w:rPr>
          <w:rFonts w:ascii="Book Antiqua" w:hAnsi="Book Antiqua" w:cs="Times"/>
          <w:kern w:val="0"/>
        </w:rPr>
        <w:t>.</w:t>
      </w:r>
    </w:p>
    <w:p w14:paraId="60F8A9DC" w14:textId="7E0C7FA8"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Recent studies from Asian countries, however, have yielded different findings. For example, the sensitivity and specificity of endoscopy for the histological diagnosis of atrophy were reported to be 61.5% and 57.7%, respectively, in the antrum, and 46.8% and 76.4%, respectively, in the body of the stomach</w:t>
      </w:r>
      <w:r w:rsidRPr="004865E7">
        <w:rPr>
          <w:rFonts w:ascii="Book Antiqua" w:hAnsi="Book Antiqua" w:cs="Times"/>
          <w:kern w:val="0"/>
          <w:vertAlign w:val="superscript"/>
        </w:rPr>
        <w:t>[15]</w:t>
      </w:r>
      <w:r w:rsidR="00B06BB0" w:rsidRPr="004865E7">
        <w:rPr>
          <w:rFonts w:ascii="Book Antiqua" w:hAnsi="Book Antiqua" w:cs="Times"/>
          <w:kern w:val="0"/>
        </w:rPr>
        <w:t>.</w:t>
      </w:r>
      <w:r w:rsidRPr="004865E7">
        <w:rPr>
          <w:rFonts w:ascii="Book Antiqua" w:hAnsi="Book Antiqua" w:cs="Times"/>
          <w:kern w:val="0"/>
        </w:rPr>
        <w:t xml:space="preserve"> That study also reported that mucosal inflammation reduced the sensitivity of endoscopy at both sites, especially in individuals below 50 years of age. Significant correlations between endoscopic atrophy scores based on the Kimura–Takemoto classification and histological atrophy scores based on the Sydney classification were reported in the gastric corpus (</w:t>
      </w:r>
      <w:r w:rsidRPr="004865E7">
        <w:rPr>
          <w:rFonts w:ascii="Book Antiqua" w:hAnsi="Book Antiqua" w:cs="Times"/>
          <w:i/>
          <w:kern w:val="0"/>
        </w:rPr>
        <w:t xml:space="preserve">r </w:t>
      </w:r>
      <w:r w:rsidRPr="004865E7">
        <w:rPr>
          <w:rFonts w:ascii="Book Antiqua" w:hAnsi="Book Antiqua" w:cs="Times"/>
          <w:kern w:val="0"/>
        </w:rPr>
        <w:t>= 0.390) but correlations in the antrum were much weaker</w:t>
      </w:r>
      <w:r w:rsidRPr="004865E7">
        <w:rPr>
          <w:rFonts w:ascii="Book Antiqua" w:hAnsi="Book Antiqua" w:cs="Times"/>
          <w:kern w:val="0"/>
          <w:vertAlign w:val="superscript"/>
        </w:rPr>
        <w:t>[16]</w:t>
      </w:r>
      <w:r w:rsidR="00B06BB0" w:rsidRPr="004865E7">
        <w:rPr>
          <w:rFonts w:ascii="Book Antiqua" w:hAnsi="Book Antiqua" w:cs="Times"/>
          <w:kern w:val="0"/>
        </w:rPr>
        <w:t>.</w:t>
      </w:r>
      <w:r w:rsidRPr="004865E7">
        <w:rPr>
          <w:rFonts w:ascii="Book Antiqua" w:hAnsi="Book Antiqua" w:cs="Times"/>
          <w:kern w:val="0"/>
        </w:rPr>
        <w:t xml:space="preserve"> Furthermore, the severity of endoscopic gastric atrophy was found to be significantly associated with the </w:t>
      </w:r>
      <w:r w:rsidRPr="004865E7">
        <w:rPr>
          <w:rFonts w:ascii="Book Antiqua" w:hAnsi="Book Antiqua" w:cs="Times"/>
          <w:kern w:val="0"/>
        </w:rPr>
        <w:lastRenderedPageBreak/>
        <w:t>severity of histological gastric atrophy, as assessed by OLGA gastritis stage</w:t>
      </w:r>
      <w:r w:rsidRPr="004865E7">
        <w:rPr>
          <w:rFonts w:ascii="Book Antiqua" w:hAnsi="Book Antiqua" w:cs="Times"/>
          <w:kern w:val="0"/>
          <w:vertAlign w:val="superscript"/>
        </w:rPr>
        <w:t>[17]</w:t>
      </w:r>
      <w:r w:rsidR="00B06BB0" w:rsidRPr="004865E7">
        <w:rPr>
          <w:rFonts w:ascii="Book Antiqua" w:hAnsi="Book Antiqua" w:cs="Times"/>
          <w:kern w:val="0"/>
        </w:rPr>
        <w:t>.</w:t>
      </w:r>
      <w:r w:rsidR="00F743FC" w:rsidRPr="004865E7">
        <w:rPr>
          <w:rFonts w:ascii="Book Antiqua" w:hAnsi="Book Antiqua" w:cs="Times"/>
          <w:kern w:val="0"/>
        </w:rPr>
        <w:t xml:space="preserve"> </w:t>
      </w:r>
      <w:r w:rsidRPr="004865E7">
        <w:rPr>
          <w:rFonts w:ascii="Book Antiqua" w:hAnsi="Book Antiqua" w:cs="Times"/>
          <w:kern w:val="0"/>
        </w:rPr>
        <w:t>The strength of agreement between endoscopic and histological atrophy scores was found to be good, with a weighted kappa value of 0.51</w:t>
      </w:r>
      <w:r w:rsidRPr="004865E7">
        <w:rPr>
          <w:rFonts w:ascii="Book Antiqua" w:hAnsi="Book Antiqua" w:cs="Times"/>
          <w:kern w:val="0"/>
          <w:vertAlign w:val="superscript"/>
        </w:rPr>
        <w:t>[18]</w:t>
      </w:r>
      <w:r w:rsidR="00B06BB0" w:rsidRPr="004865E7">
        <w:rPr>
          <w:rFonts w:ascii="Book Antiqua" w:hAnsi="Book Antiqua" w:cs="Times"/>
          <w:kern w:val="0"/>
        </w:rPr>
        <w:t>.</w:t>
      </w:r>
      <w:r w:rsidRPr="004865E7">
        <w:rPr>
          <w:rFonts w:ascii="Book Antiqua" w:hAnsi="Book Antiqua" w:cs="Times"/>
          <w:kern w:val="0"/>
        </w:rPr>
        <w:t xml:space="preserve"> </w:t>
      </w:r>
    </w:p>
    <w:p w14:paraId="3E9952B6" w14:textId="5A849363"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As these methods differed, they are difficult to compare with each other and their results were inconsistent. Furthermore, although sensitivity, specificity or positive predictive value may have been high, there is no obvious standard to decide whether a classification is useful or not. Moreover, despite the updated Sydney system being the international standard for histological assessment, inter-observer agreements between pathologists have been reported to be relatively low</w:t>
      </w:r>
      <w:r w:rsidR="006D6192" w:rsidRPr="004865E7">
        <w:rPr>
          <w:rFonts w:ascii="Book Antiqua" w:hAnsi="Book Antiqua" w:cs="Times"/>
          <w:kern w:val="0"/>
          <w:vertAlign w:val="superscript"/>
        </w:rPr>
        <w:t>[5,19,</w:t>
      </w:r>
      <w:r w:rsidRPr="004865E7">
        <w:rPr>
          <w:rFonts w:ascii="Book Antiqua" w:hAnsi="Book Antiqua" w:cs="Times"/>
          <w:kern w:val="0"/>
          <w:vertAlign w:val="superscript"/>
        </w:rPr>
        <w:t>20]</w:t>
      </w:r>
      <w:r w:rsidR="00E26503" w:rsidRPr="004865E7">
        <w:rPr>
          <w:rFonts w:ascii="Book Antiqua" w:hAnsi="Book Antiqua" w:cs="Times"/>
          <w:kern w:val="0"/>
        </w:rPr>
        <w:t>.</w:t>
      </w:r>
      <w:r w:rsidRPr="004865E7">
        <w:rPr>
          <w:rFonts w:ascii="Book Antiqua" w:hAnsi="Book Antiqua" w:cs="Times"/>
          <w:kern w:val="0"/>
        </w:rPr>
        <w:t xml:space="preserve"> Our data on endoscopic assessment could be compared with diagnosis by an expert histopathologist. We observed good agreement between endoscopic atrophy grades and histological expert assessment</w:t>
      </w:r>
      <w:r w:rsidRPr="004865E7">
        <w:rPr>
          <w:rFonts w:ascii="Book Antiqua" w:hAnsi="Book Antiqua" w:cs="Times"/>
          <w:kern w:val="0"/>
          <w:vertAlign w:val="superscript"/>
        </w:rPr>
        <w:t>[21]</w:t>
      </w:r>
      <w:r w:rsidRPr="004865E7">
        <w:rPr>
          <w:rFonts w:ascii="Book Antiqua" w:hAnsi="Book Antiqua" w:cs="Times"/>
          <w:kern w:val="0"/>
        </w:rPr>
        <w:t xml:space="preserve">, with a weighted kappa value of 0.76. If agreement between a general and an expert histopathologist is not high, our results suggest that endoscopic atrophy grading may be comparable to histological assessment. </w:t>
      </w:r>
    </w:p>
    <w:p w14:paraId="1B06D847"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This study also assessed the factors affecting concordance. Extended endoscopic atrophy was associated with decreased concordance. Biopsies sample only a tiny area of the entire gastric mucosa and may therefore not be representative of the entire mucosa. It was not surprising, however, that concordance was better for distinguishing between normal and atrophic mucosa than among grades of abnormality. </w:t>
      </w:r>
    </w:p>
    <w:p w14:paraId="70A3CC32"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Endoscopic features associated with atrophy included discoloration of the mucosa, visibility of a submucosal vascular pattern due to thinning of the mucosa, unevenness of the surface mucosa and fold disappearance. However, their presence may result in under-diagnosis, especially if they occur in the middle of the body at the greater curvature. The mucosa in this area is much thicker than on the lesser curvature, as well as being the most difficult area of the stomach to distend by air insufflation. Thus, discoloration of the mucosa and fold disappearance in this area may be more difficult to detect, with </w:t>
      </w:r>
      <w:r w:rsidRPr="004865E7">
        <w:rPr>
          <w:rFonts w:ascii="Book Antiqua" w:hAnsi="Book Antiqua" w:cs="Times"/>
          <w:kern w:val="0"/>
        </w:rPr>
        <w:lastRenderedPageBreak/>
        <w:t>changes associated with atrophy perhaps being overlooked and underestimated.</w:t>
      </w:r>
    </w:p>
    <w:p w14:paraId="56DD810A" w14:textId="0BD50E1F"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The concordance rate for atrophy was significantly higher for patients in the UK than for those in Japan. However, many more patients in Japan had extended atrophy, which is more easily misdiagnosed. The two populations also had different concordances on multivariate analysis, suggesting that this difference may be associated with differences in the background of the two populations. Indeed, the two populations differed in host genetic factors, diet, and bacterial virulence. For example, there are ethnic differences in the protein encoded by the </w:t>
      </w:r>
      <w:r w:rsidRPr="004865E7">
        <w:rPr>
          <w:rFonts w:ascii="Book Antiqua" w:hAnsi="Book Antiqua" w:cs="Times"/>
          <w:i/>
          <w:kern w:val="0"/>
        </w:rPr>
        <w:t>H. pylori</w:t>
      </w:r>
      <w:r w:rsidRPr="004865E7">
        <w:rPr>
          <w:rFonts w:ascii="Book Antiqua" w:hAnsi="Book Antiqua" w:cs="Times"/>
          <w:kern w:val="0"/>
        </w:rPr>
        <w:t xml:space="preserve"> cytotoxin associated gene A (CagA), one of the most important virulence factors for gastric mucosal injury and atrophy. The CagA gene is polymorphic and is primarily classified into East Asian and Western types based on sequences in its 3′ coding region</w:t>
      </w:r>
      <w:r w:rsidRPr="004865E7">
        <w:rPr>
          <w:rFonts w:ascii="Book Antiqua" w:hAnsi="Book Antiqua" w:cs="Times"/>
          <w:kern w:val="0"/>
          <w:vertAlign w:val="superscript"/>
        </w:rPr>
        <w:t>[22]</w:t>
      </w:r>
      <w:r w:rsidR="00E26503" w:rsidRPr="004865E7">
        <w:rPr>
          <w:rFonts w:ascii="Book Antiqua" w:hAnsi="Book Antiqua" w:cs="Times"/>
          <w:kern w:val="0"/>
        </w:rPr>
        <w:t>.</w:t>
      </w:r>
      <w:r w:rsidRPr="004865E7">
        <w:rPr>
          <w:rFonts w:ascii="Book Antiqua" w:hAnsi="Book Antiqua" w:cs="Times"/>
          <w:kern w:val="0"/>
        </w:rPr>
        <w:t xml:space="preserve"> Previous studies have clarified the differences in gastritis and atrophy among patients infected with East Asian CagA-positive, Western CagA-positive, and CagA-negative </w:t>
      </w:r>
      <w:r w:rsidRPr="004865E7">
        <w:rPr>
          <w:rFonts w:ascii="Book Antiqua" w:hAnsi="Book Antiqua" w:cs="Times"/>
          <w:i/>
          <w:kern w:val="0"/>
        </w:rPr>
        <w:t>H. pylori</w:t>
      </w:r>
      <w:r w:rsidRPr="004865E7">
        <w:rPr>
          <w:rFonts w:ascii="Book Antiqua" w:hAnsi="Book Antiqua" w:cs="Times"/>
          <w:kern w:val="0"/>
          <w:vertAlign w:val="superscript"/>
        </w:rPr>
        <w:t>[23]</w:t>
      </w:r>
      <w:r w:rsidR="00E26503" w:rsidRPr="004865E7">
        <w:rPr>
          <w:rFonts w:ascii="Book Antiqua" w:hAnsi="Book Antiqua" w:cs="Times"/>
          <w:kern w:val="0"/>
        </w:rPr>
        <w:t>,</w:t>
      </w:r>
      <w:r w:rsidRPr="004865E7">
        <w:rPr>
          <w:rFonts w:ascii="Book Antiqua" w:hAnsi="Book Antiqua" w:cs="Times"/>
          <w:kern w:val="0"/>
        </w:rPr>
        <w:t xml:space="preserve"> with differences in virulence perhaps causing differences in concordance rates. </w:t>
      </w:r>
    </w:p>
    <w:p w14:paraId="0AAC459C" w14:textId="2744A2CE"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The histological structures of the normal antral and corpus mucosa differ, with the border between these two areas located at the angulus</w:t>
      </w:r>
      <w:r w:rsidRPr="004865E7">
        <w:rPr>
          <w:rFonts w:ascii="Book Antiqua" w:hAnsi="Book Antiqua" w:cs="Times"/>
          <w:kern w:val="0"/>
          <w:vertAlign w:val="superscript"/>
        </w:rPr>
        <w:t>[2</w:t>
      </w:r>
      <w:r w:rsidR="00F743FC" w:rsidRPr="004865E7">
        <w:rPr>
          <w:rFonts w:ascii="Book Antiqua" w:hAnsi="Book Antiqua" w:cs="Times"/>
          <w:kern w:val="0"/>
          <w:vertAlign w:val="superscript"/>
        </w:rPr>
        <w:t>4,</w:t>
      </w:r>
      <w:r w:rsidRPr="004865E7">
        <w:rPr>
          <w:rFonts w:ascii="Book Antiqua" w:hAnsi="Book Antiqua" w:cs="Times"/>
          <w:kern w:val="0"/>
          <w:vertAlign w:val="superscript"/>
        </w:rPr>
        <w:t>25]</w:t>
      </w:r>
      <w:r w:rsidR="00E26503" w:rsidRPr="004865E7">
        <w:rPr>
          <w:rFonts w:ascii="Book Antiqua" w:hAnsi="Book Antiqua" w:cs="Times"/>
          <w:kern w:val="0"/>
        </w:rPr>
        <w:t>.</w:t>
      </w:r>
      <w:r w:rsidRPr="004865E7">
        <w:rPr>
          <w:rFonts w:ascii="Book Antiqua" w:hAnsi="Book Antiqua" w:cs="Times"/>
          <w:kern w:val="0"/>
        </w:rPr>
        <w:t xml:space="preserve"> This anatomically defined border is difficult to detect clearly using conventional endoscopy</w:t>
      </w:r>
      <w:r w:rsidRPr="004865E7">
        <w:rPr>
          <w:rFonts w:ascii="Book Antiqua" w:hAnsi="Book Antiqua" w:cs="Times"/>
          <w:kern w:val="0"/>
          <w:vertAlign w:val="superscript"/>
        </w:rPr>
        <w:t>[25]</w:t>
      </w:r>
      <w:r w:rsidR="00E26503" w:rsidRPr="004865E7">
        <w:rPr>
          <w:rFonts w:ascii="Book Antiqua" w:hAnsi="Book Antiqua" w:cs="Times"/>
          <w:kern w:val="0"/>
        </w:rPr>
        <w:t>,</w:t>
      </w:r>
      <w:r w:rsidRPr="004865E7">
        <w:rPr>
          <w:rFonts w:ascii="Book Antiqua" w:hAnsi="Book Antiqua" w:cs="Times"/>
          <w:kern w:val="0"/>
        </w:rPr>
        <w:t xml:space="preserve"> although it can be better detected using high definition equipment. However, a slight difference in color between the antrum and the corpus may occur in the absence of histological atrophy. Mistaking this anatomical border for the atrophic border may result in over-diagnosis. We found that older patients, particularly older Japanese, tended to be over-diagnosed when their histological atrophy was not too extensive. Two possibilities may explain this finding. The first is that our study was open-labelled; thus there may have been observer bias because elderly Japanese are more likely to be infected with </w:t>
      </w:r>
      <w:r w:rsidRPr="004865E7">
        <w:rPr>
          <w:rFonts w:ascii="Book Antiqua" w:hAnsi="Book Antiqua" w:cs="Times"/>
          <w:i/>
          <w:kern w:val="0"/>
        </w:rPr>
        <w:t>H. pylori</w:t>
      </w:r>
      <w:r w:rsidRPr="004865E7">
        <w:rPr>
          <w:rFonts w:ascii="Book Antiqua" w:hAnsi="Book Antiqua" w:cs="Times"/>
          <w:kern w:val="0"/>
        </w:rPr>
        <w:t xml:space="preserve">. The second reason is that gastric </w:t>
      </w:r>
      <w:r w:rsidRPr="004865E7">
        <w:rPr>
          <w:rFonts w:ascii="Book Antiqua" w:hAnsi="Book Antiqua" w:cs="Times"/>
          <w:kern w:val="0"/>
        </w:rPr>
        <w:lastRenderedPageBreak/>
        <w:t>mucosal blood flow decreases with age</w:t>
      </w:r>
      <w:r w:rsidR="006D6192" w:rsidRPr="004865E7">
        <w:rPr>
          <w:rFonts w:ascii="Book Antiqua" w:hAnsi="Book Antiqua" w:cs="Times"/>
          <w:kern w:val="0"/>
          <w:vertAlign w:val="superscript"/>
        </w:rPr>
        <w:t>[26,</w:t>
      </w:r>
      <w:r w:rsidRPr="004865E7">
        <w:rPr>
          <w:rFonts w:ascii="Book Antiqua" w:hAnsi="Book Antiqua" w:cs="Times"/>
          <w:kern w:val="0"/>
          <w:vertAlign w:val="superscript"/>
        </w:rPr>
        <w:t>27]</w:t>
      </w:r>
      <w:r w:rsidR="00E26503" w:rsidRPr="004865E7">
        <w:rPr>
          <w:rFonts w:ascii="Book Antiqua" w:hAnsi="Book Antiqua" w:cs="Times"/>
          <w:kern w:val="0"/>
        </w:rPr>
        <w:t>,</w:t>
      </w:r>
      <w:r w:rsidRPr="004865E7">
        <w:rPr>
          <w:rFonts w:ascii="Book Antiqua" w:hAnsi="Book Antiqua" w:cs="Times"/>
          <w:kern w:val="0"/>
        </w:rPr>
        <w:t xml:space="preserve"> which may affect mucosal appearance. Because of the slight differences in mucosal color, endoscopists may mistake normal for atrophic antral mucosa in older patients.</w:t>
      </w:r>
    </w:p>
    <w:p w14:paraId="0DF73782" w14:textId="5AE4D3DE"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Advanced endoscopic techniques, such as chromoendoscopy, image-enhanced endoscopy, high definition and magnification, are likely to improve the accuracy of endoscopic diagnosis of atrophy. The endoscopic Congo red test was developed in the 1970s to diagnose the extent of atrophy</w:t>
      </w:r>
      <w:r w:rsidRPr="004865E7">
        <w:rPr>
          <w:rFonts w:ascii="Book Antiqua" w:hAnsi="Book Antiqua" w:cs="Times"/>
          <w:kern w:val="0"/>
          <w:vertAlign w:val="superscript"/>
        </w:rPr>
        <w:t>[28]</w:t>
      </w:r>
      <w:r w:rsidR="00E26503" w:rsidRPr="004865E7">
        <w:rPr>
          <w:rFonts w:ascii="Book Antiqua" w:hAnsi="Book Antiqua" w:cs="Times"/>
          <w:kern w:val="0"/>
        </w:rPr>
        <w:t>.</w:t>
      </w:r>
      <w:r w:rsidRPr="004865E7">
        <w:rPr>
          <w:rFonts w:ascii="Book Antiqua" w:hAnsi="Book Antiqua" w:cs="Times"/>
          <w:kern w:val="0"/>
        </w:rPr>
        <w:t xml:space="preserve"> However, this test requires gastrin injection to stimulate acid secretion and to observe changes in color. Autofluorescence imaging (AFI) is useful in the diagnosis of mucosal atrophy. Loss of fundic glands through atrophy increases the intensity of AFI, with the mucosa appearing green and the atrophic border more reproducibly identified</w:t>
      </w:r>
      <w:r w:rsidRPr="004865E7">
        <w:rPr>
          <w:rFonts w:ascii="Book Antiqua" w:hAnsi="Book Antiqua" w:cs="Times"/>
          <w:kern w:val="0"/>
          <w:vertAlign w:val="superscript"/>
        </w:rPr>
        <w:t>[29]</w:t>
      </w:r>
      <w:r w:rsidR="00E26503" w:rsidRPr="004865E7">
        <w:rPr>
          <w:rFonts w:ascii="Book Antiqua" w:hAnsi="Book Antiqua" w:cs="Times"/>
          <w:kern w:val="0"/>
        </w:rPr>
        <w:t>.</w:t>
      </w:r>
      <w:r w:rsidRPr="004865E7">
        <w:rPr>
          <w:rFonts w:ascii="Book Antiqua" w:hAnsi="Book Antiqua" w:cs="Times"/>
          <w:kern w:val="0"/>
        </w:rPr>
        <w:t xml:space="preserve"> The combination of AFI and narrow band imaging (NBI) also improves the detection of pre-cancerous conditions</w:t>
      </w:r>
      <w:r w:rsidRPr="004865E7">
        <w:rPr>
          <w:rFonts w:ascii="Book Antiqua" w:hAnsi="Book Antiqua" w:cs="Times"/>
          <w:kern w:val="0"/>
          <w:vertAlign w:val="superscript"/>
        </w:rPr>
        <w:t>[30]</w:t>
      </w:r>
      <w:r w:rsidR="00E26503" w:rsidRPr="004865E7">
        <w:rPr>
          <w:rFonts w:ascii="Book Antiqua" w:hAnsi="Book Antiqua" w:cs="Times"/>
          <w:kern w:val="0"/>
        </w:rPr>
        <w:t>.</w:t>
      </w:r>
      <w:r w:rsidRPr="004865E7">
        <w:rPr>
          <w:rFonts w:ascii="Book Antiqua" w:hAnsi="Book Antiqua" w:cs="Times"/>
          <w:kern w:val="0"/>
        </w:rPr>
        <w:t xml:space="preserve"> However, some of these techniques extend the time of the endoscopic procedure, generate additional workload and may reduce patient tolerance for the procedure. A greater number of attributes must be considered, with the increase in modalities employed for diagnosis making it more difficult for endoscopists to agree on a standard workable protocol. Thus their routine use cannot always be recommended. In contrast, conventional endoscopy diagnoses atrophy only by the Kimura-Takemoto classification. Thus, the newest endoscopes are not needed.</w:t>
      </w:r>
    </w:p>
    <w:p w14:paraId="601934CA" w14:textId="17A0CEDB"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A previous study reported that extensive atrophic gastritis indicates a high risk for gastric cancer and that the main purpose of assessing the extent of atrophy is to identify patients at greatest risk for potential future endoscopic surveillance</w:t>
      </w:r>
      <w:r w:rsidRPr="004865E7">
        <w:rPr>
          <w:rFonts w:ascii="Book Antiqua" w:hAnsi="Book Antiqua" w:cs="Times"/>
          <w:kern w:val="0"/>
          <w:vertAlign w:val="superscript"/>
        </w:rPr>
        <w:t>[4]</w:t>
      </w:r>
      <w:r w:rsidR="00E26503" w:rsidRPr="004865E7">
        <w:rPr>
          <w:rFonts w:ascii="Book Antiqua" w:hAnsi="Book Antiqua" w:cs="Times"/>
          <w:kern w:val="0"/>
        </w:rPr>
        <w:t>.</w:t>
      </w:r>
      <w:r w:rsidRPr="004865E7">
        <w:rPr>
          <w:rFonts w:ascii="Book Antiqua" w:hAnsi="Book Antiqua" w:cs="Times"/>
          <w:kern w:val="0"/>
        </w:rPr>
        <w:t xml:space="preserve"> The results presented here indicate that cancer risk oriented atrophy grading into three groups is much more predictable and its use is acceptable in daily practice. However, it is potentially a serious oversight to assign a patient to an incorrect group. Patients with histological atrophy in the middle of the corpus should be diagnosed endoscopically as having extensive </w:t>
      </w:r>
      <w:r w:rsidRPr="004865E7">
        <w:rPr>
          <w:rFonts w:ascii="Book Antiqua" w:hAnsi="Book Antiqua" w:cs="Times"/>
          <w:kern w:val="0"/>
        </w:rPr>
        <w:lastRenderedPageBreak/>
        <w:t xml:space="preserve">atrophy, indicating that they are at high risk for gastric cancer. Our results showed that nine patients (3.6%) were diagnosed with limited rather than extensive atrophy and were therefore false negatives. Inclusion of patients with antral predominant atrophy in those with extensive atrophy could include all patients with histological atrophy in the middle of the corpus. However, the number of false positive patients would dramatically increase, from 10 to 45; thus, specificity would decrease considerably and the workload increase. </w:t>
      </w:r>
    </w:p>
    <w:p w14:paraId="420B1CEC" w14:textId="77777777"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These results suggest a benefit of including additional assessments, such as biopsy, for patients diagnosed with antral predominant atrophy, particularly Japanese women infected with </w:t>
      </w:r>
      <w:r w:rsidRPr="004865E7">
        <w:rPr>
          <w:rFonts w:ascii="Book Antiqua" w:hAnsi="Book Antiqua" w:cs="Times"/>
          <w:i/>
          <w:kern w:val="0"/>
        </w:rPr>
        <w:t>H. pylori</w:t>
      </w:r>
      <w:r w:rsidRPr="004865E7">
        <w:rPr>
          <w:rFonts w:ascii="Book Antiqua" w:hAnsi="Book Antiqua" w:cs="Times"/>
          <w:kern w:val="0"/>
        </w:rPr>
        <w:t xml:space="preserve">. Identification of patients with low pepsinogen I levels and I/II ratios may also improve outcomes. </w:t>
      </w:r>
    </w:p>
    <w:p w14:paraId="3F616705" w14:textId="0F2C6DEB" w:rsidR="002C16E4" w:rsidRPr="004865E7" w:rsidRDefault="002C16E4" w:rsidP="006D6192">
      <w:pPr>
        <w:widowControl/>
        <w:autoSpaceDE w:val="0"/>
        <w:autoSpaceDN w:val="0"/>
        <w:adjustRightInd w:val="0"/>
        <w:snapToGrid w:val="0"/>
        <w:spacing w:line="360" w:lineRule="auto"/>
        <w:ind w:firstLineChars="100" w:firstLine="240"/>
        <w:rPr>
          <w:rFonts w:ascii="Book Antiqua" w:hAnsi="Book Antiqua" w:cs="Times"/>
          <w:kern w:val="0"/>
        </w:rPr>
      </w:pPr>
      <w:r w:rsidRPr="004865E7">
        <w:rPr>
          <w:rFonts w:ascii="Book Antiqua" w:hAnsi="Book Antiqua" w:cs="Times"/>
          <w:kern w:val="0"/>
        </w:rPr>
        <w:t xml:space="preserve">This study had several limitations. First, it was based on historical </w:t>
      </w:r>
      <w:r w:rsidR="00E26503" w:rsidRPr="004865E7">
        <w:rPr>
          <w:rFonts w:ascii="Book Antiqua" w:hAnsi="Book Antiqua" w:cs="Times"/>
          <w:kern w:val="0"/>
        </w:rPr>
        <w:t>study</w:t>
      </w:r>
      <w:r w:rsidRPr="004865E7">
        <w:rPr>
          <w:rFonts w:ascii="Book Antiqua" w:hAnsi="Book Antiqua" w:cs="Times"/>
          <w:kern w:val="0"/>
        </w:rPr>
        <w:t xml:space="preserve"> data. Therefore, there was no intent to recruit patients for this study, and these data were relatively old. In addition, the endoscopes used were not the newest type. However, the characteristics of these patients and devices may be similar to those of more recent studies.</w:t>
      </w:r>
      <w:r w:rsidR="00FB5F7F" w:rsidRPr="004865E7">
        <w:rPr>
          <w:rFonts w:ascii="Book Antiqua" w:hAnsi="Book Antiqua" w:cs="Times"/>
          <w:kern w:val="0"/>
        </w:rPr>
        <w:t xml:space="preserve"> </w:t>
      </w:r>
      <w:r w:rsidR="00B05E9D" w:rsidRPr="004865E7">
        <w:rPr>
          <w:rFonts w:ascii="Book Antiqua" w:hAnsi="Book Antiqua" w:cs="Times"/>
          <w:kern w:val="0"/>
        </w:rPr>
        <w:t xml:space="preserve">To support these conclusions, a prospective multicenter trial will be warranted. </w:t>
      </w:r>
      <w:r w:rsidRPr="004865E7">
        <w:rPr>
          <w:rFonts w:ascii="Book Antiqua" w:hAnsi="Book Antiqua" w:cs="Times"/>
          <w:kern w:val="0"/>
        </w:rPr>
        <w:t>Second, gastric atrophy was assessed in all patients by three expert gastrointestinal endoscopists. Thus, inter-observer agreement may have been higher than in routine clinical practice. Third,</w:t>
      </w:r>
      <w:r w:rsidR="00FB5F7F" w:rsidRPr="004865E7">
        <w:rPr>
          <w:rFonts w:ascii="Book Antiqua" w:hAnsi="Book Antiqua" w:cs="Times"/>
          <w:kern w:val="0"/>
        </w:rPr>
        <w:t xml:space="preserve"> </w:t>
      </w:r>
      <w:r w:rsidRPr="004865E7">
        <w:rPr>
          <w:rFonts w:ascii="Book Antiqua" w:hAnsi="Book Antiqua" w:cs="Times"/>
          <w:kern w:val="0"/>
        </w:rPr>
        <w:t xml:space="preserve">gastritis in most patients was caused by </w:t>
      </w:r>
      <w:r w:rsidRPr="004865E7">
        <w:rPr>
          <w:rFonts w:ascii="Book Antiqua" w:hAnsi="Book Antiqua" w:cs="Times"/>
          <w:i/>
          <w:kern w:val="0"/>
        </w:rPr>
        <w:t>H. pylori</w:t>
      </w:r>
      <w:r w:rsidRPr="004865E7">
        <w:rPr>
          <w:rFonts w:ascii="Book Antiqua" w:hAnsi="Book Antiqua" w:cs="Times"/>
          <w:kern w:val="0"/>
        </w:rPr>
        <w:t xml:space="preserve"> infection. The effects of other etiologies are unclear because patients taking non-steroidal anti-inflammatory drugs were excluded. No patient had a characteristic histological appearance of autoimmune gastritis but parietal cell antibodies were not measured.</w:t>
      </w:r>
    </w:p>
    <w:p w14:paraId="16BA0A21" w14:textId="3681995A" w:rsidR="002C16E4" w:rsidRPr="004865E7" w:rsidRDefault="002C16E4" w:rsidP="006D6192">
      <w:pPr>
        <w:widowControl/>
        <w:autoSpaceDE w:val="0"/>
        <w:autoSpaceDN w:val="0"/>
        <w:adjustRightInd w:val="0"/>
        <w:snapToGrid w:val="0"/>
        <w:spacing w:line="360" w:lineRule="auto"/>
        <w:ind w:firstLineChars="150" w:firstLine="360"/>
        <w:rPr>
          <w:rFonts w:ascii="Book Antiqua" w:hAnsi="Book Antiqua" w:cs="Times"/>
          <w:kern w:val="0"/>
        </w:rPr>
      </w:pPr>
      <w:r w:rsidRPr="004865E7">
        <w:rPr>
          <w:rFonts w:ascii="Book Antiqua" w:hAnsi="Book Antiqua" w:cs="Times"/>
          <w:kern w:val="0"/>
        </w:rPr>
        <w:t xml:space="preserve">In conclusion, endoscopic evaluation by the Kimura–Takemoto classification showed good histological evaluation of the risk of stomach cancer. Simplifying this classification to three groups was useful, enabling most patients at high risk to be identified, with relatively few false negatives and an acceptable number of false positives. </w:t>
      </w:r>
      <w:r w:rsidR="00CC4952" w:rsidRPr="004865E7">
        <w:rPr>
          <w:rFonts w:ascii="Book Antiqua" w:hAnsi="Book Antiqua" w:cs="Times"/>
          <w:kern w:val="0"/>
        </w:rPr>
        <w:t>Indeed histological assessment is fundamental, but e</w:t>
      </w:r>
      <w:r w:rsidRPr="004865E7">
        <w:rPr>
          <w:rFonts w:ascii="Book Antiqua" w:hAnsi="Book Antiqua" w:cs="Times"/>
          <w:kern w:val="0"/>
        </w:rPr>
        <w:t xml:space="preserve">ndoscopic atrophy grading can predict extensive histological atrophy and may serve as a </w:t>
      </w:r>
      <w:r w:rsidRPr="004865E7">
        <w:rPr>
          <w:rFonts w:ascii="Book Antiqua" w:hAnsi="Book Antiqua" w:cs="Times"/>
          <w:kern w:val="0"/>
        </w:rPr>
        <w:lastRenderedPageBreak/>
        <w:t>practical assessment of precancerous conditions during endoscopy in routine clinical practice, especially for patients in western countries.</w:t>
      </w:r>
    </w:p>
    <w:p w14:paraId="392B4A70" w14:textId="77777777" w:rsidR="001A7CF7" w:rsidRPr="004865E7" w:rsidRDefault="001A7CF7" w:rsidP="00FA3CB2">
      <w:pPr>
        <w:widowControl/>
        <w:autoSpaceDE w:val="0"/>
        <w:autoSpaceDN w:val="0"/>
        <w:adjustRightInd w:val="0"/>
        <w:snapToGrid w:val="0"/>
        <w:spacing w:line="360" w:lineRule="auto"/>
        <w:rPr>
          <w:rFonts w:ascii="Book Antiqua" w:eastAsia="SimSun" w:hAnsi="Book Antiqua" w:cs="TradeGothic"/>
          <w:lang w:eastAsia="zh-CN"/>
        </w:rPr>
      </w:pPr>
    </w:p>
    <w:p w14:paraId="4CD36D99"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bCs/>
          <w:iCs/>
        </w:rPr>
      </w:pPr>
      <w:r w:rsidRPr="004865E7">
        <w:rPr>
          <w:rFonts w:ascii="Book Antiqua" w:hAnsi="Book Antiqua" w:cs="TradeGothic"/>
          <w:bCs/>
          <w:iCs/>
        </w:rPr>
        <w:t>COMMENTS</w:t>
      </w:r>
    </w:p>
    <w:p w14:paraId="66206849"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b/>
          <w:bCs/>
          <w:i/>
          <w:iCs/>
        </w:rPr>
      </w:pPr>
      <w:r w:rsidRPr="004865E7">
        <w:rPr>
          <w:rFonts w:ascii="Book Antiqua" w:hAnsi="Book Antiqua" w:cs="TradeGothic"/>
          <w:b/>
          <w:bCs/>
          <w:i/>
          <w:iCs/>
        </w:rPr>
        <w:t>Background</w:t>
      </w:r>
    </w:p>
    <w:p w14:paraId="044DB355" w14:textId="77777777" w:rsidR="001A7CF7" w:rsidRPr="004865E7" w:rsidRDefault="001A7CF7"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kern w:val="0"/>
        </w:rPr>
        <w:t>Gastric atrophy is generally regarded as a precancerous condition.</w:t>
      </w:r>
      <w:r w:rsidR="00DE6C60" w:rsidRPr="004865E7">
        <w:rPr>
          <w:rFonts w:ascii="Book Antiqua" w:hAnsi="Book Antiqua" w:cs="Times"/>
          <w:kern w:val="0"/>
        </w:rPr>
        <w:t xml:space="preserve"> Thus, i</w:t>
      </w:r>
      <w:r w:rsidRPr="004865E7">
        <w:rPr>
          <w:rFonts w:ascii="Book Antiqua" w:hAnsi="Book Antiqua" w:cs="Times"/>
          <w:kern w:val="0"/>
        </w:rPr>
        <w:t>mprovements in methods used to diagnose atroph</w:t>
      </w:r>
      <w:r w:rsidR="00DE6C60" w:rsidRPr="004865E7">
        <w:rPr>
          <w:rFonts w:ascii="Book Antiqua" w:hAnsi="Book Antiqua" w:cs="Times"/>
          <w:kern w:val="0"/>
        </w:rPr>
        <w:t>y</w:t>
      </w:r>
      <w:r w:rsidRPr="004865E7">
        <w:rPr>
          <w:rFonts w:ascii="Book Antiqua" w:hAnsi="Book Antiqua" w:cs="Times"/>
          <w:kern w:val="0"/>
        </w:rPr>
        <w:t xml:space="preserve"> may identify patients at risk for gastric cancer. </w:t>
      </w:r>
      <w:r w:rsidR="00DE6C60" w:rsidRPr="004865E7">
        <w:rPr>
          <w:rFonts w:ascii="Book Antiqua" w:hAnsi="Book Antiqua" w:cs="Times"/>
          <w:kern w:val="0"/>
        </w:rPr>
        <w:t xml:space="preserve">The updated Sydney system was designed to assess histological gastritis and atrophy more objectively and has become the international standard. Although this classification includes assessment of five biopsy sites, this extensive approach is not common in daily practice. Conversely, endoscopic classifications of atrophy are not common, except in Japan. </w:t>
      </w:r>
    </w:p>
    <w:p w14:paraId="752DD883" w14:textId="77777777" w:rsidR="006D6192" w:rsidRPr="004865E7" w:rsidRDefault="006D6192" w:rsidP="00FA3CB2">
      <w:pPr>
        <w:widowControl/>
        <w:autoSpaceDE w:val="0"/>
        <w:autoSpaceDN w:val="0"/>
        <w:adjustRightInd w:val="0"/>
        <w:snapToGrid w:val="0"/>
        <w:spacing w:line="360" w:lineRule="auto"/>
        <w:rPr>
          <w:rFonts w:ascii="Book Antiqua" w:eastAsia="SimSun" w:hAnsi="Book Antiqua" w:cs="Times"/>
          <w:kern w:val="0"/>
          <w:lang w:eastAsia="zh-CN"/>
        </w:rPr>
      </w:pPr>
    </w:p>
    <w:p w14:paraId="33E56C31" w14:textId="77777777" w:rsidR="001A7CF7" w:rsidRPr="004865E7" w:rsidRDefault="001A7CF7" w:rsidP="00FA3CB2">
      <w:pPr>
        <w:widowControl/>
        <w:autoSpaceDE w:val="0"/>
        <w:autoSpaceDN w:val="0"/>
        <w:adjustRightInd w:val="0"/>
        <w:snapToGrid w:val="0"/>
        <w:spacing w:line="360" w:lineRule="auto"/>
        <w:rPr>
          <w:rFonts w:ascii="Book Antiqua" w:eastAsia="SimSun" w:hAnsi="Book Antiqua" w:cs="TradeGothic"/>
          <w:b/>
          <w:lang w:eastAsia="zh-CN"/>
        </w:rPr>
      </w:pPr>
      <w:r w:rsidRPr="004865E7">
        <w:rPr>
          <w:rFonts w:ascii="Book Antiqua" w:hAnsi="Book Antiqua" w:cs="TradeGothic"/>
          <w:b/>
          <w:bCs/>
          <w:i/>
          <w:iCs/>
        </w:rPr>
        <w:t>Research frontiers</w:t>
      </w:r>
    </w:p>
    <w:p w14:paraId="03746301" w14:textId="58CBB23F" w:rsidR="001A7CF7" w:rsidRPr="004865E7" w:rsidRDefault="001A7CF7"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Although routine endoscopy can assess precancerous conditions by evaluating the extent of gastric atrophy, concordance between endoscopic and histological atrophy is unclear. This study therefore assessed the diagnostic concordance between endoscopic and histologica</w:t>
      </w:r>
      <w:r w:rsidR="006D6192" w:rsidRPr="004865E7">
        <w:rPr>
          <w:rFonts w:ascii="Book Antiqua" w:hAnsi="Book Antiqua" w:cs="Times"/>
          <w:kern w:val="0"/>
        </w:rPr>
        <w:t>l atrophy in the United Kingdom</w:t>
      </w:r>
      <w:r w:rsidRPr="004865E7">
        <w:rPr>
          <w:rFonts w:ascii="Book Antiqua" w:hAnsi="Book Antiqua" w:cs="Times"/>
          <w:kern w:val="0"/>
        </w:rPr>
        <w:t xml:space="preserve"> and Japan.</w:t>
      </w:r>
    </w:p>
    <w:p w14:paraId="2306D09E"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 </w:t>
      </w:r>
    </w:p>
    <w:p w14:paraId="577DFA2A"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Innovations and breakthroughs</w:t>
      </w:r>
    </w:p>
    <w:p w14:paraId="16F30303" w14:textId="76A4B229" w:rsidR="00FC144C" w:rsidRPr="004865E7" w:rsidRDefault="00360971"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Several previous studies have assessed the relationship between endoscopic and histological diagnoses of atrophy using a variety of evaluation methods.</w:t>
      </w:r>
      <w:r w:rsidR="00FC144C" w:rsidRPr="004865E7">
        <w:rPr>
          <w:rFonts w:ascii="Book Antiqua" w:hAnsi="Book Antiqua" w:cs="Times"/>
          <w:kern w:val="0"/>
        </w:rPr>
        <w:t xml:space="preserve"> As these methods differed, they are difficult to compare with each other and there is no obvious standard to decide whether a classification is useful or not. However, </w:t>
      </w:r>
      <w:r w:rsidR="00ED34B9" w:rsidRPr="004865E7">
        <w:rPr>
          <w:rFonts w:ascii="Book Antiqua" w:eastAsia="SimSun" w:hAnsi="Book Antiqua" w:cs="Times" w:hint="eastAsia"/>
          <w:kern w:val="0"/>
          <w:lang w:eastAsia="zh-CN"/>
        </w:rPr>
        <w:t>present</w:t>
      </w:r>
      <w:r w:rsidR="00FC144C" w:rsidRPr="004865E7">
        <w:rPr>
          <w:rFonts w:ascii="Book Antiqua" w:hAnsi="Book Antiqua" w:cs="Times"/>
          <w:kern w:val="0"/>
        </w:rPr>
        <w:t xml:space="preserve"> data on endoscopic assessment could be compared with diagnosis by an expert histopathologist with a weighted kappa value. </w:t>
      </w:r>
      <w:r w:rsidR="00ED34B9" w:rsidRPr="004865E7">
        <w:rPr>
          <w:rFonts w:ascii="Book Antiqua" w:eastAsia="SimSun" w:hAnsi="Book Antiqua" w:cs="Times" w:hint="eastAsia"/>
          <w:kern w:val="0"/>
          <w:lang w:eastAsia="zh-CN"/>
        </w:rPr>
        <w:t>This study</w:t>
      </w:r>
      <w:r w:rsidR="00ED34B9" w:rsidRPr="004865E7">
        <w:rPr>
          <w:rFonts w:ascii="Book Antiqua" w:eastAsia="SimSun" w:hAnsi="Book Antiqua" w:cs="Times"/>
          <w:kern w:val="0"/>
          <w:lang w:eastAsia="zh-CN"/>
        </w:rPr>
        <w:t>’</w:t>
      </w:r>
      <w:r w:rsidR="00ED34B9" w:rsidRPr="004865E7">
        <w:rPr>
          <w:rFonts w:ascii="Book Antiqua" w:eastAsia="SimSun" w:hAnsi="Book Antiqua" w:cs="Times" w:hint="eastAsia"/>
          <w:kern w:val="0"/>
          <w:lang w:eastAsia="zh-CN"/>
        </w:rPr>
        <w:t>s</w:t>
      </w:r>
      <w:r w:rsidR="009A2A0D" w:rsidRPr="004865E7">
        <w:rPr>
          <w:rFonts w:ascii="Book Antiqua" w:hAnsi="Book Antiqua" w:cs="Times"/>
          <w:kern w:val="0"/>
        </w:rPr>
        <w:t xml:space="preserve"> data of th</w:t>
      </w:r>
      <w:r w:rsidR="00ED34B9" w:rsidRPr="004865E7">
        <w:rPr>
          <w:rFonts w:ascii="Book Antiqua" w:eastAsia="SimSun" w:hAnsi="Book Antiqua" w:cs="Times" w:hint="eastAsia"/>
          <w:kern w:val="0"/>
          <w:lang w:eastAsia="zh-CN"/>
        </w:rPr>
        <w:t>e</w:t>
      </w:r>
      <w:r w:rsidR="009A2A0D" w:rsidRPr="004865E7">
        <w:rPr>
          <w:rFonts w:ascii="Book Antiqua" w:hAnsi="Book Antiqua" w:cs="Times"/>
          <w:kern w:val="0"/>
        </w:rPr>
        <w:t xml:space="preserve"> </w:t>
      </w:r>
      <w:r w:rsidR="00FC144C" w:rsidRPr="004865E7">
        <w:rPr>
          <w:rFonts w:ascii="Book Antiqua" w:hAnsi="Book Antiqua" w:cs="Times"/>
          <w:kern w:val="0"/>
        </w:rPr>
        <w:t xml:space="preserve">agreement </w:t>
      </w:r>
      <w:r w:rsidR="009A2A0D" w:rsidRPr="004865E7">
        <w:rPr>
          <w:rFonts w:ascii="Book Antiqua" w:hAnsi="Book Antiqua" w:cs="Times"/>
          <w:kern w:val="0"/>
        </w:rPr>
        <w:t xml:space="preserve">is better than the inter-observer agreement </w:t>
      </w:r>
      <w:r w:rsidR="009A2A0D" w:rsidRPr="004865E7">
        <w:rPr>
          <w:rFonts w:ascii="Book Antiqua" w:hAnsi="Book Antiqua" w:cs="Times"/>
          <w:kern w:val="0"/>
        </w:rPr>
        <w:lastRenderedPageBreak/>
        <w:t xml:space="preserve">between two </w:t>
      </w:r>
      <w:r w:rsidR="00FC144C" w:rsidRPr="004865E7">
        <w:rPr>
          <w:rFonts w:ascii="Book Antiqua" w:hAnsi="Book Antiqua" w:cs="Times"/>
          <w:kern w:val="0"/>
        </w:rPr>
        <w:t>histopathologist</w:t>
      </w:r>
      <w:r w:rsidR="009A2A0D" w:rsidRPr="004865E7">
        <w:rPr>
          <w:rFonts w:ascii="Book Antiqua" w:hAnsi="Book Antiqua" w:cs="Times"/>
          <w:kern w:val="0"/>
        </w:rPr>
        <w:t xml:space="preserve">s reported before. Thus, </w:t>
      </w:r>
      <w:r w:rsidR="00ED34B9" w:rsidRPr="004865E7">
        <w:rPr>
          <w:rFonts w:ascii="Book Antiqua" w:eastAsia="SimSun" w:hAnsi="Book Antiqua" w:cs="Times" w:hint="eastAsia"/>
          <w:kern w:val="0"/>
          <w:lang w:eastAsia="zh-CN"/>
        </w:rPr>
        <w:t>present</w:t>
      </w:r>
      <w:r w:rsidR="00FC144C" w:rsidRPr="004865E7">
        <w:rPr>
          <w:rFonts w:ascii="Book Antiqua" w:hAnsi="Book Antiqua" w:cs="Times"/>
          <w:kern w:val="0"/>
        </w:rPr>
        <w:t xml:space="preserve"> results suggest that endoscopic atrophy grading may be comparable to histological assessment.</w:t>
      </w:r>
    </w:p>
    <w:p w14:paraId="03C75732"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 </w:t>
      </w:r>
    </w:p>
    <w:p w14:paraId="1168C91F"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Applications</w:t>
      </w:r>
    </w:p>
    <w:p w14:paraId="7BF86753" w14:textId="77777777" w:rsidR="001A7CF7" w:rsidRPr="004865E7" w:rsidRDefault="00D82A2A"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rPr>
        <w:t>E</w:t>
      </w:r>
      <w:r w:rsidRPr="004865E7">
        <w:rPr>
          <w:rFonts w:ascii="Book Antiqua" w:hAnsi="Book Antiqua" w:cs="Times"/>
          <w:kern w:val="0"/>
        </w:rPr>
        <w:t>ndoscopic atrophy grading can predict extensive histological atrophy and may serve as a practical assessment of precancerous conditions during endoscopy in routine clinical practice, especially for patients in western countries.</w:t>
      </w:r>
    </w:p>
    <w:p w14:paraId="03A0DCC8"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 </w:t>
      </w:r>
    </w:p>
    <w:p w14:paraId="4D42A16C"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Terminology</w:t>
      </w:r>
    </w:p>
    <w:p w14:paraId="103791FE" w14:textId="77777777" w:rsidR="00A95F89" w:rsidRPr="004865E7" w:rsidRDefault="00360971"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rPr>
        <w:t xml:space="preserve">Kimura-Takemoto classification: </w:t>
      </w:r>
      <w:r w:rsidR="00BC32FA" w:rsidRPr="004865E7">
        <w:rPr>
          <w:rFonts w:ascii="Book Antiqua" w:hAnsi="Book Antiqua" w:cs="TradeGothic"/>
        </w:rPr>
        <w:t>atrophic patterns</w:t>
      </w:r>
      <w:r w:rsidR="00A95F89" w:rsidRPr="004865E7">
        <w:rPr>
          <w:rFonts w:ascii="Book Antiqua" w:hAnsi="Book Antiqua" w:cs="TradeGothic"/>
        </w:rPr>
        <w:t xml:space="preserve"> classified into 7 types according to the location of the atrophic border. </w:t>
      </w:r>
    </w:p>
    <w:p w14:paraId="3EE86403" w14:textId="77777777" w:rsidR="00360971" w:rsidRPr="004865E7" w:rsidRDefault="00360971" w:rsidP="00FA3CB2">
      <w:pPr>
        <w:widowControl/>
        <w:autoSpaceDE w:val="0"/>
        <w:autoSpaceDN w:val="0"/>
        <w:adjustRightInd w:val="0"/>
        <w:snapToGrid w:val="0"/>
        <w:spacing w:line="360" w:lineRule="auto"/>
        <w:rPr>
          <w:rFonts w:ascii="Book Antiqua" w:hAnsi="Book Antiqua" w:cs="TradeGothic"/>
        </w:rPr>
      </w:pPr>
    </w:p>
    <w:p w14:paraId="74519D68" w14:textId="11331BF1" w:rsidR="001A7CF7" w:rsidRPr="004865E7" w:rsidRDefault="001A7CF7"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b/>
          <w:bCs/>
          <w:i/>
          <w:iCs/>
        </w:rPr>
        <w:t>Peer</w:t>
      </w:r>
      <w:r w:rsidR="00ED34B9" w:rsidRPr="004865E7">
        <w:rPr>
          <w:rFonts w:ascii="Book Antiqua" w:eastAsia="SimSun" w:hAnsi="Book Antiqua" w:cs="TradeGothic" w:hint="eastAsia"/>
          <w:b/>
          <w:bCs/>
          <w:i/>
          <w:iCs/>
          <w:lang w:eastAsia="zh-CN"/>
        </w:rPr>
        <w:t>-</w:t>
      </w:r>
      <w:r w:rsidRPr="004865E7">
        <w:rPr>
          <w:rFonts w:ascii="Book Antiqua" w:hAnsi="Book Antiqua" w:cs="TradeGothic"/>
          <w:b/>
          <w:bCs/>
          <w:i/>
          <w:iCs/>
        </w:rPr>
        <w:t>review</w:t>
      </w:r>
    </w:p>
    <w:p w14:paraId="7A108235" w14:textId="77777777" w:rsidR="00360971" w:rsidRPr="004865E7" w:rsidRDefault="00360971" w:rsidP="00FA3CB2">
      <w:pPr>
        <w:widowControl/>
        <w:autoSpaceDE w:val="0"/>
        <w:autoSpaceDN w:val="0"/>
        <w:adjustRightInd w:val="0"/>
        <w:snapToGrid w:val="0"/>
        <w:spacing w:line="360" w:lineRule="auto"/>
        <w:rPr>
          <w:rFonts w:ascii="Book Antiqua" w:hAnsi="Book Antiqua" w:cs="TradeGothic"/>
        </w:rPr>
      </w:pPr>
      <w:r w:rsidRPr="004865E7">
        <w:rPr>
          <w:rFonts w:ascii="Book Antiqua" w:hAnsi="Book Antiqua" w:cs="TradeGothic"/>
        </w:rPr>
        <w:t>This is a good descriptive study in which authors assess the agreements between endoscopic and histological atrophy by using weighted kappa value. The results are interesting and suggest that endoscopic atrophy grading can predict extensive histological atrophy and may serve as a practical assessment of precancerous conditions during endoscopy in routine clinical practice, especially for patients in western countries.</w:t>
      </w:r>
    </w:p>
    <w:p w14:paraId="66602CF4" w14:textId="77777777" w:rsidR="001A7CF7" w:rsidRPr="004865E7" w:rsidRDefault="001A7CF7" w:rsidP="00FA3CB2">
      <w:pPr>
        <w:widowControl/>
        <w:autoSpaceDE w:val="0"/>
        <w:autoSpaceDN w:val="0"/>
        <w:adjustRightInd w:val="0"/>
        <w:snapToGrid w:val="0"/>
        <w:spacing w:line="360" w:lineRule="auto"/>
        <w:rPr>
          <w:rFonts w:ascii="Book Antiqua" w:hAnsi="Book Antiqua" w:cs="TradeGothic"/>
        </w:rPr>
      </w:pPr>
    </w:p>
    <w:p w14:paraId="515190E3" w14:textId="77777777" w:rsidR="00ED34B9" w:rsidRPr="004865E7" w:rsidRDefault="00ED34B9">
      <w:pPr>
        <w:widowControl/>
        <w:jc w:val="left"/>
        <w:rPr>
          <w:rFonts w:ascii="Book Antiqua" w:hAnsi="Book Antiqua" w:cs="Times"/>
          <w:b/>
          <w:caps/>
          <w:kern w:val="0"/>
        </w:rPr>
      </w:pPr>
      <w:r w:rsidRPr="004865E7">
        <w:rPr>
          <w:rFonts w:ascii="Book Antiqua" w:hAnsi="Book Antiqua"/>
        </w:rPr>
        <w:br w:type="page"/>
      </w:r>
    </w:p>
    <w:p w14:paraId="12A976AB" w14:textId="2753B4F3" w:rsidR="002C16E4" w:rsidRPr="004865E7" w:rsidRDefault="002C16E4" w:rsidP="00FA3CB2">
      <w:pPr>
        <w:pStyle w:val="Heading1"/>
        <w:snapToGrid w:val="0"/>
        <w:spacing w:after="0"/>
        <w:jc w:val="both"/>
        <w:rPr>
          <w:rFonts w:ascii="Book Antiqua" w:eastAsia="SimSun" w:hAnsi="Book Antiqua"/>
          <w:szCs w:val="24"/>
          <w:lang w:eastAsia="zh-CN"/>
        </w:rPr>
      </w:pPr>
      <w:r w:rsidRPr="004865E7">
        <w:rPr>
          <w:rFonts w:ascii="Book Antiqua" w:hAnsi="Book Antiqua"/>
          <w:szCs w:val="24"/>
        </w:rPr>
        <w:lastRenderedPageBreak/>
        <w:t>References</w:t>
      </w:r>
    </w:p>
    <w:p w14:paraId="5A8397E1"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 </w:t>
      </w:r>
      <w:r w:rsidRPr="00AE64F0">
        <w:rPr>
          <w:rFonts w:ascii="Book Antiqua" w:eastAsia="SimSun" w:hAnsi="Book Antiqua" w:cs="SimSun"/>
          <w:b/>
          <w:bCs/>
          <w:kern w:val="0"/>
          <w:lang w:eastAsia="zh-CN"/>
        </w:rPr>
        <w:t>Correa P</w:t>
      </w:r>
      <w:r w:rsidRPr="00AE64F0">
        <w:rPr>
          <w:rFonts w:ascii="Book Antiqua" w:eastAsia="SimSun" w:hAnsi="Book Antiqua" w:cs="SimSun"/>
          <w:kern w:val="0"/>
          <w:lang w:eastAsia="zh-CN"/>
        </w:rPr>
        <w:t xml:space="preserve">. Human gastric carcinogenesis: a multistep and multifactorial process--First American Cancer Society Award Lecture on Cancer Epidemiology and Prevention. </w:t>
      </w:r>
      <w:r w:rsidRPr="00AE64F0">
        <w:rPr>
          <w:rFonts w:ascii="Book Antiqua" w:eastAsia="SimSun" w:hAnsi="Book Antiqua" w:cs="SimSun"/>
          <w:i/>
          <w:iCs/>
          <w:kern w:val="0"/>
          <w:lang w:eastAsia="zh-CN"/>
        </w:rPr>
        <w:t>Cancer Res</w:t>
      </w:r>
      <w:r w:rsidRPr="00AE64F0">
        <w:rPr>
          <w:rFonts w:ascii="Book Antiqua" w:eastAsia="SimSun" w:hAnsi="Book Antiqua" w:cs="SimSun"/>
          <w:kern w:val="0"/>
          <w:lang w:eastAsia="zh-CN"/>
        </w:rPr>
        <w:t xml:space="preserve"> 1992; </w:t>
      </w:r>
      <w:r w:rsidRPr="00AE64F0">
        <w:rPr>
          <w:rFonts w:ascii="Book Antiqua" w:eastAsia="SimSun" w:hAnsi="Book Antiqua" w:cs="SimSun"/>
          <w:b/>
          <w:bCs/>
          <w:kern w:val="0"/>
          <w:lang w:eastAsia="zh-CN"/>
        </w:rPr>
        <w:t>52</w:t>
      </w:r>
      <w:r w:rsidRPr="00AE64F0">
        <w:rPr>
          <w:rFonts w:ascii="Book Antiqua" w:eastAsia="SimSun" w:hAnsi="Book Antiqua" w:cs="SimSun"/>
          <w:kern w:val="0"/>
          <w:lang w:eastAsia="zh-CN"/>
        </w:rPr>
        <w:t>: 6735-6740 [PMID: 1458460]</w:t>
      </w:r>
    </w:p>
    <w:p w14:paraId="05668801"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 </w:t>
      </w:r>
      <w:r w:rsidRPr="00AE64F0">
        <w:rPr>
          <w:rFonts w:ascii="Book Antiqua" w:eastAsia="SimSun" w:hAnsi="Book Antiqua" w:cs="SimSun"/>
          <w:b/>
          <w:bCs/>
          <w:kern w:val="0"/>
          <w:lang w:eastAsia="zh-CN"/>
        </w:rPr>
        <w:t>Correa P</w:t>
      </w:r>
      <w:r w:rsidRPr="00AE64F0">
        <w:rPr>
          <w:rFonts w:ascii="Book Antiqua" w:eastAsia="SimSun" w:hAnsi="Book Antiqua" w:cs="SimSun"/>
          <w:kern w:val="0"/>
          <w:lang w:eastAsia="zh-CN"/>
        </w:rPr>
        <w:t xml:space="preserve">. Is gastric cancer preventable? </w:t>
      </w:r>
      <w:r w:rsidRPr="00AE64F0">
        <w:rPr>
          <w:rFonts w:ascii="Book Antiqua" w:eastAsia="SimSun" w:hAnsi="Book Antiqua" w:cs="SimSun"/>
          <w:i/>
          <w:iCs/>
          <w:kern w:val="0"/>
          <w:lang w:eastAsia="zh-CN"/>
        </w:rPr>
        <w:t>Gut</w:t>
      </w:r>
      <w:r w:rsidRPr="00AE64F0">
        <w:rPr>
          <w:rFonts w:ascii="Book Antiqua" w:eastAsia="SimSun" w:hAnsi="Book Antiqua" w:cs="SimSun"/>
          <w:kern w:val="0"/>
          <w:lang w:eastAsia="zh-CN"/>
        </w:rPr>
        <w:t xml:space="preserve"> 2004; </w:t>
      </w:r>
      <w:r w:rsidRPr="00AE64F0">
        <w:rPr>
          <w:rFonts w:ascii="Book Antiqua" w:eastAsia="SimSun" w:hAnsi="Book Antiqua" w:cs="SimSun"/>
          <w:b/>
          <w:bCs/>
          <w:kern w:val="0"/>
          <w:lang w:eastAsia="zh-CN"/>
        </w:rPr>
        <w:t>53</w:t>
      </w:r>
      <w:r w:rsidRPr="00AE64F0">
        <w:rPr>
          <w:rFonts w:ascii="Book Antiqua" w:eastAsia="SimSun" w:hAnsi="Book Antiqua" w:cs="SimSun"/>
          <w:kern w:val="0"/>
          <w:lang w:eastAsia="zh-CN"/>
        </w:rPr>
        <w:t>: 1217-1219 [PMID: 15306570 DOI: 10.1136/gut.2004.039834]</w:t>
      </w:r>
    </w:p>
    <w:p w14:paraId="497C4C1B" w14:textId="48F455CD"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3 </w:t>
      </w:r>
      <w:r w:rsidR="00F743FC" w:rsidRPr="004865E7">
        <w:rPr>
          <w:rFonts w:ascii="Book Antiqua" w:eastAsia="SimSun" w:hAnsi="Book Antiqua" w:cs="SimSun"/>
          <w:b/>
          <w:kern w:val="0"/>
          <w:lang w:eastAsia="zh-CN"/>
        </w:rPr>
        <w:t>Warren JR</w:t>
      </w:r>
      <w:r w:rsidR="00F743FC" w:rsidRPr="004865E7">
        <w:rPr>
          <w:rFonts w:ascii="Book Antiqua" w:eastAsia="SimSun" w:hAnsi="Book Antiqua" w:cs="SimSun"/>
          <w:kern w:val="0"/>
          <w:lang w:eastAsia="zh-CN"/>
        </w:rPr>
        <w:t>, Marshall B</w:t>
      </w:r>
      <w:r w:rsidRPr="00AE64F0">
        <w:rPr>
          <w:rFonts w:ascii="Book Antiqua" w:eastAsia="SimSun" w:hAnsi="Book Antiqua" w:cs="SimSun"/>
          <w:kern w:val="0"/>
          <w:lang w:eastAsia="zh-CN"/>
        </w:rPr>
        <w:t xml:space="preserve">. Unidentified curved bacilli on gastric epithelium in active chronic gastritis. </w:t>
      </w:r>
      <w:r w:rsidRPr="00AE64F0">
        <w:rPr>
          <w:rFonts w:ascii="Book Antiqua" w:eastAsia="SimSun" w:hAnsi="Book Antiqua" w:cs="SimSun"/>
          <w:i/>
          <w:iCs/>
          <w:kern w:val="0"/>
          <w:lang w:eastAsia="zh-CN"/>
        </w:rPr>
        <w:t>Lancet</w:t>
      </w:r>
      <w:r w:rsidRPr="00AE64F0">
        <w:rPr>
          <w:rFonts w:ascii="Book Antiqua" w:eastAsia="SimSun" w:hAnsi="Book Antiqua" w:cs="SimSun"/>
          <w:kern w:val="0"/>
          <w:lang w:eastAsia="zh-CN"/>
        </w:rPr>
        <w:t xml:space="preserve"> 1983; </w:t>
      </w:r>
      <w:r w:rsidRPr="00AE64F0">
        <w:rPr>
          <w:rFonts w:ascii="Book Antiqua" w:eastAsia="SimSun" w:hAnsi="Book Antiqua" w:cs="SimSun"/>
          <w:b/>
          <w:bCs/>
          <w:kern w:val="0"/>
          <w:lang w:eastAsia="zh-CN"/>
        </w:rPr>
        <w:t>1</w:t>
      </w:r>
      <w:r w:rsidRPr="00AE64F0">
        <w:rPr>
          <w:rFonts w:ascii="Book Antiqua" w:eastAsia="SimSun" w:hAnsi="Book Antiqua" w:cs="SimSun"/>
          <w:kern w:val="0"/>
          <w:lang w:eastAsia="zh-CN"/>
        </w:rPr>
        <w:t>: 1273-1275 [PMID: 6134060 DOI: 10.1016/S0140-6736(83)92719-8]</w:t>
      </w:r>
    </w:p>
    <w:p w14:paraId="4080750F"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4 </w:t>
      </w:r>
      <w:r w:rsidRPr="00AE64F0">
        <w:rPr>
          <w:rFonts w:ascii="Book Antiqua" w:eastAsia="SimSun" w:hAnsi="Book Antiqua" w:cs="SimSun"/>
          <w:b/>
          <w:bCs/>
          <w:kern w:val="0"/>
          <w:lang w:eastAsia="zh-CN"/>
        </w:rPr>
        <w:t>Uemura N</w:t>
      </w:r>
      <w:r w:rsidRPr="00AE64F0">
        <w:rPr>
          <w:rFonts w:ascii="Book Antiqua" w:eastAsia="SimSun" w:hAnsi="Book Antiqua" w:cs="SimSun"/>
          <w:kern w:val="0"/>
          <w:lang w:eastAsia="zh-CN"/>
        </w:rPr>
        <w:t xml:space="preserve">, Okamoto S, Yamamoto S, Matsumura N, Yamaguchi S, Yamakido M, Taniyama K, Sasaki N, Schlemper RJ. Helicobacter pylori infection and the development of gastric cancer. </w:t>
      </w:r>
      <w:r w:rsidRPr="00AE64F0">
        <w:rPr>
          <w:rFonts w:ascii="Book Antiqua" w:eastAsia="SimSun" w:hAnsi="Book Antiqua" w:cs="SimSun"/>
          <w:i/>
          <w:iCs/>
          <w:kern w:val="0"/>
          <w:lang w:eastAsia="zh-CN"/>
        </w:rPr>
        <w:t>N Engl J Med</w:t>
      </w:r>
      <w:r w:rsidRPr="00AE64F0">
        <w:rPr>
          <w:rFonts w:ascii="Book Antiqua" w:eastAsia="SimSun" w:hAnsi="Book Antiqua" w:cs="SimSun"/>
          <w:kern w:val="0"/>
          <w:lang w:eastAsia="zh-CN"/>
        </w:rPr>
        <w:t xml:space="preserve"> 2001; </w:t>
      </w:r>
      <w:r w:rsidRPr="00AE64F0">
        <w:rPr>
          <w:rFonts w:ascii="Book Antiqua" w:eastAsia="SimSun" w:hAnsi="Book Antiqua" w:cs="SimSun"/>
          <w:b/>
          <w:bCs/>
          <w:kern w:val="0"/>
          <w:lang w:eastAsia="zh-CN"/>
        </w:rPr>
        <w:t>345</w:t>
      </w:r>
      <w:r w:rsidRPr="00AE64F0">
        <w:rPr>
          <w:rFonts w:ascii="Book Antiqua" w:eastAsia="SimSun" w:hAnsi="Book Antiqua" w:cs="SimSun"/>
          <w:kern w:val="0"/>
          <w:lang w:eastAsia="zh-CN"/>
        </w:rPr>
        <w:t>: 784-789 [PMID: 11556297 DOI: 10.1056/NEJMoa001999]</w:t>
      </w:r>
    </w:p>
    <w:p w14:paraId="1B17A4B5"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5 </w:t>
      </w:r>
      <w:r w:rsidRPr="00AE64F0">
        <w:rPr>
          <w:rFonts w:ascii="Book Antiqua" w:eastAsia="SimSun" w:hAnsi="Book Antiqua" w:cs="SimSun"/>
          <w:b/>
          <w:bCs/>
          <w:kern w:val="0"/>
          <w:lang w:eastAsia="zh-CN"/>
        </w:rPr>
        <w:t>Naylor GM</w:t>
      </w:r>
      <w:r w:rsidRPr="00AE64F0">
        <w:rPr>
          <w:rFonts w:ascii="Book Antiqua" w:eastAsia="SimSun" w:hAnsi="Book Antiqua" w:cs="SimSun"/>
          <w:kern w:val="0"/>
          <w:lang w:eastAsia="zh-CN"/>
        </w:rPr>
        <w:t xml:space="preserve">, Gotoda T, Dixon M, Shimoda T, Gatta L, Owen R, Tompkins D, Axon A. Why does Japan have a high incidence of gastric cancer? Comparison of gastritis between UK and Japanese patients. </w:t>
      </w:r>
      <w:r w:rsidRPr="00AE64F0">
        <w:rPr>
          <w:rFonts w:ascii="Book Antiqua" w:eastAsia="SimSun" w:hAnsi="Book Antiqua" w:cs="SimSun"/>
          <w:i/>
          <w:iCs/>
          <w:kern w:val="0"/>
          <w:lang w:eastAsia="zh-CN"/>
        </w:rPr>
        <w:t>Gut</w:t>
      </w:r>
      <w:r w:rsidRPr="00AE64F0">
        <w:rPr>
          <w:rFonts w:ascii="Book Antiqua" w:eastAsia="SimSun" w:hAnsi="Book Antiqua" w:cs="SimSun"/>
          <w:kern w:val="0"/>
          <w:lang w:eastAsia="zh-CN"/>
        </w:rPr>
        <w:t xml:space="preserve"> 2006; </w:t>
      </w:r>
      <w:r w:rsidRPr="00AE64F0">
        <w:rPr>
          <w:rFonts w:ascii="Book Antiqua" w:eastAsia="SimSun" w:hAnsi="Book Antiqua" w:cs="SimSun"/>
          <w:b/>
          <w:bCs/>
          <w:kern w:val="0"/>
          <w:lang w:eastAsia="zh-CN"/>
        </w:rPr>
        <w:t>55</w:t>
      </w:r>
      <w:r w:rsidRPr="00AE64F0">
        <w:rPr>
          <w:rFonts w:ascii="Book Antiqua" w:eastAsia="SimSun" w:hAnsi="Book Antiqua" w:cs="SimSun"/>
          <w:kern w:val="0"/>
          <w:lang w:eastAsia="zh-CN"/>
        </w:rPr>
        <w:t>: 1545-1552 [PMID: 16603635 DOI: 10.1136/gut.2005.080358]</w:t>
      </w:r>
    </w:p>
    <w:p w14:paraId="75166893" w14:textId="04A13339"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6 </w:t>
      </w:r>
      <w:r w:rsidRPr="00AE64F0">
        <w:rPr>
          <w:rFonts w:ascii="Book Antiqua" w:eastAsia="SimSun" w:hAnsi="Book Antiqua" w:cs="SimSun"/>
          <w:b/>
          <w:kern w:val="0"/>
          <w:lang w:eastAsia="zh-CN"/>
        </w:rPr>
        <w:t>Kimura K</w:t>
      </w:r>
      <w:r w:rsidRPr="00AE64F0">
        <w:rPr>
          <w:rFonts w:ascii="Book Antiqua" w:eastAsia="SimSun" w:hAnsi="Book Antiqua" w:cs="SimSun"/>
          <w:kern w:val="0"/>
          <w:lang w:eastAsia="zh-CN"/>
        </w:rPr>
        <w:t xml:space="preserve">, Takemoto T. </w:t>
      </w:r>
      <w:bookmarkStart w:id="352" w:name="OLE_LINK2013"/>
      <w:bookmarkStart w:id="353" w:name="OLE_LINK2014"/>
      <w:r w:rsidRPr="00AE64F0">
        <w:rPr>
          <w:rFonts w:ascii="Book Antiqua" w:eastAsia="SimSun" w:hAnsi="Book Antiqua" w:cs="SimSun"/>
          <w:kern w:val="0"/>
          <w:lang w:eastAsia="zh-CN"/>
        </w:rPr>
        <w:t>An endoscopic recognition of the atrophic border and its significance in chronic gastritis</w:t>
      </w:r>
      <w:bookmarkEnd w:id="352"/>
      <w:bookmarkEnd w:id="353"/>
      <w:r w:rsidRPr="00AE64F0">
        <w:rPr>
          <w:rFonts w:ascii="Book Antiqua" w:eastAsia="SimSun" w:hAnsi="Book Antiqua" w:cs="SimSun"/>
          <w:kern w:val="0"/>
          <w:lang w:eastAsia="zh-CN"/>
        </w:rPr>
        <w:t xml:space="preserve">. </w:t>
      </w:r>
      <w:bookmarkStart w:id="354" w:name="OLE_LINK2011"/>
      <w:bookmarkStart w:id="355" w:name="OLE_LINK2012"/>
      <w:r w:rsidRPr="00AE64F0">
        <w:rPr>
          <w:rFonts w:ascii="Book Antiqua" w:eastAsia="SimSun" w:hAnsi="Book Antiqua" w:cs="SimSun"/>
          <w:i/>
          <w:kern w:val="0"/>
          <w:lang w:eastAsia="zh-CN"/>
        </w:rPr>
        <w:t>Endoscopy</w:t>
      </w:r>
      <w:r w:rsidRPr="00AE64F0">
        <w:rPr>
          <w:rFonts w:ascii="Book Antiqua" w:eastAsia="SimSun" w:hAnsi="Book Antiqua" w:cs="SimSun"/>
          <w:kern w:val="0"/>
          <w:lang w:eastAsia="zh-CN"/>
        </w:rPr>
        <w:t xml:space="preserve"> 1969; </w:t>
      </w:r>
      <w:r w:rsidRPr="00AE64F0">
        <w:rPr>
          <w:rFonts w:ascii="Book Antiqua" w:eastAsia="SimSun" w:hAnsi="Book Antiqua" w:cs="SimSun"/>
          <w:b/>
          <w:kern w:val="0"/>
          <w:lang w:eastAsia="zh-CN"/>
        </w:rPr>
        <w:t>1</w:t>
      </w:r>
      <w:r w:rsidR="00F743FC" w:rsidRPr="004865E7">
        <w:rPr>
          <w:rFonts w:ascii="Book Antiqua" w:eastAsia="SimSun" w:hAnsi="Book Antiqua" w:cs="SimSun"/>
          <w:kern w:val="0"/>
          <w:lang w:eastAsia="zh-CN"/>
        </w:rPr>
        <w:t>: 87–97</w:t>
      </w:r>
      <w:bookmarkEnd w:id="354"/>
      <w:bookmarkEnd w:id="355"/>
      <w:r w:rsidRPr="00AE64F0">
        <w:rPr>
          <w:rFonts w:ascii="Book Antiqua" w:eastAsia="SimSun" w:hAnsi="Book Antiqua" w:cs="SimSun"/>
          <w:kern w:val="0"/>
          <w:lang w:eastAsia="zh-CN"/>
        </w:rPr>
        <w:t xml:space="preserve"> [DOI: 10.1055/s-0028-1098086]</w:t>
      </w:r>
    </w:p>
    <w:p w14:paraId="77B6D1C6" w14:textId="056D3A4E"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7 </w:t>
      </w:r>
      <w:r w:rsidRPr="00AE64F0">
        <w:rPr>
          <w:rFonts w:ascii="Book Antiqua" w:eastAsia="SimSun" w:hAnsi="Book Antiqua" w:cs="SimSun"/>
          <w:b/>
          <w:kern w:val="0"/>
          <w:lang w:eastAsia="zh-CN"/>
        </w:rPr>
        <w:t>Takemoto T</w:t>
      </w:r>
      <w:r w:rsidRPr="00AE64F0">
        <w:rPr>
          <w:rFonts w:ascii="Book Antiqua" w:eastAsia="SimSun" w:hAnsi="Book Antiqua" w:cs="SimSun"/>
          <w:kern w:val="0"/>
          <w:lang w:eastAsia="zh-CN"/>
        </w:rPr>
        <w:t xml:space="preserve">. Endoscopic diagnosis of chronic gastritis. </w:t>
      </w:r>
      <w:bookmarkStart w:id="356" w:name="OLE_LINK2015"/>
      <w:bookmarkStart w:id="357" w:name="OLE_LINK2016"/>
      <w:r w:rsidRPr="00AE64F0">
        <w:rPr>
          <w:rFonts w:ascii="Book Antiqua" w:eastAsia="SimSun" w:hAnsi="Book Antiqua" w:cs="SimSun"/>
          <w:i/>
          <w:kern w:val="0"/>
          <w:lang w:eastAsia="zh-CN"/>
        </w:rPr>
        <w:t xml:space="preserve">Diagnosis and Treatment </w:t>
      </w:r>
      <w:r w:rsidR="00F743FC" w:rsidRPr="004865E7">
        <w:rPr>
          <w:rFonts w:ascii="Book Antiqua" w:eastAsia="SimSun" w:hAnsi="Book Antiqua" w:cs="SimSun"/>
          <w:kern w:val="0"/>
          <w:lang w:eastAsia="zh-CN"/>
        </w:rPr>
        <w:t xml:space="preserve">1966; </w:t>
      </w:r>
      <w:r w:rsidR="00F743FC" w:rsidRPr="004865E7">
        <w:rPr>
          <w:rFonts w:ascii="Book Antiqua" w:eastAsia="SimSun" w:hAnsi="Book Antiqua" w:cs="SimSun"/>
          <w:b/>
          <w:kern w:val="0"/>
          <w:lang w:eastAsia="zh-CN"/>
        </w:rPr>
        <w:t>54</w:t>
      </w:r>
      <w:r w:rsidR="00F743FC" w:rsidRPr="004865E7">
        <w:rPr>
          <w:rFonts w:ascii="Book Antiqua" w:eastAsia="SimSun" w:hAnsi="Book Antiqua" w:cs="SimSun"/>
          <w:kern w:val="0"/>
          <w:lang w:eastAsia="zh-CN"/>
        </w:rPr>
        <w:t>: 1274–</w:t>
      </w:r>
      <w:r w:rsidR="00F743FC" w:rsidRPr="004865E7">
        <w:rPr>
          <w:rFonts w:ascii="Book Antiqua" w:eastAsia="SimSun" w:hAnsi="Book Antiqua" w:cs="SimSun" w:hint="eastAsia"/>
          <w:kern w:val="0"/>
          <w:lang w:eastAsia="zh-CN"/>
        </w:rPr>
        <w:t>12</w:t>
      </w:r>
      <w:r w:rsidR="00F743FC" w:rsidRPr="004865E7">
        <w:rPr>
          <w:rFonts w:ascii="Book Antiqua" w:eastAsia="SimSun" w:hAnsi="Book Antiqua" w:cs="SimSun"/>
          <w:kern w:val="0"/>
          <w:lang w:eastAsia="zh-CN"/>
        </w:rPr>
        <w:t>85</w:t>
      </w:r>
    </w:p>
    <w:bookmarkEnd w:id="356"/>
    <w:bookmarkEnd w:id="357"/>
    <w:p w14:paraId="3B9A9B3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8 </w:t>
      </w:r>
      <w:r w:rsidRPr="00AE64F0">
        <w:rPr>
          <w:rFonts w:ascii="Book Antiqua" w:eastAsia="SimSun" w:hAnsi="Book Antiqua" w:cs="SimSun"/>
          <w:b/>
          <w:bCs/>
          <w:kern w:val="0"/>
          <w:lang w:eastAsia="zh-CN"/>
        </w:rPr>
        <w:t>Yoshimura T</w:t>
      </w:r>
      <w:r w:rsidRPr="00AE64F0">
        <w:rPr>
          <w:rFonts w:ascii="Book Antiqua" w:eastAsia="SimSun" w:hAnsi="Book Antiqua" w:cs="SimSun"/>
          <w:kern w:val="0"/>
          <w:lang w:eastAsia="zh-CN"/>
        </w:rPr>
        <w:t xml:space="preserve">, Shimoyama T, Fukuda S, Tanaka M, Axon AT, Munakata A. Most gastric cancer occurs on the distal side of the endoscopic atrophic border. </w:t>
      </w:r>
      <w:r w:rsidRPr="00AE64F0">
        <w:rPr>
          <w:rFonts w:ascii="Book Antiqua" w:eastAsia="SimSun" w:hAnsi="Book Antiqua" w:cs="SimSun"/>
          <w:i/>
          <w:iCs/>
          <w:kern w:val="0"/>
          <w:lang w:eastAsia="zh-CN"/>
        </w:rPr>
        <w:t>Scand J Gastroenterol</w:t>
      </w:r>
      <w:r w:rsidRPr="00AE64F0">
        <w:rPr>
          <w:rFonts w:ascii="Book Antiqua" w:eastAsia="SimSun" w:hAnsi="Book Antiqua" w:cs="SimSun"/>
          <w:kern w:val="0"/>
          <w:lang w:eastAsia="zh-CN"/>
        </w:rPr>
        <w:t xml:space="preserve"> 1999; </w:t>
      </w:r>
      <w:r w:rsidRPr="00AE64F0">
        <w:rPr>
          <w:rFonts w:ascii="Book Antiqua" w:eastAsia="SimSun" w:hAnsi="Book Antiqua" w:cs="SimSun"/>
          <w:b/>
          <w:bCs/>
          <w:kern w:val="0"/>
          <w:lang w:eastAsia="zh-CN"/>
        </w:rPr>
        <w:t>34</w:t>
      </w:r>
      <w:r w:rsidRPr="00AE64F0">
        <w:rPr>
          <w:rFonts w:ascii="Book Antiqua" w:eastAsia="SimSun" w:hAnsi="Book Antiqua" w:cs="SimSun"/>
          <w:kern w:val="0"/>
          <w:lang w:eastAsia="zh-CN"/>
        </w:rPr>
        <w:t>: 1077-1081 [PMID: 10582756 DOI: 10.1080/003655299750024850]</w:t>
      </w:r>
    </w:p>
    <w:p w14:paraId="3541FB7A"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9 </w:t>
      </w:r>
      <w:r w:rsidRPr="00AE64F0">
        <w:rPr>
          <w:rFonts w:ascii="Book Antiqua" w:eastAsia="SimSun" w:hAnsi="Book Antiqua" w:cs="SimSun"/>
          <w:b/>
          <w:bCs/>
          <w:kern w:val="0"/>
          <w:lang w:eastAsia="zh-CN"/>
        </w:rPr>
        <w:t>Kuipers EJ</w:t>
      </w:r>
      <w:r w:rsidRPr="00AE64F0">
        <w:rPr>
          <w:rFonts w:ascii="Book Antiqua" w:eastAsia="SimSun" w:hAnsi="Book Antiqua" w:cs="SimSun"/>
          <w:kern w:val="0"/>
          <w:lang w:eastAsia="zh-CN"/>
        </w:rPr>
        <w:t xml:space="preserve">, Uyterlinde AM, Peña AS, Roosendaal R, Pals G, Nelis GF, Festen HP, Meuwissen SG. Long-term sequelae of Helicobacter pylori gastritis. </w:t>
      </w:r>
      <w:r w:rsidRPr="00AE64F0">
        <w:rPr>
          <w:rFonts w:ascii="Book Antiqua" w:eastAsia="SimSun" w:hAnsi="Book Antiqua" w:cs="SimSun"/>
          <w:i/>
          <w:iCs/>
          <w:kern w:val="0"/>
          <w:lang w:eastAsia="zh-CN"/>
        </w:rPr>
        <w:t>Lancet</w:t>
      </w:r>
      <w:r w:rsidRPr="00AE64F0">
        <w:rPr>
          <w:rFonts w:ascii="Book Antiqua" w:eastAsia="SimSun" w:hAnsi="Book Antiqua" w:cs="SimSun"/>
          <w:kern w:val="0"/>
          <w:lang w:eastAsia="zh-CN"/>
        </w:rPr>
        <w:t xml:space="preserve"> 1995; </w:t>
      </w:r>
      <w:r w:rsidRPr="00AE64F0">
        <w:rPr>
          <w:rFonts w:ascii="Book Antiqua" w:eastAsia="SimSun" w:hAnsi="Book Antiqua" w:cs="SimSun"/>
          <w:b/>
          <w:bCs/>
          <w:kern w:val="0"/>
          <w:lang w:eastAsia="zh-CN"/>
        </w:rPr>
        <w:t>345</w:t>
      </w:r>
      <w:r w:rsidRPr="00AE64F0">
        <w:rPr>
          <w:rFonts w:ascii="Book Antiqua" w:eastAsia="SimSun" w:hAnsi="Book Antiqua" w:cs="SimSun"/>
          <w:kern w:val="0"/>
          <w:lang w:eastAsia="zh-CN"/>
        </w:rPr>
        <w:t>: 1525-1528 [PMID: 7791437 DOI: 10.1016/S0140-6736(95)91084-0]</w:t>
      </w:r>
    </w:p>
    <w:p w14:paraId="3F595761" w14:textId="6D21A53A"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lastRenderedPageBreak/>
        <w:t xml:space="preserve">10 </w:t>
      </w:r>
      <w:r w:rsidRPr="00AE64F0">
        <w:rPr>
          <w:rFonts w:ascii="Book Antiqua" w:eastAsia="SimSun" w:hAnsi="Book Antiqua" w:cs="SimSun"/>
          <w:b/>
          <w:bCs/>
          <w:kern w:val="0"/>
          <w:lang w:eastAsia="zh-CN"/>
        </w:rPr>
        <w:t>Price AB</w:t>
      </w:r>
      <w:r w:rsidRPr="00AE64F0">
        <w:rPr>
          <w:rFonts w:ascii="Book Antiqua" w:eastAsia="SimSun" w:hAnsi="Book Antiqua" w:cs="SimSun"/>
          <w:kern w:val="0"/>
          <w:lang w:eastAsia="zh-CN"/>
        </w:rPr>
        <w:t xml:space="preserve">. The Sydney System: histological division. </w:t>
      </w:r>
      <w:r w:rsidRPr="00AE64F0">
        <w:rPr>
          <w:rFonts w:ascii="Book Antiqua" w:eastAsia="SimSun" w:hAnsi="Book Antiqua" w:cs="SimSun"/>
          <w:i/>
          <w:iCs/>
          <w:kern w:val="0"/>
          <w:lang w:eastAsia="zh-CN"/>
        </w:rPr>
        <w:t>J Gastroenterol Hepatol</w:t>
      </w:r>
      <w:r w:rsidRPr="00AE64F0">
        <w:rPr>
          <w:rFonts w:ascii="Book Antiqua" w:eastAsia="SimSun" w:hAnsi="Book Antiqua" w:cs="SimSun"/>
          <w:kern w:val="0"/>
          <w:lang w:eastAsia="zh-CN"/>
        </w:rPr>
        <w:t xml:space="preserve"> </w:t>
      </w:r>
      <w:r w:rsidR="00F743FC" w:rsidRPr="004865E7">
        <w:rPr>
          <w:rFonts w:ascii="Book Antiqua" w:eastAsia="SimSun" w:hAnsi="Book Antiqua" w:cs="SimSun" w:hint="eastAsia"/>
          <w:kern w:val="0"/>
          <w:lang w:eastAsia="zh-CN"/>
        </w:rPr>
        <w:t>1991</w:t>
      </w:r>
      <w:r w:rsidRPr="00AE64F0">
        <w:rPr>
          <w:rFonts w:ascii="Book Antiqua" w:eastAsia="SimSun" w:hAnsi="Book Antiqua" w:cs="SimSun"/>
          <w:kern w:val="0"/>
          <w:lang w:eastAsia="zh-CN"/>
        </w:rPr>
        <w:t xml:space="preserve">; </w:t>
      </w:r>
      <w:r w:rsidRPr="00AE64F0">
        <w:rPr>
          <w:rFonts w:ascii="Book Antiqua" w:eastAsia="SimSun" w:hAnsi="Book Antiqua" w:cs="SimSun"/>
          <w:b/>
          <w:bCs/>
          <w:kern w:val="0"/>
          <w:lang w:eastAsia="zh-CN"/>
        </w:rPr>
        <w:t>6</w:t>
      </w:r>
      <w:r w:rsidRPr="00AE64F0">
        <w:rPr>
          <w:rFonts w:ascii="Book Antiqua" w:eastAsia="SimSun" w:hAnsi="Book Antiqua" w:cs="SimSun"/>
          <w:kern w:val="0"/>
          <w:lang w:eastAsia="zh-CN"/>
        </w:rPr>
        <w:t>: 209-222 [PMID: 1912431 DOI: 10.1111/j.1440-1746.1991.tb01468.x]</w:t>
      </w:r>
    </w:p>
    <w:p w14:paraId="6179F8D5"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11 </w:t>
      </w:r>
      <w:r w:rsidRPr="00AE64F0">
        <w:rPr>
          <w:rFonts w:ascii="Book Antiqua" w:eastAsia="SimSun" w:hAnsi="Book Antiqua" w:cs="SimSun"/>
          <w:b/>
          <w:bCs/>
          <w:kern w:val="0"/>
          <w:lang w:eastAsia="zh-CN"/>
        </w:rPr>
        <w:t>Bah A</w:t>
      </w:r>
      <w:r w:rsidRPr="00AE64F0">
        <w:rPr>
          <w:rFonts w:ascii="Book Antiqua" w:eastAsia="SimSun" w:hAnsi="Book Antiqua" w:cs="SimSun"/>
          <w:kern w:val="0"/>
          <w:lang w:eastAsia="zh-CN"/>
        </w:rPr>
        <w:t xml:space="preserve">, Saraga E, Armstrong D, Vouillamoz D, Dorta G, Duroux P, Weber B, Froehlich F, Blum AL, Schnegg JF. Endoscopic features of Helicobacter pylori-related gastritis. </w:t>
      </w:r>
      <w:r w:rsidRPr="00AE64F0">
        <w:rPr>
          <w:rFonts w:ascii="Book Antiqua" w:eastAsia="SimSun" w:hAnsi="Book Antiqua" w:cs="SimSun"/>
          <w:i/>
          <w:iCs/>
          <w:kern w:val="0"/>
          <w:lang w:eastAsia="zh-CN"/>
        </w:rPr>
        <w:t>Endoscopy</w:t>
      </w:r>
      <w:r w:rsidRPr="00AE64F0">
        <w:rPr>
          <w:rFonts w:ascii="Book Antiqua" w:eastAsia="SimSun" w:hAnsi="Book Antiqua" w:cs="SimSun"/>
          <w:kern w:val="0"/>
          <w:lang w:eastAsia="zh-CN"/>
        </w:rPr>
        <w:t xml:space="preserve"> 1995; </w:t>
      </w:r>
      <w:r w:rsidRPr="00AE64F0">
        <w:rPr>
          <w:rFonts w:ascii="Book Antiqua" w:eastAsia="SimSun" w:hAnsi="Book Antiqua" w:cs="SimSun"/>
          <w:b/>
          <w:bCs/>
          <w:kern w:val="0"/>
          <w:lang w:eastAsia="zh-CN"/>
        </w:rPr>
        <w:t>27</w:t>
      </w:r>
      <w:r w:rsidRPr="00AE64F0">
        <w:rPr>
          <w:rFonts w:ascii="Book Antiqua" w:eastAsia="SimSun" w:hAnsi="Book Antiqua" w:cs="SimSun"/>
          <w:kern w:val="0"/>
          <w:lang w:eastAsia="zh-CN"/>
        </w:rPr>
        <w:t>: 593-596 [PMID: 8608753 DOI: 10.1055/s-2007-1005764]</w:t>
      </w:r>
    </w:p>
    <w:p w14:paraId="1F4BDFFE"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12 </w:t>
      </w:r>
      <w:r w:rsidRPr="00AE64F0">
        <w:rPr>
          <w:rFonts w:ascii="Book Antiqua" w:eastAsia="SimSun" w:hAnsi="Book Antiqua" w:cs="SimSun"/>
          <w:b/>
          <w:bCs/>
          <w:kern w:val="0"/>
          <w:lang w:eastAsia="zh-CN"/>
        </w:rPr>
        <w:t>Redéen S</w:t>
      </w:r>
      <w:r w:rsidRPr="00AE64F0">
        <w:rPr>
          <w:rFonts w:ascii="Book Antiqua" w:eastAsia="SimSun" w:hAnsi="Book Antiqua" w:cs="SimSun"/>
          <w:kern w:val="0"/>
          <w:lang w:eastAsia="zh-CN"/>
        </w:rPr>
        <w:t xml:space="preserve">, Petersson F, Jönsson KA, Borch K. Relationship of gastroscopic features to histological findings in gastritis and Helicobacter pylori infection in a general population sample. </w:t>
      </w:r>
      <w:r w:rsidRPr="00AE64F0">
        <w:rPr>
          <w:rFonts w:ascii="Book Antiqua" w:eastAsia="SimSun" w:hAnsi="Book Antiqua" w:cs="SimSun"/>
          <w:i/>
          <w:iCs/>
          <w:kern w:val="0"/>
          <w:lang w:eastAsia="zh-CN"/>
        </w:rPr>
        <w:t>Endoscopy</w:t>
      </w:r>
      <w:r w:rsidRPr="00AE64F0">
        <w:rPr>
          <w:rFonts w:ascii="Book Antiqua" w:eastAsia="SimSun" w:hAnsi="Book Antiqua" w:cs="SimSun"/>
          <w:kern w:val="0"/>
          <w:lang w:eastAsia="zh-CN"/>
        </w:rPr>
        <w:t xml:space="preserve"> 2003; </w:t>
      </w:r>
      <w:r w:rsidRPr="00AE64F0">
        <w:rPr>
          <w:rFonts w:ascii="Book Antiqua" w:eastAsia="SimSun" w:hAnsi="Book Antiqua" w:cs="SimSun"/>
          <w:b/>
          <w:bCs/>
          <w:kern w:val="0"/>
          <w:lang w:eastAsia="zh-CN"/>
        </w:rPr>
        <w:t>35</w:t>
      </w:r>
      <w:r w:rsidRPr="00AE64F0">
        <w:rPr>
          <w:rFonts w:ascii="Book Antiqua" w:eastAsia="SimSun" w:hAnsi="Book Antiqua" w:cs="SimSun"/>
          <w:kern w:val="0"/>
          <w:lang w:eastAsia="zh-CN"/>
        </w:rPr>
        <w:t>: 946-950 [PMID: 14606018 DOI: 10.1055/s-2003-43479]</w:t>
      </w:r>
    </w:p>
    <w:p w14:paraId="3CDCDA3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13 </w:t>
      </w:r>
      <w:r w:rsidRPr="00AE64F0">
        <w:rPr>
          <w:rFonts w:ascii="Book Antiqua" w:eastAsia="SimSun" w:hAnsi="Book Antiqua" w:cs="SimSun"/>
          <w:b/>
          <w:bCs/>
          <w:kern w:val="0"/>
          <w:lang w:eastAsia="zh-CN"/>
        </w:rPr>
        <w:t>Dinis-Ribeiro M</w:t>
      </w:r>
      <w:r w:rsidRPr="00AE64F0">
        <w:rPr>
          <w:rFonts w:ascii="Book Antiqua" w:eastAsia="SimSun" w:hAnsi="Book Antiqua" w:cs="SimSun"/>
          <w:kern w:val="0"/>
          <w:lang w:eastAsia="zh-CN"/>
        </w:rPr>
        <w:t xml:space="preserve">, Areia M, de Vries AC, Marcos-Pinto R, Monteiro-Soares M, O'Connor A, Pereira C, Pimentel-Nunes P, Correia R, Ensari A, Dumonceau JM, Machado JC, Macedo G, Malfertheiner P, Matysiak-Budnik T, Megraud F, Miki K, O'Morain C, Peek RM, Ponchon T, Ristimaki A, Rembacken B, Carneiro F, Kuipers EJ. Management of precancerous conditions and lesions in the stomach (MAPS): guideline from the European Society of Gastrointestinal Endoscopy (ESGE), European Helicobacter Study Group (EHSG), European Society of Pathology (ESP), and the Sociedade Portuguesa de Endoscopia Digestiva (SPED). </w:t>
      </w:r>
      <w:r w:rsidRPr="00AE64F0">
        <w:rPr>
          <w:rFonts w:ascii="Book Antiqua" w:eastAsia="SimSun" w:hAnsi="Book Antiqua" w:cs="SimSun"/>
          <w:i/>
          <w:iCs/>
          <w:kern w:val="0"/>
          <w:lang w:eastAsia="zh-CN"/>
        </w:rPr>
        <w:t>Virchows Arch</w:t>
      </w:r>
      <w:r w:rsidRPr="00AE64F0">
        <w:rPr>
          <w:rFonts w:ascii="Book Antiqua" w:eastAsia="SimSun" w:hAnsi="Book Antiqua" w:cs="SimSun"/>
          <w:kern w:val="0"/>
          <w:lang w:eastAsia="zh-CN"/>
        </w:rPr>
        <w:t xml:space="preserve"> 2012; </w:t>
      </w:r>
      <w:r w:rsidRPr="00AE64F0">
        <w:rPr>
          <w:rFonts w:ascii="Book Antiqua" w:eastAsia="SimSun" w:hAnsi="Book Antiqua" w:cs="SimSun"/>
          <w:b/>
          <w:bCs/>
          <w:kern w:val="0"/>
          <w:lang w:eastAsia="zh-CN"/>
        </w:rPr>
        <w:t>460</w:t>
      </w:r>
      <w:r w:rsidRPr="00AE64F0">
        <w:rPr>
          <w:rFonts w:ascii="Book Antiqua" w:eastAsia="SimSun" w:hAnsi="Book Antiqua" w:cs="SimSun"/>
          <w:kern w:val="0"/>
          <w:lang w:eastAsia="zh-CN"/>
        </w:rPr>
        <w:t>: 19-46 [PMID: 22190006 DOI: 10.1007/s00428-011-1177-8]</w:t>
      </w:r>
    </w:p>
    <w:p w14:paraId="7FACE3C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14 </w:t>
      </w:r>
      <w:r w:rsidRPr="00AE64F0">
        <w:rPr>
          <w:rFonts w:ascii="Book Antiqua" w:eastAsia="SimSun" w:hAnsi="Book Antiqua" w:cs="SimSun"/>
          <w:b/>
          <w:bCs/>
          <w:kern w:val="0"/>
          <w:lang w:eastAsia="zh-CN"/>
        </w:rPr>
        <w:t>ATKINS L</w:t>
      </w:r>
      <w:r w:rsidRPr="00AE64F0">
        <w:rPr>
          <w:rFonts w:ascii="Book Antiqua" w:eastAsia="SimSun" w:hAnsi="Book Antiqua" w:cs="SimSun"/>
          <w:kern w:val="0"/>
          <w:lang w:eastAsia="zh-CN"/>
        </w:rPr>
        <w:t xml:space="preserve">, BENEDICT EB. Correlation of gross gastroscopic findings with gastroscopic biopsy in gastritis. </w:t>
      </w:r>
      <w:r w:rsidRPr="00AE64F0">
        <w:rPr>
          <w:rFonts w:ascii="Book Antiqua" w:eastAsia="SimSun" w:hAnsi="Book Antiqua" w:cs="SimSun"/>
          <w:i/>
          <w:iCs/>
          <w:kern w:val="0"/>
          <w:lang w:eastAsia="zh-CN"/>
        </w:rPr>
        <w:t>N Engl J Med</w:t>
      </w:r>
      <w:r w:rsidRPr="00AE64F0">
        <w:rPr>
          <w:rFonts w:ascii="Book Antiqua" w:eastAsia="SimSun" w:hAnsi="Book Antiqua" w:cs="SimSun"/>
          <w:kern w:val="0"/>
          <w:lang w:eastAsia="zh-CN"/>
        </w:rPr>
        <w:t xml:space="preserve"> 1956; </w:t>
      </w:r>
      <w:r w:rsidRPr="00AE64F0">
        <w:rPr>
          <w:rFonts w:ascii="Book Antiqua" w:eastAsia="SimSun" w:hAnsi="Book Antiqua" w:cs="SimSun"/>
          <w:b/>
          <w:bCs/>
          <w:kern w:val="0"/>
          <w:lang w:eastAsia="zh-CN"/>
        </w:rPr>
        <w:t>254</w:t>
      </w:r>
      <w:r w:rsidRPr="00AE64F0">
        <w:rPr>
          <w:rFonts w:ascii="Book Antiqua" w:eastAsia="SimSun" w:hAnsi="Book Antiqua" w:cs="SimSun"/>
          <w:kern w:val="0"/>
          <w:lang w:eastAsia="zh-CN"/>
        </w:rPr>
        <w:t>: 641-644 [PMID: 13309650 DOI: 10.1056/NEJM195604052541403]</w:t>
      </w:r>
    </w:p>
    <w:p w14:paraId="26ABE533"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15 </w:t>
      </w:r>
      <w:r w:rsidRPr="00AE64F0">
        <w:rPr>
          <w:rFonts w:ascii="Book Antiqua" w:eastAsia="SimSun" w:hAnsi="Book Antiqua" w:cs="SimSun"/>
          <w:b/>
          <w:bCs/>
          <w:kern w:val="0"/>
          <w:lang w:eastAsia="zh-CN"/>
        </w:rPr>
        <w:t>Eshmuratov A</w:t>
      </w:r>
      <w:r w:rsidRPr="00AE64F0">
        <w:rPr>
          <w:rFonts w:ascii="Book Antiqua" w:eastAsia="SimSun" w:hAnsi="Book Antiqua" w:cs="SimSun"/>
          <w:kern w:val="0"/>
          <w:lang w:eastAsia="zh-CN"/>
        </w:rPr>
        <w:t xml:space="preserve">, Nah JC, Kim N, Lee HS, Lee HE, Lee BH, Uhm MS, Park YS, Lee DH, Jung HC, Song IS. The correlation of endoscopic and histological diagnosis of gastric atrophy. </w:t>
      </w:r>
      <w:r w:rsidRPr="00AE64F0">
        <w:rPr>
          <w:rFonts w:ascii="Book Antiqua" w:eastAsia="SimSun" w:hAnsi="Book Antiqua" w:cs="SimSun"/>
          <w:i/>
          <w:iCs/>
          <w:kern w:val="0"/>
          <w:lang w:eastAsia="zh-CN"/>
        </w:rPr>
        <w:t>Dig Dis Sci</w:t>
      </w:r>
      <w:r w:rsidRPr="00AE64F0">
        <w:rPr>
          <w:rFonts w:ascii="Book Antiqua" w:eastAsia="SimSun" w:hAnsi="Book Antiqua" w:cs="SimSun"/>
          <w:kern w:val="0"/>
          <w:lang w:eastAsia="zh-CN"/>
        </w:rPr>
        <w:t xml:space="preserve"> 2010; </w:t>
      </w:r>
      <w:r w:rsidRPr="00AE64F0">
        <w:rPr>
          <w:rFonts w:ascii="Book Antiqua" w:eastAsia="SimSun" w:hAnsi="Book Antiqua" w:cs="SimSun"/>
          <w:b/>
          <w:bCs/>
          <w:kern w:val="0"/>
          <w:lang w:eastAsia="zh-CN"/>
        </w:rPr>
        <w:t>55</w:t>
      </w:r>
      <w:r w:rsidRPr="00AE64F0">
        <w:rPr>
          <w:rFonts w:ascii="Book Antiqua" w:eastAsia="SimSun" w:hAnsi="Book Antiqua" w:cs="SimSun"/>
          <w:kern w:val="0"/>
          <w:lang w:eastAsia="zh-CN"/>
        </w:rPr>
        <w:t>: 1364-1375 [PMID: 19629687 DOI: 10.1007/s10620-009-0891-4]</w:t>
      </w:r>
    </w:p>
    <w:p w14:paraId="2B849225"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16 </w:t>
      </w:r>
      <w:r w:rsidRPr="00AE64F0">
        <w:rPr>
          <w:rFonts w:ascii="Book Antiqua" w:eastAsia="SimSun" w:hAnsi="Book Antiqua" w:cs="SimSun"/>
          <w:b/>
          <w:bCs/>
          <w:kern w:val="0"/>
          <w:lang w:eastAsia="zh-CN"/>
        </w:rPr>
        <w:t>Takao T</w:t>
      </w:r>
      <w:r w:rsidRPr="00AE64F0">
        <w:rPr>
          <w:rFonts w:ascii="Book Antiqua" w:eastAsia="SimSun" w:hAnsi="Book Antiqua" w:cs="SimSun"/>
          <w:kern w:val="0"/>
          <w:lang w:eastAsia="zh-CN"/>
        </w:rPr>
        <w:t xml:space="preserve">, Ishikawa T, Ando T, Takao M, Matsumoto T, Isozaki Y, Okita M, Nagao Y, Oyamada H, Yokoyama K, Tatebe A, Uchiyama K, Handa O, Takagi </w:t>
      </w:r>
      <w:r w:rsidRPr="00AE64F0">
        <w:rPr>
          <w:rFonts w:ascii="Book Antiqua" w:eastAsia="SimSun" w:hAnsi="Book Antiqua" w:cs="SimSun"/>
          <w:kern w:val="0"/>
          <w:lang w:eastAsia="zh-CN"/>
        </w:rPr>
        <w:lastRenderedPageBreak/>
        <w:t xml:space="preserve">T, Yagi N, Kokura S, Naito Y, Yoshikawa T. Multifaceted Assessment of Chronic Gastritis: A Study of Correlations between Serological, Endoscopic, and Histological Diagnostics. </w:t>
      </w:r>
      <w:r w:rsidRPr="00AE64F0">
        <w:rPr>
          <w:rFonts w:ascii="Book Antiqua" w:eastAsia="SimSun" w:hAnsi="Book Antiqua" w:cs="SimSun"/>
          <w:i/>
          <w:iCs/>
          <w:kern w:val="0"/>
          <w:lang w:eastAsia="zh-CN"/>
        </w:rPr>
        <w:t>Gastroenterol Res Pract</w:t>
      </w:r>
      <w:r w:rsidRPr="00AE64F0">
        <w:rPr>
          <w:rFonts w:ascii="Book Antiqua" w:eastAsia="SimSun" w:hAnsi="Book Antiqua" w:cs="SimSun"/>
          <w:kern w:val="0"/>
          <w:lang w:eastAsia="zh-CN"/>
        </w:rPr>
        <w:t xml:space="preserve"> 2011; </w:t>
      </w:r>
      <w:r w:rsidRPr="00AE64F0">
        <w:rPr>
          <w:rFonts w:ascii="Book Antiqua" w:eastAsia="SimSun" w:hAnsi="Book Antiqua" w:cs="SimSun"/>
          <w:b/>
          <w:bCs/>
          <w:kern w:val="0"/>
          <w:lang w:eastAsia="zh-CN"/>
        </w:rPr>
        <w:t>2011</w:t>
      </w:r>
      <w:r w:rsidRPr="00AE64F0">
        <w:rPr>
          <w:rFonts w:ascii="Book Antiqua" w:eastAsia="SimSun" w:hAnsi="Book Antiqua" w:cs="SimSun"/>
          <w:kern w:val="0"/>
          <w:lang w:eastAsia="zh-CN"/>
        </w:rPr>
        <w:t>: 631461 [PMID: 21776250 DOI: 10.1155/2011/631461]</w:t>
      </w:r>
    </w:p>
    <w:p w14:paraId="17E76D43"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17 </w:t>
      </w:r>
      <w:r w:rsidRPr="00AE64F0">
        <w:rPr>
          <w:rFonts w:ascii="Book Antiqua" w:eastAsia="SimSun" w:hAnsi="Book Antiqua" w:cs="SimSun"/>
          <w:b/>
          <w:bCs/>
          <w:kern w:val="0"/>
          <w:lang w:eastAsia="zh-CN"/>
        </w:rPr>
        <w:t>Quach DT</w:t>
      </w:r>
      <w:r w:rsidRPr="00AE64F0">
        <w:rPr>
          <w:rFonts w:ascii="Book Antiqua" w:eastAsia="SimSun" w:hAnsi="Book Antiqua" w:cs="SimSun"/>
          <w:kern w:val="0"/>
          <w:lang w:eastAsia="zh-CN"/>
        </w:rPr>
        <w:t xml:space="preserve">, Le HM, Hiyama T, Nguyen OT, Nguyen TS, Uemura N. Relationship between endoscopic and histologic gastric atrophy and intestinal metaplasia. </w:t>
      </w:r>
      <w:r w:rsidRPr="00AE64F0">
        <w:rPr>
          <w:rFonts w:ascii="Book Antiqua" w:eastAsia="SimSun" w:hAnsi="Book Antiqua" w:cs="SimSun"/>
          <w:i/>
          <w:iCs/>
          <w:kern w:val="0"/>
          <w:lang w:eastAsia="zh-CN"/>
        </w:rPr>
        <w:t>Helicobacter</w:t>
      </w:r>
      <w:r w:rsidRPr="00AE64F0">
        <w:rPr>
          <w:rFonts w:ascii="Book Antiqua" w:eastAsia="SimSun" w:hAnsi="Book Antiqua" w:cs="SimSun"/>
          <w:kern w:val="0"/>
          <w:lang w:eastAsia="zh-CN"/>
        </w:rPr>
        <w:t xml:space="preserve"> 2013; </w:t>
      </w:r>
      <w:r w:rsidRPr="00AE64F0">
        <w:rPr>
          <w:rFonts w:ascii="Book Antiqua" w:eastAsia="SimSun" w:hAnsi="Book Antiqua" w:cs="SimSun"/>
          <w:b/>
          <w:bCs/>
          <w:kern w:val="0"/>
          <w:lang w:eastAsia="zh-CN"/>
        </w:rPr>
        <w:t>18</w:t>
      </w:r>
      <w:r w:rsidRPr="00AE64F0">
        <w:rPr>
          <w:rFonts w:ascii="Book Antiqua" w:eastAsia="SimSun" w:hAnsi="Book Antiqua" w:cs="SimSun"/>
          <w:kern w:val="0"/>
          <w:lang w:eastAsia="zh-CN"/>
        </w:rPr>
        <w:t>: 151-157 [PMID: 23167960 DOI: 10.1111/hel.12027]</w:t>
      </w:r>
    </w:p>
    <w:p w14:paraId="24575252" w14:textId="77777777" w:rsidR="00AE64F0" w:rsidRPr="00AE64F0" w:rsidRDefault="00AE64F0" w:rsidP="00AE64F0">
      <w:pPr>
        <w:widowControl/>
        <w:spacing w:line="360" w:lineRule="auto"/>
        <w:rPr>
          <w:rFonts w:ascii="Book Antiqua" w:eastAsia="SimSun" w:hAnsi="Book Antiqua" w:cs="SimSun"/>
          <w:kern w:val="0"/>
          <w:lang w:eastAsia="zh-CN"/>
        </w:rPr>
      </w:pPr>
      <w:r w:rsidRPr="00230AD3">
        <w:rPr>
          <w:rFonts w:ascii="Book Antiqua" w:eastAsia="SimSun" w:hAnsi="Book Antiqua" w:cs="SimSun"/>
          <w:kern w:val="0"/>
          <w:lang w:val="es-ES_tradnl" w:eastAsia="zh-CN"/>
        </w:rPr>
        <w:t xml:space="preserve">18 </w:t>
      </w:r>
      <w:r w:rsidRPr="00230AD3">
        <w:rPr>
          <w:rFonts w:ascii="Book Antiqua" w:eastAsia="SimSun" w:hAnsi="Book Antiqua" w:cs="SimSun"/>
          <w:b/>
          <w:bCs/>
          <w:kern w:val="0"/>
          <w:lang w:val="es-ES_tradnl" w:eastAsia="zh-CN"/>
        </w:rPr>
        <w:t>Liu Y</w:t>
      </w:r>
      <w:r w:rsidRPr="00230AD3">
        <w:rPr>
          <w:rFonts w:ascii="Book Antiqua" w:eastAsia="SimSun" w:hAnsi="Book Antiqua" w:cs="SimSun"/>
          <w:kern w:val="0"/>
          <w:lang w:val="es-ES_tradnl" w:eastAsia="zh-CN"/>
        </w:rPr>
        <w:t xml:space="preserve">, Uemura N, Xiao SD, Tytgat GN, Kate FJ. </w:t>
      </w:r>
      <w:r w:rsidRPr="00AE64F0">
        <w:rPr>
          <w:rFonts w:ascii="Book Antiqua" w:eastAsia="SimSun" w:hAnsi="Book Antiqua" w:cs="SimSun"/>
          <w:kern w:val="0"/>
          <w:lang w:eastAsia="zh-CN"/>
        </w:rPr>
        <w:t xml:space="preserve">Agreement between endoscopic and histological gastric atrophy scores. </w:t>
      </w:r>
      <w:r w:rsidRPr="00AE64F0">
        <w:rPr>
          <w:rFonts w:ascii="Book Antiqua" w:eastAsia="SimSun" w:hAnsi="Book Antiqua" w:cs="SimSun"/>
          <w:i/>
          <w:iCs/>
          <w:kern w:val="0"/>
          <w:lang w:eastAsia="zh-CN"/>
        </w:rPr>
        <w:t>J Gastroenterol</w:t>
      </w:r>
      <w:r w:rsidRPr="00AE64F0">
        <w:rPr>
          <w:rFonts w:ascii="Book Antiqua" w:eastAsia="SimSun" w:hAnsi="Book Antiqua" w:cs="SimSun"/>
          <w:kern w:val="0"/>
          <w:lang w:eastAsia="zh-CN"/>
        </w:rPr>
        <w:t xml:space="preserve"> 2005; </w:t>
      </w:r>
      <w:r w:rsidRPr="00AE64F0">
        <w:rPr>
          <w:rFonts w:ascii="Book Antiqua" w:eastAsia="SimSun" w:hAnsi="Book Antiqua" w:cs="SimSun"/>
          <w:b/>
          <w:bCs/>
          <w:kern w:val="0"/>
          <w:lang w:eastAsia="zh-CN"/>
        </w:rPr>
        <w:t>40</w:t>
      </w:r>
      <w:r w:rsidRPr="00AE64F0">
        <w:rPr>
          <w:rFonts w:ascii="Book Antiqua" w:eastAsia="SimSun" w:hAnsi="Book Antiqua" w:cs="SimSun"/>
          <w:kern w:val="0"/>
          <w:lang w:eastAsia="zh-CN"/>
        </w:rPr>
        <w:t>: 123-127 [PMID: 15770394 DOI: 10.1007/s00535-004-1511-x]</w:t>
      </w:r>
    </w:p>
    <w:p w14:paraId="44FDE95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19 </w:t>
      </w:r>
      <w:r w:rsidRPr="00AE64F0">
        <w:rPr>
          <w:rFonts w:ascii="Book Antiqua" w:eastAsia="SimSun" w:hAnsi="Book Antiqua" w:cs="SimSun"/>
          <w:b/>
          <w:bCs/>
          <w:kern w:val="0"/>
          <w:lang w:eastAsia="zh-CN"/>
        </w:rPr>
        <w:t>el-Zimaity HM</w:t>
      </w:r>
      <w:r w:rsidRPr="00AE64F0">
        <w:rPr>
          <w:rFonts w:ascii="Book Antiqua" w:eastAsia="SimSun" w:hAnsi="Book Antiqua" w:cs="SimSun"/>
          <w:kern w:val="0"/>
          <w:lang w:eastAsia="zh-CN"/>
        </w:rPr>
        <w:t xml:space="preserve">, Graham DY, al-Assi MT, Malaty H, Karttunen TJ, Graham DP, Huberman RM, Genta RM. Interobserver variation in the histopathological assessment of Helicobacter pylori gastritis. </w:t>
      </w:r>
      <w:r w:rsidRPr="00AE64F0">
        <w:rPr>
          <w:rFonts w:ascii="Book Antiqua" w:eastAsia="SimSun" w:hAnsi="Book Antiqua" w:cs="SimSun"/>
          <w:i/>
          <w:iCs/>
          <w:kern w:val="0"/>
          <w:lang w:eastAsia="zh-CN"/>
        </w:rPr>
        <w:t>Hum Pathol</w:t>
      </w:r>
      <w:r w:rsidRPr="00AE64F0">
        <w:rPr>
          <w:rFonts w:ascii="Book Antiqua" w:eastAsia="SimSun" w:hAnsi="Book Antiqua" w:cs="SimSun"/>
          <w:kern w:val="0"/>
          <w:lang w:eastAsia="zh-CN"/>
        </w:rPr>
        <w:t xml:space="preserve"> 1996; </w:t>
      </w:r>
      <w:r w:rsidRPr="00AE64F0">
        <w:rPr>
          <w:rFonts w:ascii="Book Antiqua" w:eastAsia="SimSun" w:hAnsi="Book Antiqua" w:cs="SimSun"/>
          <w:b/>
          <w:bCs/>
          <w:kern w:val="0"/>
          <w:lang w:eastAsia="zh-CN"/>
        </w:rPr>
        <w:t>27</w:t>
      </w:r>
      <w:r w:rsidRPr="00AE64F0">
        <w:rPr>
          <w:rFonts w:ascii="Book Antiqua" w:eastAsia="SimSun" w:hAnsi="Book Antiqua" w:cs="SimSun"/>
          <w:kern w:val="0"/>
          <w:lang w:eastAsia="zh-CN"/>
        </w:rPr>
        <w:t>: 35-41 [PMID: 8543308 DOI: 10.1016/S0046-8177(96)90135-5]</w:t>
      </w:r>
    </w:p>
    <w:p w14:paraId="5BEE3288"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20 </w:t>
      </w:r>
      <w:r w:rsidRPr="00AE64F0">
        <w:rPr>
          <w:rFonts w:ascii="Book Antiqua" w:eastAsia="SimSun" w:hAnsi="Book Antiqua" w:cs="SimSun"/>
          <w:b/>
          <w:bCs/>
          <w:kern w:val="0"/>
          <w:lang w:eastAsia="zh-CN"/>
        </w:rPr>
        <w:t>Ruiz B</w:t>
      </w:r>
      <w:r w:rsidRPr="00AE64F0">
        <w:rPr>
          <w:rFonts w:ascii="Book Antiqua" w:eastAsia="SimSun" w:hAnsi="Book Antiqua" w:cs="SimSun"/>
          <w:kern w:val="0"/>
          <w:lang w:eastAsia="zh-CN"/>
        </w:rPr>
        <w:t xml:space="preserve">, Garay J, Johnson W, Li D, Rugge M, Dixon MF, Fiocca R, Genta RM, Hattori T, Lechago J, Price AB, Sipponen P, Solcia E, Watanabe H, Correa P. Morphometric assessment of gastric antral atrophy: comparison with visual evaluation. </w:t>
      </w:r>
      <w:r w:rsidRPr="00AE64F0">
        <w:rPr>
          <w:rFonts w:ascii="Book Antiqua" w:eastAsia="SimSun" w:hAnsi="Book Antiqua" w:cs="SimSun"/>
          <w:i/>
          <w:iCs/>
          <w:kern w:val="0"/>
          <w:lang w:eastAsia="zh-CN"/>
        </w:rPr>
        <w:t>Histopathology</w:t>
      </w:r>
      <w:r w:rsidRPr="00AE64F0">
        <w:rPr>
          <w:rFonts w:ascii="Book Antiqua" w:eastAsia="SimSun" w:hAnsi="Book Antiqua" w:cs="SimSun"/>
          <w:kern w:val="0"/>
          <w:lang w:eastAsia="zh-CN"/>
        </w:rPr>
        <w:t xml:space="preserve"> 2001; </w:t>
      </w:r>
      <w:r w:rsidRPr="00AE64F0">
        <w:rPr>
          <w:rFonts w:ascii="Book Antiqua" w:eastAsia="SimSun" w:hAnsi="Book Antiqua" w:cs="SimSun"/>
          <w:b/>
          <w:bCs/>
          <w:kern w:val="0"/>
          <w:lang w:eastAsia="zh-CN"/>
        </w:rPr>
        <w:t>39</w:t>
      </w:r>
      <w:r w:rsidRPr="00AE64F0">
        <w:rPr>
          <w:rFonts w:ascii="Book Antiqua" w:eastAsia="SimSun" w:hAnsi="Book Antiqua" w:cs="SimSun"/>
          <w:kern w:val="0"/>
          <w:lang w:eastAsia="zh-CN"/>
        </w:rPr>
        <w:t>: 235-242 [PMID: 11532033 DOI: 10.1046/j.1365-2559.2001.01221.x]</w:t>
      </w:r>
    </w:p>
    <w:p w14:paraId="5C156984"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21 </w:t>
      </w:r>
      <w:r w:rsidRPr="00AE64F0">
        <w:rPr>
          <w:rFonts w:ascii="Book Antiqua" w:eastAsia="SimSun" w:hAnsi="Book Antiqua" w:cs="SimSun"/>
          <w:b/>
          <w:bCs/>
          <w:kern w:val="0"/>
          <w:lang w:eastAsia="zh-CN"/>
        </w:rPr>
        <w:t>Landis JR</w:t>
      </w:r>
      <w:r w:rsidRPr="00AE64F0">
        <w:rPr>
          <w:rFonts w:ascii="Book Antiqua" w:eastAsia="SimSun" w:hAnsi="Book Antiqua" w:cs="SimSun"/>
          <w:kern w:val="0"/>
          <w:lang w:eastAsia="zh-CN"/>
        </w:rPr>
        <w:t xml:space="preserve">, Koch GG. The measurement of observer agreement for categorical data. </w:t>
      </w:r>
      <w:r w:rsidRPr="00AE64F0">
        <w:rPr>
          <w:rFonts w:ascii="Book Antiqua" w:eastAsia="SimSun" w:hAnsi="Book Antiqua" w:cs="SimSun"/>
          <w:i/>
          <w:iCs/>
          <w:kern w:val="0"/>
          <w:lang w:eastAsia="zh-CN"/>
        </w:rPr>
        <w:t>Biometrics</w:t>
      </w:r>
      <w:r w:rsidRPr="00AE64F0">
        <w:rPr>
          <w:rFonts w:ascii="Book Antiqua" w:eastAsia="SimSun" w:hAnsi="Book Antiqua" w:cs="SimSun"/>
          <w:kern w:val="0"/>
          <w:lang w:eastAsia="zh-CN"/>
        </w:rPr>
        <w:t xml:space="preserve"> 1977; </w:t>
      </w:r>
      <w:r w:rsidRPr="00AE64F0">
        <w:rPr>
          <w:rFonts w:ascii="Book Antiqua" w:eastAsia="SimSun" w:hAnsi="Book Antiqua" w:cs="SimSun"/>
          <w:b/>
          <w:bCs/>
          <w:kern w:val="0"/>
          <w:lang w:eastAsia="zh-CN"/>
        </w:rPr>
        <w:t>33</w:t>
      </w:r>
      <w:r w:rsidRPr="00AE64F0">
        <w:rPr>
          <w:rFonts w:ascii="Book Antiqua" w:eastAsia="SimSun" w:hAnsi="Book Antiqua" w:cs="SimSun"/>
          <w:kern w:val="0"/>
          <w:lang w:eastAsia="zh-CN"/>
        </w:rPr>
        <w:t>: 159-174 [PMID: 843571 DOI: 10.2307/2529310]</w:t>
      </w:r>
    </w:p>
    <w:p w14:paraId="3C7DCC30"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22 </w:t>
      </w:r>
      <w:r w:rsidRPr="00AE64F0">
        <w:rPr>
          <w:rFonts w:ascii="Book Antiqua" w:eastAsia="SimSun" w:hAnsi="Book Antiqua" w:cs="SimSun"/>
          <w:b/>
          <w:bCs/>
          <w:kern w:val="0"/>
          <w:lang w:eastAsia="zh-CN"/>
        </w:rPr>
        <w:t>Yamaoka Y</w:t>
      </w:r>
      <w:r w:rsidRPr="00AE64F0">
        <w:rPr>
          <w:rFonts w:ascii="Book Antiqua" w:eastAsia="SimSun" w:hAnsi="Book Antiqua" w:cs="SimSun"/>
          <w:kern w:val="0"/>
          <w:lang w:eastAsia="zh-CN"/>
        </w:rPr>
        <w:t xml:space="preserve">. Pathogenesis of Helicobacter pylori-Related Gastroduodenal Diseases from Molecular Epidemiological Studies. </w:t>
      </w:r>
      <w:r w:rsidRPr="00AE64F0">
        <w:rPr>
          <w:rFonts w:ascii="Book Antiqua" w:eastAsia="SimSun" w:hAnsi="Book Antiqua" w:cs="SimSun"/>
          <w:i/>
          <w:iCs/>
          <w:kern w:val="0"/>
          <w:lang w:eastAsia="zh-CN"/>
        </w:rPr>
        <w:t>Gastroenterol Res Pract</w:t>
      </w:r>
      <w:r w:rsidRPr="00AE64F0">
        <w:rPr>
          <w:rFonts w:ascii="Book Antiqua" w:eastAsia="SimSun" w:hAnsi="Book Antiqua" w:cs="SimSun"/>
          <w:kern w:val="0"/>
          <w:lang w:eastAsia="zh-CN"/>
        </w:rPr>
        <w:t xml:space="preserve"> 2012; </w:t>
      </w:r>
      <w:r w:rsidRPr="00AE64F0">
        <w:rPr>
          <w:rFonts w:ascii="Book Antiqua" w:eastAsia="SimSun" w:hAnsi="Book Antiqua" w:cs="SimSun"/>
          <w:b/>
          <w:bCs/>
          <w:kern w:val="0"/>
          <w:lang w:eastAsia="zh-CN"/>
        </w:rPr>
        <w:t>2012</w:t>
      </w:r>
      <w:r w:rsidRPr="00AE64F0">
        <w:rPr>
          <w:rFonts w:ascii="Book Antiqua" w:eastAsia="SimSun" w:hAnsi="Book Antiqua" w:cs="SimSun"/>
          <w:kern w:val="0"/>
          <w:lang w:eastAsia="zh-CN"/>
        </w:rPr>
        <w:t>: 371503 [PMID: 22829807 DOI: 10.1155/2012/371503]</w:t>
      </w:r>
    </w:p>
    <w:p w14:paraId="410F221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23 </w:t>
      </w:r>
      <w:r w:rsidRPr="00AE64F0">
        <w:rPr>
          <w:rFonts w:ascii="Book Antiqua" w:eastAsia="SimSun" w:hAnsi="Book Antiqua" w:cs="SimSun"/>
          <w:b/>
          <w:bCs/>
          <w:kern w:val="0"/>
          <w:lang w:eastAsia="zh-CN"/>
        </w:rPr>
        <w:t>Azuma T</w:t>
      </w:r>
      <w:r w:rsidRPr="00AE64F0">
        <w:rPr>
          <w:rFonts w:ascii="Book Antiqua" w:eastAsia="SimSun" w:hAnsi="Book Antiqua" w:cs="SimSun"/>
          <w:kern w:val="0"/>
          <w:lang w:eastAsia="zh-CN"/>
        </w:rPr>
        <w:t xml:space="preserve">. Helicobacter pylori CagA protein variation associated with gastric cancer in Asia. </w:t>
      </w:r>
      <w:r w:rsidRPr="00AE64F0">
        <w:rPr>
          <w:rFonts w:ascii="Book Antiqua" w:eastAsia="SimSun" w:hAnsi="Book Antiqua" w:cs="SimSun"/>
          <w:i/>
          <w:iCs/>
          <w:kern w:val="0"/>
          <w:lang w:eastAsia="zh-CN"/>
        </w:rPr>
        <w:t>J Gastroenterol</w:t>
      </w:r>
      <w:r w:rsidRPr="00AE64F0">
        <w:rPr>
          <w:rFonts w:ascii="Book Antiqua" w:eastAsia="SimSun" w:hAnsi="Book Antiqua" w:cs="SimSun"/>
          <w:kern w:val="0"/>
          <w:lang w:eastAsia="zh-CN"/>
        </w:rPr>
        <w:t xml:space="preserve"> 2004; </w:t>
      </w:r>
      <w:r w:rsidRPr="00AE64F0">
        <w:rPr>
          <w:rFonts w:ascii="Book Antiqua" w:eastAsia="SimSun" w:hAnsi="Book Antiqua" w:cs="SimSun"/>
          <w:b/>
          <w:bCs/>
          <w:kern w:val="0"/>
          <w:lang w:eastAsia="zh-CN"/>
        </w:rPr>
        <w:t>39</w:t>
      </w:r>
      <w:r w:rsidRPr="00AE64F0">
        <w:rPr>
          <w:rFonts w:ascii="Book Antiqua" w:eastAsia="SimSun" w:hAnsi="Book Antiqua" w:cs="SimSun"/>
          <w:kern w:val="0"/>
          <w:lang w:eastAsia="zh-CN"/>
        </w:rPr>
        <w:t>: 97-103 [PMID: 15069615 DOI: 10.1007/s00535-003-1279-4]</w:t>
      </w:r>
    </w:p>
    <w:p w14:paraId="7C9C4963"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lastRenderedPageBreak/>
        <w:t xml:space="preserve">24 </w:t>
      </w:r>
      <w:r w:rsidRPr="00AE64F0">
        <w:rPr>
          <w:rFonts w:ascii="Book Antiqua" w:eastAsia="SimSun" w:hAnsi="Book Antiqua" w:cs="SimSun"/>
          <w:b/>
          <w:bCs/>
          <w:kern w:val="0"/>
          <w:lang w:eastAsia="zh-CN"/>
        </w:rPr>
        <w:t>Kimura K</w:t>
      </w:r>
      <w:r w:rsidRPr="00AE64F0">
        <w:rPr>
          <w:rFonts w:ascii="Book Antiqua" w:eastAsia="SimSun" w:hAnsi="Book Antiqua" w:cs="SimSun"/>
          <w:kern w:val="0"/>
          <w:lang w:eastAsia="zh-CN"/>
        </w:rPr>
        <w:t xml:space="preserve">. Chronological transition of the fundic-pyloric border determined by stepwise biopsy of the lesser and greater curvatures of the stomach. </w:t>
      </w:r>
      <w:r w:rsidRPr="00AE64F0">
        <w:rPr>
          <w:rFonts w:ascii="Book Antiqua" w:eastAsia="SimSun" w:hAnsi="Book Antiqua" w:cs="SimSun"/>
          <w:i/>
          <w:iCs/>
          <w:kern w:val="0"/>
          <w:lang w:eastAsia="zh-CN"/>
        </w:rPr>
        <w:t>Gastroenterology</w:t>
      </w:r>
      <w:r w:rsidRPr="00AE64F0">
        <w:rPr>
          <w:rFonts w:ascii="Book Antiqua" w:eastAsia="SimSun" w:hAnsi="Book Antiqua" w:cs="SimSun"/>
          <w:kern w:val="0"/>
          <w:lang w:eastAsia="zh-CN"/>
        </w:rPr>
        <w:t xml:space="preserve"> 1972; </w:t>
      </w:r>
      <w:r w:rsidRPr="00AE64F0">
        <w:rPr>
          <w:rFonts w:ascii="Book Antiqua" w:eastAsia="SimSun" w:hAnsi="Book Antiqua" w:cs="SimSun"/>
          <w:b/>
          <w:bCs/>
          <w:kern w:val="0"/>
          <w:lang w:eastAsia="zh-CN"/>
        </w:rPr>
        <w:t>63</w:t>
      </w:r>
      <w:r w:rsidRPr="00AE64F0">
        <w:rPr>
          <w:rFonts w:ascii="Book Antiqua" w:eastAsia="SimSun" w:hAnsi="Book Antiqua" w:cs="SimSun"/>
          <w:kern w:val="0"/>
          <w:lang w:eastAsia="zh-CN"/>
        </w:rPr>
        <w:t>: 584-592 [PMID: 5077145]</w:t>
      </w:r>
    </w:p>
    <w:p w14:paraId="12B8442B"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25 </w:t>
      </w:r>
      <w:r w:rsidRPr="00AE64F0">
        <w:rPr>
          <w:rFonts w:ascii="Book Antiqua" w:eastAsia="SimSun" w:hAnsi="Book Antiqua" w:cs="SimSun"/>
          <w:b/>
          <w:bCs/>
          <w:kern w:val="0"/>
          <w:lang w:eastAsia="zh-CN"/>
        </w:rPr>
        <w:t>Van Zanten SJ</w:t>
      </w:r>
      <w:r w:rsidRPr="00AE64F0">
        <w:rPr>
          <w:rFonts w:ascii="Book Antiqua" w:eastAsia="SimSun" w:hAnsi="Book Antiqua" w:cs="SimSun"/>
          <w:kern w:val="0"/>
          <w:lang w:eastAsia="zh-CN"/>
        </w:rPr>
        <w:t xml:space="preserve">, Dixon MF, Lee A. The gastric transitional zones: neglected links between gastroduodenal pathology and helicobacter ecology. </w:t>
      </w:r>
      <w:r w:rsidRPr="00AE64F0">
        <w:rPr>
          <w:rFonts w:ascii="Book Antiqua" w:eastAsia="SimSun" w:hAnsi="Book Antiqua" w:cs="SimSun"/>
          <w:i/>
          <w:iCs/>
          <w:kern w:val="0"/>
          <w:lang w:eastAsia="zh-CN"/>
        </w:rPr>
        <w:t>Gastroenterology</w:t>
      </w:r>
      <w:r w:rsidRPr="00AE64F0">
        <w:rPr>
          <w:rFonts w:ascii="Book Antiqua" w:eastAsia="SimSun" w:hAnsi="Book Antiqua" w:cs="SimSun"/>
          <w:kern w:val="0"/>
          <w:lang w:eastAsia="zh-CN"/>
        </w:rPr>
        <w:t xml:space="preserve"> 1999; </w:t>
      </w:r>
      <w:r w:rsidRPr="00AE64F0">
        <w:rPr>
          <w:rFonts w:ascii="Book Antiqua" w:eastAsia="SimSun" w:hAnsi="Book Antiqua" w:cs="SimSun"/>
          <w:b/>
          <w:bCs/>
          <w:kern w:val="0"/>
          <w:lang w:eastAsia="zh-CN"/>
        </w:rPr>
        <w:t>116</w:t>
      </w:r>
      <w:r w:rsidRPr="00AE64F0">
        <w:rPr>
          <w:rFonts w:ascii="Book Antiqua" w:eastAsia="SimSun" w:hAnsi="Book Antiqua" w:cs="SimSun"/>
          <w:kern w:val="0"/>
          <w:lang w:eastAsia="zh-CN"/>
        </w:rPr>
        <w:t>: 1217-1229 [PMID: 10220514 DOI: 10.1016/S0016-5085(99)70025-9]</w:t>
      </w:r>
    </w:p>
    <w:p w14:paraId="421BD9FF"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26 </w:t>
      </w:r>
      <w:r w:rsidRPr="00AE64F0">
        <w:rPr>
          <w:rFonts w:ascii="Book Antiqua" w:eastAsia="SimSun" w:hAnsi="Book Antiqua" w:cs="SimSun"/>
          <w:b/>
          <w:bCs/>
          <w:kern w:val="0"/>
          <w:lang w:eastAsia="zh-CN"/>
        </w:rPr>
        <w:t>Lee M</w:t>
      </w:r>
      <w:r w:rsidRPr="00AE64F0">
        <w:rPr>
          <w:rFonts w:ascii="Book Antiqua" w:eastAsia="SimSun" w:hAnsi="Book Antiqua" w:cs="SimSun"/>
          <w:kern w:val="0"/>
          <w:lang w:eastAsia="zh-CN"/>
        </w:rPr>
        <w:t xml:space="preserve">. Age-related changes in gastric blood flow in rats. </w:t>
      </w:r>
      <w:r w:rsidRPr="00AE64F0">
        <w:rPr>
          <w:rFonts w:ascii="Book Antiqua" w:eastAsia="SimSun" w:hAnsi="Book Antiqua" w:cs="SimSun"/>
          <w:i/>
          <w:iCs/>
          <w:kern w:val="0"/>
          <w:lang w:eastAsia="zh-CN"/>
        </w:rPr>
        <w:t>Gerontology</w:t>
      </w:r>
      <w:r w:rsidRPr="00AE64F0">
        <w:rPr>
          <w:rFonts w:ascii="Book Antiqua" w:eastAsia="SimSun" w:hAnsi="Book Antiqua" w:cs="SimSun"/>
          <w:kern w:val="0"/>
          <w:lang w:eastAsia="zh-CN"/>
        </w:rPr>
        <w:t xml:space="preserve"> 1996; </w:t>
      </w:r>
      <w:r w:rsidRPr="00AE64F0">
        <w:rPr>
          <w:rFonts w:ascii="Book Antiqua" w:eastAsia="SimSun" w:hAnsi="Book Antiqua" w:cs="SimSun"/>
          <w:b/>
          <w:bCs/>
          <w:kern w:val="0"/>
          <w:lang w:eastAsia="zh-CN"/>
        </w:rPr>
        <w:t>42</w:t>
      </w:r>
      <w:r w:rsidRPr="00AE64F0">
        <w:rPr>
          <w:rFonts w:ascii="Book Antiqua" w:eastAsia="SimSun" w:hAnsi="Book Antiqua" w:cs="SimSun"/>
          <w:kern w:val="0"/>
          <w:lang w:eastAsia="zh-CN"/>
        </w:rPr>
        <w:t>: 289-293 [PMID: 8940652 DOI: 10.1159/000213805]</w:t>
      </w:r>
    </w:p>
    <w:p w14:paraId="4186E434"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27 </w:t>
      </w:r>
      <w:r w:rsidRPr="00AE64F0">
        <w:rPr>
          <w:rFonts w:ascii="Book Antiqua" w:eastAsia="SimSun" w:hAnsi="Book Antiqua" w:cs="SimSun"/>
          <w:b/>
          <w:bCs/>
          <w:kern w:val="0"/>
          <w:lang w:eastAsia="zh-CN"/>
        </w:rPr>
        <w:t>Tarnawski AS</w:t>
      </w:r>
      <w:r w:rsidRPr="00AE64F0">
        <w:rPr>
          <w:rFonts w:ascii="Book Antiqua" w:eastAsia="SimSun" w:hAnsi="Book Antiqua" w:cs="SimSun"/>
          <w:kern w:val="0"/>
          <w:lang w:eastAsia="zh-CN"/>
        </w:rPr>
        <w:t xml:space="preserve">, Ahluwalia A, Jones MK. Increased susceptibility of aging gastric mucosa to injury: the mechanisms and clinical implications. </w:t>
      </w:r>
      <w:r w:rsidRPr="00AE64F0">
        <w:rPr>
          <w:rFonts w:ascii="Book Antiqua" w:eastAsia="SimSun" w:hAnsi="Book Antiqua" w:cs="SimSun"/>
          <w:i/>
          <w:iCs/>
          <w:kern w:val="0"/>
          <w:lang w:eastAsia="zh-CN"/>
        </w:rPr>
        <w:t>World J Gastroenterol</w:t>
      </w:r>
      <w:r w:rsidRPr="00AE64F0">
        <w:rPr>
          <w:rFonts w:ascii="Book Antiqua" w:eastAsia="SimSun" w:hAnsi="Book Antiqua" w:cs="SimSun"/>
          <w:kern w:val="0"/>
          <w:lang w:eastAsia="zh-CN"/>
        </w:rPr>
        <w:t xml:space="preserve"> 2014; </w:t>
      </w:r>
      <w:r w:rsidRPr="00AE64F0">
        <w:rPr>
          <w:rFonts w:ascii="Book Antiqua" w:eastAsia="SimSun" w:hAnsi="Book Antiqua" w:cs="SimSun"/>
          <w:b/>
          <w:bCs/>
          <w:kern w:val="0"/>
          <w:lang w:eastAsia="zh-CN"/>
        </w:rPr>
        <w:t>20</w:t>
      </w:r>
      <w:r w:rsidRPr="00AE64F0">
        <w:rPr>
          <w:rFonts w:ascii="Book Antiqua" w:eastAsia="SimSun" w:hAnsi="Book Antiqua" w:cs="SimSun"/>
          <w:kern w:val="0"/>
          <w:lang w:eastAsia="zh-CN"/>
        </w:rPr>
        <w:t>: 4467-4482 [PMID: 24782600 DOI: 10.3748/wjg.v20.i16.4467]</w:t>
      </w:r>
    </w:p>
    <w:p w14:paraId="6EED6D30" w14:textId="4A12045D"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28 </w:t>
      </w:r>
      <w:r w:rsidRPr="00AE64F0">
        <w:rPr>
          <w:rFonts w:ascii="Book Antiqua" w:eastAsia="SimSun" w:hAnsi="Book Antiqua" w:cs="SimSun"/>
          <w:b/>
          <w:kern w:val="0"/>
          <w:lang w:eastAsia="zh-CN"/>
        </w:rPr>
        <w:t>Tatsuta M</w:t>
      </w:r>
      <w:r w:rsidRPr="00AE64F0">
        <w:rPr>
          <w:rFonts w:ascii="Book Antiqua" w:eastAsia="SimSun" w:hAnsi="Book Antiqua" w:cs="SimSun"/>
          <w:kern w:val="0"/>
          <w:lang w:eastAsia="zh-CN"/>
        </w:rPr>
        <w:t xml:space="preserve">, Saegusa T, Okuda S. Extension of fundal gastritis studied by endoscopic Congo red test. </w:t>
      </w:r>
      <w:bookmarkStart w:id="358" w:name="OLE_LINK2017"/>
      <w:bookmarkStart w:id="359" w:name="OLE_LINK2018"/>
      <w:r w:rsidRPr="00AE64F0">
        <w:rPr>
          <w:rFonts w:ascii="Book Antiqua" w:eastAsia="SimSun" w:hAnsi="Book Antiqua" w:cs="SimSun"/>
          <w:i/>
          <w:kern w:val="0"/>
          <w:lang w:eastAsia="zh-CN"/>
        </w:rPr>
        <w:t>Endoscopy</w:t>
      </w:r>
      <w:r w:rsidRPr="00AE64F0">
        <w:rPr>
          <w:rFonts w:ascii="Book Antiqua" w:eastAsia="SimSun" w:hAnsi="Book Antiqua" w:cs="SimSun"/>
          <w:kern w:val="0"/>
          <w:lang w:eastAsia="zh-CN"/>
        </w:rPr>
        <w:t xml:space="preserve"> 1974; </w:t>
      </w:r>
      <w:r w:rsidRPr="00AE64F0">
        <w:rPr>
          <w:rFonts w:ascii="Book Antiqua" w:eastAsia="SimSun" w:hAnsi="Book Antiqua" w:cs="SimSun"/>
          <w:b/>
          <w:kern w:val="0"/>
          <w:lang w:eastAsia="zh-CN"/>
        </w:rPr>
        <w:t>6</w:t>
      </w:r>
      <w:r w:rsidRPr="00AE64F0">
        <w:rPr>
          <w:rFonts w:ascii="Book Antiqua" w:eastAsia="SimSun" w:hAnsi="Book Antiqua" w:cs="SimSun"/>
          <w:kern w:val="0"/>
          <w:lang w:eastAsia="zh-CN"/>
        </w:rPr>
        <w:t>: 20–</w:t>
      </w:r>
      <w:r w:rsidR="00F743FC" w:rsidRPr="004865E7">
        <w:rPr>
          <w:rFonts w:ascii="Book Antiqua" w:eastAsia="SimSun" w:hAnsi="Book Antiqua" w:cs="SimSun" w:hint="eastAsia"/>
          <w:kern w:val="0"/>
          <w:lang w:eastAsia="zh-CN"/>
        </w:rPr>
        <w:t>2</w:t>
      </w:r>
      <w:r w:rsidRPr="00AE64F0">
        <w:rPr>
          <w:rFonts w:ascii="Book Antiqua" w:eastAsia="SimSun" w:hAnsi="Book Antiqua" w:cs="SimSun"/>
          <w:kern w:val="0"/>
          <w:lang w:eastAsia="zh-CN"/>
        </w:rPr>
        <w:t xml:space="preserve">6 </w:t>
      </w:r>
      <w:bookmarkEnd w:id="358"/>
      <w:bookmarkEnd w:id="359"/>
      <w:r w:rsidRPr="00AE64F0">
        <w:rPr>
          <w:rFonts w:ascii="Book Antiqua" w:eastAsia="SimSun" w:hAnsi="Book Antiqua" w:cs="SimSun"/>
          <w:kern w:val="0"/>
          <w:lang w:eastAsia="zh-CN"/>
        </w:rPr>
        <w:t>[DOI: 10.1055/s-0028-1098589]</w:t>
      </w:r>
    </w:p>
    <w:p w14:paraId="2582C386"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29 </w:t>
      </w:r>
      <w:r w:rsidRPr="00AE64F0">
        <w:rPr>
          <w:rFonts w:ascii="Book Antiqua" w:eastAsia="SimSun" w:hAnsi="Book Antiqua" w:cs="SimSun"/>
          <w:b/>
          <w:bCs/>
          <w:kern w:val="0"/>
          <w:lang w:eastAsia="zh-CN"/>
        </w:rPr>
        <w:t>Inoue T</w:t>
      </w:r>
      <w:r w:rsidRPr="00AE64F0">
        <w:rPr>
          <w:rFonts w:ascii="Book Antiqua" w:eastAsia="SimSun" w:hAnsi="Book Antiqua" w:cs="SimSun"/>
          <w:kern w:val="0"/>
          <w:lang w:eastAsia="zh-CN"/>
        </w:rPr>
        <w:t xml:space="preserve">, Uedo N, Ishihara R, Kawaguchi T, Kawada N, Chatani R, Kizu T, Tamai C, Takeuchi Y, Higashino K, Iishi H, Tatsuta M, Tomita Y, Tóth E. Autofluorescence imaging videoendoscopy in the diagnosis of chronic atrophic fundal gastritis. </w:t>
      </w:r>
      <w:r w:rsidRPr="00AE64F0">
        <w:rPr>
          <w:rFonts w:ascii="Book Antiqua" w:eastAsia="SimSun" w:hAnsi="Book Antiqua" w:cs="SimSun"/>
          <w:i/>
          <w:iCs/>
          <w:kern w:val="0"/>
          <w:lang w:eastAsia="zh-CN"/>
        </w:rPr>
        <w:t>J Gastroenterol</w:t>
      </w:r>
      <w:r w:rsidRPr="00AE64F0">
        <w:rPr>
          <w:rFonts w:ascii="Book Antiqua" w:eastAsia="SimSun" w:hAnsi="Book Antiqua" w:cs="SimSun"/>
          <w:kern w:val="0"/>
          <w:lang w:eastAsia="zh-CN"/>
        </w:rPr>
        <w:t xml:space="preserve"> 2010; </w:t>
      </w:r>
      <w:r w:rsidRPr="00AE64F0">
        <w:rPr>
          <w:rFonts w:ascii="Book Antiqua" w:eastAsia="SimSun" w:hAnsi="Book Antiqua" w:cs="SimSun"/>
          <w:b/>
          <w:bCs/>
          <w:kern w:val="0"/>
          <w:lang w:eastAsia="zh-CN"/>
        </w:rPr>
        <w:t>45</w:t>
      </w:r>
      <w:r w:rsidRPr="00AE64F0">
        <w:rPr>
          <w:rFonts w:ascii="Book Antiqua" w:eastAsia="SimSun" w:hAnsi="Book Antiqua" w:cs="SimSun"/>
          <w:kern w:val="0"/>
          <w:lang w:eastAsia="zh-CN"/>
        </w:rPr>
        <w:t>: 45-51 [PMID: 19876586 DOI: 10.1007/s00535-009-0150-7]</w:t>
      </w:r>
    </w:p>
    <w:p w14:paraId="2493B38A" w14:textId="77777777" w:rsidR="00AE64F0" w:rsidRPr="00AE64F0" w:rsidRDefault="00AE64F0" w:rsidP="00AE64F0">
      <w:pPr>
        <w:widowControl/>
        <w:spacing w:line="360" w:lineRule="auto"/>
        <w:rPr>
          <w:rFonts w:ascii="Book Antiqua" w:eastAsia="SimSun" w:hAnsi="Book Antiqua" w:cs="SimSun"/>
          <w:kern w:val="0"/>
          <w:lang w:eastAsia="zh-CN"/>
        </w:rPr>
      </w:pPr>
      <w:r w:rsidRPr="00AE64F0">
        <w:rPr>
          <w:rFonts w:ascii="Book Antiqua" w:eastAsia="SimSun" w:hAnsi="Book Antiqua" w:cs="SimSun"/>
          <w:kern w:val="0"/>
          <w:lang w:eastAsia="zh-CN"/>
        </w:rPr>
        <w:t xml:space="preserve">30 </w:t>
      </w:r>
      <w:r w:rsidRPr="00AE64F0">
        <w:rPr>
          <w:rFonts w:ascii="Book Antiqua" w:eastAsia="SimSun" w:hAnsi="Book Antiqua" w:cs="SimSun"/>
          <w:b/>
          <w:bCs/>
          <w:kern w:val="0"/>
          <w:lang w:eastAsia="zh-CN"/>
        </w:rPr>
        <w:t>So J</w:t>
      </w:r>
      <w:r w:rsidRPr="00AE64F0">
        <w:rPr>
          <w:rFonts w:ascii="Book Antiqua" w:eastAsia="SimSun" w:hAnsi="Book Antiqua" w:cs="SimSun"/>
          <w:kern w:val="0"/>
          <w:lang w:eastAsia="zh-CN"/>
        </w:rPr>
        <w:t xml:space="preserve">, Rajnakova A, Chan YH, Tay A, Shah N, Salto-Tellez M, Teh M, Uedo N. Endoscopic tri-modal imaging improves detection of gastric intestinal metaplasia among a high-risk patient population in Singapore. </w:t>
      </w:r>
      <w:r w:rsidRPr="00AE64F0">
        <w:rPr>
          <w:rFonts w:ascii="Book Antiqua" w:eastAsia="SimSun" w:hAnsi="Book Antiqua" w:cs="SimSun"/>
          <w:i/>
          <w:iCs/>
          <w:kern w:val="0"/>
          <w:lang w:eastAsia="zh-CN"/>
        </w:rPr>
        <w:t>Dig Dis Sci</w:t>
      </w:r>
      <w:r w:rsidRPr="00AE64F0">
        <w:rPr>
          <w:rFonts w:ascii="Book Antiqua" w:eastAsia="SimSun" w:hAnsi="Book Antiqua" w:cs="SimSun"/>
          <w:kern w:val="0"/>
          <w:lang w:eastAsia="zh-CN"/>
        </w:rPr>
        <w:t xml:space="preserve"> 2013; </w:t>
      </w:r>
      <w:r w:rsidRPr="00AE64F0">
        <w:rPr>
          <w:rFonts w:ascii="Book Antiqua" w:eastAsia="SimSun" w:hAnsi="Book Antiqua" w:cs="SimSun"/>
          <w:b/>
          <w:bCs/>
          <w:kern w:val="0"/>
          <w:lang w:eastAsia="zh-CN"/>
        </w:rPr>
        <w:t>58</w:t>
      </w:r>
      <w:r w:rsidRPr="00AE64F0">
        <w:rPr>
          <w:rFonts w:ascii="Book Antiqua" w:eastAsia="SimSun" w:hAnsi="Book Antiqua" w:cs="SimSun"/>
          <w:kern w:val="0"/>
          <w:lang w:eastAsia="zh-CN"/>
        </w:rPr>
        <w:t>: 3566-3575 [PMID: 23996468]</w:t>
      </w:r>
    </w:p>
    <w:p w14:paraId="7DA46B3F" w14:textId="44DA681D" w:rsidR="00314767" w:rsidRPr="004865E7" w:rsidRDefault="00ED34B9" w:rsidP="00ED34B9">
      <w:pPr>
        <w:wordWrap w:val="0"/>
        <w:spacing w:line="360" w:lineRule="auto"/>
        <w:ind w:left="361" w:hangingChars="150" w:hanging="361"/>
        <w:jc w:val="right"/>
        <w:rPr>
          <w:rFonts w:ascii="Book Antiqua" w:hAnsi="Book Antiqua"/>
          <w:b/>
          <w:bCs/>
        </w:rPr>
      </w:pPr>
      <w:bookmarkStart w:id="360" w:name="OLE_LINK75"/>
      <w:bookmarkStart w:id="361" w:name="OLE_LINK148"/>
      <w:bookmarkStart w:id="362" w:name="OLE_LINK72"/>
      <w:bookmarkStart w:id="363" w:name="OLE_LINK112"/>
      <w:bookmarkStart w:id="364" w:name="OLE_LINK320"/>
      <w:bookmarkStart w:id="365" w:name="OLE_LINK387"/>
      <w:bookmarkStart w:id="366" w:name="OLE_LINK183"/>
      <w:bookmarkStart w:id="367" w:name="OLE_LINK254"/>
      <w:bookmarkStart w:id="368" w:name="OLE_LINK149"/>
      <w:bookmarkStart w:id="369" w:name="OLE_LINK225"/>
      <w:bookmarkStart w:id="370" w:name="OLE_LINK207"/>
      <w:bookmarkStart w:id="371" w:name="OLE_LINK226"/>
      <w:bookmarkStart w:id="372" w:name="OLE_LINK212"/>
      <w:bookmarkStart w:id="373" w:name="OLE_LINK250"/>
      <w:bookmarkStart w:id="374" w:name="OLE_LINK281"/>
      <w:bookmarkStart w:id="375" w:name="OLE_LINK240"/>
      <w:bookmarkStart w:id="376" w:name="OLE_LINK282"/>
      <w:bookmarkStart w:id="377" w:name="OLE_LINK313"/>
      <w:bookmarkStart w:id="378" w:name="OLE_LINK304"/>
      <w:bookmarkStart w:id="379" w:name="OLE_LINK321"/>
      <w:bookmarkStart w:id="380" w:name="OLE_LINK385"/>
      <w:bookmarkStart w:id="381" w:name="OLE_LINK400"/>
      <w:bookmarkStart w:id="382" w:name="OLE_LINK346"/>
      <w:bookmarkStart w:id="383" w:name="OLE_LINK371"/>
      <w:bookmarkStart w:id="384" w:name="OLE_LINK334"/>
      <w:bookmarkStart w:id="385" w:name="OLE_LINK1830"/>
      <w:bookmarkStart w:id="386" w:name="OLE_LINK457"/>
      <w:bookmarkStart w:id="387" w:name="OLE_LINK288"/>
      <w:bookmarkStart w:id="388" w:name="OLE_LINK384"/>
      <w:bookmarkStart w:id="389" w:name="OLE_LINK379"/>
      <w:bookmarkStart w:id="390" w:name="OLE_LINK303"/>
      <w:bookmarkStart w:id="391" w:name="OLE_LINK450"/>
      <w:bookmarkStart w:id="392" w:name="OLE_LINK489"/>
      <w:bookmarkStart w:id="393" w:name="OLE_LINK535"/>
      <w:bookmarkStart w:id="394" w:name="OLE_LINK648"/>
      <w:bookmarkStart w:id="395" w:name="OLE_LINK686"/>
      <w:bookmarkStart w:id="396" w:name="OLE_LINK430"/>
      <w:bookmarkStart w:id="397" w:name="OLE_LINK471"/>
      <w:bookmarkStart w:id="398" w:name="OLE_LINK462"/>
      <w:bookmarkStart w:id="399" w:name="OLE_LINK519"/>
      <w:bookmarkStart w:id="400" w:name="OLE_LINK575"/>
      <w:bookmarkStart w:id="401" w:name="OLE_LINK491"/>
      <w:bookmarkStart w:id="402" w:name="OLE_LINK532"/>
      <w:bookmarkStart w:id="403" w:name="OLE_LINK574"/>
      <w:bookmarkStart w:id="404" w:name="OLE_LINK480"/>
      <w:bookmarkStart w:id="405" w:name="OLE_LINK567"/>
      <w:bookmarkStart w:id="406" w:name="OLE_LINK2700"/>
      <w:bookmarkStart w:id="407" w:name="OLE_LINK639"/>
      <w:bookmarkStart w:id="408" w:name="OLE_LINK688"/>
      <w:bookmarkStart w:id="409" w:name="OLE_LINK722"/>
      <w:bookmarkStart w:id="410" w:name="OLE_LINK542"/>
      <w:bookmarkStart w:id="411" w:name="OLE_LINK589"/>
      <w:bookmarkStart w:id="412" w:name="OLE_LINK640"/>
      <w:bookmarkStart w:id="413" w:name="OLE_LINK714"/>
      <w:bookmarkStart w:id="414" w:name="OLE_LINK593"/>
      <w:bookmarkStart w:id="415" w:name="OLE_LINK716"/>
      <w:bookmarkStart w:id="416" w:name="OLE_LINK770"/>
      <w:bookmarkStart w:id="417" w:name="OLE_LINK801"/>
      <w:bookmarkStart w:id="418" w:name="OLE_LINK660"/>
      <w:bookmarkStart w:id="419" w:name="OLE_LINK739"/>
      <w:bookmarkStart w:id="420" w:name="OLE_LINK781"/>
      <w:bookmarkStart w:id="421" w:name="OLE_LINK833"/>
      <w:bookmarkStart w:id="422" w:name="OLE_LINK642"/>
      <w:bookmarkStart w:id="423" w:name="OLE_LINK700"/>
      <w:bookmarkStart w:id="424" w:name="OLE_LINK792"/>
      <w:bookmarkStart w:id="425" w:name="OLE_LINK2882"/>
      <w:bookmarkStart w:id="426" w:name="OLE_LINK836"/>
      <w:bookmarkStart w:id="427" w:name="OLE_LINK889"/>
      <w:bookmarkStart w:id="428" w:name="OLE_LINK782"/>
      <w:bookmarkStart w:id="429" w:name="OLE_LINK826"/>
      <w:bookmarkStart w:id="430" w:name="OLE_LINK865"/>
      <w:bookmarkStart w:id="431" w:name="OLE_LINK2898"/>
      <w:bookmarkStart w:id="432" w:name="OLE_LINK856"/>
      <w:bookmarkStart w:id="433" w:name="OLE_LINK908"/>
      <w:bookmarkStart w:id="434" w:name="OLE_LINK980"/>
      <w:bookmarkStart w:id="435" w:name="OLE_LINK1018"/>
      <w:bookmarkStart w:id="436" w:name="OLE_LINK1049"/>
      <w:bookmarkStart w:id="437" w:name="OLE_LINK1076"/>
      <w:bookmarkStart w:id="438" w:name="OLE_LINK1106"/>
      <w:bookmarkStart w:id="439" w:name="OLE_LINK891"/>
      <w:bookmarkStart w:id="440" w:name="OLE_LINK943"/>
      <w:bookmarkStart w:id="441" w:name="OLE_LINK981"/>
      <w:bookmarkStart w:id="442" w:name="OLE_LINK1030"/>
      <w:bookmarkStart w:id="443" w:name="OLE_LINK847"/>
      <w:bookmarkStart w:id="444" w:name="OLE_LINK909"/>
      <w:bookmarkStart w:id="445" w:name="OLE_LINK898"/>
      <w:bookmarkStart w:id="446" w:name="OLE_LINK906"/>
      <w:bookmarkStart w:id="447" w:name="OLE_LINK992"/>
      <w:bookmarkStart w:id="448" w:name="OLE_LINK993"/>
      <w:bookmarkStart w:id="449" w:name="OLE_LINK1052"/>
      <w:bookmarkStart w:id="450" w:name="OLE_LINK946"/>
      <w:bookmarkStart w:id="451" w:name="OLE_LINK911"/>
      <w:bookmarkStart w:id="452" w:name="OLE_LINK930"/>
      <w:bookmarkStart w:id="453" w:name="OLE_LINK1059"/>
      <w:bookmarkStart w:id="454" w:name="OLE_LINK1174"/>
      <w:bookmarkStart w:id="455" w:name="OLE_LINK1137"/>
      <w:bookmarkStart w:id="456" w:name="OLE_LINK1167"/>
      <w:bookmarkStart w:id="457" w:name="OLE_LINK1200"/>
      <w:bookmarkStart w:id="458" w:name="OLE_LINK1241"/>
      <w:bookmarkStart w:id="459" w:name="OLE_LINK1288"/>
      <w:bookmarkStart w:id="460" w:name="OLE_LINK1056"/>
      <w:bookmarkStart w:id="461" w:name="OLE_LINK1158"/>
      <w:bookmarkStart w:id="462" w:name="OLE_LINK1175"/>
      <w:bookmarkStart w:id="463" w:name="OLE_LINK1169"/>
      <w:bookmarkStart w:id="464" w:name="OLE_LINK1060"/>
      <w:bookmarkStart w:id="465" w:name="OLE_LINK1185"/>
      <w:bookmarkStart w:id="466" w:name="OLE_LINK1176"/>
      <w:bookmarkStart w:id="467" w:name="OLE_LINK1348"/>
      <w:bookmarkStart w:id="468" w:name="OLE_LINK1373"/>
      <w:bookmarkStart w:id="469" w:name="OLE_LINK1410"/>
      <w:bookmarkStart w:id="470" w:name="OLE_LINK1448"/>
      <w:bookmarkStart w:id="471" w:name="OLE_LINK1492"/>
      <w:bookmarkStart w:id="472" w:name="OLE_LINK1585"/>
      <w:bookmarkStart w:id="473" w:name="OLE_LINK1622"/>
      <w:bookmarkStart w:id="474" w:name="OLE_LINK1691"/>
      <w:bookmarkStart w:id="475" w:name="OLE_LINK1349"/>
      <w:bookmarkStart w:id="476" w:name="OLE_LINK1531"/>
      <w:bookmarkStart w:id="477" w:name="OLE_LINK1344"/>
      <w:bookmarkStart w:id="478" w:name="OLE_LINK1384"/>
      <w:bookmarkStart w:id="479" w:name="OLE_LINK1457"/>
      <w:bookmarkStart w:id="480" w:name="OLE_LINK1500"/>
      <w:bookmarkStart w:id="481" w:name="OLE_LINK1591"/>
      <w:bookmarkStart w:id="482" w:name="OLE_LINK1370"/>
      <w:bookmarkStart w:id="483" w:name="OLE_LINK1443"/>
      <w:bookmarkStart w:id="484" w:name="OLE_LINK1472"/>
      <w:bookmarkStart w:id="485" w:name="OLE_LINK1503"/>
      <w:bookmarkStart w:id="486" w:name="OLE_LINK1390"/>
      <w:bookmarkStart w:id="487" w:name="OLE_LINK1490"/>
      <w:bookmarkStart w:id="488" w:name="OLE_LINK1576"/>
      <w:bookmarkStart w:id="489" w:name="OLE_LINK1618"/>
      <w:bookmarkStart w:id="490" w:name="OLE_LINK1650"/>
      <w:bookmarkStart w:id="491" w:name="OLE_LINK1565"/>
      <w:bookmarkStart w:id="492" w:name="OLE_LINK1619"/>
      <w:bookmarkStart w:id="493" w:name="OLE_LINK1671"/>
      <w:bookmarkStart w:id="494" w:name="OLE_LINK1716"/>
      <w:bookmarkStart w:id="495" w:name="OLE_LINK1761"/>
      <w:bookmarkStart w:id="496" w:name="OLE_LINK1586"/>
      <w:bookmarkStart w:id="497" w:name="OLE_LINK1593"/>
      <w:bookmarkStart w:id="498" w:name="OLE_LINK1630"/>
      <w:bookmarkStart w:id="499" w:name="OLE_LINK1699"/>
      <w:bookmarkStart w:id="500" w:name="OLE_LINK1736"/>
      <w:bookmarkStart w:id="501" w:name="OLE_LINK1792"/>
      <w:bookmarkStart w:id="502" w:name="OLE_LINK1865"/>
      <w:bookmarkStart w:id="503" w:name="OLE_LINK1692"/>
      <w:bookmarkStart w:id="504" w:name="OLE_LINK1808"/>
      <w:bookmarkStart w:id="505" w:name="OLE_LINK1862"/>
      <w:bookmarkStart w:id="506" w:name="OLE_LINK1901"/>
      <w:bookmarkStart w:id="507" w:name="OLE_LINK1841"/>
      <w:bookmarkStart w:id="508" w:name="OLE_LINK1879"/>
      <w:bookmarkStart w:id="509" w:name="OLE_LINK1916"/>
      <w:bookmarkStart w:id="510" w:name="OLE_LINK1960"/>
      <w:bookmarkStart w:id="511" w:name="OLE_LINK1834"/>
      <w:bookmarkStart w:id="512" w:name="OLE_LINK2027"/>
      <w:bookmarkStart w:id="513" w:name="OLE_LINK2056"/>
      <w:bookmarkStart w:id="514" w:name="OLE_LINK1870"/>
      <w:bookmarkStart w:id="515" w:name="OLE_LINK1883"/>
      <w:bookmarkStart w:id="516" w:name="OLE_LINK1890"/>
      <w:bookmarkStart w:id="517" w:name="OLE_LINK1922"/>
      <w:bookmarkStart w:id="518" w:name="OLE_LINK1943"/>
      <w:bookmarkStart w:id="519" w:name="OLE_LINK1970"/>
      <w:bookmarkStart w:id="520" w:name="OLE_LINK1983"/>
      <w:bookmarkStart w:id="521" w:name="OLE_LINK2031"/>
      <w:bookmarkStart w:id="522" w:name="OLE_LINK2066"/>
      <w:bookmarkStart w:id="523" w:name="OLE_LINK2094"/>
      <w:bookmarkStart w:id="524" w:name="OLE_LINK2136"/>
      <w:bookmarkStart w:id="525" w:name="OLE_LINK2192"/>
      <w:bookmarkStart w:id="526" w:name="OLE_LINK1984"/>
      <w:bookmarkStart w:id="527" w:name="OLE_LINK2040"/>
      <w:bookmarkStart w:id="528" w:name="OLE_LINK2087"/>
      <w:bookmarkStart w:id="529" w:name="OLE_LINK2131"/>
      <w:bookmarkStart w:id="530" w:name="OLE_LINK2167"/>
      <w:bookmarkStart w:id="531" w:name="OLE_LINK2211"/>
      <w:bookmarkStart w:id="532" w:name="OLE_LINK2274"/>
      <w:r w:rsidRPr="004865E7">
        <w:rPr>
          <w:rFonts w:ascii="Book Antiqua" w:hAnsi="Book Antiqua"/>
          <w:b/>
          <w:bCs/>
        </w:rPr>
        <w:t>P-Reviewer:</w:t>
      </w:r>
      <w:r w:rsidR="00F40655" w:rsidRPr="00F40655">
        <w:t xml:space="preserve"> </w:t>
      </w:r>
      <w:r w:rsidR="00F40655" w:rsidRPr="00F40655">
        <w:rPr>
          <w:rFonts w:ascii="Book Antiqua" w:hAnsi="Book Antiqua"/>
          <w:bCs/>
        </w:rPr>
        <w:t>Ding</w:t>
      </w:r>
      <w:r w:rsidR="00F743FC" w:rsidRPr="00F40655">
        <w:rPr>
          <w:rFonts w:ascii="Book Antiqua" w:hAnsi="Book Antiqua"/>
          <w:bCs/>
        </w:rPr>
        <w:t xml:space="preserve"> </w:t>
      </w:r>
      <w:r w:rsidR="00F40655" w:rsidRPr="00F40655">
        <w:rPr>
          <w:rFonts w:ascii="Book Antiqua" w:eastAsia="SimSun" w:hAnsi="Book Antiqua" w:hint="eastAsia"/>
          <w:bCs/>
          <w:lang w:eastAsia="zh-CN"/>
        </w:rPr>
        <w:t xml:space="preserve">SG, </w:t>
      </w:r>
      <w:r w:rsidR="00F40655" w:rsidRPr="00F40655">
        <w:rPr>
          <w:rFonts w:ascii="Book Antiqua" w:hAnsi="Book Antiqua"/>
          <w:bCs/>
        </w:rPr>
        <w:t>Makhoul</w:t>
      </w:r>
      <w:r w:rsidR="00F40655" w:rsidRPr="00F40655">
        <w:rPr>
          <w:rFonts w:ascii="Book Antiqua" w:eastAsia="SimSun" w:hAnsi="Book Antiqua" w:hint="eastAsia"/>
          <w:bCs/>
          <w:lang w:eastAsia="zh-CN"/>
        </w:rPr>
        <w:t xml:space="preserve"> </w:t>
      </w:r>
      <w:r w:rsidR="00F40655" w:rsidRPr="00F40655">
        <w:rPr>
          <w:rFonts w:ascii="Book Antiqua" w:hAnsi="Book Antiqua"/>
          <w:bCs/>
        </w:rPr>
        <w:t>E</w:t>
      </w:r>
      <w:r w:rsidR="00F40655" w:rsidRPr="00F40655">
        <w:rPr>
          <w:rFonts w:ascii="Book Antiqua" w:hAnsi="Book Antiqua"/>
          <w:b/>
          <w:bCs/>
        </w:rPr>
        <w:t xml:space="preserve"> </w:t>
      </w:r>
      <w:r w:rsidRPr="004865E7">
        <w:rPr>
          <w:rFonts w:ascii="Book Antiqua" w:hAnsi="Book Antiqua"/>
          <w:b/>
          <w:bCs/>
        </w:rPr>
        <w:t>S-Editor:</w:t>
      </w:r>
      <w:r w:rsidRPr="004865E7">
        <w:rPr>
          <w:rFonts w:ascii="Book Antiqua" w:hAnsi="Book Antiqua"/>
        </w:rPr>
        <w:t xml:space="preserve"> </w:t>
      </w:r>
      <w:r w:rsidRPr="004865E7">
        <w:rPr>
          <w:rFonts w:ascii="Book Antiqua" w:hAnsi="Book Antiqua" w:hint="eastAsia"/>
        </w:rPr>
        <w:t>Yu J</w:t>
      </w:r>
      <w:r w:rsidRPr="004865E7">
        <w:rPr>
          <w:rFonts w:ascii="Book Antiqua" w:hAnsi="Book Antiqua"/>
        </w:rPr>
        <w:t xml:space="preserve"> </w:t>
      </w:r>
      <w:r w:rsidRPr="004865E7">
        <w:rPr>
          <w:rFonts w:ascii="Book Antiqua" w:hAnsi="Book Antiqua"/>
          <w:b/>
          <w:bCs/>
        </w:rPr>
        <w:t>L-Editor:</w:t>
      </w:r>
      <w:r w:rsidR="00F743FC" w:rsidRPr="004865E7">
        <w:rPr>
          <w:rFonts w:ascii="Book Antiqua" w:hAnsi="Book Antiqua"/>
        </w:rPr>
        <w:t xml:space="preserve"> </w:t>
      </w:r>
      <w:r w:rsidRPr="004865E7">
        <w:rPr>
          <w:rFonts w:ascii="Book Antiqua" w:hAnsi="Book Antiqua"/>
          <w:b/>
          <w:bCs/>
        </w:rPr>
        <w:t>E-Editor:</w:t>
      </w:r>
    </w:p>
    <w:p w14:paraId="1D0F3EAE" w14:textId="77777777" w:rsidR="00314767" w:rsidRPr="004865E7" w:rsidRDefault="00314767">
      <w:pPr>
        <w:widowControl/>
        <w:jc w:val="left"/>
        <w:rPr>
          <w:rFonts w:ascii="Book Antiqua" w:hAnsi="Book Antiqua"/>
          <w:b/>
          <w:bCs/>
        </w:rPr>
      </w:pPr>
      <w:r w:rsidRPr="004865E7">
        <w:rPr>
          <w:rFonts w:ascii="Book Antiqua" w:hAnsi="Book Antiqua"/>
          <w:b/>
          <w:bCs/>
        </w:rPr>
        <w:br w:type="page"/>
      </w:r>
    </w:p>
    <w:p w14:paraId="73966985"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
          <w:bCs/>
          <w:kern w:val="0"/>
          <w:lang w:eastAsia="zh-CN"/>
        </w:rPr>
      </w:pPr>
      <w:r w:rsidRPr="004865E7">
        <w:rPr>
          <w:rFonts w:ascii="Book Antiqua" w:hAnsi="Book Antiqua" w:cs="Times"/>
          <w:b/>
          <w:bCs/>
          <w:noProof/>
          <w:kern w:val="0"/>
          <w:lang w:eastAsia="zh-CN"/>
        </w:rPr>
        <w:lastRenderedPageBreak/>
        <w:drawing>
          <wp:inline distT="0" distB="0" distL="0" distR="0" wp14:anchorId="20D092E5" wp14:editId="7CA01688">
            <wp:extent cx="7550150" cy="5664200"/>
            <wp:effectExtent l="0" t="0" r="0" b="0"/>
            <wp:docPr id="4" name="図 1" descr="Macintosh HD:Users:shinKONO:Desktop:FIgure: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nKONO:Desktop:FIgure:Figure 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150" cy="5664200"/>
                    </a:xfrm>
                    <a:prstGeom prst="rect">
                      <a:avLst/>
                    </a:prstGeom>
                    <a:noFill/>
                    <a:ln>
                      <a:noFill/>
                    </a:ln>
                  </pic:spPr>
                </pic:pic>
              </a:graphicData>
            </a:graphic>
          </wp:inline>
        </w:drawing>
      </w:r>
    </w:p>
    <w:p w14:paraId="6C5AFBFD"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Cs/>
          <w:kern w:val="0"/>
          <w:lang w:eastAsia="zh-CN"/>
        </w:rPr>
      </w:pPr>
      <w:r w:rsidRPr="004865E7">
        <w:rPr>
          <w:rFonts w:ascii="Book Antiqua" w:eastAsia="SimSun" w:hAnsi="Book Antiqua" w:cs="Times"/>
          <w:b/>
          <w:bCs/>
          <w:kern w:val="0"/>
          <w:lang w:eastAsia="zh-CN"/>
        </w:rPr>
        <w:t>Figure 1 Location of biopsy sites according to the updated Sydney system</w:t>
      </w:r>
      <w:r w:rsidRPr="004865E7">
        <w:rPr>
          <w:rFonts w:ascii="Book Antiqua" w:eastAsia="SimSun" w:hAnsi="Book Antiqua" w:cs="Times" w:hint="eastAsia"/>
          <w:b/>
          <w:bCs/>
          <w:kern w:val="0"/>
          <w:lang w:eastAsia="zh-CN"/>
        </w:rPr>
        <w:t xml:space="preserve">. </w:t>
      </w:r>
      <w:r w:rsidRPr="004865E7">
        <w:rPr>
          <w:rFonts w:ascii="Book Antiqua" w:eastAsia="SimSun" w:hAnsi="Book Antiqua" w:cs="Times"/>
          <w:bCs/>
          <w:kern w:val="0"/>
          <w:lang w:eastAsia="zh-CN"/>
        </w:rPr>
        <w:t>GC: Greater curvature</w:t>
      </w:r>
      <w:r w:rsidRPr="004865E7">
        <w:rPr>
          <w:rFonts w:ascii="Book Antiqua" w:eastAsia="SimSun" w:hAnsi="Book Antiqua" w:cs="Times" w:hint="eastAsia"/>
          <w:bCs/>
          <w:kern w:val="0"/>
          <w:lang w:eastAsia="zh-CN"/>
        </w:rPr>
        <w:t xml:space="preserve">; </w:t>
      </w:r>
      <w:r w:rsidRPr="004865E7">
        <w:rPr>
          <w:rFonts w:ascii="Book Antiqua" w:eastAsia="SimSun" w:hAnsi="Book Antiqua" w:cs="Times"/>
          <w:bCs/>
          <w:kern w:val="0"/>
          <w:lang w:eastAsia="zh-CN"/>
        </w:rPr>
        <w:t>LC: Lesser curvature</w:t>
      </w:r>
      <w:r w:rsidRPr="004865E7">
        <w:rPr>
          <w:rFonts w:ascii="Book Antiqua" w:eastAsia="SimSun" w:hAnsi="Book Antiqua" w:cs="Times" w:hint="eastAsia"/>
          <w:bCs/>
          <w:kern w:val="0"/>
          <w:lang w:eastAsia="zh-CN"/>
        </w:rPr>
        <w:t>.</w:t>
      </w:r>
    </w:p>
    <w:p w14:paraId="79820FAB"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
          <w:bCs/>
          <w:kern w:val="0"/>
          <w:lang w:eastAsia="zh-CN"/>
        </w:rPr>
      </w:pPr>
    </w:p>
    <w:p w14:paraId="0DA00F95"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
          <w:bCs/>
          <w:kern w:val="0"/>
          <w:lang w:eastAsia="zh-CN"/>
        </w:rPr>
      </w:pPr>
      <w:r w:rsidRPr="004865E7">
        <w:rPr>
          <w:rFonts w:ascii="Book Antiqua" w:hAnsi="Book Antiqua" w:cs="Times"/>
          <w:b/>
          <w:bCs/>
          <w:noProof/>
          <w:kern w:val="0"/>
          <w:lang w:eastAsia="zh-CN"/>
        </w:rPr>
        <w:lastRenderedPageBreak/>
        <w:drawing>
          <wp:inline distT="0" distB="0" distL="0" distR="0" wp14:anchorId="248D5A37" wp14:editId="5DCABEBB">
            <wp:extent cx="7863343" cy="5895975"/>
            <wp:effectExtent l="0" t="0" r="10795" b="0"/>
            <wp:docPr id="5" name="図 2" descr="Macintosh HD:Users:shinKONO:Desktop:FIgure: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nKONO:Desktop:FIgure:Figure 2.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3993" cy="5896462"/>
                    </a:xfrm>
                    <a:prstGeom prst="rect">
                      <a:avLst/>
                    </a:prstGeom>
                    <a:noFill/>
                    <a:ln>
                      <a:noFill/>
                    </a:ln>
                  </pic:spPr>
                </pic:pic>
              </a:graphicData>
            </a:graphic>
          </wp:inline>
        </w:drawing>
      </w:r>
    </w:p>
    <w:p w14:paraId="50826F5D"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
          <w:bCs/>
          <w:kern w:val="0"/>
          <w:lang w:eastAsia="zh-CN"/>
        </w:rPr>
      </w:pPr>
      <w:r w:rsidRPr="004865E7">
        <w:rPr>
          <w:rFonts w:ascii="Book Antiqua" w:eastAsia="SimSun" w:hAnsi="Book Antiqua" w:cs="Times"/>
          <w:b/>
          <w:bCs/>
          <w:kern w:val="0"/>
          <w:lang w:eastAsia="zh-CN"/>
        </w:rPr>
        <w:t>Figure 2 Endoscopic atrophy grades</w:t>
      </w:r>
      <w:r w:rsidRPr="004865E7">
        <w:rPr>
          <w:rFonts w:ascii="Book Antiqua" w:eastAsia="SimSun" w:hAnsi="Book Antiqua" w:cs="Times" w:hint="eastAsia"/>
          <w:b/>
          <w:bCs/>
          <w:kern w:val="0"/>
          <w:lang w:eastAsia="zh-CN"/>
        </w:rPr>
        <w:t>.</w:t>
      </w:r>
    </w:p>
    <w:p w14:paraId="36F73161" w14:textId="77777777" w:rsidR="00314767" w:rsidRPr="004865E7" w:rsidRDefault="00314767" w:rsidP="00314767">
      <w:pPr>
        <w:widowControl/>
        <w:autoSpaceDE w:val="0"/>
        <w:autoSpaceDN w:val="0"/>
        <w:adjustRightInd w:val="0"/>
        <w:snapToGrid w:val="0"/>
        <w:spacing w:line="360" w:lineRule="auto"/>
        <w:rPr>
          <w:rFonts w:ascii="Book Antiqua" w:eastAsia="SimSun" w:hAnsi="Book Antiqua" w:cs="Times"/>
          <w:b/>
          <w:bCs/>
          <w:kern w:val="0"/>
          <w:lang w:eastAsia="zh-CN"/>
        </w:rPr>
      </w:pPr>
    </w:p>
    <w:p w14:paraId="442E33F9" w14:textId="77777777" w:rsidR="00314767" w:rsidRPr="004865E7" w:rsidRDefault="00314767" w:rsidP="00314767">
      <w:pPr>
        <w:adjustRightInd w:val="0"/>
        <w:snapToGrid w:val="0"/>
        <w:spacing w:line="360" w:lineRule="auto"/>
        <w:rPr>
          <w:rFonts w:ascii="Book Antiqua" w:eastAsia="SimSun" w:hAnsi="Book Antiqua"/>
          <w:lang w:eastAsia="zh-CN"/>
        </w:rPr>
      </w:pPr>
      <w:r w:rsidRPr="004865E7">
        <w:rPr>
          <w:rFonts w:ascii="Book Antiqua" w:hAnsi="Book Antiqua"/>
          <w:noProof/>
          <w:lang w:eastAsia="zh-CN"/>
        </w:rPr>
        <w:lastRenderedPageBreak/>
        <w:drawing>
          <wp:inline distT="0" distB="0" distL="0" distR="0" wp14:anchorId="4603E21A" wp14:editId="1E05D4F1">
            <wp:extent cx="7803047" cy="5850765"/>
            <wp:effectExtent l="0" t="0" r="0" b="0"/>
            <wp:docPr id="6" name="図 3" descr="Macintosh HD:Users:shinKONO:Desktop:FIgure: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nKONO:Desktop:FIgure:Figure 3.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3210" cy="5850888"/>
                    </a:xfrm>
                    <a:prstGeom prst="rect">
                      <a:avLst/>
                    </a:prstGeom>
                    <a:noFill/>
                    <a:ln>
                      <a:noFill/>
                    </a:ln>
                  </pic:spPr>
                </pic:pic>
              </a:graphicData>
            </a:graphic>
          </wp:inline>
        </w:drawing>
      </w:r>
    </w:p>
    <w:p w14:paraId="3B8CBA37" w14:textId="77777777" w:rsidR="00314767" w:rsidRPr="004865E7" w:rsidRDefault="00314767" w:rsidP="00314767">
      <w:pPr>
        <w:adjustRightInd w:val="0"/>
        <w:snapToGrid w:val="0"/>
        <w:spacing w:line="360" w:lineRule="auto"/>
        <w:rPr>
          <w:rFonts w:ascii="Book Antiqua" w:eastAsia="SimSun" w:hAnsi="Book Antiqua"/>
          <w:b/>
          <w:lang w:eastAsia="zh-CN"/>
        </w:rPr>
      </w:pPr>
      <w:r w:rsidRPr="004865E7">
        <w:rPr>
          <w:rFonts w:ascii="Book Antiqua" w:eastAsia="SimSun" w:hAnsi="Book Antiqua"/>
          <w:b/>
          <w:bCs/>
          <w:lang w:eastAsia="zh-CN"/>
        </w:rPr>
        <w:t>Figure 3 The original and modified Kimura</w:t>
      </w:r>
      <w:r w:rsidRPr="004865E7">
        <w:rPr>
          <w:rFonts w:ascii="Book Antiqua" w:eastAsia="SimSun" w:hAnsi="Book Antiqua" w:hint="eastAsia"/>
          <w:b/>
          <w:bCs/>
          <w:lang w:eastAsia="zh-CN"/>
        </w:rPr>
        <w:t xml:space="preserve"> </w:t>
      </w:r>
      <w:r w:rsidRPr="004865E7">
        <w:rPr>
          <w:rFonts w:ascii="Book Antiqua" w:eastAsia="SimSun" w:hAnsi="Book Antiqua"/>
          <w:b/>
          <w:bCs/>
          <w:lang w:eastAsia="zh-CN"/>
        </w:rPr>
        <w:t>–</w:t>
      </w:r>
      <w:r w:rsidRPr="004865E7">
        <w:rPr>
          <w:rFonts w:ascii="Book Antiqua" w:eastAsia="SimSun" w:hAnsi="Book Antiqua" w:hint="eastAsia"/>
          <w:b/>
          <w:bCs/>
          <w:lang w:eastAsia="zh-CN"/>
        </w:rPr>
        <w:t xml:space="preserve"> </w:t>
      </w:r>
      <w:r w:rsidRPr="004865E7">
        <w:rPr>
          <w:rFonts w:ascii="Book Antiqua" w:eastAsia="SimSun" w:hAnsi="Book Antiqua"/>
          <w:b/>
          <w:bCs/>
          <w:lang w:eastAsia="zh-CN"/>
        </w:rPr>
        <w:t>Takemoto classifications</w:t>
      </w:r>
      <w:r w:rsidRPr="004865E7">
        <w:rPr>
          <w:rFonts w:ascii="Book Antiqua" w:eastAsia="SimSun" w:hAnsi="Book Antiqua" w:hint="eastAsia"/>
          <w:b/>
          <w:bCs/>
          <w:lang w:eastAsia="zh-CN"/>
        </w:rPr>
        <w:t>.</w:t>
      </w:r>
      <w:r w:rsidRPr="004865E7">
        <w:rPr>
          <w:rFonts w:ascii="Book Antiqua" w:eastAsia="SimSun" w:hAnsi="Book Antiqua"/>
          <w:b/>
          <w:bCs/>
          <w:lang w:eastAsia="zh-CN"/>
        </w:rPr>
        <w:t xml:space="preserve"> </w:t>
      </w:r>
    </w:p>
    <w:p w14:paraId="77E927C3" w14:textId="77777777" w:rsidR="00ED34B9" w:rsidRPr="004865E7" w:rsidRDefault="00ED34B9" w:rsidP="00314767">
      <w:pPr>
        <w:spacing w:line="360" w:lineRule="auto"/>
        <w:ind w:left="360" w:hangingChars="150" w:hanging="360"/>
        <w:jc w:val="right"/>
        <w:rPr>
          <w:rFonts w:ascii="Book Antiqua" w:hAnsi="Book Antiqua"/>
        </w:rPr>
      </w:pP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14:paraId="47DFB48C" w14:textId="54CF99C8" w:rsidR="002C16E4" w:rsidRPr="004865E7" w:rsidRDefault="002C16E4" w:rsidP="00FA3CB2">
      <w:pPr>
        <w:widowControl/>
        <w:adjustRightInd w:val="0"/>
        <w:snapToGrid w:val="0"/>
        <w:spacing w:line="360" w:lineRule="auto"/>
        <w:rPr>
          <w:rFonts w:ascii="Book Antiqua" w:hAnsi="Book Antiqua" w:cs="Times"/>
          <w:kern w:val="0"/>
        </w:rPr>
      </w:pPr>
      <w:r w:rsidRPr="004865E7">
        <w:rPr>
          <w:rFonts w:ascii="Book Antiqua" w:hAnsi="Book Antiqua" w:cs="Times"/>
          <w:kern w:val="0"/>
        </w:rPr>
        <w:br w:type="page"/>
      </w:r>
      <w:r w:rsidR="00ED34B9" w:rsidRPr="004865E7">
        <w:rPr>
          <w:rFonts w:ascii="Book Antiqua" w:hAnsi="Book Antiqua" w:cs="Times"/>
          <w:b/>
          <w:bCs/>
          <w:kern w:val="0"/>
        </w:rPr>
        <w:lastRenderedPageBreak/>
        <w:t>Table 1</w:t>
      </w:r>
      <w:r w:rsidR="00ED34B9" w:rsidRPr="004865E7">
        <w:rPr>
          <w:rFonts w:ascii="Book Antiqua" w:hAnsi="Book Antiqua" w:cs="Times"/>
          <w:b/>
          <w:kern w:val="0"/>
        </w:rPr>
        <w:t xml:space="preserve"> Patient demographic and clinical</w:t>
      </w:r>
      <w:r w:rsidR="00ED34B9" w:rsidRPr="004865E7">
        <w:rPr>
          <w:rFonts w:ascii="Book Antiqua" w:hAnsi="Book Antiqua" w:cs="Times" w:hint="eastAsia"/>
          <w:b/>
          <w:kern w:val="0"/>
        </w:rPr>
        <w:t xml:space="preserve"> </w:t>
      </w:r>
      <w:r w:rsidR="00ED34B9" w:rsidRPr="004865E7">
        <w:rPr>
          <w:rFonts w:ascii="Book Antiqua" w:hAnsi="Book Antiqua" w:cs="Times"/>
          <w:b/>
          <w:kern w:val="0"/>
        </w:rPr>
        <w:t>characteristics</w:t>
      </w:r>
    </w:p>
    <w:tbl>
      <w:tblPr>
        <w:tblW w:w="6564" w:type="pct"/>
        <w:tblInd w:w="-1035" w:type="dxa"/>
        <w:tblLayout w:type="fixed"/>
        <w:tblCellMar>
          <w:left w:w="99" w:type="dxa"/>
          <w:right w:w="99" w:type="dxa"/>
        </w:tblCellMar>
        <w:tblLook w:val="04A0" w:firstRow="1" w:lastRow="0" w:firstColumn="1" w:lastColumn="0" w:noHBand="0" w:noVBand="1"/>
      </w:tblPr>
      <w:tblGrid>
        <w:gridCol w:w="283"/>
        <w:gridCol w:w="283"/>
        <w:gridCol w:w="3094"/>
        <w:gridCol w:w="2334"/>
        <w:gridCol w:w="1799"/>
        <w:gridCol w:w="1580"/>
        <w:gridCol w:w="2044"/>
      </w:tblGrid>
      <w:tr w:rsidR="002C16E4" w:rsidRPr="004865E7" w14:paraId="118070AE" w14:textId="77777777" w:rsidTr="00D820C6">
        <w:trPr>
          <w:trHeight w:val="380"/>
        </w:trPr>
        <w:tc>
          <w:tcPr>
            <w:tcW w:w="2625" w:type="pct"/>
            <w:gridSpan w:val="4"/>
            <w:tcBorders>
              <w:top w:val="nil"/>
              <w:left w:val="nil"/>
              <w:bottom w:val="single" w:sz="12" w:space="0" w:color="auto"/>
              <w:right w:val="nil"/>
            </w:tcBorders>
            <w:shd w:val="clear" w:color="auto" w:fill="auto"/>
            <w:noWrap/>
            <w:vAlign w:val="bottom"/>
            <w:hideMark/>
          </w:tcPr>
          <w:p w14:paraId="6C1E2B49" w14:textId="7DF9C44C" w:rsidR="002C16E4" w:rsidRPr="004865E7" w:rsidRDefault="002C16E4" w:rsidP="00ED34B9">
            <w:pPr>
              <w:widowControl/>
              <w:adjustRightInd w:val="0"/>
              <w:snapToGrid w:val="0"/>
              <w:spacing w:line="360" w:lineRule="auto"/>
              <w:rPr>
                <w:rFonts w:ascii="Book Antiqua" w:eastAsia="SimSun" w:hAnsi="Book Antiqua" w:cs="Times New Roman"/>
                <w:b/>
                <w:kern w:val="0"/>
                <w:lang w:eastAsia="zh-CN"/>
              </w:rPr>
            </w:pPr>
          </w:p>
        </w:tc>
        <w:tc>
          <w:tcPr>
            <w:tcW w:w="788" w:type="pct"/>
            <w:tcBorders>
              <w:top w:val="nil"/>
              <w:left w:val="nil"/>
              <w:bottom w:val="nil"/>
              <w:right w:val="nil"/>
            </w:tcBorders>
            <w:shd w:val="clear" w:color="auto" w:fill="auto"/>
            <w:noWrap/>
            <w:vAlign w:val="bottom"/>
            <w:hideMark/>
          </w:tcPr>
          <w:p w14:paraId="5C6F73D9"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bottom"/>
            <w:hideMark/>
          </w:tcPr>
          <w:p w14:paraId="3ABC2E10"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bottom"/>
            <w:hideMark/>
          </w:tcPr>
          <w:p w14:paraId="603FFAAC"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r>
      <w:tr w:rsidR="002C16E4" w:rsidRPr="004865E7" w14:paraId="042AD2F2" w14:textId="77777777" w:rsidTr="00D820C6">
        <w:trPr>
          <w:trHeight w:val="400"/>
        </w:trPr>
        <w:tc>
          <w:tcPr>
            <w:tcW w:w="124" w:type="pct"/>
            <w:tcBorders>
              <w:top w:val="nil"/>
              <w:left w:val="nil"/>
              <w:bottom w:val="single" w:sz="12" w:space="0" w:color="auto"/>
              <w:right w:val="nil"/>
            </w:tcBorders>
            <w:shd w:val="clear" w:color="auto" w:fill="auto"/>
            <w:noWrap/>
            <w:vAlign w:val="bottom"/>
            <w:hideMark/>
          </w:tcPr>
          <w:p w14:paraId="076F6EAC"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24" w:type="pct"/>
            <w:tcBorders>
              <w:top w:val="nil"/>
              <w:left w:val="nil"/>
              <w:bottom w:val="single" w:sz="12" w:space="0" w:color="auto"/>
              <w:right w:val="nil"/>
            </w:tcBorders>
            <w:shd w:val="clear" w:color="auto" w:fill="auto"/>
            <w:noWrap/>
            <w:vAlign w:val="bottom"/>
            <w:hideMark/>
          </w:tcPr>
          <w:p w14:paraId="58F57D72"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355" w:type="pct"/>
            <w:tcBorders>
              <w:top w:val="nil"/>
              <w:left w:val="nil"/>
              <w:bottom w:val="single" w:sz="12" w:space="0" w:color="auto"/>
              <w:right w:val="nil"/>
            </w:tcBorders>
            <w:shd w:val="clear" w:color="auto" w:fill="auto"/>
            <w:noWrap/>
            <w:vAlign w:val="bottom"/>
            <w:hideMark/>
          </w:tcPr>
          <w:p w14:paraId="5CDA6AC2"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022" w:type="pct"/>
            <w:tcBorders>
              <w:top w:val="nil"/>
              <w:left w:val="nil"/>
              <w:bottom w:val="single" w:sz="12" w:space="0" w:color="auto"/>
              <w:right w:val="nil"/>
            </w:tcBorders>
            <w:shd w:val="clear" w:color="auto" w:fill="auto"/>
            <w:noWrap/>
            <w:vAlign w:val="center"/>
            <w:hideMark/>
          </w:tcPr>
          <w:p w14:paraId="423E8758" w14:textId="45CA9103"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U</w:t>
            </w:r>
            <w:r w:rsidR="00314767" w:rsidRPr="004865E7">
              <w:rPr>
                <w:rFonts w:ascii="Book Antiqua" w:eastAsia="SimSun" w:hAnsi="Book Antiqua" w:cs="Times New Roman" w:hint="eastAsia"/>
                <w:b/>
                <w:kern w:val="0"/>
                <w:lang w:eastAsia="zh-CN"/>
              </w:rPr>
              <w:t>nited Kingdom</w:t>
            </w:r>
            <w:r w:rsidRPr="004865E7">
              <w:rPr>
                <w:rFonts w:ascii="Book Antiqua" w:eastAsia="MS PGothic" w:hAnsi="Book Antiqua" w:cs="Times New Roman"/>
                <w:b/>
                <w:kern w:val="0"/>
              </w:rPr>
              <w:t xml:space="preserve"> (</w:t>
            </w:r>
            <w:r w:rsidR="00ED34B9" w:rsidRPr="004865E7">
              <w:rPr>
                <w:rFonts w:ascii="Book Antiqua" w:eastAsia="MS PGothic" w:hAnsi="Book Antiqua" w:cs="Times New Roman"/>
                <w:b/>
                <w:i/>
                <w:kern w:val="0"/>
              </w:rPr>
              <w:t xml:space="preserve">n = </w:t>
            </w:r>
            <w:r w:rsidRPr="004865E7">
              <w:rPr>
                <w:rFonts w:ascii="Book Antiqua" w:eastAsia="MS PGothic" w:hAnsi="Book Antiqua" w:cs="Times New Roman"/>
                <w:b/>
                <w:kern w:val="0"/>
              </w:rPr>
              <w:t>126)</w:t>
            </w:r>
          </w:p>
        </w:tc>
        <w:tc>
          <w:tcPr>
            <w:tcW w:w="788" w:type="pct"/>
            <w:tcBorders>
              <w:top w:val="single" w:sz="12" w:space="0" w:color="auto"/>
              <w:left w:val="nil"/>
              <w:bottom w:val="single" w:sz="12" w:space="0" w:color="auto"/>
              <w:right w:val="nil"/>
            </w:tcBorders>
            <w:shd w:val="clear" w:color="auto" w:fill="auto"/>
            <w:noWrap/>
            <w:vAlign w:val="center"/>
            <w:hideMark/>
          </w:tcPr>
          <w:p w14:paraId="73DAFFE6" w14:textId="7E5443F0"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Japan (</w:t>
            </w:r>
            <w:r w:rsidR="00ED34B9" w:rsidRPr="004865E7">
              <w:rPr>
                <w:rFonts w:ascii="Book Antiqua" w:eastAsia="MS PGothic" w:hAnsi="Book Antiqua" w:cs="Times New Roman"/>
                <w:b/>
                <w:i/>
                <w:kern w:val="0"/>
              </w:rPr>
              <w:t xml:space="preserve">n = </w:t>
            </w:r>
            <w:r w:rsidRPr="004865E7">
              <w:rPr>
                <w:rFonts w:ascii="Book Antiqua" w:eastAsia="MS PGothic" w:hAnsi="Book Antiqua" w:cs="Times New Roman"/>
                <w:b/>
                <w:kern w:val="0"/>
              </w:rPr>
              <w:t>126)</w:t>
            </w:r>
          </w:p>
        </w:tc>
        <w:tc>
          <w:tcPr>
            <w:tcW w:w="692" w:type="pct"/>
            <w:tcBorders>
              <w:top w:val="single" w:sz="12" w:space="0" w:color="auto"/>
              <w:left w:val="nil"/>
              <w:bottom w:val="single" w:sz="12" w:space="0" w:color="auto"/>
              <w:right w:val="nil"/>
            </w:tcBorders>
            <w:shd w:val="clear" w:color="auto" w:fill="auto"/>
            <w:noWrap/>
            <w:vAlign w:val="center"/>
            <w:hideMark/>
          </w:tcPr>
          <w:p w14:paraId="33981EF4" w14:textId="2265ED21"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Total (</w:t>
            </w:r>
            <w:r w:rsidR="00ED34B9" w:rsidRPr="004865E7">
              <w:rPr>
                <w:rFonts w:ascii="Book Antiqua" w:eastAsia="MS PGothic" w:hAnsi="Book Antiqua" w:cs="Times New Roman"/>
                <w:b/>
                <w:i/>
                <w:kern w:val="0"/>
              </w:rPr>
              <w:t xml:space="preserve">n = </w:t>
            </w:r>
            <w:r w:rsidRPr="004865E7">
              <w:rPr>
                <w:rFonts w:ascii="Book Antiqua" w:eastAsia="MS PGothic" w:hAnsi="Book Antiqua" w:cs="Times New Roman"/>
                <w:b/>
                <w:kern w:val="0"/>
              </w:rPr>
              <w:t>252)</w:t>
            </w:r>
          </w:p>
        </w:tc>
        <w:tc>
          <w:tcPr>
            <w:tcW w:w="895" w:type="pct"/>
            <w:tcBorders>
              <w:top w:val="single" w:sz="12" w:space="0" w:color="auto"/>
              <w:left w:val="nil"/>
              <w:bottom w:val="single" w:sz="12" w:space="0" w:color="auto"/>
              <w:right w:val="nil"/>
            </w:tcBorders>
            <w:shd w:val="clear" w:color="auto" w:fill="auto"/>
            <w:noWrap/>
            <w:vAlign w:val="center"/>
            <w:hideMark/>
          </w:tcPr>
          <w:p w14:paraId="6DE84EFB" w14:textId="2281334B" w:rsidR="002C16E4" w:rsidRPr="004865E7" w:rsidRDefault="00ED34B9"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i/>
                <w:iCs/>
                <w:kern w:val="0"/>
              </w:rPr>
              <w:t>P</w:t>
            </w:r>
            <w:r w:rsidR="002C16E4" w:rsidRPr="004865E7">
              <w:rPr>
                <w:rFonts w:ascii="Book Antiqua" w:eastAsia="MS PGothic" w:hAnsi="Book Antiqua" w:cs="Times New Roman"/>
                <w:b/>
                <w:i/>
                <w:iCs/>
                <w:kern w:val="0"/>
              </w:rPr>
              <w:t xml:space="preserve"> </w:t>
            </w:r>
            <w:r w:rsidR="002C16E4" w:rsidRPr="004865E7">
              <w:rPr>
                <w:rFonts w:ascii="Book Antiqua" w:eastAsia="MS PGothic" w:hAnsi="Book Antiqua" w:cs="Times New Roman"/>
                <w:b/>
                <w:kern w:val="0"/>
              </w:rPr>
              <w:t>value (U</w:t>
            </w:r>
            <w:r w:rsidRPr="004865E7">
              <w:rPr>
                <w:rFonts w:ascii="Book Antiqua" w:eastAsia="SimSun" w:hAnsi="Book Antiqua" w:cs="Times New Roman" w:hint="eastAsia"/>
                <w:b/>
                <w:kern w:val="0"/>
                <w:lang w:eastAsia="zh-CN"/>
              </w:rPr>
              <w:t>nited Kingdom</w:t>
            </w:r>
            <w:r w:rsidR="002C16E4" w:rsidRPr="004865E7">
              <w:rPr>
                <w:rFonts w:ascii="Book Antiqua" w:eastAsia="MS PGothic" w:hAnsi="Book Antiqua" w:cs="Times New Roman"/>
                <w:b/>
                <w:kern w:val="0"/>
              </w:rPr>
              <w:t xml:space="preserve"> </w:t>
            </w:r>
            <w:r w:rsidR="002C16E4" w:rsidRPr="004865E7">
              <w:rPr>
                <w:rFonts w:ascii="Book Antiqua" w:eastAsia="MS PGothic" w:hAnsi="Book Antiqua" w:cs="Times New Roman"/>
                <w:b/>
                <w:i/>
                <w:kern w:val="0"/>
              </w:rPr>
              <w:t>vs</w:t>
            </w:r>
            <w:r w:rsidR="002C16E4" w:rsidRPr="004865E7">
              <w:rPr>
                <w:rFonts w:ascii="Book Antiqua" w:eastAsia="MS PGothic" w:hAnsi="Book Antiqua" w:cs="Times New Roman"/>
                <w:b/>
                <w:kern w:val="0"/>
              </w:rPr>
              <w:t xml:space="preserve"> Japan)</w:t>
            </w:r>
          </w:p>
        </w:tc>
      </w:tr>
      <w:tr w:rsidR="002C16E4" w:rsidRPr="004865E7" w14:paraId="39806EA0" w14:textId="77777777" w:rsidTr="00D820C6">
        <w:trPr>
          <w:trHeight w:val="380"/>
        </w:trPr>
        <w:tc>
          <w:tcPr>
            <w:tcW w:w="1603" w:type="pct"/>
            <w:gridSpan w:val="3"/>
            <w:tcBorders>
              <w:top w:val="single" w:sz="12" w:space="0" w:color="auto"/>
              <w:left w:val="nil"/>
              <w:bottom w:val="nil"/>
              <w:right w:val="nil"/>
            </w:tcBorders>
            <w:shd w:val="clear" w:color="auto" w:fill="auto"/>
            <w:noWrap/>
            <w:vAlign w:val="bottom"/>
            <w:hideMark/>
          </w:tcPr>
          <w:p w14:paraId="79EB46C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Clinical parameters</w:t>
            </w:r>
          </w:p>
        </w:tc>
        <w:tc>
          <w:tcPr>
            <w:tcW w:w="1022" w:type="pct"/>
            <w:tcBorders>
              <w:top w:val="nil"/>
              <w:left w:val="nil"/>
              <w:bottom w:val="nil"/>
              <w:right w:val="nil"/>
            </w:tcBorders>
            <w:shd w:val="clear" w:color="auto" w:fill="auto"/>
            <w:noWrap/>
            <w:vAlign w:val="center"/>
            <w:hideMark/>
          </w:tcPr>
          <w:p w14:paraId="520761B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003B80A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05C3F0E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48FD53B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FF560E5" w14:textId="77777777" w:rsidTr="00D820C6">
        <w:trPr>
          <w:trHeight w:val="360"/>
        </w:trPr>
        <w:tc>
          <w:tcPr>
            <w:tcW w:w="124" w:type="pct"/>
            <w:tcBorders>
              <w:top w:val="nil"/>
              <w:left w:val="nil"/>
              <w:bottom w:val="nil"/>
              <w:right w:val="nil"/>
            </w:tcBorders>
            <w:shd w:val="clear" w:color="auto" w:fill="auto"/>
            <w:noWrap/>
            <w:vAlign w:val="bottom"/>
            <w:hideMark/>
          </w:tcPr>
          <w:p w14:paraId="0F20C21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76C307F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Sex</w:t>
            </w:r>
          </w:p>
        </w:tc>
        <w:tc>
          <w:tcPr>
            <w:tcW w:w="1022" w:type="pct"/>
            <w:tcBorders>
              <w:top w:val="nil"/>
              <w:left w:val="nil"/>
              <w:bottom w:val="nil"/>
              <w:right w:val="nil"/>
            </w:tcBorders>
            <w:shd w:val="clear" w:color="auto" w:fill="auto"/>
            <w:noWrap/>
            <w:vAlign w:val="center"/>
            <w:hideMark/>
          </w:tcPr>
          <w:p w14:paraId="33160C4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6FE2402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55C33C9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3DF8E1A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370850BD" w14:textId="77777777" w:rsidTr="00D820C6">
        <w:trPr>
          <w:trHeight w:val="360"/>
        </w:trPr>
        <w:tc>
          <w:tcPr>
            <w:tcW w:w="124" w:type="pct"/>
            <w:tcBorders>
              <w:top w:val="nil"/>
              <w:left w:val="nil"/>
              <w:bottom w:val="nil"/>
              <w:right w:val="nil"/>
            </w:tcBorders>
            <w:shd w:val="clear" w:color="auto" w:fill="auto"/>
            <w:noWrap/>
            <w:vAlign w:val="bottom"/>
            <w:hideMark/>
          </w:tcPr>
          <w:p w14:paraId="5392DE86"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446F9066"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07036B1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Male</w:t>
            </w:r>
          </w:p>
        </w:tc>
        <w:tc>
          <w:tcPr>
            <w:tcW w:w="1022" w:type="pct"/>
            <w:tcBorders>
              <w:top w:val="nil"/>
              <w:left w:val="nil"/>
              <w:bottom w:val="nil"/>
              <w:right w:val="nil"/>
            </w:tcBorders>
            <w:shd w:val="clear" w:color="auto" w:fill="auto"/>
            <w:noWrap/>
            <w:vAlign w:val="center"/>
            <w:hideMark/>
          </w:tcPr>
          <w:p w14:paraId="29309A5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63 (50.0%)</w:t>
            </w:r>
          </w:p>
        </w:tc>
        <w:tc>
          <w:tcPr>
            <w:tcW w:w="788" w:type="pct"/>
            <w:tcBorders>
              <w:top w:val="nil"/>
              <w:left w:val="nil"/>
              <w:bottom w:val="nil"/>
              <w:right w:val="nil"/>
            </w:tcBorders>
            <w:shd w:val="clear" w:color="auto" w:fill="auto"/>
            <w:noWrap/>
            <w:vAlign w:val="center"/>
            <w:hideMark/>
          </w:tcPr>
          <w:p w14:paraId="489CCF0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44 (35.0%)</w:t>
            </w:r>
          </w:p>
        </w:tc>
        <w:tc>
          <w:tcPr>
            <w:tcW w:w="692" w:type="pct"/>
            <w:tcBorders>
              <w:top w:val="nil"/>
              <w:left w:val="nil"/>
              <w:bottom w:val="nil"/>
              <w:right w:val="nil"/>
            </w:tcBorders>
            <w:shd w:val="clear" w:color="auto" w:fill="auto"/>
            <w:noWrap/>
            <w:vAlign w:val="center"/>
            <w:hideMark/>
          </w:tcPr>
          <w:p w14:paraId="42BFCCF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107 (42.5%)</w:t>
            </w:r>
          </w:p>
        </w:tc>
        <w:tc>
          <w:tcPr>
            <w:tcW w:w="895" w:type="pct"/>
            <w:vMerge w:val="restart"/>
            <w:tcBorders>
              <w:top w:val="nil"/>
              <w:left w:val="nil"/>
              <w:bottom w:val="nil"/>
              <w:right w:val="nil"/>
            </w:tcBorders>
            <w:shd w:val="clear" w:color="auto" w:fill="auto"/>
            <w:noWrap/>
            <w:vAlign w:val="center"/>
            <w:hideMark/>
          </w:tcPr>
          <w:p w14:paraId="5327C04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0.019</w:t>
            </w:r>
          </w:p>
        </w:tc>
      </w:tr>
      <w:tr w:rsidR="002C16E4" w:rsidRPr="004865E7" w14:paraId="4E15295E" w14:textId="77777777" w:rsidTr="00D820C6">
        <w:trPr>
          <w:trHeight w:val="360"/>
        </w:trPr>
        <w:tc>
          <w:tcPr>
            <w:tcW w:w="124" w:type="pct"/>
            <w:tcBorders>
              <w:top w:val="nil"/>
              <w:left w:val="nil"/>
              <w:bottom w:val="nil"/>
              <w:right w:val="nil"/>
            </w:tcBorders>
            <w:shd w:val="clear" w:color="auto" w:fill="auto"/>
            <w:noWrap/>
            <w:vAlign w:val="bottom"/>
            <w:hideMark/>
          </w:tcPr>
          <w:p w14:paraId="550E408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ECF053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0706E379"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Female</w:t>
            </w:r>
          </w:p>
        </w:tc>
        <w:tc>
          <w:tcPr>
            <w:tcW w:w="1022" w:type="pct"/>
            <w:tcBorders>
              <w:top w:val="nil"/>
              <w:left w:val="nil"/>
              <w:bottom w:val="nil"/>
              <w:right w:val="nil"/>
            </w:tcBorders>
            <w:shd w:val="clear" w:color="auto" w:fill="auto"/>
            <w:noWrap/>
            <w:vAlign w:val="center"/>
            <w:hideMark/>
          </w:tcPr>
          <w:p w14:paraId="2E51550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63 (50.0%)</w:t>
            </w:r>
          </w:p>
        </w:tc>
        <w:tc>
          <w:tcPr>
            <w:tcW w:w="788" w:type="pct"/>
            <w:tcBorders>
              <w:top w:val="nil"/>
              <w:left w:val="nil"/>
              <w:bottom w:val="nil"/>
              <w:right w:val="nil"/>
            </w:tcBorders>
            <w:shd w:val="clear" w:color="auto" w:fill="auto"/>
            <w:noWrap/>
            <w:vAlign w:val="center"/>
            <w:hideMark/>
          </w:tcPr>
          <w:p w14:paraId="0138A12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82 (65.0%)</w:t>
            </w:r>
          </w:p>
        </w:tc>
        <w:tc>
          <w:tcPr>
            <w:tcW w:w="692" w:type="pct"/>
            <w:tcBorders>
              <w:top w:val="nil"/>
              <w:left w:val="nil"/>
              <w:bottom w:val="nil"/>
              <w:right w:val="nil"/>
            </w:tcBorders>
            <w:shd w:val="clear" w:color="auto" w:fill="auto"/>
            <w:noWrap/>
            <w:vAlign w:val="center"/>
            <w:hideMark/>
          </w:tcPr>
          <w:p w14:paraId="748A147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145 (57.5%)</w:t>
            </w:r>
          </w:p>
        </w:tc>
        <w:tc>
          <w:tcPr>
            <w:tcW w:w="895" w:type="pct"/>
            <w:vMerge/>
            <w:tcBorders>
              <w:top w:val="nil"/>
              <w:left w:val="nil"/>
              <w:bottom w:val="nil"/>
              <w:right w:val="nil"/>
            </w:tcBorders>
            <w:vAlign w:val="center"/>
            <w:hideMark/>
          </w:tcPr>
          <w:p w14:paraId="703F791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2CB53752" w14:textId="77777777" w:rsidTr="00D820C6">
        <w:trPr>
          <w:trHeight w:val="360"/>
        </w:trPr>
        <w:tc>
          <w:tcPr>
            <w:tcW w:w="124" w:type="pct"/>
            <w:tcBorders>
              <w:top w:val="nil"/>
              <w:left w:val="nil"/>
              <w:bottom w:val="nil"/>
              <w:right w:val="nil"/>
            </w:tcBorders>
            <w:shd w:val="clear" w:color="auto" w:fill="auto"/>
            <w:noWrap/>
            <w:vAlign w:val="bottom"/>
            <w:hideMark/>
          </w:tcPr>
          <w:p w14:paraId="1CE0D60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787FFDC5" w14:textId="6475FD16" w:rsidR="002C16E4" w:rsidRPr="004865E7" w:rsidRDefault="002C16E4" w:rsidP="00ED34B9">
            <w:pPr>
              <w:widowControl/>
              <w:adjustRightInd w:val="0"/>
              <w:snapToGrid w:val="0"/>
              <w:spacing w:line="360" w:lineRule="auto"/>
              <w:jc w:val="left"/>
              <w:rPr>
                <w:rFonts w:ascii="Book Antiqua" w:eastAsia="SimSun" w:hAnsi="Book Antiqua" w:cs="Times New Roman"/>
                <w:kern w:val="0"/>
                <w:lang w:eastAsia="zh-CN"/>
              </w:rPr>
            </w:pPr>
            <w:r w:rsidRPr="004865E7">
              <w:rPr>
                <w:rFonts w:ascii="Book Antiqua" w:eastAsia="MS PGothic" w:hAnsi="Book Antiqua" w:cs="Times New Roman"/>
                <w:kern w:val="0"/>
              </w:rPr>
              <w:t>Age</w:t>
            </w:r>
            <w:r w:rsidR="00ED34B9" w:rsidRPr="004865E7">
              <w:rPr>
                <w:rFonts w:ascii="Book Antiqua" w:eastAsia="SimSun" w:hAnsi="Book Antiqua" w:cs="Times New Roman" w:hint="eastAsia"/>
                <w:kern w:val="0"/>
                <w:lang w:eastAsia="zh-CN"/>
              </w:rPr>
              <w:t xml:space="preserve"> (yr)</w:t>
            </w:r>
          </w:p>
        </w:tc>
        <w:tc>
          <w:tcPr>
            <w:tcW w:w="1022" w:type="pct"/>
            <w:tcBorders>
              <w:top w:val="nil"/>
              <w:left w:val="nil"/>
              <w:bottom w:val="nil"/>
              <w:right w:val="nil"/>
            </w:tcBorders>
            <w:shd w:val="clear" w:color="auto" w:fill="auto"/>
            <w:noWrap/>
            <w:vAlign w:val="center"/>
            <w:hideMark/>
          </w:tcPr>
          <w:p w14:paraId="61375AF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23AA6F7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5C82A34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1ABF01D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D4B6974" w14:textId="77777777" w:rsidTr="00D820C6">
        <w:trPr>
          <w:trHeight w:val="360"/>
        </w:trPr>
        <w:tc>
          <w:tcPr>
            <w:tcW w:w="124" w:type="pct"/>
            <w:tcBorders>
              <w:top w:val="nil"/>
              <w:left w:val="nil"/>
              <w:bottom w:val="nil"/>
              <w:right w:val="nil"/>
            </w:tcBorders>
            <w:shd w:val="clear" w:color="auto" w:fill="auto"/>
            <w:noWrap/>
            <w:vAlign w:val="bottom"/>
            <w:hideMark/>
          </w:tcPr>
          <w:p w14:paraId="3F180574"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796039E"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71157B05" w14:textId="30CB68AF" w:rsidR="002C16E4" w:rsidRPr="004865E7" w:rsidRDefault="00F743FC"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 xml:space="preserve">≥ 50 </w:t>
            </w:r>
          </w:p>
        </w:tc>
        <w:tc>
          <w:tcPr>
            <w:tcW w:w="1022" w:type="pct"/>
            <w:tcBorders>
              <w:top w:val="nil"/>
              <w:left w:val="nil"/>
              <w:bottom w:val="nil"/>
              <w:right w:val="nil"/>
            </w:tcBorders>
            <w:shd w:val="clear" w:color="auto" w:fill="auto"/>
            <w:noWrap/>
            <w:vAlign w:val="center"/>
            <w:hideMark/>
          </w:tcPr>
          <w:p w14:paraId="601D589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63 (50.0%)</w:t>
            </w:r>
          </w:p>
        </w:tc>
        <w:tc>
          <w:tcPr>
            <w:tcW w:w="788" w:type="pct"/>
            <w:tcBorders>
              <w:top w:val="nil"/>
              <w:left w:val="nil"/>
              <w:bottom w:val="nil"/>
              <w:right w:val="nil"/>
            </w:tcBorders>
            <w:shd w:val="clear" w:color="auto" w:fill="auto"/>
            <w:noWrap/>
            <w:vAlign w:val="center"/>
            <w:hideMark/>
          </w:tcPr>
          <w:p w14:paraId="60DD6B2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65 </w:t>
            </w:r>
            <w:bookmarkStart w:id="533" w:name="OLE_LINK49"/>
            <w:bookmarkStart w:id="534" w:name="OLE_LINK50"/>
            <w:r w:rsidRPr="004865E7">
              <w:rPr>
                <w:rFonts w:ascii="Book Antiqua" w:eastAsia="MS PGothic" w:hAnsi="Book Antiqua" w:cs="Times New Roman"/>
                <w:kern w:val="0"/>
              </w:rPr>
              <w:t>(51.6%)</w:t>
            </w:r>
            <w:bookmarkEnd w:id="533"/>
            <w:bookmarkEnd w:id="534"/>
          </w:p>
        </w:tc>
        <w:tc>
          <w:tcPr>
            <w:tcW w:w="692" w:type="pct"/>
            <w:tcBorders>
              <w:top w:val="nil"/>
              <w:left w:val="nil"/>
              <w:bottom w:val="nil"/>
              <w:right w:val="nil"/>
            </w:tcBorders>
            <w:shd w:val="clear" w:color="auto" w:fill="auto"/>
            <w:noWrap/>
            <w:vAlign w:val="center"/>
            <w:hideMark/>
          </w:tcPr>
          <w:p w14:paraId="2964BB7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128 (50.8%)</w:t>
            </w:r>
          </w:p>
        </w:tc>
        <w:tc>
          <w:tcPr>
            <w:tcW w:w="895" w:type="pct"/>
            <w:vMerge w:val="restart"/>
            <w:tcBorders>
              <w:top w:val="nil"/>
              <w:left w:val="nil"/>
              <w:bottom w:val="nil"/>
              <w:right w:val="nil"/>
            </w:tcBorders>
            <w:shd w:val="clear" w:color="auto" w:fill="auto"/>
            <w:noWrap/>
            <w:vAlign w:val="center"/>
            <w:hideMark/>
          </w:tcPr>
          <w:p w14:paraId="1879A21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0.801</w:t>
            </w:r>
          </w:p>
        </w:tc>
      </w:tr>
      <w:tr w:rsidR="002C16E4" w:rsidRPr="004865E7" w14:paraId="14B8372F" w14:textId="77777777" w:rsidTr="00D820C6">
        <w:trPr>
          <w:trHeight w:val="360"/>
        </w:trPr>
        <w:tc>
          <w:tcPr>
            <w:tcW w:w="124" w:type="pct"/>
            <w:tcBorders>
              <w:top w:val="nil"/>
              <w:left w:val="nil"/>
              <w:bottom w:val="nil"/>
              <w:right w:val="nil"/>
            </w:tcBorders>
            <w:shd w:val="clear" w:color="auto" w:fill="auto"/>
            <w:noWrap/>
            <w:vAlign w:val="bottom"/>
            <w:hideMark/>
          </w:tcPr>
          <w:p w14:paraId="2119439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6143818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75CDDBCE" w14:textId="57BFED23" w:rsidR="002C16E4" w:rsidRPr="004865E7" w:rsidRDefault="00F743FC"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 xml:space="preserve">&lt; 50 </w:t>
            </w:r>
          </w:p>
        </w:tc>
        <w:tc>
          <w:tcPr>
            <w:tcW w:w="1022" w:type="pct"/>
            <w:tcBorders>
              <w:top w:val="nil"/>
              <w:left w:val="nil"/>
              <w:bottom w:val="nil"/>
              <w:right w:val="nil"/>
            </w:tcBorders>
            <w:shd w:val="clear" w:color="auto" w:fill="auto"/>
            <w:noWrap/>
            <w:vAlign w:val="center"/>
            <w:hideMark/>
          </w:tcPr>
          <w:p w14:paraId="7576690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63 (50.0%)</w:t>
            </w:r>
          </w:p>
        </w:tc>
        <w:tc>
          <w:tcPr>
            <w:tcW w:w="788" w:type="pct"/>
            <w:tcBorders>
              <w:top w:val="nil"/>
              <w:left w:val="nil"/>
              <w:bottom w:val="nil"/>
              <w:right w:val="nil"/>
            </w:tcBorders>
            <w:shd w:val="clear" w:color="auto" w:fill="auto"/>
            <w:noWrap/>
            <w:vAlign w:val="center"/>
            <w:hideMark/>
          </w:tcPr>
          <w:p w14:paraId="5AA7AFF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61 </w:t>
            </w:r>
            <w:bookmarkStart w:id="535" w:name="OLE_LINK51"/>
            <w:bookmarkStart w:id="536" w:name="OLE_LINK52"/>
            <w:r w:rsidRPr="004865E7">
              <w:rPr>
                <w:rFonts w:ascii="Book Antiqua" w:eastAsia="MS PGothic" w:hAnsi="Book Antiqua" w:cs="Times New Roman"/>
                <w:kern w:val="0"/>
              </w:rPr>
              <w:t>(48.4%)</w:t>
            </w:r>
            <w:bookmarkEnd w:id="535"/>
            <w:bookmarkEnd w:id="536"/>
          </w:p>
        </w:tc>
        <w:tc>
          <w:tcPr>
            <w:tcW w:w="692" w:type="pct"/>
            <w:tcBorders>
              <w:top w:val="nil"/>
              <w:left w:val="nil"/>
              <w:bottom w:val="nil"/>
              <w:right w:val="nil"/>
            </w:tcBorders>
            <w:shd w:val="clear" w:color="auto" w:fill="auto"/>
            <w:noWrap/>
            <w:vAlign w:val="center"/>
            <w:hideMark/>
          </w:tcPr>
          <w:p w14:paraId="6E169E2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124 (49.2%)</w:t>
            </w:r>
          </w:p>
        </w:tc>
        <w:tc>
          <w:tcPr>
            <w:tcW w:w="895" w:type="pct"/>
            <w:vMerge/>
            <w:tcBorders>
              <w:top w:val="nil"/>
              <w:left w:val="nil"/>
              <w:bottom w:val="nil"/>
              <w:right w:val="nil"/>
            </w:tcBorders>
            <w:vAlign w:val="center"/>
            <w:hideMark/>
          </w:tcPr>
          <w:p w14:paraId="74BD141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502B65C1" w14:textId="77777777" w:rsidTr="00D820C6">
        <w:trPr>
          <w:trHeight w:val="360"/>
        </w:trPr>
        <w:tc>
          <w:tcPr>
            <w:tcW w:w="124" w:type="pct"/>
            <w:tcBorders>
              <w:top w:val="nil"/>
              <w:left w:val="nil"/>
              <w:bottom w:val="nil"/>
              <w:right w:val="nil"/>
            </w:tcBorders>
            <w:shd w:val="clear" w:color="auto" w:fill="auto"/>
            <w:noWrap/>
            <w:vAlign w:val="bottom"/>
            <w:hideMark/>
          </w:tcPr>
          <w:p w14:paraId="7A29B98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2DC027E5" w14:textId="6E85DFAA" w:rsidR="002C16E4" w:rsidRPr="004865E7" w:rsidRDefault="00314767"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i/>
                <w:kern w:val="0"/>
              </w:rPr>
              <w:t xml:space="preserve">Helicobacter pylori </w:t>
            </w:r>
            <w:r w:rsidR="002C16E4" w:rsidRPr="004865E7">
              <w:rPr>
                <w:rFonts w:ascii="Book Antiqua" w:eastAsia="MS PGothic" w:hAnsi="Book Antiqua" w:cs="Times New Roman"/>
                <w:kern w:val="0"/>
              </w:rPr>
              <w:t>IgG</w:t>
            </w:r>
          </w:p>
        </w:tc>
        <w:tc>
          <w:tcPr>
            <w:tcW w:w="1022" w:type="pct"/>
            <w:tcBorders>
              <w:top w:val="nil"/>
              <w:left w:val="nil"/>
              <w:bottom w:val="nil"/>
              <w:right w:val="nil"/>
            </w:tcBorders>
            <w:shd w:val="clear" w:color="auto" w:fill="auto"/>
            <w:noWrap/>
            <w:vAlign w:val="center"/>
            <w:hideMark/>
          </w:tcPr>
          <w:p w14:paraId="3FC755B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5D30C31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32B9599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0BAEE8F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2ACDC921" w14:textId="77777777" w:rsidTr="00D820C6">
        <w:trPr>
          <w:trHeight w:val="360"/>
        </w:trPr>
        <w:tc>
          <w:tcPr>
            <w:tcW w:w="124" w:type="pct"/>
            <w:tcBorders>
              <w:top w:val="nil"/>
              <w:left w:val="nil"/>
              <w:bottom w:val="nil"/>
              <w:right w:val="nil"/>
            </w:tcBorders>
            <w:shd w:val="clear" w:color="auto" w:fill="auto"/>
            <w:noWrap/>
            <w:vAlign w:val="bottom"/>
            <w:hideMark/>
          </w:tcPr>
          <w:p w14:paraId="2BEB6EC9"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0205EE6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3898005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positive</w:t>
            </w:r>
          </w:p>
        </w:tc>
        <w:tc>
          <w:tcPr>
            <w:tcW w:w="1022" w:type="pct"/>
            <w:tcBorders>
              <w:top w:val="nil"/>
              <w:left w:val="nil"/>
              <w:bottom w:val="nil"/>
              <w:right w:val="nil"/>
            </w:tcBorders>
            <w:shd w:val="clear" w:color="auto" w:fill="auto"/>
            <w:noWrap/>
            <w:vAlign w:val="center"/>
            <w:hideMark/>
          </w:tcPr>
          <w:p w14:paraId="3A53084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47 (37.3%)</w:t>
            </w:r>
          </w:p>
        </w:tc>
        <w:tc>
          <w:tcPr>
            <w:tcW w:w="788" w:type="pct"/>
            <w:tcBorders>
              <w:top w:val="nil"/>
              <w:left w:val="nil"/>
              <w:bottom w:val="nil"/>
              <w:right w:val="nil"/>
            </w:tcBorders>
            <w:shd w:val="clear" w:color="auto" w:fill="auto"/>
            <w:noWrap/>
            <w:vAlign w:val="center"/>
            <w:hideMark/>
          </w:tcPr>
          <w:p w14:paraId="1E70FBB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 (44.4%)</w:t>
            </w:r>
          </w:p>
        </w:tc>
        <w:tc>
          <w:tcPr>
            <w:tcW w:w="692" w:type="pct"/>
            <w:tcBorders>
              <w:top w:val="nil"/>
              <w:left w:val="nil"/>
              <w:bottom w:val="nil"/>
              <w:right w:val="nil"/>
            </w:tcBorders>
            <w:shd w:val="clear" w:color="auto" w:fill="auto"/>
            <w:noWrap/>
            <w:vAlign w:val="center"/>
            <w:hideMark/>
          </w:tcPr>
          <w:p w14:paraId="6F74406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103 (40.9%)</w:t>
            </w:r>
          </w:p>
        </w:tc>
        <w:tc>
          <w:tcPr>
            <w:tcW w:w="895" w:type="pct"/>
            <w:vMerge w:val="restart"/>
            <w:tcBorders>
              <w:top w:val="nil"/>
              <w:left w:val="nil"/>
              <w:bottom w:val="nil"/>
              <w:right w:val="nil"/>
            </w:tcBorders>
            <w:shd w:val="clear" w:color="auto" w:fill="auto"/>
            <w:noWrap/>
            <w:vAlign w:val="center"/>
            <w:hideMark/>
          </w:tcPr>
          <w:p w14:paraId="59D711A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0.733</w:t>
            </w:r>
          </w:p>
        </w:tc>
      </w:tr>
      <w:tr w:rsidR="002C16E4" w:rsidRPr="004865E7" w14:paraId="194288E5" w14:textId="77777777" w:rsidTr="00D820C6">
        <w:trPr>
          <w:trHeight w:val="360"/>
        </w:trPr>
        <w:tc>
          <w:tcPr>
            <w:tcW w:w="124" w:type="pct"/>
            <w:tcBorders>
              <w:top w:val="nil"/>
              <w:left w:val="nil"/>
              <w:bottom w:val="nil"/>
              <w:right w:val="nil"/>
            </w:tcBorders>
            <w:shd w:val="clear" w:color="auto" w:fill="auto"/>
            <w:noWrap/>
            <w:vAlign w:val="bottom"/>
            <w:hideMark/>
          </w:tcPr>
          <w:p w14:paraId="33A9C21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286E02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5B528AD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1022" w:type="pct"/>
            <w:tcBorders>
              <w:top w:val="nil"/>
              <w:left w:val="nil"/>
              <w:bottom w:val="nil"/>
              <w:right w:val="nil"/>
            </w:tcBorders>
            <w:shd w:val="clear" w:color="auto" w:fill="auto"/>
            <w:noWrap/>
            <w:vAlign w:val="center"/>
            <w:hideMark/>
          </w:tcPr>
          <w:p w14:paraId="08A637C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79 (62.7%)</w:t>
            </w:r>
          </w:p>
        </w:tc>
        <w:tc>
          <w:tcPr>
            <w:tcW w:w="788" w:type="pct"/>
            <w:tcBorders>
              <w:top w:val="nil"/>
              <w:left w:val="nil"/>
              <w:bottom w:val="nil"/>
              <w:right w:val="nil"/>
            </w:tcBorders>
            <w:shd w:val="clear" w:color="auto" w:fill="auto"/>
            <w:noWrap/>
            <w:vAlign w:val="center"/>
            <w:hideMark/>
          </w:tcPr>
          <w:p w14:paraId="6BB75C1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70 (55.6%)</w:t>
            </w:r>
          </w:p>
        </w:tc>
        <w:tc>
          <w:tcPr>
            <w:tcW w:w="692" w:type="pct"/>
            <w:tcBorders>
              <w:top w:val="nil"/>
              <w:left w:val="nil"/>
              <w:bottom w:val="nil"/>
              <w:right w:val="nil"/>
            </w:tcBorders>
            <w:shd w:val="clear" w:color="auto" w:fill="auto"/>
            <w:noWrap/>
            <w:vAlign w:val="center"/>
            <w:hideMark/>
          </w:tcPr>
          <w:p w14:paraId="74547CB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149 (59.1%)</w:t>
            </w:r>
          </w:p>
        </w:tc>
        <w:tc>
          <w:tcPr>
            <w:tcW w:w="895" w:type="pct"/>
            <w:vMerge/>
            <w:tcBorders>
              <w:top w:val="nil"/>
              <w:left w:val="nil"/>
              <w:bottom w:val="nil"/>
              <w:right w:val="nil"/>
            </w:tcBorders>
            <w:vAlign w:val="center"/>
            <w:hideMark/>
          </w:tcPr>
          <w:p w14:paraId="6840CE9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26345656" w14:textId="77777777" w:rsidTr="00D820C6">
        <w:trPr>
          <w:trHeight w:val="360"/>
        </w:trPr>
        <w:tc>
          <w:tcPr>
            <w:tcW w:w="124" w:type="pct"/>
            <w:tcBorders>
              <w:top w:val="nil"/>
              <w:left w:val="nil"/>
              <w:bottom w:val="nil"/>
              <w:right w:val="nil"/>
            </w:tcBorders>
            <w:shd w:val="clear" w:color="auto" w:fill="auto"/>
            <w:noWrap/>
            <w:vAlign w:val="bottom"/>
            <w:hideMark/>
          </w:tcPr>
          <w:p w14:paraId="288A6D5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61918CA1" w14:textId="3964303A" w:rsidR="002C16E4" w:rsidRPr="004865E7" w:rsidRDefault="002C16E4" w:rsidP="00ED34B9">
            <w:pPr>
              <w:widowControl/>
              <w:adjustRightInd w:val="0"/>
              <w:snapToGrid w:val="0"/>
              <w:spacing w:line="360" w:lineRule="auto"/>
              <w:jc w:val="left"/>
              <w:rPr>
                <w:rFonts w:ascii="Book Antiqua" w:eastAsia="SimSun" w:hAnsi="Book Antiqua" w:cs="Times New Roman"/>
                <w:kern w:val="0"/>
                <w:lang w:eastAsia="zh-CN"/>
              </w:rPr>
            </w:pPr>
            <w:r w:rsidRPr="004865E7">
              <w:rPr>
                <w:rFonts w:ascii="Book Antiqua" w:eastAsia="MS PGothic" w:hAnsi="Book Antiqua" w:cs="Times New Roman"/>
                <w:kern w:val="0"/>
              </w:rPr>
              <w:t>Serologic features</w:t>
            </w:r>
            <w:r w:rsidR="00ED34B9" w:rsidRPr="004865E7">
              <w:rPr>
                <w:rFonts w:ascii="Book Antiqua" w:eastAsia="SimSun" w:hAnsi="Book Antiqua" w:cs="Times New Roman" w:hint="eastAsia"/>
                <w:kern w:val="0"/>
                <w:lang w:eastAsia="zh-CN"/>
              </w:rPr>
              <w:t xml:space="preserve"> </w:t>
            </w:r>
            <w:r w:rsidR="00ED34B9" w:rsidRPr="004865E7">
              <w:rPr>
                <w:rFonts w:ascii="Book Antiqua" w:eastAsia="SimSun" w:hAnsi="Book Antiqua" w:cs="Times New Roman"/>
                <w:kern w:val="0"/>
                <w:lang w:eastAsia="zh-CN"/>
              </w:rPr>
              <w:t>(ng/m</w:t>
            </w:r>
            <w:r w:rsidR="00ED34B9" w:rsidRPr="004865E7">
              <w:rPr>
                <w:rFonts w:ascii="Book Antiqua" w:eastAsia="SimSun" w:hAnsi="Book Antiqua" w:cs="Times New Roman" w:hint="eastAsia"/>
                <w:kern w:val="0"/>
                <w:lang w:eastAsia="zh-CN"/>
              </w:rPr>
              <w:t>L</w:t>
            </w:r>
            <w:r w:rsidR="00ED34B9" w:rsidRPr="004865E7">
              <w:rPr>
                <w:rFonts w:ascii="Book Antiqua" w:eastAsia="SimSun" w:hAnsi="Book Antiqua" w:cs="Times New Roman"/>
                <w:kern w:val="0"/>
                <w:lang w:eastAsia="zh-CN"/>
              </w:rPr>
              <w:t>)</w:t>
            </w:r>
            <w:r w:rsidR="00ED34B9" w:rsidRPr="004865E7">
              <w:rPr>
                <w:rFonts w:ascii="Book Antiqua" w:eastAsia="SimSun" w:hAnsi="Book Antiqua" w:cs="Times New Roman" w:hint="eastAsia"/>
                <w:kern w:val="0"/>
                <w:lang w:eastAsia="zh-CN"/>
              </w:rPr>
              <w:t>,</w:t>
            </w:r>
            <w:r w:rsidR="00F743FC" w:rsidRPr="004865E7">
              <w:rPr>
                <w:rFonts w:ascii="Book Antiqua" w:eastAsia="SimSun" w:hAnsi="Book Antiqua" w:cs="Times New Roman" w:hint="eastAsia"/>
                <w:kern w:val="0"/>
                <w:lang w:eastAsia="zh-CN"/>
              </w:rPr>
              <w:t xml:space="preserve"> </w:t>
            </w:r>
            <w:r w:rsidRPr="004865E7">
              <w:rPr>
                <w:rFonts w:ascii="Book Antiqua" w:eastAsia="MS PGothic" w:hAnsi="Book Antiqua" w:cs="Times New Roman"/>
                <w:kern w:val="0"/>
              </w:rPr>
              <w:t>mean</w:t>
            </w:r>
            <w:r w:rsidR="00F743FC" w:rsidRPr="004865E7">
              <w:rPr>
                <w:rFonts w:ascii="Book Antiqua" w:eastAsia="MS PGothic" w:hAnsi="Book Antiqua" w:cs="Times New Roman"/>
                <w:kern w:val="0"/>
              </w:rPr>
              <w:t xml:space="preserve"> </w:t>
            </w:r>
            <w:r w:rsidR="00ED34B9" w:rsidRPr="004865E7">
              <w:rPr>
                <w:rFonts w:ascii="Book Antiqua" w:eastAsia="MS PGothic" w:hAnsi="Book Antiqua" w:cs="Times New Roman"/>
                <w:kern w:val="0"/>
              </w:rPr>
              <w:t>±</w:t>
            </w:r>
            <w:r w:rsidR="00F743FC" w:rsidRPr="004865E7">
              <w:rPr>
                <w:rFonts w:ascii="Book Antiqua" w:eastAsia="MS PGothic" w:hAnsi="Book Antiqua" w:cs="Times New Roman"/>
                <w:kern w:val="0"/>
              </w:rPr>
              <w:t xml:space="preserve"> </w:t>
            </w:r>
            <w:r w:rsidR="00ED34B9" w:rsidRPr="004865E7">
              <w:rPr>
                <w:rFonts w:ascii="Book Antiqua" w:eastAsia="MS PGothic" w:hAnsi="Book Antiqua" w:cs="Times New Roman"/>
                <w:kern w:val="0"/>
              </w:rPr>
              <w:t>SD</w:t>
            </w:r>
          </w:p>
        </w:tc>
        <w:tc>
          <w:tcPr>
            <w:tcW w:w="1022" w:type="pct"/>
            <w:tcBorders>
              <w:top w:val="nil"/>
              <w:left w:val="nil"/>
              <w:bottom w:val="nil"/>
              <w:right w:val="nil"/>
            </w:tcBorders>
            <w:shd w:val="clear" w:color="auto" w:fill="auto"/>
            <w:noWrap/>
            <w:vAlign w:val="center"/>
            <w:hideMark/>
          </w:tcPr>
          <w:p w14:paraId="27CCD72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7866C4C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199765A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60227D7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AED09BE" w14:textId="77777777" w:rsidTr="00D820C6">
        <w:trPr>
          <w:trHeight w:val="360"/>
        </w:trPr>
        <w:tc>
          <w:tcPr>
            <w:tcW w:w="124" w:type="pct"/>
            <w:tcBorders>
              <w:top w:val="nil"/>
              <w:left w:val="nil"/>
              <w:bottom w:val="nil"/>
              <w:right w:val="nil"/>
            </w:tcBorders>
            <w:shd w:val="clear" w:color="auto" w:fill="auto"/>
            <w:noWrap/>
            <w:vAlign w:val="bottom"/>
            <w:hideMark/>
          </w:tcPr>
          <w:p w14:paraId="40E0F0BE"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080782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2B8E1C74" w14:textId="6C50BB13"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Pepsinogen I </w:t>
            </w:r>
          </w:p>
        </w:tc>
        <w:tc>
          <w:tcPr>
            <w:tcW w:w="1022" w:type="pct"/>
            <w:tcBorders>
              <w:top w:val="nil"/>
              <w:left w:val="nil"/>
              <w:bottom w:val="nil"/>
              <w:right w:val="nil"/>
            </w:tcBorders>
            <w:shd w:val="clear" w:color="auto" w:fill="auto"/>
            <w:noWrap/>
            <w:vAlign w:val="center"/>
            <w:hideMark/>
          </w:tcPr>
          <w:p w14:paraId="05E64F08" w14:textId="1B12A8D6"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51.9</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40.0</w:t>
            </w:r>
          </w:p>
        </w:tc>
        <w:tc>
          <w:tcPr>
            <w:tcW w:w="788" w:type="pct"/>
            <w:tcBorders>
              <w:top w:val="nil"/>
              <w:left w:val="nil"/>
              <w:bottom w:val="nil"/>
              <w:right w:val="nil"/>
            </w:tcBorders>
            <w:shd w:val="clear" w:color="auto" w:fill="auto"/>
            <w:noWrap/>
            <w:vAlign w:val="center"/>
            <w:hideMark/>
          </w:tcPr>
          <w:p w14:paraId="6F72A4EB" w14:textId="7FE2C7E6"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50.7</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26.8</w:t>
            </w:r>
          </w:p>
        </w:tc>
        <w:tc>
          <w:tcPr>
            <w:tcW w:w="692" w:type="pct"/>
            <w:tcBorders>
              <w:top w:val="nil"/>
              <w:left w:val="nil"/>
              <w:bottom w:val="nil"/>
              <w:right w:val="nil"/>
            </w:tcBorders>
            <w:shd w:val="clear" w:color="auto" w:fill="auto"/>
            <w:noWrap/>
            <w:vAlign w:val="center"/>
            <w:hideMark/>
          </w:tcPr>
          <w:p w14:paraId="1C2DC25C" w14:textId="568138D8"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51.3</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33.8</w:t>
            </w:r>
          </w:p>
        </w:tc>
        <w:tc>
          <w:tcPr>
            <w:tcW w:w="895" w:type="pct"/>
            <w:tcBorders>
              <w:top w:val="nil"/>
              <w:left w:val="nil"/>
              <w:bottom w:val="nil"/>
              <w:right w:val="nil"/>
            </w:tcBorders>
            <w:shd w:val="clear" w:color="auto" w:fill="auto"/>
            <w:noWrap/>
            <w:vAlign w:val="center"/>
            <w:hideMark/>
          </w:tcPr>
          <w:p w14:paraId="228607F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0780</w:t>
            </w:r>
          </w:p>
        </w:tc>
      </w:tr>
      <w:tr w:rsidR="002C16E4" w:rsidRPr="004865E7" w14:paraId="08DD2FC9" w14:textId="77777777" w:rsidTr="00D820C6">
        <w:trPr>
          <w:trHeight w:val="360"/>
        </w:trPr>
        <w:tc>
          <w:tcPr>
            <w:tcW w:w="124" w:type="pct"/>
            <w:tcBorders>
              <w:top w:val="nil"/>
              <w:left w:val="nil"/>
              <w:bottom w:val="nil"/>
              <w:right w:val="nil"/>
            </w:tcBorders>
            <w:shd w:val="clear" w:color="auto" w:fill="auto"/>
            <w:noWrap/>
            <w:vAlign w:val="bottom"/>
            <w:hideMark/>
          </w:tcPr>
          <w:p w14:paraId="429B848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63382C52"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7D093A99" w14:textId="2C91CDC6"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Pepsinogen II </w:t>
            </w:r>
          </w:p>
        </w:tc>
        <w:tc>
          <w:tcPr>
            <w:tcW w:w="1022" w:type="pct"/>
            <w:tcBorders>
              <w:top w:val="nil"/>
              <w:left w:val="nil"/>
              <w:bottom w:val="nil"/>
              <w:right w:val="nil"/>
            </w:tcBorders>
            <w:shd w:val="clear" w:color="auto" w:fill="auto"/>
            <w:noWrap/>
            <w:vAlign w:val="center"/>
            <w:hideMark/>
          </w:tcPr>
          <w:p w14:paraId="661A069A" w14:textId="4DFE71B4"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13.0</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8.9</w:t>
            </w:r>
          </w:p>
        </w:tc>
        <w:tc>
          <w:tcPr>
            <w:tcW w:w="788" w:type="pct"/>
            <w:tcBorders>
              <w:top w:val="nil"/>
              <w:left w:val="nil"/>
              <w:bottom w:val="nil"/>
              <w:right w:val="nil"/>
            </w:tcBorders>
            <w:shd w:val="clear" w:color="auto" w:fill="auto"/>
            <w:noWrap/>
            <w:vAlign w:val="center"/>
            <w:hideMark/>
          </w:tcPr>
          <w:p w14:paraId="0F7C2813" w14:textId="465271C5"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13.7</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9.7</w:t>
            </w:r>
          </w:p>
        </w:tc>
        <w:tc>
          <w:tcPr>
            <w:tcW w:w="692" w:type="pct"/>
            <w:tcBorders>
              <w:top w:val="nil"/>
              <w:left w:val="nil"/>
              <w:bottom w:val="nil"/>
              <w:right w:val="nil"/>
            </w:tcBorders>
            <w:shd w:val="clear" w:color="auto" w:fill="auto"/>
            <w:noWrap/>
            <w:vAlign w:val="center"/>
            <w:hideMark/>
          </w:tcPr>
          <w:p w14:paraId="291A2A7C" w14:textId="27D3B72B"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13.4</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9.3</w:t>
            </w:r>
          </w:p>
        </w:tc>
        <w:tc>
          <w:tcPr>
            <w:tcW w:w="895" w:type="pct"/>
            <w:tcBorders>
              <w:top w:val="nil"/>
              <w:left w:val="nil"/>
              <w:bottom w:val="nil"/>
              <w:right w:val="nil"/>
            </w:tcBorders>
            <w:shd w:val="clear" w:color="auto" w:fill="auto"/>
            <w:noWrap/>
            <w:vAlign w:val="center"/>
            <w:hideMark/>
          </w:tcPr>
          <w:p w14:paraId="6BDC98C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0.552</w:t>
            </w:r>
          </w:p>
        </w:tc>
      </w:tr>
      <w:tr w:rsidR="002C16E4" w:rsidRPr="004865E7" w14:paraId="16770A2D" w14:textId="77777777" w:rsidTr="00D820C6">
        <w:trPr>
          <w:trHeight w:val="360"/>
        </w:trPr>
        <w:tc>
          <w:tcPr>
            <w:tcW w:w="124" w:type="pct"/>
            <w:tcBorders>
              <w:top w:val="nil"/>
              <w:left w:val="nil"/>
              <w:bottom w:val="nil"/>
              <w:right w:val="nil"/>
            </w:tcBorders>
            <w:shd w:val="clear" w:color="auto" w:fill="auto"/>
            <w:noWrap/>
            <w:vAlign w:val="bottom"/>
            <w:hideMark/>
          </w:tcPr>
          <w:p w14:paraId="287ED55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24CA26B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7A3D2834"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Pepsinogen I/II ratio</w:t>
            </w:r>
          </w:p>
        </w:tc>
        <w:tc>
          <w:tcPr>
            <w:tcW w:w="1022" w:type="pct"/>
            <w:tcBorders>
              <w:top w:val="nil"/>
              <w:left w:val="nil"/>
              <w:bottom w:val="nil"/>
              <w:right w:val="nil"/>
            </w:tcBorders>
            <w:shd w:val="clear" w:color="auto" w:fill="auto"/>
            <w:noWrap/>
            <w:vAlign w:val="center"/>
            <w:hideMark/>
          </w:tcPr>
          <w:p w14:paraId="173C4349" w14:textId="75421F44"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4.4</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1.8</w:t>
            </w:r>
          </w:p>
        </w:tc>
        <w:tc>
          <w:tcPr>
            <w:tcW w:w="788" w:type="pct"/>
            <w:tcBorders>
              <w:top w:val="nil"/>
              <w:left w:val="nil"/>
              <w:bottom w:val="nil"/>
              <w:right w:val="nil"/>
            </w:tcBorders>
            <w:shd w:val="clear" w:color="auto" w:fill="auto"/>
            <w:noWrap/>
            <w:vAlign w:val="center"/>
            <w:hideMark/>
          </w:tcPr>
          <w:p w14:paraId="7DEE0CAD" w14:textId="632DE39F"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4.6</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2.2</w:t>
            </w:r>
          </w:p>
        </w:tc>
        <w:tc>
          <w:tcPr>
            <w:tcW w:w="692" w:type="pct"/>
            <w:tcBorders>
              <w:top w:val="nil"/>
              <w:left w:val="nil"/>
              <w:bottom w:val="nil"/>
              <w:right w:val="nil"/>
            </w:tcBorders>
            <w:shd w:val="clear" w:color="auto" w:fill="auto"/>
            <w:noWrap/>
            <w:vAlign w:val="center"/>
            <w:hideMark/>
          </w:tcPr>
          <w:p w14:paraId="30693BCA" w14:textId="06611282"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4.5</w:t>
            </w:r>
            <w:r w:rsidR="00ED34B9" w:rsidRPr="004865E7">
              <w:rPr>
                <w:rFonts w:ascii="Book Antiqua" w:eastAsia="MS PGothic" w:hAnsi="Book Antiqua" w:cs="Times New Roman"/>
                <w:kern w:val="0"/>
              </w:rPr>
              <w:t xml:space="preserve"> ± </w:t>
            </w:r>
            <w:r w:rsidRPr="004865E7">
              <w:rPr>
                <w:rFonts w:ascii="Book Antiqua" w:eastAsia="MS PGothic" w:hAnsi="Book Antiqua" w:cs="Times New Roman"/>
                <w:kern w:val="0"/>
              </w:rPr>
              <w:t>2.0</w:t>
            </w:r>
          </w:p>
        </w:tc>
        <w:tc>
          <w:tcPr>
            <w:tcW w:w="895" w:type="pct"/>
            <w:tcBorders>
              <w:top w:val="nil"/>
              <w:left w:val="nil"/>
              <w:bottom w:val="nil"/>
              <w:right w:val="nil"/>
            </w:tcBorders>
            <w:shd w:val="clear" w:color="auto" w:fill="auto"/>
            <w:noWrap/>
            <w:vAlign w:val="center"/>
            <w:hideMark/>
          </w:tcPr>
          <w:p w14:paraId="5027806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0.364</w:t>
            </w:r>
          </w:p>
        </w:tc>
      </w:tr>
      <w:tr w:rsidR="002C16E4" w:rsidRPr="004865E7" w14:paraId="6983F767" w14:textId="77777777" w:rsidTr="00D820C6">
        <w:trPr>
          <w:trHeight w:val="360"/>
        </w:trPr>
        <w:tc>
          <w:tcPr>
            <w:tcW w:w="124" w:type="pct"/>
            <w:tcBorders>
              <w:top w:val="nil"/>
              <w:left w:val="nil"/>
              <w:bottom w:val="nil"/>
              <w:right w:val="nil"/>
            </w:tcBorders>
            <w:shd w:val="clear" w:color="auto" w:fill="auto"/>
            <w:noWrap/>
            <w:vAlign w:val="bottom"/>
            <w:hideMark/>
          </w:tcPr>
          <w:p w14:paraId="6FCE30BE"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5430E56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Histological atrophy</w:t>
            </w:r>
          </w:p>
        </w:tc>
        <w:tc>
          <w:tcPr>
            <w:tcW w:w="1022" w:type="pct"/>
            <w:tcBorders>
              <w:top w:val="nil"/>
              <w:left w:val="nil"/>
              <w:bottom w:val="nil"/>
              <w:right w:val="nil"/>
            </w:tcBorders>
            <w:shd w:val="clear" w:color="auto" w:fill="auto"/>
            <w:noWrap/>
            <w:vAlign w:val="center"/>
            <w:hideMark/>
          </w:tcPr>
          <w:p w14:paraId="72DD8E5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38AA64F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7BF11F8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6C53E4F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4EB6E9D2" w14:textId="77777777" w:rsidTr="00D820C6">
        <w:trPr>
          <w:trHeight w:val="360"/>
        </w:trPr>
        <w:tc>
          <w:tcPr>
            <w:tcW w:w="124" w:type="pct"/>
            <w:tcBorders>
              <w:top w:val="nil"/>
              <w:left w:val="nil"/>
              <w:bottom w:val="nil"/>
              <w:right w:val="nil"/>
            </w:tcBorders>
            <w:shd w:val="clear" w:color="auto" w:fill="auto"/>
            <w:noWrap/>
            <w:vAlign w:val="bottom"/>
            <w:hideMark/>
          </w:tcPr>
          <w:p w14:paraId="06B70742"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369E247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6BEA2A51" w14:textId="70AEF144" w:rsidR="002C16E4" w:rsidRPr="004865E7" w:rsidRDefault="00ED34B9"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None</w:t>
            </w:r>
          </w:p>
        </w:tc>
        <w:tc>
          <w:tcPr>
            <w:tcW w:w="1022" w:type="pct"/>
            <w:tcBorders>
              <w:top w:val="nil"/>
              <w:left w:val="nil"/>
              <w:bottom w:val="nil"/>
              <w:right w:val="nil"/>
            </w:tcBorders>
            <w:shd w:val="clear" w:color="auto" w:fill="auto"/>
            <w:noWrap/>
            <w:vAlign w:val="center"/>
            <w:hideMark/>
          </w:tcPr>
          <w:p w14:paraId="1166690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 (44.4%)</w:t>
            </w:r>
          </w:p>
        </w:tc>
        <w:tc>
          <w:tcPr>
            <w:tcW w:w="788" w:type="pct"/>
            <w:tcBorders>
              <w:top w:val="nil"/>
              <w:left w:val="nil"/>
              <w:bottom w:val="nil"/>
              <w:right w:val="nil"/>
            </w:tcBorders>
            <w:shd w:val="clear" w:color="auto" w:fill="auto"/>
            <w:noWrap/>
            <w:vAlign w:val="center"/>
            <w:hideMark/>
          </w:tcPr>
          <w:p w14:paraId="20D6FD5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38 (30.2%)</w:t>
            </w:r>
          </w:p>
        </w:tc>
        <w:tc>
          <w:tcPr>
            <w:tcW w:w="692" w:type="pct"/>
            <w:tcBorders>
              <w:top w:val="nil"/>
              <w:left w:val="nil"/>
              <w:bottom w:val="nil"/>
              <w:right w:val="nil"/>
            </w:tcBorders>
            <w:shd w:val="clear" w:color="auto" w:fill="auto"/>
            <w:noWrap/>
            <w:vAlign w:val="center"/>
            <w:hideMark/>
          </w:tcPr>
          <w:p w14:paraId="72C1D25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94 (37.3%)</w:t>
            </w:r>
          </w:p>
        </w:tc>
        <w:tc>
          <w:tcPr>
            <w:tcW w:w="895" w:type="pct"/>
            <w:vMerge w:val="restart"/>
            <w:tcBorders>
              <w:top w:val="nil"/>
              <w:left w:val="nil"/>
              <w:bottom w:val="nil"/>
              <w:right w:val="nil"/>
            </w:tcBorders>
            <w:shd w:val="clear" w:color="auto" w:fill="auto"/>
            <w:noWrap/>
            <w:vAlign w:val="center"/>
            <w:hideMark/>
          </w:tcPr>
          <w:p w14:paraId="10B018D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&lt;0.001</w:t>
            </w:r>
          </w:p>
        </w:tc>
      </w:tr>
      <w:tr w:rsidR="002C16E4" w:rsidRPr="004865E7" w14:paraId="761898D2" w14:textId="77777777" w:rsidTr="00D820C6">
        <w:trPr>
          <w:trHeight w:val="360"/>
        </w:trPr>
        <w:tc>
          <w:tcPr>
            <w:tcW w:w="124" w:type="pct"/>
            <w:tcBorders>
              <w:top w:val="nil"/>
              <w:left w:val="nil"/>
              <w:bottom w:val="nil"/>
              <w:right w:val="nil"/>
            </w:tcBorders>
            <w:shd w:val="clear" w:color="auto" w:fill="auto"/>
            <w:noWrap/>
            <w:vAlign w:val="bottom"/>
            <w:hideMark/>
          </w:tcPr>
          <w:p w14:paraId="5A34E9B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3AF6F5C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2F40E85B" w14:textId="5107A16E" w:rsidR="002C16E4" w:rsidRPr="004865E7" w:rsidRDefault="00ED34B9"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w:t>
            </w:r>
            <w:r w:rsidR="002C16E4" w:rsidRPr="004865E7">
              <w:rPr>
                <w:rFonts w:ascii="Book Antiqua" w:eastAsia="MS PGothic" w:hAnsi="Book Antiqua" w:cs="Times New Roman"/>
                <w:kern w:val="0"/>
              </w:rPr>
              <w:t>rum</w:t>
            </w:r>
          </w:p>
        </w:tc>
        <w:tc>
          <w:tcPr>
            <w:tcW w:w="1022" w:type="pct"/>
            <w:tcBorders>
              <w:top w:val="nil"/>
              <w:left w:val="nil"/>
              <w:bottom w:val="nil"/>
              <w:right w:val="nil"/>
            </w:tcBorders>
            <w:shd w:val="clear" w:color="auto" w:fill="auto"/>
            <w:noWrap/>
            <w:vAlign w:val="center"/>
            <w:hideMark/>
          </w:tcPr>
          <w:p w14:paraId="681EC2F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49 (38.8%)</w:t>
            </w:r>
          </w:p>
        </w:tc>
        <w:tc>
          <w:tcPr>
            <w:tcW w:w="788" w:type="pct"/>
            <w:tcBorders>
              <w:top w:val="nil"/>
              <w:left w:val="nil"/>
              <w:bottom w:val="nil"/>
              <w:right w:val="nil"/>
            </w:tcBorders>
            <w:shd w:val="clear" w:color="auto" w:fill="auto"/>
            <w:noWrap/>
            <w:vAlign w:val="center"/>
            <w:hideMark/>
          </w:tcPr>
          <w:p w14:paraId="7F29C09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 (15.0%)</w:t>
            </w:r>
          </w:p>
        </w:tc>
        <w:tc>
          <w:tcPr>
            <w:tcW w:w="692" w:type="pct"/>
            <w:tcBorders>
              <w:top w:val="nil"/>
              <w:left w:val="nil"/>
              <w:bottom w:val="nil"/>
              <w:right w:val="nil"/>
            </w:tcBorders>
            <w:shd w:val="clear" w:color="auto" w:fill="auto"/>
            <w:noWrap/>
            <w:vAlign w:val="center"/>
            <w:hideMark/>
          </w:tcPr>
          <w:p w14:paraId="7FCE324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68 (27.0%)</w:t>
            </w:r>
          </w:p>
        </w:tc>
        <w:tc>
          <w:tcPr>
            <w:tcW w:w="895" w:type="pct"/>
            <w:vMerge/>
            <w:tcBorders>
              <w:top w:val="nil"/>
              <w:left w:val="nil"/>
              <w:bottom w:val="nil"/>
              <w:right w:val="nil"/>
            </w:tcBorders>
            <w:vAlign w:val="center"/>
            <w:hideMark/>
          </w:tcPr>
          <w:p w14:paraId="246C9EE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2D8B95E4" w14:textId="77777777" w:rsidTr="00D820C6">
        <w:trPr>
          <w:trHeight w:val="360"/>
        </w:trPr>
        <w:tc>
          <w:tcPr>
            <w:tcW w:w="124" w:type="pct"/>
            <w:tcBorders>
              <w:top w:val="nil"/>
              <w:left w:val="nil"/>
              <w:bottom w:val="nil"/>
              <w:right w:val="nil"/>
            </w:tcBorders>
            <w:shd w:val="clear" w:color="auto" w:fill="auto"/>
            <w:noWrap/>
            <w:vAlign w:val="bottom"/>
            <w:hideMark/>
          </w:tcPr>
          <w:p w14:paraId="28ABA42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5BC458E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1694A597" w14:textId="2DD35C17" w:rsidR="002C16E4" w:rsidRPr="004865E7" w:rsidRDefault="00ED34B9"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Angulus</w:t>
            </w:r>
          </w:p>
        </w:tc>
        <w:tc>
          <w:tcPr>
            <w:tcW w:w="1022" w:type="pct"/>
            <w:tcBorders>
              <w:top w:val="nil"/>
              <w:left w:val="nil"/>
              <w:bottom w:val="nil"/>
              <w:right w:val="nil"/>
            </w:tcBorders>
            <w:shd w:val="clear" w:color="auto" w:fill="auto"/>
            <w:noWrap/>
            <w:vAlign w:val="center"/>
            <w:hideMark/>
          </w:tcPr>
          <w:p w14:paraId="5FA1406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 (15.0%)</w:t>
            </w:r>
          </w:p>
        </w:tc>
        <w:tc>
          <w:tcPr>
            <w:tcW w:w="788" w:type="pct"/>
            <w:tcBorders>
              <w:top w:val="nil"/>
              <w:left w:val="nil"/>
              <w:bottom w:val="nil"/>
              <w:right w:val="nil"/>
            </w:tcBorders>
            <w:shd w:val="clear" w:color="auto" w:fill="auto"/>
            <w:noWrap/>
            <w:vAlign w:val="center"/>
            <w:hideMark/>
          </w:tcPr>
          <w:p w14:paraId="482FE81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 (15.8%)</w:t>
            </w:r>
          </w:p>
        </w:tc>
        <w:tc>
          <w:tcPr>
            <w:tcW w:w="692" w:type="pct"/>
            <w:tcBorders>
              <w:top w:val="nil"/>
              <w:left w:val="nil"/>
              <w:bottom w:val="nil"/>
              <w:right w:val="nil"/>
            </w:tcBorders>
            <w:shd w:val="clear" w:color="auto" w:fill="auto"/>
            <w:noWrap/>
            <w:vAlign w:val="center"/>
            <w:hideMark/>
          </w:tcPr>
          <w:p w14:paraId="70E770D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39 (15.5%)</w:t>
            </w:r>
          </w:p>
        </w:tc>
        <w:tc>
          <w:tcPr>
            <w:tcW w:w="895" w:type="pct"/>
            <w:vMerge/>
            <w:tcBorders>
              <w:top w:val="nil"/>
              <w:left w:val="nil"/>
              <w:bottom w:val="nil"/>
              <w:right w:val="nil"/>
            </w:tcBorders>
            <w:vAlign w:val="center"/>
            <w:hideMark/>
          </w:tcPr>
          <w:p w14:paraId="79E050E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74B8BE55" w14:textId="77777777" w:rsidTr="00D820C6">
        <w:trPr>
          <w:trHeight w:val="360"/>
        </w:trPr>
        <w:tc>
          <w:tcPr>
            <w:tcW w:w="124" w:type="pct"/>
            <w:tcBorders>
              <w:top w:val="nil"/>
              <w:left w:val="nil"/>
              <w:bottom w:val="nil"/>
              <w:right w:val="nil"/>
            </w:tcBorders>
            <w:shd w:val="clear" w:color="auto" w:fill="auto"/>
            <w:noWrap/>
            <w:vAlign w:val="bottom"/>
            <w:hideMark/>
          </w:tcPr>
          <w:p w14:paraId="5F0210B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6D47070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58E48DC0" w14:textId="0424737B" w:rsidR="002C16E4" w:rsidRPr="004865E7" w:rsidRDefault="00ED34B9"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Lesser </w:t>
            </w:r>
            <w:r w:rsidR="002C16E4" w:rsidRPr="004865E7">
              <w:rPr>
                <w:rFonts w:ascii="Book Antiqua" w:eastAsia="MS PGothic" w:hAnsi="Book Antiqua" w:cs="Times New Roman"/>
                <w:kern w:val="0"/>
              </w:rPr>
              <w:t>curvature of middle body</w:t>
            </w:r>
          </w:p>
        </w:tc>
        <w:tc>
          <w:tcPr>
            <w:tcW w:w="1022" w:type="pct"/>
            <w:tcBorders>
              <w:top w:val="nil"/>
              <w:left w:val="nil"/>
              <w:bottom w:val="nil"/>
              <w:right w:val="nil"/>
            </w:tcBorders>
            <w:shd w:val="clear" w:color="auto" w:fill="auto"/>
            <w:noWrap/>
            <w:vAlign w:val="center"/>
            <w:hideMark/>
          </w:tcPr>
          <w:p w14:paraId="531ED73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 (1.6%)</w:t>
            </w:r>
          </w:p>
        </w:tc>
        <w:tc>
          <w:tcPr>
            <w:tcW w:w="788" w:type="pct"/>
            <w:tcBorders>
              <w:top w:val="nil"/>
              <w:left w:val="nil"/>
              <w:bottom w:val="nil"/>
              <w:right w:val="nil"/>
            </w:tcBorders>
            <w:shd w:val="clear" w:color="auto" w:fill="auto"/>
            <w:noWrap/>
            <w:vAlign w:val="center"/>
            <w:hideMark/>
          </w:tcPr>
          <w:p w14:paraId="61342CD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25 (19.8%)</w:t>
            </w:r>
          </w:p>
        </w:tc>
        <w:tc>
          <w:tcPr>
            <w:tcW w:w="692" w:type="pct"/>
            <w:tcBorders>
              <w:top w:val="nil"/>
              <w:left w:val="nil"/>
              <w:bottom w:val="nil"/>
              <w:right w:val="nil"/>
            </w:tcBorders>
            <w:shd w:val="clear" w:color="auto" w:fill="auto"/>
            <w:noWrap/>
            <w:vAlign w:val="center"/>
            <w:hideMark/>
          </w:tcPr>
          <w:p w14:paraId="29A9A46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 (10.7%)</w:t>
            </w:r>
          </w:p>
        </w:tc>
        <w:tc>
          <w:tcPr>
            <w:tcW w:w="895" w:type="pct"/>
            <w:vMerge/>
            <w:tcBorders>
              <w:top w:val="nil"/>
              <w:left w:val="nil"/>
              <w:bottom w:val="nil"/>
              <w:right w:val="nil"/>
            </w:tcBorders>
            <w:vAlign w:val="center"/>
            <w:hideMark/>
          </w:tcPr>
          <w:p w14:paraId="6C14CAE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3A338D69" w14:textId="77777777" w:rsidTr="00D820C6">
        <w:trPr>
          <w:trHeight w:val="360"/>
        </w:trPr>
        <w:tc>
          <w:tcPr>
            <w:tcW w:w="124" w:type="pct"/>
            <w:tcBorders>
              <w:top w:val="nil"/>
              <w:left w:val="nil"/>
              <w:bottom w:val="nil"/>
              <w:right w:val="nil"/>
            </w:tcBorders>
            <w:shd w:val="clear" w:color="auto" w:fill="auto"/>
            <w:noWrap/>
            <w:vAlign w:val="bottom"/>
            <w:hideMark/>
          </w:tcPr>
          <w:p w14:paraId="6E6AA88E"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0CD13C29"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51FDAC03" w14:textId="08F9B255" w:rsidR="002C16E4" w:rsidRPr="004865E7" w:rsidRDefault="00ED34B9"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 xml:space="preserve">Greater </w:t>
            </w:r>
            <w:r w:rsidR="002C16E4" w:rsidRPr="004865E7">
              <w:rPr>
                <w:rFonts w:ascii="Book Antiqua" w:eastAsia="MS PGothic" w:hAnsi="Book Antiqua" w:cs="Times New Roman"/>
                <w:kern w:val="0"/>
              </w:rPr>
              <w:t>curvature of middle body</w:t>
            </w:r>
          </w:p>
        </w:tc>
        <w:tc>
          <w:tcPr>
            <w:tcW w:w="1022" w:type="pct"/>
            <w:tcBorders>
              <w:top w:val="nil"/>
              <w:left w:val="nil"/>
              <w:bottom w:val="nil"/>
              <w:right w:val="nil"/>
            </w:tcBorders>
            <w:shd w:val="clear" w:color="auto" w:fill="auto"/>
            <w:noWrap/>
            <w:vAlign w:val="center"/>
            <w:hideMark/>
          </w:tcPr>
          <w:p w14:paraId="0BBCD4F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 (0%)</w:t>
            </w:r>
          </w:p>
        </w:tc>
        <w:tc>
          <w:tcPr>
            <w:tcW w:w="788" w:type="pct"/>
            <w:tcBorders>
              <w:top w:val="nil"/>
              <w:left w:val="nil"/>
              <w:bottom w:val="nil"/>
              <w:right w:val="nil"/>
            </w:tcBorders>
            <w:shd w:val="clear" w:color="auto" w:fill="auto"/>
            <w:noWrap/>
            <w:vAlign w:val="center"/>
            <w:hideMark/>
          </w:tcPr>
          <w:p w14:paraId="6643EF4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 (19.0%)</w:t>
            </w:r>
          </w:p>
        </w:tc>
        <w:tc>
          <w:tcPr>
            <w:tcW w:w="692" w:type="pct"/>
            <w:tcBorders>
              <w:top w:val="nil"/>
              <w:left w:val="nil"/>
              <w:bottom w:val="nil"/>
              <w:right w:val="nil"/>
            </w:tcBorders>
            <w:shd w:val="clear" w:color="auto" w:fill="auto"/>
            <w:noWrap/>
            <w:vAlign w:val="center"/>
            <w:hideMark/>
          </w:tcPr>
          <w:p w14:paraId="57409E2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 (9.5%)</w:t>
            </w:r>
          </w:p>
        </w:tc>
        <w:tc>
          <w:tcPr>
            <w:tcW w:w="895" w:type="pct"/>
            <w:vMerge/>
            <w:tcBorders>
              <w:top w:val="nil"/>
              <w:left w:val="nil"/>
              <w:bottom w:val="nil"/>
              <w:right w:val="nil"/>
            </w:tcBorders>
            <w:vAlign w:val="center"/>
            <w:hideMark/>
          </w:tcPr>
          <w:p w14:paraId="64FF88E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58F30BD4" w14:textId="77777777" w:rsidTr="00D820C6">
        <w:trPr>
          <w:trHeight w:val="360"/>
        </w:trPr>
        <w:tc>
          <w:tcPr>
            <w:tcW w:w="124" w:type="pct"/>
            <w:tcBorders>
              <w:top w:val="nil"/>
              <w:left w:val="nil"/>
              <w:bottom w:val="nil"/>
              <w:right w:val="nil"/>
            </w:tcBorders>
            <w:shd w:val="clear" w:color="auto" w:fill="auto"/>
            <w:noWrap/>
            <w:vAlign w:val="bottom"/>
            <w:hideMark/>
          </w:tcPr>
          <w:p w14:paraId="66C4D54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79" w:type="pct"/>
            <w:gridSpan w:val="2"/>
            <w:tcBorders>
              <w:top w:val="nil"/>
              <w:left w:val="nil"/>
              <w:bottom w:val="nil"/>
              <w:right w:val="nil"/>
            </w:tcBorders>
            <w:shd w:val="clear" w:color="auto" w:fill="auto"/>
            <w:noWrap/>
            <w:vAlign w:val="bottom"/>
            <w:hideMark/>
          </w:tcPr>
          <w:p w14:paraId="2836E05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1022" w:type="pct"/>
            <w:tcBorders>
              <w:top w:val="nil"/>
              <w:left w:val="nil"/>
              <w:bottom w:val="nil"/>
              <w:right w:val="nil"/>
            </w:tcBorders>
            <w:shd w:val="clear" w:color="auto" w:fill="auto"/>
            <w:noWrap/>
            <w:vAlign w:val="center"/>
            <w:hideMark/>
          </w:tcPr>
          <w:p w14:paraId="5C49DB8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nil"/>
              <w:right w:val="nil"/>
            </w:tcBorders>
            <w:shd w:val="clear" w:color="auto" w:fill="auto"/>
            <w:noWrap/>
            <w:vAlign w:val="center"/>
            <w:hideMark/>
          </w:tcPr>
          <w:p w14:paraId="1878778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nil"/>
              <w:right w:val="nil"/>
            </w:tcBorders>
            <w:shd w:val="clear" w:color="auto" w:fill="auto"/>
            <w:noWrap/>
            <w:vAlign w:val="center"/>
            <w:hideMark/>
          </w:tcPr>
          <w:p w14:paraId="608F596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nil"/>
              <w:right w:val="nil"/>
            </w:tcBorders>
            <w:shd w:val="clear" w:color="auto" w:fill="auto"/>
            <w:noWrap/>
            <w:vAlign w:val="center"/>
            <w:hideMark/>
          </w:tcPr>
          <w:p w14:paraId="7666987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2ED6F4D" w14:textId="77777777" w:rsidTr="00D820C6">
        <w:trPr>
          <w:trHeight w:val="360"/>
        </w:trPr>
        <w:tc>
          <w:tcPr>
            <w:tcW w:w="124" w:type="pct"/>
            <w:tcBorders>
              <w:top w:val="nil"/>
              <w:left w:val="nil"/>
              <w:bottom w:val="nil"/>
              <w:right w:val="nil"/>
            </w:tcBorders>
            <w:shd w:val="clear" w:color="auto" w:fill="auto"/>
            <w:noWrap/>
            <w:vAlign w:val="bottom"/>
            <w:hideMark/>
          </w:tcPr>
          <w:p w14:paraId="7F19A9B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68FD7C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2756878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No atrophy</w:t>
            </w:r>
          </w:p>
        </w:tc>
        <w:tc>
          <w:tcPr>
            <w:tcW w:w="1022" w:type="pct"/>
            <w:tcBorders>
              <w:top w:val="nil"/>
              <w:left w:val="nil"/>
              <w:bottom w:val="nil"/>
              <w:right w:val="nil"/>
            </w:tcBorders>
            <w:shd w:val="clear" w:color="auto" w:fill="auto"/>
            <w:noWrap/>
            <w:vAlign w:val="center"/>
            <w:hideMark/>
          </w:tcPr>
          <w:p w14:paraId="3D9AE8E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 (44.4%)</w:t>
            </w:r>
          </w:p>
        </w:tc>
        <w:tc>
          <w:tcPr>
            <w:tcW w:w="788" w:type="pct"/>
            <w:tcBorders>
              <w:top w:val="nil"/>
              <w:left w:val="nil"/>
              <w:bottom w:val="nil"/>
              <w:right w:val="nil"/>
            </w:tcBorders>
            <w:shd w:val="clear" w:color="auto" w:fill="auto"/>
            <w:noWrap/>
            <w:vAlign w:val="center"/>
            <w:hideMark/>
          </w:tcPr>
          <w:p w14:paraId="7AE637C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 (21.4%)</w:t>
            </w:r>
          </w:p>
        </w:tc>
        <w:tc>
          <w:tcPr>
            <w:tcW w:w="692" w:type="pct"/>
            <w:tcBorders>
              <w:top w:val="nil"/>
              <w:left w:val="nil"/>
              <w:bottom w:val="nil"/>
              <w:right w:val="nil"/>
            </w:tcBorders>
            <w:shd w:val="clear" w:color="auto" w:fill="auto"/>
            <w:noWrap/>
            <w:vAlign w:val="center"/>
            <w:hideMark/>
          </w:tcPr>
          <w:p w14:paraId="6CF737F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83 (32.9%)</w:t>
            </w:r>
          </w:p>
        </w:tc>
        <w:tc>
          <w:tcPr>
            <w:tcW w:w="895" w:type="pct"/>
            <w:vMerge w:val="restart"/>
            <w:tcBorders>
              <w:top w:val="nil"/>
              <w:left w:val="nil"/>
              <w:bottom w:val="nil"/>
              <w:right w:val="nil"/>
            </w:tcBorders>
            <w:shd w:val="clear" w:color="auto" w:fill="auto"/>
            <w:noWrap/>
            <w:vAlign w:val="center"/>
            <w:hideMark/>
          </w:tcPr>
          <w:p w14:paraId="632AFB0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&lt;0.001</w:t>
            </w:r>
          </w:p>
        </w:tc>
      </w:tr>
      <w:tr w:rsidR="002C16E4" w:rsidRPr="004865E7" w14:paraId="28FA2819" w14:textId="77777777" w:rsidTr="00D820C6">
        <w:trPr>
          <w:trHeight w:val="360"/>
        </w:trPr>
        <w:tc>
          <w:tcPr>
            <w:tcW w:w="124" w:type="pct"/>
            <w:tcBorders>
              <w:top w:val="nil"/>
              <w:left w:val="nil"/>
              <w:bottom w:val="nil"/>
              <w:right w:val="nil"/>
            </w:tcBorders>
            <w:shd w:val="clear" w:color="auto" w:fill="auto"/>
            <w:noWrap/>
            <w:vAlign w:val="bottom"/>
            <w:hideMark/>
          </w:tcPr>
          <w:p w14:paraId="69D38715"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72F20D9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4B0140D6"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Antral (C-1)</w:t>
            </w:r>
          </w:p>
        </w:tc>
        <w:tc>
          <w:tcPr>
            <w:tcW w:w="1022" w:type="pct"/>
            <w:tcBorders>
              <w:top w:val="nil"/>
              <w:left w:val="nil"/>
              <w:bottom w:val="nil"/>
              <w:right w:val="nil"/>
            </w:tcBorders>
            <w:shd w:val="clear" w:color="auto" w:fill="auto"/>
            <w:noWrap/>
            <w:vAlign w:val="center"/>
            <w:hideMark/>
          </w:tcPr>
          <w:p w14:paraId="0A2134E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40 (31.8%)</w:t>
            </w:r>
          </w:p>
        </w:tc>
        <w:tc>
          <w:tcPr>
            <w:tcW w:w="788" w:type="pct"/>
            <w:tcBorders>
              <w:top w:val="nil"/>
              <w:left w:val="nil"/>
              <w:bottom w:val="nil"/>
              <w:right w:val="nil"/>
            </w:tcBorders>
            <w:shd w:val="clear" w:color="auto" w:fill="auto"/>
            <w:noWrap/>
            <w:vAlign w:val="center"/>
            <w:hideMark/>
          </w:tcPr>
          <w:p w14:paraId="36F634C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33 (26.2%)</w:t>
            </w:r>
          </w:p>
        </w:tc>
        <w:tc>
          <w:tcPr>
            <w:tcW w:w="692" w:type="pct"/>
            <w:tcBorders>
              <w:top w:val="nil"/>
              <w:left w:val="nil"/>
              <w:bottom w:val="nil"/>
              <w:right w:val="nil"/>
            </w:tcBorders>
            <w:shd w:val="clear" w:color="auto" w:fill="auto"/>
            <w:noWrap/>
            <w:vAlign w:val="center"/>
            <w:hideMark/>
          </w:tcPr>
          <w:p w14:paraId="1E53104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73 (29.0%)</w:t>
            </w:r>
          </w:p>
        </w:tc>
        <w:tc>
          <w:tcPr>
            <w:tcW w:w="895" w:type="pct"/>
            <w:vMerge/>
            <w:tcBorders>
              <w:top w:val="nil"/>
              <w:left w:val="nil"/>
              <w:bottom w:val="nil"/>
              <w:right w:val="nil"/>
            </w:tcBorders>
            <w:vAlign w:val="center"/>
            <w:hideMark/>
          </w:tcPr>
          <w:p w14:paraId="73A556A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0FCFF6F9" w14:textId="77777777" w:rsidTr="00D820C6">
        <w:trPr>
          <w:trHeight w:val="360"/>
        </w:trPr>
        <w:tc>
          <w:tcPr>
            <w:tcW w:w="124" w:type="pct"/>
            <w:tcBorders>
              <w:top w:val="nil"/>
              <w:left w:val="nil"/>
              <w:bottom w:val="nil"/>
              <w:right w:val="nil"/>
            </w:tcBorders>
            <w:shd w:val="clear" w:color="auto" w:fill="auto"/>
            <w:noWrap/>
            <w:vAlign w:val="bottom"/>
            <w:hideMark/>
          </w:tcPr>
          <w:p w14:paraId="1FE1226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AF24CD3"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5C79E7F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Antral predominant (C-2)</w:t>
            </w:r>
          </w:p>
        </w:tc>
        <w:tc>
          <w:tcPr>
            <w:tcW w:w="1022" w:type="pct"/>
            <w:tcBorders>
              <w:top w:val="nil"/>
              <w:left w:val="nil"/>
              <w:bottom w:val="nil"/>
              <w:right w:val="nil"/>
            </w:tcBorders>
            <w:shd w:val="clear" w:color="auto" w:fill="auto"/>
            <w:noWrap/>
            <w:vAlign w:val="center"/>
            <w:hideMark/>
          </w:tcPr>
          <w:p w14:paraId="4BC5844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 (19.0%)</w:t>
            </w:r>
          </w:p>
        </w:tc>
        <w:tc>
          <w:tcPr>
            <w:tcW w:w="788" w:type="pct"/>
            <w:tcBorders>
              <w:top w:val="nil"/>
              <w:left w:val="nil"/>
              <w:bottom w:val="nil"/>
              <w:right w:val="nil"/>
            </w:tcBorders>
            <w:shd w:val="clear" w:color="auto" w:fill="auto"/>
            <w:noWrap/>
            <w:vAlign w:val="center"/>
            <w:hideMark/>
          </w:tcPr>
          <w:p w14:paraId="736FF6B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 (15.8%)</w:t>
            </w:r>
          </w:p>
        </w:tc>
        <w:tc>
          <w:tcPr>
            <w:tcW w:w="692" w:type="pct"/>
            <w:tcBorders>
              <w:top w:val="nil"/>
              <w:left w:val="nil"/>
              <w:bottom w:val="nil"/>
              <w:right w:val="nil"/>
            </w:tcBorders>
            <w:shd w:val="clear" w:color="auto" w:fill="auto"/>
            <w:noWrap/>
            <w:vAlign w:val="center"/>
            <w:hideMark/>
          </w:tcPr>
          <w:p w14:paraId="2959F9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44 (17.5%)</w:t>
            </w:r>
          </w:p>
        </w:tc>
        <w:tc>
          <w:tcPr>
            <w:tcW w:w="895" w:type="pct"/>
            <w:vMerge/>
            <w:tcBorders>
              <w:top w:val="nil"/>
              <w:left w:val="nil"/>
              <w:bottom w:val="nil"/>
              <w:right w:val="nil"/>
            </w:tcBorders>
            <w:vAlign w:val="center"/>
            <w:hideMark/>
          </w:tcPr>
          <w:p w14:paraId="7BCA028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0495807D" w14:textId="77777777" w:rsidTr="00D820C6">
        <w:trPr>
          <w:trHeight w:val="360"/>
        </w:trPr>
        <w:tc>
          <w:tcPr>
            <w:tcW w:w="124" w:type="pct"/>
            <w:tcBorders>
              <w:top w:val="nil"/>
              <w:left w:val="nil"/>
              <w:bottom w:val="nil"/>
              <w:right w:val="nil"/>
            </w:tcBorders>
            <w:shd w:val="clear" w:color="auto" w:fill="auto"/>
            <w:noWrap/>
            <w:vAlign w:val="bottom"/>
            <w:hideMark/>
          </w:tcPr>
          <w:p w14:paraId="384260B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6585E19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5C2B4646"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Corpus predominant (C-3-O-2)</w:t>
            </w:r>
          </w:p>
        </w:tc>
        <w:tc>
          <w:tcPr>
            <w:tcW w:w="1022" w:type="pct"/>
            <w:tcBorders>
              <w:top w:val="nil"/>
              <w:left w:val="nil"/>
              <w:bottom w:val="nil"/>
              <w:right w:val="nil"/>
            </w:tcBorders>
            <w:shd w:val="clear" w:color="auto" w:fill="auto"/>
            <w:noWrap/>
            <w:vAlign w:val="center"/>
            <w:hideMark/>
          </w:tcPr>
          <w:p w14:paraId="0333DA0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 (4.8%)</w:t>
            </w:r>
          </w:p>
        </w:tc>
        <w:tc>
          <w:tcPr>
            <w:tcW w:w="788" w:type="pct"/>
            <w:tcBorders>
              <w:top w:val="nil"/>
              <w:left w:val="nil"/>
              <w:bottom w:val="nil"/>
              <w:right w:val="nil"/>
            </w:tcBorders>
            <w:shd w:val="clear" w:color="auto" w:fill="auto"/>
            <w:noWrap/>
            <w:vAlign w:val="center"/>
            <w:hideMark/>
          </w:tcPr>
          <w:p w14:paraId="773FF5E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43 (34.2%)</w:t>
            </w:r>
          </w:p>
        </w:tc>
        <w:tc>
          <w:tcPr>
            <w:tcW w:w="692" w:type="pct"/>
            <w:tcBorders>
              <w:top w:val="nil"/>
              <w:left w:val="nil"/>
              <w:bottom w:val="nil"/>
              <w:right w:val="nil"/>
            </w:tcBorders>
            <w:shd w:val="clear" w:color="auto" w:fill="auto"/>
            <w:noWrap/>
            <w:vAlign w:val="center"/>
            <w:hideMark/>
          </w:tcPr>
          <w:p w14:paraId="6BC9F4C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49 (19.4%)</w:t>
            </w:r>
          </w:p>
        </w:tc>
        <w:tc>
          <w:tcPr>
            <w:tcW w:w="895" w:type="pct"/>
            <w:vMerge/>
            <w:tcBorders>
              <w:top w:val="nil"/>
              <w:left w:val="nil"/>
              <w:bottom w:val="nil"/>
              <w:right w:val="nil"/>
            </w:tcBorders>
            <w:vAlign w:val="center"/>
            <w:hideMark/>
          </w:tcPr>
          <w:p w14:paraId="3DBFDD3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29D82D2F" w14:textId="77777777" w:rsidTr="00D820C6">
        <w:trPr>
          <w:trHeight w:val="360"/>
        </w:trPr>
        <w:tc>
          <w:tcPr>
            <w:tcW w:w="124" w:type="pct"/>
            <w:tcBorders>
              <w:top w:val="nil"/>
              <w:left w:val="nil"/>
              <w:bottom w:val="nil"/>
              <w:right w:val="nil"/>
            </w:tcBorders>
            <w:shd w:val="clear" w:color="auto" w:fill="auto"/>
            <w:noWrap/>
            <w:vAlign w:val="bottom"/>
            <w:hideMark/>
          </w:tcPr>
          <w:p w14:paraId="766EED29"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24" w:type="pct"/>
            <w:tcBorders>
              <w:top w:val="nil"/>
              <w:left w:val="nil"/>
              <w:bottom w:val="nil"/>
              <w:right w:val="nil"/>
            </w:tcBorders>
            <w:shd w:val="clear" w:color="auto" w:fill="auto"/>
            <w:noWrap/>
            <w:vAlign w:val="bottom"/>
            <w:hideMark/>
          </w:tcPr>
          <w:p w14:paraId="188D2F1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55" w:type="pct"/>
            <w:tcBorders>
              <w:top w:val="nil"/>
              <w:left w:val="nil"/>
              <w:bottom w:val="nil"/>
              <w:right w:val="nil"/>
            </w:tcBorders>
            <w:shd w:val="clear" w:color="auto" w:fill="auto"/>
            <w:noWrap/>
            <w:vAlign w:val="bottom"/>
            <w:hideMark/>
          </w:tcPr>
          <w:p w14:paraId="7B5530B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Pan-atrophy (O-3)</w:t>
            </w:r>
          </w:p>
        </w:tc>
        <w:tc>
          <w:tcPr>
            <w:tcW w:w="1022" w:type="pct"/>
            <w:tcBorders>
              <w:top w:val="nil"/>
              <w:left w:val="nil"/>
              <w:bottom w:val="nil"/>
              <w:right w:val="nil"/>
            </w:tcBorders>
            <w:shd w:val="clear" w:color="auto" w:fill="auto"/>
            <w:noWrap/>
            <w:vAlign w:val="center"/>
            <w:hideMark/>
          </w:tcPr>
          <w:p w14:paraId="0E39E93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 (0%)</w:t>
            </w:r>
          </w:p>
        </w:tc>
        <w:tc>
          <w:tcPr>
            <w:tcW w:w="788" w:type="pct"/>
            <w:tcBorders>
              <w:top w:val="nil"/>
              <w:left w:val="nil"/>
              <w:bottom w:val="nil"/>
              <w:right w:val="nil"/>
            </w:tcBorders>
            <w:shd w:val="clear" w:color="auto" w:fill="auto"/>
            <w:noWrap/>
            <w:vAlign w:val="center"/>
            <w:hideMark/>
          </w:tcPr>
          <w:p w14:paraId="5EB5BB9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3(2.4%)</w:t>
            </w:r>
          </w:p>
        </w:tc>
        <w:tc>
          <w:tcPr>
            <w:tcW w:w="692" w:type="pct"/>
            <w:tcBorders>
              <w:top w:val="nil"/>
              <w:left w:val="nil"/>
              <w:bottom w:val="nil"/>
              <w:right w:val="nil"/>
            </w:tcBorders>
            <w:shd w:val="clear" w:color="auto" w:fill="auto"/>
            <w:noWrap/>
            <w:vAlign w:val="center"/>
            <w:hideMark/>
          </w:tcPr>
          <w:p w14:paraId="7CE9DE4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 (1.2%)</w:t>
            </w:r>
          </w:p>
        </w:tc>
        <w:tc>
          <w:tcPr>
            <w:tcW w:w="895" w:type="pct"/>
            <w:vMerge/>
            <w:tcBorders>
              <w:top w:val="nil"/>
              <w:left w:val="nil"/>
              <w:bottom w:val="nil"/>
              <w:right w:val="nil"/>
            </w:tcBorders>
            <w:vAlign w:val="center"/>
            <w:hideMark/>
          </w:tcPr>
          <w:p w14:paraId="3300340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3AE3785D" w14:textId="77777777" w:rsidTr="00D820C6">
        <w:trPr>
          <w:trHeight w:val="380"/>
        </w:trPr>
        <w:tc>
          <w:tcPr>
            <w:tcW w:w="124" w:type="pct"/>
            <w:tcBorders>
              <w:top w:val="nil"/>
              <w:left w:val="nil"/>
              <w:bottom w:val="single" w:sz="12" w:space="0" w:color="auto"/>
              <w:right w:val="nil"/>
            </w:tcBorders>
            <w:shd w:val="clear" w:color="auto" w:fill="auto"/>
            <w:noWrap/>
            <w:vAlign w:val="bottom"/>
            <w:hideMark/>
          </w:tcPr>
          <w:p w14:paraId="654A3299"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24" w:type="pct"/>
            <w:tcBorders>
              <w:top w:val="nil"/>
              <w:left w:val="nil"/>
              <w:bottom w:val="single" w:sz="12" w:space="0" w:color="auto"/>
              <w:right w:val="nil"/>
            </w:tcBorders>
            <w:shd w:val="clear" w:color="auto" w:fill="auto"/>
            <w:noWrap/>
            <w:vAlign w:val="bottom"/>
            <w:hideMark/>
          </w:tcPr>
          <w:p w14:paraId="6A83FF35"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355" w:type="pct"/>
            <w:tcBorders>
              <w:top w:val="nil"/>
              <w:left w:val="nil"/>
              <w:bottom w:val="single" w:sz="12" w:space="0" w:color="auto"/>
              <w:right w:val="nil"/>
            </w:tcBorders>
            <w:shd w:val="clear" w:color="auto" w:fill="auto"/>
            <w:noWrap/>
            <w:vAlign w:val="bottom"/>
            <w:hideMark/>
          </w:tcPr>
          <w:p w14:paraId="64E2761C"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022" w:type="pct"/>
            <w:tcBorders>
              <w:top w:val="nil"/>
              <w:left w:val="nil"/>
              <w:bottom w:val="single" w:sz="12" w:space="0" w:color="auto"/>
              <w:right w:val="nil"/>
            </w:tcBorders>
            <w:shd w:val="clear" w:color="auto" w:fill="auto"/>
            <w:noWrap/>
            <w:vAlign w:val="center"/>
            <w:hideMark/>
          </w:tcPr>
          <w:p w14:paraId="5ED9F28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88" w:type="pct"/>
            <w:tcBorders>
              <w:top w:val="nil"/>
              <w:left w:val="nil"/>
              <w:bottom w:val="single" w:sz="12" w:space="0" w:color="auto"/>
              <w:right w:val="nil"/>
            </w:tcBorders>
            <w:shd w:val="clear" w:color="auto" w:fill="auto"/>
            <w:noWrap/>
            <w:vAlign w:val="center"/>
            <w:hideMark/>
          </w:tcPr>
          <w:p w14:paraId="6A3AF80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692" w:type="pct"/>
            <w:tcBorders>
              <w:top w:val="nil"/>
              <w:left w:val="nil"/>
              <w:bottom w:val="single" w:sz="12" w:space="0" w:color="auto"/>
              <w:right w:val="nil"/>
            </w:tcBorders>
            <w:shd w:val="clear" w:color="auto" w:fill="auto"/>
            <w:noWrap/>
            <w:vAlign w:val="center"/>
            <w:hideMark/>
          </w:tcPr>
          <w:p w14:paraId="7349A7C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95" w:type="pct"/>
            <w:tcBorders>
              <w:top w:val="nil"/>
              <w:left w:val="nil"/>
              <w:bottom w:val="single" w:sz="12" w:space="0" w:color="auto"/>
              <w:right w:val="nil"/>
            </w:tcBorders>
            <w:shd w:val="clear" w:color="auto" w:fill="auto"/>
            <w:noWrap/>
            <w:vAlign w:val="center"/>
            <w:hideMark/>
          </w:tcPr>
          <w:p w14:paraId="6BB5DCC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bl>
    <w:p w14:paraId="438D58EF"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09997CD"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3F61582F"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480CC35"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726B59DA" w14:textId="77777777" w:rsidR="00314767" w:rsidRPr="004865E7" w:rsidRDefault="00314767">
      <w:pPr>
        <w:widowControl/>
        <w:jc w:val="left"/>
        <w:rPr>
          <w:rFonts w:ascii="Book Antiqua" w:hAnsi="Book Antiqua" w:cs="Times"/>
          <w:b/>
          <w:bCs/>
          <w:kern w:val="0"/>
        </w:rPr>
      </w:pPr>
      <w:r w:rsidRPr="004865E7">
        <w:rPr>
          <w:rFonts w:ascii="Book Antiqua" w:hAnsi="Book Antiqua" w:cs="Times"/>
          <w:b/>
          <w:bCs/>
          <w:kern w:val="0"/>
        </w:rPr>
        <w:br w:type="page"/>
      </w:r>
    </w:p>
    <w:p w14:paraId="2C26CB85" w14:textId="072A076B" w:rsidR="002C16E4" w:rsidRPr="004865E7" w:rsidRDefault="00ED34B9" w:rsidP="00FA3CB2">
      <w:pPr>
        <w:widowControl/>
        <w:autoSpaceDE w:val="0"/>
        <w:autoSpaceDN w:val="0"/>
        <w:adjustRightInd w:val="0"/>
        <w:snapToGrid w:val="0"/>
        <w:spacing w:line="360" w:lineRule="auto"/>
        <w:rPr>
          <w:rFonts w:ascii="Book Antiqua" w:hAnsi="Book Antiqua" w:cs="Times"/>
          <w:b/>
          <w:kern w:val="0"/>
        </w:rPr>
        <w:sectPr w:rsidR="002C16E4" w:rsidRPr="004865E7" w:rsidSect="00D820C6">
          <w:pgSz w:w="11901" w:h="16840"/>
          <w:pgMar w:top="1985" w:right="1701" w:bottom="1701" w:left="1701" w:header="720" w:footer="720" w:gutter="0"/>
          <w:cols w:space="720"/>
          <w:noEndnote/>
          <w:docGrid w:charSpace="47547"/>
        </w:sectPr>
      </w:pPr>
      <w:r w:rsidRPr="004865E7">
        <w:rPr>
          <w:rFonts w:ascii="Book Antiqua" w:hAnsi="Book Antiqua" w:cs="Times"/>
          <w:b/>
          <w:bCs/>
          <w:kern w:val="0"/>
        </w:rPr>
        <w:lastRenderedPageBreak/>
        <w:t>Table 2</w:t>
      </w:r>
      <w:r w:rsidRPr="004865E7">
        <w:rPr>
          <w:rFonts w:ascii="Book Antiqua" w:hAnsi="Book Antiqua" w:cs="Times"/>
          <w:b/>
          <w:kern w:val="0"/>
        </w:rPr>
        <w:t xml:space="preserve"> Cross-tabulation of endoscopic and histological atrophy</w:t>
      </w:r>
    </w:p>
    <w:tbl>
      <w:tblPr>
        <w:tblW w:w="12960" w:type="dxa"/>
        <w:tblCellMar>
          <w:left w:w="0" w:type="dxa"/>
          <w:right w:w="0" w:type="dxa"/>
        </w:tblCellMar>
        <w:tblLook w:val="0600" w:firstRow="0" w:lastRow="0" w:firstColumn="0" w:lastColumn="0" w:noHBand="1" w:noVBand="1"/>
      </w:tblPr>
      <w:tblGrid>
        <w:gridCol w:w="1259"/>
        <w:gridCol w:w="1907"/>
        <w:gridCol w:w="1302"/>
        <w:gridCol w:w="1240"/>
        <w:gridCol w:w="1244"/>
        <w:gridCol w:w="1482"/>
        <w:gridCol w:w="1601"/>
        <w:gridCol w:w="1391"/>
        <w:gridCol w:w="1534"/>
      </w:tblGrid>
      <w:tr w:rsidR="002C16E4" w:rsidRPr="004865E7" w14:paraId="69BF5838" w14:textId="77777777" w:rsidTr="00ED34B9">
        <w:trPr>
          <w:trHeight w:val="296"/>
        </w:trPr>
        <w:tc>
          <w:tcPr>
            <w:tcW w:w="1259" w:type="dxa"/>
            <w:tcBorders>
              <w:top w:val="single" w:sz="8" w:space="0" w:color="000000"/>
              <w:left w:val="nil"/>
              <w:bottom w:val="nil"/>
              <w:right w:val="nil"/>
            </w:tcBorders>
            <w:shd w:val="clear" w:color="auto" w:fill="auto"/>
            <w:tcMar>
              <w:top w:w="16" w:type="dxa"/>
              <w:left w:w="16" w:type="dxa"/>
              <w:bottom w:w="0" w:type="dxa"/>
              <w:right w:w="16" w:type="dxa"/>
            </w:tcMar>
            <w:vAlign w:val="bottom"/>
            <w:hideMark/>
          </w:tcPr>
          <w:p w14:paraId="30DEBF03" w14:textId="77777777" w:rsidR="002C16E4" w:rsidRPr="004865E7" w:rsidRDefault="002C16E4" w:rsidP="00FA3CB2">
            <w:pPr>
              <w:widowControl/>
              <w:adjustRightInd w:val="0"/>
              <w:snapToGrid w:val="0"/>
              <w:spacing w:line="360" w:lineRule="auto"/>
              <w:textAlignment w:val="bottom"/>
              <w:rPr>
                <w:rFonts w:ascii="Book Antiqua" w:hAnsi="Book Antiqua" w:cs="Arial"/>
                <w:b/>
                <w:kern w:val="0"/>
              </w:rPr>
            </w:pPr>
          </w:p>
        </w:tc>
        <w:tc>
          <w:tcPr>
            <w:tcW w:w="1907" w:type="dxa"/>
            <w:tcBorders>
              <w:top w:val="single" w:sz="8" w:space="0" w:color="000000"/>
              <w:left w:val="nil"/>
              <w:bottom w:val="nil"/>
              <w:right w:val="nil"/>
            </w:tcBorders>
            <w:shd w:val="clear" w:color="auto" w:fill="auto"/>
            <w:tcMar>
              <w:top w:w="16" w:type="dxa"/>
              <w:left w:w="16" w:type="dxa"/>
              <w:bottom w:w="0" w:type="dxa"/>
              <w:right w:w="16" w:type="dxa"/>
            </w:tcMar>
            <w:vAlign w:val="bottom"/>
            <w:hideMark/>
          </w:tcPr>
          <w:p w14:paraId="6C52A403" w14:textId="77777777" w:rsidR="002C16E4" w:rsidRPr="004865E7" w:rsidRDefault="002C16E4" w:rsidP="00FA3CB2">
            <w:pPr>
              <w:widowControl/>
              <w:adjustRightInd w:val="0"/>
              <w:snapToGrid w:val="0"/>
              <w:spacing w:line="360" w:lineRule="auto"/>
              <w:textAlignment w:val="bottom"/>
              <w:rPr>
                <w:rFonts w:ascii="Book Antiqua" w:hAnsi="Book Antiqua" w:cs="Arial"/>
                <w:b/>
                <w:kern w:val="0"/>
              </w:rPr>
            </w:pPr>
          </w:p>
        </w:tc>
        <w:tc>
          <w:tcPr>
            <w:tcW w:w="6869" w:type="dxa"/>
            <w:gridSpan w:val="5"/>
            <w:tcBorders>
              <w:top w:val="single" w:sz="8" w:space="0" w:color="000000"/>
              <w:left w:val="nil"/>
              <w:bottom w:val="single" w:sz="4" w:space="0" w:color="000000"/>
              <w:right w:val="nil"/>
            </w:tcBorders>
            <w:shd w:val="clear" w:color="auto" w:fill="auto"/>
            <w:tcMar>
              <w:top w:w="16" w:type="dxa"/>
              <w:left w:w="16" w:type="dxa"/>
              <w:bottom w:w="0" w:type="dxa"/>
              <w:right w:w="16" w:type="dxa"/>
            </w:tcMar>
            <w:vAlign w:val="bottom"/>
            <w:hideMark/>
          </w:tcPr>
          <w:p w14:paraId="396B03B2" w14:textId="77777777" w:rsidR="002C16E4" w:rsidRPr="004865E7" w:rsidRDefault="002C16E4" w:rsidP="00ED34B9">
            <w:pPr>
              <w:widowControl/>
              <w:adjustRightInd w:val="0"/>
              <w:snapToGrid w:val="0"/>
              <w:spacing w:line="360" w:lineRule="auto"/>
              <w:jc w:val="center"/>
              <w:textAlignment w:val="bottom"/>
              <w:rPr>
                <w:rFonts w:ascii="Book Antiqua" w:hAnsi="Book Antiqua" w:cs="Arial"/>
                <w:b/>
                <w:kern w:val="0"/>
              </w:rPr>
            </w:pPr>
            <w:r w:rsidRPr="004865E7">
              <w:rPr>
                <w:rFonts w:ascii="Book Antiqua" w:hAnsi="Book Antiqua" w:cs="Arial"/>
                <w:b/>
                <w:kern w:val="24"/>
              </w:rPr>
              <w:t>Histological atrophy</w:t>
            </w:r>
          </w:p>
        </w:tc>
        <w:tc>
          <w:tcPr>
            <w:tcW w:w="1391" w:type="dxa"/>
            <w:vMerge w:val="restart"/>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5979A033"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Total</w:t>
            </w:r>
          </w:p>
        </w:tc>
        <w:tc>
          <w:tcPr>
            <w:tcW w:w="1534" w:type="dxa"/>
            <w:vMerge w:val="restart"/>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A03AAE2" w14:textId="6BAA7B64"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 xml:space="preserve">Weighted </w:t>
            </w:r>
            <w:r w:rsidR="00ED34B9" w:rsidRPr="004865E7">
              <w:rPr>
                <w:rFonts w:ascii="Book Antiqua" w:hAnsi="Book Antiqua" w:cs="Arial"/>
                <w:b/>
                <w:kern w:val="24"/>
              </w:rPr>
              <w:t>κ</w:t>
            </w:r>
            <w:r w:rsidR="00ED34B9" w:rsidRPr="004865E7">
              <w:rPr>
                <w:rFonts w:ascii="Book Antiqua" w:eastAsia="SimSun" w:hAnsi="Book Antiqua" w:cs="Arial" w:hint="eastAsia"/>
                <w:b/>
                <w:kern w:val="24"/>
                <w:lang w:eastAsia="zh-CN"/>
              </w:rPr>
              <w:t xml:space="preserve"> </w:t>
            </w:r>
            <w:r w:rsidRPr="004865E7">
              <w:rPr>
                <w:rFonts w:ascii="Book Antiqua" w:hAnsi="Book Antiqua" w:cs="Arial"/>
                <w:b/>
                <w:kern w:val="24"/>
              </w:rPr>
              <w:t>value</w:t>
            </w:r>
          </w:p>
        </w:tc>
      </w:tr>
      <w:tr w:rsidR="002C16E4" w:rsidRPr="004865E7" w14:paraId="1E9DCFA9" w14:textId="77777777" w:rsidTr="00ED34B9">
        <w:trPr>
          <w:trHeight w:val="312"/>
        </w:trPr>
        <w:tc>
          <w:tcPr>
            <w:tcW w:w="1259" w:type="dxa"/>
            <w:tcBorders>
              <w:top w:val="nil"/>
              <w:left w:val="nil"/>
              <w:bottom w:val="single" w:sz="8" w:space="0" w:color="000000"/>
              <w:right w:val="nil"/>
            </w:tcBorders>
            <w:shd w:val="clear" w:color="auto" w:fill="auto"/>
            <w:tcMar>
              <w:top w:w="16" w:type="dxa"/>
              <w:left w:w="16" w:type="dxa"/>
              <w:bottom w:w="0" w:type="dxa"/>
              <w:right w:w="16" w:type="dxa"/>
            </w:tcMar>
            <w:vAlign w:val="bottom"/>
            <w:hideMark/>
          </w:tcPr>
          <w:p w14:paraId="6CA85E6B" w14:textId="77777777" w:rsidR="002C16E4" w:rsidRPr="004865E7" w:rsidRDefault="002C16E4" w:rsidP="00FA3CB2">
            <w:pPr>
              <w:widowControl/>
              <w:adjustRightInd w:val="0"/>
              <w:snapToGrid w:val="0"/>
              <w:spacing w:line="360" w:lineRule="auto"/>
              <w:textAlignment w:val="bottom"/>
              <w:rPr>
                <w:rFonts w:ascii="Book Antiqua" w:hAnsi="Book Antiqua" w:cs="Arial"/>
                <w:b/>
                <w:kern w:val="0"/>
              </w:rPr>
            </w:pPr>
          </w:p>
        </w:tc>
        <w:tc>
          <w:tcPr>
            <w:tcW w:w="1907" w:type="dxa"/>
            <w:tcBorders>
              <w:top w:val="nil"/>
              <w:left w:val="nil"/>
              <w:bottom w:val="single" w:sz="8" w:space="0" w:color="000000"/>
              <w:right w:val="nil"/>
            </w:tcBorders>
            <w:shd w:val="clear" w:color="auto" w:fill="auto"/>
            <w:tcMar>
              <w:top w:w="16" w:type="dxa"/>
              <w:left w:w="16" w:type="dxa"/>
              <w:bottom w:w="0" w:type="dxa"/>
              <w:right w:w="16" w:type="dxa"/>
            </w:tcMar>
            <w:vAlign w:val="bottom"/>
            <w:hideMark/>
          </w:tcPr>
          <w:p w14:paraId="123B154D" w14:textId="77777777" w:rsidR="002C16E4" w:rsidRPr="004865E7" w:rsidRDefault="002C16E4" w:rsidP="00FA3CB2">
            <w:pPr>
              <w:widowControl/>
              <w:adjustRightInd w:val="0"/>
              <w:snapToGrid w:val="0"/>
              <w:spacing w:line="360" w:lineRule="auto"/>
              <w:textAlignment w:val="bottom"/>
              <w:rPr>
                <w:rFonts w:ascii="Book Antiqua" w:hAnsi="Book Antiqua" w:cs="Arial"/>
                <w:b/>
                <w:kern w:val="0"/>
              </w:rPr>
            </w:pPr>
          </w:p>
        </w:tc>
        <w:tc>
          <w:tcPr>
            <w:tcW w:w="1302"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7FACEA22"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None</w:t>
            </w:r>
          </w:p>
        </w:tc>
        <w:tc>
          <w:tcPr>
            <w:tcW w:w="1240"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79F1F47"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Antrum</w:t>
            </w:r>
          </w:p>
        </w:tc>
        <w:tc>
          <w:tcPr>
            <w:tcW w:w="1244"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1E7FA343"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Angulus</w:t>
            </w:r>
          </w:p>
        </w:tc>
        <w:tc>
          <w:tcPr>
            <w:tcW w:w="1482"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1A70B39"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Middle body LC</w:t>
            </w:r>
          </w:p>
        </w:tc>
        <w:tc>
          <w:tcPr>
            <w:tcW w:w="1601"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06640EE"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b/>
                <w:kern w:val="0"/>
              </w:rPr>
            </w:pPr>
            <w:r w:rsidRPr="004865E7">
              <w:rPr>
                <w:rFonts w:ascii="Book Antiqua" w:hAnsi="Book Antiqua" w:cs="Arial"/>
                <w:b/>
                <w:kern w:val="24"/>
              </w:rPr>
              <w:t>Middle body GC</w:t>
            </w:r>
          </w:p>
        </w:tc>
        <w:tc>
          <w:tcPr>
            <w:tcW w:w="0" w:type="auto"/>
            <w:vMerge/>
            <w:tcBorders>
              <w:top w:val="single" w:sz="8" w:space="0" w:color="000000"/>
              <w:left w:val="nil"/>
              <w:bottom w:val="single" w:sz="8" w:space="0" w:color="000000"/>
              <w:right w:val="nil"/>
            </w:tcBorders>
            <w:vAlign w:val="center"/>
            <w:hideMark/>
          </w:tcPr>
          <w:p w14:paraId="0DD5BF48" w14:textId="77777777" w:rsidR="002C16E4" w:rsidRPr="004865E7" w:rsidRDefault="002C16E4" w:rsidP="00ED34B9">
            <w:pPr>
              <w:widowControl/>
              <w:adjustRightInd w:val="0"/>
              <w:snapToGrid w:val="0"/>
              <w:spacing w:line="360" w:lineRule="auto"/>
              <w:jc w:val="center"/>
              <w:rPr>
                <w:rFonts w:ascii="Book Antiqua" w:hAnsi="Book Antiqua" w:cs="Arial"/>
                <w:b/>
                <w:kern w:val="0"/>
              </w:rPr>
            </w:pPr>
          </w:p>
        </w:tc>
        <w:tc>
          <w:tcPr>
            <w:tcW w:w="0" w:type="auto"/>
            <w:vMerge/>
            <w:tcBorders>
              <w:top w:val="single" w:sz="8" w:space="0" w:color="000000"/>
              <w:left w:val="nil"/>
              <w:bottom w:val="single" w:sz="8" w:space="0" w:color="000000"/>
              <w:right w:val="nil"/>
            </w:tcBorders>
            <w:vAlign w:val="center"/>
            <w:hideMark/>
          </w:tcPr>
          <w:p w14:paraId="5C17F84F" w14:textId="77777777" w:rsidR="002C16E4" w:rsidRPr="004865E7" w:rsidRDefault="002C16E4" w:rsidP="00ED34B9">
            <w:pPr>
              <w:widowControl/>
              <w:adjustRightInd w:val="0"/>
              <w:snapToGrid w:val="0"/>
              <w:spacing w:line="360" w:lineRule="auto"/>
              <w:jc w:val="center"/>
              <w:rPr>
                <w:rFonts w:ascii="Book Antiqua" w:hAnsi="Book Antiqua" w:cs="Arial"/>
                <w:b/>
                <w:kern w:val="0"/>
              </w:rPr>
            </w:pPr>
          </w:p>
        </w:tc>
      </w:tr>
      <w:tr w:rsidR="002C16E4" w:rsidRPr="004865E7" w14:paraId="74B39105" w14:textId="77777777" w:rsidTr="00ED34B9">
        <w:trPr>
          <w:trHeight w:val="460"/>
        </w:trPr>
        <w:tc>
          <w:tcPr>
            <w:tcW w:w="1259" w:type="dxa"/>
            <w:vMerge w:val="restart"/>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27343B85"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Endoscopic atrophy</w:t>
            </w:r>
          </w:p>
        </w:tc>
        <w:tc>
          <w:tcPr>
            <w:tcW w:w="1907"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19DC2ED7"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No atrophy</w:t>
            </w:r>
          </w:p>
        </w:tc>
        <w:tc>
          <w:tcPr>
            <w:tcW w:w="1302" w:type="dxa"/>
            <w:tcBorders>
              <w:top w:val="single" w:sz="8" w:space="0" w:color="000000"/>
              <w:left w:val="nil"/>
              <w:bottom w:val="dashed" w:sz="4" w:space="0" w:color="000000"/>
              <w:right w:val="double" w:sz="6" w:space="0" w:color="000000"/>
            </w:tcBorders>
            <w:shd w:val="clear" w:color="auto" w:fill="D9D9D9"/>
            <w:tcMar>
              <w:top w:w="16" w:type="dxa"/>
              <w:left w:w="16" w:type="dxa"/>
              <w:bottom w:w="0" w:type="dxa"/>
              <w:right w:w="16" w:type="dxa"/>
            </w:tcMar>
            <w:vAlign w:val="center"/>
            <w:hideMark/>
          </w:tcPr>
          <w:p w14:paraId="2EFDB98F"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b/>
                <w:bCs/>
                <w:kern w:val="24"/>
              </w:rPr>
              <w:t>79</w:t>
            </w:r>
          </w:p>
        </w:tc>
        <w:tc>
          <w:tcPr>
            <w:tcW w:w="1240" w:type="dxa"/>
            <w:tcBorders>
              <w:top w:val="single" w:sz="8" w:space="0" w:color="000000"/>
              <w:left w:val="double" w:sz="6" w:space="0" w:color="000000"/>
              <w:bottom w:val="double" w:sz="6" w:space="0" w:color="000000"/>
              <w:right w:val="nil"/>
            </w:tcBorders>
            <w:shd w:val="clear" w:color="auto" w:fill="auto"/>
            <w:tcMar>
              <w:top w:w="16" w:type="dxa"/>
              <w:left w:w="16" w:type="dxa"/>
              <w:bottom w:w="0" w:type="dxa"/>
              <w:right w:w="16" w:type="dxa"/>
            </w:tcMar>
            <w:vAlign w:val="center"/>
            <w:hideMark/>
          </w:tcPr>
          <w:p w14:paraId="56C4796A"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4</w:t>
            </w:r>
          </w:p>
        </w:tc>
        <w:tc>
          <w:tcPr>
            <w:tcW w:w="1244"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4A72C8E0"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482"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30910C66"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601" w:type="dxa"/>
            <w:tcBorders>
              <w:top w:val="single" w:sz="8" w:space="0" w:color="000000"/>
              <w:left w:val="nil"/>
              <w:bottom w:val="nil"/>
              <w:right w:val="double" w:sz="6" w:space="0" w:color="000000"/>
            </w:tcBorders>
            <w:shd w:val="clear" w:color="auto" w:fill="auto"/>
            <w:tcMar>
              <w:top w:w="16" w:type="dxa"/>
              <w:left w:w="16" w:type="dxa"/>
              <w:bottom w:w="0" w:type="dxa"/>
              <w:right w:w="16" w:type="dxa"/>
            </w:tcMar>
            <w:vAlign w:val="center"/>
            <w:hideMark/>
          </w:tcPr>
          <w:p w14:paraId="4795626C"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391" w:type="dxa"/>
            <w:tcBorders>
              <w:top w:val="single" w:sz="8" w:space="0" w:color="000000"/>
              <w:left w:val="double" w:sz="6" w:space="0" w:color="000000"/>
              <w:bottom w:val="nil"/>
              <w:right w:val="nil"/>
            </w:tcBorders>
            <w:shd w:val="clear" w:color="auto" w:fill="auto"/>
            <w:tcMar>
              <w:top w:w="16" w:type="dxa"/>
              <w:left w:w="16" w:type="dxa"/>
              <w:bottom w:w="0" w:type="dxa"/>
              <w:right w:w="16" w:type="dxa"/>
            </w:tcMar>
            <w:vAlign w:val="center"/>
            <w:hideMark/>
          </w:tcPr>
          <w:p w14:paraId="48ED9A02"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83</w:t>
            </w:r>
          </w:p>
        </w:tc>
        <w:tc>
          <w:tcPr>
            <w:tcW w:w="1534" w:type="dxa"/>
            <w:vMerge w:val="restart"/>
            <w:tcBorders>
              <w:top w:val="single" w:sz="8" w:space="0" w:color="000000"/>
              <w:left w:val="nil"/>
              <w:right w:val="nil"/>
            </w:tcBorders>
            <w:shd w:val="clear" w:color="auto" w:fill="auto"/>
            <w:tcMar>
              <w:top w:w="16" w:type="dxa"/>
              <w:left w:w="16" w:type="dxa"/>
              <w:bottom w:w="0" w:type="dxa"/>
              <w:right w:w="16" w:type="dxa"/>
            </w:tcMar>
            <w:vAlign w:val="center"/>
            <w:hideMark/>
          </w:tcPr>
          <w:p w14:paraId="5E3A1139" w14:textId="064C9488"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0.76</w:t>
            </w:r>
          </w:p>
        </w:tc>
      </w:tr>
      <w:tr w:rsidR="002C16E4" w:rsidRPr="004865E7" w14:paraId="32875804" w14:textId="77777777" w:rsidTr="00ED34B9">
        <w:trPr>
          <w:trHeight w:val="460"/>
        </w:trPr>
        <w:tc>
          <w:tcPr>
            <w:tcW w:w="0" w:type="auto"/>
            <w:vMerge/>
            <w:tcBorders>
              <w:top w:val="single" w:sz="8" w:space="0" w:color="000000"/>
              <w:left w:val="nil"/>
              <w:bottom w:val="nil"/>
              <w:right w:val="nil"/>
            </w:tcBorders>
            <w:vAlign w:val="center"/>
            <w:hideMark/>
          </w:tcPr>
          <w:p w14:paraId="27CF5A70" w14:textId="77777777" w:rsidR="002C16E4" w:rsidRPr="004865E7" w:rsidRDefault="002C16E4" w:rsidP="00ED34B9">
            <w:pPr>
              <w:widowControl/>
              <w:adjustRightInd w:val="0"/>
              <w:snapToGrid w:val="0"/>
              <w:spacing w:line="360" w:lineRule="auto"/>
              <w:jc w:val="left"/>
              <w:rPr>
                <w:rFonts w:ascii="Book Antiqua" w:hAnsi="Book Antiqua" w:cs="Arial"/>
                <w:kern w:val="0"/>
              </w:rPr>
            </w:pPr>
          </w:p>
        </w:tc>
        <w:tc>
          <w:tcPr>
            <w:tcW w:w="1907" w:type="dxa"/>
            <w:tcBorders>
              <w:top w:val="nil"/>
              <w:left w:val="nil"/>
              <w:bottom w:val="nil"/>
              <w:right w:val="dashed" w:sz="4" w:space="0" w:color="000000"/>
            </w:tcBorders>
            <w:shd w:val="clear" w:color="auto" w:fill="auto"/>
            <w:tcMar>
              <w:top w:w="16" w:type="dxa"/>
              <w:left w:w="16" w:type="dxa"/>
              <w:bottom w:w="0" w:type="dxa"/>
              <w:right w:w="16" w:type="dxa"/>
            </w:tcMar>
            <w:vAlign w:val="center"/>
            <w:hideMark/>
          </w:tcPr>
          <w:p w14:paraId="58CD4AA3"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Antrum (C-1)</w:t>
            </w:r>
          </w:p>
        </w:tc>
        <w:tc>
          <w:tcPr>
            <w:tcW w:w="1302" w:type="dxa"/>
            <w:tcBorders>
              <w:top w:val="dashed" w:sz="4" w:space="0" w:color="000000"/>
              <w:left w:val="dashed" w:sz="4" w:space="0" w:color="000000"/>
              <w:bottom w:val="nil"/>
              <w:right w:val="dashed" w:sz="4" w:space="0" w:color="000000"/>
            </w:tcBorders>
            <w:shd w:val="clear" w:color="auto" w:fill="auto"/>
            <w:tcMar>
              <w:top w:w="16" w:type="dxa"/>
              <w:left w:w="16" w:type="dxa"/>
              <w:bottom w:w="0" w:type="dxa"/>
              <w:right w:w="16" w:type="dxa"/>
            </w:tcMar>
            <w:vAlign w:val="center"/>
            <w:hideMark/>
          </w:tcPr>
          <w:p w14:paraId="56B521C9"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13</w:t>
            </w:r>
          </w:p>
        </w:tc>
        <w:tc>
          <w:tcPr>
            <w:tcW w:w="1240" w:type="dxa"/>
            <w:tcBorders>
              <w:top w:val="double" w:sz="6" w:space="0" w:color="000000"/>
              <w:left w:val="dashed" w:sz="4" w:space="0" w:color="000000"/>
              <w:bottom w:val="dashed" w:sz="4" w:space="0" w:color="000000"/>
              <w:right w:val="double" w:sz="6" w:space="0" w:color="000000"/>
            </w:tcBorders>
            <w:shd w:val="clear" w:color="auto" w:fill="D9D9D9"/>
            <w:tcMar>
              <w:top w:w="16" w:type="dxa"/>
              <w:left w:w="16" w:type="dxa"/>
              <w:bottom w:w="0" w:type="dxa"/>
              <w:right w:w="16" w:type="dxa"/>
            </w:tcMar>
            <w:vAlign w:val="center"/>
            <w:hideMark/>
          </w:tcPr>
          <w:p w14:paraId="7DDDFC4D"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b/>
                <w:bCs/>
                <w:kern w:val="24"/>
              </w:rPr>
              <w:t>51</w:t>
            </w:r>
          </w:p>
        </w:tc>
        <w:tc>
          <w:tcPr>
            <w:tcW w:w="1244" w:type="dxa"/>
            <w:tcBorders>
              <w:top w:val="nil"/>
              <w:left w:val="double" w:sz="6" w:space="0" w:color="000000"/>
              <w:bottom w:val="double" w:sz="6" w:space="0" w:color="000000"/>
              <w:right w:val="nil"/>
            </w:tcBorders>
            <w:shd w:val="clear" w:color="auto" w:fill="auto"/>
            <w:tcMar>
              <w:top w:w="16" w:type="dxa"/>
              <w:left w:w="16" w:type="dxa"/>
              <w:bottom w:w="0" w:type="dxa"/>
              <w:right w:w="16" w:type="dxa"/>
            </w:tcMar>
            <w:vAlign w:val="center"/>
            <w:hideMark/>
          </w:tcPr>
          <w:p w14:paraId="4824FF79"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9</w:t>
            </w:r>
          </w:p>
        </w:tc>
        <w:tc>
          <w:tcPr>
            <w:tcW w:w="1482" w:type="dxa"/>
            <w:tcBorders>
              <w:top w:val="nil"/>
              <w:left w:val="nil"/>
              <w:bottom w:val="nil"/>
              <w:right w:val="nil"/>
            </w:tcBorders>
            <w:shd w:val="clear" w:color="auto" w:fill="auto"/>
            <w:tcMar>
              <w:top w:w="16" w:type="dxa"/>
              <w:left w:w="16" w:type="dxa"/>
              <w:bottom w:w="0" w:type="dxa"/>
              <w:right w:w="16" w:type="dxa"/>
            </w:tcMar>
            <w:vAlign w:val="center"/>
            <w:hideMark/>
          </w:tcPr>
          <w:p w14:paraId="4E699534"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601" w:type="dxa"/>
            <w:tcBorders>
              <w:top w:val="nil"/>
              <w:left w:val="nil"/>
              <w:bottom w:val="nil"/>
              <w:right w:val="double" w:sz="6" w:space="0" w:color="000000"/>
            </w:tcBorders>
            <w:shd w:val="clear" w:color="auto" w:fill="auto"/>
            <w:tcMar>
              <w:top w:w="16" w:type="dxa"/>
              <w:left w:w="16" w:type="dxa"/>
              <w:bottom w:w="0" w:type="dxa"/>
              <w:right w:w="16" w:type="dxa"/>
            </w:tcMar>
            <w:vAlign w:val="center"/>
            <w:hideMark/>
          </w:tcPr>
          <w:p w14:paraId="438DDA56"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391" w:type="dxa"/>
            <w:tcBorders>
              <w:top w:val="nil"/>
              <w:left w:val="double" w:sz="6" w:space="0" w:color="000000"/>
              <w:bottom w:val="nil"/>
              <w:right w:val="nil"/>
            </w:tcBorders>
            <w:shd w:val="clear" w:color="auto" w:fill="auto"/>
            <w:tcMar>
              <w:top w:w="16" w:type="dxa"/>
              <w:left w:w="16" w:type="dxa"/>
              <w:bottom w:w="0" w:type="dxa"/>
              <w:right w:w="16" w:type="dxa"/>
            </w:tcMar>
            <w:vAlign w:val="center"/>
            <w:hideMark/>
          </w:tcPr>
          <w:p w14:paraId="33FDE50B"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73</w:t>
            </w:r>
          </w:p>
        </w:tc>
        <w:tc>
          <w:tcPr>
            <w:tcW w:w="1534" w:type="dxa"/>
            <w:vMerge/>
            <w:tcBorders>
              <w:left w:val="nil"/>
              <w:right w:val="nil"/>
            </w:tcBorders>
            <w:shd w:val="clear" w:color="auto" w:fill="auto"/>
            <w:tcMar>
              <w:top w:w="16" w:type="dxa"/>
              <w:left w:w="16" w:type="dxa"/>
              <w:bottom w:w="0" w:type="dxa"/>
              <w:right w:w="16" w:type="dxa"/>
            </w:tcMar>
            <w:vAlign w:val="center"/>
            <w:hideMark/>
          </w:tcPr>
          <w:p w14:paraId="2E489BA2" w14:textId="77777777" w:rsidR="002C16E4" w:rsidRPr="004865E7" w:rsidRDefault="002C16E4" w:rsidP="00ED34B9">
            <w:pPr>
              <w:adjustRightInd w:val="0"/>
              <w:snapToGrid w:val="0"/>
              <w:spacing w:line="360" w:lineRule="auto"/>
              <w:jc w:val="center"/>
              <w:textAlignment w:val="center"/>
              <w:rPr>
                <w:rFonts w:ascii="Book Antiqua" w:hAnsi="Book Antiqua" w:cs="Arial"/>
                <w:kern w:val="0"/>
              </w:rPr>
            </w:pPr>
          </w:p>
        </w:tc>
      </w:tr>
      <w:tr w:rsidR="002C16E4" w:rsidRPr="004865E7" w14:paraId="62518266" w14:textId="77777777" w:rsidTr="00ED34B9">
        <w:trPr>
          <w:trHeight w:val="460"/>
        </w:trPr>
        <w:tc>
          <w:tcPr>
            <w:tcW w:w="0" w:type="auto"/>
            <w:vMerge/>
            <w:tcBorders>
              <w:top w:val="single" w:sz="8" w:space="0" w:color="000000"/>
              <w:left w:val="nil"/>
              <w:bottom w:val="nil"/>
              <w:right w:val="nil"/>
            </w:tcBorders>
            <w:vAlign w:val="center"/>
            <w:hideMark/>
          </w:tcPr>
          <w:p w14:paraId="0D4853D8" w14:textId="77777777" w:rsidR="002C16E4" w:rsidRPr="004865E7" w:rsidRDefault="002C16E4" w:rsidP="00ED34B9">
            <w:pPr>
              <w:widowControl/>
              <w:adjustRightInd w:val="0"/>
              <w:snapToGrid w:val="0"/>
              <w:spacing w:line="360" w:lineRule="auto"/>
              <w:jc w:val="left"/>
              <w:rPr>
                <w:rFonts w:ascii="Book Antiqua" w:hAnsi="Book Antiqua" w:cs="Arial"/>
                <w:kern w:val="0"/>
              </w:rPr>
            </w:pPr>
          </w:p>
        </w:tc>
        <w:tc>
          <w:tcPr>
            <w:tcW w:w="1907" w:type="dxa"/>
            <w:tcBorders>
              <w:top w:val="nil"/>
              <w:left w:val="nil"/>
              <w:bottom w:val="nil"/>
              <w:right w:val="dashed" w:sz="4" w:space="0" w:color="000000"/>
            </w:tcBorders>
            <w:shd w:val="clear" w:color="auto" w:fill="auto"/>
            <w:tcMar>
              <w:top w:w="16" w:type="dxa"/>
              <w:left w:w="16" w:type="dxa"/>
              <w:bottom w:w="0" w:type="dxa"/>
              <w:right w:w="16" w:type="dxa"/>
            </w:tcMar>
            <w:vAlign w:val="center"/>
            <w:hideMark/>
          </w:tcPr>
          <w:p w14:paraId="2AC53666"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Antrum predominant (C-2)</w:t>
            </w:r>
          </w:p>
        </w:tc>
        <w:tc>
          <w:tcPr>
            <w:tcW w:w="1302" w:type="dxa"/>
            <w:tcBorders>
              <w:top w:val="nil"/>
              <w:left w:val="dashed" w:sz="4" w:space="0" w:color="000000"/>
              <w:bottom w:val="nil"/>
              <w:right w:val="nil"/>
            </w:tcBorders>
            <w:shd w:val="clear" w:color="auto" w:fill="auto"/>
            <w:tcMar>
              <w:top w:w="16" w:type="dxa"/>
              <w:left w:w="16" w:type="dxa"/>
              <w:bottom w:w="0" w:type="dxa"/>
              <w:right w:w="16" w:type="dxa"/>
            </w:tcMar>
            <w:vAlign w:val="center"/>
            <w:hideMark/>
          </w:tcPr>
          <w:p w14:paraId="6AC4B1FB"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2</w:t>
            </w:r>
          </w:p>
        </w:tc>
        <w:tc>
          <w:tcPr>
            <w:tcW w:w="1240" w:type="dxa"/>
            <w:tcBorders>
              <w:top w:val="dashed" w:sz="4" w:space="0" w:color="000000"/>
              <w:left w:val="nil"/>
              <w:bottom w:val="nil"/>
              <w:right w:val="dashed" w:sz="4" w:space="0" w:color="000000"/>
            </w:tcBorders>
            <w:shd w:val="clear" w:color="auto" w:fill="auto"/>
            <w:tcMar>
              <w:top w:w="16" w:type="dxa"/>
              <w:left w:w="16" w:type="dxa"/>
              <w:bottom w:w="0" w:type="dxa"/>
              <w:right w:w="16" w:type="dxa"/>
            </w:tcMar>
            <w:vAlign w:val="center"/>
            <w:hideMark/>
          </w:tcPr>
          <w:p w14:paraId="16ECDC9A"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12</w:t>
            </w:r>
          </w:p>
        </w:tc>
        <w:tc>
          <w:tcPr>
            <w:tcW w:w="1244" w:type="dxa"/>
            <w:tcBorders>
              <w:top w:val="double" w:sz="6" w:space="0" w:color="000000"/>
              <w:left w:val="dashed" w:sz="4" w:space="0" w:color="000000"/>
              <w:bottom w:val="dashed" w:sz="4" w:space="0" w:color="000000"/>
              <w:right w:val="double" w:sz="6" w:space="0" w:color="000000"/>
            </w:tcBorders>
            <w:shd w:val="clear" w:color="auto" w:fill="D9D9D9"/>
            <w:tcMar>
              <w:top w:w="16" w:type="dxa"/>
              <w:left w:w="16" w:type="dxa"/>
              <w:bottom w:w="0" w:type="dxa"/>
              <w:right w:w="16" w:type="dxa"/>
            </w:tcMar>
            <w:vAlign w:val="center"/>
            <w:hideMark/>
          </w:tcPr>
          <w:p w14:paraId="17D7C183"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b/>
                <w:bCs/>
                <w:kern w:val="24"/>
              </w:rPr>
              <w:t>21</w:t>
            </w:r>
          </w:p>
        </w:tc>
        <w:tc>
          <w:tcPr>
            <w:tcW w:w="1482" w:type="dxa"/>
            <w:tcBorders>
              <w:top w:val="nil"/>
              <w:left w:val="double" w:sz="6" w:space="0" w:color="000000"/>
              <w:bottom w:val="double" w:sz="6" w:space="0" w:color="000000"/>
              <w:right w:val="nil"/>
            </w:tcBorders>
            <w:shd w:val="clear" w:color="auto" w:fill="auto"/>
            <w:tcMar>
              <w:top w:w="16" w:type="dxa"/>
              <w:left w:w="16" w:type="dxa"/>
              <w:bottom w:w="0" w:type="dxa"/>
              <w:right w:w="16" w:type="dxa"/>
            </w:tcMar>
            <w:vAlign w:val="center"/>
            <w:hideMark/>
          </w:tcPr>
          <w:p w14:paraId="4B276F98"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5</w:t>
            </w:r>
          </w:p>
        </w:tc>
        <w:tc>
          <w:tcPr>
            <w:tcW w:w="1601" w:type="dxa"/>
            <w:tcBorders>
              <w:top w:val="nil"/>
              <w:left w:val="nil"/>
              <w:bottom w:val="nil"/>
              <w:right w:val="double" w:sz="6" w:space="0" w:color="000000"/>
            </w:tcBorders>
            <w:shd w:val="clear" w:color="auto" w:fill="auto"/>
            <w:tcMar>
              <w:top w:w="16" w:type="dxa"/>
              <w:left w:w="16" w:type="dxa"/>
              <w:bottom w:w="0" w:type="dxa"/>
              <w:right w:w="16" w:type="dxa"/>
            </w:tcMar>
            <w:vAlign w:val="center"/>
            <w:hideMark/>
          </w:tcPr>
          <w:p w14:paraId="42F0EC1E"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4</w:t>
            </w:r>
          </w:p>
        </w:tc>
        <w:tc>
          <w:tcPr>
            <w:tcW w:w="1391" w:type="dxa"/>
            <w:tcBorders>
              <w:top w:val="nil"/>
              <w:left w:val="double" w:sz="6" w:space="0" w:color="000000"/>
              <w:bottom w:val="nil"/>
              <w:right w:val="nil"/>
            </w:tcBorders>
            <w:shd w:val="clear" w:color="auto" w:fill="auto"/>
            <w:tcMar>
              <w:top w:w="16" w:type="dxa"/>
              <w:left w:w="16" w:type="dxa"/>
              <w:bottom w:w="0" w:type="dxa"/>
              <w:right w:w="16" w:type="dxa"/>
            </w:tcMar>
            <w:vAlign w:val="center"/>
            <w:hideMark/>
          </w:tcPr>
          <w:p w14:paraId="2F9F02D5"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44</w:t>
            </w:r>
          </w:p>
        </w:tc>
        <w:tc>
          <w:tcPr>
            <w:tcW w:w="1534" w:type="dxa"/>
            <w:vMerge/>
            <w:tcBorders>
              <w:left w:val="nil"/>
              <w:right w:val="nil"/>
            </w:tcBorders>
            <w:shd w:val="clear" w:color="auto" w:fill="auto"/>
            <w:tcMar>
              <w:top w:w="16" w:type="dxa"/>
              <w:left w:w="16" w:type="dxa"/>
              <w:bottom w:w="0" w:type="dxa"/>
              <w:right w:w="16" w:type="dxa"/>
            </w:tcMar>
            <w:vAlign w:val="center"/>
            <w:hideMark/>
          </w:tcPr>
          <w:p w14:paraId="023C673F" w14:textId="77777777" w:rsidR="002C16E4" w:rsidRPr="004865E7" w:rsidRDefault="002C16E4" w:rsidP="00ED34B9">
            <w:pPr>
              <w:adjustRightInd w:val="0"/>
              <w:snapToGrid w:val="0"/>
              <w:spacing w:line="360" w:lineRule="auto"/>
              <w:jc w:val="center"/>
              <w:textAlignment w:val="center"/>
              <w:rPr>
                <w:rFonts w:ascii="Book Antiqua" w:hAnsi="Book Antiqua" w:cs="Arial"/>
                <w:kern w:val="0"/>
              </w:rPr>
            </w:pPr>
          </w:p>
        </w:tc>
      </w:tr>
      <w:tr w:rsidR="002C16E4" w:rsidRPr="004865E7" w14:paraId="7F467675" w14:textId="77777777" w:rsidTr="00ED34B9">
        <w:trPr>
          <w:trHeight w:val="460"/>
        </w:trPr>
        <w:tc>
          <w:tcPr>
            <w:tcW w:w="0" w:type="auto"/>
            <w:vMerge/>
            <w:tcBorders>
              <w:top w:val="single" w:sz="8" w:space="0" w:color="000000"/>
              <w:left w:val="nil"/>
              <w:bottom w:val="nil"/>
              <w:right w:val="nil"/>
            </w:tcBorders>
            <w:vAlign w:val="center"/>
            <w:hideMark/>
          </w:tcPr>
          <w:p w14:paraId="6C046AD5" w14:textId="77777777" w:rsidR="002C16E4" w:rsidRPr="004865E7" w:rsidRDefault="002C16E4" w:rsidP="00ED34B9">
            <w:pPr>
              <w:widowControl/>
              <w:adjustRightInd w:val="0"/>
              <w:snapToGrid w:val="0"/>
              <w:spacing w:line="360" w:lineRule="auto"/>
              <w:jc w:val="left"/>
              <w:rPr>
                <w:rFonts w:ascii="Book Antiqua" w:hAnsi="Book Antiqua" w:cs="Arial"/>
                <w:kern w:val="0"/>
              </w:rPr>
            </w:pPr>
          </w:p>
        </w:tc>
        <w:tc>
          <w:tcPr>
            <w:tcW w:w="1907" w:type="dxa"/>
            <w:tcBorders>
              <w:top w:val="nil"/>
              <w:left w:val="nil"/>
              <w:bottom w:val="nil"/>
              <w:right w:val="dashed" w:sz="4" w:space="0" w:color="000000"/>
            </w:tcBorders>
            <w:shd w:val="clear" w:color="auto" w:fill="auto"/>
            <w:tcMar>
              <w:top w:w="16" w:type="dxa"/>
              <w:left w:w="16" w:type="dxa"/>
              <w:bottom w:w="0" w:type="dxa"/>
              <w:right w:w="16" w:type="dxa"/>
            </w:tcMar>
            <w:vAlign w:val="center"/>
            <w:hideMark/>
          </w:tcPr>
          <w:p w14:paraId="00834DD1"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Corpus predominant (C-3-O-2)</w:t>
            </w:r>
          </w:p>
        </w:tc>
        <w:tc>
          <w:tcPr>
            <w:tcW w:w="1302" w:type="dxa"/>
            <w:tcBorders>
              <w:top w:val="nil"/>
              <w:left w:val="dashed" w:sz="4" w:space="0" w:color="000000"/>
              <w:bottom w:val="nil"/>
              <w:right w:val="nil"/>
            </w:tcBorders>
            <w:shd w:val="clear" w:color="auto" w:fill="auto"/>
            <w:tcMar>
              <w:top w:w="16" w:type="dxa"/>
              <w:left w:w="16" w:type="dxa"/>
              <w:bottom w:w="0" w:type="dxa"/>
              <w:right w:w="16" w:type="dxa"/>
            </w:tcMar>
            <w:vAlign w:val="center"/>
            <w:hideMark/>
          </w:tcPr>
          <w:p w14:paraId="484CF5B6"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240" w:type="dxa"/>
            <w:tcBorders>
              <w:top w:val="nil"/>
              <w:left w:val="nil"/>
              <w:bottom w:val="nil"/>
              <w:right w:val="nil"/>
            </w:tcBorders>
            <w:shd w:val="clear" w:color="auto" w:fill="auto"/>
            <w:tcMar>
              <w:top w:w="16" w:type="dxa"/>
              <w:left w:w="16" w:type="dxa"/>
              <w:bottom w:w="0" w:type="dxa"/>
              <w:right w:w="16" w:type="dxa"/>
            </w:tcMar>
            <w:vAlign w:val="center"/>
            <w:hideMark/>
          </w:tcPr>
          <w:p w14:paraId="4B7B1618"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w:t>
            </w:r>
          </w:p>
        </w:tc>
        <w:tc>
          <w:tcPr>
            <w:tcW w:w="1244" w:type="dxa"/>
            <w:tcBorders>
              <w:top w:val="dashed" w:sz="4" w:space="0" w:color="000000"/>
              <w:left w:val="nil"/>
              <w:bottom w:val="nil"/>
              <w:right w:val="dashed" w:sz="4" w:space="0" w:color="000000"/>
            </w:tcBorders>
            <w:shd w:val="clear" w:color="auto" w:fill="auto"/>
            <w:tcMar>
              <w:top w:w="16" w:type="dxa"/>
              <w:left w:w="16" w:type="dxa"/>
              <w:bottom w:w="0" w:type="dxa"/>
              <w:right w:w="16" w:type="dxa"/>
            </w:tcMar>
            <w:vAlign w:val="center"/>
            <w:hideMark/>
          </w:tcPr>
          <w:p w14:paraId="4C0B66E4"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9</w:t>
            </w:r>
          </w:p>
        </w:tc>
        <w:tc>
          <w:tcPr>
            <w:tcW w:w="1482" w:type="dxa"/>
            <w:tcBorders>
              <w:top w:val="double" w:sz="6" w:space="0" w:color="000000"/>
              <w:left w:val="dashed" w:sz="4" w:space="0" w:color="000000"/>
              <w:bottom w:val="dashed" w:sz="4" w:space="0" w:color="000000"/>
              <w:right w:val="double" w:sz="6" w:space="0" w:color="000000"/>
            </w:tcBorders>
            <w:shd w:val="clear" w:color="auto" w:fill="D9D9D9"/>
            <w:tcMar>
              <w:top w:w="16" w:type="dxa"/>
              <w:left w:w="16" w:type="dxa"/>
              <w:bottom w:w="0" w:type="dxa"/>
              <w:right w:w="16" w:type="dxa"/>
            </w:tcMar>
            <w:vAlign w:val="center"/>
            <w:hideMark/>
          </w:tcPr>
          <w:p w14:paraId="6C77204D"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b/>
                <w:bCs/>
                <w:kern w:val="24"/>
              </w:rPr>
              <w:t>22</w:t>
            </w:r>
          </w:p>
        </w:tc>
        <w:tc>
          <w:tcPr>
            <w:tcW w:w="1601" w:type="dxa"/>
            <w:tcBorders>
              <w:top w:val="nil"/>
              <w:left w:val="double" w:sz="6" w:space="0" w:color="000000"/>
              <w:bottom w:val="double" w:sz="6" w:space="0" w:color="000000"/>
              <w:right w:val="double" w:sz="6" w:space="0" w:color="000000"/>
            </w:tcBorders>
            <w:shd w:val="clear" w:color="auto" w:fill="auto"/>
            <w:tcMar>
              <w:top w:w="16" w:type="dxa"/>
              <w:left w:w="16" w:type="dxa"/>
              <w:bottom w:w="0" w:type="dxa"/>
              <w:right w:w="16" w:type="dxa"/>
            </w:tcMar>
            <w:vAlign w:val="center"/>
            <w:hideMark/>
          </w:tcPr>
          <w:p w14:paraId="311F2442"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17</w:t>
            </w:r>
          </w:p>
        </w:tc>
        <w:tc>
          <w:tcPr>
            <w:tcW w:w="1391" w:type="dxa"/>
            <w:tcBorders>
              <w:top w:val="nil"/>
              <w:left w:val="double" w:sz="6" w:space="0" w:color="000000"/>
              <w:bottom w:val="nil"/>
              <w:right w:val="nil"/>
            </w:tcBorders>
            <w:shd w:val="clear" w:color="auto" w:fill="auto"/>
            <w:tcMar>
              <w:top w:w="16" w:type="dxa"/>
              <w:left w:w="16" w:type="dxa"/>
              <w:bottom w:w="0" w:type="dxa"/>
              <w:right w:w="16" w:type="dxa"/>
            </w:tcMar>
            <w:vAlign w:val="center"/>
            <w:hideMark/>
          </w:tcPr>
          <w:p w14:paraId="12BEBC3D"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49</w:t>
            </w:r>
          </w:p>
        </w:tc>
        <w:tc>
          <w:tcPr>
            <w:tcW w:w="1534" w:type="dxa"/>
            <w:vMerge/>
            <w:tcBorders>
              <w:left w:val="nil"/>
              <w:right w:val="nil"/>
            </w:tcBorders>
            <w:shd w:val="clear" w:color="auto" w:fill="auto"/>
            <w:tcMar>
              <w:top w:w="16" w:type="dxa"/>
              <w:left w:w="16" w:type="dxa"/>
              <w:bottom w:w="0" w:type="dxa"/>
              <w:right w:w="16" w:type="dxa"/>
            </w:tcMar>
            <w:vAlign w:val="center"/>
            <w:hideMark/>
          </w:tcPr>
          <w:p w14:paraId="3A4835D8" w14:textId="77777777" w:rsidR="002C16E4" w:rsidRPr="004865E7" w:rsidRDefault="002C16E4" w:rsidP="00ED34B9">
            <w:pPr>
              <w:adjustRightInd w:val="0"/>
              <w:snapToGrid w:val="0"/>
              <w:spacing w:line="360" w:lineRule="auto"/>
              <w:jc w:val="center"/>
              <w:textAlignment w:val="center"/>
              <w:rPr>
                <w:rFonts w:ascii="Book Antiqua" w:hAnsi="Book Antiqua" w:cs="Arial"/>
                <w:kern w:val="0"/>
              </w:rPr>
            </w:pPr>
          </w:p>
        </w:tc>
      </w:tr>
      <w:tr w:rsidR="002C16E4" w:rsidRPr="004865E7" w14:paraId="1A235351" w14:textId="77777777" w:rsidTr="00ED34B9">
        <w:trPr>
          <w:trHeight w:val="460"/>
        </w:trPr>
        <w:tc>
          <w:tcPr>
            <w:tcW w:w="0" w:type="auto"/>
            <w:vMerge/>
            <w:tcBorders>
              <w:top w:val="single" w:sz="8" w:space="0" w:color="000000"/>
              <w:left w:val="nil"/>
              <w:bottom w:val="nil"/>
              <w:right w:val="nil"/>
            </w:tcBorders>
            <w:vAlign w:val="center"/>
            <w:hideMark/>
          </w:tcPr>
          <w:p w14:paraId="4D3B6249" w14:textId="77777777" w:rsidR="002C16E4" w:rsidRPr="004865E7" w:rsidRDefault="002C16E4" w:rsidP="00ED34B9">
            <w:pPr>
              <w:widowControl/>
              <w:adjustRightInd w:val="0"/>
              <w:snapToGrid w:val="0"/>
              <w:spacing w:line="360" w:lineRule="auto"/>
              <w:jc w:val="left"/>
              <w:rPr>
                <w:rFonts w:ascii="Book Antiqua" w:hAnsi="Book Antiqua" w:cs="Arial"/>
                <w:kern w:val="0"/>
              </w:rPr>
            </w:pPr>
          </w:p>
        </w:tc>
        <w:tc>
          <w:tcPr>
            <w:tcW w:w="1907" w:type="dxa"/>
            <w:tcBorders>
              <w:top w:val="nil"/>
              <w:left w:val="nil"/>
              <w:bottom w:val="nil"/>
              <w:right w:val="dashed" w:sz="4" w:space="0" w:color="000000"/>
            </w:tcBorders>
            <w:shd w:val="clear" w:color="auto" w:fill="auto"/>
            <w:tcMar>
              <w:top w:w="16" w:type="dxa"/>
              <w:left w:w="16" w:type="dxa"/>
              <w:bottom w:w="0" w:type="dxa"/>
              <w:right w:w="16" w:type="dxa"/>
            </w:tcMar>
            <w:vAlign w:val="center"/>
            <w:hideMark/>
          </w:tcPr>
          <w:p w14:paraId="7A36670E"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Pan-atrophy(O-3)</w:t>
            </w:r>
          </w:p>
        </w:tc>
        <w:tc>
          <w:tcPr>
            <w:tcW w:w="1302" w:type="dxa"/>
            <w:tcBorders>
              <w:top w:val="nil"/>
              <w:left w:val="dashed" w:sz="4" w:space="0" w:color="000000"/>
              <w:bottom w:val="dashed" w:sz="4" w:space="0" w:color="000000"/>
              <w:right w:val="nil"/>
            </w:tcBorders>
            <w:shd w:val="clear" w:color="auto" w:fill="auto"/>
            <w:tcMar>
              <w:top w:w="16" w:type="dxa"/>
              <w:left w:w="16" w:type="dxa"/>
              <w:bottom w:w="0" w:type="dxa"/>
              <w:right w:w="16" w:type="dxa"/>
            </w:tcMar>
            <w:vAlign w:val="center"/>
            <w:hideMark/>
          </w:tcPr>
          <w:p w14:paraId="141C6A71"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240" w:type="dxa"/>
            <w:tcBorders>
              <w:top w:val="nil"/>
              <w:left w:val="nil"/>
              <w:bottom w:val="dashed" w:sz="4" w:space="0" w:color="000000"/>
              <w:right w:val="nil"/>
            </w:tcBorders>
            <w:shd w:val="clear" w:color="auto" w:fill="auto"/>
            <w:tcMar>
              <w:top w:w="16" w:type="dxa"/>
              <w:left w:w="16" w:type="dxa"/>
              <w:bottom w:w="0" w:type="dxa"/>
              <w:right w:w="16" w:type="dxa"/>
            </w:tcMar>
            <w:vAlign w:val="center"/>
            <w:hideMark/>
          </w:tcPr>
          <w:p w14:paraId="212C2953"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244" w:type="dxa"/>
            <w:tcBorders>
              <w:top w:val="nil"/>
              <w:left w:val="nil"/>
              <w:bottom w:val="dashed" w:sz="4" w:space="0" w:color="000000"/>
              <w:right w:val="nil"/>
            </w:tcBorders>
            <w:shd w:val="clear" w:color="auto" w:fill="auto"/>
            <w:tcMar>
              <w:top w:w="16" w:type="dxa"/>
              <w:left w:w="16" w:type="dxa"/>
              <w:bottom w:w="0" w:type="dxa"/>
              <w:right w:w="16" w:type="dxa"/>
            </w:tcMar>
            <w:vAlign w:val="center"/>
            <w:hideMark/>
          </w:tcPr>
          <w:p w14:paraId="363A1870"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482" w:type="dxa"/>
            <w:tcBorders>
              <w:top w:val="dashed" w:sz="4" w:space="0" w:color="000000"/>
              <w:left w:val="nil"/>
              <w:bottom w:val="dashed" w:sz="4" w:space="0" w:color="000000"/>
              <w:right w:val="dashed" w:sz="4" w:space="0" w:color="000000"/>
            </w:tcBorders>
            <w:shd w:val="clear" w:color="auto" w:fill="auto"/>
            <w:tcMar>
              <w:top w:w="16" w:type="dxa"/>
              <w:left w:w="16" w:type="dxa"/>
              <w:bottom w:w="0" w:type="dxa"/>
              <w:right w:w="16" w:type="dxa"/>
            </w:tcMar>
            <w:vAlign w:val="center"/>
            <w:hideMark/>
          </w:tcPr>
          <w:p w14:paraId="6DC85EDF"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c>
          <w:tcPr>
            <w:tcW w:w="1601" w:type="dxa"/>
            <w:tcBorders>
              <w:top w:val="double" w:sz="6" w:space="0" w:color="000000"/>
              <w:left w:val="dashed" w:sz="4" w:space="0" w:color="000000"/>
              <w:bottom w:val="nil"/>
              <w:right w:val="nil"/>
            </w:tcBorders>
            <w:shd w:val="clear" w:color="auto" w:fill="D9D9D9"/>
            <w:tcMar>
              <w:top w:w="16" w:type="dxa"/>
              <w:left w:w="16" w:type="dxa"/>
              <w:bottom w:w="0" w:type="dxa"/>
              <w:right w:w="16" w:type="dxa"/>
            </w:tcMar>
            <w:vAlign w:val="center"/>
            <w:hideMark/>
          </w:tcPr>
          <w:p w14:paraId="3AEC7737"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b/>
                <w:bCs/>
                <w:kern w:val="24"/>
              </w:rPr>
              <w:t>3</w:t>
            </w:r>
          </w:p>
        </w:tc>
        <w:tc>
          <w:tcPr>
            <w:tcW w:w="1391" w:type="dxa"/>
            <w:tcBorders>
              <w:top w:val="nil"/>
              <w:left w:val="nil"/>
              <w:bottom w:val="nil"/>
              <w:right w:val="nil"/>
            </w:tcBorders>
            <w:shd w:val="clear" w:color="auto" w:fill="auto"/>
            <w:tcMar>
              <w:top w:w="16" w:type="dxa"/>
              <w:left w:w="16" w:type="dxa"/>
              <w:bottom w:w="0" w:type="dxa"/>
              <w:right w:w="16" w:type="dxa"/>
            </w:tcMar>
            <w:vAlign w:val="center"/>
            <w:hideMark/>
          </w:tcPr>
          <w:p w14:paraId="1CA64988"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3</w:t>
            </w:r>
          </w:p>
        </w:tc>
        <w:tc>
          <w:tcPr>
            <w:tcW w:w="1534" w:type="dxa"/>
            <w:vMerge/>
            <w:tcBorders>
              <w:left w:val="nil"/>
              <w:right w:val="nil"/>
            </w:tcBorders>
            <w:shd w:val="clear" w:color="auto" w:fill="auto"/>
            <w:tcMar>
              <w:top w:w="16" w:type="dxa"/>
              <w:left w:w="16" w:type="dxa"/>
              <w:bottom w:w="0" w:type="dxa"/>
              <w:right w:w="16" w:type="dxa"/>
            </w:tcMar>
            <w:vAlign w:val="center"/>
            <w:hideMark/>
          </w:tcPr>
          <w:p w14:paraId="325FA400" w14:textId="77777777" w:rsidR="002C16E4" w:rsidRPr="004865E7" w:rsidRDefault="002C16E4" w:rsidP="00ED34B9">
            <w:pPr>
              <w:adjustRightInd w:val="0"/>
              <w:snapToGrid w:val="0"/>
              <w:spacing w:line="360" w:lineRule="auto"/>
              <w:jc w:val="center"/>
              <w:textAlignment w:val="center"/>
              <w:rPr>
                <w:rFonts w:ascii="Book Antiqua" w:hAnsi="Book Antiqua" w:cs="Arial"/>
                <w:kern w:val="0"/>
              </w:rPr>
            </w:pPr>
          </w:p>
        </w:tc>
      </w:tr>
      <w:tr w:rsidR="002C16E4" w:rsidRPr="004865E7" w14:paraId="6A1838B7" w14:textId="77777777" w:rsidTr="00ED34B9">
        <w:trPr>
          <w:trHeight w:val="460"/>
        </w:trPr>
        <w:tc>
          <w:tcPr>
            <w:tcW w:w="1259" w:type="dxa"/>
            <w:tcBorders>
              <w:top w:val="nil"/>
              <w:left w:val="nil"/>
              <w:bottom w:val="nil"/>
              <w:right w:val="nil"/>
            </w:tcBorders>
            <w:shd w:val="clear" w:color="auto" w:fill="auto"/>
            <w:tcMar>
              <w:top w:w="16" w:type="dxa"/>
              <w:left w:w="16" w:type="dxa"/>
              <w:bottom w:w="0" w:type="dxa"/>
              <w:right w:w="16" w:type="dxa"/>
            </w:tcMar>
            <w:vAlign w:val="bottom"/>
            <w:hideMark/>
          </w:tcPr>
          <w:p w14:paraId="5840108F" w14:textId="77777777" w:rsidR="002C16E4" w:rsidRPr="004865E7" w:rsidRDefault="002C16E4" w:rsidP="00ED34B9">
            <w:pPr>
              <w:widowControl/>
              <w:adjustRightInd w:val="0"/>
              <w:snapToGrid w:val="0"/>
              <w:spacing w:line="360" w:lineRule="auto"/>
              <w:jc w:val="left"/>
              <w:rPr>
                <w:rFonts w:ascii="Book Antiqua" w:eastAsia="Times New Roman" w:hAnsi="Book Antiqua" w:cs="Arial"/>
                <w:kern w:val="0"/>
              </w:rPr>
            </w:pPr>
          </w:p>
        </w:tc>
        <w:tc>
          <w:tcPr>
            <w:tcW w:w="1907" w:type="dxa"/>
            <w:tcBorders>
              <w:top w:val="nil"/>
              <w:left w:val="nil"/>
              <w:bottom w:val="single" w:sz="4" w:space="0" w:color="000000"/>
              <w:right w:val="nil"/>
            </w:tcBorders>
            <w:shd w:val="clear" w:color="auto" w:fill="auto"/>
            <w:tcMar>
              <w:top w:w="16" w:type="dxa"/>
              <w:left w:w="16" w:type="dxa"/>
              <w:bottom w:w="0" w:type="dxa"/>
              <w:right w:w="16" w:type="dxa"/>
            </w:tcMar>
            <w:vAlign w:val="center"/>
            <w:hideMark/>
          </w:tcPr>
          <w:p w14:paraId="2CC81864"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Total</w:t>
            </w:r>
          </w:p>
        </w:tc>
        <w:tc>
          <w:tcPr>
            <w:tcW w:w="1302" w:type="dxa"/>
            <w:tcBorders>
              <w:top w:val="dashed" w:sz="4" w:space="0" w:color="000000"/>
              <w:left w:val="nil"/>
              <w:bottom w:val="single" w:sz="4" w:space="0" w:color="000000"/>
              <w:right w:val="nil"/>
            </w:tcBorders>
            <w:shd w:val="clear" w:color="auto" w:fill="auto"/>
            <w:tcMar>
              <w:top w:w="16" w:type="dxa"/>
              <w:left w:w="16" w:type="dxa"/>
              <w:bottom w:w="0" w:type="dxa"/>
              <w:right w:w="16" w:type="dxa"/>
            </w:tcMar>
            <w:vAlign w:val="center"/>
            <w:hideMark/>
          </w:tcPr>
          <w:p w14:paraId="135C7106"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94</w:t>
            </w:r>
          </w:p>
        </w:tc>
        <w:tc>
          <w:tcPr>
            <w:tcW w:w="1240" w:type="dxa"/>
            <w:tcBorders>
              <w:top w:val="dashed" w:sz="4" w:space="0" w:color="000000"/>
              <w:left w:val="nil"/>
              <w:bottom w:val="single" w:sz="4" w:space="0" w:color="000000"/>
              <w:right w:val="nil"/>
            </w:tcBorders>
            <w:shd w:val="clear" w:color="auto" w:fill="auto"/>
            <w:tcMar>
              <w:top w:w="16" w:type="dxa"/>
              <w:left w:w="16" w:type="dxa"/>
              <w:bottom w:w="0" w:type="dxa"/>
              <w:right w:w="16" w:type="dxa"/>
            </w:tcMar>
            <w:vAlign w:val="center"/>
            <w:hideMark/>
          </w:tcPr>
          <w:p w14:paraId="5C68AB99"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68</w:t>
            </w:r>
          </w:p>
        </w:tc>
        <w:tc>
          <w:tcPr>
            <w:tcW w:w="1244" w:type="dxa"/>
            <w:tcBorders>
              <w:top w:val="dashed" w:sz="4" w:space="0" w:color="000000"/>
              <w:left w:val="nil"/>
              <w:bottom w:val="single" w:sz="4" w:space="0" w:color="000000"/>
              <w:right w:val="nil"/>
            </w:tcBorders>
            <w:shd w:val="clear" w:color="auto" w:fill="auto"/>
            <w:tcMar>
              <w:top w:w="16" w:type="dxa"/>
              <w:left w:w="16" w:type="dxa"/>
              <w:bottom w:w="0" w:type="dxa"/>
              <w:right w:w="16" w:type="dxa"/>
            </w:tcMar>
            <w:vAlign w:val="center"/>
            <w:hideMark/>
          </w:tcPr>
          <w:p w14:paraId="368C042B"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39</w:t>
            </w:r>
          </w:p>
        </w:tc>
        <w:tc>
          <w:tcPr>
            <w:tcW w:w="1482" w:type="dxa"/>
            <w:tcBorders>
              <w:top w:val="dashed" w:sz="4" w:space="0" w:color="000000"/>
              <w:left w:val="nil"/>
              <w:bottom w:val="single" w:sz="4" w:space="0" w:color="000000"/>
              <w:right w:val="nil"/>
            </w:tcBorders>
            <w:shd w:val="clear" w:color="auto" w:fill="auto"/>
            <w:tcMar>
              <w:top w:w="16" w:type="dxa"/>
              <w:left w:w="16" w:type="dxa"/>
              <w:bottom w:w="0" w:type="dxa"/>
              <w:right w:w="16" w:type="dxa"/>
            </w:tcMar>
            <w:vAlign w:val="center"/>
            <w:hideMark/>
          </w:tcPr>
          <w:p w14:paraId="3488BB91"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27</w:t>
            </w:r>
          </w:p>
        </w:tc>
        <w:tc>
          <w:tcPr>
            <w:tcW w:w="1601" w:type="dxa"/>
            <w:tcBorders>
              <w:top w:val="nil"/>
              <w:left w:val="nil"/>
              <w:bottom w:val="single" w:sz="4" w:space="0" w:color="000000"/>
              <w:right w:val="nil"/>
            </w:tcBorders>
            <w:shd w:val="clear" w:color="auto" w:fill="auto"/>
            <w:tcMar>
              <w:top w:w="16" w:type="dxa"/>
              <w:left w:w="16" w:type="dxa"/>
              <w:bottom w:w="0" w:type="dxa"/>
              <w:right w:w="16" w:type="dxa"/>
            </w:tcMar>
            <w:vAlign w:val="center"/>
            <w:hideMark/>
          </w:tcPr>
          <w:p w14:paraId="7C906A43"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24</w:t>
            </w:r>
          </w:p>
        </w:tc>
        <w:tc>
          <w:tcPr>
            <w:tcW w:w="1391" w:type="dxa"/>
            <w:tcBorders>
              <w:top w:val="nil"/>
              <w:left w:val="nil"/>
              <w:bottom w:val="single" w:sz="4" w:space="0" w:color="000000"/>
              <w:right w:val="nil"/>
            </w:tcBorders>
            <w:shd w:val="clear" w:color="auto" w:fill="auto"/>
            <w:tcMar>
              <w:top w:w="16" w:type="dxa"/>
              <w:left w:w="16" w:type="dxa"/>
              <w:bottom w:w="0" w:type="dxa"/>
              <w:right w:w="16" w:type="dxa"/>
            </w:tcMar>
            <w:vAlign w:val="center"/>
            <w:hideMark/>
          </w:tcPr>
          <w:p w14:paraId="4B497C35"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252</w:t>
            </w:r>
          </w:p>
        </w:tc>
        <w:tc>
          <w:tcPr>
            <w:tcW w:w="1534" w:type="dxa"/>
            <w:vMerge/>
            <w:tcBorders>
              <w:left w:val="nil"/>
              <w:bottom w:val="nil"/>
              <w:right w:val="nil"/>
            </w:tcBorders>
            <w:shd w:val="clear" w:color="auto" w:fill="auto"/>
            <w:tcMar>
              <w:top w:w="16" w:type="dxa"/>
              <w:left w:w="16" w:type="dxa"/>
              <w:bottom w:w="0" w:type="dxa"/>
              <w:right w:w="16" w:type="dxa"/>
            </w:tcMar>
            <w:vAlign w:val="center"/>
            <w:hideMark/>
          </w:tcPr>
          <w:p w14:paraId="5D2EDE6F"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r>
      <w:tr w:rsidR="002C16E4" w:rsidRPr="004865E7" w14:paraId="2C14CF37" w14:textId="77777777" w:rsidTr="00ED34B9">
        <w:trPr>
          <w:trHeight w:val="460"/>
        </w:trPr>
        <w:tc>
          <w:tcPr>
            <w:tcW w:w="1259" w:type="dxa"/>
            <w:tcBorders>
              <w:top w:val="nil"/>
              <w:left w:val="nil"/>
              <w:bottom w:val="single" w:sz="8" w:space="0" w:color="000000"/>
              <w:right w:val="nil"/>
            </w:tcBorders>
            <w:shd w:val="clear" w:color="auto" w:fill="auto"/>
            <w:tcMar>
              <w:top w:w="16" w:type="dxa"/>
              <w:left w:w="16" w:type="dxa"/>
              <w:bottom w:w="0" w:type="dxa"/>
              <w:right w:w="16" w:type="dxa"/>
            </w:tcMar>
            <w:vAlign w:val="bottom"/>
            <w:hideMark/>
          </w:tcPr>
          <w:p w14:paraId="3E44B001" w14:textId="77777777" w:rsidR="002C16E4" w:rsidRPr="004865E7" w:rsidRDefault="002C16E4" w:rsidP="00ED34B9">
            <w:pPr>
              <w:widowControl/>
              <w:adjustRightInd w:val="0"/>
              <w:snapToGrid w:val="0"/>
              <w:spacing w:line="360" w:lineRule="auto"/>
              <w:jc w:val="left"/>
              <w:textAlignment w:val="bottom"/>
              <w:rPr>
                <w:rFonts w:ascii="Book Antiqua" w:hAnsi="Book Antiqua" w:cs="Arial"/>
                <w:kern w:val="0"/>
              </w:rPr>
            </w:pPr>
          </w:p>
        </w:tc>
        <w:tc>
          <w:tcPr>
            <w:tcW w:w="1907"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6C20E2F0" w14:textId="77777777" w:rsidR="002C16E4" w:rsidRPr="004865E7" w:rsidRDefault="002C16E4" w:rsidP="00ED34B9">
            <w:pPr>
              <w:widowControl/>
              <w:adjustRightInd w:val="0"/>
              <w:snapToGrid w:val="0"/>
              <w:spacing w:line="360" w:lineRule="auto"/>
              <w:jc w:val="left"/>
              <w:textAlignment w:val="center"/>
              <w:rPr>
                <w:rFonts w:ascii="Book Antiqua" w:hAnsi="Book Antiqua" w:cs="Arial"/>
                <w:kern w:val="0"/>
              </w:rPr>
            </w:pPr>
            <w:r w:rsidRPr="004865E7">
              <w:rPr>
                <w:rFonts w:ascii="Book Antiqua" w:hAnsi="Book Antiqua" w:cs="Arial"/>
                <w:kern w:val="24"/>
              </w:rPr>
              <w:t>Misdiagnosis</w:t>
            </w:r>
          </w:p>
        </w:tc>
        <w:tc>
          <w:tcPr>
            <w:tcW w:w="1302"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44AF0374" w14:textId="42EAD9C8"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15</w:t>
            </w:r>
          </w:p>
        </w:tc>
        <w:tc>
          <w:tcPr>
            <w:tcW w:w="1240"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09245322" w14:textId="46B1A639"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17</w:t>
            </w:r>
          </w:p>
        </w:tc>
        <w:tc>
          <w:tcPr>
            <w:tcW w:w="1244"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5195F899" w14:textId="2842A702"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18</w:t>
            </w:r>
          </w:p>
        </w:tc>
        <w:tc>
          <w:tcPr>
            <w:tcW w:w="1482"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016ED6BC" w14:textId="200DCA73"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5</w:t>
            </w:r>
          </w:p>
        </w:tc>
        <w:tc>
          <w:tcPr>
            <w:tcW w:w="1601"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143092E9" w14:textId="4C1C65A2"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21</w:t>
            </w:r>
          </w:p>
        </w:tc>
        <w:tc>
          <w:tcPr>
            <w:tcW w:w="1391" w:type="dxa"/>
            <w:tcBorders>
              <w:top w:val="single" w:sz="4"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680B95B"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r w:rsidRPr="004865E7">
              <w:rPr>
                <w:rFonts w:ascii="Book Antiqua" w:hAnsi="Book Antiqua" w:cs="Arial"/>
                <w:kern w:val="24"/>
              </w:rPr>
              <w:t>76 (30.2%)</w:t>
            </w:r>
          </w:p>
        </w:tc>
        <w:tc>
          <w:tcPr>
            <w:tcW w:w="1534" w:type="dxa"/>
            <w:tcBorders>
              <w:top w:val="nil"/>
              <w:left w:val="nil"/>
              <w:bottom w:val="single" w:sz="8" w:space="0" w:color="000000"/>
              <w:right w:val="nil"/>
            </w:tcBorders>
            <w:shd w:val="clear" w:color="auto" w:fill="auto"/>
            <w:tcMar>
              <w:top w:w="16" w:type="dxa"/>
              <w:left w:w="16" w:type="dxa"/>
              <w:bottom w:w="0" w:type="dxa"/>
              <w:right w:w="16" w:type="dxa"/>
            </w:tcMar>
            <w:vAlign w:val="center"/>
            <w:hideMark/>
          </w:tcPr>
          <w:p w14:paraId="3353ACB1" w14:textId="77777777" w:rsidR="002C16E4" w:rsidRPr="004865E7" w:rsidRDefault="002C16E4" w:rsidP="00ED34B9">
            <w:pPr>
              <w:widowControl/>
              <w:adjustRightInd w:val="0"/>
              <w:snapToGrid w:val="0"/>
              <w:spacing w:line="360" w:lineRule="auto"/>
              <w:jc w:val="center"/>
              <w:textAlignment w:val="center"/>
              <w:rPr>
                <w:rFonts w:ascii="Book Antiqua" w:hAnsi="Book Antiqua" w:cs="Arial"/>
                <w:kern w:val="0"/>
              </w:rPr>
            </w:pPr>
          </w:p>
        </w:tc>
      </w:tr>
      <w:tr w:rsidR="002C16E4" w:rsidRPr="004865E7" w14:paraId="3FE0B694" w14:textId="77777777" w:rsidTr="00ED34B9">
        <w:trPr>
          <w:trHeight w:val="312"/>
        </w:trPr>
        <w:tc>
          <w:tcPr>
            <w:tcW w:w="1259" w:type="dxa"/>
            <w:tcBorders>
              <w:top w:val="single" w:sz="8" w:space="0" w:color="000000"/>
              <w:left w:val="nil"/>
              <w:bottom w:val="single" w:sz="4" w:space="0" w:color="auto"/>
              <w:right w:val="nil"/>
            </w:tcBorders>
            <w:shd w:val="clear" w:color="auto" w:fill="D9D9D9"/>
            <w:tcMar>
              <w:top w:w="16" w:type="dxa"/>
              <w:left w:w="16" w:type="dxa"/>
              <w:bottom w:w="0" w:type="dxa"/>
              <w:right w:w="16" w:type="dxa"/>
            </w:tcMar>
            <w:vAlign w:val="bottom"/>
            <w:hideMark/>
          </w:tcPr>
          <w:p w14:paraId="355E490F" w14:textId="77777777" w:rsidR="002C16E4" w:rsidRPr="004865E7" w:rsidRDefault="002C16E4" w:rsidP="00ED34B9">
            <w:pPr>
              <w:widowControl/>
              <w:adjustRightInd w:val="0"/>
              <w:snapToGrid w:val="0"/>
              <w:spacing w:line="360" w:lineRule="auto"/>
              <w:jc w:val="left"/>
              <w:textAlignment w:val="bottom"/>
              <w:rPr>
                <w:rFonts w:ascii="Book Antiqua" w:hAnsi="Book Antiqua" w:cs="Arial"/>
                <w:kern w:val="0"/>
              </w:rPr>
            </w:pPr>
          </w:p>
        </w:tc>
        <w:tc>
          <w:tcPr>
            <w:tcW w:w="1907" w:type="dxa"/>
            <w:tcBorders>
              <w:top w:val="single" w:sz="8" w:space="0" w:color="000000"/>
              <w:left w:val="nil"/>
              <w:bottom w:val="single" w:sz="4" w:space="0" w:color="auto"/>
              <w:right w:val="dashed" w:sz="4" w:space="0" w:color="000000"/>
            </w:tcBorders>
            <w:shd w:val="clear" w:color="auto" w:fill="auto"/>
            <w:tcMar>
              <w:top w:w="16" w:type="dxa"/>
              <w:left w:w="16" w:type="dxa"/>
              <w:bottom w:w="0" w:type="dxa"/>
              <w:right w:w="16" w:type="dxa"/>
            </w:tcMar>
            <w:vAlign w:val="bottom"/>
            <w:hideMark/>
          </w:tcPr>
          <w:p w14:paraId="7D259EFF" w14:textId="0F5CD82C" w:rsidR="002C16E4" w:rsidRPr="004865E7" w:rsidRDefault="00ED34B9" w:rsidP="00ED34B9">
            <w:pPr>
              <w:widowControl/>
              <w:adjustRightInd w:val="0"/>
              <w:snapToGrid w:val="0"/>
              <w:spacing w:line="360" w:lineRule="auto"/>
              <w:jc w:val="left"/>
              <w:textAlignment w:val="bottom"/>
              <w:rPr>
                <w:rFonts w:ascii="Book Antiqua" w:hAnsi="Book Antiqua" w:cs="Arial"/>
                <w:kern w:val="0"/>
              </w:rPr>
            </w:pPr>
            <w:r w:rsidRPr="004865E7">
              <w:rPr>
                <w:rFonts w:ascii="Book Antiqua" w:hAnsi="Book Antiqua" w:cs="Arial"/>
                <w:kern w:val="24"/>
              </w:rPr>
              <w:t>Concordance</w:t>
            </w:r>
          </w:p>
        </w:tc>
        <w:tc>
          <w:tcPr>
            <w:tcW w:w="1302" w:type="dxa"/>
            <w:tcBorders>
              <w:top w:val="single" w:sz="8" w:space="0" w:color="000000"/>
              <w:left w:val="dashed" w:sz="4" w:space="0" w:color="000000"/>
              <w:bottom w:val="single" w:sz="4" w:space="0" w:color="auto"/>
              <w:right w:val="dashed" w:sz="4" w:space="0" w:color="000000"/>
            </w:tcBorders>
            <w:shd w:val="clear" w:color="auto" w:fill="auto"/>
            <w:tcMar>
              <w:top w:w="16" w:type="dxa"/>
              <w:left w:w="16" w:type="dxa"/>
              <w:bottom w:w="0" w:type="dxa"/>
              <w:right w:w="16" w:type="dxa"/>
            </w:tcMar>
            <w:vAlign w:val="bottom"/>
            <w:hideMark/>
          </w:tcPr>
          <w:p w14:paraId="27519D54" w14:textId="77777777" w:rsidR="002C16E4" w:rsidRPr="004865E7" w:rsidRDefault="002C16E4" w:rsidP="00ED34B9">
            <w:pPr>
              <w:widowControl/>
              <w:adjustRightInd w:val="0"/>
              <w:snapToGrid w:val="0"/>
              <w:spacing w:line="360" w:lineRule="auto"/>
              <w:jc w:val="center"/>
              <w:textAlignment w:val="bottom"/>
              <w:rPr>
                <w:rFonts w:ascii="Book Antiqua" w:hAnsi="Book Antiqua" w:cs="Arial"/>
                <w:kern w:val="0"/>
              </w:rPr>
            </w:pPr>
          </w:p>
        </w:tc>
        <w:tc>
          <w:tcPr>
            <w:tcW w:w="2484" w:type="dxa"/>
            <w:gridSpan w:val="2"/>
            <w:tcBorders>
              <w:top w:val="single" w:sz="8" w:space="0" w:color="000000"/>
              <w:left w:val="dashed" w:sz="4" w:space="0" w:color="000000"/>
              <w:bottom w:val="single" w:sz="4" w:space="0" w:color="auto"/>
              <w:right w:val="double" w:sz="6" w:space="0" w:color="000000"/>
            </w:tcBorders>
            <w:shd w:val="clear" w:color="auto" w:fill="auto"/>
            <w:tcMar>
              <w:top w:w="16" w:type="dxa"/>
              <w:left w:w="16" w:type="dxa"/>
              <w:bottom w:w="0" w:type="dxa"/>
              <w:right w:w="16" w:type="dxa"/>
            </w:tcMar>
            <w:vAlign w:val="bottom"/>
            <w:hideMark/>
          </w:tcPr>
          <w:p w14:paraId="010D64FA" w14:textId="13AB8001" w:rsidR="002C16E4" w:rsidRPr="004865E7" w:rsidRDefault="00ED34B9" w:rsidP="00ED34B9">
            <w:pPr>
              <w:widowControl/>
              <w:adjustRightInd w:val="0"/>
              <w:snapToGrid w:val="0"/>
              <w:spacing w:line="360" w:lineRule="auto"/>
              <w:jc w:val="center"/>
              <w:textAlignment w:val="bottom"/>
              <w:rPr>
                <w:rFonts w:ascii="Book Antiqua" w:hAnsi="Book Antiqua" w:cs="Arial"/>
                <w:kern w:val="0"/>
              </w:rPr>
            </w:pPr>
            <w:r w:rsidRPr="004865E7">
              <w:rPr>
                <w:rFonts w:ascii="Book Antiqua" w:hAnsi="Book Antiqua" w:cs="Arial"/>
                <w:kern w:val="24"/>
              </w:rPr>
              <w:t xml:space="preserve">Endoscopic </w:t>
            </w:r>
            <w:r w:rsidR="002C16E4" w:rsidRPr="004865E7">
              <w:rPr>
                <w:rFonts w:ascii="Book Antiqua" w:hAnsi="Book Antiqua" w:cs="Arial"/>
                <w:kern w:val="24"/>
              </w:rPr>
              <w:t>over-diagnosis</w:t>
            </w:r>
          </w:p>
        </w:tc>
        <w:tc>
          <w:tcPr>
            <w:tcW w:w="1482" w:type="dxa"/>
            <w:tcBorders>
              <w:top w:val="single" w:sz="8" w:space="0" w:color="000000"/>
              <w:left w:val="double" w:sz="6" w:space="0" w:color="000000"/>
              <w:bottom w:val="single" w:sz="4" w:space="0" w:color="auto"/>
              <w:right w:val="double" w:sz="6" w:space="0" w:color="000000"/>
            </w:tcBorders>
            <w:shd w:val="clear" w:color="auto" w:fill="auto"/>
            <w:tcMar>
              <w:top w:w="16" w:type="dxa"/>
              <w:left w:w="16" w:type="dxa"/>
              <w:bottom w:w="0" w:type="dxa"/>
              <w:right w:w="16" w:type="dxa"/>
            </w:tcMar>
            <w:vAlign w:val="bottom"/>
            <w:hideMark/>
          </w:tcPr>
          <w:p w14:paraId="79E78CE7" w14:textId="77777777" w:rsidR="002C16E4" w:rsidRPr="004865E7" w:rsidRDefault="002C16E4" w:rsidP="00ED34B9">
            <w:pPr>
              <w:widowControl/>
              <w:adjustRightInd w:val="0"/>
              <w:snapToGrid w:val="0"/>
              <w:spacing w:line="360" w:lineRule="auto"/>
              <w:jc w:val="center"/>
              <w:textAlignment w:val="bottom"/>
              <w:rPr>
                <w:rFonts w:ascii="Book Antiqua" w:hAnsi="Book Antiqua" w:cs="Arial"/>
                <w:kern w:val="0"/>
              </w:rPr>
            </w:pPr>
          </w:p>
        </w:tc>
        <w:tc>
          <w:tcPr>
            <w:tcW w:w="2992" w:type="dxa"/>
            <w:gridSpan w:val="2"/>
            <w:tcBorders>
              <w:top w:val="single" w:sz="8" w:space="0" w:color="000000"/>
              <w:left w:val="double" w:sz="6" w:space="0" w:color="000000"/>
              <w:bottom w:val="single" w:sz="4" w:space="0" w:color="auto"/>
              <w:right w:val="nil"/>
            </w:tcBorders>
            <w:shd w:val="clear" w:color="auto" w:fill="auto"/>
            <w:tcMar>
              <w:top w:w="16" w:type="dxa"/>
              <w:left w:w="16" w:type="dxa"/>
              <w:bottom w:w="0" w:type="dxa"/>
              <w:right w:w="16" w:type="dxa"/>
            </w:tcMar>
            <w:vAlign w:val="bottom"/>
            <w:hideMark/>
          </w:tcPr>
          <w:p w14:paraId="43158210" w14:textId="7A1C2237" w:rsidR="002C16E4" w:rsidRPr="004865E7" w:rsidRDefault="00ED34B9" w:rsidP="00ED34B9">
            <w:pPr>
              <w:widowControl/>
              <w:adjustRightInd w:val="0"/>
              <w:snapToGrid w:val="0"/>
              <w:spacing w:line="360" w:lineRule="auto"/>
              <w:jc w:val="center"/>
              <w:textAlignment w:val="bottom"/>
              <w:rPr>
                <w:rFonts w:ascii="Book Antiqua" w:hAnsi="Book Antiqua" w:cs="Arial"/>
                <w:kern w:val="0"/>
              </w:rPr>
            </w:pPr>
            <w:r w:rsidRPr="004865E7">
              <w:rPr>
                <w:rFonts w:ascii="Book Antiqua" w:hAnsi="Book Antiqua" w:cs="Arial"/>
                <w:kern w:val="24"/>
              </w:rPr>
              <w:t xml:space="preserve">Endoscopic </w:t>
            </w:r>
            <w:r w:rsidR="002C16E4" w:rsidRPr="004865E7">
              <w:rPr>
                <w:rFonts w:ascii="Book Antiqua" w:hAnsi="Book Antiqua" w:cs="Arial"/>
                <w:kern w:val="24"/>
              </w:rPr>
              <w:t>under-diagnosis</w:t>
            </w:r>
          </w:p>
        </w:tc>
        <w:tc>
          <w:tcPr>
            <w:tcW w:w="1534" w:type="dxa"/>
            <w:tcBorders>
              <w:top w:val="single" w:sz="8" w:space="0" w:color="000000"/>
              <w:left w:val="nil"/>
              <w:bottom w:val="single" w:sz="4" w:space="0" w:color="auto"/>
              <w:right w:val="nil"/>
            </w:tcBorders>
            <w:shd w:val="clear" w:color="auto" w:fill="auto"/>
            <w:tcMar>
              <w:top w:w="16" w:type="dxa"/>
              <w:left w:w="16" w:type="dxa"/>
              <w:bottom w:w="0" w:type="dxa"/>
              <w:right w:w="16" w:type="dxa"/>
            </w:tcMar>
            <w:vAlign w:val="bottom"/>
            <w:hideMark/>
          </w:tcPr>
          <w:p w14:paraId="2B2B86D7" w14:textId="77777777" w:rsidR="002C16E4" w:rsidRPr="004865E7" w:rsidRDefault="002C16E4" w:rsidP="00ED34B9">
            <w:pPr>
              <w:widowControl/>
              <w:adjustRightInd w:val="0"/>
              <w:snapToGrid w:val="0"/>
              <w:spacing w:line="360" w:lineRule="auto"/>
              <w:jc w:val="center"/>
              <w:rPr>
                <w:rFonts w:ascii="Book Antiqua" w:eastAsia="Times New Roman" w:hAnsi="Book Antiqua" w:cs="Arial"/>
                <w:kern w:val="0"/>
              </w:rPr>
            </w:pPr>
          </w:p>
        </w:tc>
      </w:tr>
    </w:tbl>
    <w:p w14:paraId="1FC73299" w14:textId="3F55510D" w:rsidR="002C16E4" w:rsidRPr="004865E7" w:rsidRDefault="00ED34B9"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Arial"/>
          <w:kern w:val="24"/>
        </w:rPr>
        <w:t>GC: Greater curvature</w:t>
      </w:r>
      <w:r w:rsidRPr="004865E7">
        <w:rPr>
          <w:rFonts w:ascii="Book Antiqua" w:eastAsia="SimSun" w:hAnsi="Book Antiqua" w:cs="Arial" w:hint="eastAsia"/>
          <w:kern w:val="24"/>
          <w:lang w:eastAsia="zh-CN"/>
        </w:rPr>
        <w:t xml:space="preserve">; </w:t>
      </w:r>
      <w:r w:rsidRPr="004865E7">
        <w:rPr>
          <w:rFonts w:ascii="Book Antiqua" w:eastAsia="SimSun" w:hAnsi="Book Antiqua" w:cs="Arial"/>
          <w:kern w:val="24"/>
          <w:lang w:eastAsia="zh-CN"/>
        </w:rPr>
        <w:t>LC: Lesser curvature</w:t>
      </w:r>
      <w:r w:rsidRPr="004865E7">
        <w:rPr>
          <w:rFonts w:ascii="Book Antiqua" w:eastAsia="SimSun" w:hAnsi="Book Antiqua" w:cs="Arial" w:hint="eastAsia"/>
          <w:kern w:val="24"/>
          <w:lang w:eastAsia="zh-CN"/>
        </w:rPr>
        <w:t>.</w:t>
      </w:r>
    </w:p>
    <w:p w14:paraId="37ECE176"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5924975"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818BBF6"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sectPr w:rsidR="002C16E4" w:rsidRPr="004865E7" w:rsidSect="00D820C6">
          <w:pgSz w:w="16840" w:h="11901" w:orient="landscape"/>
          <w:pgMar w:top="1276" w:right="1985" w:bottom="1701" w:left="1134" w:header="720" w:footer="720" w:gutter="0"/>
          <w:cols w:space="720"/>
          <w:noEndnote/>
          <w:docGrid w:linePitch="326" w:charSpace="47547"/>
        </w:sectPr>
      </w:pPr>
    </w:p>
    <w:p w14:paraId="01C09414" w14:textId="77777777" w:rsidR="00ED34B9" w:rsidRPr="004865E7" w:rsidRDefault="00ED34B9" w:rsidP="00ED34B9">
      <w:pPr>
        <w:widowControl/>
        <w:adjustRightInd w:val="0"/>
        <w:snapToGrid w:val="0"/>
        <w:spacing w:line="360" w:lineRule="auto"/>
        <w:rPr>
          <w:rFonts w:ascii="Book Antiqua" w:eastAsia="MS PGothic" w:hAnsi="Book Antiqua" w:cs="Times New Roman"/>
          <w:b/>
          <w:kern w:val="0"/>
        </w:rPr>
      </w:pPr>
      <w:r w:rsidRPr="004865E7">
        <w:rPr>
          <w:rFonts w:ascii="Book Antiqua" w:eastAsia="MS PGothic" w:hAnsi="Book Antiqua" w:cs="Times New Roman"/>
          <w:b/>
          <w:bCs/>
          <w:kern w:val="0"/>
        </w:rPr>
        <w:lastRenderedPageBreak/>
        <w:t>Table 3</w:t>
      </w:r>
      <w:r w:rsidRPr="004865E7">
        <w:rPr>
          <w:rFonts w:ascii="Book Antiqua" w:eastAsia="MS PGothic" w:hAnsi="Book Antiqua" w:cs="Times New Roman"/>
          <w:b/>
          <w:kern w:val="0"/>
        </w:rPr>
        <w:t xml:space="preserve"> </w:t>
      </w:r>
      <w:bookmarkStart w:id="537" w:name="OLE_LINK53"/>
      <w:bookmarkStart w:id="538" w:name="OLE_LINK54"/>
      <w:r w:rsidRPr="004865E7">
        <w:rPr>
          <w:rFonts w:ascii="Book Antiqua" w:eastAsia="MS PGothic" w:hAnsi="Book Antiqua" w:cs="Times New Roman"/>
          <w:b/>
          <w:kern w:val="0"/>
        </w:rPr>
        <w:t>Univariate analysis of factors significantly associated with reduced concordance between endoscopic and histological atrophy</w:t>
      </w:r>
      <w:bookmarkEnd w:id="537"/>
      <w:bookmarkEnd w:id="538"/>
    </w:p>
    <w:tbl>
      <w:tblPr>
        <w:tblW w:w="9796" w:type="dxa"/>
        <w:tblInd w:w="84" w:type="dxa"/>
        <w:tblLayout w:type="fixed"/>
        <w:tblCellMar>
          <w:left w:w="99" w:type="dxa"/>
          <w:right w:w="99" w:type="dxa"/>
        </w:tblCellMar>
        <w:tblLook w:val="04A0" w:firstRow="1" w:lastRow="0" w:firstColumn="1" w:lastColumn="0" w:noHBand="0" w:noVBand="1"/>
      </w:tblPr>
      <w:tblGrid>
        <w:gridCol w:w="2000"/>
        <w:gridCol w:w="425"/>
        <w:gridCol w:w="1939"/>
        <w:gridCol w:w="2482"/>
        <w:gridCol w:w="583"/>
        <w:gridCol w:w="1091"/>
        <w:gridCol w:w="1276"/>
      </w:tblGrid>
      <w:tr w:rsidR="002C16E4" w:rsidRPr="004865E7" w14:paraId="77DAA085" w14:textId="77777777" w:rsidTr="00D820C6">
        <w:trPr>
          <w:trHeight w:val="400"/>
        </w:trPr>
        <w:tc>
          <w:tcPr>
            <w:tcW w:w="2000" w:type="dxa"/>
            <w:tcBorders>
              <w:top w:val="single" w:sz="12" w:space="0" w:color="auto"/>
              <w:left w:val="nil"/>
              <w:bottom w:val="single" w:sz="12" w:space="0" w:color="auto"/>
              <w:right w:val="nil"/>
            </w:tcBorders>
            <w:shd w:val="clear" w:color="auto" w:fill="auto"/>
            <w:noWrap/>
            <w:vAlign w:val="bottom"/>
            <w:hideMark/>
          </w:tcPr>
          <w:p w14:paraId="1CD56EA6" w14:textId="77777777" w:rsidR="002C16E4" w:rsidRPr="004865E7" w:rsidRDefault="002C16E4" w:rsidP="00ED34B9">
            <w:pPr>
              <w:widowControl/>
              <w:jc w:val="left"/>
              <w:rPr>
                <w:rFonts w:ascii="Book Antiqua" w:eastAsia="MS PGothic" w:hAnsi="Book Antiqua" w:cs="Times New Roman"/>
                <w:b/>
                <w:kern w:val="0"/>
              </w:rPr>
            </w:pPr>
          </w:p>
        </w:tc>
        <w:tc>
          <w:tcPr>
            <w:tcW w:w="2364" w:type="dxa"/>
            <w:gridSpan w:val="2"/>
            <w:tcBorders>
              <w:top w:val="single" w:sz="12" w:space="0" w:color="auto"/>
              <w:left w:val="nil"/>
              <w:bottom w:val="single" w:sz="12" w:space="0" w:color="auto"/>
              <w:right w:val="nil"/>
            </w:tcBorders>
            <w:shd w:val="clear" w:color="auto" w:fill="auto"/>
            <w:noWrap/>
            <w:vAlign w:val="bottom"/>
            <w:hideMark/>
          </w:tcPr>
          <w:p w14:paraId="43028669" w14:textId="27FC7641"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Concordant group (</w:t>
            </w:r>
            <w:r w:rsidR="00ED34B9" w:rsidRPr="004865E7">
              <w:rPr>
                <w:rFonts w:ascii="Book Antiqua" w:eastAsia="MS PGothic" w:hAnsi="Book Antiqua" w:cs="Times New Roman"/>
                <w:b/>
                <w:i/>
                <w:kern w:val="0"/>
              </w:rPr>
              <w:t xml:space="preserve">n = </w:t>
            </w:r>
            <w:r w:rsidRPr="004865E7">
              <w:rPr>
                <w:rFonts w:ascii="Book Antiqua" w:eastAsia="MS PGothic" w:hAnsi="Book Antiqua" w:cs="Times New Roman"/>
                <w:b/>
                <w:kern w:val="0"/>
              </w:rPr>
              <w:t>180) (%)</w:t>
            </w:r>
          </w:p>
        </w:tc>
        <w:tc>
          <w:tcPr>
            <w:tcW w:w="2482" w:type="dxa"/>
            <w:tcBorders>
              <w:top w:val="single" w:sz="12" w:space="0" w:color="auto"/>
              <w:left w:val="nil"/>
              <w:bottom w:val="single" w:sz="12" w:space="0" w:color="auto"/>
              <w:right w:val="nil"/>
            </w:tcBorders>
            <w:shd w:val="clear" w:color="auto" w:fill="auto"/>
            <w:noWrap/>
            <w:vAlign w:val="bottom"/>
            <w:hideMark/>
          </w:tcPr>
          <w:p w14:paraId="52EB3526" w14:textId="1E1C7FF0"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Discordant group (</w:t>
            </w:r>
            <w:r w:rsidR="00ED34B9" w:rsidRPr="004865E7">
              <w:rPr>
                <w:rFonts w:ascii="Book Antiqua" w:eastAsia="MS PGothic" w:hAnsi="Book Antiqua" w:cs="Times New Roman"/>
                <w:b/>
                <w:i/>
                <w:kern w:val="0"/>
              </w:rPr>
              <w:t xml:space="preserve">n = </w:t>
            </w:r>
            <w:r w:rsidRPr="004865E7">
              <w:rPr>
                <w:rFonts w:ascii="Book Antiqua" w:eastAsia="MS PGothic" w:hAnsi="Book Antiqua" w:cs="Times New Roman"/>
                <w:b/>
                <w:kern w:val="0"/>
              </w:rPr>
              <w:t>72) (%)</w:t>
            </w:r>
          </w:p>
        </w:tc>
        <w:tc>
          <w:tcPr>
            <w:tcW w:w="583" w:type="dxa"/>
            <w:tcBorders>
              <w:top w:val="single" w:sz="12" w:space="0" w:color="auto"/>
              <w:left w:val="nil"/>
              <w:bottom w:val="single" w:sz="12" w:space="0" w:color="auto"/>
              <w:right w:val="nil"/>
            </w:tcBorders>
            <w:shd w:val="clear" w:color="auto" w:fill="auto"/>
            <w:noWrap/>
            <w:vAlign w:val="bottom"/>
            <w:hideMark/>
          </w:tcPr>
          <w:p w14:paraId="2462C5D4" w14:textId="2E4DE051"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OR</w:t>
            </w:r>
          </w:p>
        </w:tc>
        <w:tc>
          <w:tcPr>
            <w:tcW w:w="1091" w:type="dxa"/>
            <w:tcBorders>
              <w:top w:val="single" w:sz="12" w:space="0" w:color="auto"/>
              <w:left w:val="nil"/>
              <w:bottom w:val="single" w:sz="12" w:space="0" w:color="auto"/>
              <w:right w:val="nil"/>
            </w:tcBorders>
            <w:shd w:val="clear" w:color="auto" w:fill="auto"/>
            <w:noWrap/>
            <w:vAlign w:val="bottom"/>
            <w:hideMark/>
          </w:tcPr>
          <w:p w14:paraId="7C4C1361" w14:textId="2D9AFFA3" w:rsidR="002C16E4" w:rsidRPr="004865E7" w:rsidRDefault="00ED34B9" w:rsidP="00ED34B9">
            <w:pPr>
              <w:widowControl/>
              <w:adjustRightInd w:val="0"/>
              <w:snapToGrid w:val="0"/>
              <w:spacing w:line="360" w:lineRule="auto"/>
              <w:jc w:val="center"/>
              <w:rPr>
                <w:rFonts w:ascii="Book Antiqua" w:eastAsia="SimSun" w:hAnsi="Book Antiqua" w:cs="Times New Roman"/>
                <w:b/>
                <w:kern w:val="0"/>
                <w:lang w:eastAsia="zh-CN"/>
              </w:rPr>
            </w:pPr>
            <w:r w:rsidRPr="004865E7">
              <w:rPr>
                <w:rFonts w:ascii="Book Antiqua" w:eastAsia="MS PGothic" w:hAnsi="Book Antiqua" w:cs="Times New Roman"/>
                <w:b/>
                <w:kern w:val="0"/>
              </w:rPr>
              <w:t>95%CI</w:t>
            </w:r>
          </w:p>
        </w:tc>
        <w:tc>
          <w:tcPr>
            <w:tcW w:w="1276" w:type="dxa"/>
            <w:tcBorders>
              <w:top w:val="single" w:sz="12" w:space="0" w:color="auto"/>
              <w:left w:val="nil"/>
              <w:bottom w:val="single" w:sz="12" w:space="0" w:color="auto"/>
              <w:right w:val="nil"/>
            </w:tcBorders>
            <w:shd w:val="clear" w:color="auto" w:fill="auto"/>
            <w:noWrap/>
            <w:vAlign w:val="bottom"/>
            <w:hideMark/>
          </w:tcPr>
          <w:p w14:paraId="0D906761" w14:textId="0D1ED2B8" w:rsidR="002C16E4" w:rsidRPr="004865E7" w:rsidRDefault="00ED34B9"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i/>
                <w:iCs/>
                <w:kern w:val="0"/>
              </w:rPr>
              <w:t>P</w:t>
            </w:r>
            <w:r w:rsidRPr="004865E7">
              <w:rPr>
                <w:rFonts w:ascii="Book Antiqua" w:eastAsia="MS PGothic" w:hAnsi="Book Antiqua" w:cs="Times New Roman"/>
                <w:b/>
                <w:i/>
                <w:kern w:val="0"/>
              </w:rPr>
              <w:t xml:space="preserve"> </w:t>
            </w:r>
            <w:r w:rsidR="002C16E4" w:rsidRPr="004865E7">
              <w:rPr>
                <w:rFonts w:ascii="Book Antiqua" w:eastAsia="MS PGothic" w:hAnsi="Book Antiqua" w:cs="Times New Roman"/>
                <w:b/>
                <w:kern w:val="0"/>
              </w:rPr>
              <w:t>values</w:t>
            </w:r>
          </w:p>
        </w:tc>
      </w:tr>
      <w:tr w:rsidR="002C16E4" w:rsidRPr="004865E7" w14:paraId="3E0D159D" w14:textId="77777777" w:rsidTr="00D820C6">
        <w:trPr>
          <w:trHeight w:val="380"/>
        </w:trPr>
        <w:tc>
          <w:tcPr>
            <w:tcW w:w="2000" w:type="dxa"/>
            <w:tcBorders>
              <w:top w:val="nil"/>
              <w:left w:val="nil"/>
              <w:bottom w:val="nil"/>
              <w:right w:val="nil"/>
            </w:tcBorders>
            <w:shd w:val="clear" w:color="auto" w:fill="auto"/>
            <w:noWrap/>
            <w:vAlign w:val="bottom"/>
            <w:hideMark/>
          </w:tcPr>
          <w:p w14:paraId="194CF592"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Populations</w:t>
            </w:r>
          </w:p>
        </w:tc>
        <w:tc>
          <w:tcPr>
            <w:tcW w:w="2364" w:type="dxa"/>
            <w:gridSpan w:val="2"/>
            <w:tcBorders>
              <w:top w:val="nil"/>
              <w:left w:val="nil"/>
              <w:bottom w:val="nil"/>
              <w:right w:val="nil"/>
            </w:tcBorders>
            <w:shd w:val="clear" w:color="auto" w:fill="auto"/>
            <w:noWrap/>
            <w:vAlign w:val="bottom"/>
            <w:hideMark/>
          </w:tcPr>
          <w:p w14:paraId="3875A13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13B6267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bottom"/>
            <w:hideMark/>
          </w:tcPr>
          <w:p w14:paraId="4DEDEC7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bottom"/>
            <w:hideMark/>
          </w:tcPr>
          <w:p w14:paraId="3B9526C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bottom"/>
            <w:hideMark/>
          </w:tcPr>
          <w:p w14:paraId="63FEB90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284C7B26" w14:textId="77777777" w:rsidTr="00D820C6">
        <w:trPr>
          <w:trHeight w:val="360"/>
        </w:trPr>
        <w:tc>
          <w:tcPr>
            <w:tcW w:w="2000" w:type="dxa"/>
            <w:tcBorders>
              <w:top w:val="nil"/>
              <w:left w:val="nil"/>
              <w:bottom w:val="nil"/>
              <w:right w:val="nil"/>
            </w:tcBorders>
            <w:shd w:val="clear" w:color="auto" w:fill="auto"/>
            <w:noWrap/>
            <w:vAlign w:val="bottom"/>
            <w:hideMark/>
          </w:tcPr>
          <w:p w14:paraId="1702FA3C" w14:textId="793729BB"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UK</w:t>
            </w:r>
          </w:p>
        </w:tc>
        <w:tc>
          <w:tcPr>
            <w:tcW w:w="2364" w:type="dxa"/>
            <w:gridSpan w:val="2"/>
            <w:tcBorders>
              <w:top w:val="nil"/>
              <w:left w:val="nil"/>
              <w:bottom w:val="nil"/>
              <w:right w:val="nil"/>
            </w:tcBorders>
            <w:shd w:val="clear" w:color="auto" w:fill="auto"/>
            <w:noWrap/>
            <w:vAlign w:val="bottom"/>
            <w:hideMark/>
          </w:tcPr>
          <w:p w14:paraId="68468D3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107 (84.9)</w:t>
            </w:r>
          </w:p>
        </w:tc>
        <w:tc>
          <w:tcPr>
            <w:tcW w:w="2482" w:type="dxa"/>
            <w:tcBorders>
              <w:top w:val="nil"/>
              <w:left w:val="nil"/>
              <w:bottom w:val="nil"/>
              <w:right w:val="nil"/>
            </w:tcBorders>
            <w:shd w:val="clear" w:color="auto" w:fill="auto"/>
            <w:noWrap/>
            <w:vAlign w:val="bottom"/>
            <w:hideMark/>
          </w:tcPr>
          <w:p w14:paraId="75A534E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 (15.1)</w:t>
            </w:r>
          </w:p>
        </w:tc>
        <w:tc>
          <w:tcPr>
            <w:tcW w:w="583" w:type="dxa"/>
            <w:tcBorders>
              <w:top w:val="nil"/>
              <w:left w:val="nil"/>
              <w:bottom w:val="nil"/>
              <w:right w:val="nil"/>
            </w:tcBorders>
            <w:shd w:val="clear" w:color="auto" w:fill="auto"/>
            <w:noWrap/>
            <w:vAlign w:val="center"/>
            <w:hideMark/>
          </w:tcPr>
          <w:p w14:paraId="5DEB504B" w14:textId="7CA33D91"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091" w:type="dxa"/>
            <w:tcBorders>
              <w:top w:val="nil"/>
              <w:left w:val="nil"/>
              <w:right w:val="nil"/>
            </w:tcBorders>
            <w:shd w:val="clear" w:color="auto" w:fill="auto"/>
            <w:noWrap/>
            <w:vAlign w:val="center"/>
            <w:hideMark/>
          </w:tcPr>
          <w:p w14:paraId="2774271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2E0C48AA" w14:textId="55D02F78"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w:t>
            </w:r>
            <w:r w:rsidR="00ED34B9" w:rsidRPr="004865E7">
              <w:rPr>
                <w:rFonts w:ascii="Book Antiqua" w:eastAsia="SimSun" w:hAnsi="Book Antiqua" w:cs="Times New Roman" w:hint="eastAsia"/>
                <w:bCs/>
                <w:kern w:val="0"/>
                <w:lang w:eastAsia="zh-CN"/>
              </w:rPr>
              <w:t xml:space="preserve"> </w:t>
            </w:r>
            <w:r w:rsidRPr="004865E7">
              <w:rPr>
                <w:rFonts w:ascii="Book Antiqua" w:eastAsia="MS PGothic" w:hAnsi="Book Antiqua" w:cs="Times New Roman"/>
                <w:bCs/>
                <w:kern w:val="0"/>
              </w:rPr>
              <w:t>0.001</w:t>
            </w:r>
          </w:p>
        </w:tc>
      </w:tr>
      <w:tr w:rsidR="002C16E4" w:rsidRPr="004865E7" w14:paraId="4D7C7A7E" w14:textId="77777777" w:rsidTr="00D820C6">
        <w:trPr>
          <w:trHeight w:val="360"/>
        </w:trPr>
        <w:tc>
          <w:tcPr>
            <w:tcW w:w="2000" w:type="dxa"/>
            <w:tcBorders>
              <w:top w:val="nil"/>
              <w:left w:val="nil"/>
              <w:bottom w:val="nil"/>
              <w:right w:val="nil"/>
            </w:tcBorders>
            <w:shd w:val="clear" w:color="auto" w:fill="auto"/>
            <w:noWrap/>
            <w:vAlign w:val="bottom"/>
            <w:hideMark/>
          </w:tcPr>
          <w:p w14:paraId="191D2F08" w14:textId="0B12BF3E"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Japan</w:t>
            </w:r>
          </w:p>
        </w:tc>
        <w:tc>
          <w:tcPr>
            <w:tcW w:w="2364" w:type="dxa"/>
            <w:gridSpan w:val="2"/>
            <w:tcBorders>
              <w:top w:val="nil"/>
              <w:left w:val="nil"/>
              <w:bottom w:val="nil"/>
              <w:right w:val="nil"/>
            </w:tcBorders>
            <w:shd w:val="clear" w:color="auto" w:fill="auto"/>
            <w:noWrap/>
            <w:vAlign w:val="bottom"/>
            <w:hideMark/>
          </w:tcPr>
          <w:p w14:paraId="0FA211A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69 (54.8)</w:t>
            </w:r>
          </w:p>
        </w:tc>
        <w:tc>
          <w:tcPr>
            <w:tcW w:w="2482" w:type="dxa"/>
            <w:tcBorders>
              <w:top w:val="nil"/>
              <w:left w:val="nil"/>
              <w:bottom w:val="nil"/>
              <w:right w:val="nil"/>
            </w:tcBorders>
            <w:shd w:val="clear" w:color="auto" w:fill="auto"/>
            <w:noWrap/>
            <w:vAlign w:val="bottom"/>
            <w:hideMark/>
          </w:tcPr>
          <w:p w14:paraId="578C4C5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57 (45.2)</w:t>
            </w:r>
          </w:p>
        </w:tc>
        <w:tc>
          <w:tcPr>
            <w:tcW w:w="583" w:type="dxa"/>
            <w:tcBorders>
              <w:top w:val="nil"/>
              <w:left w:val="nil"/>
              <w:bottom w:val="nil"/>
              <w:right w:val="nil"/>
            </w:tcBorders>
            <w:shd w:val="clear" w:color="auto" w:fill="auto"/>
            <w:vAlign w:val="center"/>
            <w:hideMark/>
          </w:tcPr>
          <w:p w14:paraId="3C5AB96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0.22</w:t>
            </w:r>
          </w:p>
        </w:tc>
        <w:tc>
          <w:tcPr>
            <w:tcW w:w="1091" w:type="dxa"/>
            <w:tcBorders>
              <w:left w:val="nil"/>
              <w:bottom w:val="nil"/>
              <w:right w:val="nil"/>
            </w:tcBorders>
            <w:shd w:val="clear" w:color="auto" w:fill="auto"/>
            <w:vAlign w:val="center"/>
            <w:hideMark/>
          </w:tcPr>
          <w:p w14:paraId="7F872C3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0.12-0.39</w:t>
            </w:r>
          </w:p>
        </w:tc>
        <w:tc>
          <w:tcPr>
            <w:tcW w:w="1276" w:type="dxa"/>
            <w:vMerge/>
            <w:tcBorders>
              <w:top w:val="nil"/>
              <w:left w:val="nil"/>
              <w:bottom w:val="nil"/>
              <w:right w:val="nil"/>
            </w:tcBorders>
            <w:vAlign w:val="center"/>
            <w:hideMark/>
          </w:tcPr>
          <w:p w14:paraId="7FB7E94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1EDD4B9C" w14:textId="77777777" w:rsidTr="00D820C6">
        <w:trPr>
          <w:trHeight w:val="360"/>
        </w:trPr>
        <w:tc>
          <w:tcPr>
            <w:tcW w:w="2000" w:type="dxa"/>
            <w:tcBorders>
              <w:top w:val="nil"/>
              <w:left w:val="nil"/>
              <w:bottom w:val="nil"/>
              <w:right w:val="nil"/>
            </w:tcBorders>
            <w:shd w:val="clear" w:color="auto" w:fill="auto"/>
            <w:noWrap/>
            <w:vAlign w:val="bottom"/>
            <w:hideMark/>
          </w:tcPr>
          <w:p w14:paraId="3B7414CE"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nil"/>
              <w:right w:val="nil"/>
            </w:tcBorders>
            <w:shd w:val="clear" w:color="auto" w:fill="auto"/>
            <w:noWrap/>
            <w:vAlign w:val="bottom"/>
            <w:hideMark/>
          </w:tcPr>
          <w:p w14:paraId="6F4F054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458ADBA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7B193B3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091" w:type="dxa"/>
            <w:tcBorders>
              <w:top w:val="nil"/>
              <w:left w:val="nil"/>
              <w:bottom w:val="nil"/>
              <w:right w:val="nil"/>
            </w:tcBorders>
            <w:shd w:val="clear" w:color="auto" w:fill="auto"/>
            <w:noWrap/>
            <w:vAlign w:val="center"/>
            <w:hideMark/>
          </w:tcPr>
          <w:p w14:paraId="12013A2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276" w:type="dxa"/>
            <w:tcBorders>
              <w:top w:val="nil"/>
              <w:left w:val="nil"/>
              <w:bottom w:val="nil"/>
              <w:right w:val="nil"/>
            </w:tcBorders>
            <w:shd w:val="clear" w:color="auto" w:fill="auto"/>
            <w:noWrap/>
            <w:vAlign w:val="center"/>
            <w:hideMark/>
          </w:tcPr>
          <w:p w14:paraId="54215C4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4019BEDF" w14:textId="77777777" w:rsidTr="00D820C6">
        <w:trPr>
          <w:trHeight w:val="360"/>
        </w:trPr>
        <w:tc>
          <w:tcPr>
            <w:tcW w:w="2000" w:type="dxa"/>
            <w:tcBorders>
              <w:top w:val="nil"/>
              <w:left w:val="nil"/>
              <w:bottom w:val="nil"/>
              <w:right w:val="nil"/>
            </w:tcBorders>
            <w:shd w:val="clear" w:color="auto" w:fill="auto"/>
            <w:noWrap/>
            <w:vAlign w:val="bottom"/>
            <w:hideMark/>
          </w:tcPr>
          <w:p w14:paraId="2AAA6E46" w14:textId="261F29C9" w:rsidR="002C16E4" w:rsidRPr="004865E7" w:rsidRDefault="00314767"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i/>
                <w:kern w:val="0"/>
              </w:rPr>
              <w:t>Helicobacter pylori</w:t>
            </w:r>
            <w:r w:rsidR="002C16E4" w:rsidRPr="004865E7">
              <w:rPr>
                <w:rFonts w:ascii="Book Antiqua" w:eastAsia="MS PGothic" w:hAnsi="Book Antiqua" w:cs="Times New Roman"/>
                <w:kern w:val="0"/>
              </w:rPr>
              <w:t xml:space="preserve"> IgG</w:t>
            </w:r>
          </w:p>
        </w:tc>
        <w:tc>
          <w:tcPr>
            <w:tcW w:w="2364" w:type="dxa"/>
            <w:gridSpan w:val="2"/>
            <w:tcBorders>
              <w:top w:val="nil"/>
              <w:left w:val="nil"/>
              <w:bottom w:val="nil"/>
              <w:right w:val="nil"/>
            </w:tcBorders>
            <w:shd w:val="clear" w:color="auto" w:fill="auto"/>
            <w:noWrap/>
            <w:vAlign w:val="bottom"/>
            <w:hideMark/>
          </w:tcPr>
          <w:p w14:paraId="67553BA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4BDEA02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36B1F4B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091" w:type="dxa"/>
            <w:tcBorders>
              <w:top w:val="nil"/>
              <w:left w:val="nil"/>
              <w:bottom w:val="nil"/>
              <w:right w:val="nil"/>
            </w:tcBorders>
            <w:shd w:val="clear" w:color="auto" w:fill="auto"/>
            <w:noWrap/>
            <w:vAlign w:val="center"/>
            <w:hideMark/>
          </w:tcPr>
          <w:p w14:paraId="6407064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276" w:type="dxa"/>
            <w:tcBorders>
              <w:top w:val="nil"/>
              <w:left w:val="nil"/>
              <w:bottom w:val="nil"/>
              <w:right w:val="nil"/>
            </w:tcBorders>
            <w:shd w:val="clear" w:color="auto" w:fill="auto"/>
            <w:noWrap/>
            <w:vAlign w:val="center"/>
            <w:hideMark/>
          </w:tcPr>
          <w:p w14:paraId="7C89735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7796B0F3" w14:textId="77777777" w:rsidTr="00D820C6">
        <w:trPr>
          <w:trHeight w:val="360"/>
        </w:trPr>
        <w:tc>
          <w:tcPr>
            <w:tcW w:w="2000" w:type="dxa"/>
            <w:tcBorders>
              <w:top w:val="nil"/>
              <w:left w:val="nil"/>
              <w:bottom w:val="nil"/>
              <w:right w:val="nil"/>
            </w:tcBorders>
            <w:shd w:val="clear" w:color="auto" w:fill="auto"/>
            <w:noWrap/>
            <w:vAlign w:val="bottom"/>
            <w:hideMark/>
          </w:tcPr>
          <w:p w14:paraId="36BC3FC3" w14:textId="410E5C70"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negative</w:t>
            </w:r>
          </w:p>
        </w:tc>
        <w:tc>
          <w:tcPr>
            <w:tcW w:w="2364" w:type="dxa"/>
            <w:gridSpan w:val="2"/>
            <w:tcBorders>
              <w:top w:val="nil"/>
              <w:left w:val="nil"/>
              <w:bottom w:val="nil"/>
              <w:right w:val="nil"/>
            </w:tcBorders>
            <w:shd w:val="clear" w:color="auto" w:fill="auto"/>
            <w:noWrap/>
            <w:vAlign w:val="bottom"/>
            <w:hideMark/>
          </w:tcPr>
          <w:p w14:paraId="6EE6F20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113 (78.5)</w:t>
            </w:r>
          </w:p>
        </w:tc>
        <w:tc>
          <w:tcPr>
            <w:tcW w:w="2482" w:type="dxa"/>
            <w:tcBorders>
              <w:top w:val="nil"/>
              <w:left w:val="nil"/>
              <w:bottom w:val="nil"/>
              <w:right w:val="nil"/>
            </w:tcBorders>
            <w:shd w:val="clear" w:color="auto" w:fill="auto"/>
            <w:noWrap/>
            <w:vAlign w:val="bottom"/>
            <w:hideMark/>
          </w:tcPr>
          <w:p w14:paraId="2CDF0C3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31 (21.5)</w:t>
            </w:r>
          </w:p>
        </w:tc>
        <w:tc>
          <w:tcPr>
            <w:tcW w:w="583" w:type="dxa"/>
            <w:tcBorders>
              <w:top w:val="nil"/>
              <w:left w:val="nil"/>
              <w:bottom w:val="nil"/>
              <w:right w:val="nil"/>
            </w:tcBorders>
            <w:shd w:val="clear" w:color="auto" w:fill="auto"/>
            <w:noWrap/>
            <w:vAlign w:val="center"/>
            <w:hideMark/>
          </w:tcPr>
          <w:p w14:paraId="03E4A3ED" w14:textId="1D7DE215"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091" w:type="dxa"/>
            <w:tcBorders>
              <w:top w:val="nil"/>
              <w:left w:val="nil"/>
              <w:bottom w:val="nil"/>
              <w:right w:val="nil"/>
            </w:tcBorders>
            <w:shd w:val="clear" w:color="auto" w:fill="auto"/>
            <w:noWrap/>
            <w:vAlign w:val="center"/>
            <w:hideMark/>
          </w:tcPr>
          <w:p w14:paraId="75717DE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1DF9149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0.001</w:t>
            </w:r>
          </w:p>
        </w:tc>
      </w:tr>
      <w:tr w:rsidR="002C16E4" w:rsidRPr="004865E7" w14:paraId="63396204" w14:textId="77777777" w:rsidTr="00D820C6">
        <w:trPr>
          <w:trHeight w:val="360"/>
        </w:trPr>
        <w:tc>
          <w:tcPr>
            <w:tcW w:w="2000" w:type="dxa"/>
            <w:tcBorders>
              <w:top w:val="nil"/>
              <w:left w:val="nil"/>
              <w:bottom w:val="nil"/>
              <w:right w:val="nil"/>
            </w:tcBorders>
            <w:shd w:val="clear" w:color="auto" w:fill="auto"/>
            <w:noWrap/>
            <w:vAlign w:val="bottom"/>
            <w:hideMark/>
          </w:tcPr>
          <w:p w14:paraId="6B0F55E8" w14:textId="2C3A4D31"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positive</w:t>
            </w:r>
          </w:p>
        </w:tc>
        <w:tc>
          <w:tcPr>
            <w:tcW w:w="2364" w:type="dxa"/>
            <w:gridSpan w:val="2"/>
            <w:tcBorders>
              <w:top w:val="nil"/>
              <w:left w:val="nil"/>
              <w:bottom w:val="nil"/>
              <w:right w:val="nil"/>
            </w:tcBorders>
            <w:shd w:val="clear" w:color="auto" w:fill="auto"/>
            <w:noWrap/>
            <w:vAlign w:val="bottom"/>
            <w:hideMark/>
          </w:tcPr>
          <w:p w14:paraId="465F9A6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60 (58.3)</w:t>
            </w:r>
          </w:p>
        </w:tc>
        <w:tc>
          <w:tcPr>
            <w:tcW w:w="2482" w:type="dxa"/>
            <w:tcBorders>
              <w:top w:val="nil"/>
              <w:left w:val="nil"/>
              <w:bottom w:val="nil"/>
              <w:right w:val="nil"/>
            </w:tcBorders>
            <w:shd w:val="clear" w:color="auto" w:fill="auto"/>
            <w:noWrap/>
            <w:vAlign w:val="bottom"/>
            <w:hideMark/>
          </w:tcPr>
          <w:p w14:paraId="5CB2EAE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43 (41.7)</w:t>
            </w:r>
          </w:p>
        </w:tc>
        <w:tc>
          <w:tcPr>
            <w:tcW w:w="583" w:type="dxa"/>
            <w:tcBorders>
              <w:top w:val="nil"/>
              <w:left w:val="nil"/>
              <w:bottom w:val="nil"/>
              <w:right w:val="nil"/>
            </w:tcBorders>
            <w:shd w:val="clear" w:color="auto" w:fill="auto"/>
            <w:vAlign w:val="center"/>
            <w:hideMark/>
          </w:tcPr>
          <w:p w14:paraId="56EBAF4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0.38</w:t>
            </w:r>
          </w:p>
        </w:tc>
        <w:tc>
          <w:tcPr>
            <w:tcW w:w="1091" w:type="dxa"/>
            <w:tcBorders>
              <w:top w:val="nil"/>
              <w:left w:val="nil"/>
              <w:bottom w:val="nil"/>
              <w:right w:val="nil"/>
            </w:tcBorders>
            <w:shd w:val="clear" w:color="auto" w:fill="auto"/>
            <w:vAlign w:val="center"/>
            <w:hideMark/>
          </w:tcPr>
          <w:p w14:paraId="2AB062E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0.22–0.67</w:t>
            </w:r>
          </w:p>
        </w:tc>
        <w:tc>
          <w:tcPr>
            <w:tcW w:w="1276" w:type="dxa"/>
            <w:vMerge/>
            <w:tcBorders>
              <w:top w:val="nil"/>
              <w:left w:val="nil"/>
              <w:bottom w:val="nil"/>
              <w:right w:val="nil"/>
            </w:tcBorders>
            <w:vAlign w:val="center"/>
            <w:hideMark/>
          </w:tcPr>
          <w:p w14:paraId="4BCF1A8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1F27A5C8" w14:textId="77777777" w:rsidTr="00D820C6">
        <w:trPr>
          <w:trHeight w:val="360"/>
        </w:trPr>
        <w:tc>
          <w:tcPr>
            <w:tcW w:w="2000" w:type="dxa"/>
            <w:tcBorders>
              <w:top w:val="nil"/>
              <w:left w:val="nil"/>
              <w:bottom w:val="nil"/>
              <w:right w:val="nil"/>
            </w:tcBorders>
            <w:shd w:val="clear" w:color="auto" w:fill="auto"/>
            <w:noWrap/>
            <w:vAlign w:val="bottom"/>
            <w:hideMark/>
          </w:tcPr>
          <w:p w14:paraId="2B721D67"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nil"/>
              <w:right w:val="nil"/>
            </w:tcBorders>
            <w:shd w:val="clear" w:color="auto" w:fill="auto"/>
            <w:noWrap/>
            <w:vAlign w:val="bottom"/>
            <w:hideMark/>
          </w:tcPr>
          <w:p w14:paraId="53DECC1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25494A4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07B271A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63BF364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3991885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A240EC8" w14:textId="77777777" w:rsidTr="00D820C6">
        <w:trPr>
          <w:trHeight w:val="360"/>
        </w:trPr>
        <w:tc>
          <w:tcPr>
            <w:tcW w:w="2000" w:type="dxa"/>
            <w:tcBorders>
              <w:top w:val="nil"/>
              <w:left w:val="nil"/>
              <w:bottom w:val="nil"/>
              <w:right w:val="nil"/>
            </w:tcBorders>
            <w:shd w:val="clear" w:color="auto" w:fill="auto"/>
            <w:noWrap/>
            <w:vAlign w:val="bottom"/>
            <w:hideMark/>
          </w:tcPr>
          <w:p w14:paraId="4F0FA406" w14:textId="7BE15D8F" w:rsidR="002C16E4" w:rsidRPr="004865E7" w:rsidRDefault="002C16E4" w:rsidP="00FA3CB2">
            <w:pPr>
              <w:widowControl/>
              <w:adjustRightInd w:val="0"/>
              <w:snapToGrid w:val="0"/>
              <w:spacing w:line="360" w:lineRule="auto"/>
              <w:rPr>
                <w:rFonts w:ascii="Book Antiqua" w:eastAsia="SimSun" w:hAnsi="Book Antiqua" w:cs="Times New Roman"/>
                <w:kern w:val="0"/>
                <w:lang w:eastAsia="zh-CN"/>
              </w:rPr>
            </w:pPr>
            <w:r w:rsidRPr="004865E7">
              <w:rPr>
                <w:rFonts w:ascii="Book Antiqua" w:eastAsia="MS PGothic" w:hAnsi="Book Antiqua" w:cs="Times New Roman"/>
                <w:kern w:val="0"/>
              </w:rPr>
              <w:t>Age</w:t>
            </w:r>
            <w:r w:rsidR="00ED34B9" w:rsidRPr="004865E7">
              <w:rPr>
                <w:rFonts w:ascii="Book Antiqua" w:eastAsia="SimSun" w:hAnsi="Book Antiqua" w:cs="Times New Roman" w:hint="eastAsia"/>
                <w:kern w:val="0"/>
                <w:lang w:eastAsia="zh-CN"/>
              </w:rPr>
              <w:t xml:space="preserve"> (yr)</w:t>
            </w:r>
          </w:p>
        </w:tc>
        <w:tc>
          <w:tcPr>
            <w:tcW w:w="2364" w:type="dxa"/>
            <w:gridSpan w:val="2"/>
            <w:tcBorders>
              <w:top w:val="nil"/>
              <w:left w:val="nil"/>
              <w:bottom w:val="nil"/>
              <w:right w:val="nil"/>
            </w:tcBorders>
            <w:shd w:val="clear" w:color="auto" w:fill="auto"/>
            <w:noWrap/>
            <w:vAlign w:val="bottom"/>
            <w:hideMark/>
          </w:tcPr>
          <w:p w14:paraId="2614672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77C5148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5EB0AFE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3B59AB6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7A1170D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CB700D7" w14:textId="77777777" w:rsidTr="00D820C6">
        <w:trPr>
          <w:trHeight w:val="360"/>
        </w:trPr>
        <w:tc>
          <w:tcPr>
            <w:tcW w:w="2000" w:type="dxa"/>
            <w:tcBorders>
              <w:top w:val="nil"/>
              <w:left w:val="nil"/>
              <w:bottom w:val="nil"/>
              <w:right w:val="nil"/>
            </w:tcBorders>
            <w:shd w:val="clear" w:color="auto" w:fill="auto"/>
            <w:noWrap/>
            <w:vAlign w:val="bottom"/>
            <w:hideMark/>
          </w:tcPr>
          <w:p w14:paraId="2457B433" w14:textId="26979BD1" w:rsidR="002C16E4" w:rsidRPr="004865E7" w:rsidRDefault="00F743FC"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&lt;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 xml:space="preserve">50 </w:t>
            </w:r>
          </w:p>
        </w:tc>
        <w:tc>
          <w:tcPr>
            <w:tcW w:w="2364" w:type="dxa"/>
            <w:gridSpan w:val="2"/>
            <w:tcBorders>
              <w:top w:val="nil"/>
              <w:left w:val="nil"/>
              <w:bottom w:val="nil"/>
              <w:right w:val="nil"/>
            </w:tcBorders>
            <w:shd w:val="clear" w:color="auto" w:fill="auto"/>
            <w:noWrap/>
            <w:vAlign w:val="bottom"/>
            <w:hideMark/>
          </w:tcPr>
          <w:p w14:paraId="53A8BC1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102 (82.3)</w:t>
            </w:r>
          </w:p>
        </w:tc>
        <w:tc>
          <w:tcPr>
            <w:tcW w:w="2482" w:type="dxa"/>
            <w:tcBorders>
              <w:top w:val="nil"/>
              <w:left w:val="nil"/>
              <w:bottom w:val="nil"/>
              <w:right w:val="nil"/>
            </w:tcBorders>
            <w:shd w:val="clear" w:color="auto" w:fill="auto"/>
            <w:noWrap/>
            <w:vAlign w:val="bottom"/>
            <w:hideMark/>
          </w:tcPr>
          <w:p w14:paraId="0B4423E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22 (17.7)</w:t>
            </w:r>
          </w:p>
        </w:tc>
        <w:tc>
          <w:tcPr>
            <w:tcW w:w="583" w:type="dxa"/>
            <w:tcBorders>
              <w:top w:val="nil"/>
              <w:left w:val="nil"/>
              <w:right w:val="nil"/>
            </w:tcBorders>
            <w:shd w:val="clear" w:color="auto" w:fill="auto"/>
            <w:noWrap/>
            <w:vAlign w:val="center"/>
            <w:hideMark/>
          </w:tcPr>
          <w:p w14:paraId="5022508D" w14:textId="01570398"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091" w:type="dxa"/>
            <w:tcBorders>
              <w:top w:val="nil"/>
              <w:left w:val="nil"/>
              <w:bottom w:val="nil"/>
              <w:right w:val="nil"/>
            </w:tcBorders>
            <w:shd w:val="clear" w:color="auto" w:fill="auto"/>
            <w:noWrap/>
            <w:vAlign w:val="center"/>
            <w:hideMark/>
          </w:tcPr>
          <w:p w14:paraId="4F78FFD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6FFB09E1" w14:textId="73A32BB2"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w:t>
            </w:r>
            <w:r w:rsidR="00ED34B9" w:rsidRPr="004865E7">
              <w:rPr>
                <w:rFonts w:ascii="Book Antiqua" w:eastAsia="SimSun" w:hAnsi="Book Antiqua" w:cs="Times New Roman" w:hint="eastAsia"/>
                <w:bCs/>
                <w:kern w:val="0"/>
                <w:lang w:eastAsia="zh-CN"/>
              </w:rPr>
              <w:t xml:space="preserve"> </w:t>
            </w:r>
            <w:r w:rsidRPr="004865E7">
              <w:rPr>
                <w:rFonts w:ascii="Book Antiqua" w:eastAsia="MS PGothic" w:hAnsi="Book Antiqua" w:cs="Times New Roman"/>
                <w:bCs/>
                <w:kern w:val="0"/>
              </w:rPr>
              <w:t>0.001</w:t>
            </w:r>
          </w:p>
        </w:tc>
      </w:tr>
      <w:tr w:rsidR="002C16E4" w:rsidRPr="004865E7" w14:paraId="28C52C55" w14:textId="77777777" w:rsidTr="00D820C6">
        <w:trPr>
          <w:trHeight w:val="360"/>
        </w:trPr>
        <w:tc>
          <w:tcPr>
            <w:tcW w:w="2000" w:type="dxa"/>
            <w:tcBorders>
              <w:top w:val="nil"/>
              <w:left w:val="nil"/>
              <w:bottom w:val="nil"/>
              <w:right w:val="nil"/>
            </w:tcBorders>
            <w:shd w:val="clear" w:color="auto" w:fill="auto"/>
            <w:noWrap/>
            <w:vAlign w:val="bottom"/>
            <w:hideMark/>
          </w:tcPr>
          <w:p w14:paraId="63A7F492" w14:textId="62B46090" w:rsidR="002C16E4" w:rsidRPr="004865E7" w:rsidRDefault="00F743FC"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 xml:space="preserve">50 </w:t>
            </w:r>
          </w:p>
        </w:tc>
        <w:tc>
          <w:tcPr>
            <w:tcW w:w="2364" w:type="dxa"/>
            <w:gridSpan w:val="2"/>
            <w:tcBorders>
              <w:top w:val="nil"/>
              <w:left w:val="nil"/>
              <w:bottom w:val="nil"/>
              <w:right w:val="nil"/>
            </w:tcBorders>
            <w:shd w:val="clear" w:color="auto" w:fill="auto"/>
            <w:noWrap/>
            <w:vAlign w:val="bottom"/>
            <w:hideMark/>
          </w:tcPr>
          <w:p w14:paraId="3D5E754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74 (57.8)</w:t>
            </w:r>
          </w:p>
        </w:tc>
        <w:tc>
          <w:tcPr>
            <w:tcW w:w="2482" w:type="dxa"/>
            <w:tcBorders>
              <w:top w:val="nil"/>
              <w:left w:val="nil"/>
              <w:bottom w:val="nil"/>
              <w:right w:val="nil"/>
            </w:tcBorders>
            <w:shd w:val="clear" w:color="auto" w:fill="auto"/>
            <w:noWrap/>
            <w:vAlign w:val="bottom"/>
            <w:hideMark/>
          </w:tcPr>
          <w:p w14:paraId="6BC628B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54 (42.2)</w:t>
            </w:r>
          </w:p>
        </w:tc>
        <w:tc>
          <w:tcPr>
            <w:tcW w:w="583" w:type="dxa"/>
            <w:tcBorders>
              <w:left w:val="nil"/>
              <w:bottom w:val="nil"/>
              <w:right w:val="nil"/>
            </w:tcBorders>
            <w:shd w:val="clear" w:color="auto" w:fill="auto"/>
            <w:vAlign w:val="center"/>
            <w:hideMark/>
          </w:tcPr>
          <w:p w14:paraId="2C15D5D8" w14:textId="02318808"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0.30</w:t>
            </w:r>
          </w:p>
        </w:tc>
        <w:tc>
          <w:tcPr>
            <w:tcW w:w="1091" w:type="dxa"/>
            <w:tcBorders>
              <w:top w:val="nil"/>
              <w:left w:val="nil"/>
              <w:bottom w:val="nil"/>
              <w:right w:val="nil"/>
            </w:tcBorders>
            <w:shd w:val="clear" w:color="auto" w:fill="auto"/>
            <w:vAlign w:val="center"/>
            <w:hideMark/>
          </w:tcPr>
          <w:p w14:paraId="5CB98A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0.17–0.53</w:t>
            </w:r>
          </w:p>
        </w:tc>
        <w:tc>
          <w:tcPr>
            <w:tcW w:w="1276" w:type="dxa"/>
            <w:vMerge/>
            <w:tcBorders>
              <w:top w:val="nil"/>
              <w:left w:val="nil"/>
              <w:bottom w:val="nil"/>
              <w:right w:val="nil"/>
            </w:tcBorders>
            <w:vAlign w:val="center"/>
            <w:hideMark/>
          </w:tcPr>
          <w:p w14:paraId="5507D6B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5C218B11" w14:textId="77777777" w:rsidTr="00D820C6">
        <w:trPr>
          <w:trHeight w:val="360"/>
        </w:trPr>
        <w:tc>
          <w:tcPr>
            <w:tcW w:w="2000" w:type="dxa"/>
            <w:tcBorders>
              <w:top w:val="nil"/>
              <w:left w:val="nil"/>
              <w:bottom w:val="nil"/>
              <w:right w:val="nil"/>
            </w:tcBorders>
            <w:shd w:val="clear" w:color="auto" w:fill="auto"/>
            <w:noWrap/>
            <w:vAlign w:val="bottom"/>
            <w:hideMark/>
          </w:tcPr>
          <w:p w14:paraId="2F428A67"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nil"/>
              <w:right w:val="nil"/>
            </w:tcBorders>
            <w:shd w:val="clear" w:color="auto" w:fill="auto"/>
            <w:noWrap/>
            <w:vAlign w:val="bottom"/>
            <w:hideMark/>
          </w:tcPr>
          <w:p w14:paraId="26C45CD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562BAD7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64AB12A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11F8BCF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0E75E6B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777F6594" w14:textId="77777777" w:rsidTr="00D820C6">
        <w:trPr>
          <w:trHeight w:val="360"/>
        </w:trPr>
        <w:tc>
          <w:tcPr>
            <w:tcW w:w="2000" w:type="dxa"/>
            <w:tcBorders>
              <w:top w:val="nil"/>
              <w:left w:val="nil"/>
              <w:bottom w:val="nil"/>
              <w:right w:val="nil"/>
            </w:tcBorders>
            <w:shd w:val="clear" w:color="auto" w:fill="auto"/>
            <w:noWrap/>
            <w:vAlign w:val="bottom"/>
            <w:hideMark/>
          </w:tcPr>
          <w:p w14:paraId="0DE1040A"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Sex</w:t>
            </w:r>
          </w:p>
        </w:tc>
        <w:tc>
          <w:tcPr>
            <w:tcW w:w="2364" w:type="dxa"/>
            <w:gridSpan w:val="2"/>
            <w:tcBorders>
              <w:top w:val="nil"/>
              <w:left w:val="nil"/>
              <w:bottom w:val="nil"/>
              <w:right w:val="nil"/>
            </w:tcBorders>
            <w:shd w:val="clear" w:color="auto" w:fill="auto"/>
            <w:noWrap/>
            <w:vAlign w:val="bottom"/>
            <w:hideMark/>
          </w:tcPr>
          <w:p w14:paraId="0C64A69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0C578FC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163288A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2BB02DB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20D71CF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97BB2EC" w14:textId="77777777" w:rsidTr="00D820C6">
        <w:trPr>
          <w:trHeight w:val="360"/>
        </w:trPr>
        <w:tc>
          <w:tcPr>
            <w:tcW w:w="2000" w:type="dxa"/>
            <w:tcBorders>
              <w:top w:val="nil"/>
              <w:left w:val="nil"/>
              <w:bottom w:val="nil"/>
              <w:right w:val="nil"/>
            </w:tcBorders>
            <w:shd w:val="clear" w:color="auto" w:fill="auto"/>
            <w:noWrap/>
            <w:vAlign w:val="bottom"/>
            <w:hideMark/>
          </w:tcPr>
          <w:p w14:paraId="6D68D8E5" w14:textId="5EB850B5"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Male</w:t>
            </w:r>
          </w:p>
        </w:tc>
        <w:tc>
          <w:tcPr>
            <w:tcW w:w="2364" w:type="dxa"/>
            <w:gridSpan w:val="2"/>
            <w:tcBorders>
              <w:top w:val="nil"/>
              <w:left w:val="nil"/>
              <w:bottom w:val="nil"/>
              <w:right w:val="nil"/>
            </w:tcBorders>
            <w:shd w:val="clear" w:color="auto" w:fill="auto"/>
            <w:noWrap/>
            <w:vAlign w:val="bottom"/>
            <w:hideMark/>
          </w:tcPr>
          <w:p w14:paraId="6A55CC6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80 (74.8)</w:t>
            </w:r>
          </w:p>
        </w:tc>
        <w:tc>
          <w:tcPr>
            <w:tcW w:w="2482" w:type="dxa"/>
            <w:tcBorders>
              <w:top w:val="nil"/>
              <w:left w:val="nil"/>
              <w:bottom w:val="nil"/>
              <w:right w:val="nil"/>
            </w:tcBorders>
            <w:shd w:val="clear" w:color="auto" w:fill="auto"/>
            <w:noWrap/>
            <w:vAlign w:val="bottom"/>
            <w:hideMark/>
          </w:tcPr>
          <w:p w14:paraId="788EF44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 (25.2)</w:t>
            </w:r>
          </w:p>
        </w:tc>
        <w:tc>
          <w:tcPr>
            <w:tcW w:w="583" w:type="dxa"/>
            <w:tcBorders>
              <w:top w:val="nil"/>
              <w:left w:val="nil"/>
              <w:bottom w:val="nil"/>
              <w:right w:val="nil"/>
            </w:tcBorders>
            <w:shd w:val="clear" w:color="auto" w:fill="auto"/>
            <w:noWrap/>
            <w:vAlign w:val="center"/>
            <w:hideMark/>
          </w:tcPr>
          <w:p w14:paraId="1F3DA9A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091" w:type="dxa"/>
            <w:tcBorders>
              <w:top w:val="nil"/>
              <w:left w:val="nil"/>
              <w:right w:val="nil"/>
            </w:tcBorders>
            <w:shd w:val="clear" w:color="auto" w:fill="auto"/>
            <w:noWrap/>
            <w:vAlign w:val="center"/>
            <w:hideMark/>
          </w:tcPr>
          <w:p w14:paraId="1BA304B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57F913D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0.143</w:t>
            </w:r>
          </w:p>
        </w:tc>
      </w:tr>
      <w:tr w:rsidR="002C16E4" w:rsidRPr="004865E7" w14:paraId="0CD3D267" w14:textId="77777777" w:rsidTr="00D820C6">
        <w:trPr>
          <w:trHeight w:val="360"/>
        </w:trPr>
        <w:tc>
          <w:tcPr>
            <w:tcW w:w="2000" w:type="dxa"/>
            <w:tcBorders>
              <w:top w:val="nil"/>
              <w:left w:val="nil"/>
              <w:bottom w:val="nil"/>
              <w:right w:val="nil"/>
            </w:tcBorders>
            <w:shd w:val="clear" w:color="auto" w:fill="auto"/>
            <w:noWrap/>
            <w:vAlign w:val="bottom"/>
            <w:hideMark/>
          </w:tcPr>
          <w:p w14:paraId="698BAC99" w14:textId="0BCFE217"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Female</w:t>
            </w:r>
          </w:p>
        </w:tc>
        <w:tc>
          <w:tcPr>
            <w:tcW w:w="2364" w:type="dxa"/>
            <w:gridSpan w:val="2"/>
            <w:tcBorders>
              <w:top w:val="nil"/>
              <w:left w:val="nil"/>
              <w:bottom w:val="nil"/>
              <w:right w:val="nil"/>
            </w:tcBorders>
            <w:shd w:val="clear" w:color="auto" w:fill="auto"/>
            <w:noWrap/>
            <w:vAlign w:val="bottom"/>
            <w:hideMark/>
          </w:tcPr>
          <w:p w14:paraId="2E69518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96 (66.2)</w:t>
            </w:r>
          </w:p>
        </w:tc>
        <w:tc>
          <w:tcPr>
            <w:tcW w:w="2482" w:type="dxa"/>
            <w:tcBorders>
              <w:top w:val="nil"/>
              <w:left w:val="nil"/>
              <w:bottom w:val="nil"/>
              <w:right w:val="nil"/>
            </w:tcBorders>
            <w:shd w:val="clear" w:color="auto" w:fill="auto"/>
            <w:noWrap/>
            <w:vAlign w:val="bottom"/>
            <w:hideMark/>
          </w:tcPr>
          <w:p w14:paraId="1968BF9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49 (33.8)</w:t>
            </w:r>
          </w:p>
        </w:tc>
        <w:tc>
          <w:tcPr>
            <w:tcW w:w="583" w:type="dxa"/>
            <w:tcBorders>
              <w:top w:val="nil"/>
              <w:left w:val="nil"/>
              <w:bottom w:val="nil"/>
              <w:right w:val="nil"/>
            </w:tcBorders>
            <w:shd w:val="clear" w:color="auto" w:fill="auto"/>
            <w:vAlign w:val="center"/>
            <w:hideMark/>
          </w:tcPr>
          <w:p w14:paraId="628AFC1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0.66</w:t>
            </w:r>
          </w:p>
        </w:tc>
        <w:tc>
          <w:tcPr>
            <w:tcW w:w="1091" w:type="dxa"/>
            <w:tcBorders>
              <w:left w:val="nil"/>
              <w:bottom w:val="nil"/>
              <w:right w:val="nil"/>
            </w:tcBorders>
            <w:shd w:val="clear" w:color="auto" w:fill="auto"/>
            <w:vAlign w:val="center"/>
            <w:hideMark/>
          </w:tcPr>
          <w:p w14:paraId="08F6D2D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0.38-1.15</w:t>
            </w:r>
          </w:p>
        </w:tc>
        <w:tc>
          <w:tcPr>
            <w:tcW w:w="1276" w:type="dxa"/>
            <w:vMerge/>
            <w:tcBorders>
              <w:top w:val="nil"/>
              <w:left w:val="nil"/>
              <w:bottom w:val="nil"/>
              <w:right w:val="nil"/>
            </w:tcBorders>
            <w:vAlign w:val="center"/>
            <w:hideMark/>
          </w:tcPr>
          <w:p w14:paraId="0002F73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19133D05" w14:textId="77777777" w:rsidTr="00D820C6">
        <w:trPr>
          <w:trHeight w:val="360"/>
        </w:trPr>
        <w:tc>
          <w:tcPr>
            <w:tcW w:w="2000" w:type="dxa"/>
            <w:tcBorders>
              <w:top w:val="nil"/>
              <w:left w:val="nil"/>
              <w:bottom w:val="nil"/>
              <w:right w:val="nil"/>
            </w:tcBorders>
            <w:shd w:val="clear" w:color="auto" w:fill="auto"/>
            <w:noWrap/>
            <w:vAlign w:val="bottom"/>
            <w:hideMark/>
          </w:tcPr>
          <w:p w14:paraId="353B7AD5"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nil"/>
              <w:right w:val="nil"/>
            </w:tcBorders>
            <w:shd w:val="clear" w:color="auto" w:fill="auto"/>
            <w:noWrap/>
            <w:vAlign w:val="bottom"/>
            <w:hideMark/>
          </w:tcPr>
          <w:p w14:paraId="45E414A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59F8C17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37224BD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39C55D7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63A0561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A1E32B7" w14:textId="77777777" w:rsidTr="00D820C6">
        <w:trPr>
          <w:trHeight w:val="360"/>
        </w:trPr>
        <w:tc>
          <w:tcPr>
            <w:tcW w:w="2425" w:type="dxa"/>
            <w:gridSpan w:val="2"/>
            <w:tcBorders>
              <w:top w:val="nil"/>
              <w:left w:val="nil"/>
              <w:bottom w:val="nil"/>
              <w:right w:val="nil"/>
            </w:tcBorders>
            <w:shd w:val="clear" w:color="auto" w:fill="auto"/>
            <w:noWrap/>
            <w:vAlign w:val="bottom"/>
            <w:hideMark/>
          </w:tcPr>
          <w:p w14:paraId="1218B70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Pepsinogen I/II ratio</w:t>
            </w:r>
          </w:p>
        </w:tc>
        <w:tc>
          <w:tcPr>
            <w:tcW w:w="1939" w:type="dxa"/>
            <w:tcBorders>
              <w:top w:val="nil"/>
              <w:left w:val="nil"/>
              <w:bottom w:val="nil"/>
              <w:right w:val="nil"/>
            </w:tcBorders>
            <w:shd w:val="clear" w:color="auto" w:fill="auto"/>
            <w:noWrap/>
            <w:vAlign w:val="bottom"/>
            <w:hideMark/>
          </w:tcPr>
          <w:p w14:paraId="5932ECB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11B14DB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59FFB97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427A6BA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6D81080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5885A1FE" w14:textId="77777777" w:rsidTr="00D820C6">
        <w:trPr>
          <w:trHeight w:val="360"/>
        </w:trPr>
        <w:tc>
          <w:tcPr>
            <w:tcW w:w="2000" w:type="dxa"/>
            <w:tcBorders>
              <w:top w:val="nil"/>
              <w:left w:val="nil"/>
              <w:bottom w:val="nil"/>
              <w:right w:val="nil"/>
            </w:tcBorders>
            <w:shd w:val="clear" w:color="auto" w:fill="auto"/>
            <w:noWrap/>
            <w:vAlign w:val="bottom"/>
            <w:hideMark/>
          </w:tcPr>
          <w:p w14:paraId="438C4A42" w14:textId="32FC872A"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lastRenderedPageBreak/>
              <w:t xml:space="preserve"> </w:t>
            </w:r>
            <w:r w:rsidR="002C16E4" w:rsidRPr="004865E7">
              <w:rPr>
                <w:rFonts w:ascii="Book Antiqua" w:eastAsia="MS PGothic" w:hAnsi="Book Antiqua" w:cs="Times New Roman"/>
                <w:kern w:val="0"/>
              </w:rPr>
              <w:t>&gt;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3.0</w:t>
            </w:r>
          </w:p>
        </w:tc>
        <w:tc>
          <w:tcPr>
            <w:tcW w:w="2364" w:type="dxa"/>
            <w:gridSpan w:val="2"/>
            <w:tcBorders>
              <w:top w:val="nil"/>
              <w:left w:val="nil"/>
              <w:bottom w:val="nil"/>
              <w:right w:val="nil"/>
            </w:tcBorders>
            <w:shd w:val="clear" w:color="auto" w:fill="auto"/>
            <w:noWrap/>
            <w:vAlign w:val="bottom"/>
            <w:hideMark/>
          </w:tcPr>
          <w:p w14:paraId="78098D2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141 (73.8)</w:t>
            </w:r>
          </w:p>
        </w:tc>
        <w:tc>
          <w:tcPr>
            <w:tcW w:w="2482" w:type="dxa"/>
            <w:tcBorders>
              <w:top w:val="nil"/>
              <w:left w:val="nil"/>
              <w:bottom w:val="nil"/>
              <w:right w:val="nil"/>
            </w:tcBorders>
            <w:shd w:val="clear" w:color="auto" w:fill="auto"/>
            <w:noWrap/>
            <w:vAlign w:val="bottom"/>
            <w:hideMark/>
          </w:tcPr>
          <w:p w14:paraId="217926C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50 (26.2)</w:t>
            </w:r>
          </w:p>
        </w:tc>
        <w:tc>
          <w:tcPr>
            <w:tcW w:w="583" w:type="dxa"/>
            <w:tcBorders>
              <w:top w:val="nil"/>
              <w:left w:val="nil"/>
              <w:bottom w:val="nil"/>
              <w:right w:val="nil"/>
            </w:tcBorders>
            <w:shd w:val="clear" w:color="auto" w:fill="auto"/>
            <w:noWrap/>
            <w:vAlign w:val="center"/>
            <w:hideMark/>
          </w:tcPr>
          <w:p w14:paraId="3FD25646" w14:textId="413C5C05"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091" w:type="dxa"/>
            <w:tcBorders>
              <w:top w:val="nil"/>
              <w:left w:val="nil"/>
              <w:bottom w:val="nil"/>
              <w:right w:val="nil"/>
            </w:tcBorders>
            <w:shd w:val="clear" w:color="auto" w:fill="auto"/>
            <w:noWrap/>
            <w:vAlign w:val="center"/>
            <w:hideMark/>
          </w:tcPr>
          <w:p w14:paraId="0344801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75F1CE5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bCs/>
                <w:kern w:val="0"/>
              </w:rPr>
              <w:t>0.015</w:t>
            </w:r>
          </w:p>
        </w:tc>
      </w:tr>
      <w:tr w:rsidR="002C16E4" w:rsidRPr="004865E7" w14:paraId="2AEF5467" w14:textId="77777777" w:rsidTr="00D820C6">
        <w:trPr>
          <w:trHeight w:val="360"/>
        </w:trPr>
        <w:tc>
          <w:tcPr>
            <w:tcW w:w="2000" w:type="dxa"/>
            <w:tcBorders>
              <w:top w:val="nil"/>
              <w:left w:val="nil"/>
              <w:bottom w:val="nil"/>
              <w:right w:val="nil"/>
            </w:tcBorders>
            <w:shd w:val="clear" w:color="auto" w:fill="auto"/>
            <w:noWrap/>
            <w:vAlign w:val="bottom"/>
            <w:hideMark/>
          </w:tcPr>
          <w:p w14:paraId="19A47BA5" w14:textId="78DBA79B"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3.0</w:t>
            </w:r>
          </w:p>
        </w:tc>
        <w:tc>
          <w:tcPr>
            <w:tcW w:w="2364" w:type="dxa"/>
            <w:gridSpan w:val="2"/>
            <w:tcBorders>
              <w:top w:val="nil"/>
              <w:left w:val="nil"/>
              <w:bottom w:val="nil"/>
              <w:right w:val="nil"/>
            </w:tcBorders>
            <w:shd w:val="clear" w:color="auto" w:fill="auto"/>
            <w:noWrap/>
            <w:vAlign w:val="bottom"/>
            <w:hideMark/>
          </w:tcPr>
          <w:p w14:paraId="562831C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35 (57.4)</w:t>
            </w:r>
          </w:p>
        </w:tc>
        <w:tc>
          <w:tcPr>
            <w:tcW w:w="2482" w:type="dxa"/>
            <w:tcBorders>
              <w:top w:val="nil"/>
              <w:left w:val="nil"/>
              <w:bottom w:val="nil"/>
              <w:right w:val="nil"/>
            </w:tcBorders>
            <w:shd w:val="clear" w:color="auto" w:fill="auto"/>
            <w:noWrap/>
            <w:vAlign w:val="bottom"/>
            <w:hideMark/>
          </w:tcPr>
          <w:p w14:paraId="5F0A41A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26 (42.6)</w:t>
            </w:r>
          </w:p>
        </w:tc>
        <w:tc>
          <w:tcPr>
            <w:tcW w:w="583" w:type="dxa"/>
            <w:tcBorders>
              <w:top w:val="nil"/>
              <w:left w:val="nil"/>
              <w:bottom w:val="nil"/>
              <w:right w:val="nil"/>
            </w:tcBorders>
            <w:shd w:val="clear" w:color="auto" w:fill="auto"/>
            <w:vAlign w:val="center"/>
            <w:hideMark/>
          </w:tcPr>
          <w:p w14:paraId="2786BEBA" w14:textId="43A30B3C"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0.48</w:t>
            </w:r>
          </w:p>
        </w:tc>
        <w:tc>
          <w:tcPr>
            <w:tcW w:w="1091" w:type="dxa"/>
            <w:tcBorders>
              <w:top w:val="nil"/>
              <w:left w:val="nil"/>
              <w:bottom w:val="nil"/>
              <w:right w:val="nil"/>
            </w:tcBorders>
            <w:shd w:val="clear" w:color="auto" w:fill="auto"/>
            <w:vAlign w:val="center"/>
            <w:hideMark/>
          </w:tcPr>
          <w:p w14:paraId="774FAB7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0.26–0.87</w:t>
            </w:r>
          </w:p>
        </w:tc>
        <w:tc>
          <w:tcPr>
            <w:tcW w:w="1276" w:type="dxa"/>
            <w:vMerge/>
            <w:tcBorders>
              <w:top w:val="nil"/>
              <w:left w:val="nil"/>
              <w:bottom w:val="nil"/>
              <w:right w:val="nil"/>
            </w:tcBorders>
            <w:vAlign w:val="center"/>
            <w:hideMark/>
          </w:tcPr>
          <w:p w14:paraId="4672533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1EDC1661" w14:textId="77777777" w:rsidTr="00D820C6">
        <w:trPr>
          <w:trHeight w:val="360"/>
        </w:trPr>
        <w:tc>
          <w:tcPr>
            <w:tcW w:w="2000" w:type="dxa"/>
            <w:tcBorders>
              <w:top w:val="nil"/>
              <w:left w:val="nil"/>
              <w:bottom w:val="nil"/>
              <w:right w:val="nil"/>
            </w:tcBorders>
            <w:shd w:val="clear" w:color="auto" w:fill="auto"/>
            <w:noWrap/>
            <w:vAlign w:val="bottom"/>
            <w:hideMark/>
          </w:tcPr>
          <w:p w14:paraId="3A85AAB7"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nil"/>
              <w:right w:val="nil"/>
            </w:tcBorders>
            <w:shd w:val="clear" w:color="auto" w:fill="auto"/>
            <w:noWrap/>
            <w:vAlign w:val="bottom"/>
            <w:hideMark/>
          </w:tcPr>
          <w:p w14:paraId="34F30A4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6ADDC01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581F606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46C29A8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32AFD71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3D923018" w14:textId="77777777" w:rsidTr="00D820C6">
        <w:trPr>
          <w:trHeight w:val="360"/>
        </w:trPr>
        <w:tc>
          <w:tcPr>
            <w:tcW w:w="2000" w:type="dxa"/>
            <w:tcBorders>
              <w:top w:val="nil"/>
              <w:left w:val="nil"/>
              <w:bottom w:val="nil"/>
              <w:right w:val="nil"/>
            </w:tcBorders>
            <w:shd w:val="clear" w:color="auto" w:fill="auto"/>
            <w:noWrap/>
            <w:vAlign w:val="bottom"/>
            <w:hideMark/>
          </w:tcPr>
          <w:p w14:paraId="7C534C78"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364" w:type="dxa"/>
            <w:gridSpan w:val="2"/>
            <w:tcBorders>
              <w:top w:val="nil"/>
              <w:left w:val="nil"/>
              <w:bottom w:val="nil"/>
              <w:right w:val="nil"/>
            </w:tcBorders>
            <w:shd w:val="clear" w:color="auto" w:fill="auto"/>
            <w:noWrap/>
            <w:vAlign w:val="bottom"/>
            <w:hideMark/>
          </w:tcPr>
          <w:p w14:paraId="22A9918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nil"/>
              <w:right w:val="nil"/>
            </w:tcBorders>
            <w:shd w:val="clear" w:color="auto" w:fill="auto"/>
            <w:noWrap/>
            <w:vAlign w:val="bottom"/>
            <w:hideMark/>
          </w:tcPr>
          <w:p w14:paraId="5E3FC9B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nil"/>
              <w:right w:val="nil"/>
            </w:tcBorders>
            <w:shd w:val="clear" w:color="auto" w:fill="auto"/>
            <w:noWrap/>
            <w:vAlign w:val="center"/>
            <w:hideMark/>
          </w:tcPr>
          <w:p w14:paraId="502A791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nil"/>
              <w:right w:val="nil"/>
            </w:tcBorders>
            <w:shd w:val="clear" w:color="auto" w:fill="auto"/>
            <w:noWrap/>
            <w:vAlign w:val="center"/>
            <w:hideMark/>
          </w:tcPr>
          <w:p w14:paraId="0874AB7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7EE1F57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48198494" w14:textId="77777777" w:rsidTr="00D820C6">
        <w:trPr>
          <w:trHeight w:val="360"/>
        </w:trPr>
        <w:tc>
          <w:tcPr>
            <w:tcW w:w="2000" w:type="dxa"/>
            <w:tcBorders>
              <w:top w:val="nil"/>
              <w:left w:val="nil"/>
              <w:bottom w:val="nil"/>
              <w:right w:val="nil"/>
            </w:tcBorders>
            <w:shd w:val="clear" w:color="auto" w:fill="auto"/>
            <w:noWrap/>
            <w:vAlign w:val="bottom"/>
            <w:hideMark/>
          </w:tcPr>
          <w:p w14:paraId="2C4BD12D" w14:textId="7DD21957"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no atrophy</w:t>
            </w:r>
          </w:p>
        </w:tc>
        <w:tc>
          <w:tcPr>
            <w:tcW w:w="2364" w:type="dxa"/>
            <w:gridSpan w:val="2"/>
            <w:tcBorders>
              <w:top w:val="nil"/>
              <w:left w:val="nil"/>
              <w:bottom w:val="nil"/>
              <w:right w:val="nil"/>
            </w:tcBorders>
            <w:shd w:val="clear" w:color="auto" w:fill="auto"/>
            <w:noWrap/>
            <w:vAlign w:val="bottom"/>
            <w:hideMark/>
          </w:tcPr>
          <w:p w14:paraId="73A477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79 (95.2)</w:t>
            </w:r>
          </w:p>
        </w:tc>
        <w:tc>
          <w:tcPr>
            <w:tcW w:w="2482" w:type="dxa"/>
            <w:tcBorders>
              <w:top w:val="nil"/>
              <w:left w:val="nil"/>
              <w:bottom w:val="nil"/>
              <w:right w:val="nil"/>
            </w:tcBorders>
            <w:shd w:val="clear" w:color="auto" w:fill="auto"/>
            <w:noWrap/>
            <w:vAlign w:val="bottom"/>
            <w:hideMark/>
          </w:tcPr>
          <w:p w14:paraId="078E0B8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 (4.8)</w:t>
            </w:r>
          </w:p>
        </w:tc>
        <w:tc>
          <w:tcPr>
            <w:tcW w:w="583" w:type="dxa"/>
            <w:tcBorders>
              <w:top w:val="nil"/>
              <w:left w:val="nil"/>
              <w:bottom w:val="nil"/>
              <w:right w:val="nil"/>
            </w:tcBorders>
            <w:shd w:val="clear" w:color="auto" w:fill="auto"/>
            <w:noWrap/>
            <w:vAlign w:val="center"/>
            <w:hideMark/>
          </w:tcPr>
          <w:p w14:paraId="6F5CB16C" w14:textId="60F2DF1A"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091" w:type="dxa"/>
            <w:tcBorders>
              <w:top w:val="nil"/>
              <w:left w:val="nil"/>
              <w:bottom w:val="nil"/>
              <w:right w:val="nil"/>
            </w:tcBorders>
            <w:shd w:val="clear" w:color="auto" w:fill="auto"/>
            <w:noWrap/>
            <w:vAlign w:val="center"/>
            <w:hideMark/>
          </w:tcPr>
          <w:p w14:paraId="520F80B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276" w:type="dxa"/>
            <w:vMerge w:val="restart"/>
            <w:tcBorders>
              <w:top w:val="nil"/>
              <w:left w:val="nil"/>
              <w:bottom w:val="nil"/>
              <w:right w:val="nil"/>
            </w:tcBorders>
            <w:shd w:val="clear" w:color="auto" w:fill="auto"/>
            <w:noWrap/>
            <w:vAlign w:val="center"/>
            <w:hideMark/>
          </w:tcPr>
          <w:p w14:paraId="37C97EFD" w14:textId="3CA72780"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w:t>
            </w:r>
            <w:r w:rsidR="00ED34B9" w:rsidRPr="004865E7">
              <w:rPr>
                <w:rFonts w:ascii="Book Antiqua" w:eastAsia="SimSun" w:hAnsi="Book Antiqua" w:cs="Times New Roman" w:hint="eastAsia"/>
                <w:bCs/>
                <w:kern w:val="0"/>
                <w:lang w:eastAsia="zh-CN"/>
              </w:rPr>
              <w:t xml:space="preserve"> </w:t>
            </w:r>
            <w:r w:rsidRPr="004865E7">
              <w:rPr>
                <w:rFonts w:ascii="Book Antiqua" w:eastAsia="MS PGothic" w:hAnsi="Book Antiqua" w:cs="Times New Roman"/>
                <w:bCs/>
                <w:kern w:val="0"/>
              </w:rPr>
              <w:t>0.001</w:t>
            </w:r>
          </w:p>
        </w:tc>
      </w:tr>
      <w:tr w:rsidR="002C16E4" w:rsidRPr="004865E7" w14:paraId="0A511E77" w14:textId="77777777" w:rsidTr="00D820C6">
        <w:trPr>
          <w:trHeight w:val="360"/>
        </w:trPr>
        <w:tc>
          <w:tcPr>
            <w:tcW w:w="2000" w:type="dxa"/>
            <w:tcBorders>
              <w:top w:val="nil"/>
              <w:left w:val="nil"/>
              <w:bottom w:val="nil"/>
              <w:right w:val="nil"/>
            </w:tcBorders>
            <w:shd w:val="clear" w:color="auto" w:fill="auto"/>
            <w:noWrap/>
            <w:vAlign w:val="bottom"/>
            <w:hideMark/>
          </w:tcPr>
          <w:p w14:paraId="16000559" w14:textId="5B7EFE1B"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others</w:t>
            </w:r>
          </w:p>
        </w:tc>
        <w:tc>
          <w:tcPr>
            <w:tcW w:w="2364" w:type="dxa"/>
            <w:gridSpan w:val="2"/>
            <w:tcBorders>
              <w:top w:val="nil"/>
              <w:left w:val="nil"/>
              <w:bottom w:val="nil"/>
              <w:right w:val="nil"/>
            </w:tcBorders>
            <w:shd w:val="clear" w:color="auto" w:fill="auto"/>
            <w:noWrap/>
            <w:vAlign w:val="bottom"/>
            <w:hideMark/>
          </w:tcPr>
          <w:p w14:paraId="19D9EA2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97 (57.4)</w:t>
            </w:r>
          </w:p>
        </w:tc>
        <w:tc>
          <w:tcPr>
            <w:tcW w:w="2482" w:type="dxa"/>
            <w:tcBorders>
              <w:top w:val="nil"/>
              <w:left w:val="nil"/>
              <w:bottom w:val="nil"/>
              <w:right w:val="nil"/>
            </w:tcBorders>
            <w:shd w:val="clear" w:color="auto" w:fill="auto"/>
            <w:noWrap/>
            <w:vAlign w:val="bottom"/>
            <w:hideMark/>
          </w:tcPr>
          <w:p w14:paraId="57F94E5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72 (42.6)</w:t>
            </w:r>
          </w:p>
        </w:tc>
        <w:tc>
          <w:tcPr>
            <w:tcW w:w="583" w:type="dxa"/>
            <w:tcBorders>
              <w:top w:val="nil"/>
              <w:left w:val="nil"/>
              <w:bottom w:val="nil"/>
              <w:right w:val="nil"/>
            </w:tcBorders>
            <w:shd w:val="clear" w:color="auto" w:fill="auto"/>
            <w:vAlign w:val="center"/>
            <w:hideMark/>
          </w:tcPr>
          <w:p w14:paraId="123FF7FE" w14:textId="6065CE45"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0.07</w:t>
            </w:r>
          </w:p>
        </w:tc>
        <w:tc>
          <w:tcPr>
            <w:tcW w:w="1091" w:type="dxa"/>
            <w:tcBorders>
              <w:top w:val="nil"/>
              <w:left w:val="nil"/>
              <w:bottom w:val="nil"/>
              <w:right w:val="nil"/>
            </w:tcBorders>
            <w:shd w:val="clear" w:color="auto" w:fill="auto"/>
            <w:vAlign w:val="center"/>
            <w:hideMark/>
          </w:tcPr>
          <w:p w14:paraId="3B19733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0.02–0.20</w:t>
            </w:r>
          </w:p>
        </w:tc>
        <w:tc>
          <w:tcPr>
            <w:tcW w:w="1276" w:type="dxa"/>
            <w:vMerge/>
            <w:tcBorders>
              <w:top w:val="nil"/>
              <w:left w:val="nil"/>
              <w:bottom w:val="nil"/>
              <w:right w:val="nil"/>
            </w:tcBorders>
            <w:vAlign w:val="center"/>
            <w:hideMark/>
          </w:tcPr>
          <w:p w14:paraId="5A65B15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5CDFF6F4" w14:textId="77777777" w:rsidTr="00D820C6">
        <w:trPr>
          <w:trHeight w:val="380"/>
        </w:trPr>
        <w:tc>
          <w:tcPr>
            <w:tcW w:w="2000" w:type="dxa"/>
            <w:tcBorders>
              <w:top w:val="nil"/>
              <w:left w:val="nil"/>
              <w:bottom w:val="single" w:sz="12" w:space="0" w:color="auto"/>
              <w:right w:val="nil"/>
            </w:tcBorders>
            <w:shd w:val="clear" w:color="auto" w:fill="auto"/>
            <w:noWrap/>
            <w:vAlign w:val="bottom"/>
            <w:hideMark/>
          </w:tcPr>
          <w:p w14:paraId="650A761F"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64" w:type="dxa"/>
            <w:gridSpan w:val="2"/>
            <w:tcBorders>
              <w:top w:val="nil"/>
              <w:left w:val="nil"/>
              <w:bottom w:val="single" w:sz="12" w:space="0" w:color="auto"/>
              <w:right w:val="nil"/>
            </w:tcBorders>
            <w:shd w:val="clear" w:color="auto" w:fill="auto"/>
            <w:noWrap/>
            <w:vAlign w:val="bottom"/>
            <w:hideMark/>
          </w:tcPr>
          <w:p w14:paraId="5D627A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2482" w:type="dxa"/>
            <w:tcBorders>
              <w:top w:val="nil"/>
              <w:left w:val="nil"/>
              <w:bottom w:val="single" w:sz="12" w:space="0" w:color="auto"/>
              <w:right w:val="nil"/>
            </w:tcBorders>
            <w:shd w:val="clear" w:color="auto" w:fill="auto"/>
            <w:noWrap/>
            <w:vAlign w:val="bottom"/>
            <w:hideMark/>
          </w:tcPr>
          <w:p w14:paraId="26070D2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583" w:type="dxa"/>
            <w:tcBorders>
              <w:top w:val="nil"/>
              <w:left w:val="nil"/>
              <w:bottom w:val="single" w:sz="12" w:space="0" w:color="auto"/>
              <w:right w:val="nil"/>
            </w:tcBorders>
            <w:shd w:val="clear" w:color="auto" w:fill="auto"/>
            <w:noWrap/>
            <w:vAlign w:val="bottom"/>
            <w:hideMark/>
          </w:tcPr>
          <w:p w14:paraId="7790D13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91" w:type="dxa"/>
            <w:tcBorders>
              <w:top w:val="nil"/>
              <w:left w:val="nil"/>
              <w:bottom w:val="single" w:sz="12" w:space="0" w:color="auto"/>
              <w:right w:val="nil"/>
            </w:tcBorders>
            <w:shd w:val="clear" w:color="auto" w:fill="auto"/>
            <w:noWrap/>
            <w:vAlign w:val="bottom"/>
            <w:hideMark/>
          </w:tcPr>
          <w:p w14:paraId="09B6CD0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276" w:type="dxa"/>
            <w:tcBorders>
              <w:top w:val="nil"/>
              <w:left w:val="nil"/>
              <w:bottom w:val="single" w:sz="12" w:space="0" w:color="auto"/>
              <w:right w:val="nil"/>
            </w:tcBorders>
            <w:shd w:val="clear" w:color="auto" w:fill="auto"/>
            <w:noWrap/>
            <w:vAlign w:val="bottom"/>
            <w:hideMark/>
          </w:tcPr>
          <w:p w14:paraId="44E33E7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bl>
    <w:p w14:paraId="42027932" w14:textId="65EC23D8" w:rsidR="00ED34B9" w:rsidRPr="004865E7" w:rsidRDefault="00ED34B9" w:rsidP="00ED34B9">
      <w:pPr>
        <w:widowControl/>
        <w:adjustRightInd w:val="0"/>
        <w:snapToGrid w:val="0"/>
        <w:spacing w:line="360" w:lineRule="auto"/>
        <w:rPr>
          <w:rFonts w:ascii="Book Antiqua" w:eastAsia="SimSun" w:hAnsi="Book Antiqua" w:cs="Times New Roman"/>
          <w:kern w:val="0"/>
          <w:lang w:eastAsia="zh-CN"/>
        </w:rPr>
      </w:pPr>
      <w:r w:rsidRPr="004865E7">
        <w:rPr>
          <w:rFonts w:ascii="Book Antiqua" w:eastAsia="MS PGothic" w:hAnsi="Book Antiqua" w:cs="Times New Roman"/>
          <w:kern w:val="0"/>
        </w:rPr>
        <w:t>OR: Odds ratio; CI</w:t>
      </w:r>
      <w:r w:rsidRPr="004865E7">
        <w:rPr>
          <w:rFonts w:ascii="Book Antiqua" w:eastAsia="SimSun" w:hAnsi="Book Antiqua" w:cs="Times New Roman" w:hint="eastAsia"/>
          <w:kern w:val="0"/>
          <w:lang w:eastAsia="zh-CN"/>
        </w:rPr>
        <w:t>:</w:t>
      </w:r>
      <w:r w:rsidRPr="004865E7">
        <w:rPr>
          <w:rFonts w:ascii="Book Antiqua" w:eastAsia="MS PGothic" w:hAnsi="Book Antiqua" w:cs="Times New Roman"/>
          <w:kern w:val="0"/>
        </w:rPr>
        <w:t xml:space="preserve"> Confidence interval</w:t>
      </w:r>
      <w:r w:rsidRPr="004865E7">
        <w:rPr>
          <w:rFonts w:ascii="Book Antiqua" w:eastAsia="SimSun" w:hAnsi="Book Antiqua" w:cs="Times New Roman" w:hint="eastAsia"/>
          <w:kern w:val="0"/>
          <w:lang w:eastAsia="zh-CN"/>
        </w:rPr>
        <w:t>.</w:t>
      </w:r>
    </w:p>
    <w:p w14:paraId="241B6632"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4A2C4602"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F869D42"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0A4BC159" w14:textId="2F27F082" w:rsidR="00ED34B9" w:rsidRPr="004865E7" w:rsidRDefault="00ED34B9">
      <w:pPr>
        <w:widowControl/>
        <w:jc w:val="left"/>
        <w:rPr>
          <w:rFonts w:ascii="Book Antiqua" w:hAnsi="Book Antiqua" w:cs="Times"/>
          <w:kern w:val="0"/>
        </w:rPr>
      </w:pPr>
      <w:r w:rsidRPr="004865E7">
        <w:rPr>
          <w:rFonts w:ascii="Book Antiqua" w:hAnsi="Book Antiqua" w:cs="Times"/>
          <w:kern w:val="0"/>
        </w:rPr>
        <w:br w:type="page"/>
      </w:r>
    </w:p>
    <w:p w14:paraId="2A42794E"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tbl>
      <w:tblPr>
        <w:tblW w:w="9500" w:type="dxa"/>
        <w:tblInd w:w="84" w:type="dxa"/>
        <w:tblCellMar>
          <w:left w:w="99" w:type="dxa"/>
          <w:right w:w="99" w:type="dxa"/>
        </w:tblCellMar>
        <w:tblLook w:val="04A0" w:firstRow="1" w:lastRow="0" w:firstColumn="1" w:lastColumn="0" w:noHBand="0" w:noVBand="1"/>
      </w:tblPr>
      <w:tblGrid>
        <w:gridCol w:w="3685"/>
        <w:gridCol w:w="2322"/>
        <w:gridCol w:w="1711"/>
        <w:gridCol w:w="1782"/>
      </w:tblGrid>
      <w:tr w:rsidR="002C16E4" w:rsidRPr="004865E7" w14:paraId="55F6C1F4" w14:textId="77777777" w:rsidTr="00D820C6">
        <w:trPr>
          <w:trHeight w:val="380"/>
        </w:trPr>
        <w:tc>
          <w:tcPr>
            <w:tcW w:w="9500" w:type="dxa"/>
            <w:gridSpan w:val="4"/>
            <w:tcBorders>
              <w:top w:val="nil"/>
              <w:left w:val="nil"/>
              <w:bottom w:val="single" w:sz="12" w:space="0" w:color="auto"/>
              <w:right w:val="nil"/>
            </w:tcBorders>
            <w:shd w:val="clear" w:color="auto" w:fill="auto"/>
            <w:noWrap/>
            <w:vAlign w:val="bottom"/>
            <w:hideMark/>
          </w:tcPr>
          <w:p w14:paraId="17453B0B"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r w:rsidRPr="004865E7">
              <w:rPr>
                <w:rFonts w:ascii="Book Antiqua" w:eastAsia="MS PGothic" w:hAnsi="Book Antiqua" w:cs="Times New Roman"/>
                <w:b/>
                <w:bCs/>
                <w:kern w:val="0"/>
              </w:rPr>
              <w:t>Table 4</w:t>
            </w:r>
            <w:r w:rsidRPr="004865E7">
              <w:rPr>
                <w:rFonts w:ascii="Book Antiqua" w:eastAsia="MS PGothic" w:hAnsi="Book Antiqua" w:cs="Times New Roman"/>
                <w:b/>
                <w:kern w:val="0"/>
              </w:rPr>
              <w:t xml:space="preserve"> Multivariate analysis of factors significantly associated with reduced concordance between endoscopic and histological atrophy</w:t>
            </w:r>
          </w:p>
        </w:tc>
      </w:tr>
      <w:tr w:rsidR="002C16E4" w:rsidRPr="004865E7" w14:paraId="6B195FD0" w14:textId="77777777" w:rsidTr="00D820C6">
        <w:trPr>
          <w:trHeight w:val="400"/>
        </w:trPr>
        <w:tc>
          <w:tcPr>
            <w:tcW w:w="3685" w:type="dxa"/>
            <w:tcBorders>
              <w:top w:val="nil"/>
              <w:left w:val="nil"/>
              <w:bottom w:val="single" w:sz="12" w:space="0" w:color="auto"/>
              <w:right w:val="nil"/>
            </w:tcBorders>
            <w:shd w:val="clear" w:color="auto" w:fill="auto"/>
            <w:noWrap/>
            <w:vAlign w:val="bottom"/>
            <w:hideMark/>
          </w:tcPr>
          <w:p w14:paraId="767B86E1"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2322" w:type="dxa"/>
            <w:tcBorders>
              <w:top w:val="nil"/>
              <w:left w:val="nil"/>
              <w:bottom w:val="single" w:sz="12" w:space="0" w:color="auto"/>
              <w:right w:val="nil"/>
            </w:tcBorders>
            <w:shd w:val="clear" w:color="auto" w:fill="auto"/>
            <w:noWrap/>
            <w:vAlign w:val="bottom"/>
            <w:hideMark/>
          </w:tcPr>
          <w:p w14:paraId="7BF24C6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Adjusted OR</w:t>
            </w:r>
          </w:p>
        </w:tc>
        <w:tc>
          <w:tcPr>
            <w:tcW w:w="1711" w:type="dxa"/>
            <w:tcBorders>
              <w:top w:val="nil"/>
              <w:left w:val="nil"/>
              <w:bottom w:val="single" w:sz="12" w:space="0" w:color="auto"/>
              <w:right w:val="nil"/>
            </w:tcBorders>
            <w:shd w:val="clear" w:color="auto" w:fill="auto"/>
            <w:noWrap/>
            <w:vAlign w:val="bottom"/>
            <w:hideMark/>
          </w:tcPr>
          <w:p w14:paraId="19696C7A" w14:textId="1628B3A6" w:rsidR="002C16E4" w:rsidRPr="004865E7" w:rsidRDefault="00ED34B9" w:rsidP="00ED34B9">
            <w:pPr>
              <w:widowControl/>
              <w:adjustRightInd w:val="0"/>
              <w:snapToGrid w:val="0"/>
              <w:spacing w:line="360" w:lineRule="auto"/>
              <w:jc w:val="center"/>
              <w:rPr>
                <w:rFonts w:ascii="Book Antiqua" w:eastAsia="SimSun" w:hAnsi="Book Antiqua" w:cs="Times New Roman"/>
                <w:b/>
                <w:kern w:val="0"/>
                <w:lang w:eastAsia="zh-CN"/>
              </w:rPr>
            </w:pPr>
            <w:r w:rsidRPr="004865E7">
              <w:rPr>
                <w:rFonts w:ascii="Book Antiqua" w:eastAsia="MS PGothic" w:hAnsi="Book Antiqua" w:cs="Times New Roman"/>
                <w:b/>
                <w:kern w:val="0"/>
              </w:rPr>
              <w:t>95%CI</w:t>
            </w:r>
          </w:p>
        </w:tc>
        <w:tc>
          <w:tcPr>
            <w:tcW w:w="1782" w:type="dxa"/>
            <w:tcBorders>
              <w:top w:val="nil"/>
              <w:left w:val="nil"/>
              <w:bottom w:val="single" w:sz="12" w:space="0" w:color="auto"/>
              <w:right w:val="nil"/>
            </w:tcBorders>
            <w:shd w:val="clear" w:color="auto" w:fill="auto"/>
            <w:noWrap/>
            <w:vAlign w:val="bottom"/>
            <w:hideMark/>
          </w:tcPr>
          <w:p w14:paraId="7C733731" w14:textId="1BCCA364" w:rsidR="002C16E4" w:rsidRPr="004865E7" w:rsidRDefault="00ED34B9"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i/>
                <w:iCs/>
                <w:kern w:val="0"/>
              </w:rPr>
              <w:t>P</w:t>
            </w:r>
            <w:r w:rsidR="002C16E4" w:rsidRPr="004865E7">
              <w:rPr>
                <w:rFonts w:ascii="Book Antiqua" w:eastAsia="MS PGothic" w:hAnsi="Book Antiqua" w:cs="Times New Roman"/>
                <w:b/>
                <w:kern w:val="0"/>
              </w:rPr>
              <w:t xml:space="preserve"> values</w:t>
            </w:r>
          </w:p>
        </w:tc>
      </w:tr>
      <w:tr w:rsidR="002C16E4" w:rsidRPr="004865E7" w14:paraId="354D38E0" w14:textId="77777777" w:rsidTr="00D820C6">
        <w:trPr>
          <w:trHeight w:val="380"/>
        </w:trPr>
        <w:tc>
          <w:tcPr>
            <w:tcW w:w="3685" w:type="dxa"/>
            <w:tcBorders>
              <w:top w:val="nil"/>
              <w:left w:val="nil"/>
              <w:bottom w:val="nil"/>
              <w:right w:val="nil"/>
            </w:tcBorders>
            <w:shd w:val="clear" w:color="auto" w:fill="auto"/>
            <w:noWrap/>
            <w:vAlign w:val="bottom"/>
            <w:hideMark/>
          </w:tcPr>
          <w:p w14:paraId="477DA912"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Populations</w:t>
            </w:r>
          </w:p>
        </w:tc>
        <w:tc>
          <w:tcPr>
            <w:tcW w:w="2322" w:type="dxa"/>
            <w:tcBorders>
              <w:top w:val="nil"/>
              <w:left w:val="nil"/>
              <w:bottom w:val="nil"/>
              <w:right w:val="nil"/>
            </w:tcBorders>
            <w:shd w:val="clear" w:color="auto" w:fill="auto"/>
            <w:noWrap/>
            <w:vAlign w:val="bottom"/>
            <w:hideMark/>
          </w:tcPr>
          <w:p w14:paraId="3ACBF0C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bottom"/>
            <w:hideMark/>
          </w:tcPr>
          <w:p w14:paraId="3CE0E8F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bottom"/>
            <w:hideMark/>
          </w:tcPr>
          <w:p w14:paraId="1B555FE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3F58EFC6" w14:textId="77777777" w:rsidTr="00D820C6">
        <w:trPr>
          <w:trHeight w:val="360"/>
        </w:trPr>
        <w:tc>
          <w:tcPr>
            <w:tcW w:w="3685" w:type="dxa"/>
            <w:tcBorders>
              <w:top w:val="nil"/>
              <w:left w:val="nil"/>
              <w:bottom w:val="nil"/>
              <w:right w:val="nil"/>
            </w:tcBorders>
            <w:shd w:val="clear" w:color="auto" w:fill="auto"/>
            <w:noWrap/>
            <w:vAlign w:val="bottom"/>
            <w:hideMark/>
          </w:tcPr>
          <w:p w14:paraId="6E8BAAEF" w14:textId="0FEF17EC" w:rsidR="002C16E4" w:rsidRPr="004865E7" w:rsidRDefault="00F743FC" w:rsidP="00ED34B9">
            <w:pPr>
              <w:widowControl/>
              <w:adjustRightInd w:val="0"/>
              <w:snapToGrid w:val="0"/>
              <w:spacing w:line="360" w:lineRule="auto"/>
              <w:rPr>
                <w:rFonts w:ascii="Book Antiqua" w:eastAsia="SimSun" w:hAnsi="Book Antiqua" w:cs="Times New Roman"/>
                <w:kern w:val="0"/>
                <w:lang w:eastAsia="zh-CN"/>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U</w:t>
            </w:r>
            <w:r w:rsidR="00ED34B9" w:rsidRPr="004865E7">
              <w:rPr>
                <w:rFonts w:ascii="Book Antiqua" w:eastAsia="SimSun" w:hAnsi="Book Antiqua" w:cs="Times New Roman" w:hint="eastAsia"/>
                <w:kern w:val="0"/>
                <w:lang w:eastAsia="zh-CN"/>
              </w:rPr>
              <w:t>nited Kingdom</w:t>
            </w:r>
          </w:p>
        </w:tc>
        <w:tc>
          <w:tcPr>
            <w:tcW w:w="2322" w:type="dxa"/>
            <w:tcBorders>
              <w:top w:val="nil"/>
              <w:left w:val="nil"/>
              <w:bottom w:val="nil"/>
              <w:right w:val="nil"/>
            </w:tcBorders>
            <w:shd w:val="clear" w:color="auto" w:fill="auto"/>
            <w:noWrap/>
            <w:vAlign w:val="center"/>
            <w:hideMark/>
          </w:tcPr>
          <w:p w14:paraId="7F29908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711" w:type="dxa"/>
            <w:tcBorders>
              <w:top w:val="nil"/>
              <w:left w:val="nil"/>
              <w:bottom w:val="nil"/>
              <w:right w:val="nil"/>
            </w:tcBorders>
            <w:shd w:val="clear" w:color="auto" w:fill="auto"/>
            <w:noWrap/>
            <w:vAlign w:val="center"/>
            <w:hideMark/>
          </w:tcPr>
          <w:p w14:paraId="789B69A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782" w:type="dxa"/>
            <w:vMerge w:val="restart"/>
            <w:tcBorders>
              <w:top w:val="nil"/>
              <w:left w:val="nil"/>
              <w:bottom w:val="nil"/>
              <w:right w:val="nil"/>
            </w:tcBorders>
            <w:shd w:val="clear" w:color="auto" w:fill="auto"/>
            <w:noWrap/>
            <w:vAlign w:val="center"/>
            <w:hideMark/>
          </w:tcPr>
          <w:p w14:paraId="7D3041CA" w14:textId="5C7EA2D3"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w:t>
            </w:r>
            <w:r w:rsidR="00ED34B9" w:rsidRPr="004865E7">
              <w:rPr>
                <w:rFonts w:ascii="Book Antiqua" w:eastAsia="SimSun" w:hAnsi="Book Antiqua" w:cs="Times New Roman" w:hint="eastAsia"/>
                <w:bCs/>
                <w:kern w:val="0"/>
                <w:lang w:eastAsia="zh-CN"/>
              </w:rPr>
              <w:t xml:space="preserve"> </w:t>
            </w:r>
            <w:r w:rsidRPr="004865E7">
              <w:rPr>
                <w:rFonts w:ascii="Book Antiqua" w:eastAsia="MS PGothic" w:hAnsi="Book Antiqua" w:cs="Times New Roman"/>
                <w:bCs/>
                <w:kern w:val="0"/>
              </w:rPr>
              <w:t>0.001</w:t>
            </w:r>
          </w:p>
        </w:tc>
      </w:tr>
      <w:tr w:rsidR="002C16E4" w:rsidRPr="004865E7" w14:paraId="2DF198A6" w14:textId="77777777" w:rsidTr="00D820C6">
        <w:trPr>
          <w:trHeight w:val="360"/>
        </w:trPr>
        <w:tc>
          <w:tcPr>
            <w:tcW w:w="3685" w:type="dxa"/>
            <w:tcBorders>
              <w:top w:val="nil"/>
              <w:left w:val="nil"/>
              <w:bottom w:val="nil"/>
              <w:right w:val="nil"/>
            </w:tcBorders>
            <w:shd w:val="clear" w:color="auto" w:fill="auto"/>
            <w:noWrap/>
            <w:vAlign w:val="bottom"/>
            <w:hideMark/>
          </w:tcPr>
          <w:p w14:paraId="51F34F7A" w14:textId="4E57BEB1"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Japan</w:t>
            </w:r>
          </w:p>
        </w:tc>
        <w:tc>
          <w:tcPr>
            <w:tcW w:w="2322" w:type="dxa"/>
            <w:tcBorders>
              <w:top w:val="nil"/>
              <w:left w:val="nil"/>
              <w:bottom w:val="nil"/>
              <w:right w:val="nil"/>
            </w:tcBorders>
            <w:shd w:val="clear" w:color="auto" w:fill="auto"/>
            <w:vAlign w:val="center"/>
            <w:hideMark/>
          </w:tcPr>
          <w:p w14:paraId="7E3CDF4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0.22</w:t>
            </w:r>
          </w:p>
        </w:tc>
        <w:tc>
          <w:tcPr>
            <w:tcW w:w="1711" w:type="dxa"/>
            <w:tcBorders>
              <w:top w:val="nil"/>
              <w:left w:val="nil"/>
              <w:bottom w:val="nil"/>
              <w:right w:val="nil"/>
            </w:tcBorders>
            <w:shd w:val="clear" w:color="auto" w:fill="auto"/>
            <w:vAlign w:val="center"/>
            <w:hideMark/>
          </w:tcPr>
          <w:p w14:paraId="004E661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0.11–0.43</w:t>
            </w:r>
          </w:p>
        </w:tc>
        <w:tc>
          <w:tcPr>
            <w:tcW w:w="1782" w:type="dxa"/>
            <w:vMerge/>
            <w:tcBorders>
              <w:top w:val="nil"/>
              <w:left w:val="nil"/>
              <w:bottom w:val="nil"/>
              <w:right w:val="nil"/>
            </w:tcBorders>
            <w:vAlign w:val="center"/>
            <w:hideMark/>
          </w:tcPr>
          <w:p w14:paraId="5AB0066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051BE0EC" w14:textId="77777777" w:rsidTr="00D820C6">
        <w:trPr>
          <w:trHeight w:val="360"/>
        </w:trPr>
        <w:tc>
          <w:tcPr>
            <w:tcW w:w="3685" w:type="dxa"/>
            <w:tcBorders>
              <w:top w:val="nil"/>
              <w:left w:val="nil"/>
              <w:bottom w:val="nil"/>
              <w:right w:val="nil"/>
            </w:tcBorders>
            <w:shd w:val="clear" w:color="auto" w:fill="auto"/>
            <w:noWrap/>
            <w:vAlign w:val="bottom"/>
            <w:hideMark/>
          </w:tcPr>
          <w:p w14:paraId="2879DF43"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22" w:type="dxa"/>
            <w:tcBorders>
              <w:top w:val="nil"/>
              <w:left w:val="nil"/>
              <w:bottom w:val="nil"/>
              <w:right w:val="nil"/>
            </w:tcBorders>
            <w:shd w:val="clear" w:color="auto" w:fill="auto"/>
            <w:noWrap/>
            <w:vAlign w:val="center"/>
            <w:hideMark/>
          </w:tcPr>
          <w:p w14:paraId="6676E7B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7AA3C07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771BEB3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540A184F" w14:textId="77777777" w:rsidTr="00D820C6">
        <w:trPr>
          <w:trHeight w:val="360"/>
        </w:trPr>
        <w:tc>
          <w:tcPr>
            <w:tcW w:w="3685" w:type="dxa"/>
            <w:tcBorders>
              <w:top w:val="nil"/>
              <w:left w:val="nil"/>
              <w:bottom w:val="nil"/>
              <w:right w:val="nil"/>
            </w:tcBorders>
            <w:shd w:val="clear" w:color="auto" w:fill="auto"/>
            <w:noWrap/>
            <w:vAlign w:val="bottom"/>
            <w:hideMark/>
          </w:tcPr>
          <w:p w14:paraId="199070EA" w14:textId="479B7D0C" w:rsidR="002C16E4" w:rsidRPr="004865E7" w:rsidRDefault="00314767"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i/>
                <w:kern w:val="0"/>
              </w:rPr>
              <w:t xml:space="preserve">Helicobacter pylori </w:t>
            </w:r>
            <w:r w:rsidR="002C16E4" w:rsidRPr="004865E7">
              <w:rPr>
                <w:rFonts w:ascii="Book Antiqua" w:eastAsia="MS PGothic" w:hAnsi="Book Antiqua" w:cs="Times New Roman"/>
                <w:kern w:val="0"/>
              </w:rPr>
              <w:t>IgG</w:t>
            </w:r>
          </w:p>
        </w:tc>
        <w:tc>
          <w:tcPr>
            <w:tcW w:w="2322" w:type="dxa"/>
            <w:tcBorders>
              <w:top w:val="nil"/>
              <w:left w:val="nil"/>
              <w:bottom w:val="nil"/>
              <w:right w:val="nil"/>
            </w:tcBorders>
            <w:shd w:val="clear" w:color="auto" w:fill="auto"/>
            <w:noWrap/>
            <w:vAlign w:val="center"/>
            <w:hideMark/>
          </w:tcPr>
          <w:p w14:paraId="554876C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711" w:type="dxa"/>
            <w:tcBorders>
              <w:top w:val="nil"/>
              <w:left w:val="nil"/>
              <w:bottom w:val="nil"/>
              <w:right w:val="nil"/>
            </w:tcBorders>
            <w:shd w:val="clear" w:color="auto" w:fill="auto"/>
            <w:noWrap/>
            <w:vAlign w:val="center"/>
            <w:hideMark/>
          </w:tcPr>
          <w:p w14:paraId="5802A6B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782" w:type="dxa"/>
            <w:tcBorders>
              <w:top w:val="nil"/>
              <w:left w:val="nil"/>
              <w:bottom w:val="nil"/>
              <w:right w:val="nil"/>
            </w:tcBorders>
            <w:shd w:val="clear" w:color="auto" w:fill="auto"/>
            <w:noWrap/>
            <w:vAlign w:val="center"/>
            <w:hideMark/>
          </w:tcPr>
          <w:p w14:paraId="78C260D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2FE43162" w14:textId="77777777" w:rsidTr="00D820C6">
        <w:trPr>
          <w:trHeight w:val="360"/>
        </w:trPr>
        <w:tc>
          <w:tcPr>
            <w:tcW w:w="3685" w:type="dxa"/>
            <w:tcBorders>
              <w:top w:val="nil"/>
              <w:left w:val="nil"/>
              <w:bottom w:val="nil"/>
              <w:right w:val="nil"/>
            </w:tcBorders>
            <w:shd w:val="clear" w:color="auto" w:fill="auto"/>
            <w:noWrap/>
            <w:vAlign w:val="bottom"/>
            <w:hideMark/>
          </w:tcPr>
          <w:p w14:paraId="22536073" w14:textId="5FB882FF"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negative</w:t>
            </w:r>
          </w:p>
        </w:tc>
        <w:tc>
          <w:tcPr>
            <w:tcW w:w="2322" w:type="dxa"/>
            <w:tcBorders>
              <w:top w:val="nil"/>
              <w:left w:val="nil"/>
              <w:bottom w:val="nil"/>
              <w:right w:val="nil"/>
            </w:tcBorders>
            <w:shd w:val="clear" w:color="auto" w:fill="auto"/>
            <w:noWrap/>
            <w:vAlign w:val="center"/>
            <w:hideMark/>
          </w:tcPr>
          <w:p w14:paraId="73A7D5C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711" w:type="dxa"/>
            <w:tcBorders>
              <w:top w:val="nil"/>
              <w:left w:val="nil"/>
              <w:bottom w:val="nil"/>
              <w:right w:val="nil"/>
            </w:tcBorders>
            <w:shd w:val="clear" w:color="auto" w:fill="auto"/>
            <w:noWrap/>
            <w:vAlign w:val="center"/>
            <w:hideMark/>
          </w:tcPr>
          <w:p w14:paraId="08C0D70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Referent</w:t>
            </w:r>
          </w:p>
        </w:tc>
        <w:tc>
          <w:tcPr>
            <w:tcW w:w="1782" w:type="dxa"/>
            <w:vMerge w:val="restart"/>
            <w:tcBorders>
              <w:top w:val="nil"/>
              <w:left w:val="nil"/>
              <w:bottom w:val="nil"/>
              <w:right w:val="nil"/>
            </w:tcBorders>
            <w:shd w:val="clear" w:color="auto" w:fill="auto"/>
            <w:noWrap/>
            <w:vAlign w:val="center"/>
            <w:hideMark/>
          </w:tcPr>
          <w:p w14:paraId="6906407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0.268</w:t>
            </w:r>
          </w:p>
        </w:tc>
      </w:tr>
      <w:tr w:rsidR="002C16E4" w:rsidRPr="004865E7" w14:paraId="70B2CCDE" w14:textId="77777777" w:rsidTr="00D820C6">
        <w:trPr>
          <w:trHeight w:val="360"/>
        </w:trPr>
        <w:tc>
          <w:tcPr>
            <w:tcW w:w="3685" w:type="dxa"/>
            <w:tcBorders>
              <w:top w:val="nil"/>
              <w:left w:val="nil"/>
              <w:bottom w:val="nil"/>
              <w:right w:val="nil"/>
            </w:tcBorders>
            <w:shd w:val="clear" w:color="auto" w:fill="auto"/>
            <w:noWrap/>
            <w:vAlign w:val="bottom"/>
            <w:hideMark/>
          </w:tcPr>
          <w:p w14:paraId="604744C2" w14:textId="6E9C1F39"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positive</w:t>
            </w:r>
          </w:p>
        </w:tc>
        <w:tc>
          <w:tcPr>
            <w:tcW w:w="2322" w:type="dxa"/>
            <w:tcBorders>
              <w:top w:val="nil"/>
              <w:left w:val="nil"/>
              <w:bottom w:val="nil"/>
              <w:right w:val="nil"/>
            </w:tcBorders>
            <w:shd w:val="clear" w:color="auto" w:fill="auto"/>
            <w:vAlign w:val="center"/>
            <w:hideMark/>
          </w:tcPr>
          <w:p w14:paraId="29259D3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0.6</w:t>
            </w:r>
          </w:p>
        </w:tc>
        <w:tc>
          <w:tcPr>
            <w:tcW w:w="1711" w:type="dxa"/>
            <w:tcBorders>
              <w:top w:val="nil"/>
              <w:left w:val="nil"/>
              <w:bottom w:val="nil"/>
              <w:right w:val="nil"/>
            </w:tcBorders>
            <w:shd w:val="clear" w:color="auto" w:fill="auto"/>
            <w:vAlign w:val="center"/>
            <w:hideMark/>
          </w:tcPr>
          <w:p w14:paraId="230E3A6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0.31–1.38</w:t>
            </w:r>
          </w:p>
        </w:tc>
        <w:tc>
          <w:tcPr>
            <w:tcW w:w="1782" w:type="dxa"/>
            <w:vMerge/>
            <w:tcBorders>
              <w:top w:val="nil"/>
              <w:left w:val="nil"/>
              <w:bottom w:val="nil"/>
              <w:right w:val="nil"/>
            </w:tcBorders>
            <w:vAlign w:val="center"/>
            <w:hideMark/>
          </w:tcPr>
          <w:p w14:paraId="73E343F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3C2E493A" w14:textId="77777777" w:rsidTr="00D820C6">
        <w:trPr>
          <w:trHeight w:val="360"/>
        </w:trPr>
        <w:tc>
          <w:tcPr>
            <w:tcW w:w="3685" w:type="dxa"/>
            <w:tcBorders>
              <w:top w:val="nil"/>
              <w:left w:val="nil"/>
              <w:bottom w:val="nil"/>
              <w:right w:val="nil"/>
            </w:tcBorders>
            <w:shd w:val="clear" w:color="auto" w:fill="auto"/>
            <w:noWrap/>
            <w:vAlign w:val="bottom"/>
            <w:hideMark/>
          </w:tcPr>
          <w:p w14:paraId="166A49C7"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22" w:type="dxa"/>
            <w:tcBorders>
              <w:top w:val="nil"/>
              <w:left w:val="nil"/>
              <w:bottom w:val="nil"/>
              <w:right w:val="nil"/>
            </w:tcBorders>
            <w:shd w:val="clear" w:color="auto" w:fill="auto"/>
            <w:noWrap/>
            <w:vAlign w:val="bottom"/>
            <w:hideMark/>
          </w:tcPr>
          <w:p w14:paraId="069D04C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bottom"/>
            <w:hideMark/>
          </w:tcPr>
          <w:p w14:paraId="50CD039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640F5B4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1459F27F" w14:textId="77777777" w:rsidTr="00D820C6">
        <w:trPr>
          <w:trHeight w:val="360"/>
        </w:trPr>
        <w:tc>
          <w:tcPr>
            <w:tcW w:w="3685" w:type="dxa"/>
            <w:tcBorders>
              <w:top w:val="nil"/>
              <w:left w:val="nil"/>
              <w:bottom w:val="nil"/>
              <w:right w:val="nil"/>
            </w:tcBorders>
            <w:shd w:val="clear" w:color="auto" w:fill="auto"/>
            <w:noWrap/>
            <w:vAlign w:val="bottom"/>
            <w:hideMark/>
          </w:tcPr>
          <w:p w14:paraId="56BC0F02" w14:textId="1B38C8D2" w:rsidR="002C16E4" w:rsidRPr="004865E7" w:rsidRDefault="002C16E4" w:rsidP="00FA3CB2">
            <w:pPr>
              <w:widowControl/>
              <w:adjustRightInd w:val="0"/>
              <w:snapToGrid w:val="0"/>
              <w:spacing w:line="360" w:lineRule="auto"/>
              <w:rPr>
                <w:rFonts w:ascii="Book Antiqua" w:eastAsia="SimSun" w:hAnsi="Book Antiqua" w:cs="Times New Roman"/>
                <w:kern w:val="0"/>
                <w:lang w:eastAsia="zh-CN"/>
              </w:rPr>
            </w:pPr>
            <w:r w:rsidRPr="004865E7">
              <w:rPr>
                <w:rFonts w:ascii="Book Antiqua" w:eastAsia="MS PGothic" w:hAnsi="Book Antiqua" w:cs="Times New Roman"/>
                <w:kern w:val="0"/>
              </w:rPr>
              <w:t>Age</w:t>
            </w:r>
            <w:r w:rsidR="00ED34B9" w:rsidRPr="004865E7">
              <w:rPr>
                <w:rFonts w:ascii="Book Antiqua" w:eastAsia="SimSun" w:hAnsi="Book Antiqua" w:cs="Times New Roman" w:hint="eastAsia"/>
                <w:kern w:val="0"/>
                <w:lang w:eastAsia="zh-CN"/>
              </w:rPr>
              <w:t xml:space="preserve"> (yr)</w:t>
            </w:r>
          </w:p>
        </w:tc>
        <w:tc>
          <w:tcPr>
            <w:tcW w:w="2322" w:type="dxa"/>
            <w:tcBorders>
              <w:top w:val="nil"/>
              <w:left w:val="nil"/>
              <w:bottom w:val="nil"/>
              <w:right w:val="nil"/>
            </w:tcBorders>
            <w:shd w:val="clear" w:color="auto" w:fill="auto"/>
            <w:noWrap/>
            <w:vAlign w:val="center"/>
            <w:hideMark/>
          </w:tcPr>
          <w:p w14:paraId="0798B0D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07C6192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55BED0B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1D9DBBF" w14:textId="77777777" w:rsidTr="00D820C6">
        <w:trPr>
          <w:trHeight w:val="360"/>
        </w:trPr>
        <w:tc>
          <w:tcPr>
            <w:tcW w:w="3685" w:type="dxa"/>
            <w:tcBorders>
              <w:top w:val="nil"/>
              <w:left w:val="nil"/>
              <w:bottom w:val="nil"/>
              <w:right w:val="nil"/>
            </w:tcBorders>
            <w:shd w:val="clear" w:color="auto" w:fill="auto"/>
            <w:noWrap/>
            <w:vAlign w:val="bottom"/>
            <w:hideMark/>
          </w:tcPr>
          <w:p w14:paraId="59B8A8D5" w14:textId="5F162AEA" w:rsidR="002C16E4" w:rsidRPr="004865E7" w:rsidRDefault="00F743FC"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&lt;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 xml:space="preserve">50 </w:t>
            </w:r>
          </w:p>
        </w:tc>
        <w:tc>
          <w:tcPr>
            <w:tcW w:w="2322" w:type="dxa"/>
            <w:tcBorders>
              <w:top w:val="nil"/>
              <w:left w:val="nil"/>
              <w:bottom w:val="nil"/>
              <w:right w:val="nil"/>
            </w:tcBorders>
            <w:shd w:val="clear" w:color="auto" w:fill="auto"/>
            <w:noWrap/>
            <w:vAlign w:val="center"/>
            <w:hideMark/>
          </w:tcPr>
          <w:p w14:paraId="1C31E42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711" w:type="dxa"/>
            <w:tcBorders>
              <w:top w:val="nil"/>
              <w:left w:val="nil"/>
              <w:bottom w:val="nil"/>
              <w:right w:val="nil"/>
            </w:tcBorders>
            <w:shd w:val="clear" w:color="auto" w:fill="auto"/>
            <w:noWrap/>
            <w:vAlign w:val="center"/>
            <w:hideMark/>
          </w:tcPr>
          <w:p w14:paraId="410A477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782" w:type="dxa"/>
            <w:vMerge w:val="restart"/>
            <w:tcBorders>
              <w:top w:val="nil"/>
              <w:left w:val="nil"/>
              <w:bottom w:val="nil"/>
              <w:right w:val="nil"/>
            </w:tcBorders>
            <w:shd w:val="clear" w:color="auto" w:fill="auto"/>
            <w:noWrap/>
            <w:vAlign w:val="center"/>
            <w:hideMark/>
          </w:tcPr>
          <w:p w14:paraId="4263986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0.008</w:t>
            </w:r>
          </w:p>
        </w:tc>
      </w:tr>
      <w:tr w:rsidR="002C16E4" w:rsidRPr="004865E7" w14:paraId="2C77BF37" w14:textId="77777777" w:rsidTr="00D820C6">
        <w:trPr>
          <w:trHeight w:val="360"/>
        </w:trPr>
        <w:tc>
          <w:tcPr>
            <w:tcW w:w="3685" w:type="dxa"/>
            <w:tcBorders>
              <w:top w:val="nil"/>
              <w:left w:val="nil"/>
              <w:bottom w:val="nil"/>
              <w:right w:val="nil"/>
            </w:tcBorders>
            <w:shd w:val="clear" w:color="auto" w:fill="auto"/>
            <w:noWrap/>
            <w:vAlign w:val="bottom"/>
            <w:hideMark/>
          </w:tcPr>
          <w:p w14:paraId="1DCFD055" w14:textId="7352D728" w:rsidR="002C16E4" w:rsidRPr="004865E7" w:rsidRDefault="00F743FC"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 xml:space="preserve">50 </w:t>
            </w:r>
          </w:p>
        </w:tc>
        <w:tc>
          <w:tcPr>
            <w:tcW w:w="2322" w:type="dxa"/>
            <w:tcBorders>
              <w:top w:val="nil"/>
              <w:left w:val="nil"/>
              <w:bottom w:val="nil"/>
              <w:right w:val="nil"/>
            </w:tcBorders>
            <w:shd w:val="clear" w:color="auto" w:fill="auto"/>
            <w:vAlign w:val="center"/>
            <w:hideMark/>
          </w:tcPr>
          <w:p w14:paraId="48780B3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0.32</w:t>
            </w:r>
          </w:p>
        </w:tc>
        <w:tc>
          <w:tcPr>
            <w:tcW w:w="1711" w:type="dxa"/>
            <w:tcBorders>
              <w:top w:val="nil"/>
              <w:left w:val="nil"/>
              <w:bottom w:val="nil"/>
              <w:right w:val="nil"/>
            </w:tcBorders>
            <w:shd w:val="clear" w:color="auto" w:fill="auto"/>
            <w:vAlign w:val="center"/>
            <w:hideMark/>
          </w:tcPr>
          <w:p w14:paraId="405358F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0.16</w:t>
            </w:r>
            <w:r w:rsidRPr="004865E7">
              <w:rPr>
                <w:rFonts w:ascii="Book Antiqua" w:eastAsia="MS PGothic" w:hAnsi="Book Antiqua" w:cs="Times New Roman"/>
                <w:kern w:val="0"/>
              </w:rPr>
              <w:t>–0.66</w:t>
            </w:r>
          </w:p>
        </w:tc>
        <w:tc>
          <w:tcPr>
            <w:tcW w:w="1782" w:type="dxa"/>
            <w:vMerge/>
            <w:tcBorders>
              <w:top w:val="nil"/>
              <w:left w:val="nil"/>
              <w:bottom w:val="nil"/>
              <w:right w:val="nil"/>
            </w:tcBorders>
            <w:vAlign w:val="center"/>
            <w:hideMark/>
          </w:tcPr>
          <w:p w14:paraId="588975C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36DD4DBC" w14:textId="77777777" w:rsidTr="00D820C6">
        <w:trPr>
          <w:trHeight w:val="360"/>
        </w:trPr>
        <w:tc>
          <w:tcPr>
            <w:tcW w:w="3685" w:type="dxa"/>
            <w:tcBorders>
              <w:top w:val="nil"/>
              <w:left w:val="nil"/>
              <w:bottom w:val="nil"/>
              <w:right w:val="nil"/>
            </w:tcBorders>
            <w:shd w:val="clear" w:color="auto" w:fill="auto"/>
            <w:noWrap/>
            <w:vAlign w:val="bottom"/>
            <w:hideMark/>
          </w:tcPr>
          <w:p w14:paraId="08EF60C0"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22" w:type="dxa"/>
            <w:tcBorders>
              <w:top w:val="nil"/>
              <w:left w:val="nil"/>
              <w:bottom w:val="nil"/>
              <w:right w:val="nil"/>
            </w:tcBorders>
            <w:shd w:val="clear" w:color="auto" w:fill="auto"/>
            <w:noWrap/>
            <w:vAlign w:val="center"/>
            <w:hideMark/>
          </w:tcPr>
          <w:p w14:paraId="625F48F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7C7F13C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3227AB2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23B607D9" w14:textId="77777777" w:rsidTr="00D820C6">
        <w:trPr>
          <w:trHeight w:val="360"/>
        </w:trPr>
        <w:tc>
          <w:tcPr>
            <w:tcW w:w="3685" w:type="dxa"/>
            <w:tcBorders>
              <w:top w:val="nil"/>
              <w:left w:val="nil"/>
              <w:bottom w:val="nil"/>
              <w:right w:val="nil"/>
            </w:tcBorders>
            <w:shd w:val="clear" w:color="auto" w:fill="auto"/>
            <w:noWrap/>
            <w:vAlign w:val="bottom"/>
            <w:hideMark/>
          </w:tcPr>
          <w:p w14:paraId="62FBEDFA"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Pepsinogen I/II ratio</w:t>
            </w:r>
          </w:p>
        </w:tc>
        <w:tc>
          <w:tcPr>
            <w:tcW w:w="2322" w:type="dxa"/>
            <w:tcBorders>
              <w:top w:val="nil"/>
              <w:left w:val="nil"/>
              <w:bottom w:val="nil"/>
              <w:right w:val="nil"/>
            </w:tcBorders>
            <w:shd w:val="clear" w:color="auto" w:fill="auto"/>
            <w:noWrap/>
            <w:vAlign w:val="center"/>
            <w:hideMark/>
          </w:tcPr>
          <w:p w14:paraId="75E5710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7E2CFD6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1F01D0D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73300ACD" w14:textId="77777777" w:rsidTr="00D820C6">
        <w:trPr>
          <w:trHeight w:val="360"/>
        </w:trPr>
        <w:tc>
          <w:tcPr>
            <w:tcW w:w="3685" w:type="dxa"/>
            <w:tcBorders>
              <w:top w:val="nil"/>
              <w:left w:val="nil"/>
              <w:bottom w:val="nil"/>
              <w:right w:val="nil"/>
            </w:tcBorders>
            <w:shd w:val="clear" w:color="auto" w:fill="auto"/>
            <w:noWrap/>
            <w:vAlign w:val="bottom"/>
            <w:hideMark/>
          </w:tcPr>
          <w:p w14:paraId="1957E2B5" w14:textId="5FB45C9D"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&gt;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3.0</w:t>
            </w:r>
          </w:p>
        </w:tc>
        <w:tc>
          <w:tcPr>
            <w:tcW w:w="2322" w:type="dxa"/>
            <w:tcBorders>
              <w:top w:val="nil"/>
              <w:left w:val="nil"/>
              <w:bottom w:val="nil"/>
              <w:right w:val="nil"/>
            </w:tcBorders>
            <w:shd w:val="clear" w:color="auto" w:fill="auto"/>
            <w:noWrap/>
            <w:vAlign w:val="center"/>
            <w:hideMark/>
          </w:tcPr>
          <w:p w14:paraId="5BA0E92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711" w:type="dxa"/>
            <w:tcBorders>
              <w:top w:val="nil"/>
              <w:left w:val="nil"/>
              <w:bottom w:val="nil"/>
              <w:right w:val="nil"/>
            </w:tcBorders>
            <w:shd w:val="clear" w:color="auto" w:fill="auto"/>
            <w:noWrap/>
            <w:vAlign w:val="center"/>
            <w:hideMark/>
          </w:tcPr>
          <w:p w14:paraId="471E891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Referent</w:t>
            </w:r>
          </w:p>
        </w:tc>
        <w:tc>
          <w:tcPr>
            <w:tcW w:w="1782" w:type="dxa"/>
            <w:vMerge w:val="restart"/>
            <w:tcBorders>
              <w:top w:val="nil"/>
              <w:left w:val="nil"/>
              <w:bottom w:val="nil"/>
              <w:right w:val="nil"/>
            </w:tcBorders>
            <w:shd w:val="clear" w:color="auto" w:fill="auto"/>
            <w:noWrap/>
            <w:vAlign w:val="center"/>
            <w:hideMark/>
          </w:tcPr>
          <w:p w14:paraId="797E091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0.328</w:t>
            </w:r>
          </w:p>
        </w:tc>
      </w:tr>
      <w:tr w:rsidR="002C16E4" w:rsidRPr="004865E7" w14:paraId="61E24463" w14:textId="77777777" w:rsidTr="00D820C6">
        <w:trPr>
          <w:trHeight w:val="360"/>
        </w:trPr>
        <w:tc>
          <w:tcPr>
            <w:tcW w:w="3685" w:type="dxa"/>
            <w:tcBorders>
              <w:top w:val="nil"/>
              <w:left w:val="nil"/>
              <w:bottom w:val="nil"/>
              <w:right w:val="nil"/>
            </w:tcBorders>
            <w:shd w:val="clear" w:color="auto" w:fill="auto"/>
            <w:noWrap/>
            <w:vAlign w:val="bottom"/>
            <w:hideMark/>
          </w:tcPr>
          <w:p w14:paraId="151B4B18" w14:textId="4EDCD728"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2C16E4" w:rsidRPr="004865E7">
              <w:rPr>
                <w:rFonts w:ascii="Book Antiqua" w:eastAsia="MS PGothic" w:hAnsi="Book Antiqua" w:cs="Times New Roman"/>
                <w:kern w:val="0"/>
              </w:rPr>
              <w:t>≤</w:t>
            </w:r>
            <w:r w:rsidR="00ED34B9" w:rsidRPr="004865E7">
              <w:rPr>
                <w:rFonts w:ascii="Book Antiqua" w:eastAsia="SimSun" w:hAnsi="Book Antiqua" w:cs="Times New Roman" w:hint="eastAsia"/>
                <w:kern w:val="0"/>
                <w:lang w:eastAsia="zh-CN"/>
              </w:rPr>
              <w:t xml:space="preserve"> </w:t>
            </w:r>
            <w:r w:rsidR="002C16E4" w:rsidRPr="004865E7">
              <w:rPr>
                <w:rFonts w:ascii="Book Antiqua" w:eastAsia="MS PGothic" w:hAnsi="Book Antiqua" w:cs="Times New Roman"/>
                <w:kern w:val="0"/>
              </w:rPr>
              <w:t>3.0</w:t>
            </w:r>
          </w:p>
        </w:tc>
        <w:tc>
          <w:tcPr>
            <w:tcW w:w="2322" w:type="dxa"/>
            <w:tcBorders>
              <w:top w:val="nil"/>
              <w:left w:val="nil"/>
              <w:bottom w:val="nil"/>
              <w:right w:val="nil"/>
            </w:tcBorders>
            <w:shd w:val="clear" w:color="auto" w:fill="auto"/>
            <w:vAlign w:val="center"/>
            <w:hideMark/>
          </w:tcPr>
          <w:p w14:paraId="531C8B7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1.50</w:t>
            </w:r>
          </w:p>
        </w:tc>
        <w:tc>
          <w:tcPr>
            <w:tcW w:w="1711" w:type="dxa"/>
            <w:tcBorders>
              <w:top w:val="nil"/>
              <w:left w:val="nil"/>
              <w:bottom w:val="nil"/>
              <w:right w:val="nil"/>
            </w:tcBorders>
            <w:shd w:val="clear" w:color="auto" w:fill="auto"/>
            <w:vAlign w:val="center"/>
            <w:hideMark/>
          </w:tcPr>
          <w:p w14:paraId="09204E5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0.67–3.35</w:t>
            </w:r>
          </w:p>
        </w:tc>
        <w:tc>
          <w:tcPr>
            <w:tcW w:w="1782" w:type="dxa"/>
            <w:vMerge/>
            <w:tcBorders>
              <w:top w:val="nil"/>
              <w:left w:val="nil"/>
              <w:bottom w:val="nil"/>
              <w:right w:val="nil"/>
            </w:tcBorders>
            <w:vAlign w:val="center"/>
            <w:hideMark/>
          </w:tcPr>
          <w:p w14:paraId="376968B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1C461610" w14:textId="77777777" w:rsidTr="00D820C6">
        <w:trPr>
          <w:trHeight w:val="360"/>
        </w:trPr>
        <w:tc>
          <w:tcPr>
            <w:tcW w:w="3685" w:type="dxa"/>
            <w:tcBorders>
              <w:top w:val="nil"/>
              <w:left w:val="nil"/>
              <w:bottom w:val="nil"/>
              <w:right w:val="nil"/>
            </w:tcBorders>
            <w:shd w:val="clear" w:color="auto" w:fill="auto"/>
            <w:noWrap/>
            <w:vAlign w:val="bottom"/>
            <w:hideMark/>
          </w:tcPr>
          <w:p w14:paraId="40666DFF"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22" w:type="dxa"/>
            <w:tcBorders>
              <w:top w:val="nil"/>
              <w:left w:val="nil"/>
              <w:bottom w:val="nil"/>
              <w:right w:val="nil"/>
            </w:tcBorders>
            <w:shd w:val="clear" w:color="auto" w:fill="auto"/>
            <w:noWrap/>
            <w:vAlign w:val="center"/>
            <w:hideMark/>
          </w:tcPr>
          <w:p w14:paraId="349695E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100240C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417ABA3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7A7E00EA" w14:textId="77777777" w:rsidTr="00D820C6">
        <w:trPr>
          <w:trHeight w:val="360"/>
        </w:trPr>
        <w:tc>
          <w:tcPr>
            <w:tcW w:w="3685" w:type="dxa"/>
            <w:tcBorders>
              <w:top w:val="nil"/>
              <w:left w:val="nil"/>
              <w:bottom w:val="nil"/>
              <w:right w:val="nil"/>
            </w:tcBorders>
            <w:shd w:val="clear" w:color="auto" w:fill="auto"/>
            <w:noWrap/>
            <w:vAlign w:val="bottom"/>
            <w:hideMark/>
          </w:tcPr>
          <w:p w14:paraId="47C92DFE"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322" w:type="dxa"/>
            <w:tcBorders>
              <w:top w:val="nil"/>
              <w:left w:val="nil"/>
              <w:bottom w:val="nil"/>
              <w:right w:val="nil"/>
            </w:tcBorders>
            <w:shd w:val="clear" w:color="auto" w:fill="auto"/>
            <w:noWrap/>
            <w:vAlign w:val="center"/>
            <w:hideMark/>
          </w:tcPr>
          <w:p w14:paraId="0BF63C5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nil"/>
              <w:right w:val="nil"/>
            </w:tcBorders>
            <w:shd w:val="clear" w:color="auto" w:fill="auto"/>
            <w:noWrap/>
            <w:vAlign w:val="center"/>
            <w:hideMark/>
          </w:tcPr>
          <w:p w14:paraId="0076CCD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nil"/>
              <w:right w:val="nil"/>
            </w:tcBorders>
            <w:shd w:val="clear" w:color="auto" w:fill="auto"/>
            <w:noWrap/>
            <w:vAlign w:val="center"/>
            <w:hideMark/>
          </w:tcPr>
          <w:p w14:paraId="689D6D7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0B0FFB9" w14:textId="77777777" w:rsidTr="00D820C6">
        <w:trPr>
          <w:trHeight w:val="360"/>
        </w:trPr>
        <w:tc>
          <w:tcPr>
            <w:tcW w:w="3685" w:type="dxa"/>
            <w:tcBorders>
              <w:top w:val="nil"/>
              <w:left w:val="nil"/>
              <w:bottom w:val="nil"/>
              <w:right w:val="nil"/>
            </w:tcBorders>
            <w:shd w:val="clear" w:color="auto" w:fill="auto"/>
            <w:noWrap/>
            <w:vAlign w:val="bottom"/>
            <w:hideMark/>
          </w:tcPr>
          <w:p w14:paraId="4EF618A1" w14:textId="1EA45859"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ED34B9" w:rsidRPr="004865E7">
              <w:rPr>
                <w:rFonts w:ascii="Book Antiqua" w:eastAsia="MS PGothic" w:hAnsi="Book Antiqua" w:cs="Times New Roman"/>
                <w:kern w:val="0"/>
              </w:rPr>
              <w:t xml:space="preserve">No </w:t>
            </w:r>
            <w:r w:rsidR="002C16E4" w:rsidRPr="004865E7">
              <w:rPr>
                <w:rFonts w:ascii="Book Antiqua" w:eastAsia="MS PGothic" w:hAnsi="Book Antiqua" w:cs="Times New Roman"/>
                <w:kern w:val="0"/>
              </w:rPr>
              <w:t>atrophy</w:t>
            </w:r>
          </w:p>
        </w:tc>
        <w:tc>
          <w:tcPr>
            <w:tcW w:w="2322" w:type="dxa"/>
            <w:tcBorders>
              <w:top w:val="nil"/>
              <w:left w:val="nil"/>
              <w:bottom w:val="nil"/>
              <w:right w:val="nil"/>
            </w:tcBorders>
            <w:shd w:val="clear" w:color="auto" w:fill="auto"/>
            <w:noWrap/>
            <w:vAlign w:val="center"/>
            <w:hideMark/>
          </w:tcPr>
          <w:p w14:paraId="521BA9A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1</w:t>
            </w:r>
          </w:p>
        </w:tc>
        <w:tc>
          <w:tcPr>
            <w:tcW w:w="1711" w:type="dxa"/>
            <w:tcBorders>
              <w:top w:val="nil"/>
              <w:left w:val="nil"/>
              <w:bottom w:val="nil"/>
              <w:right w:val="nil"/>
            </w:tcBorders>
            <w:shd w:val="clear" w:color="auto" w:fill="auto"/>
            <w:noWrap/>
            <w:vAlign w:val="center"/>
            <w:hideMark/>
          </w:tcPr>
          <w:p w14:paraId="0A47A13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Referent</w:t>
            </w:r>
          </w:p>
        </w:tc>
        <w:tc>
          <w:tcPr>
            <w:tcW w:w="1782" w:type="dxa"/>
            <w:vMerge w:val="restart"/>
            <w:tcBorders>
              <w:top w:val="nil"/>
              <w:left w:val="nil"/>
              <w:bottom w:val="nil"/>
              <w:right w:val="nil"/>
            </w:tcBorders>
            <w:shd w:val="clear" w:color="auto" w:fill="auto"/>
            <w:noWrap/>
            <w:vAlign w:val="center"/>
            <w:hideMark/>
          </w:tcPr>
          <w:p w14:paraId="78FF9982" w14:textId="5E32C363"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&lt;</w:t>
            </w:r>
            <w:r w:rsidR="00ED34B9" w:rsidRPr="004865E7">
              <w:rPr>
                <w:rFonts w:ascii="Book Antiqua" w:eastAsia="SimSun" w:hAnsi="Book Antiqua" w:cs="Times New Roman" w:hint="eastAsia"/>
                <w:bCs/>
                <w:kern w:val="0"/>
                <w:lang w:eastAsia="zh-CN"/>
              </w:rPr>
              <w:t xml:space="preserve"> </w:t>
            </w:r>
            <w:r w:rsidRPr="004865E7">
              <w:rPr>
                <w:rFonts w:ascii="Book Antiqua" w:eastAsia="MS PGothic" w:hAnsi="Book Antiqua" w:cs="Times New Roman"/>
                <w:bCs/>
                <w:kern w:val="0"/>
              </w:rPr>
              <w:t>0.001</w:t>
            </w:r>
          </w:p>
        </w:tc>
      </w:tr>
      <w:tr w:rsidR="002C16E4" w:rsidRPr="004865E7" w14:paraId="304578BB" w14:textId="77777777" w:rsidTr="00D820C6">
        <w:trPr>
          <w:trHeight w:val="360"/>
        </w:trPr>
        <w:tc>
          <w:tcPr>
            <w:tcW w:w="3685" w:type="dxa"/>
            <w:tcBorders>
              <w:top w:val="nil"/>
              <w:left w:val="nil"/>
              <w:bottom w:val="nil"/>
              <w:right w:val="nil"/>
            </w:tcBorders>
            <w:shd w:val="clear" w:color="auto" w:fill="auto"/>
            <w:noWrap/>
            <w:vAlign w:val="bottom"/>
            <w:hideMark/>
          </w:tcPr>
          <w:p w14:paraId="214F1A7A" w14:textId="5D2911AC" w:rsidR="002C16E4" w:rsidRPr="004865E7" w:rsidRDefault="00F743FC"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 xml:space="preserve"> </w:t>
            </w:r>
            <w:r w:rsidR="00ED34B9" w:rsidRPr="004865E7">
              <w:rPr>
                <w:rFonts w:ascii="Book Antiqua" w:eastAsia="MS PGothic" w:hAnsi="Book Antiqua" w:cs="Times New Roman"/>
                <w:kern w:val="0"/>
              </w:rPr>
              <w:t>Others</w:t>
            </w:r>
          </w:p>
        </w:tc>
        <w:tc>
          <w:tcPr>
            <w:tcW w:w="2322" w:type="dxa"/>
            <w:tcBorders>
              <w:top w:val="nil"/>
              <w:left w:val="nil"/>
              <w:bottom w:val="nil"/>
              <w:right w:val="nil"/>
            </w:tcBorders>
            <w:shd w:val="clear" w:color="auto" w:fill="auto"/>
            <w:vAlign w:val="center"/>
            <w:hideMark/>
          </w:tcPr>
          <w:p w14:paraId="72B76B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Cs/>
                <w:kern w:val="0"/>
              </w:rPr>
            </w:pPr>
            <w:r w:rsidRPr="004865E7">
              <w:rPr>
                <w:rFonts w:ascii="Book Antiqua" w:eastAsia="MS PGothic" w:hAnsi="Book Antiqua" w:cs="Times New Roman"/>
                <w:bCs/>
                <w:kern w:val="0"/>
              </w:rPr>
              <w:t>0.10</w:t>
            </w:r>
          </w:p>
        </w:tc>
        <w:tc>
          <w:tcPr>
            <w:tcW w:w="1711" w:type="dxa"/>
            <w:tcBorders>
              <w:top w:val="nil"/>
              <w:left w:val="nil"/>
              <w:bottom w:val="nil"/>
              <w:right w:val="nil"/>
            </w:tcBorders>
            <w:shd w:val="clear" w:color="auto" w:fill="auto"/>
            <w:vAlign w:val="center"/>
            <w:hideMark/>
          </w:tcPr>
          <w:p w14:paraId="01A8AC0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Cs/>
                <w:kern w:val="0"/>
              </w:rPr>
              <w:t>0.03–0.36</w:t>
            </w:r>
          </w:p>
        </w:tc>
        <w:tc>
          <w:tcPr>
            <w:tcW w:w="1782" w:type="dxa"/>
            <w:vMerge/>
            <w:tcBorders>
              <w:top w:val="nil"/>
              <w:left w:val="nil"/>
              <w:bottom w:val="nil"/>
              <w:right w:val="nil"/>
            </w:tcBorders>
            <w:vAlign w:val="center"/>
            <w:hideMark/>
          </w:tcPr>
          <w:p w14:paraId="3EDC9B7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r>
      <w:tr w:rsidR="002C16E4" w:rsidRPr="004865E7" w14:paraId="545D5B02" w14:textId="77777777" w:rsidTr="00D820C6">
        <w:trPr>
          <w:trHeight w:val="380"/>
        </w:trPr>
        <w:tc>
          <w:tcPr>
            <w:tcW w:w="3685" w:type="dxa"/>
            <w:tcBorders>
              <w:top w:val="nil"/>
              <w:left w:val="nil"/>
              <w:bottom w:val="single" w:sz="12" w:space="0" w:color="auto"/>
              <w:right w:val="nil"/>
            </w:tcBorders>
            <w:shd w:val="clear" w:color="auto" w:fill="auto"/>
            <w:noWrap/>
            <w:vAlign w:val="bottom"/>
            <w:hideMark/>
          </w:tcPr>
          <w:p w14:paraId="743561F7"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322" w:type="dxa"/>
            <w:tcBorders>
              <w:top w:val="nil"/>
              <w:left w:val="nil"/>
              <w:bottom w:val="single" w:sz="12" w:space="0" w:color="auto"/>
              <w:right w:val="nil"/>
            </w:tcBorders>
            <w:shd w:val="clear" w:color="auto" w:fill="auto"/>
            <w:noWrap/>
            <w:vAlign w:val="bottom"/>
            <w:hideMark/>
          </w:tcPr>
          <w:p w14:paraId="3EFC3E3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11" w:type="dxa"/>
            <w:tcBorders>
              <w:top w:val="nil"/>
              <w:left w:val="nil"/>
              <w:bottom w:val="single" w:sz="12" w:space="0" w:color="auto"/>
              <w:right w:val="nil"/>
            </w:tcBorders>
            <w:shd w:val="clear" w:color="auto" w:fill="auto"/>
            <w:noWrap/>
            <w:vAlign w:val="bottom"/>
            <w:hideMark/>
          </w:tcPr>
          <w:p w14:paraId="6DEC673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782" w:type="dxa"/>
            <w:tcBorders>
              <w:top w:val="nil"/>
              <w:left w:val="nil"/>
              <w:bottom w:val="single" w:sz="12" w:space="0" w:color="auto"/>
              <w:right w:val="nil"/>
            </w:tcBorders>
            <w:shd w:val="clear" w:color="auto" w:fill="auto"/>
            <w:noWrap/>
            <w:vAlign w:val="bottom"/>
            <w:hideMark/>
          </w:tcPr>
          <w:p w14:paraId="2140F75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bl>
    <w:p w14:paraId="154D5FAD" w14:textId="12CDD93F" w:rsidR="002C16E4" w:rsidRPr="004865E7" w:rsidRDefault="00ED34B9" w:rsidP="00FA3CB2">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Greater atrophy: Antral predominant, corpus predominant and pan-atrophy</w:t>
      </w:r>
      <w:r w:rsidRPr="004865E7">
        <w:rPr>
          <w:rFonts w:ascii="Book Antiqua" w:hAnsi="Book Antiqua" w:cs="Times" w:hint="eastAsia"/>
          <w:kern w:val="0"/>
        </w:rPr>
        <w:t>.</w:t>
      </w:r>
    </w:p>
    <w:p w14:paraId="545C24D2"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6DFD763C"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FADD5DB"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3AF2085A"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72373DB5"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4C4740DD"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64903EB7" w14:textId="77777777" w:rsidR="002C16E4" w:rsidRPr="004865E7" w:rsidRDefault="002C16E4" w:rsidP="00FA3CB2">
      <w:pPr>
        <w:widowControl/>
        <w:autoSpaceDE w:val="0"/>
        <w:autoSpaceDN w:val="0"/>
        <w:adjustRightInd w:val="0"/>
        <w:snapToGrid w:val="0"/>
        <w:spacing w:line="360" w:lineRule="auto"/>
        <w:rPr>
          <w:rFonts w:ascii="Book Antiqua" w:eastAsia="SimSun" w:hAnsi="Book Antiqua" w:cs="Times"/>
          <w:kern w:val="0"/>
          <w:lang w:eastAsia="zh-CN"/>
        </w:rPr>
      </w:pPr>
    </w:p>
    <w:p w14:paraId="1EA104E0" w14:textId="1CF3D9AE" w:rsidR="00ED34B9" w:rsidRPr="004865E7" w:rsidRDefault="00ED34B9" w:rsidP="00FA3CB2">
      <w:pPr>
        <w:widowControl/>
        <w:autoSpaceDE w:val="0"/>
        <w:autoSpaceDN w:val="0"/>
        <w:adjustRightInd w:val="0"/>
        <w:snapToGrid w:val="0"/>
        <w:spacing w:line="360" w:lineRule="auto"/>
        <w:rPr>
          <w:rFonts w:ascii="Book Antiqua" w:eastAsia="SimSun" w:hAnsi="Book Antiqua" w:cs="Times"/>
          <w:kern w:val="0"/>
          <w:lang w:eastAsia="zh-CN"/>
        </w:rPr>
        <w:sectPr w:rsidR="00ED34B9" w:rsidRPr="004865E7" w:rsidSect="00D820C6">
          <w:pgSz w:w="11901" w:h="16840"/>
          <w:pgMar w:top="1985" w:right="1701" w:bottom="1134" w:left="1276" w:header="720" w:footer="720" w:gutter="0"/>
          <w:cols w:space="720"/>
          <w:noEndnote/>
          <w:docGrid w:linePitch="326" w:charSpace="47547"/>
        </w:sectPr>
      </w:pPr>
      <w:r w:rsidRPr="004865E7">
        <w:rPr>
          <w:rFonts w:ascii="Book Antiqua" w:eastAsia="SimSun" w:hAnsi="Book Antiqua" w:cs="Times"/>
          <w:b/>
          <w:bCs/>
          <w:kern w:val="0"/>
          <w:lang w:eastAsia="zh-CN"/>
        </w:rPr>
        <w:t>Table 5 Cross-tabulation of endoscopic and histological atrophy according to populations</w:t>
      </w:r>
    </w:p>
    <w:tbl>
      <w:tblPr>
        <w:tblW w:w="13765" w:type="dxa"/>
        <w:tblInd w:w="84" w:type="dxa"/>
        <w:tblLayout w:type="fixed"/>
        <w:tblCellMar>
          <w:left w:w="99" w:type="dxa"/>
          <w:right w:w="99" w:type="dxa"/>
        </w:tblCellMar>
        <w:tblLook w:val="04A0" w:firstRow="1" w:lastRow="0" w:firstColumn="1" w:lastColumn="0" w:noHBand="0" w:noVBand="1"/>
      </w:tblPr>
      <w:tblGrid>
        <w:gridCol w:w="1941"/>
        <w:gridCol w:w="2185"/>
        <w:gridCol w:w="1276"/>
        <w:gridCol w:w="1418"/>
        <w:gridCol w:w="1558"/>
        <w:gridCol w:w="1560"/>
        <w:gridCol w:w="1540"/>
        <w:gridCol w:w="870"/>
        <w:gridCol w:w="1417"/>
      </w:tblGrid>
      <w:tr w:rsidR="002C16E4" w:rsidRPr="004865E7" w14:paraId="6B6543E5" w14:textId="77777777" w:rsidTr="00D820C6">
        <w:trPr>
          <w:trHeight w:val="360"/>
        </w:trPr>
        <w:tc>
          <w:tcPr>
            <w:tcW w:w="1941" w:type="dxa"/>
            <w:tcBorders>
              <w:top w:val="single" w:sz="8" w:space="0" w:color="auto"/>
              <w:left w:val="nil"/>
              <w:bottom w:val="nil"/>
              <w:right w:val="nil"/>
            </w:tcBorders>
            <w:shd w:val="clear" w:color="auto" w:fill="auto"/>
            <w:noWrap/>
            <w:vAlign w:val="bottom"/>
            <w:hideMark/>
          </w:tcPr>
          <w:p w14:paraId="234490F7"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2185" w:type="dxa"/>
            <w:tcBorders>
              <w:top w:val="single" w:sz="8" w:space="0" w:color="auto"/>
              <w:left w:val="nil"/>
              <w:bottom w:val="nil"/>
              <w:right w:val="nil"/>
            </w:tcBorders>
            <w:shd w:val="clear" w:color="auto" w:fill="auto"/>
            <w:noWrap/>
            <w:vAlign w:val="bottom"/>
            <w:hideMark/>
          </w:tcPr>
          <w:p w14:paraId="187A1944"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7352" w:type="dxa"/>
            <w:gridSpan w:val="5"/>
            <w:tcBorders>
              <w:top w:val="single" w:sz="8" w:space="0" w:color="auto"/>
              <w:left w:val="nil"/>
              <w:bottom w:val="single" w:sz="4" w:space="0" w:color="auto"/>
              <w:right w:val="nil"/>
            </w:tcBorders>
            <w:shd w:val="clear" w:color="auto" w:fill="auto"/>
            <w:noWrap/>
            <w:vAlign w:val="bottom"/>
            <w:hideMark/>
          </w:tcPr>
          <w:p w14:paraId="1F280EC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Histological atrophy</w:t>
            </w:r>
          </w:p>
        </w:tc>
        <w:tc>
          <w:tcPr>
            <w:tcW w:w="870" w:type="dxa"/>
            <w:vMerge w:val="restart"/>
            <w:tcBorders>
              <w:top w:val="single" w:sz="8" w:space="0" w:color="auto"/>
              <w:left w:val="nil"/>
              <w:bottom w:val="nil"/>
              <w:right w:val="nil"/>
            </w:tcBorders>
            <w:shd w:val="clear" w:color="auto" w:fill="auto"/>
            <w:noWrap/>
            <w:vAlign w:val="center"/>
            <w:hideMark/>
          </w:tcPr>
          <w:p w14:paraId="5ECB062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Total</w:t>
            </w:r>
          </w:p>
        </w:tc>
        <w:tc>
          <w:tcPr>
            <w:tcW w:w="1417" w:type="dxa"/>
            <w:vMerge w:val="restart"/>
            <w:tcBorders>
              <w:top w:val="single" w:sz="8" w:space="0" w:color="auto"/>
              <w:left w:val="nil"/>
              <w:bottom w:val="nil"/>
              <w:right w:val="nil"/>
            </w:tcBorders>
            <w:shd w:val="clear" w:color="auto" w:fill="auto"/>
            <w:noWrap/>
            <w:vAlign w:val="center"/>
            <w:hideMark/>
          </w:tcPr>
          <w:p w14:paraId="2DB74881" w14:textId="12A965B1"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 xml:space="preserve">Weighted </w:t>
            </w:r>
            <w:r w:rsidR="00ED34B9" w:rsidRPr="004865E7">
              <w:rPr>
                <w:rFonts w:ascii="Book Antiqua" w:eastAsia="MS PGothic" w:hAnsi="Book Antiqua" w:cs="Times New Roman"/>
                <w:b/>
                <w:kern w:val="0"/>
              </w:rPr>
              <w:t>κ</w:t>
            </w:r>
            <w:r w:rsidR="00ED34B9" w:rsidRPr="004865E7">
              <w:rPr>
                <w:rFonts w:ascii="Book Antiqua" w:eastAsia="SimSun" w:hAnsi="Book Antiqua" w:cs="Times New Roman" w:hint="eastAsia"/>
                <w:b/>
                <w:kern w:val="0"/>
                <w:lang w:eastAsia="zh-CN"/>
              </w:rPr>
              <w:t xml:space="preserve"> </w:t>
            </w:r>
            <w:r w:rsidRPr="004865E7">
              <w:rPr>
                <w:rFonts w:ascii="Book Antiqua" w:eastAsia="MS PGothic" w:hAnsi="Book Antiqua" w:cs="Times New Roman"/>
                <w:b/>
                <w:kern w:val="0"/>
              </w:rPr>
              <w:t>value</w:t>
            </w:r>
          </w:p>
        </w:tc>
      </w:tr>
      <w:tr w:rsidR="002C16E4" w:rsidRPr="004865E7" w14:paraId="6A6557EC" w14:textId="77777777" w:rsidTr="00D820C6">
        <w:trPr>
          <w:trHeight w:val="360"/>
        </w:trPr>
        <w:tc>
          <w:tcPr>
            <w:tcW w:w="1941" w:type="dxa"/>
            <w:tcBorders>
              <w:top w:val="nil"/>
              <w:left w:val="nil"/>
              <w:bottom w:val="nil"/>
              <w:right w:val="nil"/>
            </w:tcBorders>
            <w:shd w:val="clear" w:color="auto" w:fill="auto"/>
            <w:noWrap/>
            <w:vAlign w:val="bottom"/>
            <w:hideMark/>
          </w:tcPr>
          <w:p w14:paraId="26EA8986" w14:textId="697FA0BA" w:rsidR="002C16E4" w:rsidRPr="004865E7" w:rsidRDefault="002C16E4" w:rsidP="00ED34B9">
            <w:pPr>
              <w:widowControl/>
              <w:adjustRightInd w:val="0"/>
              <w:snapToGrid w:val="0"/>
              <w:spacing w:line="360" w:lineRule="auto"/>
              <w:rPr>
                <w:rFonts w:ascii="Book Antiqua" w:eastAsia="SimSun" w:hAnsi="Book Antiqua" w:cs="Times New Roman"/>
                <w:b/>
                <w:kern w:val="0"/>
                <w:lang w:eastAsia="zh-CN"/>
              </w:rPr>
            </w:pPr>
            <w:r w:rsidRPr="004865E7">
              <w:rPr>
                <w:rFonts w:ascii="Book Antiqua" w:eastAsia="MS PGothic" w:hAnsi="Book Antiqua" w:cs="Times New Roman"/>
                <w:b/>
                <w:kern w:val="0"/>
              </w:rPr>
              <w:t>U</w:t>
            </w:r>
            <w:r w:rsidR="00ED34B9" w:rsidRPr="004865E7">
              <w:rPr>
                <w:rFonts w:ascii="Book Antiqua" w:eastAsia="SimSun" w:hAnsi="Book Antiqua" w:cs="Times New Roman" w:hint="eastAsia"/>
                <w:b/>
                <w:kern w:val="0"/>
                <w:lang w:eastAsia="zh-CN"/>
              </w:rPr>
              <w:t>nited Kingdom</w:t>
            </w:r>
          </w:p>
        </w:tc>
        <w:tc>
          <w:tcPr>
            <w:tcW w:w="2185" w:type="dxa"/>
            <w:tcBorders>
              <w:top w:val="nil"/>
              <w:left w:val="nil"/>
              <w:bottom w:val="nil"/>
              <w:right w:val="nil"/>
            </w:tcBorders>
            <w:shd w:val="clear" w:color="auto" w:fill="auto"/>
            <w:noWrap/>
            <w:vAlign w:val="bottom"/>
            <w:hideMark/>
          </w:tcPr>
          <w:p w14:paraId="0EAAB1B9" w14:textId="77777777" w:rsidR="002C16E4" w:rsidRPr="004865E7" w:rsidRDefault="002C16E4" w:rsidP="00ED34B9">
            <w:pPr>
              <w:widowControl/>
              <w:adjustRightInd w:val="0"/>
              <w:snapToGrid w:val="0"/>
              <w:spacing w:line="360" w:lineRule="auto"/>
              <w:rPr>
                <w:rFonts w:ascii="Book Antiqua" w:eastAsia="MS PGothic" w:hAnsi="Book Antiqua" w:cs="Times New Roman"/>
                <w:b/>
                <w:kern w:val="0"/>
              </w:rPr>
            </w:pPr>
          </w:p>
        </w:tc>
        <w:tc>
          <w:tcPr>
            <w:tcW w:w="1276" w:type="dxa"/>
            <w:tcBorders>
              <w:top w:val="nil"/>
              <w:left w:val="nil"/>
              <w:bottom w:val="nil"/>
              <w:right w:val="nil"/>
            </w:tcBorders>
            <w:shd w:val="clear" w:color="auto" w:fill="auto"/>
            <w:noWrap/>
            <w:vAlign w:val="center"/>
            <w:hideMark/>
          </w:tcPr>
          <w:p w14:paraId="4570CA1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None</w:t>
            </w:r>
          </w:p>
        </w:tc>
        <w:tc>
          <w:tcPr>
            <w:tcW w:w="1418" w:type="dxa"/>
            <w:tcBorders>
              <w:top w:val="nil"/>
              <w:left w:val="nil"/>
              <w:bottom w:val="nil"/>
              <w:right w:val="nil"/>
            </w:tcBorders>
            <w:shd w:val="clear" w:color="auto" w:fill="auto"/>
            <w:noWrap/>
            <w:vAlign w:val="center"/>
            <w:hideMark/>
          </w:tcPr>
          <w:p w14:paraId="1305C3E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Antrum</w:t>
            </w:r>
          </w:p>
        </w:tc>
        <w:tc>
          <w:tcPr>
            <w:tcW w:w="1558" w:type="dxa"/>
            <w:tcBorders>
              <w:top w:val="nil"/>
              <w:left w:val="nil"/>
              <w:bottom w:val="nil"/>
              <w:right w:val="nil"/>
            </w:tcBorders>
            <w:shd w:val="clear" w:color="auto" w:fill="auto"/>
            <w:noWrap/>
            <w:vAlign w:val="center"/>
            <w:hideMark/>
          </w:tcPr>
          <w:p w14:paraId="5F3A205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Angulus</w:t>
            </w:r>
          </w:p>
        </w:tc>
        <w:tc>
          <w:tcPr>
            <w:tcW w:w="1560" w:type="dxa"/>
            <w:tcBorders>
              <w:top w:val="nil"/>
              <w:left w:val="nil"/>
              <w:bottom w:val="nil"/>
              <w:right w:val="nil"/>
            </w:tcBorders>
            <w:shd w:val="clear" w:color="auto" w:fill="auto"/>
            <w:noWrap/>
            <w:vAlign w:val="center"/>
            <w:hideMark/>
          </w:tcPr>
          <w:p w14:paraId="53F7306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Middle body LC</w:t>
            </w:r>
          </w:p>
        </w:tc>
        <w:tc>
          <w:tcPr>
            <w:tcW w:w="1540" w:type="dxa"/>
            <w:tcBorders>
              <w:top w:val="nil"/>
              <w:left w:val="nil"/>
              <w:bottom w:val="nil"/>
              <w:right w:val="nil"/>
            </w:tcBorders>
            <w:shd w:val="clear" w:color="auto" w:fill="auto"/>
            <w:noWrap/>
            <w:vAlign w:val="center"/>
            <w:hideMark/>
          </w:tcPr>
          <w:p w14:paraId="4D098D6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Middle body GC</w:t>
            </w:r>
          </w:p>
        </w:tc>
        <w:tc>
          <w:tcPr>
            <w:tcW w:w="870" w:type="dxa"/>
            <w:vMerge/>
            <w:tcBorders>
              <w:top w:val="single" w:sz="8" w:space="0" w:color="auto"/>
              <w:left w:val="nil"/>
              <w:bottom w:val="nil"/>
              <w:right w:val="nil"/>
            </w:tcBorders>
            <w:vAlign w:val="center"/>
            <w:hideMark/>
          </w:tcPr>
          <w:p w14:paraId="02819C8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417" w:type="dxa"/>
            <w:vMerge/>
            <w:tcBorders>
              <w:top w:val="single" w:sz="8" w:space="0" w:color="auto"/>
              <w:left w:val="nil"/>
              <w:bottom w:val="nil"/>
              <w:right w:val="nil"/>
            </w:tcBorders>
            <w:vAlign w:val="center"/>
            <w:hideMark/>
          </w:tcPr>
          <w:p w14:paraId="415EBC2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r>
      <w:tr w:rsidR="002C16E4" w:rsidRPr="004865E7" w14:paraId="33116FD8" w14:textId="77777777" w:rsidTr="00D820C6">
        <w:trPr>
          <w:trHeight w:val="360"/>
        </w:trPr>
        <w:tc>
          <w:tcPr>
            <w:tcW w:w="1941" w:type="dxa"/>
            <w:vMerge w:val="restart"/>
            <w:tcBorders>
              <w:top w:val="single" w:sz="4" w:space="0" w:color="auto"/>
              <w:left w:val="nil"/>
              <w:bottom w:val="nil"/>
              <w:right w:val="nil"/>
            </w:tcBorders>
            <w:shd w:val="clear" w:color="auto" w:fill="auto"/>
            <w:vAlign w:val="center"/>
            <w:hideMark/>
          </w:tcPr>
          <w:p w14:paraId="4CEAE036"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185" w:type="dxa"/>
            <w:tcBorders>
              <w:top w:val="single" w:sz="4" w:space="0" w:color="auto"/>
              <w:left w:val="nil"/>
              <w:bottom w:val="nil"/>
              <w:right w:val="nil"/>
            </w:tcBorders>
            <w:shd w:val="clear" w:color="auto" w:fill="auto"/>
            <w:noWrap/>
            <w:vAlign w:val="center"/>
            <w:hideMark/>
          </w:tcPr>
          <w:p w14:paraId="69A84B89"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No atrophy</w:t>
            </w:r>
          </w:p>
        </w:tc>
        <w:tc>
          <w:tcPr>
            <w:tcW w:w="1276" w:type="dxa"/>
            <w:tcBorders>
              <w:top w:val="single" w:sz="4" w:space="0" w:color="auto"/>
              <w:left w:val="nil"/>
              <w:bottom w:val="nil"/>
              <w:right w:val="nil"/>
            </w:tcBorders>
            <w:shd w:val="clear" w:color="000000" w:fill="D9D9D9"/>
            <w:noWrap/>
            <w:vAlign w:val="center"/>
            <w:hideMark/>
          </w:tcPr>
          <w:p w14:paraId="7866B16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54</w:t>
            </w:r>
          </w:p>
        </w:tc>
        <w:tc>
          <w:tcPr>
            <w:tcW w:w="1418" w:type="dxa"/>
            <w:tcBorders>
              <w:top w:val="single" w:sz="4" w:space="0" w:color="auto"/>
              <w:left w:val="nil"/>
              <w:bottom w:val="nil"/>
              <w:right w:val="nil"/>
            </w:tcBorders>
            <w:shd w:val="clear" w:color="000000" w:fill="FFFFFF"/>
            <w:noWrap/>
            <w:vAlign w:val="center"/>
            <w:hideMark/>
          </w:tcPr>
          <w:p w14:paraId="16B0356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558" w:type="dxa"/>
            <w:tcBorders>
              <w:top w:val="single" w:sz="4" w:space="0" w:color="auto"/>
              <w:left w:val="nil"/>
              <w:bottom w:val="nil"/>
              <w:right w:val="nil"/>
            </w:tcBorders>
            <w:shd w:val="clear" w:color="000000" w:fill="FFFFFF"/>
            <w:noWrap/>
            <w:vAlign w:val="center"/>
            <w:hideMark/>
          </w:tcPr>
          <w:p w14:paraId="00FC7B0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single" w:sz="4" w:space="0" w:color="auto"/>
              <w:left w:val="nil"/>
              <w:bottom w:val="nil"/>
              <w:right w:val="nil"/>
            </w:tcBorders>
            <w:shd w:val="clear" w:color="000000" w:fill="FFFFFF"/>
            <w:noWrap/>
            <w:vAlign w:val="center"/>
            <w:hideMark/>
          </w:tcPr>
          <w:p w14:paraId="71082BC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single" w:sz="4" w:space="0" w:color="auto"/>
              <w:left w:val="nil"/>
              <w:bottom w:val="nil"/>
              <w:right w:val="nil"/>
            </w:tcBorders>
            <w:shd w:val="clear" w:color="000000" w:fill="FFFFFF"/>
            <w:noWrap/>
            <w:vAlign w:val="center"/>
            <w:hideMark/>
          </w:tcPr>
          <w:p w14:paraId="6185787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single" w:sz="4" w:space="0" w:color="auto"/>
              <w:left w:val="nil"/>
              <w:bottom w:val="nil"/>
              <w:right w:val="nil"/>
            </w:tcBorders>
            <w:shd w:val="clear" w:color="auto" w:fill="auto"/>
            <w:noWrap/>
            <w:vAlign w:val="center"/>
            <w:hideMark/>
          </w:tcPr>
          <w:p w14:paraId="586C6C7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w:t>
            </w:r>
          </w:p>
        </w:tc>
        <w:tc>
          <w:tcPr>
            <w:tcW w:w="1417" w:type="dxa"/>
            <w:vMerge w:val="restart"/>
            <w:tcBorders>
              <w:top w:val="single" w:sz="4" w:space="0" w:color="auto"/>
              <w:left w:val="nil"/>
              <w:right w:val="nil"/>
            </w:tcBorders>
            <w:shd w:val="clear" w:color="auto" w:fill="auto"/>
            <w:noWrap/>
            <w:vAlign w:val="center"/>
            <w:hideMark/>
          </w:tcPr>
          <w:p w14:paraId="528AD4C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0.81</w:t>
            </w:r>
          </w:p>
        </w:tc>
      </w:tr>
      <w:tr w:rsidR="002C16E4" w:rsidRPr="004865E7" w14:paraId="79276235" w14:textId="77777777" w:rsidTr="00D820C6">
        <w:trPr>
          <w:trHeight w:val="360"/>
        </w:trPr>
        <w:tc>
          <w:tcPr>
            <w:tcW w:w="1941" w:type="dxa"/>
            <w:vMerge/>
            <w:tcBorders>
              <w:top w:val="single" w:sz="4" w:space="0" w:color="auto"/>
              <w:left w:val="nil"/>
              <w:bottom w:val="nil"/>
              <w:right w:val="nil"/>
            </w:tcBorders>
            <w:vAlign w:val="center"/>
            <w:hideMark/>
          </w:tcPr>
          <w:p w14:paraId="3EFC88FC"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79200B61"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Antrum</w:t>
            </w:r>
          </w:p>
        </w:tc>
        <w:tc>
          <w:tcPr>
            <w:tcW w:w="1276" w:type="dxa"/>
            <w:tcBorders>
              <w:top w:val="nil"/>
              <w:left w:val="nil"/>
              <w:bottom w:val="nil"/>
              <w:right w:val="nil"/>
            </w:tcBorders>
            <w:shd w:val="clear" w:color="000000" w:fill="FFFFFF"/>
            <w:noWrap/>
            <w:vAlign w:val="center"/>
            <w:hideMark/>
          </w:tcPr>
          <w:p w14:paraId="5D616E4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8" w:type="dxa"/>
            <w:tcBorders>
              <w:top w:val="nil"/>
              <w:left w:val="nil"/>
              <w:bottom w:val="nil"/>
              <w:right w:val="nil"/>
            </w:tcBorders>
            <w:shd w:val="clear" w:color="000000" w:fill="D9D9D9"/>
            <w:noWrap/>
            <w:vAlign w:val="center"/>
            <w:hideMark/>
          </w:tcPr>
          <w:p w14:paraId="7DD0F60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37</w:t>
            </w:r>
          </w:p>
        </w:tc>
        <w:tc>
          <w:tcPr>
            <w:tcW w:w="1558" w:type="dxa"/>
            <w:tcBorders>
              <w:top w:val="nil"/>
              <w:left w:val="nil"/>
              <w:bottom w:val="nil"/>
              <w:right w:val="nil"/>
            </w:tcBorders>
            <w:shd w:val="clear" w:color="000000" w:fill="FFFFFF"/>
            <w:noWrap/>
            <w:vAlign w:val="center"/>
            <w:hideMark/>
          </w:tcPr>
          <w:p w14:paraId="547A7E7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560" w:type="dxa"/>
            <w:tcBorders>
              <w:top w:val="nil"/>
              <w:left w:val="nil"/>
              <w:bottom w:val="nil"/>
              <w:right w:val="nil"/>
            </w:tcBorders>
            <w:shd w:val="clear" w:color="000000" w:fill="FFFFFF"/>
            <w:noWrap/>
            <w:vAlign w:val="center"/>
            <w:hideMark/>
          </w:tcPr>
          <w:p w14:paraId="7A53AAF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540" w:type="dxa"/>
            <w:tcBorders>
              <w:top w:val="nil"/>
              <w:left w:val="nil"/>
              <w:bottom w:val="nil"/>
              <w:right w:val="nil"/>
            </w:tcBorders>
            <w:shd w:val="clear" w:color="000000" w:fill="FFFFFF"/>
            <w:noWrap/>
            <w:vAlign w:val="center"/>
            <w:hideMark/>
          </w:tcPr>
          <w:p w14:paraId="76D2EE5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150D8DF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40</w:t>
            </w:r>
          </w:p>
        </w:tc>
        <w:tc>
          <w:tcPr>
            <w:tcW w:w="1417" w:type="dxa"/>
            <w:vMerge/>
            <w:tcBorders>
              <w:left w:val="nil"/>
              <w:right w:val="nil"/>
            </w:tcBorders>
            <w:shd w:val="clear" w:color="auto" w:fill="auto"/>
            <w:noWrap/>
            <w:vAlign w:val="center"/>
            <w:hideMark/>
          </w:tcPr>
          <w:p w14:paraId="440B1B69"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45479FB1" w14:textId="77777777" w:rsidTr="00D820C6">
        <w:trPr>
          <w:trHeight w:val="360"/>
        </w:trPr>
        <w:tc>
          <w:tcPr>
            <w:tcW w:w="1941" w:type="dxa"/>
            <w:vMerge/>
            <w:tcBorders>
              <w:top w:val="single" w:sz="4" w:space="0" w:color="auto"/>
              <w:left w:val="nil"/>
              <w:bottom w:val="nil"/>
              <w:right w:val="nil"/>
            </w:tcBorders>
            <w:vAlign w:val="center"/>
            <w:hideMark/>
          </w:tcPr>
          <w:p w14:paraId="76EF8E00"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5F2794DA"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Antrum predominant</w:t>
            </w:r>
          </w:p>
        </w:tc>
        <w:tc>
          <w:tcPr>
            <w:tcW w:w="1276" w:type="dxa"/>
            <w:tcBorders>
              <w:top w:val="nil"/>
              <w:left w:val="nil"/>
              <w:bottom w:val="nil"/>
              <w:right w:val="nil"/>
            </w:tcBorders>
            <w:shd w:val="clear" w:color="000000" w:fill="FFFFFF"/>
            <w:noWrap/>
            <w:vAlign w:val="center"/>
            <w:hideMark/>
          </w:tcPr>
          <w:p w14:paraId="0C865CF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8" w:type="dxa"/>
            <w:tcBorders>
              <w:top w:val="nil"/>
              <w:left w:val="nil"/>
              <w:bottom w:val="nil"/>
              <w:right w:val="nil"/>
            </w:tcBorders>
            <w:shd w:val="clear" w:color="000000" w:fill="FFFFFF"/>
            <w:noWrap/>
            <w:vAlign w:val="center"/>
            <w:hideMark/>
          </w:tcPr>
          <w:p w14:paraId="19A94D8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w:t>
            </w:r>
          </w:p>
        </w:tc>
        <w:tc>
          <w:tcPr>
            <w:tcW w:w="1558" w:type="dxa"/>
            <w:tcBorders>
              <w:top w:val="nil"/>
              <w:left w:val="nil"/>
              <w:bottom w:val="nil"/>
              <w:right w:val="nil"/>
            </w:tcBorders>
            <w:shd w:val="clear" w:color="000000" w:fill="D9D9D9"/>
            <w:noWrap/>
            <w:vAlign w:val="center"/>
            <w:hideMark/>
          </w:tcPr>
          <w:p w14:paraId="0F1090D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14</w:t>
            </w:r>
          </w:p>
        </w:tc>
        <w:tc>
          <w:tcPr>
            <w:tcW w:w="1560" w:type="dxa"/>
            <w:tcBorders>
              <w:top w:val="nil"/>
              <w:left w:val="nil"/>
              <w:bottom w:val="nil"/>
              <w:right w:val="nil"/>
            </w:tcBorders>
            <w:shd w:val="clear" w:color="000000" w:fill="FFFFFF"/>
            <w:noWrap/>
            <w:vAlign w:val="center"/>
            <w:hideMark/>
          </w:tcPr>
          <w:p w14:paraId="099206B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000000" w:fill="FFFFFF"/>
            <w:noWrap/>
            <w:vAlign w:val="center"/>
            <w:hideMark/>
          </w:tcPr>
          <w:p w14:paraId="4218563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3AAFB37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w:t>
            </w:r>
          </w:p>
        </w:tc>
        <w:tc>
          <w:tcPr>
            <w:tcW w:w="1417" w:type="dxa"/>
            <w:vMerge/>
            <w:tcBorders>
              <w:left w:val="nil"/>
              <w:right w:val="nil"/>
            </w:tcBorders>
            <w:shd w:val="clear" w:color="auto" w:fill="auto"/>
            <w:noWrap/>
            <w:vAlign w:val="center"/>
            <w:hideMark/>
          </w:tcPr>
          <w:p w14:paraId="01842337"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548B666A" w14:textId="77777777" w:rsidTr="00D820C6">
        <w:trPr>
          <w:trHeight w:val="360"/>
        </w:trPr>
        <w:tc>
          <w:tcPr>
            <w:tcW w:w="1941" w:type="dxa"/>
            <w:vMerge/>
            <w:tcBorders>
              <w:top w:val="single" w:sz="4" w:space="0" w:color="auto"/>
              <w:left w:val="nil"/>
              <w:bottom w:val="nil"/>
              <w:right w:val="nil"/>
            </w:tcBorders>
            <w:vAlign w:val="center"/>
            <w:hideMark/>
          </w:tcPr>
          <w:p w14:paraId="67C6114E"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3492D7FF"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Corpus predominant</w:t>
            </w:r>
          </w:p>
        </w:tc>
        <w:tc>
          <w:tcPr>
            <w:tcW w:w="1276" w:type="dxa"/>
            <w:tcBorders>
              <w:top w:val="nil"/>
              <w:left w:val="nil"/>
              <w:right w:val="nil"/>
            </w:tcBorders>
            <w:shd w:val="clear" w:color="000000" w:fill="FFFFFF"/>
            <w:noWrap/>
            <w:vAlign w:val="center"/>
            <w:hideMark/>
          </w:tcPr>
          <w:p w14:paraId="0075126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right w:val="nil"/>
            </w:tcBorders>
            <w:shd w:val="clear" w:color="000000" w:fill="FFFFFF"/>
            <w:noWrap/>
            <w:vAlign w:val="center"/>
            <w:hideMark/>
          </w:tcPr>
          <w:p w14:paraId="264EC45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558" w:type="dxa"/>
            <w:tcBorders>
              <w:top w:val="nil"/>
              <w:left w:val="nil"/>
              <w:bottom w:val="nil"/>
              <w:right w:val="nil"/>
            </w:tcBorders>
            <w:shd w:val="clear" w:color="000000" w:fill="FFFFFF"/>
            <w:noWrap/>
            <w:vAlign w:val="center"/>
            <w:hideMark/>
          </w:tcPr>
          <w:p w14:paraId="36CE304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560" w:type="dxa"/>
            <w:tcBorders>
              <w:top w:val="nil"/>
              <w:left w:val="nil"/>
              <w:bottom w:val="nil"/>
              <w:right w:val="nil"/>
            </w:tcBorders>
            <w:shd w:val="clear" w:color="000000" w:fill="D9D9D9"/>
            <w:noWrap/>
            <w:vAlign w:val="center"/>
            <w:hideMark/>
          </w:tcPr>
          <w:p w14:paraId="1F1F7C8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2</w:t>
            </w:r>
          </w:p>
        </w:tc>
        <w:tc>
          <w:tcPr>
            <w:tcW w:w="1540" w:type="dxa"/>
            <w:tcBorders>
              <w:top w:val="nil"/>
              <w:left w:val="nil"/>
              <w:bottom w:val="nil"/>
              <w:right w:val="nil"/>
            </w:tcBorders>
            <w:shd w:val="clear" w:color="000000" w:fill="FFFFFF"/>
            <w:noWrap/>
            <w:vAlign w:val="center"/>
            <w:hideMark/>
          </w:tcPr>
          <w:p w14:paraId="15FA4AE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3E172D7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w:t>
            </w:r>
          </w:p>
        </w:tc>
        <w:tc>
          <w:tcPr>
            <w:tcW w:w="1417" w:type="dxa"/>
            <w:vMerge/>
            <w:tcBorders>
              <w:left w:val="nil"/>
              <w:right w:val="nil"/>
            </w:tcBorders>
            <w:shd w:val="clear" w:color="auto" w:fill="auto"/>
            <w:noWrap/>
            <w:vAlign w:val="center"/>
            <w:hideMark/>
          </w:tcPr>
          <w:p w14:paraId="1A373F7D"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3B220D0B" w14:textId="77777777" w:rsidTr="00D820C6">
        <w:trPr>
          <w:trHeight w:val="360"/>
        </w:trPr>
        <w:tc>
          <w:tcPr>
            <w:tcW w:w="1941" w:type="dxa"/>
            <w:vMerge/>
            <w:tcBorders>
              <w:top w:val="single" w:sz="4" w:space="0" w:color="auto"/>
              <w:left w:val="nil"/>
              <w:bottom w:val="nil"/>
              <w:right w:val="nil"/>
            </w:tcBorders>
            <w:vAlign w:val="center"/>
            <w:hideMark/>
          </w:tcPr>
          <w:p w14:paraId="02E4DFB5"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tcBorders>
            <w:shd w:val="clear" w:color="auto" w:fill="auto"/>
            <w:noWrap/>
            <w:vAlign w:val="center"/>
            <w:hideMark/>
          </w:tcPr>
          <w:p w14:paraId="2166C526"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Pan-atrophy</w:t>
            </w:r>
          </w:p>
        </w:tc>
        <w:tc>
          <w:tcPr>
            <w:tcW w:w="1276" w:type="dxa"/>
            <w:tcBorders>
              <w:top w:val="nil"/>
              <w:bottom w:val="single" w:sz="4" w:space="0" w:color="auto"/>
              <w:right w:val="nil"/>
            </w:tcBorders>
            <w:shd w:val="clear" w:color="000000" w:fill="FFFFFF"/>
            <w:noWrap/>
            <w:vAlign w:val="center"/>
            <w:hideMark/>
          </w:tcPr>
          <w:p w14:paraId="7EA6049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bottom w:val="single" w:sz="4" w:space="0" w:color="auto"/>
              <w:right w:val="nil"/>
            </w:tcBorders>
            <w:shd w:val="clear" w:color="000000" w:fill="FFFFFF"/>
            <w:noWrap/>
            <w:vAlign w:val="center"/>
            <w:hideMark/>
          </w:tcPr>
          <w:p w14:paraId="420B182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8" w:type="dxa"/>
            <w:tcBorders>
              <w:top w:val="nil"/>
              <w:left w:val="nil"/>
              <w:bottom w:val="nil"/>
              <w:right w:val="nil"/>
            </w:tcBorders>
            <w:shd w:val="clear" w:color="000000" w:fill="FFFFFF"/>
            <w:noWrap/>
            <w:vAlign w:val="center"/>
            <w:hideMark/>
          </w:tcPr>
          <w:p w14:paraId="3EA98CD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nil"/>
              <w:left w:val="nil"/>
              <w:bottom w:val="nil"/>
              <w:right w:val="nil"/>
            </w:tcBorders>
            <w:shd w:val="clear" w:color="000000" w:fill="FFFFFF"/>
            <w:noWrap/>
            <w:vAlign w:val="center"/>
            <w:hideMark/>
          </w:tcPr>
          <w:p w14:paraId="098C1E2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000000" w:fill="D9D9D9"/>
            <w:noWrap/>
            <w:vAlign w:val="center"/>
            <w:hideMark/>
          </w:tcPr>
          <w:p w14:paraId="5F6E353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870" w:type="dxa"/>
            <w:tcBorders>
              <w:top w:val="nil"/>
              <w:left w:val="nil"/>
              <w:bottom w:val="nil"/>
              <w:right w:val="nil"/>
            </w:tcBorders>
            <w:shd w:val="clear" w:color="auto" w:fill="auto"/>
            <w:noWrap/>
            <w:vAlign w:val="center"/>
            <w:hideMark/>
          </w:tcPr>
          <w:p w14:paraId="21FC071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w:t>
            </w:r>
          </w:p>
        </w:tc>
        <w:tc>
          <w:tcPr>
            <w:tcW w:w="1417" w:type="dxa"/>
            <w:vMerge/>
            <w:tcBorders>
              <w:left w:val="nil"/>
              <w:right w:val="nil"/>
            </w:tcBorders>
            <w:shd w:val="clear" w:color="000000" w:fill="FFFFFF"/>
            <w:noWrap/>
            <w:vAlign w:val="center"/>
            <w:hideMark/>
          </w:tcPr>
          <w:p w14:paraId="5CA82F0E"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6BA16EDD" w14:textId="77777777" w:rsidTr="00D820C6">
        <w:trPr>
          <w:trHeight w:val="360"/>
        </w:trPr>
        <w:tc>
          <w:tcPr>
            <w:tcW w:w="1941" w:type="dxa"/>
            <w:tcBorders>
              <w:top w:val="nil"/>
              <w:left w:val="nil"/>
              <w:bottom w:val="nil"/>
              <w:right w:val="nil"/>
            </w:tcBorders>
            <w:shd w:val="clear" w:color="auto" w:fill="auto"/>
            <w:noWrap/>
            <w:vAlign w:val="bottom"/>
            <w:hideMark/>
          </w:tcPr>
          <w:p w14:paraId="245B3A7C"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single" w:sz="4" w:space="0" w:color="auto"/>
              <w:left w:val="nil"/>
              <w:bottom w:val="nil"/>
              <w:right w:val="nil"/>
            </w:tcBorders>
            <w:shd w:val="clear" w:color="auto" w:fill="auto"/>
            <w:noWrap/>
            <w:vAlign w:val="center"/>
            <w:hideMark/>
          </w:tcPr>
          <w:p w14:paraId="5ADF7891"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Total</w:t>
            </w:r>
          </w:p>
        </w:tc>
        <w:tc>
          <w:tcPr>
            <w:tcW w:w="1276" w:type="dxa"/>
            <w:tcBorders>
              <w:top w:val="single" w:sz="4" w:space="0" w:color="auto"/>
              <w:left w:val="nil"/>
              <w:bottom w:val="nil"/>
              <w:right w:val="nil"/>
            </w:tcBorders>
            <w:shd w:val="clear" w:color="auto" w:fill="auto"/>
            <w:noWrap/>
            <w:vAlign w:val="center"/>
            <w:hideMark/>
          </w:tcPr>
          <w:p w14:paraId="4A21447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w:t>
            </w:r>
          </w:p>
        </w:tc>
        <w:tc>
          <w:tcPr>
            <w:tcW w:w="1418" w:type="dxa"/>
            <w:tcBorders>
              <w:top w:val="single" w:sz="4" w:space="0" w:color="auto"/>
              <w:left w:val="nil"/>
              <w:bottom w:val="nil"/>
              <w:right w:val="nil"/>
            </w:tcBorders>
            <w:shd w:val="clear" w:color="auto" w:fill="auto"/>
            <w:noWrap/>
            <w:vAlign w:val="center"/>
            <w:hideMark/>
          </w:tcPr>
          <w:p w14:paraId="794D6C3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49</w:t>
            </w:r>
          </w:p>
        </w:tc>
        <w:tc>
          <w:tcPr>
            <w:tcW w:w="1558" w:type="dxa"/>
            <w:tcBorders>
              <w:top w:val="single" w:sz="4" w:space="0" w:color="auto"/>
              <w:left w:val="nil"/>
              <w:bottom w:val="nil"/>
              <w:right w:val="nil"/>
            </w:tcBorders>
            <w:shd w:val="clear" w:color="auto" w:fill="auto"/>
            <w:noWrap/>
            <w:vAlign w:val="center"/>
            <w:hideMark/>
          </w:tcPr>
          <w:p w14:paraId="2A3E518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w:t>
            </w:r>
          </w:p>
        </w:tc>
        <w:tc>
          <w:tcPr>
            <w:tcW w:w="1560" w:type="dxa"/>
            <w:tcBorders>
              <w:top w:val="single" w:sz="4" w:space="0" w:color="auto"/>
              <w:left w:val="nil"/>
              <w:bottom w:val="nil"/>
              <w:right w:val="nil"/>
            </w:tcBorders>
            <w:shd w:val="clear" w:color="auto" w:fill="auto"/>
            <w:noWrap/>
            <w:vAlign w:val="center"/>
            <w:hideMark/>
          </w:tcPr>
          <w:p w14:paraId="33CA7B2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540" w:type="dxa"/>
            <w:tcBorders>
              <w:top w:val="single" w:sz="4" w:space="0" w:color="auto"/>
              <w:left w:val="nil"/>
              <w:bottom w:val="nil"/>
              <w:right w:val="nil"/>
            </w:tcBorders>
            <w:shd w:val="clear" w:color="auto" w:fill="auto"/>
            <w:noWrap/>
            <w:vAlign w:val="center"/>
            <w:hideMark/>
          </w:tcPr>
          <w:p w14:paraId="79E2D86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w:t>
            </w:r>
          </w:p>
        </w:tc>
        <w:tc>
          <w:tcPr>
            <w:tcW w:w="870" w:type="dxa"/>
            <w:tcBorders>
              <w:top w:val="single" w:sz="4" w:space="0" w:color="auto"/>
              <w:left w:val="nil"/>
              <w:bottom w:val="nil"/>
              <w:right w:val="nil"/>
            </w:tcBorders>
            <w:shd w:val="clear" w:color="auto" w:fill="auto"/>
            <w:noWrap/>
            <w:vAlign w:val="center"/>
            <w:hideMark/>
          </w:tcPr>
          <w:p w14:paraId="0E95272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126</w:t>
            </w:r>
          </w:p>
        </w:tc>
        <w:tc>
          <w:tcPr>
            <w:tcW w:w="1417" w:type="dxa"/>
            <w:vMerge/>
            <w:tcBorders>
              <w:left w:val="nil"/>
              <w:right w:val="nil"/>
            </w:tcBorders>
            <w:shd w:val="clear" w:color="auto" w:fill="auto"/>
            <w:noWrap/>
            <w:vAlign w:val="center"/>
            <w:hideMark/>
          </w:tcPr>
          <w:p w14:paraId="0B0C22D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62319C00" w14:textId="77777777" w:rsidTr="00D820C6">
        <w:trPr>
          <w:trHeight w:val="360"/>
        </w:trPr>
        <w:tc>
          <w:tcPr>
            <w:tcW w:w="1941" w:type="dxa"/>
            <w:tcBorders>
              <w:top w:val="nil"/>
              <w:left w:val="nil"/>
              <w:bottom w:val="nil"/>
              <w:right w:val="nil"/>
            </w:tcBorders>
            <w:shd w:val="clear" w:color="auto" w:fill="auto"/>
            <w:noWrap/>
            <w:vAlign w:val="bottom"/>
            <w:hideMark/>
          </w:tcPr>
          <w:p w14:paraId="2B270F8B"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148C19B2"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5DC27F1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bottom w:val="nil"/>
              <w:right w:val="nil"/>
            </w:tcBorders>
            <w:shd w:val="clear" w:color="auto" w:fill="auto"/>
            <w:noWrap/>
            <w:vAlign w:val="center"/>
            <w:hideMark/>
          </w:tcPr>
          <w:p w14:paraId="0993068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8" w:type="dxa"/>
            <w:tcBorders>
              <w:top w:val="nil"/>
              <w:left w:val="nil"/>
              <w:bottom w:val="nil"/>
              <w:right w:val="nil"/>
            </w:tcBorders>
            <w:shd w:val="clear" w:color="auto" w:fill="auto"/>
            <w:noWrap/>
            <w:vAlign w:val="center"/>
            <w:hideMark/>
          </w:tcPr>
          <w:p w14:paraId="686F1D9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nil"/>
              <w:left w:val="nil"/>
              <w:bottom w:val="nil"/>
              <w:right w:val="nil"/>
            </w:tcBorders>
            <w:shd w:val="clear" w:color="auto" w:fill="auto"/>
            <w:noWrap/>
            <w:vAlign w:val="center"/>
            <w:hideMark/>
          </w:tcPr>
          <w:p w14:paraId="09CF504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center"/>
            <w:hideMark/>
          </w:tcPr>
          <w:p w14:paraId="7147512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580199E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vMerge/>
            <w:tcBorders>
              <w:left w:val="nil"/>
              <w:bottom w:val="nil"/>
              <w:right w:val="nil"/>
            </w:tcBorders>
            <w:shd w:val="clear" w:color="auto" w:fill="auto"/>
            <w:noWrap/>
            <w:vAlign w:val="center"/>
            <w:hideMark/>
          </w:tcPr>
          <w:p w14:paraId="50798D6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05E4B231" w14:textId="77777777" w:rsidTr="00D820C6">
        <w:trPr>
          <w:trHeight w:val="360"/>
        </w:trPr>
        <w:tc>
          <w:tcPr>
            <w:tcW w:w="1941" w:type="dxa"/>
            <w:tcBorders>
              <w:top w:val="nil"/>
              <w:left w:val="nil"/>
              <w:bottom w:val="nil"/>
              <w:right w:val="nil"/>
            </w:tcBorders>
            <w:shd w:val="clear" w:color="auto" w:fill="auto"/>
            <w:noWrap/>
            <w:vAlign w:val="center"/>
            <w:hideMark/>
          </w:tcPr>
          <w:p w14:paraId="243A9D12"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Japan</w:t>
            </w:r>
          </w:p>
        </w:tc>
        <w:tc>
          <w:tcPr>
            <w:tcW w:w="2185" w:type="dxa"/>
            <w:tcBorders>
              <w:top w:val="nil"/>
              <w:left w:val="nil"/>
              <w:bottom w:val="nil"/>
              <w:right w:val="nil"/>
            </w:tcBorders>
            <w:shd w:val="clear" w:color="auto" w:fill="auto"/>
            <w:noWrap/>
            <w:vAlign w:val="center"/>
            <w:hideMark/>
          </w:tcPr>
          <w:p w14:paraId="77A872AF"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1276" w:type="dxa"/>
            <w:tcBorders>
              <w:top w:val="nil"/>
              <w:left w:val="nil"/>
              <w:bottom w:val="nil"/>
              <w:right w:val="nil"/>
            </w:tcBorders>
            <w:shd w:val="clear" w:color="auto" w:fill="auto"/>
            <w:noWrap/>
            <w:vAlign w:val="center"/>
            <w:hideMark/>
          </w:tcPr>
          <w:p w14:paraId="144497C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bottom w:val="nil"/>
              <w:right w:val="nil"/>
            </w:tcBorders>
            <w:shd w:val="clear" w:color="auto" w:fill="auto"/>
            <w:noWrap/>
            <w:vAlign w:val="center"/>
            <w:hideMark/>
          </w:tcPr>
          <w:p w14:paraId="267FEFB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8" w:type="dxa"/>
            <w:tcBorders>
              <w:top w:val="nil"/>
              <w:left w:val="nil"/>
              <w:bottom w:val="nil"/>
              <w:right w:val="nil"/>
            </w:tcBorders>
            <w:shd w:val="clear" w:color="auto" w:fill="auto"/>
            <w:noWrap/>
            <w:vAlign w:val="center"/>
            <w:hideMark/>
          </w:tcPr>
          <w:p w14:paraId="151CC07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nil"/>
              <w:left w:val="nil"/>
              <w:bottom w:val="nil"/>
              <w:right w:val="nil"/>
            </w:tcBorders>
            <w:shd w:val="clear" w:color="auto" w:fill="auto"/>
            <w:noWrap/>
            <w:vAlign w:val="center"/>
            <w:hideMark/>
          </w:tcPr>
          <w:p w14:paraId="0B112FF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center"/>
            <w:hideMark/>
          </w:tcPr>
          <w:p w14:paraId="2D68CA5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2826BE9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tcBorders>
              <w:top w:val="nil"/>
              <w:left w:val="nil"/>
              <w:bottom w:val="nil"/>
              <w:right w:val="nil"/>
            </w:tcBorders>
            <w:shd w:val="clear" w:color="auto" w:fill="auto"/>
            <w:noWrap/>
            <w:vAlign w:val="center"/>
            <w:hideMark/>
          </w:tcPr>
          <w:p w14:paraId="7169E0D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6CE585E4" w14:textId="77777777" w:rsidTr="00D820C6">
        <w:trPr>
          <w:trHeight w:val="360"/>
        </w:trPr>
        <w:tc>
          <w:tcPr>
            <w:tcW w:w="1941" w:type="dxa"/>
            <w:vMerge w:val="restart"/>
            <w:tcBorders>
              <w:top w:val="single" w:sz="4" w:space="0" w:color="auto"/>
              <w:left w:val="nil"/>
              <w:bottom w:val="nil"/>
              <w:right w:val="nil"/>
            </w:tcBorders>
            <w:shd w:val="clear" w:color="auto" w:fill="auto"/>
            <w:vAlign w:val="center"/>
            <w:hideMark/>
          </w:tcPr>
          <w:p w14:paraId="3194B9EC"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185" w:type="dxa"/>
            <w:tcBorders>
              <w:top w:val="single" w:sz="4" w:space="0" w:color="auto"/>
              <w:left w:val="nil"/>
              <w:bottom w:val="nil"/>
              <w:right w:val="nil"/>
            </w:tcBorders>
            <w:shd w:val="clear" w:color="auto" w:fill="auto"/>
            <w:noWrap/>
            <w:vAlign w:val="center"/>
            <w:hideMark/>
          </w:tcPr>
          <w:p w14:paraId="31AD6E73"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No atrophy</w:t>
            </w:r>
          </w:p>
        </w:tc>
        <w:tc>
          <w:tcPr>
            <w:tcW w:w="1276" w:type="dxa"/>
            <w:tcBorders>
              <w:top w:val="single" w:sz="4" w:space="0" w:color="auto"/>
              <w:left w:val="nil"/>
              <w:bottom w:val="nil"/>
              <w:right w:val="nil"/>
            </w:tcBorders>
            <w:shd w:val="clear" w:color="000000" w:fill="D9D9D9"/>
            <w:noWrap/>
            <w:vAlign w:val="center"/>
            <w:hideMark/>
          </w:tcPr>
          <w:p w14:paraId="6572F1D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25</w:t>
            </w:r>
          </w:p>
        </w:tc>
        <w:tc>
          <w:tcPr>
            <w:tcW w:w="1418" w:type="dxa"/>
            <w:tcBorders>
              <w:top w:val="single" w:sz="4" w:space="0" w:color="auto"/>
              <w:left w:val="nil"/>
              <w:bottom w:val="nil"/>
              <w:right w:val="nil"/>
            </w:tcBorders>
            <w:shd w:val="clear" w:color="000000" w:fill="FFFFFF"/>
            <w:noWrap/>
            <w:vAlign w:val="center"/>
            <w:hideMark/>
          </w:tcPr>
          <w:p w14:paraId="05B4AA9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558" w:type="dxa"/>
            <w:tcBorders>
              <w:top w:val="single" w:sz="4" w:space="0" w:color="auto"/>
              <w:left w:val="nil"/>
              <w:bottom w:val="nil"/>
              <w:right w:val="nil"/>
            </w:tcBorders>
            <w:shd w:val="clear" w:color="000000" w:fill="FFFFFF"/>
            <w:noWrap/>
            <w:vAlign w:val="center"/>
            <w:hideMark/>
          </w:tcPr>
          <w:p w14:paraId="7F00078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single" w:sz="4" w:space="0" w:color="auto"/>
              <w:left w:val="nil"/>
              <w:bottom w:val="nil"/>
              <w:right w:val="nil"/>
            </w:tcBorders>
            <w:shd w:val="clear" w:color="000000" w:fill="FFFFFF"/>
            <w:noWrap/>
            <w:vAlign w:val="center"/>
            <w:hideMark/>
          </w:tcPr>
          <w:p w14:paraId="3F2E1FE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single" w:sz="4" w:space="0" w:color="auto"/>
              <w:left w:val="nil"/>
              <w:bottom w:val="nil"/>
              <w:right w:val="nil"/>
            </w:tcBorders>
            <w:shd w:val="clear" w:color="000000" w:fill="FFFFFF"/>
            <w:noWrap/>
            <w:vAlign w:val="center"/>
            <w:hideMark/>
          </w:tcPr>
          <w:p w14:paraId="678BF5C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single" w:sz="4" w:space="0" w:color="auto"/>
              <w:left w:val="nil"/>
              <w:bottom w:val="nil"/>
              <w:right w:val="nil"/>
            </w:tcBorders>
            <w:shd w:val="clear" w:color="auto" w:fill="auto"/>
            <w:noWrap/>
            <w:vAlign w:val="center"/>
            <w:hideMark/>
          </w:tcPr>
          <w:p w14:paraId="7F5FD67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w:t>
            </w:r>
          </w:p>
        </w:tc>
        <w:tc>
          <w:tcPr>
            <w:tcW w:w="1417" w:type="dxa"/>
            <w:vMerge w:val="restart"/>
            <w:tcBorders>
              <w:top w:val="single" w:sz="4" w:space="0" w:color="auto"/>
              <w:left w:val="nil"/>
              <w:right w:val="nil"/>
            </w:tcBorders>
            <w:shd w:val="clear" w:color="auto" w:fill="auto"/>
            <w:noWrap/>
            <w:vAlign w:val="center"/>
            <w:hideMark/>
          </w:tcPr>
          <w:p w14:paraId="1AB3558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0.68</w:t>
            </w:r>
          </w:p>
        </w:tc>
      </w:tr>
      <w:tr w:rsidR="002C16E4" w:rsidRPr="004865E7" w14:paraId="37A3E856" w14:textId="77777777" w:rsidTr="00D820C6">
        <w:trPr>
          <w:trHeight w:val="360"/>
        </w:trPr>
        <w:tc>
          <w:tcPr>
            <w:tcW w:w="1941" w:type="dxa"/>
            <w:vMerge/>
            <w:tcBorders>
              <w:top w:val="single" w:sz="4" w:space="0" w:color="auto"/>
              <w:left w:val="nil"/>
              <w:bottom w:val="nil"/>
              <w:right w:val="nil"/>
            </w:tcBorders>
            <w:vAlign w:val="center"/>
            <w:hideMark/>
          </w:tcPr>
          <w:p w14:paraId="3C4E7836"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2966772D"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Antrum</w:t>
            </w:r>
          </w:p>
        </w:tc>
        <w:tc>
          <w:tcPr>
            <w:tcW w:w="1276" w:type="dxa"/>
            <w:tcBorders>
              <w:top w:val="nil"/>
              <w:left w:val="nil"/>
              <w:bottom w:val="nil"/>
              <w:right w:val="nil"/>
            </w:tcBorders>
            <w:shd w:val="clear" w:color="000000" w:fill="FFFFFF"/>
            <w:noWrap/>
            <w:vAlign w:val="center"/>
            <w:hideMark/>
          </w:tcPr>
          <w:p w14:paraId="5AF6BEB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w:t>
            </w:r>
          </w:p>
        </w:tc>
        <w:tc>
          <w:tcPr>
            <w:tcW w:w="1418" w:type="dxa"/>
            <w:tcBorders>
              <w:top w:val="nil"/>
              <w:left w:val="nil"/>
              <w:bottom w:val="nil"/>
              <w:right w:val="nil"/>
            </w:tcBorders>
            <w:shd w:val="clear" w:color="000000" w:fill="D9D9D9"/>
            <w:noWrap/>
            <w:vAlign w:val="center"/>
            <w:hideMark/>
          </w:tcPr>
          <w:p w14:paraId="46FFED6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14</w:t>
            </w:r>
          </w:p>
        </w:tc>
        <w:tc>
          <w:tcPr>
            <w:tcW w:w="1558" w:type="dxa"/>
            <w:tcBorders>
              <w:top w:val="nil"/>
              <w:left w:val="nil"/>
              <w:bottom w:val="nil"/>
              <w:right w:val="nil"/>
            </w:tcBorders>
            <w:shd w:val="clear" w:color="000000" w:fill="FFFFFF"/>
            <w:noWrap/>
            <w:vAlign w:val="center"/>
            <w:hideMark/>
          </w:tcPr>
          <w:p w14:paraId="6343E16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w:t>
            </w:r>
          </w:p>
        </w:tc>
        <w:tc>
          <w:tcPr>
            <w:tcW w:w="1560" w:type="dxa"/>
            <w:tcBorders>
              <w:top w:val="nil"/>
              <w:left w:val="nil"/>
              <w:bottom w:val="nil"/>
              <w:right w:val="nil"/>
            </w:tcBorders>
            <w:shd w:val="clear" w:color="000000" w:fill="FFFFFF"/>
            <w:noWrap/>
            <w:vAlign w:val="center"/>
            <w:hideMark/>
          </w:tcPr>
          <w:p w14:paraId="3E2B542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540" w:type="dxa"/>
            <w:tcBorders>
              <w:top w:val="nil"/>
              <w:left w:val="nil"/>
              <w:bottom w:val="nil"/>
              <w:right w:val="nil"/>
            </w:tcBorders>
            <w:shd w:val="clear" w:color="000000" w:fill="FFFFFF"/>
            <w:noWrap/>
            <w:vAlign w:val="center"/>
            <w:hideMark/>
          </w:tcPr>
          <w:p w14:paraId="1F495D2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870" w:type="dxa"/>
            <w:tcBorders>
              <w:top w:val="nil"/>
              <w:left w:val="nil"/>
              <w:bottom w:val="nil"/>
              <w:right w:val="nil"/>
            </w:tcBorders>
            <w:shd w:val="clear" w:color="auto" w:fill="auto"/>
            <w:noWrap/>
            <w:vAlign w:val="center"/>
            <w:hideMark/>
          </w:tcPr>
          <w:p w14:paraId="5C875EF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33</w:t>
            </w:r>
          </w:p>
        </w:tc>
        <w:tc>
          <w:tcPr>
            <w:tcW w:w="1417" w:type="dxa"/>
            <w:vMerge/>
            <w:tcBorders>
              <w:left w:val="nil"/>
              <w:right w:val="nil"/>
            </w:tcBorders>
            <w:shd w:val="clear" w:color="auto" w:fill="auto"/>
            <w:noWrap/>
            <w:vAlign w:val="center"/>
            <w:hideMark/>
          </w:tcPr>
          <w:p w14:paraId="5053BDC4" w14:textId="77777777" w:rsidR="002C16E4" w:rsidRPr="004865E7" w:rsidRDefault="002C16E4" w:rsidP="00FA3CB2">
            <w:pPr>
              <w:adjustRightInd w:val="0"/>
              <w:snapToGrid w:val="0"/>
              <w:spacing w:line="360" w:lineRule="auto"/>
              <w:rPr>
                <w:rFonts w:ascii="Book Antiqua" w:eastAsia="MS PGothic" w:hAnsi="Book Antiqua" w:cs="Times New Roman"/>
                <w:kern w:val="0"/>
              </w:rPr>
            </w:pPr>
          </w:p>
        </w:tc>
      </w:tr>
      <w:tr w:rsidR="002C16E4" w:rsidRPr="004865E7" w14:paraId="3C0E559A" w14:textId="77777777" w:rsidTr="00D820C6">
        <w:trPr>
          <w:trHeight w:val="360"/>
        </w:trPr>
        <w:tc>
          <w:tcPr>
            <w:tcW w:w="1941" w:type="dxa"/>
            <w:vMerge/>
            <w:tcBorders>
              <w:top w:val="single" w:sz="4" w:space="0" w:color="auto"/>
              <w:left w:val="nil"/>
              <w:bottom w:val="nil"/>
              <w:right w:val="nil"/>
            </w:tcBorders>
            <w:vAlign w:val="center"/>
            <w:hideMark/>
          </w:tcPr>
          <w:p w14:paraId="261506CE"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0FB2E554"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Antrum predominant</w:t>
            </w:r>
          </w:p>
        </w:tc>
        <w:tc>
          <w:tcPr>
            <w:tcW w:w="1276" w:type="dxa"/>
            <w:tcBorders>
              <w:top w:val="nil"/>
              <w:left w:val="nil"/>
              <w:bottom w:val="nil"/>
              <w:right w:val="nil"/>
            </w:tcBorders>
            <w:shd w:val="clear" w:color="000000" w:fill="FFFFFF"/>
            <w:noWrap/>
            <w:vAlign w:val="center"/>
            <w:hideMark/>
          </w:tcPr>
          <w:p w14:paraId="5D148ED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8" w:type="dxa"/>
            <w:tcBorders>
              <w:top w:val="nil"/>
              <w:left w:val="nil"/>
              <w:bottom w:val="nil"/>
              <w:right w:val="nil"/>
            </w:tcBorders>
            <w:shd w:val="clear" w:color="000000" w:fill="FFFFFF"/>
            <w:noWrap/>
            <w:vAlign w:val="center"/>
            <w:hideMark/>
          </w:tcPr>
          <w:p w14:paraId="78B8F1A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558" w:type="dxa"/>
            <w:tcBorders>
              <w:top w:val="nil"/>
              <w:left w:val="nil"/>
              <w:bottom w:val="nil"/>
              <w:right w:val="nil"/>
            </w:tcBorders>
            <w:shd w:val="clear" w:color="000000" w:fill="D9D9D9"/>
            <w:noWrap/>
            <w:vAlign w:val="center"/>
            <w:hideMark/>
          </w:tcPr>
          <w:p w14:paraId="6A1C415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7</w:t>
            </w:r>
          </w:p>
        </w:tc>
        <w:tc>
          <w:tcPr>
            <w:tcW w:w="1560" w:type="dxa"/>
            <w:tcBorders>
              <w:top w:val="nil"/>
              <w:left w:val="nil"/>
              <w:bottom w:val="nil"/>
              <w:right w:val="nil"/>
            </w:tcBorders>
            <w:shd w:val="clear" w:color="000000" w:fill="FFFFFF"/>
            <w:noWrap/>
            <w:vAlign w:val="center"/>
            <w:hideMark/>
          </w:tcPr>
          <w:p w14:paraId="5903187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w:t>
            </w:r>
          </w:p>
        </w:tc>
        <w:tc>
          <w:tcPr>
            <w:tcW w:w="1540" w:type="dxa"/>
            <w:tcBorders>
              <w:top w:val="nil"/>
              <w:left w:val="nil"/>
              <w:bottom w:val="nil"/>
              <w:right w:val="nil"/>
            </w:tcBorders>
            <w:shd w:val="clear" w:color="000000" w:fill="FFFFFF"/>
            <w:noWrap/>
            <w:vAlign w:val="center"/>
            <w:hideMark/>
          </w:tcPr>
          <w:p w14:paraId="66CD9A9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w:t>
            </w:r>
          </w:p>
        </w:tc>
        <w:tc>
          <w:tcPr>
            <w:tcW w:w="870" w:type="dxa"/>
            <w:tcBorders>
              <w:top w:val="nil"/>
              <w:left w:val="nil"/>
              <w:bottom w:val="nil"/>
              <w:right w:val="nil"/>
            </w:tcBorders>
            <w:shd w:val="clear" w:color="auto" w:fill="auto"/>
            <w:noWrap/>
            <w:vAlign w:val="center"/>
            <w:hideMark/>
          </w:tcPr>
          <w:p w14:paraId="78B0702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w:t>
            </w:r>
          </w:p>
        </w:tc>
        <w:tc>
          <w:tcPr>
            <w:tcW w:w="1417" w:type="dxa"/>
            <w:vMerge/>
            <w:tcBorders>
              <w:left w:val="nil"/>
              <w:right w:val="nil"/>
            </w:tcBorders>
            <w:shd w:val="clear" w:color="auto" w:fill="auto"/>
            <w:noWrap/>
            <w:vAlign w:val="center"/>
            <w:hideMark/>
          </w:tcPr>
          <w:p w14:paraId="23CAF464" w14:textId="77777777" w:rsidR="002C16E4" w:rsidRPr="004865E7" w:rsidRDefault="002C16E4" w:rsidP="00FA3CB2">
            <w:pPr>
              <w:adjustRightInd w:val="0"/>
              <w:snapToGrid w:val="0"/>
              <w:spacing w:line="360" w:lineRule="auto"/>
              <w:rPr>
                <w:rFonts w:ascii="Book Antiqua" w:eastAsia="MS PGothic" w:hAnsi="Book Antiqua" w:cs="Times New Roman"/>
                <w:kern w:val="0"/>
              </w:rPr>
            </w:pPr>
          </w:p>
        </w:tc>
      </w:tr>
      <w:tr w:rsidR="002C16E4" w:rsidRPr="004865E7" w14:paraId="49308C7A" w14:textId="77777777" w:rsidTr="00D820C6">
        <w:trPr>
          <w:trHeight w:val="360"/>
        </w:trPr>
        <w:tc>
          <w:tcPr>
            <w:tcW w:w="1941" w:type="dxa"/>
            <w:vMerge/>
            <w:tcBorders>
              <w:top w:val="single" w:sz="4" w:space="0" w:color="auto"/>
              <w:left w:val="nil"/>
              <w:bottom w:val="nil"/>
              <w:right w:val="nil"/>
            </w:tcBorders>
            <w:vAlign w:val="center"/>
            <w:hideMark/>
          </w:tcPr>
          <w:p w14:paraId="0CF6D468"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right w:val="nil"/>
            </w:tcBorders>
            <w:shd w:val="clear" w:color="auto" w:fill="auto"/>
            <w:noWrap/>
            <w:vAlign w:val="center"/>
            <w:hideMark/>
          </w:tcPr>
          <w:p w14:paraId="743F5CFD"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Corpus predominant</w:t>
            </w:r>
          </w:p>
        </w:tc>
        <w:tc>
          <w:tcPr>
            <w:tcW w:w="1276" w:type="dxa"/>
            <w:tcBorders>
              <w:top w:val="nil"/>
              <w:left w:val="nil"/>
              <w:right w:val="nil"/>
            </w:tcBorders>
            <w:shd w:val="clear" w:color="000000" w:fill="FFFFFF"/>
            <w:noWrap/>
            <w:vAlign w:val="center"/>
            <w:hideMark/>
          </w:tcPr>
          <w:p w14:paraId="3DDF537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right w:val="nil"/>
            </w:tcBorders>
            <w:shd w:val="clear" w:color="000000" w:fill="FFFFFF"/>
            <w:noWrap/>
            <w:vAlign w:val="center"/>
            <w:hideMark/>
          </w:tcPr>
          <w:p w14:paraId="3B92CCB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8" w:type="dxa"/>
            <w:tcBorders>
              <w:top w:val="nil"/>
              <w:left w:val="nil"/>
              <w:bottom w:val="nil"/>
              <w:right w:val="nil"/>
            </w:tcBorders>
            <w:shd w:val="clear" w:color="000000" w:fill="FFFFFF"/>
            <w:noWrap/>
            <w:vAlign w:val="center"/>
            <w:hideMark/>
          </w:tcPr>
          <w:p w14:paraId="09C5187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w:t>
            </w:r>
          </w:p>
        </w:tc>
        <w:tc>
          <w:tcPr>
            <w:tcW w:w="1560" w:type="dxa"/>
            <w:tcBorders>
              <w:top w:val="nil"/>
              <w:left w:val="nil"/>
              <w:bottom w:val="nil"/>
              <w:right w:val="nil"/>
            </w:tcBorders>
            <w:shd w:val="clear" w:color="000000" w:fill="D9D9D9"/>
            <w:noWrap/>
            <w:vAlign w:val="center"/>
            <w:hideMark/>
          </w:tcPr>
          <w:p w14:paraId="69489B1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20</w:t>
            </w:r>
          </w:p>
        </w:tc>
        <w:tc>
          <w:tcPr>
            <w:tcW w:w="1540" w:type="dxa"/>
            <w:tcBorders>
              <w:top w:val="nil"/>
              <w:left w:val="nil"/>
              <w:bottom w:val="nil"/>
              <w:right w:val="nil"/>
            </w:tcBorders>
            <w:shd w:val="clear" w:color="000000" w:fill="FFFFFF"/>
            <w:noWrap/>
            <w:vAlign w:val="center"/>
            <w:hideMark/>
          </w:tcPr>
          <w:p w14:paraId="2171D57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17</w:t>
            </w:r>
          </w:p>
        </w:tc>
        <w:tc>
          <w:tcPr>
            <w:tcW w:w="870" w:type="dxa"/>
            <w:tcBorders>
              <w:top w:val="nil"/>
              <w:left w:val="nil"/>
              <w:bottom w:val="nil"/>
              <w:right w:val="nil"/>
            </w:tcBorders>
            <w:shd w:val="clear" w:color="auto" w:fill="auto"/>
            <w:noWrap/>
            <w:vAlign w:val="center"/>
            <w:hideMark/>
          </w:tcPr>
          <w:p w14:paraId="2716D42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43</w:t>
            </w:r>
          </w:p>
        </w:tc>
        <w:tc>
          <w:tcPr>
            <w:tcW w:w="1417" w:type="dxa"/>
            <w:vMerge/>
            <w:tcBorders>
              <w:left w:val="nil"/>
              <w:right w:val="nil"/>
            </w:tcBorders>
            <w:shd w:val="clear" w:color="auto" w:fill="auto"/>
            <w:noWrap/>
            <w:vAlign w:val="center"/>
            <w:hideMark/>
          </w:tcPr>
          <w:p w14:paraId="31D4BBAC" w14:textId="77777777" w:rsidR="002C16E4" w:rsidRPr="004865E7" w:rsidRDefault="002C16E4" w:rsidP="00FA3CB2">
            <w:pPr>
              <w:adjustRightInd w:val="0"/>
              <w:snapToGrid w:val="0"/>
              <w:spacing w:line="360" w:lineRule="auto"/>
              <w:rPr>
                <w:rFonts w:ascii="Book Antiqua" w:eastAsia="MS PGothic" w:hAnsi="Book Antiqua" w:cs="Times New Roman"/>
                <w:kern w:val="0"/>
              </w:rPr>
            </w:pPr>
          </w:p>
        </w:tc>
      </w:tr>
      <w:tr w:rsidR="002C16E4" w:rsidRPr="004865E7" w14:paraId="1642A6A6" w14:textId="77777777" w:rsidTr="00D820C6">
        <w:trPr>
          <w:trHeight w:val="360"/>
        </w:trPr>
        <w:tc>
          <w:tcPr>
            <w:tcW w:w="1941" w:type="dxa"/>
            <w:vMerge/>
            <w:tcBorders>
              <w:top w:val="single" w:sz="4" w:space="0" w:color="auto"/>
              <w:left w:val="nil"/>
              <w:bottom w:val="nil"/>
              <w:right w:val="nil"/>
            </w:tcBorders>
            <w:vAlign w:val="center"/>
            <w:hideMark/>
          </w:tcPr>
          <w:p w14:paraId="6689F9BD"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nil"/>
              <w:left w:val="nil"/>
              <w:bottom w:val="nil"/>
            </w:tcBorders>
            <w:shd w:val="clear" w:color="auto" w:fill="auto"/>
            <w:noWrap/>
            <w:vAlign w:val="center"/>
            <w:hideMark/>
          </w:tcPr>
          <w:p w14:paraId="563EA432"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Pan-atrophy</w:t>
            </w:r>
          </w:p>
        </w:tc>
        <w:tc>
          <w:tcPr>
            <w:tcW w:w="1276" w:type="dxa"/>
            <w:tcBorders>
              <w:top w:val="nil"/>
              <w:bottom w:val="single" w:sz="4" w:space="0" w:color="auto"/>
              <w:right w:val="nil"/>
            </w:tcBorders>
            <w:shd w:val="clear" w:color="000000" w:fill="FFFFFF"/>
            <w:noWrap/>
            <w:vAlign w:val="center"/>
            <w:hideMark/>
          </w:tcPr>
          <w:p w14:paraId="3C2DF88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tcBorders>
              <w:top w:val="nil"/>
              <w:left w:val="nil"/>
              <w:bottom w:val="single" w:sz="4" w:space="0" w:color="auto"/>
              <w:right w:val="nil"/>
            </w:tcBorders>
            <w:shd w:val="clear" w:color="000000" w:fill="FFFFFF"/>
            <w:noWrap/>
            <w:vAlign w:val="center"/>
            <w:hideMark/>
          </w:tcPr>
          <w:p w14:paraId="4AA3BE7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8" w:type="dxa"/>
            <w:tcBorders>
              <w:top w:val="nil"/>
              <w:left w:val="nil"/>
              <w:bottom w:val="nil"/>
              <w:right w:val="nil"/>
            </w:tcBorders>
            <w:shd w:val="clear" w:color="000000" w:fill="FFFFFF"/>
            <w:noWrap/>
            <w:vAlign w:val="center"/>
            <w:hideMark/>
          </w:tcPr>
          <w:p w14:paraId="06CDAA6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60" w:type="dxa"/>
            <w:tcBorders>
              <w:top w:val="nil"/>
              <w:left w:val="nil"/>
              <w:bottom w:val="nil"/>
              <w:right w:val="nil"/>
            </w:tcBorders>
            <w:shd w:val="clear" w:color="000000" w:fill="FFFFFF"/>
            <w:noWrap/>
            <w:vAlign w:val="center"/>
            <w:hideMark/>
          </w:tcPr>
          <w:p w14:paraId="1B0EF17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000000" w:fill="D9D9D9"/>
            <w:noWrap/>
            <w:vAlign w:val="center"/>
            <w:hideMark/>
          </w:tcPr>
          <w:p w14:paraId="2752E12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3</w:t>
            </w:r>
          </w:p>
        </w:tc>
        <w:tc>
          <w:tcPr>
            <w:tcW w:w="870" w:type="dxa"/>
            <w:tcBorders>
              <w:top w:val="nil"/>
              <w:left w:val="nil"/>
              <w:bottom w:val="nil"/>
              <w:right w:val="nil"/>
            </w:tcBorders>
            <w:shd w:val="clear" w:color="auto" w:fill="auto"/>
            <w:noWrap/>
            <w:vAlign w:val="center"/>
            <w:hideMark/>
          </w:tcPr>
          <w:p w14:paraId="3193D34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417" w:type="dxa"/>
            <w:vMerge/>
            <w:tcBorders>
              <w:left w:val="nil"/>
              <w:right w:val="nil"/>
            </w:tcBorders>
            <w:shd w:val="clear" w:color="000000" w:fill="FFFFFF"/>
            <w:noWrap/>
            <w:vAlign w:val="center"/>
            <w:hideMark/>
          </w:tcPr>
          <w:p w14:paraId="0F1E3E24" w14:textId="77777777" w:rsidR="002C16E4" w:rsidRPr="004865E7" w:rsidRDefault="002C16E4" w:rsidP="00FA3CB2">
            <w:pPr>
              <w:adjustRightInd w:val="0"/>
              <w:snapToGrid w:val="0"/>
              <w:spacing w:line="360" w:lineRule="auto"/>
              <w:rPr>
                <w:rFonts w:ascii="Book Antiqua" w:eastAsia="MS PGothic" w:hAnsi="Book Antiqua" w:cs="Times New Roman"/>
                <w:kern w:val="0"/>
              </w:rPr>
            </w:pPr>
          </w:p>
        </w:tc>
      </w:tr>
      <w:tr w:rsidR="002C16E4" w:rsidRPr="004865E7" w14:paraId="6A73899C" w14:textId="77777777" w:rsidTr="00D820C6">
        <w:trPr>
          <w:trHeight w:val="380"/>
        </w:trPr>
        <w:tc>
          <w:tcPr>
            <w:tcW w:w="1941" w:type="dxa"/>
            <w:tcBorders>
              <w:top w:val="nil"/>
              <w:left w:val="nil"/>
              <w:bottom w:val="single" w:sz="8" w:space="0" w:color="auto"/>
              <w:right w:val="nil"/>
            </w:tcBorders>
            <w:shd w:val="clear" w:color="auto" w:fill="auto"/>
            <w:noWrap/>
            <w:vAlign w:val="bottom"/>
            <w:hideMark/>
          </w:tcPr>
          <w:p w14:paraId="15FFF14B"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p>
        </w:tc>
        <w:tc>
          <w:tcPr>
            <w:tcW w:w="2185" w:type="dxa"/>
            <w:tcBorders>
              <w:top w:val="single" w:sz="4" w:space="0" w:color="auto"/>
              <w:left w:val="nil"/>
              <w:bottom w:val="single" w:sz="8" w:space="0" w:color="auto"/>
              <w:right w:val="nil"/>
            </w:tcBorders>
            <w:shd w:val="clear" w:color="auto" w:fill="auto"/>
            <w:noWrap/>
            <w:vAlign w:val="center"/>
            <w:hideMark/>
          </w:tcPr>
          <w:p w14:paraId="16D88C8F" w14:textId="77777777" w:rsidR="002C16E4" w:rsidRPr="004865E7" w:rsidRDefault="002C16E4" w:rsidP="00ED34B9">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Total</w:t>
            </w:r>
          </w:p>
        </w:tc>
        <w:tc>
          <w:tcPr>
            <w:tcW w:w="1276" w:type="dxa"/>
            <w:tcBorders>
              <w:top w:val="single" w:sz="4" w:space="0" w:color="auto"/>
              <w:left w:val="nil"/>
              <w:bottom w:val="single" w:sz="8" w:space="0" w:color="auto"/>
              <w:right w:val="nil"/>
            </w:tcBorders>
            <w:shd w:val="clear" w:color="auto" w:fill="auto"/>
            <w:noWrap/>
            <w:vAlign w:val="center"/>
            <w:hideMark/>
          </w:tcPr>
          <w:p w14:paraId="0C951A4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38</w:t>
            </w:r>
          </w:p>
        </w:tc>
        <w:tc>
          <w:tcPr>
            <w:tcW w:w="1418" w:type="dxa"/>
            <w:tcBorders>
              <w:top w:val="single" w:sz="4" w:space="0" w:color="auto"/>
              <w:left w:val="nil"/>
              <w:bottom w:val="single" w:sz="8" w:space="0" w:color="auto"/>
              <w:right w:val="nil"/>
            </w:tcBorders>
            <w:shd w:val="clear" w:color="auto" w:fill="auto"/>
            <w:noWrap/>
            <w:vAlign w:val="center"/>
            <w:hideMark/>
          </w:tcPr>
          <w:p w14:paraId="4F1DBE7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w:t>
            </w:r>
          </w:p>
        </w:tc>
        <w:tc>
          <w:tcPr>
            <w:tcW w:w="1558" w:type="dxa"/>
            <w:tcBorders>
              <w:top w:val="single" w:sz="4" w:space="0" w:color="auto"/>
              <w:left w:val="nil"/>
              <w:bottom w:val="single" w:sz="8" w:space="0" w:color="auto"/>
              <w:right w:val="nil"/>
            </w:tcBorders>
            <w:shd w:val="clear" w:color="auto" w:fill="auto"/>
            <w:noWrap/>
            <w:vAlign w:val="center"/>
            <w:hideMark/>
          </w:tcPr>
          <w:p w14:paraId="4321405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w:t>
            </w:r>
          </w:p>
        </w:tc>
        <w:tc>
          <w:tcPr>
            <w:tcW w:w="1560" w:type="dxa"/>
            <w:tcBorders>
              <w:top w:val="single" w:sz="4" w:space="0" w:color="auto"/>
              <w:left w:val="nil"/>
              <w:bottom w:val="single" w:sz="8" w:space="0" w:color="auto"/>
              <w:right w:val="nil"/>
            </w:tcBorders>
            <w:shd w:val="clear" w:color="auto" w:fill="auto"/>
            <w:noWrap/>
            <w:vAlign w:val="center"/>
            <w:hideMark/>
          </w:tcPr>
          <w:p w14:paraId="6DAEF4C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25</w:t>
            </w:r>
          </w:p>
        </w:tc>
        <w:tc>
          <w:tcPr>
            <w:tcW w:w="1540" w:type="dxa"/>
            <w:tcBorders>
              <w:top w:val="single" w:sz="4" w:space="0" w:color="auto"/>
              <w:left w:val="nil"/>
              <w:bottom w:val="single" w:sz="8" w:space="0" w:color="auto"/>
              <w:right w:val="nil"/>
            </w:tcBorders>
            <w:shd w:val="clear" w:color="auto" w:fill="auto"/>
            <w:noWrap/>
            <w:vAlign w:val="center"/>
            <w:hideMark/>
          </w:tcPr>
          <w:p w14:paraId="6BF1F4B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w:t>
            </w:r>
          </w:p>
        </w:tc>
        <w:tc>
          <w:tcPr>
            <w:tcW w:w="870" w:type="dxa"/>
            <w:tcBorders>
              <w:top w:val="single" w:sz="4" w:space="0" w:color="auto"/>
              <w:left w:val="nil"/>
              <w:bottom w:val="single" w:sz="8" w:space="0" w:color="auto"/>
              <w:right w:val="nil"/>
            </w:tcBorders>
            <w:shd w:val="clear" w:color="auto" w:fill="auto"/>
            <w:noWrap/>
            <w:vAlign w:val="center"/>
            <w:hideMark/>
          </w:tcPr>
          <w:p w14:paraId="3C473DE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126</w:t>
            </w:r>
          </w:p>
        </w:tc>
        <w:tc>
          <w:tcPr>
            <w:tcW w:w="1417" w:type="dxa"/>
            <w:vMerge/>
            <w:tcBorders>
              <w:left w:val="nil"/>
              <w:bottom w:val="single" w:sz="8" w:space="0" w:color="auto"/>
              <w:right w:val="nil"/>
            </w:tcBorders>
            <w:shd w:val="clear" w:color="auto" w:fill="auto"/>
            <w:noWrap/>
            <w:vAlign w:val="center"/>
            <w:hideMark/>
          </w:tcPr>
          <w:p w14:paraId="141E536F"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r>
    </w:tbl>
    <w:p w14:paraId="4EA535DD" w14:textId="77777777" w:rsidR="00ED34B9" w:rsidRPr="004865E7" w:rsidRDefault="00ED34B9" w:rsidP="00ED34B9">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GC: Greater curvature</w:t>
      </w:r>
      <w:r w:rsidRPr="004865E7">
        <w:rPr>
          <w:rFonts w:ascii="Book Antiqua" w:hAnsi="Book Antiqua" w:cs="Times" w:hint="eastAsia"/>
          <w:kern w:val="0"/>
        </w:rPr>
        <w:t xml:space="preserve">; </w:t>
      </w:r>
      <w:r w:rsidRPr="004865E7">
        <w:rPr>
          <w:rFonts w:ascii="Book Antiqua" w:hAnsi="Book Antiqua" w:cs="Times"/>
          <w:kern w:val="0"/>
        </w:rPr>
        <w:t>LC: Lesser curvature</w:t>
      </w:r>
      <w:r w:rsidRPr="004865E7">
        <w:rPr>
          <w:rFonts w:ascii="Book Antiqua" w:hAnsi="Book Antiqua" w:cs="Times" w:hint="eastAsia"/>
          <w:kern w:val="0"/>
        </w:rPr>
        <w:t>.</w:t>
      </w:r>
    </w:p>
    <w:p w14:paraId="6D732007"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563893C" w14:textId="11FBE053" w:rsidR="002C16E4" w:rsidRPr="004865E7" w:rsidRDefault="00ED34B9"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b/>
          <w:bCs/>
          <w:kern w:val="0"/>
        </w:rPr>
        <w:t>Table 6 Cross-tabulation of endoscopic and histological atrophy according to age</w:t>
      </w:r>
    </w:p>
    <w:tbl>
      <w:tblPr>
        <w:tblW w:w="13711" w:type="dxa"/>
        <w:tblInd w:w="84" w:type="dxa"/>
        <w:tblLayout w:type="fixed"/>
        <w:tblCellMar>
          <w:left w:w="99" w:type="dxa"/>
          <w:right w:w="99" w:type="dxa"/>
        </w:tblCellMar>
        <w:tblLook w:val="04A0" w:firstRow="1" w:lastRow="0" w:firstColumn="1" w:lastColumn="0" w:noHBand="0" w:noVBand="1"/>
      </w:tblPr>
      <w:tblGrid>
        <w:gridCol w:w="1884"/>
        <w:gridCol w:w="2012"/>
        <w:gridCol w:w="88"/>
        <w:gridCol w:w="1276"/>
        <w:gridCol w:w="88"/>
        <w:gridCol w:w="1330"/>
        <w:gridCol w:w="88"/>
        <w:gridCol w:w="1329"/>
        <w:gridCol w:w="88"/>
        <w:gridCol w:w="1471"/>
        <w:gridCol w:w="88"/>
        <w:gridCol w:w="1408"/>
        <w:gridCol w:w="88"/>
        <w:gridCol w:w="968"/>
        <w:gridCol w:w="88"/>
        <w:gridCol w:w="1329"/>
        <w:gridCol w:w="88"/>
      </w:tblGrid>
      <w:tr w:rsidR="002C16E4" w:rsidRPr="004865E7" w14:paraId="300432D7" w14:textId="77777777" w:rsidTr="00D820C6">
        <w:trPr>
          <w:gridAfter w:val="1"/>
          <w:wAfter w:w="88" w:type="dxa"/>
          <w:trHeight w:val="360"/>
        </w:trPr>
        <w:tc>
          <w:tcPr>
            <w:tcW w:w="1884" w:type="dxa"/>
            <w:tcBorders>
              <w:top w:val="single" w:sz="8" w:space="0" w:color="auto"/>
              <w:left w:val="nil"/>
              <w:bottom w:val="nil"/>
              <w:right w:val="nil"/>
            </w:tcBorders>
            <w:shd w:val="clear" w:color="auto" w:fill="auto"/>
            <w:noWrap/>
            <w:vAlign w:val="bottom"/>
            <w:hideMark/>
          </w:tcPr>
          <w:p w14:paraId="77DD9653"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2012" w:type="dxa"/>
            <w:tcBorders>
              <w:top w:val="single" w:sz="8" w:space="0" w:color="auto"/>
              <w:left w:val="nil"/>
              <w:bottom w:val="nil"/>
              <w:right w:val="nil"/>
            </w:tcBorders>
            <w:shd w:val="clear" w:color="auto" w:fill="auto"/>
            <w:noWrap/>
            <w:vAlign w:val="bottom"/>
            <w:hideMark/>
          </w:tcPr>
          <w:p w14:paraId="0ADCD98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7254" w:type="dxa"/>
            <w:gridSpan w:val="10"/>
            <w:tcBorders>
              <w:top w:val="single" w:sz="8" w:space="0" w:color="auto"/>
              <w:left w:val="nil"/>
              <w:bottom w:val="single" w:sz="4" w:space="0" w:color="auto"/>
              <w:right w:val="nil"/>
            </w:tcBorders>
            <w:shd w:val="clear" w:color="auto" w:fill="auto"/>
            <w:noWrap/>
            <w:vAlign w:val="bottom"/>
            <w:hideMark/>
          </w:tcPr>
          <w:p w14:paraId="5591DA4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Histological atrophy</w:t>
            </w:r>
          </w:p>
        </w:tc>
        <w:tc>
          <w:tcPr>
            <w:tcW w:w="1056" w:type="dxa"/>
            <w:gridSpan w:val="2"/>
            <w:vMerge w:val="restart"/>
            <w:tcBorders>
              <w:top w:val="single" w:sz="8" w:space="0" w:color="auto"/>
              <w:left w:val="nil"/>
              <w:bottom w:val="nil"/>
              <w:right w:val="nil"/>
            </w:tcBorders>
            <w:shd w:val="clear" w:color="auto" w:fill="auto"/>
            <w:noWrap/>
            <w:vAlign w:val="center"/>
            <w:hideMark/>
          </w:tcPr>
          <w:p w14:paraId="57706FA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Total</w:t>
            </w:r>
          </w:p>
        </w:tc>
        <w:tc>
          <w:tcPr>
            <w:tcW w:w="1417" w:type="dxa"/>
            <w:gridSpan w:val="2"/>
            <w:vMerge w:val="restart"/>
            <w:tcBorders>
              <w:top w:val="single" w:sz="8" w:space="0" w:color="auto"/>
              <w:left w:val="nil"/>
              <w:bottom w:val="nil"/>
              <w:right w:val="nil"/>
            </w:tcBorders>
            <w:shd w:val="clear" w:color="auto" w:fill="auto"/>
            <w:noWrap/>
            <w:vAlign w:val="center"/>
            <w:hideMark/>
          </w:tcPr>
          <w:p w14:paraId="0F790011" w14:textId="24E3C21D"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 xml:space="preserve">Weighted </w:t>
            </w:r>
            <w:r w:rsidR="00ED34B9" w:rsidRPr="004865E7">
              <w:rPr>
                <w:rFonts w:ascii="Book Antiqua" w:eastAsia="MS PGothic" w:hAnsi="Book Antiqua" w:cs="Times New Roman"/>
                <w:b/>
                <w:kern w:val="0"/>
              </w:rPr>
              <w:t>κ</w:t>
            </w:r>
            <w:r w:rsidR="00ED34B9" w:rsidRPr="004865E7">
              <w:rPr>
                <w:rFonts w:ascii="Book Antiqua" w:eastAsia="SimSun" w:hAnsi="Book Antiqua" w:cs="Times New Roman" w:hint="eastAsia"/>
                <w:b/>
                <w:kern w:val="0"/>
                <w:lang w:eastAsia="zh-CN"/>
              </w:rPr>
              <w:t xml:space="preserve"> </w:t>
            </w:r>
            <w:r w:rsidRPr="004865E7">
              <w:rPr>
                <w:rFonts w:ascii="Book Antiqua" w:eastAsia="MS PGothic" w:hAnsi="Book Antiqua" w:cs="Times New Roman"/>
                <w:b/>
                <w:kern w:val="0"/>
              </w:rPr>
              <w:t>value</w:t>
            </w:r>
          </w:p>
        </w:tc>
      </w:tr>
      <w:tr w:rsidR="002C16E4" w:rsidRPr="004865E7" w14:paraId="13A87749" w14:textId="77777777" w:rsidTr="00D820C6">
        <w:trPr>
          <w:gridAfter w:val="1"/>
          <w:wAfter w:w="88" w:type="dxa"/>
          <w:trHeight w:val="360"/>
        </w:trPr>
        <w:tc>
          <w:tcPr>
            <w:tcW w:w="1884" w:type="dxa"/>
            <w:tcBorders>
              <w:top w:val="nil"/>
              <w:left w:val="nil"/>
              <w:bottom w:val="nil"/>
              <w:right w:val="nil"/>
            </w:tcBorders>
            <w:shd w:val="clear" w:color="auto" w:fill="auto"/>
            <w:noWrap/>
            <w:vAlign w:val="bottom"/>
            <w:hideMark/>
          </w:tcPr>
          <w:p w14:paraId="2C1F3175" w14:textId="6045FFC5"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r w:rsidRPr="004865E7">
              <w:rPr>
                <w:rFonts w:ascii="Book Antiqua" w:eastAsia="MS PGothic" w:hAnsi="Book Antiqua" w:cs="Times New Roman"/>
                <w:b/>
                <w:kern w:val="0"/>
              </w:rPr>
              <w:t>Age &lt;</w:t>
            </w:r>
            <w:r w:rsidR="00ED34B9" w:rsidRPr="004865E7">
              <w:rPr>
                <w:rFonts w:ascii="Book Antiqua" w:eastAsia="SimSun" w:hAnsi="Book Antiqua" w:cs="Times New Roman" w:hint="eastAsia"/>
                <w:b/>
                <w:kern w:val="0"/>
                <w:lang w:eastAsia="zh-CN"/>
              </w:rPr>
              <w:t xml:space="preserve"> </w:t>
            </w:r>
            <w:r w:rsidRPr="004865E7">
              <w:rPr>
                <w:rFonts w:ascii="Book Antiqua" w:eastAsia="MS PGothic" w:hAnsi="Book Antiqua" w:cs="Times New Roman"/>
                <w:b/>
                <w:kern w:val="0"/>
              </w:rPr>
              <w:t>50 years</w:t>
            </w:r>
          </w:p>
        </w:tc>
        <w:tc>
          <w:tcPr>
            <w:tcW w:w="2012" w:type="dxa"/>
            <w:tcBorders>
              <w:top w:val="nil"/>
              <w:left w:val="nil"/>
              <w:bottom w:val="nil"/>
              <w:right w:val="nil"/>
            </w:tcBorders>
            <w:shd w:val="clear" w:color="auto" w:fill="auto"/>
            <w:noWrap/>
            <w:vAlign w:val="bottom"/>
            <w:hideMark/>
          </w:tcPr>
          <w:p w14:paraId="43B916B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p>
        </w:tc>
        <w:tc>
          <w:tcPr>
            <w:tcW w:w="1364" w:type="dxa"/>
            <w:gridSpan w:val="2"/>
            <w:tcBorders>
              <w:top w:val="nil"/>
              <w:left w:val="nil"/>
              <w:bottom w:val="nil"/>
              <w:right w:val="nil"/>
            </w:tcBorders>
            <w:shd w:val="clear" w:color="auto" w:fill="auto"/>
            <w:noWrap/>
            <w:vAlign w:val="center"/>
            <w:hideMark/>
          </w:tcPr>
          <w:p w14:paraId="2EA85F3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r w:rsidRPr="004865E7">
              <w:rPr>
                <w:rFonts w:ascii="Book Antiqua" w:eastAsia="MS PGothic" w:hAnsi="Book Antiqua" w:cs="Times New Roman"/>
                <w:b/>
                <w:kern w:val="0"/>
              </w:rPr>
              <w:t>None</w:t>
            </w:r>
          </w:p>
        </w:tc>
        <w:tc>
          <w:tcPr>
            <w:tcW w:w="1418" w:type="dxa"/>
            <w:gridSpan w:val="2"/>
            <w:tcBorders>
              <w:top w:val="nil"/>
              <w:left w:val="nil"/>
              <w:bottom w:val="nil"/>
              <w:right w:val="nil"/>
            </w:tcBorders>
            <w:shd w:val="clear" w:color="auto" w:fill="auto"/>
            <w:noWrap/>
            <w:vAlign w:val="center"/>
            <w:hideMark/>
          </w:tcPr>
          <w:p w14:paraId="0C589AF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Antrum</w:t>
            </w:r>
          </w:p>
        </w:tc>
        <w:tc>
          <w:tcPr>
            <w:tcW w:w="1417" w:type="dxa"/>
            <w:gridSpan w:val="2"/>
            <w:tcBorders>
              <w:top w:val="nil"/>
              <w:left w:val="nil"/>
              <w:bottom w:val="nil"/>
              <w:right w:val="nil"/>
            </w:tcBorders>
            <w:shd w:val="clear" w:color="auto" w:fill="auto"/>
            <w:noWrap/>
            <w:vAlign w:val="center"/>
            <w:hideMark/>
          </w:tcPr>
          <w:p w14:paraId="3E3CD59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Angulus</w:t>
            </w:r>
          </w:p>
        </w:tc>
        <w:tc>
          <w:tcPr>
            <w:tcW w:w="1559" w:type="dxa"/>
            <w:gridSpan w:val="2"/>
            <w:tcBorders>
              <w:top w:val="nil"/>
              <w:left w:val="nil"/>
              <w:bottom w:val="nil"/>
              <w:right w:val="nil"/>
            </w:tcBorders>
            <w:shd w:val="clear" w:color="auto" w:fill="auto"/>
            <w:noWrap/>
            <w:vAlign w:val="center"/>
            <w:hideMark/>
          </w:tcPr>
          <w:p w14:paraId="3EDB952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Middle body LC</w:t>
            </w:r>
          </w:p>
        </w:tc>
        <w:tc>
          <w:tcPr>
            <w:tcW w:w="1496" w:type="dxa"/>
            <w:gridSpan w:val="2"/>
            <w:tcBorders>
              <w:top w:val="nil"/>
              <w:left w:val="nil"/>
              <w:bottom w:val="nil"/>
              <w:right w:val="nil"/>
            </w:tcBorders>
            <w:shd w:val="clear" w:color="auto" w:fill="auto"/>
            <w:noWrap/>
            <w:vAlign w:val="center"/>
            <w:hideMark/>
          </w:tcPr>
          <w:p w14:paraId="08F56D4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Middle body GC</w:t>
            </w:r>
          </w:p>
        </w:tc>
        <w:tc>
          <w:tcPr>
            <w:tcW w:w="1056" w:type="dxa"/>
            <w:gridSpan w:val="2"/>
            <w:vMerge/>
            <w:tcBorders>
              <w:top w:val="single" w:sz="8" w:space="0" w:color="auto"/>
              <w:left w:val="nil"/>
              <w:bottom w:val="nil"/>
              <w:right w:val="nil"/>
            </w:tcBorders>
            <w:vAlign w:val="center"/>
            <w:hideMark/>
          </w:tcPr>
          <w:p w14:paraId="4A6D350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417" w:type="dxa"/>
            <w:gridSpan w:val="2"/>
            <w:vMerge/>
            <w:tcBorders>
              <w:top w:val="single" w:sz="8" w:space="0" w:color="auto"/>
              <w:left w:val="nil"/>
              <w:bottom w:val="nil"/>
              <w:right w:val="nil"/>
            </w:tcBorders>
            <w:vAlign w:val="center"/>
            <w:hideMark/>
          </w:tcPr>
          <w:p w14:paraId="5A97FBE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r>
      <w:tr w:rsidR="002C16E4" w:rsidRPr="004865E7" w14:paraId="68156E7F" w14:textId="77777777" w:rsidTr="00D820C6">
        <w:trPr>
          <w:trHeight w:val="360"/>
        </w:trPr>
        <w:tc>
          <w:tcPr>
            <w:tcW w:w="1884" w:type="dxa"/>
            <w:vMerge w:val="restart"/>
            <w:tcBorders>
              <w:top w:val="single" w:sz="4" w:space="0" w:color="auto"/>
              <w:left w:val="nil"/>
              <w:bottom w:val="nil"/>
              <w:right w:val="nil"/>
            </w:tcBorders>
            <w:shd w:val="clear" w:color="auto" w:fill="auto"/>
            <w:vAlign w:val="center"/>
            <w:hideMark/>
          </w:tcPr>
          <w:p w14:paraId="40F4EA3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100" w:type="dxa"/>
            <w:gridSpan w:val="2"/>
            <w:tcBorders>
              <w:top w:val="single" w:sz="4" w:space="0" w:color="auto"/>
              <w:left w:val="nil"/>
              <w:bottom w:val="nil"/>
              <w:right w:val="nil"/>
            </w:tcBorders>
            <w:shd w:val="clear" w:color="auto" w:fill="auto"/>
            <w:noWrap/>
            <w:vAlign w:val="center"/>
            <w:hideMark/>
          </w:tcPr>
          <w:p w14:paraId="0ECADAE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No atrophy</w:t>
            </w:r>
          </w:p>
        </w:tc>
        <w:tc>
          <w:tcPr>
            <w:tcW w:w="1364" w:type="dxa"/>
            <w:gridSpan w:val="2"/>
            <w:tcBorders>
              <w:top w:val="single" w:sz="4" w:space="0" w:color="auto"/>
              <w:left w:val="nil"/>
              <w:bottom w:val="nil"/>
              <w:right w:val="nil"/>
            </w:tcBorders>
            <w:shd w:val="clear" w:color="000000" w:fill="D9D9D9"/>
            <w:noWrap/>
            <w:vAlign w:val="center"/>
            <w:hideMark/>
          </w:tcPr>
          <w:p w14:paraId="173CF1B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61</w:t>
            </w:r>
          </w:p>
        </w:tc>
        <w:tc>
          <w:tcPr>
            <w:tcW w:w="1418" w:type="dxa"/>
            <w:gridSpan w:val="2"/>
            <w:tcBorders>
              <w:top w:val="single" w:sz="4" w:space="0" w:color="auto"/>
              <w:left w:val="nil"/>
              <w:bottom w:val="nil"/>
              <w:right w:val="nil"/>
            </w:tcBorders>
            <w:shd w:val="clear" w:color="000000" w:fill="FFFFFF"/>
            <w:noWrap/>
            <w:vAlign w:val="center"/>
            <w:hideMark/>
          </w:tcPr>
          <w:p w14:paraId="1810CD0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417" w:type="dxa"/>
            <w:gridSpan w:val="2"/>
            <w:tcBorders>
              <w:top w:val="single" w:sz="4" w:space="0" w:color="auto"/>
              <w:left w:val="nil"/>
              <w:bottom w:val="nil"/>
              <w:right w:val="nil"/>
            </w:tcBorders>
            <w:shd w:val="clear" w:color="000000" w:fill="FFFFFF"/>
            <w:noWrap/>
            <w:vAlign w:val="center"/>
            <w:hideMark/>
          </w:tcPr>
          <w:p w14:paraId="5795273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9" w:type="dxa"/>
            <w:gridSpan w:val="2"/>
            <w:tcBorders>
              <w:top w:val="single" w:sz="4" w:space="0" w:color="auto"/>
              <w:left w:val="nil"/>
              <w:bottom w:val="nil"/>
              <w:right w:val="nil"/>
            </w:tcBorders>
            <w:shd w:val="clear" w:color="000000" w:fill="FFFFFF"/>
            <w:noWrap/>
            <w:vAlign w:val="center"/>
            <w:hideMark/>
          </w:tcPr>
          <w:p w14:paraId="100EDF0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96" w:type="dxa"/>
            <w:gridSpan w:val="2"/>
            <w:tcBorders>
              <w:top w:val="single" w:sz="4" w:space="0" w:color="auto"/>
              <w:left w:val="nil"/>
              <w:bottom w:val="nil"/>
              <w:right w:val="nil"/>
            </w:tcBorders>
            <w:shd w:val="clear" w:color="000000" w:fill="FFFFFF"/>
            <w:noWrap/>
            <w:vAlign w:val="center"/>
            <w:hideMark/>
          </w:tcPr>
          <w:p w14:paraId="258F965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56" w:type="dxa"/>
            <w:gridSpan w:val="2"/>
            <w:tcBorders>
              <w:top w:val="single" w:sz="4" w:space="0" w:color="auto"/>
              <w:left w:val="nil"/>
              <w:bottom w:val="nil"/>
              <w:right w:val="nil"/>
            </w:tcBorders>
            <w:shd w:val="clear" w:color="auto" w:fill="auto"/>
            <w:noWrap/>
            <w:vAlign w:val="center"/>
            <w:hideMark/>
          </w:tcPr>
          <w:p w14:paraId="10867BC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63</w:t>
            </w:r>
          </w:p>
        </w:tc>
        <w:tc>
          <w:tcPr>
            <w:tcW w:w="1417" w:type="dxa"/>
            <w:gridSpan w:val="2"/>
            <w:vMerge w:val="restart"/>
            <w:tcBorders>
              <w:top w:val="single" w:sz="4" w:space="0" w:color="auto"/>
              <w:left w:val="nil"/>
              <w:right w:val="nil"/>
            </w:tcBorders>
            <w:shd w:val="clear" w:color="auto" w:fill="auto"/>
            <w:noWrap/>
            <w:vAlign w:val="center"/>
            <w:hideMark/>
          </w:tcPr>
          <w:p w14:paraId="1247D07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0.81</w:t>
            </w:r>
          </w:p>
        </w:tc>
      </w:tr>
      <w:tr w:rsidR="002C16E4" w:rsidRPr="004865E7" w14:paraId="76DF541B" w14:textId="77777777" w:rsidTr="00D820C6">
        <w:trPr>
          <w:trHeight w:val="360"/>
        </w:trPr>
        <w:tc>
          <w:tcPr>
            <w:tcW w:w="1884" w:type="dxa"/>
            <w:vMerge/>
            <w:tcBorders>
              <w:top w:val="single" w:sz="4" w:space="0" w:color="auto"/>
              <w:left w:val="nil"/>
              <w:bottom w:val="nil"/>
              <w:right w:val="nil"/>
            </w:tcBorders>
            <w:vAlign w:val="center"/>
            <w:hideMark/>
          </w:tcPr>
          <w:p w14:paraId="193CF55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529D30C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Antrum</w:t>
            </w:r>
          </w:p>
        </w:tc>
        <w:tc>
          <w:tcPr>
            <w:tcW w:w="1364" w:type="dxa"/>
            <w:gridSpan w:val="2"/>
            <w:tcBorders>
              <w:top w:val="nil"/>
              <w:left w:val="nil"/>
              <w:bottom w:val="nil"/>
              <w:right w:val="nil"/>
            </w:tcBorders>
            <w:shd w:val="clear" w:color="000000" w:fill="FFFFFF"/>
            <w:noWrap/>
            <w:vAlign w:val="center"/>
            <w:hideMark/>
          </w:tcPr>
          <w:p w14:paraId="7365D74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w:t>
            </w:r>
          </w:p>
        </w:tc>
        <w:tc>
          <w:tcPr>
            <w:tcW w:w="1418" w:type="dxa"/>
            <w:gridSpan w:val="2"/>
            <w:tcBorders>
              <w:top w:val="nil"/>
              <w:left w:val="nil"/>
              <w:bottom w:val="nil"/>
              <w:right w:val="nil"/>
            </w:tcBorders>
            <w:shd w:val="clear" w:color="000000" w:fill="D9D9D9"/>
            <w:noWrap/>
            <w:vAlign w:val="center"/>
            <w:hideMark/>
          </w:tcPr>
          <w:p w14:paraId="250192F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28</w:t>
            </w:r>
          </w:p>
        </w:tc>
        <w:tc>
          <w:tcPr>
            <w:tcW w:w="1417" w:type="dxa"/>
            <w:gridSpan w:val="2"/>
            <w:tcBorders>
              <w:top w:val="nil"/>
              <w:left w:val="nil"/>
              <w:bottom w:val="nil"/>
              <w:right w:val="nil"/>
            </w:tcBorders>
            <w:shd w:val="clear" w:color="000000" w:fill="FFFFFF"/>
            <w:noWrap/>
            <w:vAlign w:val="center"/>
            <w:hideMark/>
          </w:tcPr>
          <w:p w14:paraId="4870007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559" w:type="dxa"/>
            <w:gridSpan w:val="2"/>
            <w:tcBorders>
              <w:top w:val="nil"/>
              <w:left w:val="nil"/>
              <w:bottom w:val="nil"/>
              <w:right w:val="nil"/>
            </w:tcBorders>
            <w:shd w:val="clear" w:color="000000" w:fill="FFFFFF"/>
            <w:noWrap/>
            <w:vAlign w:val="center"/>
            <w:hideMark/>
          </w:tcPr>
          <w:p w14:paraId="0BCDF2C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496" w:type="dxa"/>
            <w:gridSpan w:val="2"/>
            <w:tcBorders>
              <w:top w:val="nil"/>
              <w:left w:val="nil"/>
              <w:bottom w:val="nil"/>
              <w:right w:val="nil"/>
            </w:tcBorders>
            <w:shd w:val="clear" w:color="000000" w:fill="FFFFFF"/>
            <w:noWrap/>
            <w:vAlign w:val="center"/>
            <w:hideMark/>
          </w:tcPr>
          <w:p w14:paraId="76E77C3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56" w:type="dxa"/>
            <w:gridSpan w:val="2"/>
            <w:tcBorders>
              <w:top w:val="nil"/>
              <w:left w:val="nil"/>
              <w:bottom w:val="nil"/>
              <w:right w:val="nil"/>
            </w:tcBorders>
            <w:shd w:val="clear" w:color="auto" w:fill="auto"/>
            <w:noWrap/>
            <w:vAlign w:val="center"/>
            <w:hideMark/>
          </w:tcPr>
          <w:p w14:paraId="2994D4C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36</w:t>
            </w:r>
          </w:p>
        </w:tc>
        <w:tc>
          <w:tcPr>
            <w:tcW w:w="1417" w:type="dxa"/>
            <w:gridSpan w:val="2"/>
            <w:vMerge/>
            <w:tcBorders>
              <w:left w:val="nil"/>
              <w:right w:val="nil"/>
            </w:tcBorders>
            <w:shd w:val="clear" w:color="auto" w:fill="auto"/>
            <w:noWrap/>
            <w:vAlign w:val="center"/>
            <w:hideMark/>
          </w:tcPr>
          <w:p w14:paraId="4DB36966"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406B6FC8" w14:textId="77777777" w:rsidTr="00D820C6">
        <w:trPr>
          <w:trHeight w:val="360"/>
        </w:trPr>
        <w:tc>
          <w:tcPr>
            <w:tcW w:w="1884" w:type="dxa"/>
            <w:vMerge/>
            <w:tcBorders>
              <w:top w:val="single" w:sz="4" w:space="0" w:color="auto"/>
              <w:left w:val="nil"/>
              <w:bottom w:val="nil"/>
              <w:right w:val="nil"/>
            </w:tcBorders>
            <w:vAlign w:val="center"/>
            <w:hideMark/>
          </w:tcPr>
          <w:p w14:paraId="70AA78C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56E87CE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Antrum predominant</w:t>
            </w:r>
          </w:p>
        </w:tc>
        <w:tc>
          <w:tcPr>
            <w:tcW w:w="1364" w:type="dxa"/>
            <w:gridSpan w:val="2"/>
            <w:tcBorders>
              <w:top w:val="nil"/>
              <w:left w:val="nil"/>
              <w:bottom w:val="nil"/>
              <w:right w:val="nil"/>
            </w:tcBorders>
            <w:shd w:val="clear" w:color="000000" w:fill="FFFFFF"/>
            <w:noWrap/>
            <w:vAlign w:val="center"/>
            <w:hideMark/>
          </w:tcPr>
          <w:p w14:paraId="300D7C1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8" w:type="dxa"/>
            <w:gridSpan w:val="2"/>
            <w:tcBorders>
              <w:top w:val="nil"/>
              <w:left w:val="nil"/>
              <w:bottom w:val="nil"/>
              <w:right w:val="nil"/>
            </w:tcBorders>
            <w:shd w:val="clear" w:color="000000" w:fill="FFFFFF"/>
            <w:noWrap/>
            <w:vAlign w:val="center"/>
            <w:hideMark/>
          </w:tcPr>
          <w:p w14:paraId="105D8E9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417" w:type="dxa"/>
            <w:gridSpan w:val="2"/>
            <w:tcBorders>
              <w:top w:val="nil"/>
              <w:left w:val="nil"/>
              <w:bottom w:val="nil"/>
              <w:right w:val="nil"/>
            </w:tcBorders>
            <w:shd w:val="clear" w:color="000000" w:fill="D9D9D9"/>
            <w:noWrap/>
            <w:vAlign w:val="center"/>
            <w:hideMark/>
          </w:tcPr>
          <w:p w14:paraId="703303D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6</w:t>
            </w:r>
          </w:p>
        </w:tc>
        <w:tc>
          <w:tcPr>
            <w:tcW w:w="1559" w:type="dxa"/>
            <w:gridSpan w:val="2"/>
            <w:tcBorders>
              <w:top w:val="nil"/>
              <w:left w:val="nil"/>
              <w:bottom w:val="nil"/>
              <w:right w:val="nil"/>
            </w:tcBorders>
            <w:shd w:val="clear" w:color="000000" w:fill="FFFFFF"/>
            <w:noWrap/>
            <w:vAlign w:val="center"/>
            <w:hideMark/>
          </w:tcPr>
          <w:p w14:paraId="70279E5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496" w:type="dxa"/>
            <w:gridSpan w:val="2"/>
            <w:tcBorders>
              <w:top w:val="nil"/>
              <w:left w:val="nil"/>
              <w:bottom w:val="nil"/>
              <w:right w:val="nil"/>
            </w:tcBorders>
            <w:shd w:val="clear" w:color="000000" w:fill="FFFFFF"/>
            <w:noWrap/>
            <w:vAlign w:val="center"/>
            <w:hideMark/>
          </w:tcPr>
          <w:p w14:paraId="3AF2F31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056" w:type="dxa"/>
            <w:gridSpan w:val="2"/>
            <w:tcBorders>
              <w:top w:val="nil"/>
              <w:left w:val="nil"/>
              <w:bottom w:val="nil"/>
              <w:right w:val="nil"/>
            </w:tcBorders>
            <w:shd w:val="clear" w:color="auto" w:fill="auto"/>
            <w:noWrap/>
            <w:vAlign w:val="center"/>
            <w:hideMark/>
          </w:tcPr>
          <w:p w14:paraId="1564475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14</w:t>
            </w:r>
          </w:p>
        </w:tc>
        <w:tc>
          <w:tcPr>
            <w:tcW w:w="1417" w:type="dxa"/>
            <w:gridSpan w:val="2"/>
            <w:vMerge/>
            <w:tcBorders>
              <w:left w:val="nil"/>
              <w:right w:val="nil"/>
            </w:tcBorders>
            <w:shd w:val="clear" w:color="auto" w:fill="auto"/>
            <w:noWrap/>
            <w:vAlign w:val="center"/>
            <w:hideMark/>
          </w:tcPr>
          <w:p w14:paraId="4312B9B7"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5BA99730" w14:textId="77777777" w:rsidTr="00D820C6">
        <w:trPr>
          <w:trHeight w:val="360"/>
        </w:trPr>
        <w:tc>
          <w:tcPr>
            <w:tcW w:w="1884" w:type="dxa"/>
            <w:vMerge/>
            <w:tcBorders>
              <w:top w:val="single" w:sz="4" w:space="0" w:color="auto"/>
              <w:left w:val="nil"/>
              <w:bottom w:val="nil"/>
              <w:right w:val="nil"/>
            </w:tcBorders>
            <w:vAlign w:val="center"/>
            <w:hideMark/>
          </w:tcPr>
          <w:p w14:paraId="74AC1E6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0A163719"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Corpus predominant</w:t>
            </w:r>
          </w:p>
        </w:tc>
        <w:tc>
          <w:tcPr>
            <w:tcW w:w="1364" w:type="dxa"/>
            <w:gridSpan w:val="2"/>
            <w:tcBorders>
              <w:top w:val="nil"/>
              <w:left w:val="nil"/>
              <w:right w:val="nil"/>
            </w:tcBorders>
            <w:shd w:val="clear" w:color="000000" w:fill="FFFFFF"/>
            <w:noWrap/>
            <w:vAlign w:val="center"/>
            <w:hideMark/>
          </w:tcPr>
          <w:p w14:paraId="114C750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gridSpan w:val="2"/>
            <w:tcBorders>
              <w:top w:val="nil"/>
              <w:left w:val="nil"/>
              <w:bottom w:val="nil"/>
              <w:right w:val="nil"/>
            </w:tcBorders>
            <w:shd w:val="clear" w:color="000000" w:fill="FFFFFF"/>
            <w:noWrap/>
            <w:vAlign w:val="center"/>
            <w:hideMark/>
          </w:tcPr>
          <w:p w14:paraId="3D334BB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gridSpan w:val="2"/>
            <w:tcBorders>
              <w:top w:val="nil"/>
              <w:left w:val="nil"/>
              <w:bottom w:val="nil"/>
              <w:right w:val="nil"/>
            </w:tcBorders>
            <w:shd w:val="clear" w:color="000000" w:fill="FFFFFF"/>
            <w:noWrap/>
            <w:vAlign w:val="center"/>
            <w:hideMark/>
          </w:tcPr>
          <w:p w14:paraId="73EB823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559" w:type="dxa"/>
            <w:gridSpan w:val="2"/>
            <w:tcBorders>
              <w:top w:val="nil"/>
              <w:left w:val="nil"/>
              <w:bottom w:val="nil"/>
              <w:right w:val="nil"/>
            </w:tcBorders>
            <w:shd w:val="clear" w:color="000000" w:fill="D9D9D9"/>
            <w:noWrap/>
            <w:vAlign w:val="center"/>
            <w:hideMark/>
          </w:tcPr>
          <w:p w14:paraId="2CEF6BA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7</w:t>
            </w:r>
          </w:p>
        </w:tc>
        <w:tc>
          <w:tcPr>
            <w:tcW w:w="1496" w:type="dxa"/>
            <w:gridSpan w:val="2"/>
            <w:tcBorders>
              <w:top w:val="nil"/>
              <w:left w:val="nil"/>
              <w:bottom w:val="nil"/>
              <w:right w:val="nil"/>
            </w:tcBorders>
            <w:shd w:val="clear" w:color="000000" w:fill="FFFFFF"/>
            <w:noWrap/>
            <w:vAlign w:val="center"/>
            <w:hideMark/>
          </w:tcPr>
          <w:p w14:paraId="78026A5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056" w:type="dxa"/>
            <w:gridSpan w:val="2"/>
            <w:tcBorders>
              <w:top w:val="nil"/>
              <w:left w:val="nil"/>
              <w:bottom w:val="nil"/>
              <w:right w:val="nil"/>
            </w:tcBorders>
            <w:shd w:val="clear" w:color="auto" w:fill="auto"/>
            <w:noWrap/>
            <w:vAlign w:val="center"/>
            <w:hideMark/>
          </w:tcPr>
          <w:p w14:paraId="0FB6890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11</w:t>
            </w:r>
          </w:p>
        </w:tc>
        <w:tc>
          <w:tcPr>
            <w:tcW w:w="1417" w:type="dxa"/>
            <w:gridSpan w:val="2"/>
            <w:vMerge/>
            <w:tcBorders>
              <w:left w:val="nil"/>
              <w:right w:val="nil"/>
            </w:tcBorders>
            <w:shd w:val="clear" w:color="auto" w:fill="auto"/>
            <w:noWrap/>
            <w:vAlign w:val="center"/>
            <w:hideMark/>
          </w:tcPr>
          <w:p w14:paraId="68B3FACE"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780672D1" w14:textId="77777777" w:rsidTr="00D820C6">
        <w:trPr>
          <w:trHeight w:val="360"/>
        </w:trPr>
        <w:tc>
          <w:tcPr>
            <w:tcW w:w="1884" w:type="dxa"/>
            <w:vMerge/>
            <w:tcBorders>
              <w:top w:val="single" w:sz="4" w:space="0" w:color="auto"/>
              <w:left w:val="nil"/>
              <w:bottom w:val="nil"/>
              <w:right w:val="nil"/>
            </w:tcBorders>
            <w:vAlign w:val="center"/>
            <w:hideMark/>
          </w:tcPr>
          <w:p w14:paraId="1419EAE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tcBorders>
            <w:shd w:val="clear" w:color="auto" w:fill="auto"/>
            <w:noWrap/>
            <w:vAlign w:val="center"/>
            <w:hideMark/>
          </w:tcPr>
          <w:p w14:paraId="41563B72"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Pan-atrophy</w:t>
            </w:r>
          </w:p>
        </w:tc>
        <w:tc>
          <w:tcPr>
            <w:tcW w:w="1364" w:type="dxa"/>
            <w:gridSpan w:val="2"/>
            <w:tcBorders>
              <w:top w:val="nil"/>
              <w:bottom w:val="single" w:sz="4" w:space="0" w:color="auto"/>
              <w:right w:val="nil"/>
            </w:tcBorders>
            <w:shd w:val="clear" w:color="000000" w:fill="FFFFFF"/>
            <w:noWrap/>
            <w:vAlign w:val="center"/>
            <w:hideMark/>
          </w:tcPr>
          <w:p w14:paraId="24336AD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gridSpan w:val="2"/>
            <w:tcBorders>
              <w:top w:val="nil"/>
              <w:left w:val="nil"/>
              <w:bottom w:val="nil"/>
              <w:right w:val="nil"/>
            </w:tcBorders>
            <w:shd w:val="clear" w:color="000000" w:fill="FFFFFF"/>
            <w:noWrap/>
            <w:vAlign w:val="center"/>
            <w:hideMark/>
          </w:tcPr>
          <w:p w14:paraId="63969F8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gridSpan w:val="2"/>
            <w:tcBorders>
              <w:top w:val="nil"/>
              <w:left w:val="nil"/>
              <w:bottom w:val="nil"/>
              <w:right w:val="nil"/>
            </w:tcBorders>
            <w:shd w:val="clear" w:color="000000" w:fill="FFFFFF"/>
            <w:noWrap/>
            <w:vAlign w:val="center"/>
            <w:hideMark/>
          </w:tcPr>
          <w:p w14:paraId="2474088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9" w:type="dxa"/>
            <w:gridSpan w:val="2"/>
            <w:tcBorders>
              <w:top w:val="nil"/>
              <w:left w:val="nil"/>
              <w:bottom w:val="nil"/>
              <w:right w:val="nil"/>
            </w:tcBorders>
            <w:shd w:val="clear" w:color="000000" w:fill="FFFFFF"/>
            <w:noWrap/>
            <w:vAlign w:val="center"/>
            <w:hideMark/>
          </w:tcPr>
          <w:p w14:paraId="12787CF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96" w:type="dxa"/>
            <w:gridSpan w:val="2"/>
            <w:tcBorders>
              <w:top w:val="nil"/>
              <w:left w:val="nil"/>
              <w:bottom w:val="nil"/>
              <w:right w:val="nil"/>
            </w:tcBorders>
            <w:shd w:val="clear" w:color="000000" w:fill="D9D9D9"/>
            <w:noWrap/>
            <w:vAlign w:val="center"/>
            <w:hideMark/>
          </w:tcPr>
          <w:p w14:paraId="335DBEC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056" w:type="dxa"/>
            <w:gridSpan w:val="2"/>
            <w:tcBorders>
              <w:top w:val="nil"/>
              <w:left w:val="nil"/>
              <w:bottom w:val="nil"/>
              <w:right w:val="nil"/>
            </w:tcBorders>
            <w:shd w:val="clear" w:color="auto" w:fill="auto"/>
            <w:noWrap/>
            <w:vAlign w:val="center"/>
            <w:hideMark/>
          </w:tcPr>
          <w:p w14:paraId="2E6BDB7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w:t>
            </w:r>
          </w:p>
        </w:tc>
        <w:tc>
          <w:tcPr>
            <w:tcW w:w="1417" w:type="dxa"/>
            <w:gridSpan w:val="2"/>
            <w:vMerge/>
            <w:tcBorders>
              <w:left w:val="nil"/>
              <w:right w:val="nil"/>
            </w:tcBorders>
            <w:shd w:val="clear" w:color="000000" w:fill="FFFFFF"/>
            <w:noWrap/>
            <w:vAlign w:val="center"/>
            <w:hideMark/>
          </w:tcPr>
          <w:p w14:paraId="7ACF268A"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3245AA21" w14:textId="77777777" w:rsidTr="00D820C6">
        <w:trPr>
          <w:trHeight w:val="360"/>
        </w:trPr>
        <w:tc>
          <w:tcPr>
            <w:tcW w:w="1884" w:type="dxa"/>
            <w:tcBorders>
              <w:top w:val="nil"/>
              <w:left w:val="nil"/>
              <w:bottom w:val="nil"/>
              <w:right w:val="nil"/>
            </w:tcBorders>
            <w:shd w:val="clear" w:color="auto" w:fill="auto"/>
            <w:noWrap/>
            <w:vAlign w:val="bottom"/>
            <w:hideMark/>
          </w:tcPr>
          <w:p w14:paraId="2A6FB15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single" w:sz="4" w:space="0" w:color="auto"/>
              <w:left w:val="nil"/>
              <w:bottom w:val="nil"/>
              <w:right w:val="nil"/>
            </w:tcBorders>
            <w:shd w:val="clear" w:color="auto" w:fill="auto"/>
            <w:noWrap/>
            <w:vAlign w:val="center"/>
            <w:hideMark/>
          </w:tcPr>
          <w:p w14:paraId="19F3225C"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Total</w:t>
            </w:r>
          </w:p>
        </w:tc>
        <w:tc>
          <w:tcPr>
            <w:tcW w:w="1364" w:type="dxa"/>
            <w:gridSpan w:val="2"/>
            <w:tcBorders>
              <w:top w:val="single" w:sz="4" w:space="0" w:color="auto"/>
              <w:left w:val="nil"/>
              <w:bottom w:val="nil"/>
              <w:right w:val="nil"/>
            </w:tcBorders>
            <w:shd w:val="clear" w:color="auto" w:fill="auto"/>
            <w:noWrap/>
            <w:vAlign w:val="center"/>
            <w:hideMark/>
          </w:tcPr>
          <w:p w14:paraId="1F79EF6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67</w:t>
            </w:r>
          </w:p>
        </w:tc>
        <w:tc>
          <w:tcPr>
            <w:tcW w:w="1418" w:type="dxa"/>
            <w:gridSpan w:val="2"/>
            <w:tcBorders>
              <w:top w:val="single" w:sz="4" w:space="0" w:color="auto"/>
              <w:left w:val="nil"/>
              <w:bottom w:val="nil"/>
              <w:right w:val="nil"/>
            </w:tcBorders>
            <w:shd w:val="clear" w:color="auto" w:fill="auto"/>
            <w:noWrap/>
            <w:vAlign w:val="center"/>
            <w:hideMark/>
          </w:tcPr>
          <w:p w14:paraId="23E1FCF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33</w:t>
            </w:r>
          </w:p>
        </w:tc>
        <w:tc>
          <w:tcPr>
            <w:tcW w:w="1417" w:type="dxa"/>
            <w:gridSpan w:val="2"/>
            <w:tcBorders>
              <w:top w:val="single" w:sz="4" w:space="0" w:color="auto"/>
              <w:left w:val="nil"/>
              <w:bottom w:val="nil"/>
              <w:right w:val="nil"/>
            </w:tcBorders>
            <w:shd w:val="clear" w:color="auto" w:fill="auto"/>
            <w:noWrap/>
            <w:vAlign w:val="center"/>
            <w:hideMark/>
          </w:tcPr>
          <w:p w14:paraId="2FB157B5"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w:t>
            </w:r>
          </w:p>
        </w:tc>
        <w:tc>
          <w:tcPr>
            <w:tcW w:w="1559" w:type="dxa"/>
            <w:gridSpan w:val="2"/>
            <w:tcBorders>
              <w:top w:val="single" w:sz="4" w:space="0" w:color="auto"/>
              <w:left w:val="nil"/>
              <w:bottom w:val="nil"/>
              <w:right w:val="nil"/>
            </w:tcBorders>
            <w:shd w:val="clear" w:color="auto" w:fill="auto"/>
            <w:noWrap/>
            <w:vAlign w:val="center"/>
            <w:hideMark/>
          </w:tcPr>
          <w:p w14:paraId="417E906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w:t>
            </w:r>
          </w:p>
        </w:tc>
        <w:tc>
          <w:tcPr>
            <w:tcW w:w="1496" w:type="dxa"/>
            <w:gridSpan w:val="2"/>
            <w:tcBorders>
              <w:top w:val="single" w:sz="4" w:space="0" w:color="auto"/>
              <w:left w:val="nil"/>
              <w:bottom w:val="nil"/>
              <w:right w:val="nil"/>
            </w:tcBorders>
            <w:shd w:val="clear" w:color="auto" w:fill="auto"/>
            <w:noWrap/>
            <w:vAlign w:val="center"/>
            <w:hideMark/>
          </w:tcPr>
          <w:p w14:paraId="2F76642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w:t>
            </w:r>
          </w:p>
        </w:tc>
        <w:tc>
          <w:tcPr>
            <w:tcW w:w="1056" w:type="dxa"/>
            <w:gridSpan w:val="2"/>
            <w:tcBorders>
              <w:top w:val="single" w:sz="4" w:space="0" w:color="auto"/>
              <w:left w:val="nil"/>
              <w:bottom w:val="nil"/>
              <w:right w:val="nil"/>
            </w:tcBorders>
            <w:shd w:val="clear" w:color="auto" w:fill="auto"/>
            <w:noWrap/>
            <w:vAlign w:val="center"/>
            <w:hideMark/>
          </w:tcPr>
          <w:p w14:paraId="6BEC465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124</w:t>
            </w:r>
          </w:p>
        </w:tc>
        <w:tc>
          <w:tcPr>
            <w:tcW w:w="1417" w:type="dxa"/>
            <w:gridSpan w:val="2"/>
            <w:vMerge/>
            <w:tcBorders>
              <w:left w:val="nil"/>
              <w:bottom w:val="nil"/>
              <w:right w:val="nil"/>
            </w:tcBorders>
            <w:shd w:val="clear" w:color="auto" w:fill="auto"/>
            <w:noWrap/>
            <w:vAlign w:val="center"/>
            <w:hideMark/>
          </w:tcPr>
          <w:p w14:paraId="6253573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1E44EA8A" w14:textId="77777777" w:rsidTr="00D820C6">
        <w:trPr>
          <w:gridAfter w:val="1"/>
          <w:wAfter w:w="88" w:type="dxa"/>
          <w:trHeight w:val="360"/>
        </w:trPr>
        <w:tc>
          <w:tcPr>
            <w:tcW w:w="1884" w:type="dxa"/>
            <w:tcBorders>
              <w:top w:val="nil"/>
              <w:left w:val="nil"/>
              <w:bottom w:val="nil"/>
              <w:right w:val="nil"/>
            </w:tcBorders>
            <w:shd w:val="clear" w:color="auto" w:fill="auto"/>
            <w:noWrap/>
            <w:vAlign w:val="bottom"/>
            <w:hideMark/>
          </w:tcPr>
          <w:p w14:paraId="359C82F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012" w:type="dxa"/>
            <w:tcBorders>
              <w:top w:val="nil"/>
              <w:left w:val="nil"/>
              <w:bottom w:val="nil"/>
              <w:right w:val="nil"/>
            </w:tcBorders>
            <w:shd w:val="clear" w:color="auto" w:fill="auto"/>
            <w:noWrap/>
            <w:vAlign w:val="center"/>
            <w:hideMark/>
          </w:tcPr>
          <w:p w14:paraId="50590270"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364" w:type="dxa"/>
            <w:gridSpan w:val="2"/>
            <w:tcBorders>
              <w:top w:val="nil"/>
              <w:left w:val="nil"/>
              <w:bottom w:val="nil"/>
              <w:right w:val="nil"/>
            </w:tcBorders>
            <w:shd w:val="clear" w:color="auto" w:fill="auto"/>
            <w:noWrap/>
            <w:vAlign w:val="center"/>
            <w:hideMark/>
          </w:tcPr>
          <w:p w14:paraId="01BF722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1418" w:type="dxa"/>
            <w:gridSpan w:val="2"/>
            <w:tcBorders>
              <w:top w:val="nil"/>
              <w:left w:val="nil"/>
              <w:bottom w:val="nil"/>
              <w:right w:val="nil"/>
            </w:tcBorders>
            <w:shd w:val="clear" w:color="auto" w:fill="auto"/>
            <w:noWrap/>
            <w:vAlign w:val="center"/>
            <w:hideMark/>
          </w:tcPr>
          <w:p w14:paraId="288C335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gridSpan w:val="2"/>
            <w:tcBorders>
              <w:top w:val="nil"/>
              <w:left w:val="nil"/>
              <w:bottom w:val="nil"/>
              <w:right w:val="nil"/>
            </w:tcBorders>
            <w:shd w:val="clear" w:color="auto" w:fill="auto"/>
            <w:noWrap/>
            <w:vAlign w:val="center"/>
            <w:hideMark/>
          </w:tcPr>
          <w:p w14:paraId="259A684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9" w:type="dxa"/>
            <w:gridSpan w:val="2"/>
            <w:tcBorders>
              <w:top w:val="nil"/>
              <w:left w:val="nil"/>
              <w:bottom w:val="nil"/>
              <w:right w:val="nil"/>
            </w:tcBorders>
            <w:shd w:val="clear" w:color="auto" w:fill="auto"/>
            <w:noWrap/>
            <w:vAlign w:val="center"/>
            <w:hideMark/>
          </w:tcPr>
          <w:p w14:paraId="2F9F23D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96" w:type="dxa"/>
            <w:gridSpan w:val="2"/>
            <w:tcBorders>
              <w:top w:val="nil"/>
              <w:left w:val="nil"/>
              <w:bottom w:val="nil"/>
              <w:right w:val="nil"/>
            </w:tcBorders>
            <w:shd w:val="clear" w:color="auto" w:fill="auto"/>
            <w:noWrap/>
            <w:vAlign w:val="center"/>
            <w:hideMark/>
          </w:tcPr>
          <w:p w14:paraId="072EC3D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56" w:type="dxa"/>
            <w:gridSpan w:val="2"/>
            <w:tcBorders>
              <w:top w:val="nil"/>
              <w:left w:val="nil"/>
              <w:bottom w:val="nil"/>
              <w:right w:val="nil"/>
            </w:tcBorders>
            <w:shd w:val="clear" w:color="auto" w:fill="auto"/>
            <w:noWrap/>
            <w:vAlign w:val="center"/>
            <w:hideMark/>
          </w:tcPr>
          <w:p w14:paraId="281C466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gridSpan w:val="2"/>
            <w:tcBorders>
              <w:top w:val="nil"/>
              <w:left w:val="nil"/>
              <w:bottom w:val="nil"/>
              <w:right w:val="nil"/>
            </w:tcBorders>
            <w:shd w:val="clear" w:color="auto" w:fill="auto"/>
            <w:noWrap/>
            <w:vAlign w:val="center"/>
            <w:hideMark/>
          </w:tcPr>
          <w:p w14:paraId="5FC4DC51"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r w:rsidR="002C16E4" w:rsidRPr="004865E7" w14:paraId="671B6CD4" w14:textId="77777777" w:rsidTr="00D820C6">
        <w:trPr>
          <w:gridAfter w:val="1"/>
          <w:wAfter w:w="88" w:type="dxa"/>
          <w:trHeight w:val="360"/>
        </w:trPr>
        <w:tc>
          <w:tcPr>
            <w:tcW w:w="1884" w:type="dxa"/>
            <w:tcBorders>
              <w:top w:val="nil"/>
              <w:left w:val="nil"/>
              <w:bottom w:val="nil"/>
              <w:right w:val="nil"/>
            </w:tcBorders>
            <w:shd w:val="clear" w:color="auto" w:fill="auto"/>
            <w:noWrap/>
            <w:vAlign w:val="center"/>
            <w:hideMark/>
          </w:tcPr>
          <w:p w14:paraId="54E6852D" w14:textId="48656CD1"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r w:rsidRPr="004865E7">
              <w:rPr>
                <w:rFonts w:ascii="Book Antiqua" w:eastAsia="MS PGothic" w:hAnsi="Book Antiqua" w:cs="Times New Roman"/>
                <w:b/>
                <w:kern w:val="0"/>
              </w:rPr>
              <w:t>Age ≥</w:t>
            </w:r>
            <w:r w:rsidR="00ED34B9" w:rsidRPr="004865E7">
              <w:rPr>
                <w:rFonts w:ascii="Book Antiqua" w:eastAsia="SimSun" w:hAnsi="Book Antiqua" w:cs="Times New Roman" w:hint="eastAsia"/>
                <w:b/>
                <w:kern w:val="0"/>
                <w:lang w:eastAsia="zh-CN"/>
              </w:rPr>
              <w:t xml:space="preserve"> </w:t>
            </w:r>
            <w:r w:rsidRPr="004865E7">
              <w:rPr>
                <w:rFonts w:ascii="Book Antiqua" w:eastAsia="MS PGothic" w:hAnsi="Book Antiqua" w:cs="Times New Roman"/>
                <w:b/>
                <w:kern w:val="0"/>
              </w:rPr>
              <w:t>50 years</w:t>
            </w:r>
          </w:p>
        </w:tc>
        <w:tc>
          <w:tcPr>
            <w:tcW w:w="2012" w:type="dxa"/>
            <w:tcBorders>
              <w:top w:val="nil"/>
              <w:left w:val="nil"/>
              <w:bottom w:val="nil"/>
              <w:right w:val="nil"/>
            </w:tcBorders>
            <w:shd w:val="clear" w:color="auto" w:fill="auto"/>
            <w:noWrap/>
            <w:vAlign w:val="center"/>
            <w:hideMark/>
          </w:tcPr>
          <w:p w14:paraId="2A8FEF6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p>
        </w:tc>
        <w:tc>
          <w:tcPr>
            <w:tcW w:w="1364" w:type="dxa"/>
            <w:gridSpan w:val="2"/>
            <w:tcBorders>
              <w:top w:val="nil"/>
              <w:left w:val="nil"/>
              <w:bottom w:val="nil"/>
              <w:right w:val="nil"/>
            </w:tcBorders>
            <w:shd w:val="clear" w:color="auto" w:fill="auto"/>
            <w:noWrap/>
            <w:vAlign w:val="center"/>
            <w:hideMark/>
          </w:tcPr>
          <w:p w14:paraId="6EE03D5F"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b/>
                <w:kern w:val="0"/>
              </w:rPr>
            </w:pPr>
          </w:p>
        </w:tc>
        <w:tc>
          <w:tcPr>
            <w:tcW w:w="1418" w:type="dxa"/>
            <w:gridSpan w:val="2"/>
            <w:tcBorders>
              <w:top w:val="nil"/>
              <w:left w:val="nil"/>
              <w:bottom w:val="nil"/>
              <w:right w:val="nil"/>
            </w:tcBorders>
            <w:shd w:val="clear" w:color="auto" w:fill="auto"/>
            <w:noWrap/>
            <w:vAlign w:val="center"/>
            <w:hideMark/>
          </w:tcPr>
          <w:p w14:paraId="2B9F687D"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417" w:type="dxa"/>
            <w:gridSpan w:val="2"/>
            <w:tcBorders>
              <w:top w:val="nil"/>
              <w:left w:val="nil"/>
              <w:bottom w:val="nil"/>
              <w:right w:val="nil"/>
            </w:tcBorders>
            <w:shd w:val="clear" w:color="auto" w:fill="auto"/>
            <w:noWrap/>
            <w:vAlign w:val="center"/>
            <w:hideMark/>
          </w:tcPr>
          <w:p w14:paraId="1D784A5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559" w:type="dxa"/>
            <w:gridSpan w:val="2"/>
            <w:tcBorders>
              <w:top w:val="nil"/>
              <w:left w:val="nil"/>
              <w:bottom w:val="nil"/>
              <w:right w:val="nil"/>
            </w:tcBorders>
            <w:shd w:val="clear" w:color="auto" w:fill="auto"/>
            <w:noWrap/>
            <w:vAlign w:val="center"/>
            <w:hideMark/>
          </w:tcPr>
          <w:p w14:paraId="2AC9D28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496" w:type="dxa"/>
            <w:gridSpan w:val="2"/>
            <w:tcBorders>
              <w:top w:val="nil"/>
              <w:left w:val="nil"/>
              <w:bottom w:val="nil"/>
              <w:right w:val="nil"/>
            </w:tcBorders>
            <w:shd w:val="clear" w:color="auto" w:fill="auto"/>
            <w:noWrap/>
            <w:vAlign w:val="center"/>
            <w:hideMark/>
          </w:tcPr>
          <w:p w14:paraId="1B9DC7A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056" w:type="dxa"/>
            <w:gridSpan w:val="2"/>
            <w:tcBorders>
              <w:top w:val="nil"/>
              <w:left w:val="nil"/>
              <w:bottom w:val="nil"/>
              <w:right w:val="nil"/>
            </w:tcBorders>
            <w:shd w:val="clear" w:color="auto" w:fill="auto"/>
            <w:noWrap/>
            <w:vAlign w:val="center"/>
            <w:hideMark/>
          </w:tcPr>
          <w:p w14:paraId="0F021AC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c>
          <w:tcPr>
            <w:tcW w:w="1417" w:type="dxa"/>
            <w:gridSpan w:val="2"/>
            <w:tcBorders>
              <w:top w:val="nil"/>
              <w:left w:val="nil"/>
              <w:bottom w:val="nil"/>
              <w:right w:val="nil"/>
            </w:tcBorders>
            <w:shd w:val="clear" w:color="auto" w:fill="auto"/>
            <w:noWrap/>
            <w:vAlign w:val="center"/>
            <w:hideMark/>
          </w:tcPr>
          <w:p w14:paraId="5EC92EF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kern w:val="0"/>
              </w:rPr>
            </w:pPr>
          </w:p>
        </w:tc>
      </w:tr>
      <w:tr w:rsidR="002C16E4" w:rsidRPr="004865E7" w14:paraId="2CA47EEA" w14:textId="77777777" w:rsidTr="00D820C6">
        <w:trPr>
          <w:trHeight w:val="360"/>
        </w:trPr>
        <w:tc>
          <w:tcPr>
            <w:tcW w:w="1884" w:type="dxa"/>
            <w:vMerge w:val="restart"/>
            <w:tcBorders>
              <w:top w:val="single" w:sz="4" w:space="0" w:color="auto"/>
              <w:left w:val="nil"/>
              <w:bottom w:val="nil"/>
              <w:right w:val="nil"/>
            </w:tcBorders>
            <w:shd w:val="clear" w:color="auto" w:fill="auto"/>
            <w:vAlign w:val="center"/>
            <w:hideMark/>
          </w:tcPr>
          <w:p w14:paraId="222AFC93"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2100" w:type="dxa"/>
            <w:gridSpan w:val="2"/>
            <w:tcBorders>
              <w:top w:val="single" w:sz="4" w:space="0" w:color="auto"/>
              <w:left w:val="nil"/>
              <w:bottom w:val="nil"/>
              <w:right w:val="nil"/>
            </w:tcBorders>
            <w:shd w:val="clear" w:color="auto" w:fill="auto"/>
            <w:noWrap/>
            <w:vAlign w:val="center"/>
            <w:hideMark/>
          </w:tcPr>
          <w:p w14:paraId="66285B08"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No atrophy</w:t>
            </w:r>
          </w:p>
        </w:tc>
        <w:tc>
          <w:tcPr>
            <w:tcW w:w="1364" w:type="dxa"/>
            <w:gridSpan w:val="2"/>
            <w:tcBorders>
              <w:top w:val="single" w:sz="4" w:space="0" w:color="auto"/>
              <w:left w:val="nil"/>
              <w:bottom w:val="nil"/>
              <w:right w:val="nil"/>
            </w:tcBorders>
            <w:shd w:val="clear" w:color="000000" w:fill="D9D9D9"/>
            <w:noWrap/>
            <w:vAlign w:val="center"/>
            <w:hideMark/>
          </w:tcPr>
          <w:p w14:paraId="3539349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18</w:t>
            </w:r>
          </w:p>
        </w:tc>
        <w:tc>
          <w:tcPr>
            <w:tcW w:w="1418" w:type="dxa"/>
            <w:gridSpan w:val="2"/>
            <w:tcBorders>
              <w:top w:val="single" w:sz="4" w:space="0" w:color="auto"/>
              <w:left w:val="nil"/>
              <w:bottom w:val="nil"/>
              <w:right w:val="nil"/>
            </w:tcBorders>
            <w:shd w:val="clear" w:color="000000" w:fill="FFFFFF"/>
            <w:noWrap/>
            <w:vAlign w:val="center"/>
            <w:hideMark/>
          </w:tcPr>
          <w:p w14:paraId="6EA4951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417" w:type="dxa"/>
            <w:gridSpan w:val="2"/>
            <w:tcBorders>
              <w:top w:val="single" w:sz="4" w:space="0" w:color="auto"/>
              <w:left w:val="nil"/>
              <w:bottom w:val="nil"/>
              <w:right w:val="nil"/>
            </w:tcBorders>
            <w:shd w:val="clear" w:color="000000" w:fill="FFFFFF"/>
            <w:noWrap/>
            <w:vAlign w:val="center"/>
            <w:hideMark/>
          </w:tcPr>
          <w:p w14:paraId="3AF9AC8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9" w:type="dxa"/>
            <w:gridSpan w:val="2"/>
            <w:tcBorders>
              <w:top w:val="single" w:sz="4" w:space="0" w:color="auto"/>
              <w:left w:val="nil"/>
              <w:bottom w:val="nil"/>
              <w:right w:val="nil"/>
            </w:tcBorders>
            <w:shd w:val="clear" w:color="000000" w:fill="FFFFFF"/>
            <w:noWrap/>
            <w:vAlign w:val="center"/>
            <w:hideMark/>
          </w:tcPr>
          <w:p w14:paraId="175D01B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96" w:type="dxa"/>
            <w:gridSpan w:val="2"/>
            <w:tcBorders>
              <w:top w:val="single" w:sz="4" w:space="0" w:color="auto"/>
              <w:left w:val="nil"/>
              <w:bottom w:val="nil"/>
              <w:right w:val="nil"/>
            </w:tcBorders>
            <w:shd w:val="clear" w:color="000000" w:fill="FFFFFF"/>
            <w:noWrap/>
            <w:vAlign w:val="center"/>
            <w:hideMark/>
          </w:tcPr>
          <w:p w14:paraId="6617FD0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56" w:type="dxa"/>
            <w:gridSpan w:val="2"/>
            <w:tcBorders>
              <w:top w:val="single" w:sz="4" w:space="0" w:color="auto"/>
              <w:left w:val="nil"/>
              <w:bottom w:val="nil"/>
              <w:right w:val="nil"/>
            </w:tcBorders>
            <w:shd w:val="clear" w:color="auto" w:fill="auto"/>
            <w:noWrap/>
            <w:vAlign w:val="center"/>
            <w:hideMark/>
          </w:tcPr>
          <w:p w14:paraId="415217A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w:t>
            </w:r>
          </w:p>
        </w:tc>
        <w:tc>
          <w:tcPr>
            <w:tcW w:w="1417" w:type="dxa"/>
            <w:gridSpan w:val="2"/>
            <w:vMerge w:val="restart"/>
            <w:tcBorders>
              <w:top w:val="single" w:sz="4" w:space="0" w:color="auto"/>
              <w:left w:val="nil"/>
              <w:right w:val="nil"/>
            </w:tcBorders>
            <w:shd w:val="clear" w:color="auto" w:fill="auto"/>
            <w:noWrap/>
            <w:vAlign w:val="center"/>
            <w:hideMark/>
          </w:tcPr>
          <w:p w14:paraId="05627162"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0.67</w:t>
            </w:r>
          </w:p>
        </w:tc>
      </w:tr>
      <w:tr w:rsidR="002C16E4" w:rsidRPr="004865E7" w14:paraId="489BEA30" w14:textId="77777777" w:rsidTr="00D820C6">
        <w:trPr>
          <w:trHeight w:val="360"/>
        </w:trPr>
        <w:tc>
          <w:tcPr>
            <w:tcW w:w="1884" w:type="dxa"/>
            <w:vMerge/>
            <w:tcBorders>
              <w:top w:val="single" w:sz="4" w:space="0" w:color="auto"/>
              <w:left w:val="nil"/>
              <w:bottom w:val="nil"/>
              <w:right w:val="nil"/>
            </w:tcBorders>
            <w:vAlign w:val="center"/>
            <w:hideMark/>
          </w:tcPr>
          <w:p w14:paraId="3DA5A755"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171136EE"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Antrum</w:t>
            </w:r>
          </w:p>
        </w:tc>
        <w:tc>
          <w:tcPr>
            <w:tcW w:w="1364" w:type="dxa"/>
            <w:gridSpan w:val="2"/>
            <w:tcBorders>
              <w:top w:val="nil"/>
              <w:left w:val="nil"/>
              <w:bottom w:val="nil"/>
              <w:right w:val="nil"/>
            </w:tcBorders>
            <w:shd w:val="clear" w:color="000000" w:fill="FFFFFF"/>
            <w:noWrap/>
            <w:vAlign w:val="center"/>
            <w:hideMark/>
          </w:tcPr>
          <w:p w14:paraId="0A75142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w:t>
            </w:r>
          </w:p>
        </w:tc>
        <w:tc>
          <w:tcPr>
            <w:tcW w:w="1418" w:type="dxa"/>
            <w:gridSpan w:val="2"/>
            <w:tcBorders>
              <w:top w:val="nil"/>
              <w:left w:val="nil"/>
              <w:bottom w:val="nil"/>
              <w:right w:val="nil"/>
            </w:tcBorders>
            <w:shd w:val="clear" w:color="000000" w:fill="D9D9D9"/>
            <w:noWrap/>
            <w:vAlign w:val="center"/>
            <w:hideMark/>
          </w:tcPr>
          <w:p w14:paraId="48926E1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23</w:t>
            </w:r>
          </w:p>
        </w:tc>
        <w:tc>
          <w:tcPr>
            <w:tcW w:w="1417" w:type="dxa"/>
            <w:gridSpan w:val="2"/>
            <w:tcBorders>
              <w:top w:val="nil"/>
              <w:left w:val="nil"/>
              <w:bottom w:val="nil"/>
              <w:right w:val="nil"/>
            </w:tcBorders>
            <w:shd w:val="clear" w:color="000000" w:fill="FFFFFF"/>
            <w:noWrap/>
            <w:vAlign w:val="center"/>
            <w:hideMark/>
          </w:tcPr>
          <w:p w14:paraId="349626FF"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w:t>
            </w:r>
          </w:p>
        </w:tc>
        <w:tc>
          <w:tcPr>
            <w:tcW w:w="1559" w:type="dxa"/>
            <w:gridSpan w:val="2"/>
            <w:tcBorders>
              <w:top w:val="nil"/>
              <w:left w:val="nil"/>
              <w:bottom w:val="nil"/>
              <w:right w:val="nil"/>
            </w:tcBorders>
            <w:shd w:val="clear" w:color="000000" w:fill="FFFFFF"/>
            <w:noWrap/>
            <w:vAlign w:val="center"/>
            <w:hideMark/>
          </w:tcPr>
          <w:p w14:paraId="7F62D8C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p>
        </w:tc>
        <w:tc>
          <w:tcPr>
            <w:tcW w:w="1496" w:type="dxa"/>
            <w:gridSpan w:val="2"/>
            <w:tcBorders>
              <w:top w:val="nil"/>
              <w:left w:val="nil"/>
              <w:bottom w:val="nil"/>
              <w:right w:val="nil"/>
            </w:tcBorders>
            <w:shd w:val="clear" w:color="000000" w:fill="FFFFFF"/>
            <w:noWrap/>
            <w:vAlign w:val="center"/>
            <w:hideMark/>
          </w:tcPr>
          <w:p w14:paraId="0E2349D3"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056" w:type="dxa"/>
            <w:gridSpan w:val="2"/>
            <w:tcBorders>
              <w:top w:val="nil"/>
              <w:left w:val="nil"/>
              <w:bottom w:val="nil"/>
              <w:right w:val="nil"/>
            </w:tcBorders>
            <w:shd w:val="clear" w:color="auto" w:fill="auto"/>
            <w:noWrap/>
            <w:vAlign w:val="center"/>
            <w:hideMark/>
          </w:tcPr>
          <w:p w14:paraId="7AD3DD1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37</w:t>
            </w:r>
          </w:p>
        </w:tc>
        <w:tc>
          <w:tcPr>
            <w:tcW w:w="1417" w:type="dxa"/>
            <w:gridSpan w:val="2"/>
            <w:vMerge/>
            <w:tcBorders>
              <w:left w:val="nil"/>
              <w:right w:val="nil"/>
            </w:tcBorders>
            <w:shd w:val="clear" w:color="auto" w:fill="auto"/>
            <w:noWrap/>
            <w:vAlign w:val="center"/>
            <w:hideMark/>
          </w:tcPr>
          <w:p w14:paraId="2CD6D451"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6C6C45D5" w14:textId="77777777" w:rsidTr="00D820C6">
        <w:trPr>
          <w:trHeight w:val="360"/>
        </w:trPr>
        <w:tc>
          <w:tcPr>
            <w:tcW w:w="1884" w:type="dxa"/>
            <w:vMerge/>
            <w:tcBorders>
              <w:top w:val="single" w:sz="4" w:space="0" w:color="auto"/>
              <w:left w:val="nil"/>
              <w:bottom w:val="nil"/>
              <w:right w:val="nil"/>
            </w:tcBorders>
            <w:vAlign w:val="center"/>
            <w:hideMark/>
          </w:tcPr>
          <w:p w14:paraId="20740736"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1E4558F1"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Antrum predominant</w:t>
            </w:r>
          </w:p>
        </w:tc>
        <w:tc>
          <w:tcPr>
            <w:tcW w:w="1364" w:type="dxa"/>
            <w:gridSpan w:val="2"/>
            <w:tcBorders>
              <w:top w:val="nil"/>
              <w:left w:val="nil"/>
              <w:bottom w:val="nil"/>
              <w:right w:val="nil"/>
            </w:tcBorders>
            <w:shd w:val="clear" w:color="000000" w:fill="FFFFFF"/>
            <w:noWrap/>
            <w:vAlign w:val="center"/>
            <w:hideMark/>
          </w:tcPr>
          <w:p w14:paraId="6571E37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8" w:type="dxa"/>
            <w:gridSpan w:val="2"/>
            <w:tcBorders>
              <w:top w:val="nil"/>
              <w:left w:val="nil"/>
              <w:bottom w:val="nil"/>
              <w:right w:val="nil"/>
            </w:tcBorders>
            <w:shd w:val="clear" w:color="000000" w:fill="FFFFFF"/>
            <w:noWrap/>
            <w:vAlign w:val="center"/>
            <w:hideMark/>
          </w:tcPr>
          <w:p w14:paraId="5D30959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w:t>
            </w:r>
          </w:p>
        </w:tc>
        <w:tc>
          <w:tcPr>
            <w:tcW w:w="1417" w:type="dxa"/>
            <w:gridSpan w:val="2"/>
            <w:tcBorders>
              <w:top w:val="nil"/>
              <w:left w:val="nil"/>
              <w:bottom w:val="nil"/>
              <w:right w:val="nil"/>
            </w:tcBorders>
            <w:shd w:val="clear" w:color="000000" w:fill="D9D9D9"/>
            <w:noWrap/>
            <w:vAlign w:val="center"/>
            <w:hideMark/>
          </w:tcPr>
          <w:p w14:paraId="2BE691C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15</w:t>
            </w:r>
          </w:p>
        </w:tc>
        <w:tc>
          <w:tcPr>
            <w:tcW w:w="1559" w:type="dxa"/>
            <w:gridSpan w:val="2"/>
            <w:tcBorders>
              <w:top w:val="nil"/>
              <w:left w:val="nil"/>
              <w:bottom w:val="nil"/>
              <w:right w:val="nil"/>
            </w:tcBorders>
            <w:shd w:val="clear" w:color="000000" w:fill="FFFFFF"/>
            <w:noWrap/>
            <w:vAlign w:val="center"/>
            <w:hideMark/>
          </w:tcPr>
          <w:p w14:paraId="4773385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w:t>
            </w:r>
          </w:p>
        </w:tc>
        <w:tc>
          <w:tcPr>
            <w:tcW w:w="1496" w:type="dxa"/>
            <w:gridSpan w:val="2"/>
            <w:tcBorders>
              <w:top w:val="nil"/>
              <w:left w:val="nil"/>
              <w:bottom w:val="nil"/>
              <w:right w:val="nil"/>
            </w:tcBorders>
            <w:shd w:val="clear" w:color="000000" w:fill="FFFFFF"/>
            <w:noWrap/>
            <w:vAlign w:val="center"/>
            <w:hideMark/>
          </w:tcPr>
          <w:p w14:paraId="2A4437A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056" w:type="dxa"/>
            <w:gridSpan w:val="2"/>
            <w:tcBorders>
              <w:top w:val="nil"/>
              <w:left w:val="nil"/>
              <w:bottom w:val="nil"/>
              <w:right w:val="nil"/>
            </w:tcBorders>
            <w:shd w:val="clear" w:color="auto" w:fill="auto"/>
            <w:noWrap/>
            <w:vAlign w:val="center"/>
            <w:hideMark/>
          </w:tcPr>
          <w:p w14:paraId="1618767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30</w:t>
            </w:r>
          </w:p>
        </w:tc>
        <w:tc>
          <w:tcPr>
            <w:tcW w:w="1417" w:type="dxa"/>
            <w:gridSpan w:val="2"/>
            <w:vMerge/>
            <w:tcBorders>
              <w:left w:val="nil"/>
              <w:right w:val="nil"/>
            </w:tcBorders>
            <w:shd w:val="clear" w:color="auto" w:fill="auto"/>
            <w:noWrap/>
            <w:vAlign w:val="center"/>
            <w:hideMark/>
          </w:tcPr>
          <w:p w14:paraId="43855074"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200F8390" w14:textId="77777777" w:rsidTr="00D820C6">
        <w:trPr>
          <w:trHeight w:val="360"/>
        </w:trPr>
        <w:tc>
          <w:tcPr>
            <w:tcW w:w="1884" w:type="dxa"/>
            <w:vMerge/>
            <w:tcBorders>
              <w:top w:val="single" w:sz="4" w:space="0" w:color="auto"/>
              <w:left w:val="nil"/>
              <w:bottom w:val="nil"/>
              <w:right w:val="nil"/>
            </w:tcBorders>
            <w:vAlign w:val="center"/>
            <w:hideMark/>
          </w:tcPr>
          <w:p w14:paraId="10BFF877"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right w:val="nil"/>
            </w:tcBorders>
            <w:shd w:val="clear" w:color="auto" w:fill="auto"/>
            <w:noWrap/>
            <w:vAlign w:val="center"/>
            <w:hideMark/>
          </w:tcPr>
          <w:p w14:paraId="2FAB98EA"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Corpus predominant</w:t>
            </w:r>
          </w:p>
        </w:tc>
        <w:tc>
          <w:tcPr>
            <w:tcW w:w="1364" w:type="dxa"/>
            <w:gridSpan w:val="2"/>
            <w:tcBorders>
              <w:top w:val="nil"/>
              <w:left w:val="nil"/>
              <w:right w:val="nil"/>
            </w:tcBorders>
            <w:shd w:val="clear" w:color="000000" w:fill="FFFFFF"/>
            <w:noWrap/>
            <w:vAlign w:val="center"/>
            <w:hideMark/>
          </w:tcPr>
          <w:p w14:paraId="65161EE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gridSpan w:val="2"/>
            <w:tcBorders>
              <w:top w:val="nil"/>
              <w:left w:val="nil"/>
              <w:bottom w:val="nil"/>
              <w:right w:val="nil"/>
            </w:tcBorders>
            <w:shd w:val="clear" w:color="000000" w:fill="FFFFFF"/>
            <w:noWrap/>
            <w:vAlign w:val="center"/>
            <w:hideMark/>
          </w:tcPr>
          <w:p w14:paraId="1CAB575C"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w:t>
            </w:r>
          </w:p>
        </w:tc>
        <w:tc>
          <w:tcPr>
            <w:tcW w:w="1417" w:type="dxa"/>
            <w:gridSpan w:val="2"/>
            <w:tcBorders>
              <w:top w:val="nil"/>
              <w:left w:val="nil"/>
              <w:bottom w:val="nil"/>
              <w:right w:val="nil"/>
            </w:tcBorders>
            <w:shd w:val="clear" w:color="000000" w:fill="FFFFFF"/>
            <w:noWrap/>
            <w:vAlign w:val="center"/>
            <w:hideMark/>
          </w:tcPr>
          <w:p w14:paraId="7443320B"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w:t>
            </w:r>
          </w:p>
        </w:tc>
        <w:tc>
          <w:tcPr>
            <w:tcW w:w="1559" w:type="dxa"/>
            <w:gridSpan w:val="2"/>
            <w:tcBorders>
              <w:top w:val="nil"/>
              <w:left w:val="nil"/>
              <w:bottom w:val="nil"/>
              <w:right w:val="nil"/>
            </w:tcBorders>
            <w:shd w:val="clear" w:color="000000" w:fill="D9D9D9"/>
            <w:noWrap/>
            <w:vAlign w:val="center"/>
            <w:hideMark/>
          </w:tcPr>
          <w:p w14:paraId="50E3D71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15</w:t>
            </w:r>
          </w:p>
        </w:tc>
        <w:tc>
          <w:tcPr>
            <w:tcW w:w="1496" w:type="dxa"/>
            <w:gridSpan w:val="2"/>
            <w:tcBorders>
              <w:top w:val="nil"/>
              <w:left w:val="nil"/>
              <w:bottom w:val="nil"/>
              <w:right w:val="nil"/>
            </w:tcBorders>
            <w:shd w:val="clear" w:color="000000" w:fill="FFFFFF"/>
            <w:noWrap/>
            <w:vAlign w:val="center"/>
            <w:hideMark/>
          </w:tcPr>
          <w:p w14:paraId="4FBF7A6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14</w:t>
            </w:r>
          </w:p>
        </w:tc>
        <w:tc>
          <w:tcPr>
            <w:tcW w:w="1056" w:type="dxa"/>
            <w:gridSpan w:val="2"/>
            <w:tcBorders>
              <w:top w:val="nil"/>
              <w:left w:val="nil"/>
              <w:bottom w:val="nil"/>
              <w:right w:val="nil"/>
            </w:tcBorders>
            <w:shd w:val="clear" w:color="auto" w:fill="auto"/>
            <w:noWrap/>
            <w:vAlign w:val="center"/>
            <w:hideMark/>
          </w:tcPr>
          <w:p w14:paraId="7FC699B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38</w:t>
            </w:r>
          </w:p>
        </w:tc>
        <w:tc>
          <w:tcPr>
            <w:tcW w:w="1417" w:type="dxa"/>
            <w:gridSpan w:val="2"/>
            <w:vMerge/>
            <w:tcBorders>
              <w:left w:val="nil"/>
              <w:right w:val="nil"/>
            </w:tcBorders>
            <w:shd w:val="clear" w:color="auto" w:fill="auto"/>
            <w:noWrap/>
            <w:vAlign w:val="center"/>
            <w:hideMark/>
          </w:tcPr>
          <w:p w14:paraId="01046125"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3DDBAFC4" w14:textId="77777777" w:rsidTr="00D820C6">
        <w:trPr>
          <w:trHeight w:val="360"/>
        </w:trPr>
        <w:tc>
          <w:tcPr>
            <w:tcW w:w="1884" w:type="dxa"/>
            <w:vMerge/>
            <w:tcBorders>
              <w:top w:val="single" w:sz="4" w:space="0" w:color="auto"/>
              <w:left w:val="nil"/>
              <w:bottom w:val="nil"/>
              <w:right w:val="nil"/>
            </w:tcBorders>
            <w:vAlign w:val="center"/>
            <w:hideMark/>
          </w:tcPr>
          <w:p w14:paraId="0E36EAD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nil"/>
              <w:left w:val="nil"/>
              <w:bottom w:val="nil"/>
            </w:tcBorders>
            <w:shd w:val="clear" w:color="auto" w:fill="auto"/>
            <w:noWrap/>
            <w:vAlign w:val="center"/>
            <w:hideMark/>
          </w:tcPr>
          <w:p w14:paraId="6BDC93BB"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Pan-atrophy</w:t>
            </w:r>
          </w:p>
        </w:tc>
        <w:tc>
          <w:tcPr>
            <w:tcW w:w="1364" w:type="dxa"/>
            <w:gridSpan w:val="2"/>
            <w:tcBorders>
              <w:top w:val="nil"/>
              <w:bottom w:val="single" w:sz="4" w:space="0" w:color="auto"/>
              <w:right w:val="nil"/>
            </w:tcBorders>
            <w:shd w:val="clear" w:color="000000" w:fill="FFFFFF"/>
            <w:noWrap/>
            <w:vAlign w:val="center"/>
            <w:hideMark/>
          </w:tcPr>
          <w:p w14:paraId="081C7006"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8" w:type="dxa"/>
            <w:gridSpan w:val="2"/>
            <w:tcBorders>
              <w:top w:val="nil"/>
              <w:left w:val="nil"/>
              <w:bottom w:val="nil"/>
              <w:right w:val="nil"/>
            </w:tcBorders>
            <w:shd w:val="clear" w:color="000000" w:fill="FFFFFF"/>
            <w:noWrap/>
            <w:vAlign w:val="center"/>
            <w:hideMark/>
          </w:tcPr>
          <w:p w14:paraId="4602547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17" w:type="dxa"/>
            <w:gridSpan w:val="2"/>
            <w:tcBorders>
              <w:top w:val="nil"/>
              <w:left w:val="nil"/>
              <w:bottom w:val="nil"/>
              <w:right w:val="nil"/>
            </w:tcBorders>
            <w:shd w:val="clear" w:color="000000" w:fill="FFFFFF"/>
            <w:noWrap/>
            <w:vAlign w:val="center"/>
            <w:hideMark/>
          </w:tcPr>
          <w:p w14:paraId="626E711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559" w:type="dxa"/>
            <w:gridSpan w:val="2"/>
            <w:tcBorders>
              <w:top w:val="nil"/>
              <w:left w:val="nil"/>
              <w:bottom w:val="nil"/>
              <w:right w:val="nil"/>
            </w:tcBorders>
            <w:shd w:val="clear" w:color="000000" w:fill="FFFFFF"/>
            <w:noWrap/>
            <w:vAlign w:val="center"/>
            <w:hideMark/>
          </w:tcPr>
          <w:p w14:paraId="41F4FA0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c>
          <w:tcPr>
            <w:tcW w:w="1496" w:type="dxa"/>
            <w:gridSpan w:val="2"/>
            <w:tcBorders>
              <w:top w:val="nil"/>
              <w:left w:val="nil"/>
              <w:bottom w:val="nil"/>
              <w:right w:val="nil"/>
            </w:tcBorders>
            <w:shd w:val="clear" w:color="000000" w:fill="D9D9D9"/>
            <w:noWrap/>
            <w:vAlign w:val="center"/>
            <w:hideMark/>
          </w:tcPr>
          <w:p w14:paraId="6E290914"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3</w:t>
            </w:r>
          </w:p>
        </w:tc>
        <w:tc>
          <w:tcPr>
            <w:tcW w:w="1056" w:type="dxa"/>
            <w:gridSpan w:val="2"/>
            <w:tcBorders>
              <w:top w:val="nil"/>
              <w:left w:val="nil"/>
              <w:bottom w:val="nil"/>
              <w:right w:val="nil"/>
            </w:tcBorders>
            <w:shd w:val="clear" w:color="auto" w:fill="auto"/>
            <w:noWrap/>
            <w:vAlign w:val="center"/>
            <w:hideMark/>
          </w:tcPr>
          <w:p w14:paraId="374E2DFE"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1417" w:type="dxa"/>
            <w:gridSpan w:val="2"/>
            <w:vMerge/>
            <w:tcBorders>
              <w:left w:val="nil"/>
              <w:right w:val="nil"/>
            </w:tcBorders>
            <w:shd w:val="clear" w:color="000000" w:fill="FFFFFF"/>
            <w:noWrap/>
            <w:vAlign w:val="center"/>
            <w:hideMark/>
          </w:tcPr>
          <w:p w14:paraId="4D472823" w14:textId="77777777" w:rsidR="002C16E4" w:rsidRPr="004865E7" w:rsidRDefault="002C16E4" w:rsidP="00ED34B9">
            <w:pPr>
              <w:adjustRightInd w:val="0"/>
              <w:snapToGrid w:val="0"/>
              <w:spacing w:line="360" w:lineRule="auto"/>
              <w:jc w:val="center"/>
              <w:rPr>
                <w:rFonts w:ascii="Book Antiqua" w:eastAsia="MS PGothic" w:hAnsi="Book Antiqua" w:cs="Times New Roman"/>
                <w:kern w:val="0"/>
              </w:rPr>
            </w:pPr>
          </w:p>
        </w:tc>
      </w:tr>
      <w:tr w:rsidR="002C16E4" w:rsidRPr="004865E7" w14:paraId="5F977FC2" w14:textId="77777777" w:rsidTr="00D820C6">
        <w:trPr>
          <w:trHeight w:val="380"/>
        </w:trPr>
        <w:tc>
          <w:tcPr>
            <w:tcW w:w="1884" w:type="dxa"/>
            <w:tcBorders>
              <w:top w:val="nil"/>
              <w:left w:val="nil"/>
              <w:bottom w:val="single" w:sz="8" w:space="0" w:color="auto"/>
              <w:right w:val="nil"/>
            </w:tcBorders>
            <w:shd w:val="clear" w:color="auto" w:fill="auto"/>
            <w:noWrap/>
            <w:vAlign w:val="bottom"/>
            <w:hideMark/>
          </w:tcPr>
          <w:p w14:paraId="2FF2BF02"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p>
        </w:tc>
        <w:tc>
          <w:tcPr>
            <w:tcW w:w="2100" w:type="dxa"/>
            <w:gridSpan w:val="2"/>
            <w:tcBorders>
              <w:top w:val="single" w:sz="4" w:space="0" w:color="auto"/>
              <w:left w:val="nil"/>
              <w:bottom w:val="single" w:sz="8" w:space="0" w:color="auto"/>
              <w:right w:val="nil"/>
            </w:tcBorders>
            <w:shd w:val="clear" w:color="auto" w:fill="auto"/>
            <w:noWrap/>
            <w:vAlign w:val="center"/>
            <w:hideMark/>
          </w:tcPr>
          <w:p w14:paraId="0E966A2D" w14:textId="77777777" w:rsidR="002C16E4" w:rsidRPr="004865E7" w:rsidRDefault="002C16E4" w:rsidP="00ED34B9">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Total</w:t>
            </w:r>
          </w:p>
        </w:tc>
        <w:tc>
          <w:tcPr>
            <w:tcW w:w="1364" w:type="dxa"/>
            <w:gridSpan w:val="2"/>
            <w:tcBorders>
              <w:top w:val="single" w:sz="4" w:space="0" w:color="auto"/>
              <w:left w:val="nil"/>
              <w:bottom w:val="single" w:sz="8" w:space="0" w:color="auto"/>
              <w:right w:val="nil"/>
            </w:tcBorders>
            <w:shd w:val="clear" w:color="auto" w:fill="auto"/>
            <w:noWrap/>
            <w:vAlign w:val="center"/>
            <w:hideMark/>
          </w:tcPr>
          <w:p w14:paraId="3B73E789"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w:t>
            </w:r>
          </w:p>
        </w:tc>
        <w:tc>
          <w:tcPr>
            <w:tcW w:w="1418" w:type="dxa"/>
            <w:gridSpan w:val="2"/>
            <w:tcBorders>
              <w:top w:val="single" w:sz="4" w:space="0" w:color="auto"/>
              <w:left w:val="nil"/>
              <w:bottom w:val="single" w:sz="8" w:space="0" w:color="auto"/>
              <w:right w:val="nil"/>
            </w:tcBorders>
            <w:shd w:val="clear" w:color="auto" w:fill="auto"/>
            <w:noWrap/>
            <w:vAlign w:val="center"/>
            <w:hideMark/>
          </w:tcPr>
          <w:p w14:paraId="68864C88"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35</w:t>
            </w:r>
          </w:p>
        </w:tc>
        <w:tc>
          <w:tcPr>
            <w:tcW w:w="1417" w:type="dxa"/>
            <w:gridSpan w:val="2"/>
            <w:tcBorders>
              <w:top w:val="single" w:sz="4" w:space="0" w:color="auto"/>
              <w:left w:val="nil"/>
              <w:bottom w:val="single" w:sz="8" w:space="0" w:color="auto"/>
              <w:right w:val="nil"/>
            </w:tcBorders>
            <w:shd w:val="clear" w:color="auto" w:fill="auto"/>
            <w:noWrap/>
            <w:vAlign w:val="center"/>
            <w:hideMark/>
          </w:tcPr>
          <w:p w14:paraId="0332EE7A"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29</w:t>
            </w:r>
          </w:p>
        </w:tc>
        <w:tc>
          <w:tcPr>
            <w:tcW w:w="1559" w:type="dxa"/>
            <w:gridSpan w:val="2"/>
            <w:tcBorders>
              <w:top w:val="single" w:sz="4" w:space="0" w:color="auto"/>
              <w:left w:val="nil"/>
              <w:bottom w:val="single" w:sz="8" w:space="0" w:color="auto"/>
              <w:right w:val="nil"/>
            </w:tcBorders>
            <w:shd w:val="clear" w:color="auto" w:fill="auto"/>
            <w:noWrap/>
            <w:vAlign w:val="center"/>
            <w:hideMark/>
          </w:tcPr>
          <w:p w14:paraId="53F37577"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17</w:t>
            </w:r>
          </w:p>
        </w:tc>
        <w:tc>
          <w:tcPr>
            <w:tcW w:w="1496" w:type="dxa"/>
            <w:gridSpan w:val="2"/>
            <w:tcBorders>
              <w:top w:val="single" w:sz="4" w:space="0" w:color="auto"/>
              <w:left w:val="nil"/>
              <w:bottom w:val="single" w:sz="8" w:space="0" w:color="auto"/>
              <w:right w:val="nil"/>
            </w:tcBorders>
            <w:shd w:val="clear" w:color="auto" w:fill="auto"/>
            <w:noWrap/>
            <w:vAlign w:val="center"/>
            <w:hideMark/>
          </w:tcPr>
          <w:p w14:paraId="3DEE4A7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20</w:t>
            </w:r>
          </w:p>
        </w:tc>
        <w:tc>
          <w:tcPr>
            <w:tcW w:w="1056" w:type="dxa"/>
            <w:gridSpan w:val="2"/>
            <w:tcBorders>
              <w:top w:val="single" w:sz="4" w:space="0" w:color="auto"/>
              <w:left w:val="nil"/>
              <w:bottom w:val="single" w:sz="8" w:space="0" w:color="auto"/>
              <w:right w:val="nil"/>
            </w:tcBorders>
            <w:shd w:val="clear" w:color="auto" w:fill="auto"/>
            <w:noWrap/>
            <w:vAlign w:val="center"/>
            <w:hideMark/>
          </w:tcPr>
          <w:p w14:paraId="79AADDB0"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128</w:t>
            </w:r>
          </w:p>
        </w:tc>
        <w:tc>
          <w:tcPr>
            <w:tcW w:w="1417" w:type="dxa"/>
            <w:gridSpan w:val="2"/>
            <w:vMerge/>
            <w:tcBorders>
              <w:left w:val="nil"/>
              <w:bottom w:val="single" w:sz="8" w:space="0" w:color="auto"/>
              <w:right w:val="nil"/>
            </w:tcBorders>
            <w:shd w:val="clear" w:color="auto" w:fill="auto"/>
            <w:noWrap/>
            <w:vAlign w:val="center"/>
            <w:hideMark/>
          </w:tcPr>
          <w:p w14:paraId="2B07A6D2" w14:textId="77777777" w:rsidR="002C16E4" w:rsidRPr="004865E7" w:rsidRDefault="002C16E4" w:rsidP="00ED34B9">
            <w:pPr>
              <w:widowControl/>
              <w:adjustRightInd w:val="0"/>
              <w:snapToGrid w:val="0"/>
              <w:spacing w:line="360" w:lineRule="auto"/>
              <w:jc w:val="center"/>
              <w:rPr>
                <w:rFonts w:ascii="Book Antiqua" w:eastAsia="MS PGothic" w:hAnsi="Book Antiqua" w:cs="Times New Roman"/>
                <w:kern w:val="0"/>
              </w:rPr>
            </w:pPr>
          </w:p>
        </w:tc>
      </w:tr>
    </w:tbl>
    <w:p w14:paraId="32027773" w14:textId="77777777" w:rsidR="00ED34B9" w:rsidRPr="004865E7" w:rsidRDefault="00ED34B9" w:rsidP="00ED34B9">
      <w:pPr>
        <w:widowControl/>
        <w:autoSpaceDE w:val="0"/>
        <w:autoSpaceDN w:val="0"/>
        <w:adjustRightInd w:val="0"/>
        <w:snapToGrid w:val="0"/>
        <w:spacing w:line="360" w:lineRule="auto"/>
        <w:rPr>
          <w:rFonts w:ascii="Book Antiqua" w:hAnsi="Book Antiqua" w:cs="Times"/>
          <w:kern w:val="0"/>
        </w:rPr>
      </w:pPr>
      <w:r w:rsidRPr="004865E7">
        <w:rPr>
          <w:rFonts w:ascii="Book Antiqua" w:hAnsi="Book Antiqua" w:cs="Times"/>
          <w:kern w:val="0"/>
        </w:rPr>
        <w:t>GC: Greater curvature</w:t>
      </w:r>
      <w:r w:rsidRPr="004865E7">
        <w:rPr>
          <w:rFonts w:ascii="Book Antiqua" w:hAnsi="Book Antiqua" w:cs="Times" w:hint="eastAsia"/>
          <w:kern w:val="0"/>
        </w:rPr>
        <w:t xml:space="preserve">; </w:t>
      </w:r>
      <w:r w:rsidRPr="004865E7">
        <w:rPr>
          <w:rFonts w:ascii="Book Antiqua" w:hAnsi="Book Antiqua" w:cs="Times"/>
          <w:kern w:val="0"/>
        </w:rPr>
        <w:t>LC: Lesser curvature</w:t>
      </w:r>
      <w:r w:rsidRPr="004865E7">
        <w:rPr>
          <w:rFonts w:ascii="Book Antiqua" w:hAnsi="Book Antiqua" w:cs="Times" w:hint="eastAsia"/>
          <w:kern w:val="0"/>
        </w:rPr>
        <w:t>.</w:t>
      </w:r>
    </w:p>
    <w:p w14:paraId="520D1B87"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5BE5F304"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FA8CCA7"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29BFE13C"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9F03E1A" w14:textId="77777777" w:rsidR="00F25F86" w:rsidRPr="004865E7" w:rsidRDefault="00F25F86">
      <w:r w:rsidRPr="004865E7">
        <w:br w:type="page"/>
      </w:r>
    </w:p>
    <w:tbl>
      <w:tblPr>
        <w:tblW w:w="12660" w:type="dxa"/>
        <w:tblInd w:w="84" w:type="dxa"/>
        <w:tblCellMar>
          <w:left w:w="99" w:type="dxa"/>
          <w:right w:w="99" w:type="dxa"/>
        </w:tblCellMar>
        <w:tblLook w:val="04A0" w:firstRow="1" w:lastRow="0" w:firstColumn="1" w:lastColumn="0" w:noHBand="0" w:noVBand="1"/>
      </w:tblPr>
      <w:tblGrid>
        <w:gridCol w:w="1540"/>
        <w:gridCol w:w="1880"/>
        <w:gridCol w:w="1540"/>
        <w:gridCol w:w="1540"/>
        <w:gridCol w:w="1540"/>
        <w:gridCol w:w="1540"/>
        <w:gridCol w:w="1540"/>
        <w:gridCol w:w="1540"/>
      </w:tblGrid>
      <w:tr w:rsidR="002C16E4" w:rsidRPr="004865E7" w14:paraId="5E52220F" w14:textId="77777777" w:rsidTr="00D820C6">
        <w:trPr>
          <w:trHeight w:val="440"/>
        </w:trPr>
        <w:tc>
          <w:tcPr>
            <w:tcW w:w="4960" w:type="dxa"/>
            <w:gridSpan w:val="3"/>
            <w:tcBorders>
              <w:top w:val="nil"/>
              <w:left w:val="nil"/>
              <w:bottom w:val="single" w:sz="8" w:space="0" w:color="000000"/>
              <w:right w:val="nil"/>
            </w:tcBorders>
            <w:shd w:val="clear" w:color="auto" w:fill="auto"/>
            <w:vAlign w:val="bottom"/>
            <w:hideMark/>
          </w:tcPr>
          <w:p w14:paraId="413087F9" w14:textId="669AF978" w:rsidR="002C16E4" w:rsidRPr="004865E7" w:rsidRDefault="00F25F86" w:rsidP="00FA3CB2">
            <w:pPr>
              <w:widowControl/>
              <w:adjustRightInd w:val="0"/>
              <w:snapToGrid w:val="0"/>
              <w:spacing w:line="360" w:lineRule="auto"/>
              <w:rPr>
                <w:rFonts w:ascii="Book Antiqua" w:eastAsia="MS PGothic" w:hAnsi="Book Antiqua" w:cs="Times New Roman"/>
                <w:b/>
                <w:bCs/>
                <w:kern w:val="0"/>
              </w:rPr>
            </w:pPr>
            <w:r w:rsidRPr="004865E7">
              <w:rPr>
                <w:rFonts w:ascii="Book Antiqua" w:eastAsia="MS PGothic" w:hAnsi="Book Antiqua" w:cs="Times New Roman"/>
                <w:b/>
                <w:bCs/>
                <w:kern w:val="0"/>
              </w:rPr>
              <w:lastRenderedPageBreak/>
              <w:t>Table 7</w:t>
            </w:r>
            <w:r w:rsidR="002C16E4" w:rsidRPr="004865E7">
              <w:rPr>
                <w:rFonts w:ascii="Book Antiqua" w:eastAsia="MS PGothic" w:hAnsi="Book Antiqua" w:cs="Times New Roman"/>
                <w:b/>
                <w:kern w:val="0"/>
              </w:rPr>
              <w:t xml:space="preserve"> Cancer risk oriented atrophy grade</w:t>
            </w:r>
          </w:p>
        </w:tc>
        <w:tc>
          <w:tcPr>
            <w:tcW w:w="1540" w:type="dxa"/>
            <w:tcBorders>
              <w:top w:val="nil"/>
              <w:left w:val="nil"/>
              <w:bottom w:val="single" w:sz="8" w:space="0" w:color="000000"/>
              <w:right w:val="nil"/>
            </w:tcBorders>
            <w:shd w:val="clear" w:color="auto" w:fill="auto"/>
            <w:vAlign w:val="bottom"/>
            <w:hideMark/>
          </w:tcPr>
          <w:p w14:paraId="7DDD38BD"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540" w:type="dxa"/>
            <w:tcBorders>
              <w:top w:val="nil"/>
              <w:left w:val="nil"/>
              <w:bottom w:val="single" w:sz="8" w:space="0" w:color="000000"/>
              <w:right w:val="nil"/>
            </w:tcBorders>
            <w:shd w:val="clear" w:color="auto" w:fill="auto"/>
            <w:vAlign w:val="bottom"/>
            <w:hideMark/>
          </w:tcPr>
          <w:p w14:paraId="2AD6B055"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540" w:type="dxa"/>
            <w:tcBorders>
              <w:top w:val="nil"/>
              <w:left w:val="nil"/>
              <w:bottom w:val="single" w:sz="8" w:space="0" w:color="000000"/>
              <w:right w:val="nil"/>
            </w:tcBorders>
            <w:shd w:val="clear" w:color="auto" w:fill="auto"/>
            <w:vAlign w:val="bottom"/>
            <w:hideMark/>
          </w:tcPr>
          <w:p w14:paraId="09378885"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327D0F6A"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02C518B9"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r>
      <w:tr w:rsidR="002C16E4" w:rsidRPr="004865E7" w14:paraId="5DFCC8CE" w14:textId="77777777" w:rsidTr="00D820C6">
        <w:trPr>
          <w:trHeight w:val="380"/>
        </w:trPr>
        <w:tc>
          <w:tcPr>
            <w:tcW w:w="1540" w:type="dxa"/>
            <w:tcBorders>
              <w:top w:val="nil"/>
              <w:left w:val="nil"/>
              <w:bottom w:val="nil"/>
              <w:right w:val="nil"/>
            </w:tcBorders>
            <w:shd w:val="clear" w:color="auto" w:fill="auto"/>
            <w:vAlign w:val="bottom"/>
            <w:hideMark/>
          </w:tcPr>
          <w:p w14:paraId="0FF183C7"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880" w:type="dxa"/>
            <w:tcBorders>
              <w:top w:val="nil"/>
              <w:left w:val="nil"/>
              <w:bottom w:val="nil"/>
              <w:right w:val="nil"/>
            </w:tcBorders>
            <w:shd w:val="clear" w:color="auto" w:fill="auto"/>
            <w:vAlign w:val="bottom"/>
            <w:hideMark/>
          </w:tcPr>
          <w:p w14:paraId="3F592A1B"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p>
        </w:tc>
        <w:tc>
          <w:tcPr>
            <w:tcW w:w="4620" w:type="dxa"/>
            <w:gridSpan w:val="3"/>
            <w:tcBorders>
              <w:top w:val="single" w:sz="8" w:space="0" w:color="000000"/>
              <w:left w:val="nil"/>
              <w:bottom w:val="single" w:sz="8" w:space="0" w:color="000000"/>
              <w:right w:val="nil"/>
            </w:tcBorders>
            <w:shd w:val="clear" w:color="auto" w:fill="auto"/>
            <w:vAlign w:val="bottom"/>
            <w:hideMark/>
          </w:tcPr>
          <w:p w14:paraId="5AB12C38"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Histological atrophy</w:t>
            </w:r>
          </w:p>
        </w:tc>
        <w:tc>
          <w:tcPr>
            <w:tcW w:w="1540" w:type="dxa"/>
            <w:vMerge w:val="restart"/>
            <w:tcBorders>
              <w:top w:val="nil"/>
              <w:left w:val="nil"/>
              <w:bottom w:val="single" w:sz="8" w:space="0" w:color="000000"/>
              <w:right w:val="nil"/>
            </w:tcBorders>
            <w:shd w:val="clear" w:color="auto" w:fill="auto"/>
            <w:vAlign w:val="center"/>
            <w:hideMark/>
          </w:tcPr>
          <w:p w14:paraId="59FA351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Total</w:t>
            </w:r>
          </w:p>
        </w:tc>
        <w:tc>
          <w:tcPr>
            <w:tcW w:w="1540" w:type="dxa"/>
            <w:vMerge w:val="restart"/>
            <w:tcBorders>
              <w:top w:val="single" w:sz="8" w:space="0" w:color="000000"/>
              <w:left w:val="nil"/>
              <w:bottom w:val="single" w:sz="8" w:space="0" w:color="000000"/>
              <w:right w:val="nil"/>
            </w:tcBorders>
            <w:shd w:val="clear" w:color="auto" w:fill="auto"/>
            <w:noWrap/>
            <w:vAlign w:val="center"/>
            <w:hideMark/>
          </w:tcPr>
          <w:p w14:paraId="6ED3778A" w14:textId="468F3913"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 xml:space="preserve">Weighted </w:t>
            </w:r>
            <w:r w:rsidR="00F25F86" w:rsidRPr="004865E7">
              <w:rPr>
                <w:rFonts w:ascii="Book Antiqua" w:eastAsia="MS PGothic" w:hAnsi="Book Antiqua" w:cs="Times New Roman"/>
                <w:b/>
                <w:kern w:val="0"/>
              </w:rPr>
              <w:t>κ</w:t>
            </w:r>
            <w:r w:rsidR="00F25F86" w:rsidRPr="004865E7">
              <w:rPr>
                <w:rFonts w:ascii="Book Antiqua" w:eastAsia="SimSun" w:hAnsi="Book Antiqua" w:cs="Times New Roman" w:hint="eastAsia"/>
                <w:b/>
                <w:kern w:val="0"/>
                <w:lang w:eastAsia="zh-CN"/>
              </w:rPr>
              <w:t xml:space="preserve"> </w:t>
            </w:r>
            <w:r w:rsidRPr="004865E7">
              <w:rPr>
                <w:rFonts w:ascii="Book Antiqua" w:eastAsia="MS PGothic" w:hAnsi="Book Antiqua" w:cs="Times New Roman"/>
                <w:b/>
                <w:kern w:val="0"/>
              </w:rPr>
              <w:t>value</w:t>
            </w:r>
          </w:p>
        </w:tc>
        <w:tc>
          <w:tcPr>
            <w:tcW w:w="1540" w:type="dxa"/>
            <w:tcBorders>
              <w:top w:val="nil"/>
              <w:left w:val="nil"/>
              <w:bottom w:val="nil"/>
              <w:right w:val="nil"/>
            </w:tcBorders>
            <w:shd w:val="clear" w:color="auto" w:fill="auto"/>
            <w:noWrap/>
            <w:vAlign w:val="bottom"/>
            <w:hideMark/>
          </w:tcPr>
          <w:p w14:paraId="419DCE3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6534915C" w14:textId="77777777" w:rsidTr="00D820C6">
        <w:trPr>
          <w:trHeight w:val="380"/>
        </w:trPr>
        <w:tc>
          <w:tcPr>
            <w:tcW w:w="1540" w:type="dxa"/>
            <w:tcBorders>
              <w:top w:val="nil"/>
              <w:left w:val="nil"/>
              <w:bottom w:val="single" w:sz="8" w:space="0" w:color="000000"/>
              <w:right w:val="nil"/>
            </w:tcBorders>
            <w:shd w:val="clear" w:color="auto" w:fill="auto"/>
            <w:vAlign w:val="bottom"/>
            <w:hideMark/>
          </w:tcPr>
          <w:p w14:paraId="45B062D9"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p>
        </w:tc>
        <w:tc>
          <w:tcPr>
            <w:tcW w:w="1880" w:type="dxa"/>
            <w:tcBorders>
              <w:top w:val="nil"/>
              <w:left w:val="nil"/>
              <w:bottom w:val="single" w:sz="8" w:space="0" w:color="000000"/>
              <w:right w:val="nil"/>
            </w:tcBorders>
            <w:shd w:val="clear" w:color="auto" w:fill="auto"/>
            <w:vAlign w:val="bottom"/>
            <w:hideMark/>
          </w:tcPr>
          <w:p w14:paraId="1ACCFAC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single" w:sz="8" w:space="0" w:color="000000"/>
              <w:right w:val="nil"/>
            </w:tcBorders>
            <w:shd w:val="clear" w:color="auto" w:fill="auto"/>
            <w:vAlign w:val="center"/>
            <w:hideMark/>
          </w:tcPr>
          <w:p w14:paraId="44BD2C89"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Normal</w:t>
            </w:r>
          </w:p>
        </w:tc>
        <w:tc>
          <w:tcPr>
            <w:tcW w:w="1540" w:type="dxa"/>
            <w:tcBorders>
              <w:top w:val="nil"/>
              <w:left w:val="nil"/>
              <w:bottom w:val="single" w:sz="8" w:space="0" w:color="000000"/>
              <w:right w:val="nil"/>
            </w:tcBorders>
            <w:shd w:val="clear" w:color="auto" w:fill="auto"/>
            <w:vAlign w:val="center"/>
            <w:hideMark/>
          </w:tcPr>
          <w:p w14:paraId="28625CDC"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Limited</w:t>
            </w:r>
          </w:p>
        </w:tc>
        <w:tc>
          <w:tcPr>
            <w:tcW w:w="1540" w:type="dxa"/>
            <w:tcBorders>
              <w:top w:val="nil"/>
              <w:left w:val="nil"/>
              <w:bottom w:val="single" w:sz="8" w:space="0" w:color="000000"/>
              <w:right w:val="nil"/>
            </w:tcBorders>
            <w:shd w:val="clear" w:color="auto" w:fill="auto"/>
            <w:vAlign w:val="center"/>
            <w:hideMark/>
          </w:tcPr>
          <w:p w14:paraId="60913CA3"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Extended</w:t>
            </w:r>
          </w:p>
        </w:tc>
        <w:tc>
          <w:tcPr>
            <w:tcW w:w="1540" w:type="dxa"/>
            <w:vMerge/>
            <w:tcBorders>
              <w:top w:val="nil"/>
              <w:left w:val="nil"/>
              <w:bottom w:val="single" w:sz="8" w:space="0" w:color="000000"/>
              <w:right w:val="nil"/>
            </w:tcBorders>
            <w:vAlign w:val="center"/>
            <w:hideMark/>
          </w:tcPr>
          <w:p w14:paraId="3ED01574"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vMerge/>
            <w:tcBorders>
              <w:top w:val="single" w:sz="8" w:space="0" w:color="000000"/>
              <w:left w:val="nil"/>
              <w:bottom w:val="single" w:sz="8" w:space="0" w:color="000000"/>
              <w:right w:val="nil"/>
            </w:tcBorders>
            <w:vAlign w:val="center"/>
            <w:hideMark/>
          </w:tcPr>
          <w:p w14:paraId="4FD3CD9E"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0B84155F"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4FC95696" w14:textId="77777777" w:rsidTr="00D820C6">
        <w:trPr>
          <w:trHeight w:val="380"/>
        </w:trPr>
        <w:tc>
          <w:tcPr>
            <w:tcW w:w="1540" w:type="dxa"/>
            <w:vMerge w:val="restart"/>
            <w:tcBorders>
              <w:top w:val="nil"/>
              <w:left w:val="nil"/>
              <w:bottom w:val="single" w:sz="4" w:space="0" w:color="000000"/>
              <w:right w:val="nil"/>
            </w:tcBorders>
            <w:shd w:val="clear" w:color="auto" w:fill="auto"/>
            <w:vAlign w:val="center"/>
            <w:hideMark/>
          </w:tcPr>
          <w:p w14:paraId="2CB96AF0" w14:textId="77777777" w:rsidR="002C16E4" w:rsidRPr="004865E7" w:rsidRDefault="002C16E4" w:rsidP="00F25F86">
            <w:pPr>
              <w:keepNext/>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Endoscopic atrophy</w:t>
            </w:r>
          </w:p>
        </w:tc>
        <w:tc>
          <w:tcPr>
            <w:tcW w:w="1880" w:type="dxa"/>
            <w:tcBorders>
              <w:top w:val="nil"/>
              <w:left w:val="nil"/>
              <w:bottom w:val="nil"/>
              <w:right w:val="nil"/>
            </w:tcBorders>
            <w:shd w:val="clear" w:color="auto" w:fill="auto"/>
            <w:vAlign w:val="center"/>
            <w:hideMark/>
          </w:tcPr>
          <w:p w14:paraId="60483DF8"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Normal</w:t>
            </w:r>
          </w:p>
        </w:tc>
        <w:tc>
          <w:tcPr>
            <w:tcW w:w="1540" w:type="dxa"/>
            <w:tcBorders>
              <w:top w:val="nil"/>
              <w:left w:val="nil"/>
              <w:bottom w:val="dashed" w:sz="8" w:space="0" w:color="000000"/>
              <w:right w:val="double" w:sz="6" w:space="0" w:color="000000"/>
            </w:tcBorders>
            <w:shd w:val="clear" w:color="000000" w:fill="D9D9D9"/>
            <w:vAlign w:val="center"/>
            <w:hideMark/>
          </w:tcPr>
          <w:p w14:paraId="4E7E498E"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79</w:t>
            </w:r>
          </w:p>
        </w:tc>
        <w:tc>
          <w:tcPr>
            <w:tcW w:w="1540" w:type="dxa"/>
            <w:tcBorders>
              <w:top w:val="nil"/>
              <w:left w:val="nil"/>
              <w:bottom w:val="double" w:sz="6" w:space="0" w:color="000000"/>
              <w:right w:val="nil"/>
            </w:tcBorders>
            <w:shd w:val="clear" w:color="auto" w:fill="auto"/>
            <w:vAlign w:val="center"/>
            <w:hideMark/>
          </w:tcPr>
          <w:p w14:paraId="5DD8AD18"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w:t>
            </w:r>
          </w:p>
        </w:tc>
        <w:tc>
          <w:tcPr>
            <w:tcW w:w="1540" w:type="dxa"/>
            <w:tcBorders>
              <w:top w:val="nil"/>
              <w:left w:val="nil"/>
              <w:bottom w:val="nil"/>
              <w:right w:val="nil"/>
            </w:tcBorders>
            <w:shd w:val="clear" w:color="auto" w:fill="auto"/>
            <w:vAlign w:val="center"/>
            <w:hideMark/>
          </w:tcPr>
          <w:p w14:paraId="5C7549C2"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double" w:sz="6" w:space="0" w:color="000000"/>
              <w:bottom w:val="nil"/>
              <w:right w:val="nil"/>
            </w:tcBorders>
            <w:shd w:val="clear" w:color="auto" w:fill="auto"/>
            <w:vAlign w:val="center"/>
            <w:hideMark/>
          </w:tcPr>
          <w:p w14:paraId="1A9B81BA"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83</w:t>
            </w:r>
          </w:p>
        </w:tc>
        <w:tc>
          <w:tcPr>
            <w:tcW w:w="1540" w:type="dxa"/>
            <w:vMerge w:val="restart"/>
            <w:tcBorders>
              <w:top w:val="nil"/>
              <w:left w:val="nil"/>
              <w:bottom w:val="single" w:sz="8" w:space="0" w:color="000000"/>
              <w:right w:val="nil"/>
            </w:tcBorders>
            <w:shd w:val="clear" w:color="auto" w:fill="auto"/>
            <w:noWrap/>
            <w:vAlign w:val="center"/>
            <w:hideMark/>
          </w:tcPr>
          <w:p w14:paraId="5ACC85C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0.81</w:t>
            </w:r>
          </w:p>
        </w:tc>
        <w:tc>
          <w:tcPr>
            <w:tcW w:w="1540" w:type="dxa"/>
            <w:tcBorders>
              <w:top w:val="nil"/>
              <w:left w:val="nil"/>
              <w:bottom w:val="nil"/>
              <w:right w:val="nil"/>
            </w:tcBorders>
            <w:shd w:val="clear" w:color="auto" w:fill="auto"/>
            <w:noWrap/>
            <w:vAlign w:val="bottom"/>
            <w:hideMark/>
          </w:tcPr>
          <w:p w14:paraId="7334E88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76342D32" w14:textId="77777777" w:rsidTr="00D820C6">
        <w:trPr>
          <w:trHeight w:val="380"/>
        </w:trPr>
        <w:tc>
          <w:tcPr>
            <w:tcW w:w="1540" w:type="dxa"/>
            <w:vMerge/>
            <w:tcBorders>
              <w:top w:val="nil"/>
              <w:left w:val="nil"/>
              <w:bottom w:val="single" w:sz="4" w:space="0" w:color="000000"/>
              <w:right w:val="nil"/>
            </w:tcBorders>
            <w:vAlign w:val="center"/>
            <w:hideMark/>
          </w:tcPr>
          <w:p w14:paraId="7A0BA6B5"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p>
        </w:tc>
        <w:tc>
          <w:tcPr>
            <w:tcW w:w="1880" w:type="dxa"/>
            <w:tcBorders>
              <w:top w:val="nil"/>
              <w:left w:val="nil"/>
              <w:bottom w:val="nil"/>
              <w:right w:val="dashed" w:sz="8" w:space="0" w:color="000000"/>
            </w:tcBorders>
            <w:shd w:val="clear" w:color="auto" w:fill="auto"/>
            <w:vAlign w:val="center"/>
            <w:hideMark/>
          </w:tcPr>
          <w:p w14:paraId="2C077560"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Limited (C-1~2)</w:t>
            </w:r>
          </w:p>
        </w:tc>
        <w:tc>
          <w:tcPr>
            <w:tcW w:w="1540" w:type="dxa"/>
            <w:tcBorders>
              <w:top w:val="nil"/>
              <w:left w:val="nil"/>
              <w:bottom w:val="nil"/>
              <w:right w:val="dashed" w:sz="8" w:space="0" w:color="000000"/>
            </w:tcBorders>
            <w:shd w:val="clear" w:color="auto" w:fill="auto"/>
            <w:vAlign w:val="center"/>
            <w:hideMark/>
          </w:tcPr>
          <w:p w14:paraId="352EB50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15</w:t>
            </w:r>
          </w:p>
        </w:tc>
        <w:tc>
          <w:tcPr>
            <w:tcW w:w="1540" w:type="dxa"/>
            <w:tcBorders>
              <w:top w:val="nil"/>
              <w:left w:val="nil"/>
              <w:bottom w:val="dashed" w:sz="8" w:space="0" w:color="000000"/>
              <w:right w:val="double" w:sz="6" w:space="0" w:color="000000"/>
            </w:tcBorders>
            <w:shd w:val="clear" w:color="000000" w:fill="D9D9D9"/>
            <w:vAlign w:val="center"/>
            <w:hideMark/>
          </w:tcPr>
          <w:p w14:paraId="5BE37627"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93</w:t>
            </w:r>
          </w:p>
        </w:tc>
        <w:tc>
          <w:tcPr>
            <w:tcW w:w="1540" w:type="dxa"/>
            <w:tcBorders>
              <w:top w:val="nil"/>
              <w:left w:val="nil"/>
              <w:bottom w:val="double" w:sz="6" w:space="0" w:color="000000"/>
              <w:right w:val="nil"/>
            </w:tcBorders>
            <w:shd w:val="clear" w:color="auto" w:fill="auto"/>
            <w:vAlign w:val="center"/>
            <w:hideMark/>
          </w:tcPr>
          <w:p w14:paraId="4038A13E"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w:t>
            </w:r>
          </w:p>
        </w:tc>
        <w:tc>
          <w:tcPr>
            <w:tcW w:w="1540" w:type="dxa"/>
            <w:tcBorders>
              <w:top w:val="nil"/>
              <w:left w:val="double" w:sz="6" w:space="0" w:color="000000"/>
              <w:bottom w:val="nil"/>
              <w:right w:val="nil"/>
            </w:tcBorders>
            <w:shd w:val="clear" w:color="auto" w:fill="auto"/>
            <w:vAlign w:val="center"/>
            <w:hideMark/>
          </w:tcPr>
          <w:p w14:paraId="578E90A7"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117</w:t>
            </w:r>
          </w:p>
        </w:tc>
        <w:tc>
          <w:tcPr>
            <w:tcW w:w="1540" w:type="dxa"/>
            <w:vMerge/>
            <w:tcBorders>
              <w:top w:val="nil"/>
              <w:left w:val="nil"/>
              <w:bottom w:val="single" w:sz="8" w:space="0" w:color="000000"/>
              <w:right w:val="nil"/>
            </w:tcBorders>
            <w:vAlign w:val="center"/>
            <w:hideMark/>
          </w:tcPr>
          <w:p w14:paraId="13503B4D"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07FFAA47"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6BEF83B7" w14:textId="77777777" w:rsidTr="00D820C6">
        <w:trPr>
          <w:trHeight w:val="400"/>
        </w:trPr>
        <w:tc>
          <w:tcPr>
            <w:tcW w:w="1540" w:type="dxa"/>
            <w:vMerge/>
            <w:tcBorders>
              <w:top w:val="nil"/>
              <w:left w:val="nil"/>
              <w:bottom w:val="single" w:sz="4" w:space="0" w:color="000000"/>
              <w:right w:val="nil"/>
            </w:tcBorders>
            <w:vAlign w:val="center"/>
            <w:hideMark/>
          </w:tcPr>
          <w:p w14:paraId="4AB6DB56"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p>
        </w:tc>
        <w:tc>
          <w:tcPr>
            <w:tcW w:w="1880" w:type="dxa"/>
            <w:tcBorders>
              <w:top w:val="nil"/>
              <w:left w:val="nil"/>
              <w:bottom w:val="single" w:sz="4" w:space="0" w:color="000000"/>
              <w:right w:val="dashed" w:sz="8" w:space="0" w:color="000000"/>
            </w:tcBorders>
            <w:shd w:val="clear" w:color="auto" w:fill="auto"/>
            <w:vAlign w:val="center"/>
            <w:hideMark/>
          </w:tcPr>
          <w:p w14:paraId="64095BF7"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Extended (C-3~O-3)</w:t>
            </w:r>
          </w:p>
        </w:tc>
        <w:tc>
          <w:tcPr>
            <w:tcW w:w="1540" w:type="dxa"/>
            <w:tcBorders>
              <w:top w:val="nil"/>
              <w:left w:val="nil"/>
              <w:bottom w:val="dashed" w:sz="8" w:space="0" w:color="000000"/>
              <w:right w:val="nil"/>
            </w:tcBorders>
            <w:shd w:val="clear" w:color="auto" w:fill="auto"/>
            <w:vAlign w:val="center"/>
            <w:hideMark/>
          </w:tcPr>
          <w:p w14:paraId="5619F7E2"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dashed" w:sz="8" w:space="0" w:color="000000"/>
              <w:right w:val="dashed" w:sz="8" w:space="0" w:color="000000"/>
            </w:tcBorders>
            <w:shd w:val="clear" w:color="auto" w:fill="auto"/>
            <w:vAlign w:val="center"/>
            <w:hideMark/>
          </w:tcPr>
          <w:p w14:paraId="3D477B2F"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w:t>
            </w:r>
          </w:p>
        </w:tc>
        <w:tc>
          <w:tcPr>
            <w:tcW w:w="1540" w:type="dxa"/>
            <w:tcBorders>
              <w:top w:val="nil"/>
              <w:left w:val="nil"/>
              <w:bottom w:val="nil"/>
              <w:right w:val="nil"/>
            </w:tcBorders>
            <w:shd w:val="clear" w:color="000000" w:fill="D9D9D9"/>
            <w:vAlign w:val="center"/>
            <w:hideMark/>
          </w:tcPr>
          <w:p w14:paraId="7A4D8AFE"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b/>
                <w:bCs/>
                <w:kern w:val="0"/>
              </w:rPr>
            </w:pPr>
            <w:r w:rsidRPr="004865E7">
              <w:rPr>
                <w:rFonts w:ascii="Book Antiqua" w:eastAsia="MS PGothic" w:hAnsi="Book Antiqua" w:cs="Times New Roman"/>
                <w:b/>
                <w:bCs/>
                <w:kern w:val="0"/>
              </w:rPr>
              <w:t>42</w:t>
            </w:r>
          </w:p>
        </w:tc>
        <w:tc>
          <w:tcPr>
            <w:tcW w:w="1540" w:type="dxa"/>
            <w:tcBorders>
              <w:top w:val="nil"/>
              <w:left w:val="nil"/>
              <w:bottom w:val="nil"/>
              <w:right w:val="nil"/>
            </w:tcBorders>
            <w:shd w:val="clear" w:color="auto" w:fill="auto"/>
            <w:vAlign w:val="center"/>
            <w:hideMark/>
          </w:tcPr>
          <w:p w14:paraId="0BDA3913"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52</w:t>
            </w:r>
          </w:p>
        </w:tc>
        <w:tc>
          <w:tcPr>
            <w:tcW w:w="1540" w:type="dxa"/>
            <w:vMerge/>
            <w:tcBorders>
              <w:top w:val="nil"/>
              <w:left w:val="nil"/>
              <w:bottom w:val="single" w:sz="8" w:space="0" w:color="000000"/>
              <w:right w:val="nil"/>
            </w:tcBorders>
            <w:vAlign w:val="center"/>
            <w:hideMark/>
          </w:tcPr>
          <w:p w14:paraId="4DCC38B0"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2EA786EA"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1816FA76" w14:textId="77777777" w:rsidTr="00D820C6">
        <w:trPr>
          <w:trHeight w:val="380"/>
        </w:trPr>
        <w:tc>
          <w:tcPr>
            <w:tcW w:w="1540" w:type="dxa"/>
            <w:tcBorders>
              <w:top w:val="nil"/>
              <w:left w:val="nil"/>
              <w:bottom w:val="single" w:sz="8" w:space="0" w:color="3F3F3F"/>
              <w:right w:val="nil"/>
            </w:tcBorders>
            <w:shd w:val="clear" w:color="auto" w:fill="auto"/>
            <w:vAlign w:val="bottom"/>
            <w:hideMark/>
          </w:tcPr>
          <w:p w14:paraId="5E9CF2F9"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p>
        </w:tc>
        <w:tc>
          <w:tcPr>
            <w:tcW w:w="1880" w:type="dxa"/>
            <w:tcBorders>
              <w:top w:val="nil"/>
              <w:left w:val="nil"/>
              <w:bottom w:val="single" w:sz="8" w:space="0" w:color="000000"/>
              <w:right w:val="nil"/>
            </w:tcBorders>
            <w:shd w:val="clear" w:color="auto" w:fill="auto"/>
            <w:vAlign w:val="center"/>
            <w:hideMark/>
          </w:tcPr>
          <w:p w14:paraId="46221F16"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Total</w:t>
            </w:r>
          </w:p>
        </w:tc>
        <w:tc>
          <w:tcPr>
            <w:tcW w:w="1540" w:type="dxa"/>
            <w:tcBorders>
              <w:top w:val="nil"/>
              <w:left w:val="nil"/>
              <w:bottom w:val="single" w:sz="8" w:space="0" w:color="000000"/>
              <w:right w:val="nil"/>
            </w:tcBorders>
            <w:shd w:val="clear" w:color="auto" w:fill="auto"/>
            <w:vAlign w:val="center"/>
            <w:hideMark/>
          </w:tcPr>
          <w:p w14:paraId="260F66A9"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94</w:t>
            </w:r>
          </w:p>
        </w:tc>
        <w:tc>
          <w:tcPr>
            <w:tcW w:w="1540" w:type="dxa"/>
            <w:tcBorders>
              <w:top w:val="nil"/>
              <w:left w:val="nil"/>
              <w:bottom w:val="single" w:sz="8" w:space="0" w:color="000000"/>
              <w:right w:val="nil"/>
            </w:tcBorders>
            <w:shd w:val="clear" w:color="auto" w:fill="auto"/>
            <w:vAlign w:val="center"/>
            <w:hideMark/>
          </w:tcPr>
          <w:p w14:paraId="37E228CD"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107</w:t>
            </w:r>
          </w:p>
        </w:tc>
        <w:tc>
          <w:tcPr>
            <w:tcW w:w="1540" w:type="dxa"/>
            <w:tcBorders>
              <w:top w:val="single" w:sz="4" w:space="0" w:color="000000"/>
              <w:left w:val="nil"/>
              <w:bottom w:val="single" w:sz="8" w:space="0" w:color="000000"/>
              <w:right w:val="nil"/>
            </w:tcBorders>
            <w:shd w:val="clear" w:color="auto" w:fill="auto"/>
            <w:vAlign w:val="center"/>
            <w:hideMark/>
          </w:tcPr>
          <w:p w14:paraId="7A441E48"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51</w:t>
            </w:r>
          </w:p>
        </w:tc>
        <w:tc>
          <w:tcPr>
            <w:tcW w:w="1540" w:type="dxa"/>
            <w:tcBorders>
              <w:top w:val="single" w:sz="4" w:space="0" w:color="000000"/>
              <w:left w:val="nil"/>
              <w:bottom w:val="single" w:sz="8" w:space="0" w:color="000000"/>
              <w:right w:val="nil"/>
            </w:tcBorders>
            <w:shd w:val="clear" w:color="auto" w:fill="auto"/>
            <w:vAlign w:val="center"/>
            <w:hideMark/>
          </w:tcPr>
          <w:p w14:paraId="224A99E2"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252</w:t>
            </w:r>
          </w:p>
        </w:tc>
        <w:tc>
          <w:tcPr>
            <w:tcW w:w="1540" w:type="dxa"/>
            <w:vMerge/>
            <w:tcBorders>
              <w:top w:val="nil"/>
              <w:left w:val="nil"/>
              <w:bottom w:val="single" w:sz="8" w:space="0" w:color="000000"/>
              <w:right w:val="nil"/>
            </w:tcBorders>
            <w:vAlign w:val="center"/>
            <w:hideMark/>
          </w:tcPr>
          <w:p w14:paraId="22FE31F8"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1540" w:type="dxa"/>
            <w:tcBorders>
              <w:top w:val="nil"/>
              <w:left w:val="nil"/>
              <w:bottom w:val="nil"/>
              <w:right w:val="nil"/>
            </w:tcBorders>
            <w:shd w:val="clear" w:color="auto" w:fill="auto"/>
            <w:noWrap/>
            <w:vAlign w:val="bottom"/>
            <w:hideMark/>
          </w:tcPr>
          <w:p w14:paraId="0CCFB9C9"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r>
      <w:tr w:rsidR="002C16E4" w:rsidRPr="004865E7" w14:paraId="00FC7335" w14:textId="77777777" w:rsidTr="00F25F86">
        <w:trPr>
          <w:trHeight w:val="380"/>
        </w:trPr>
        <w:tc>
          <w:tcPr>
            <w:tcW w:w="1540" w:type="dxa"/>
            <w:tcBorders>
              <w:top w:val="nil"/>
              <w:left w:val="nil"/>
              <w:bottom w:val="single" w:sz="4" w:space="0" w:color="auto"/>
              <w:right w:val="nil"/>
            </w:tcBorders>
            <w:shd w:val="clear" w:color="000000" w:fill="D9D9D9"/>
            <w:vAlign w:val="bottom"/>
            <w:hideMark/>
          </w:tcPr>
          <w:p w14:paraId="44933B50"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p>
        </w:tc>
        <w:tc>
          <w:tcPr>
            <w:tcW w:w="1880" w:type="dxa"/>
            <w:tcBorders>
              <w:top w:val="nil"/>
              <w:left w:val="nil"/>
              <w:bottom w:val="single" w:sz="4" w:space="0" w:color="auto"/>
              <w:right w:val="dashed" w:sz="8" w:space="0" w:color="000000"/>
            </w:tcBorders>
            <w:shd w:val="clear" w:color="auto" w:fill="auto"/>
            <w:vAlign w:val="bottom"/>
            <w:hideMark/>
          </w:tcPr>
          <w:p w14:paraId="5F57399D" w14:textId="77777777" w:rsidR="002C16E4" w:rsidRPr="004865E7" w:rsidRDefault="002C16E4" w:rsidP="00F25F86">
            <w:pPr>
              <w:widowControl/>
              <w:adjustRightInd w:val="0"/>
              <w:snapToGrid w:val="0"/>
              <w:spacing w:line="360" w:lineRule="auto"/>
              <w:jc w:val="left"/>
              <w:rPr>
                <w:rFonts w:ascii="Book Antiqua" w:eastAsia="MS PGothic" w:hAnsi="Book Antiqua" w:cs="Times New Roman"/>
                <w:kern w:val="0"/>
              </w:rPr>
            </w:pPr>
            <w:r w:rsidRPr="004865E7">
              <w:rPr>
                <w:rFonts w:ascii="Book Antiqua" w:eastAsia="MS PGothic" w:hAnsi="Book Antiqua" w:cs="Times New Roman"/>
                <w:kern w:val="0"/>
              </w:rPr>
              <w:t>concordance</w:t>
            </w:r>
          </w:p>
        </w:tc>
        <w:tc>
          <w:tcPr>
            <w:tcW w:w="1540" w:type="dxa"/>
            <w:tcBorders>
              <w:top w:val="nil"/>
              <w:left w:val="nil"/>
              <w:bottom w:val="single" w:sz="4" w:space="0" w:color="auto"/>
              <w:right w:val="dashed" w:sz="8" w:space="0" w:color="000000"/>
            </w:tcBorders>
            <w:shd w:val="clear" w:color="auto" w:fill="auto"/>
            <w:vAlign w:val="bottom"/>
            <w:hideMark/>
          </w:tcPr>
          <w:p w14:paraId="304A15CD"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3080" w:type="dxa"/>
            <w:gridSpan w:val="2"/>
            <w:tcBorders>
              <w:top w:val="single" w:sz="8" w:space="0" w:color="000000"/>
              <w:left w:val="nil"/>
              <w:bottom w:val="single" w:sz="4" w:space="0" w:color="auto"/>
              <w:right w:val="double" w:sz="6" w:space="0" w:color="000000"/>
            </w:tcBorders>
            <w:shd w:val="clear" w:color="auto" w:fill="auto"/>
            <w:vAlign w:val="bottom"/>
            <w:hideMark/>
          </w:tcPr>
          <w:p w14:paraId="2533242E"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endoscopic over-diagnosis</w:t>
            </w:r>
          </w:p>
        </w:tc>
        <w:tc>
          <w:tcPr>
            <w:tcW w:w="1540" w:type="dxa"/>
            <w:tcBorders>
              <w:top w:val="nil"/>
              <w:left w:val="nil"/>
              <w:bottom w:val="single" w:sz="4" w:space="0" w:color="auto"/>
              <w:right w:val="double" w:sz="6" w:space="0" w:color="000000"/>
            </w:tcBorders>
            <w:shd w:val="clear" w:color="auto" w:fill="auto"/>
            <w:vAlign w:val="bottom"/>
            <w:hideMark/>
          </w:tcPr>
          <w:p w14:paraId="35FFAFDC"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p>
        </w:tc>
        <w:tc>
          <w:tcPr>
            <w:tcW w:w="3080" w:type="dxa"/>
            <w:gridSpan w:val="2"/>
            <w:tcBorders>
              <w:top w:val="nil"/>
              <w:left w:val="nil"/>
              <w:bottom w:val="single" w:sz="4" w:space="0" w:color="auto"/>
              <w:right w:val="nil"/>
            </w:tcBorders>
            <w:shd w:val="clear" w:color="auto" w:fill="auto"/>
            <w:vAlign w:val="bottom"/>
            <w:hideMark/>
          </w:tcPr>
          <w:p w14:paraId="2D0A58C6" w14:textId="77777777" w:rsidR="002C16E4" w:rsidRPr="004865E7" w:rsidRDefault="002C16E4" w:rsidP="00F25F86">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endoscopic under-diagnosis</w:t>
            </w:r>
          </w:p>
        </w:tc>
      </w:tr>
    </w:tbl>
    <w:p w14:paraId="6F4E2763" w14:textId="27F24ECF" w:rsidR="002C16E4" w:rsidRPr="004865E7" w:rsidRDefault="001111EA"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kern w:val="0"/>
        </w:rPr>
        <w:t xml:space="preserve">Limited: </w:t>
      </w:r>
      <w:r w:rsidR="00314767" w:rsidRPr="004865E7">
        <w:rPr>
          <w:rFonts w:ascii="Book Antiqua" w:hAnsi="Book Antiqua" w:cs="Times"/>
          <w:kern w:val="0"/>
        </w:rPr>
        <w:t xml:space="preserve">Atrophy </w:t>
      </w:r>
      <w:r w:rsidRPr="004865E7">
        <w:rPr>
          <w:rFonts w:ascii="Book Antiqua" w:hAnsi="Book Antiqua" w:cs="Times"/>
          <w:kern w:val="0"/>
        </w:rPr>
        <w:t>limited antrum and angulus</w:t>
      </w:r>
      <w:r w:rsidRPr="004865E7">
        <w:rPr>
          <w:rFonts w:ascii="Book Antiqua" w:hAnsi="Book Antiqua" w:cs="Times" w:hint="eastAsia"/>
          <w:kern w:val="0"/>
        </w:rPr>
        <w:t xml:space="preserve">; </w:t>
      </w:r>
      <w:r w:rsidRPr="004865E7">
        <w:rPr>
          <w:rFonts w:ascii="Book Antiqua" w:hAnsi="Book Antiqua" w:cs="Times"/>
          <w:kern w:val="0"/>
        </w:rPr>
        <w:t>Extended: Atrophy with corps-predominant or pan-atrophy</w:t>
      </w:r>
      <w:r w:rsidR="00314767" w:rsidRPr="004865E7">
        <w:rPr>
          <w:rFonts w:ascii="Book Antiqua" w:eastAsia="SimSun" w:hAnsi="Book Antiqua" w:cs="Times" w:hint="eastAsia"/>
          <w:kern w:val="0"/>
          <w:lang w:eastAsia="zh-CN"/>
        </w:rPr>
        <w:t>.</w:t>
      </w:r>
    </w:p>
    <w:p w14:paraId="2449E24C" w14:textId="77777777" w:rsidR="002C16E4" w:rsidRPr="004865E7" w:rsidRDefault="002C16E4" w:rsidP="00FA3CB2">
      <w:pPr>
        <w:widowControl/>
        <w:adjustRightInd w:val="0"/>
        <w:snapToGrid w:val="0"/>
        <w:spacing w:line="360" w:lineRule="auto"/>
        <w:rPr>
          <w:rFonts w:ascii="Book Antiqua" w:hAnsi="Book Antiqua" w:cs="Times"/>
          <w:kern w:val="0"/>
        </w:rPr>
      </w:pPr>
      <w:r w:rsidRPr="004865E7">
        <w:rPr>
          <w:rFonts w:ascii="Book Antiqua" w:hAnsi="Book Antiqua" w:cs="Times"/>
          <w:kern w:val="0"/>
        </w:rPr>
        <w:br w:type="page"/>
      </w:r>
    </w:p>
    <w:tbl>
      <w:tblPr>
        <w:tblW w:w="14265" w:type="dxa"/>
        <w:tblInd w:w="84" w:type="dxa"/>
        <w:tblCellMar>
          <w:left w:w="99" w:type="dxa"/>
          <w:right w:w="99" w:type="dxa"/>
        </w:tblCellMar>
        <w:tblLook w:val="04A0" w:firstRow="1" w:lastRow="0" w:firstColumn="1" w:lastColumn="0" w:noHBand="0" w:noVBand="1"/>
      </w:tblPr>
      <w:tblGrid>
        <w:gridCol w:w="1008"/>
        <w:gridCol w:w="1936"/>
        <w:gridCol w:w="989"/>
        <w:gridCol w:w="851"/>
        <w:gridCol w:w="1648"/>
        <w:gridCol w:w="2027"/>
        <w:gridCol w:w="719"/>
        <w:gridCol w:w="759"/>
        <w:gridCol w:w="907"/>
        <w:gridCol w:w="603"/>
        <w:gridCol w:w="907"/>
        <w:gridCol w:w="1190"/>
        <w:gridCol w:w="907"/>
      </w:tblGrid>
      <w:tr w:rsidR="004865E7" w:rsidRPr="004865E7" w14:paraId="0701C7BC" w14:textId="77777777" w:rsidTr="00D820C6">
        <w:trPr>
          <w:trHeight w:val="380"/>
        </w:trPr>
        <w:tc>
          <w:tcPr>
            <w:tcW w:w="8992" w:type="dxa"/>
            <w:gridSpan w:val="7"/>
            <w:tcBorders>
              <w:top w:val="nil"/>
              <w:left w:val="nil"/>
              <w:bottom w:val="nil"/>
              <w:right w:val="nil"/>
            </w:tcBorders>
            <w:shd w:val="clear" w:color="auto" w:fill="auto"/>
            <w:noWrap/>
            <w:vAlign w:val="bottom"/>
            <w:hideMark/>
          </w:tcPr>
          <w:p w14:paraId="417B55A6"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r w:rsidRPr="004865E7">
              <w:rPr>
                <w:rFonts w:ascii="Book Antiqua" w:eastAsia="MS PGothic" w:hAnsi="Book Antiqua" w:cs="Times New Roman"/>
                <w:b/>
                <w:kern w:val="0"/>
              </w:rPr>
              <w:lastRenderedPageBreak/>
              <w:t>Table 8 Characteristics of underdiagnosed patients at high-risk of gastric cancer</w:t>
            </w:r>
          </w:p>
        </w:tc>
        <w:tc>
          <w:tcPr>
            <w:tcW w:w="1666" w:type="dxa"/>
            <w:gridSpan w:val="2"/>
            <w:tcBorders>
              <w:top w:val="nil"/>
              <w:left w:val="nil"/>
              <w:bottom w:val="nil"/>
              <w:right w:val="nil"/>
            </w:tcBorders>
            <w:shd w:val="clear" w:color="auto" w:fill="auto"/>
            <w:noWrap/>
            <w:vAlign w:val="bottom"/>
            <w:hideMark/>
          </w:tcPr>
          <w:p w14:paraId="3391AB8E"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1510" w:type="dxa"/>
            <w:gridSpan w:val="2"/>
            <w:tcBorders>
              <w:top w:val="nil"/>
              <w:left w:val="nil"/>
              <w:bottom w:val="nil"/>
              <w:right w:val="nil"/>
            </w:tcBorders>
            <w:shd w:val="clear" w:color="auto" w:fill="auto"/>
            <w:noWrap/>
            <w:vAlign w:val="bottom"/>
            <w:hideMark/>
          </w:tcPr>
          <w:p w14:paraId="766F2FCA"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c>
          <w:tcPr>
            <w:tcW w:w="2097" w:type="dxa"/>
            <w:gridSpan w:val="2"/>
            <w:tcBorders>
              <w:top w:val="nil"/>
              <w:left w:val="nil"/>
              <w:bottom w:val="nil"/>
              <w:right w:val="nil"/>
            </w:tcBorders>
            <w:shd w:val="clear" w:color="auto" w:fill="auto"/>
            <w:noWrap/>
            <w:vAlign w:val="bottom"/>
            <w:hideMark/>
          </w:tcPr>
          <w:p w14:paraId="228943FB"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p>
        </w:tc>
      </w:tr>
      <w:tr w:rsidR="004865E7" w:rsidRPr="004865E7" w14:paraId="36F398FC" w14:textId="77777777" w:rsidTr="00D820C6">
        <w:trPr>
          <w:gridAfter w:val="1"/>
          <w:wAfter w:w="907" w:type="dxa"/>
          <w:trHeight w:val="660"/>
        </w:trPr>
        <w:tc>
          <w:tcPr>
            <w:tcW w:w="1008" w:type="dxa"/>
            <w:tcBorders>
              <w:top w:val="single" w:sz="8" w:space="0" w:color="auto"/>
              <w:left w:val="nil"/>
              <w:bottom w:val="single" w:sz="8" w:space="0" w:color="auto"/>
              <w:right w:val="nil"/>
            </w:tcBorders>
            <w:shd w:val="clear" w:color="auto" w:fill="auto"/>
            <w:vAlign w:val="center"/>
            <w:hideMark/>
          </w:tcPr>
          <w:p w14:paraId="6A5818B6" w14:textId="77777777" w:rsidR="002C16E4" w:rsidRPr="004865E7" w:rsidRDefault="002C16E4" w:rsidP="00FA3CB2">
            <w:pPr>
              <w:widowControl/>
              <w:adjustRightInd w:val="0"/>
              <w:snapToGrid w:val="0"/>
              <w:spacing w:line="360" w:lineRule="auto"/>
              <w:rPr>
                <w:rFonts w:ascii="Book Antiqua" w:eastAsia="MS PGothic" w:hAnsi="Book Antiqua" w:cs="Times New Roman"/>
                <w:b/>
                <w:kern w:val="0"/>
              </w:rPr>
            </w:pPr>
            <w:r w:rsidRPr="004865E7">
              <w:rPr>
                <w:rFonts w:ascii="Book Antiqua" w:eastAsia="MS PGothic" w:hAnsi="Book Antiqua" w:cs="Times New Roman"/>
                <w:b/>
                <w:kern w:val="0"/>
              </w:rPr>
              <w:t>No.</w:t>
            </w:r>
          </w:p>
        </w:tc>
        <w:tc>
          <w:tcPr>
            <w:tcW w:w="1562" w:type="dxa"/>
            <w:tcBorders>
              <w:top w:val="single" w:sz="8" w:space="0" w:color="auto"/>
              <w:left w:val="nil"/>
              <w:bottom w:val="single" w:sz="8" w:space="0" w:color="auto"/>
              <w:right w:val="nil"/>
            </w:tcBorders>
            <w:shd w:val="clear" w:color="auto" w:fill="auto"/>
            <w:vAlign w:val="center"/>
            <w:hideMark/>
          </w:tcPr>
          <w:p w14:paraId="50B8FEC5" w14:textId="0833B853" w:rsidR="002C16E4" w:rsidRPr="004865E7" w:rsidRDefault="002C16E4" w:rsidP="00314767">
            <w:pPr>
              <w:widowControl/>
              <w:adjustRightInd w:val="0"/>
              <w:snapToGrid w:val="0"/>
              <w:spacing w:line="360" w:lineRule="auto"/>
              <w:ind w:firstLineChars="103" w:firstLine="248"/>
              <w:jc w:val="center"/>
              <w:rPr>
                <w:rFonts w:ascii="Book Antiqua" w:eastAsia="MS PGothic" w:hAnsi="Book Antiqua" w:cs="Times New Roman"/>
                <w:b/>
                <w:kern w:val="0"/>
              </w:rPr>
            </w:pPr>
            <w:r w:rsidRPr="004865E7">
              <w:rPr>
                <w:rFonts w:ascii="Book Antiqua" w:eastAsia="MS PGothic" w:hAnsi="Book Antiqua" w:cs="Times New Roman"/>
                <w:b/>
                <w:kern w:val="0"/>
              </w:rPr>
              <w:t>U</w:t>
            </w:r>
            <w:r w:rsidR="00314767" w:rsidRPr="004865E7">
              <w:rPr>
                <w:rFonts w:ascii="Book Antiqua" w:eastAsia="SimSun" w:hAnsi="Book Antiqua" w:cs="Times New Roman" w:hint="eastAsia"/>
                <w:b/>
                <w:kern w:val="0"/>
                <w:lang w:eastAsia="zh-CN"/>
              </w:rPr>
              <w:t>nited Kingdom</w:t>
            </w:r>
            <w:r w:rsidRPr="004865E7">
              <w:rPr>
                <w:rFonts w:ascii="Book Antiqua" w:eastAsia="MS PGothic" w:hAnsi="Book Antiqua" w:cs="Times New Roman"/>
                <w:b/>
                <w:kern w:val="0"/>
              </w:rPr>
              <w:t>/Japan</w:t>
            </w:r>
          </w:p>
        </w:tc>
        <w:tc>
          <w:tcPr>
            <w:tcW w:w="989" w:type="dxa"/>
            <w:tcBorders>
              <w:top w:val="single" w:sz="8" w:space="0" w:color="auto"/>
              <w:left w:val="nil"/>
              <w:bottom w:val="single" w:sz="8" w:space="0" w:color="auto"/>
              <w:right w:val="nil"/>
            </w:tcBorders>
            <w:shd w:val="clear" w:color="auto" w:fill="auto"/>
            <w:vAlign w:val="center"/>
            <w:hideMark/>
          </w:tcPr>
          <w:p w14:paraId="6412A0AF"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Sex</w:t>
            </w:r>
          </w:p>
        </w:tc>
        <w:tc>
          <w:tcPr>
            <w:tcW w:w="851" w:type="dxa"/>
            <w:tcBorders>
              <w:top w:val="single" w:sz="8" w:space="0" w:color="auto"/>
              <w:left w:val="nil"/>
              <w:bottom w:val="single" w:sz="8" w:space="0" w:color="auto"/>
              <w:right w:val="nil"/>
            </w:tcBorders>
            <w:shd w:val="clear" w:color="auto" w:fill="auto"/>
            <w:vAlign w:val="center"/>
            <w:hideMark/>
          </w:tcPr>
          <w:p w14:paraId="39AB409A"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Age</w:t>
            </w:r>
          </w:p>
        </w:tc>
        <w:tc>
          <w:tcPr>
            <w:tcW w:w="1648" w:type="dxa"/>
            <w:tcBorders>
              <w:top w:val="single" w:sz="8" w:space="0" w:color="auto"/>
              <w:left w:val="nil"/>
              <w:bottom w:val="single" w:sz="8" w:space="0" w:color="auto"/>
              <w:right w:val="nil"/>
            </w:tcBorders>
            <w:shd w:val="clear" w:color="auto" w:fill="auto"/>
            <w:vAlign w:val="center"/>
            <w:hideMark/>
          </w:tcPr>
          <w:p w14:paraId="79DA246A" w14:textId="7DA31E3D" w:rsidR="002C16E4" w:rsidRPr="004865E7" w:rsidRDefault="00314767" w:rsidP="00314767">
            <w:pPr>
              <w:widowControl/>
              <w:adjustRightInd w:val="0"/>
              <w:snapToGrid w:val="0"/>
              <w:spacing w:line="360" w:lineRule="auto"/>
              <w:jc w:val="center"/>
              <w:rPr>
                <w:rFonts w:ascii="Book Antiqua" w:eastAsia="MS PGothic" w:hAnsi="Book Antiqua" w:cs="Times New Roman"/>
                <w:b/>
                <w:i/>
                <w:iCs/>
                <w:kern w:val="0"/>
              </w:rPr>
            </w:pPr>
            <w:r w:rsidRPr="004865E7">
              <w:rPr>
                <w:rFonts w:ascii="Book Antiqua" w:eastAsia="MS PGothic" w:hAnsi="Book Antiqua" w:cs="Times New Roman"/>
                <w:b/>
                <w:i/>
                <w:iCs/>
                <w:kern w:val="0"/>
              </w:rPr>
              <w:t xml:space="preserve">Helicobacter pylori </w:t>
            </w:r>
            <w:r w:rsidR="002C16E4" w:rsidRPr="004865E7">
              <w:rPr>
                <w:rFonts w:ascii="Book Antiqua" w:eastAsia="MS PGothic" w:hAnsi="Book Antiqua" w:cs="Times New Roman"/>
                <w:b/>
                <w:kern w:val="0"/>
              </w:rPr>
              <w:t>antibody</w:t>
            </w:r>
          </w:p>
        </w:tc>
        <w:tc>
          <w:tcPr>
            <w:tcW w:w="2027" w:type="dxa"/>
            <w:tcBorders>
              <w:top w:val="single" w:sz="8" w:space="0" w:color="auto"/>
              <w:left w:val="nil"/>
              <w:bottom w:val="single" w:sz="8" w:space="0" w:color="auto"/>
              <w:right w:val="nil"/>
            </w:tcBorders>
            <w:shd w:val="clear" w:color="auto" w:fill="auto"/>
            <w:vAlign w:val="center"/>
            <w:hideMark/>
          </w:tcPr>
          <w:p w14:paraId="40B3F9DB"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Pepsinogen I (ng/mL)</w:t>
            </w:r>
          </w:p>
        </w:tc>
        <w:tc>
          <w:tcPr>
            <w:tcW w:w="1666" w:type="dxa"/>
            <w:gridSpan w:val="2"/>
            <w:tcBorders>
              <w:top w:val="single" w:sz="8" w:space="0" w:color="auto"/>
              <w:left w:val="nil"/>
              <w:bottom w:val="single" w:sz="8" w:space="0" w:color="auto"/>
              <w:right w:val="nil"/>
            </w:tcBorders>
            <w:shd w:val="clear" w:color="auto" w:fill="auto"/>
            <w:vAlign w:val="center"/>
            <w:hideMark/>
          </w:tcPr>
          <w:p w14:paraId="5385306E"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Pepsinogen II (ng/mL)</w:t>
            </w:r>
          </w:p>
        </w:tc>
        <w:tc>
          <w:tcPr>
            <w:tcW w:w="1510" w:type="dxa"/>
            <w:gridSpan w:val="2"/>
            <w:tcBorders>
              <w:top w:val="single" w:sz="8" w:space="0" w:color="auto"/>
              <w:left w:val="nil"/>
              <w:bottom w:val="single" w:sz="8" w:space="0" w:color="auto"/>
              <w:right w:val="nil"/>
            </w:tcBorders>
            <w:shd w:val="clear" w:color="auto" w:fill="auto"/>
            <w:vAlign w:val="center"/>
            <w:hideMark/>
          </w:tcPr>
          <w:p w14:paraId="379FDF0D"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Pepsinogen I/II ratio</w:t>
            </w:r>
          </w:p>
        </w:tc>
        <w:tc>
          <w:tcPr>
            <w:tcW w:w="2097" w:type="dxa"/>
            <w:gridSpan w:val="2"/>
            <w:tcBorders>
              <w:top w:val="single" w:sz="8" w:space="0" w:color="auto"/>
              <w:left w:val="nil"/>
              <w:bottom w:val="single" w:sz="8" w:space="0" w:color="auto"/>
              <w:right w:val="nil"/>
            </w:tcBorders>
            <w:shd w:val="clear" w:color="auto" w:fill="auto"/>
            <w:vAlign w:val="center"/>
            <w:hideMark/>
          </w:tcPr>
          <w:p w14:paraId="0B3CCF91"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b/>
                <w:kern w:val="0"/>
              </w:rPr>
            </w:pPr>
            <w:r w:rsidRPr="004865E7">
              <w:rPr>
                <w:rFonts w:ascii="Book Antiqua" w:eastAsia="MS PGothic" w:hAnsi="Book Antiqua" w:cs="Times New Roman"/>
                <w:b/>
                <w:kern w:val="0"/>
              </w:rPr>
              <w:t>Endoscopic atrophy</w:t>
            </w:r>
          </w:p>
        </w:tc>
      </w:tr>
      <w:tr w:rsidR="004865E7" w:rsidRPr="004865E7" w14:paraId="18A0090E" w14:textId="77777777" w:rsidTr="00D820C6">
        <w:trPr>
          <w:gridAfter w:val="1"/>
          <w:wAfter w:w="907" w:type="dxa"/>
          <w:trHeight w:val="560"/>
        </w:trPr>
        <w:tc>
          <w:tcPr>
            <w:tcW w:w="1008" w:type="dxa"/>
            <w:tcBorders>
              <w:top w:val="nil"/>
              <w:left w:val="nil"/>
              <w:bottom w:val="nil"/>
              <w:right w:val="nil"/>
            </w:tcBorders>
            <w:shd w:val="clear" w:color="auto" w:fill="auto"/>
            <w:vAlign w:val="center"/>
            <w:hideMark/>
          </w:tcPr>
          <w:p w14:paraId="3A40D4F0"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1</w:t>
            </w:r>
          </w:p>
        </w:tc>
        <w:tc>
          <w:tcPr>
            <w:tcW w:w="1562" w:type="dxa"/>
            <w:tcBorders>
              <w:top w:val="nil"/>
              <w:left w:val="nil"/>
              <w:bottom w:val="nil"/>
              <w:right w:val="nil"/>
            </w:tcBorders>
            <w:shd w:val="clear" w:color="auto" w:fill="auto"/>
            <w:vAlign w:val="center"/>
            <w:hideMark/>
          </w:tcPr>
          <w:p w14:paraId="6435C969"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bottom w:val="nil"/>
              <w:right w:val="nil"/>
            </w:tcBorders>
            <w:shd w:val="clear" w:color="auto" w:fill="auto"/>
            <w:vAlign w:val="center"/>
            <w:hideMark/>
          </w:tcPr>
          <w:p w14:paraId="7E7CB34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bottom w:val="nil"/>
              <w:right w:val="nil"/>
            </w:tcBorders>
            <w:shd w:val="clear" w:color="auto" w:fill="auto"/>
            <w:vAlign w:val="center"/>
            <w:hideMark/>
          </w:tcPr>
          <w:p w14:paraId="10F5DD5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w:t>
            </w:r>
          </w:p>
        </w:tc>
        <w:tc>
          <w:tcPr>
            <w:tcW w:w="1648" w:type="dxa"/>
            <w:tcBorders>
              <w:top w:val="nil"/>
              <w:left w:val="nil"/>
              <w:bottom w:val="nil"/>
              <w:right w:val="nil"/>
            </w:tcBorders>
            <w:shd w:val="clear" w:color="auto" w:fill="auto"/>
            <w:vAlign w:val="center"/>
            <w:hideMark/>
          </w:tcPr>
          <w:p w14:paraId="43384D7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bottom w:val="nil"/>
              <w:right w:val="nil"/>
            </w:tcBorders>
            <w:shd w:val="clear" w:color="auto" w:fill="auto"/>
            <w:vAlign w:val="center"/>
            <w:hideMark/>
          </w:tcPr>
          <w:p w14:paraId="620063F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45.1</w:t>
            </w:r>
          </w:p>
        </w:tc>
        <w:tc>
          <w:tcPr>
            <w:tcW w:w="1666" w:type="dxa"/>
            <w:gridSpan w:val="2"/>
            <w:tcBorders>
              <w:top w:val="nil"/>
              <w:left w:val="nil"/>
              <w:bottom w:val="nil"/>
              <w:right w:val="nil"/>
            </w:tcBorders>
            <w:shd w:val="clear" w:color="auto" w:fill="auto"/>
            <w:vAlign w:val="center"/>
            <w:hideMark/>
          </w:tcPr>
          <w:p w14:paraId="4407A1C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21.3</w:t>
            </w:r>
          </w:p>
        </w:tc>
        <w:tc>
          <w:tcPr>
            <w:tcW w:w="1510" w:type="dxa"/>
            <w:gridSpan w:val="2"/>
            <w:tcBorders>
              <w:top w:val="nil"/>
              <w:left w:val="nil"/>
              <w:bottom w:val="nil"/>
              <w:right w:val="nil"/>
            </w:tcBorders>
            <w:shd w:val="clear" w:color="auto" w:fill="auto"/>
            <w:vAlign w:val="center"/>
            <w:hideMark/>
          </w:tcPr>
          <w:p w14:paraId="73D5CE64"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2.1</w:t>
            </w:r>
          </w:p>
        </w:tc>
        <w:tc>
          <w:tcPr>
            <w:tcW w:w="2097" w:type="dxa"/>
            <w:gridSpan w:val="2"/>
            <w:tcBorders>
              <w:top w:val="nil"/>
              <w:left w:val="nil"/>
              <w:bottom w:val="nil"/>
              <w:right w:val="nil"/>
            </w:tcBorders>
            <w:shd w:val="clear" w:color="auto" w:fill="auto"/>
            <w:vAlign w:val="center"/>
            <w:hideMark/>
          </w:tcPr>
          <w:p w14:paraId="6C5BCBA2" w14:textId="18A9819B"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3A36C54D" w14:textId="77777777" w:rsidTr="00D820C6">
        <w:trPr>
          <w:gridAfter w:val="1"/>
          <w:wAfter w:w="907" w:type="dxa"/>
          <w:trHeight w:val="560"/>
        </w:trPr>
        <w:tc>
          <w:tcPr>
            <w:tcW w:w="1008" w:type="dxa"/>
            <w:tcBorders>
              <w:top w:val="nil"/>
              <w:left w:val="nil"/>
              <w:bottom w:val="nil"/>
              <w:right w:val="nil"/>
            </w:tcBorders>
            <w:shd w:val="clear" w:color="auto" w:fill="auto"/>
            <w:vAlign w:val="center"/>
            <w:hideMark/>
          </w:tcPr>
          <w:p w14:paraId="4E8813A9"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2</w:t>
            </w:r>
          </w:p>
        </w:tc>
        <w:tc>
          <w:tcPr>
            <w:tcW w:w="1562" w:type="dxa"/>
            <w:tcBorders>
              <w:top w:val="nil"/>
              <w:left w:val="nil"/>
              <w:bottom w:val="nil"/>
              <w:right w:val="nil"/>
            </w:tcBorders>
            <w:shd w:val="clear" w:color="auto" w:fill="auto"/>
            <w:vAlign w:val="center"/>
            <w:hideMark/>
          </w:tcPr>
          <w:p w14:paraId="55670F5D"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bottom w:val="nil"/>
              <w:right w:val="nil"/>
            </w:tcBorders>
            <w:shd w:val="clear" w:color="auto" w:fill="auto"/>
            <w:vAlign w:val="center"/>
            <w:hideMark/>
          </w:tcPr>
          <w:p w14:paraId="6DC53BDF"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bottom w:val="nil"/>
              <w:right w:val="nil"/>
            </w:tcBorders>
            <w:shd w:val="clear" w:color="auto" w:fill="auto"/>
            <w:vAlign w:val="center"/>
            <w:hideMark/>
          </w:tcPr>
          <w:p w14:paraId="4296D917"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42</w:t>
            </w:r>
          </w:p>
        </w:tc>
        <w:tc>
          <w:tcPr>
            <w:tcW w:w="1648" w:type="dxa"/>
            <w:tcBorders>
              <w:top w:val="nil"/>
              <w:left w:val="nil"/>
              <w:bottom w:val="nil"/>
              <w:right w:val="nil"/>
            </w:tcBorders>
            <w:shd w:val="clear" w:color="auto" w:fill="auto"/>
            <w:vAlign w:val="center"/>
            <w:hideMark/>
          </w:tcPr>
          <w:p w14:paraId="30132398"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bottom w:val="nil"/>
              <w:right w:val="nil"/>
            </w:tcBorders>
            <w:shd w:val="clear" w:color="auto" w:fill="auto"/>
            <w:vAlign w:val="center"/>
            <w:hideMark/>
          </w:tcPr>
          <w:p w14:paraId="694948B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126</w:t>
            </w:r>
          </w:p>
        </w:tc>
        <w:tc>
          <w:tcPr>
            <w:tcW w:w="1666" w:type="dxa"/>
            <w:gridSpan w:val="2"/>
            <w:tcBorders>
              <w:top w:val="nil"/>
              <w:left w:val="nil"/>
              <w:bottom w:val="nil"/>
              <w:right w:val="nil"/>
            </w:tcBorders>
            <w:shd w:val="clear" w:color="auto" w:fill="auto"/>
            <w:vAlign w:val="center"/>
            <w:hideMark/>
          </w:tcPr>
          <w:p w14:paraId="3B76C3A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41.4</w:t>
            </w:r>
          </w:p>
        </w:tc>
        <w:tc>
          <w:tcPr>
            <w:tcW w:w="1510" w:type="dxa"/>
            <w:gridSpan w:val="2"/>
            <w:tcBorders>
              <w:top w:val="nil"/>
              <w:left w:val="nil"/>
              <w:bottom w:val="nil"/>
              <w:right w:val="nil"/>
            </w:tcBorders>
            <w:shd w:val="clear" w:color="auto" w:fill="auto"/>
            <w:vAlign w:val="center"/>
            <w:hideMark/>
          </w:tcPr>
          <w:p w14:paraId="563BF810"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w:t>
            </w:r>
          </w:p>
        </w:tc>
        <w:tc>
          <w:tcPr>
            <w:tcW w:w="2097" w:type="dxa"/>
            <w:gridSpan w:val="2"/>
            <w:tcBorders>
              <w:top w:val="nil"/>
              <w:left w:val="nil"/>
              <w:bottom w:val="nil"/>
              <w:right w:val="nil"/>
            </w:tcBorders>
            <w:shd w:val="clear" w:color="auto" w:fill="auto"/>
            <w:vAlign w:val="center"/>
            <w:hideMark/>
          </w:tcPr>
          <w:p w14:paraId="55A87253" w14:textId="11315F39"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bookmarkStart w:id="539" w:name="OLE_LINK2007"/>
            <w:bookmarkStart w:id="540" w:name="OLE_LINK2008"/>
            <w:r w:rsidRPr="004865E7">
              <w:rPr>
                <w:rFonts w:ascii="Book Antiqua" w:eastAsia="MS PGothic" w:hAnsi="Book Antiqua" w:cs="Times New Roman"/>
                <w:kern w:val="0"/>
              </w:rPr>
              <w:t xml:space="preserve">Antral </w:t>
            </w:r>
            <w:bookmarkEnd w:id="539"/>
            <w:bookmarkEnd w:id="540"/>
            <w:r w:rsidR="002C16E4" w:rsidRPr="004865E7">
              <w:rPr>
                <w:rFonts w:ascii="Book Antiqua" w:eastAsia="MS PGothic" w:hAnsi="Book Antiqua" w:cs="Times New Roman"/>
                <w:kern w:val="0"/>
              </w:rPr>
              <w:t>predominant</w:t>
            </w:r>
          </w:p>
        </w:tc>
      </w:tr>
      <w:tr w:rsidR="004865E7" w:rsidRPr="004865E7" w14:paraId="117FE59F" w14:textId="77777777" w:rsidTr="00D820C6">
        <w:trPr>
          <w:gridAfter w:val="1"/>
          <w:wAfter w:w="907" w:type="dxa"/>
          <w:trHeight w:val="560"/>
        </w:trPr>
        <w:tc>
          <w:tcPr>
            <w:tcW w:w="1008" w:type="dxa"/>
            <w:tcBorders>
              <w:top w:val="nil"/>
              <w:left w:val="nil"/>
              <w:bottom w:val="nil"/>
              <w:right w:val="nil"/>
            </w:tcBorders>
            <w:shd w:val="clear" w:color="auto" w:fill="auto"/>
            <w:vAlign w:val="center"/>
            <w:hideMark/>
          </w:tcPr>
          <w:p w14:paraId="623BEB12"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3</w:t>
            </w:r>
          </w:p>
        </w:tc>
        <w:tc>
          <w:tcPr>
            <w:tcW w:w="1562" w:type="dxa"/>
            <w:tcBorders>
              <w:top w:val="nil"/>
              <w:left w:val="nil"/>
              <w:bottom w:val="nil"/>
              <w:right w:val="nil"/>
            </w:tcBorders>
            <w:shd w:val="clear" w:color="auto" w:fill="auto"/>
            <w:vAlign w:val="center"/>
            <w:hideMark/>
          </w:tcPr>
          <w:p w14:paraId="2FB5F20C"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bottom w:val="nil"/>
              <w:right w:val="nil"/>
            </w:tcBorders>
            <w:shd w:val="clear" w:color="auto" w:fill="auto"/>
            <w:vAlign w:val="center"/>
            <w:hideMark/>
          </w:tcPr>
          <w:p w14:paraId="72138E6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bottom w:val="nil"/>
              <w:right w:val="nil"/>
            </w:tcBorders>
            <w:shd w:val="clear" w:color="auto" w:fill="auto"/>
            <w:vAlign w:val="center"/>
            <w:hideMark/>
          </w:tcPr>
          <w:p w14:paraId="734AC94D"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49</w:t>
            </w:r>
          </w:p>
        </w:tc>
        <w:tc>
          <w:tcPr>
            <w:tcW w:w="1648" w:type="dxa"/>
            <w:tcBorders>
              <w:top w:val="nil"/>
              <w:left w:val="nil"/>
              <w:bottom w:val="nil"/>
              <w:right w:val="nil"/>
            </w:tcBorders>
            <w:shd w:val="clear" w:color="auto" w:fill="auto"/>
            <w:vAlign w:val="center"/>
            <w:hideMark/>
          </w:tcPr>
          <w:p w14:paraId="17197EB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bottom w:val="nil"/>
              <w:right w:val="nil"/>
            </w:tcBorders>
            <w:shd w:val="clear" w:color="auto" w:fill="auto"/>
            <w:vAlign w:val="center"/>
            <w:hideMark/>
          </w:tcPr>
          <w:p w14:paraId="481E1F8C"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44.8</w:t>
            </w:r>
          </w:p>
        </w:tc>
        <w:tc>
          <w:tcPr>
            <w:tcW w:w="1666" w:type="dxa"/>
            <w:gridSpan w:val="2"/>
            <w:tcBorders>
              <w:top w:val="nil"/>
              <w:left w:val="nil"/>
              <w:bottom w:val="nil"/>
              <w:right w:val="nil"/>
            </w:tcBorders>
            <w:shd w:val="clear" w:color="auto" w:fill="auto"/>
            <w:vAlign w:val="center"/>
            <w:hideMark/>
          </w:tcPr>
          <w:p w14:paraId="46AD1021"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40.9</w:t>
            </w:r>
          </w:p>
        </w:tc>
        <w:tc>
          <w:tcPr>
            <w:tcW w:w="1510" w:type="dxa"/>
            <w:gridSpan w:val="2"/>
            <w:tcBorders>
              <w:top w:val="nil"/>
              <w:left w:val="nil"/>
              <w:bottom w:val="nil"/>
              <w:right w:val="nil"/>
            </w:tcBorders>
            <w:shd w:val="clear" w:color="auto" w:fill="auto"/>
            <w:vAlign w:val="center"/>
            <w:hideMark/>
          </w:tcPr>
          <w:p w14:paraId="7850ACC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1.1</w:t>
            </w:r>
          </w:p>
        </w:tc>
        <w:tc>
          <w:tcPr>
            <w:tcW w:w="2097" w:type="dxa"/>
            <w:gridSpan w:val="2"/>
            <w:tcBorders>
              <w:top w:val="nil"/>
              <w:left w:val="nil"/>
              <w:bottom w:val="nil"/>
              <w:right w:val="nil"/>
            </w:tcBorders>
            <w:shd w:val="clear" w:color="auto" w:fill="auto"/>
            <w:vAlign w:val="center"/>
            <w:hideMark/>
          </w:tcPr>
          <w:p w14:paraId="4A008876" w14:textId="6BC129DF"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4E9EB73D" w14:textId="77777777" w:rsidTr="00D820C6">
        <w:trPr>
          <w:gridAfter w:val="1"/>
          <w:wAfter w:w="907" w:type="dxa"/>
          <w:trHeight w:val="560"/>
        </w:trPr>
        <w:tc>
          <w:tcPr>
            <w:tcW w:w="1008" w:type="dxa"/>
            <w:tcBorders>
              <w:top w:val="nil"/>
              <w:left w:val="nil"/>
              <w:bottom w:val="nil"/>
              <w:right w:val="nil"/>
            </w:tcBorders>
            <w:shd w:val="clear" w:color="auto" w:fill="auto"/>
            <w:vAlign w:val="center"/>
            <w:hideMark/>
          </w:tcPr>
          <w:p w14:paraId="7298B490"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4</w:t>
            </w:r>
          </w:p>
        </w:tc>
        <w:tc>
          <w:tcPr>
            <w:tcW w:w="1562" w:type="dxa"/>
            <w:tcBorders>
              <w:top w:val="nil"/>
              <w:left w:val="nil"/>
              <w:bottom w:val="nil"/>
              <w:right w:val="nil"/>
            </w:tcBorders>
            <w:shd w:val="clear" w:color="auto" w:fill="auto"/>
            <w:vAlign w:val="center"/>
            <w:hideMark/>
          </w:tcPr>
          <w:p w14:paraId="6753F42B"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bottom w:val="nil"/>
              <w:right w:val="nil"/>
            </w:tcBorders>
            <w:shd w:val="clear" w:color="auto" w:fill="auto"/>
            <w:vAlign w:val="center"/>
            <w:hideMark/>
          </w:tcPr>
          <w:p w14:paraId="1ACAF934"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bottom w:val="nil"/>
              <w:right w:val="nil"/>
            </w:tcBorders>
            <w:shd w:val="clear" w:color="auto" w:fill="auto"/>
            <w:vAlign w:val="center"/>
            <w:hideMark/>
          </w:tcPr>
          <w:p w14:paraId="77C702B9"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55</w:t>
            </w:r>
          </w:p>
        </w:tc>
        <w:tc>
          <w:tcPr>
            <w:tcW w:w="1648" w:type="dxa"/>
            <w:tcBorders>
              <w:top w:val="nil"/>
              <w:left w:val="nil"/>
              <w:bottom w:val="nil"/>
              <w:right w:val="nil"/>
            </w:tcBorders>
            <w:shd w:val="clear" w:color="auto" w:fill="auto"/>
            <w:vAlign w:val="center"/>
            <w:hideMark/>
          </w:tcPr>
          <w:p w14:paraId="28C0744F"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bottom w:val="nil"/>
              <w:right w:val="nil"/>
            </w:tcBorders>
            <w:shd w:val="clear" w:color="auto" w:fill="auto"/>
            <w:vAlign w:val="center"/>
            <w:hideMark/>
          </w:tcPr>
          <w:p w14:paraId="7A3AD35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65.4</w:t>
            </w:r>
          </w:p>
        </w:tc>
        <w:tc>
          <w:tcPr>
            <w:tcW w:w="1666" w:type="dxa"/>
            <w:gridSpan w:val="2"/>
            <w:tcBorders>
              <w:top w:val="nil"/>
              <w:left w:val="nil"/>
              <w:bottom w:val="nil"/>
              <w:right w:val="nil"/>
            </w:tcBorders>
            <w:shd w:val="clear" w:color="auto" w:fill="auto"/>
            <w:vAlign w:val="center"/>
            <w:hideMark/>
          </w:tcPr>
          <w:p w14:paraId="3DCA85E0"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34.3</w:t>
            </w:r>
          </w:p>
        </w:tc>
        <w:tc>
          <w:tcPr>
            <w:tcW w:w="1510" w:type="dxa"/>
            <w:gridSpan w:val="2"/>
            <w:tcBorders>
              <w:top w:val="nil"/>
              <w:left w:val="nil"/>
              <w:bottom w:val="nil"/>
              <w:right w:val="nil"/>
            </w:tcBorders>
            <w:shd w:val="clear" w:color="auto" w:fill="auto"/>
            <w:vAlign w:val="center"/>
            <w:hideMark/>
          </w:tcPr>
          <w:p w14:paraId="1D7EB121"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w:t>
            </w:r>
          </w:p>
        </w:tc>
        <w:tc>
          <w:tcPr>
            <w:tcW w:w="2097" w:type="dxa"/>
            <w:gridSpan w:val="2"/>
            <w:tcBorders>
              <w:top w:val="nil"/>
              <w:left w:val="nil"/>
              <w:bottom w:val="nil"/>
              <w:right w:val="nil"/>
            </w:tcBorders>
            <w:shd w:val="clear" w:color="auto" w:fill="auto"/>
            <w:vAlign w:val="center"/>
            <w:hideMark/>
          </w:tcPr>
          <w:p w14:paraId="205DEECB" w14:textId="25233A58"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5DC846C9" w14:textId="77777777" w:rsidTr="00D820C6">
        <w:trPr>
          <w:gridAfter w:val="1"/>
          <w:wAfter w:w="907" w:type="dxa"/>
          <w:trHeight w:val="560"/>
        </w:trPr>
        <w:tc>
          <w:tcPr>
            <w:tcW w:w="1008" w:type="dxa"/>
            <w:tcBorders>
              <w:top w:val="nil"/>
              <w:left w:val="nil"/>
              <w:bottom w:val="nil"/>
              <w:right w:val="nil"/>
            </w:tcBorders>
            <w:shd w:val="clear" w:color="auto" w:fill="auto"/>
            <w:vAlign w:val="center"/>
            <w:hideMark/>
          </w:tcPr>
          <w:p w14:paraId="39E882AA"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5</w:t>
            </w:r>
          </w:p>
        </w:tc>
        <w:tc>
          <w:tcPr>
            <w:tcW w:w="1562" w:type="dxa"/>
            <w:tcBorders>
              <w:top w:val="nil"/>
              <w:left w:val="nil"/>
              <w:bottom w:val="nil"/>
              <w:right w:val="nil"/>
            </w:tcBorders>
            <w:shd w:val="clear" w:color="auto" w:fill="auto"/>
            <w:vAlign w:val="center"/>
            <w:hideMark/>
          </w:tcPr>
          <w:p w14:paraId="27E995FE"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bottom w:val="nil"/>
              <w:right w:val="nil"/>
            </w:tcBorders>
            <w:shd w:val="clear" w:color="auto" w:fill="auto"/>
            <w:vAlign w:val="center"/>
            <w:hideMark/>
          </w:tcPr>
          <w:p w14:paraId="472BE9C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bottom w:val="nil"/>
              <w:right w:val="nil"/>
            </w:tcBorders>
            <w:shd w:val="clear" w:color="auto" w:fill="auto"/>
            <w:vAlign w:val="center"/>
            <w:hideMark/>
          </w:tcPr>
          <w:p w14:paraId="7AB402C1"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58</w:t>
            </w:r>
          </w:p>
        </w:tc>
        <w:tc>
          <w:tcPr>
            <w:tcW w:w="1648" w:type="dxa"/>
            <w:tcBorders>
              <w:top w:val="nil"/>
              <w:left w:val="nil"/>
              <w:bottom w:val="nil"/>
              <w:right w:val="nil"/>
            </w:tcBorders>
            <w:shd w:val="clear" w:color="auto" w:fill="auto"/>
            <w:vAlign w:val="center"/>
            <w:hideMark/>
          </w:tcPr>
          <w:p w14:paraId="66DA9E4C"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bottom w:val="nil"/>
              <w:right w:val="nil"/>
            </w:tcBorders>
            <w:shd w:val="clear" w:color="auto" w:fill="auto"/>
            <w:vAlign w:val="center"/>
            <w:hideMark/>
          </w:tcPr>
          <w:p w14:paraId="6BF7B0EF"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71.4</w:t>
            </w:r>
          </w:p>
        </w:tc>
        <w:tc>
          <w:tcPr>
            <w:tcW w:w="1666" w:type="dxa"/>
            <w:gridSpan w:val="2"/>
            <w:tcBorders>
              <w:top w:val="nil"/>
              <w:left w:val="nil"/>
              <w:bottom w:val="nil"/>
              <w:right w:val="nil"/>
            </w:tcBorders>
            <w:shd w:val="clear" w:color="auto" w:fill="auto"/>
            <w:vAlign w:val="center"/>
            <w:hideMark/>
          </w:tcPr>
          <w:p w14:paraId="184BAD2C"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34.3</w:t>
            </w:r>
          </w:p>
        </w:tc>
        <w:tc>
          <w:tcPr>
            <w:tcW w:w="1510" w:type="dxa"/>
            <w:gridSpan w:val="2"/>
            <w:tcBorders>
              <w:top w:val="nil"/>
              <w:left w:val="nil"/>
              <w:bottom w:val="nil"/>
              <w:right w:val="nil"/>
            </w:tcBorders>
            <w:shd w:val="clear" w:color="auto" w:fill="auto"/>
            <w:vAlign w:val="center"/>
            <w:hideMark/>
          </w:tcPr>
          <w:p w14:paraId="2A3F3DA3"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2.1</w:t>
            </w:r>
          </w:p>
        </w:tc>
        <w:tc>
          <w:tcPr>
            <w:tcW w:w="2097" w:type="dxa"/>
            <w:gridSpan w:val="2"/>
            <w:tcBorders>
              <w:top w:val="nil"/>
              <w:left w:val="nil"/>
              <w:bottom w:val="nil"/>
              <w:right w:val="nil"/>
            </w:tcBorders>
            <w:shd w:val="clear" w:color="auto" w:fill="auto"/>
            <w:vAlign w:val="center"/>
            <w:hideMark/>
          </w:tcPr>
          <w:p w14:paraId="572C6916" w14:textId="0E094F9C"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62C1B512" w14:textId="77777777" w:rsidTr="00D820C6">
        <w:trPr>
          <w:gridAfter w:val="1"/>
          <w:wAfter w:w="907" w:type="dxa"/>
          <w:trHeight w:val="560"/>
        </w:trPr>
        <w:tc>
          <w:tcPr>
            <w:tcW w:w="1008" w:type="dxa"/>
            <w:tcBorders>
              <w:top w:val="nil"/>
              <w:left w:val="nil"/>
              <w:right w:val="nil"/>
            </w:tcBorders>
            <w:shd w:val="clear" w:color="auto" w:fill="auto"/>
            <w:vAlign w:val="center"/>
            <w:hideMark/>
          </w:tcPr>
          <w:p w14:paraId="67506608"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6</w:t>
            </w:r>
          </w:p>
        </w:tc>
        <w:tc>
          <w:tcPr>
            <w:tcW w:w="1562" w:type="dxa"/>
            <w:tcBorders>
              <w:top w:val="nil"/>
              <w:left w:val="nil"/>
              <w:right w:val="nil"/>
            </w:tcBorders>
            <w:shd w:val="clear" w:color="auto" w:fill="auto"/>
            <w:vAlign w:val="center"/>
            <w:hideMark/>
          </w:tcPr>
          <w:p w14:paraId="12673905"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right w:val="nil"/>
            </w:tcBorders>
            <w:shd w:val="clear" w:color="auto" w:fill="auto"/>
            <w:vAlign w:val="center"/>
            <w:hideMark/>
          </w:tcPr>
          <w:p w14:paraId="1D032ED0"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right w:val="nil"/>
            </w:tcBorders>
            <w:shd w:val="clear" w:color="auto" w:fill="auto"/>
            <w:vAlign w:val="center"/>
            <w:hideMark/>
          </w:tcPr>
          <w:p w14:paraId="1E27ABAB"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66</w:t>
            </w:r>
          </w:p>
        </w:tc>
        <w:tc>
          <w:tcPr>
            <w:tcW w:w="1648" w:type="dxa"/>
            <w:tcBorders>
              <w:top w:val="nil"/>
              <w:left w:val="nil"/>
              <w:right w:val="nil"/>
            </w:tcBorders>
            <w:shd w:val="clear" w:color="auto" w:fill="auto"/>
            <w:vAlign w:val="center"/>
            <w:hideMark/>
          </w:tcPr>
          <w:p w14:paraId="72F18B3F"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right w:val="nil"/>
            </w:tcBorders>
            <w:shd w:val="clear" w:color="auto" w:fill="auto"/>
            <w:vAlign w:val="center"/>
            <w:hideMark/>
          </w:tcPr>
          <w:p w14:paraId="3777DEB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46.9</w:t>
            </w:r>
          </w:p>
        </w:tc>
        <w:tc>
          <w:tcPr>
            <w:tcW w:w="1666" w:type="dxa"/>
            <w:gridSpan w:val="2"/>
            <w:tcBorders>
              <w:top w:val="nil"/>
              <w:left w:val="nil"/>
              <w:right w:val="nil"/>
            </w:tcBorders>
            <w:shd w:val="clear" w:color="auto" w:fill="auto"/>
            <w:vAlign w:val="center"/>
            <w:hideMark/>
          </w:tcPr>
          <w:p w14:paraId="0CA7921C"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17.4</w:t>
            </w:r>
          </w:p>
        </w:tc>
        <w:tc>
          <w:tcPr>
            <w:tcW w:w="1510" w:type="dxa"/>
            <w:gridSpan w:val="2"/>
            <w:tcBorders>
              <w:top w:val="nil"/>
              <w:left w:val="nil"/>
              <w:right w:val="nil"/>
            </w:tcBorders>
            <w:shd w:val="clear" w:color="auto" w:fill="auto"/>
            <w:vAlign w:val="center"/>
            <w:hideMark/>
          </w:tcPr>
          <w:p w14:paraId="139CF32C"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2.7</w:t>
            </w:r>
          </w:p>
        </w:tc>
        <w:tc>
          <w:tcPr>
            <w:tcW w:w="2097" w:type="dxa"/>
            <w:gridSpan w:val="2"/>
            <w:tcBorders>
              <w:top w:val="nil"/>
              <w:left w:val="nil"/>
              <w:right w:val="nil"/>
            </w:tcBorders>
            <w:shd w:val="clear" w:color="auto" w:fill="auto"/>
            <w:vAlign w:val="center"/>
            <w:hideMark/>
          </w:tcPr>
          <w:p w14:paraId="07299EE7" w14:textId="792FF007"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1D8D7271" w14:textId="77777777" w:rsidTr="00D820C6">
        <w:trPr>
          <w:gridAfter w:val="1"/>
          <w:wAfter w:w="907" w:type="dxa"/>
          <w:trHeight w:val="560"/>
        </w:trPr>
        <w:tc>
          <w:tcPr>
            <w:tcW w:w="1008" w:type="dxa"/>
            <w:tcBorders>
              <w:top w:val="nil"/>
              <w:left w:val="nil"/>
              <w:right w:val="nil"/>
            </w:tcBorders>
            <w:shd w:val="clear" w:color="auto" w:fill="auto"/>
            <w:vAlign w:val="center"/>
          </w:tcPr>
          <w:p w14:paraId="3C4C535F"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7</w:t>
            </w:r>
          </w:p>
        </w:tc>
        <w:tc>
          <w:tcPr>
            <w:tcW w:w="1562" w:type="dxa"/>
            <w:tcBorders>
              <w:top w:val="nil"/>
              <w:left w:val="nil"/>
              <w:right w:val="nil"/>
            </w:tcBorders>
            <w:shd w:val="clear" w:color="auto" w:fill="auto"/>
            <w:vAlign w:val="center"/>
          </w:tcPr>
          <w:p w14:paraId="57274990"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right w:val="nil"/>
            </w:tcBorders>
            <w:shd w:val="clear" w:color="auto" w:fill="auto"/>
            <w:vAlign w:val="center"/>
          </w:tcPr>
          <w:p w14:paraId="193E024A"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F</w:t>
            </w:r>
          </w:p>
        </w:tc>
        <w:tc>
          <w:tcPr>
            <w:tcW w:w="851" w:type="dxa"/>
            <w:tcBorders>
              <w:top w:val="nil"/>
              <w:left w:val="nil"/>
              <w:right w:val="nil"/>
            </w:tcBorders>
            <w:shd w:val="clear" w:color="auto" w:fill="auto"/>
            <w:vAlign w:val="center"/>
          </w:tcPr>
          <w:p w14:paraId="7AEA96B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67</w:t>
            </w:r>
          </w:p>
        </w:tc>
        <w:tc>
          <w:tcPr>
            <w:tcW w:w="1648" w:type="dxa"/>
            <w:tcBorders>
              <w:top w:val="nil"/>
              <w:left w:val="nil"/>
              <w:right w:val="nil"/>
            </w:tcBorders>
            <w:shd w:val="clear" w:color="auto" w:fill="auto"/>
            <w:vAlign w:val="center"/>
          </w:tcPr>
          <w:p w14:paraId="14A4CF69"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top w:val="nil"/>
              <w:left w:val="nil"/>
              <w:right w:val="nil"/>
            </w:tcBorders>
            <w:shd w:val="clear" w:color="auto" w:fill="auto"/>
            <w:vAlign w:val="center"/>
          </w:tcPr>
          <w:p w14:paraId="11B5BC6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26.7</w:t>
            </w:r>
          </w:p>
        </w:tc>
        <w:tc>
          <w:tcPr>
            <w:tcW w:w="1666" w:type="dxa"/>
            <w:gridSpan w:val="2"/>
            <w:tcBorders>
              <w:top w:val="nil"/>
              <w:left w:val="nil"/>
              <w:right w:val="nil"/>
            </w:tcBorders>
            <w:shd w:val="clear" w:color="auto" w:fill="auto"/>
            <w:vAlign w:val="center"/>
          </w:tcPr>
          <w:p w14:paraId="040952F3"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12.2</w:t>
            </w:r>
          </w:p>
        </w:tc>
        <w:tc>
          <w:tcPr>
            <w:tcW w:w="1510" w:type="dxa"/>
            <w:gridSpan w:val="2"/>
            <w:tcBorders>
              <w:top w:val="nil"/>
              <w:left w:val="nil"/>
              <w:right w:val="nil"/>
            </w:tcBorders>
            <w:shd w:val="clear" w:color="auto" w:fill="auto"/>
            <w:vAlign w:val="center"/>
          </w:tcPr>
          <w:p w14:paraId="74BFE919"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2.2</w:t>
            </w:r>
          </w:p>
        </w:tc>
        <w:tc>
          <w:tcPr>
            <w:tcW w:w="2097" w:type="dxa"/>
            <w:gridSpan w:val="2"/>
            <w:tcBorders>
              <w:top w:val="nil"/>
              <w:left w:val="nil"/>
              <w:right w:val="nil"/>
            </w:tcBorders>
            <w:shd w:val="clear" w:color="auto" w:fill="auto"/>
            <w:vAlign w:val="center"/>
          </w:tcPr>
          <w:p w14:paraId="015E6676" w14:textId="37FD6EA1"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1D04CA61" w14:textId="77777777" w:rsidTr="00D820C6">
        <w:trPr>
          <w:gridAfter w:val="1"/>
          <w:wAfter w:w="907" w:type="dxa"/>
          <w:trHeight w:val="560"/>
        </w:trPr>
        <w:tc>
          <w:tcPr>
            <w:tcW w:w="1008" w:type="dxa"/>
            <w:tcBorders>
              <w:top w:val="nil"/>
              <w:left w:val="nil"/>
              <w:right w:val="nil"/>
            </w:tcBorders>
            <w:shd w:val="clear" w:color="auto" w:fill="auto"/>
            <w:vAlign w:val="center"/>
          </w:tcPr>
          <w:p w14:paraId="566C2E05"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8</w:t>
            </w:r>
          </w:p>
        </w:tc>
        <w:tc>
          <w:tcPr>
            <w:tcW w:w="1562" w:type="dxa"/>
            <w:tcBorders>
              <w:top w:val="nil"/>
              <w:left w:val="nil"/>
              <w:right w:val="nil"/>
            </w:tcBorders>
            <w:shd w:val="clear" w:color="auto" w:fill="auto"/>
            <w:vAlign w:val="center"/>
          </w:tcPr>
          <w:p w14:paraId="0F2E5A69"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top w:val="nil"/>
              <w:left w:val="nil"/>
              <w:right w:val="nil"/>
            </w:tcBorders>
            <w:shd w:val="clear" w:color="auto" w:fill="auto"/>
            <w:vAlign w:val="center"/>
          </w:tcPr>
          <w:p w14:paraId="004F2F30"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M</w:t>
            </w:r>
          </w:p>
        </w:tc>
        <w:tc>
          <w:tcPr>
            <w:tcW w:w="851" w:type="dxa"/>
            <w:tcBorders>
              <w:top w:val="nil"/>
              <w:left w:val="nil"/>
              <w:right w:val="nil"/>
            </w:tcBorders>
            <w:shd w:val="clear" w:color="auto" w:fill="auto"/>
            <w:vAlign w:val="center"/>
          </w:tcPr>
          <w:p w14:paraId="78D1EB0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35</w:t>
            </w:r>
          </w:p>
        </w:tc>
        <w:tc>
          <w:tcPr>
            <w:tcW w:w="1648" w:type="dxa"/>
            <w:tcBorders>
              <w:top w:val="nil"/>
              <w:left w:val="nil"/>
              <w:right w:val="nil"/>
            </w:tcBorders>
            <w:shd w:val="clear" w:color="auto" w:fill="auto"/>
            <w:vAlign w:val="center"/>
          </w:tcPr>
          <w:p w14:paraId="283233ED"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Positive</w:t>
            </w:r>
          </w:p>
        </w:tc>
        <w:tc>
          <w:tcPr>
            <w:tcW w:w="2027" w:type="dxa"/>
            <w:tcBorders>
              <w:top w:val="nil"/>
              <w:left w:val="nil"/>
              <w:right w:val="nil"/>
            </w:tcBorders>
            <w:shd w:val="clear" w:color="auto" w:fill="auto"/>
            <w:vAlign w:val="center"/>
          </w:tcPr>
          <w:p w14:paraId="28FEDECB"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56</w:t>
            </w:r>
          </w:p>
        </w:tc>
        <w:tc>
          <w:tcPr>
            <w:tcW w:w="1666" w:type="dxa"/>
            <w:gridSpan w:val="2"/>
            <w:tcBorders>
              <w:top w:val="nil"/>
              <w:left w:val="nil"/>
              <w:right w:val="nil"/>
            </w:tcBorders>
            <w:shd w:val="clear" w:color="auto" w:fill="auto"/>
            <w:vAlign w:val="center"/>
          </w:tcPr>
          <w:p w14:paraId="54B5E777"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23.8</w:t>
            </w:r>
          </w:p>
        </w:tc>
        <w:tc>
          <w:tcPr>
            <w:tcW w:w="1510" w:type="dxa"/>
            <w:gridSpan w:val="2"/>
            <w:tcBorders>
              <w:top w:val="nil"/>
              <w:left w:val="nil"/>
              <w:right w:val="nil"/>
            </w:tcBorders>
            <w:shd w:val="clear" w:color="auto" w:fill="auto"/>
            <w:vAlign w:val="center"/>
          </w:tcPr>
          <w:p w14:paraId="617D924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2.4</w:t>
            </w:r>
          </w:p>
        </w:tc>
        <w:tc>
          <w:tcPr>
            <w:tcW w:w="2097" w:type="dxa"/>
            <w:gridSpan w:val="2"/>
            <w:tcBorders>
              <w:top w:val="nil"/>
              <w:left w:val="nil"/>
              <w:right w:val="nil"/>
            </w:tcBorders>
            <w:shd w:val="clear" w:color="auto" w:fill="auto"/>
            <w:vAlign w:val="center"/>
          </w:tcPr>
          <w:p w14:paraId="296183AA" w14:textId="14B39AC2"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r w:rsidR="004865E7" w:rsidRPr="004865E7" w14:paraId="3FF21DE5" w14:textId="77777777" w:rsidTr="00D820C6">
        <w:trPr>
          <w:gridAfter w:val="1"/>
          <w:wAfter w:w="907" w:type="dxa"/>
          <w:trHeight w:val="560"/>
        </w:trPr>
        <w:tc>
          <w:tcPr>
            <w:tcW w:w="1008" w:type="dxa"/>
            <w:tcBorders>
              <w:left w:val="nil"/>
              <w:bottom w:val="single" w:sz="8" w:space="0" w:color="auto"/>
              <w:right w:val="nil"/>
            </w:tcBorders>
            <w:shd w:val="clear" w:color="auto" w:fill="auto"/>
            <w:vAlign w:val="center"/>
            <w:hideMark/>
          </w:tcPr>
          <w:p w14:paraId="5BD4B8DD" w14:textId="77777777" w:rsidR="002C16E4" w:rsidRPr="004865E7" w:rsidRDefault="002C16E4" w:rsidP="00FA3CB2">
            <w:pPr>
              <w:widowControl/>
              <w:adjustRightInd w:val="0"/>
              <w:snapToGrid w:val="0"/>
              <w:spacing w:line="360" w:lineRule="auto"/>
              <w:rPr>
                <w:rFonts w:ascii="Book Antiqua" w:eastAsia="MS PGothic" w:hAnsi="Book Antiqua" w:cs="Times New Roman"/>
                <w:kern w:val="0"/>
              </w:rPr>
            </w:pPr>
            <w:r w:rsidRPr="004865E7">
              <w:rPr>
                <w:rFonts w:ascii="Book Antiqua" w:eastAsia="MS PGothic" w:hAnsi="Book Antiqua" w:cs="Times New Roman"/>
                <w:kern w:val="0"/>
              </w:rPr>
              <w:t>9</w:t>
            </w:r>
          </w:p>
        </w:tc>
        <w:tc>
          <w:tcPr>
            <w:tcW w:w="1562" w:type="dxa"/>
            <w:tcBorders>
              <w:left w:val="nil"/>
              <w:bottom w:val="single" w:sz="8" w:space="0" w:color="auto"/>
              <w:right w:val="nil"/>
            </w:tcBorders>
            <w:shd w:val="clear" w:color="auto" w:fill="auto"/>
            <w:vAlign w:val="center"/>
            <w:hideMark/>
          </w:tcPr>
          <w:p w14:paraId="0AC4D705" w14:textId="77777777" w:rsidR="002C16E4" w:rsidRPr="004865E7" w:rsidRDefault="002C16E4" w:rsidP="00314767">
            <w:pPr>
              <w:widowControl/>
              <w:adjustRightInd w:val="0"/>
              <w:snapToGrid w:val="0"/>
              <w:spacing w:line="360" w:lineRule="auto"/>
              <w:ind w:firstLineChars="103" w:firstLine="247"/>
              <w:jc w:val="center"/>
              <w:rPr>
                <w:rFonts w:ascii="Book Antiqua" w:eastAsia="MS PGothic" w:hAnsi="Book Antiqua" w:cs="Times New Roman"/>
                <w:kern w:val="0"/>
              </w:rPr>
            </w:pPr>
            <w:r w:rsidRPr="004865E7">
              <w:rPr>
                <w:rFonts w:ascii="Book Antiqua" w:eastAsia="MS PGothic" w:hAnsi="Book Antiqua" w:cs="Times New Roman"/>
                <w:kern w:val="0"/>
              </w:rPr>
              <w:t>Japan</w:t>
            </w:r>
          </w:p>
        </w:tc>
        <w:tc>
          <w:tcPr>
            <w:tcW w:w="989" w:type="dxa"/>
            <w:tcBorders>
              <w:left w:val="nil"/>
              <w:bottom w:val="single" w:sz="8" w:space="0" w:color="auto"/>
              <w:right w:val="nil"/>
            </w:tcBorders>
            <w:shd w:val="clear" w:color="auto" w:fill="auto"/>
            <w:vAlign w:val="center"/>
            <w:hideMark/>
          </w:tcPr>
          <w:p w14:paraId="3C79A16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M</w:t>
            </w:r>
          </w:p>
        </w:tc>
        <w:tc>
          <w:tcPr>
            <w:tcW w:w="851" w:type="dxa"/>
            <w:tcBorders>
              <w:left w:val="nil"/>
              <w:bottom w:val="single" w:sz="8" w:space="0" w:color="auto"/>
              <w:right w:val="nil"/>
            </w:tcBorders>
            <w:shd w:val="clear" w:color="auto" w:fill="auto"/>
            <w:vAlign w:val="center"/>
            <w:hideMark/>
          </w:tcPr>
          <w:p w14:paraId="2131A3F1"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65</w:t>
            </w:r>
          </w:p>
        </w:tc>
        <w:tc>
          <w:tcPr>
            <w:tcW w:w="1648" w:type="dxa"/>
            <w:tcBorders>
              <w:left w:val="nil"/>
              <w:bottom w:val="single" w:sz="8" w:space="0" w:color="auto"/>
              <w:right w:val="nil"/>
            </w:tcBorders>
            <w:shd w:val="clear" w:color="auto" w:fill="auto"/>
            <w:vAlign w:val="center"/>
            <w:hideMark/>
          </w:tcPr>
          <w:p w14:paraId="086B1EE2"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Negative</w:t>
            </w:r>
          </w:p>
        </w:tc>
        <w:tc>
          <w:tcPr>
            <w:tcW w:w="2027" w:type="dxa"/>
            <w:tcBorders>
              <w:left w:val="nil"/>
              <w:bottom w:val="single" w:sz="8" w:space="0" w:color="auto"/>
              <w:right w:val="nil"/>
            </w:tcBorders>
            <w:shd w:val="clear" w:color="auto" w:fill="auto"/>
            <w:vAlign w:val="center"/>
            <w:hideMark/>
          </w:tcPr>
          <w:p w14:paraId="108C7EC6"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82.4</w:t>
            </w:r>
          </w:p>
        </w:tc>
        <w:tc>
          <w:tcPr>
            <w:tcW w:w="1666" w:type="dxa"/>
            <w:gridSpan w:val="2"/>
            <w:tcBorders>
              <w:left w:val="nil"/>
              <w:bottom w:val="single" w:sz="8" w:space="0" w:color="auto"/>
              <w:right w:val="nil"/>
            </w:tcBorders>
            <w:shd w:val="clear" w:color="auto" w:fill="auto"/>
            <w:vAlign w:val="center"/>
            <w:hideMark/>
          </w:tcPr>
          <w:p w14:paraId="78E82E05"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19.6</w:t>
            </w:r>
          </w:p>
        </w:tc>
        <w:tc>
          <w:tcPr>
            <w:tcW w:w="1510" w:type="dxa"/>
            <w:gridSpan w:val="2"/>
            <w:tcBorders>
              <w:left w:val="nil"/>
              <w:bottom w:val="single" w:sz="8" w:space="0" w:color="auto"/>
              <w:right w:val="nil"/>
            </w:tcBorders>
            <w:shd w:val="clear" w:color="auto" w:fill="auto"/>
            <w:vAlign w:val="center"/>
            <w:hideMark/>
          </w:tcPr>
          <w:p w14:paraId="7E3A6994" w14:textId="77777777" w:rsidR="002C16E4" w:rsidRPr="004865E7" w:rsidRDefault="002C16E4"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4.2</w:t>
            </w:r>
          </w:p>
        </w:tc>
        <w:tc>
          <w:tcPr>
            <w:tcW w:w="2097" w:type="dxa"/>
            <w:gridSpan w:val="2"/>
            <w:tcBorders>
              <w:left w:val="nil"/>
              <w:bottom w:val="single" w:sz="8" w:space="0" w:color="auto"/>
              <w:right w:val="nil"/>
            </w:tcBorders>
            <w:shd w:val="clear" w:color="auto" w:fill="auto"/>
            <w:vAlign w:val="center"/>
            <w:hideMark/>
          </w:tcPr>
          <w:p w14:paraId="21F14509" w14:textId="4DFE9AE1" w:rsidR="002C16E4" w:rsidRPr="004865E7" w:rsidRDefault="00314767" w:rsidP="00314767">
            <w:pPr>
              <w:widowControl/>
              <w:adjustRightInd w:val="0"/>
              <w:snapToGrid w:val="0"/>
              <w:spacing w:line="360" w:lineRule="auto"/>
              <w:jc w:val="center"/>
              <w:rPr>
                <w:rFonts w:ascii="Book Antiqua" w:eastAsia="MS PGothic" w:hAnsi="Book Antiqua" w:cs="Times New Roman"/>
                <w:kern w:val="0"/>
              </w:rPr>
            </w:pPr>
            <w:r w:rsidRPr="004865E7">
              <w:rPr>
                <w:rFonts w:ascii="Book Antiqua" w:eastAsia="MS PGothic" w:hAnsi="Book Antiqua" w:cs="Times New Roman"/>
                <w:kern w:val="0"/>
              </w:rPr>
              <w:t xml:space="preserve">Antral </w:t>
            </w:r>
            <w:r w:rsidR="002C16E4" w:rsidRPr="004865E7">
              <w:rPr>
                <w:rFonts w:ascii="Book Antiqua" w:eastAsia="MS PGothic" w:hAnsi="Book Antiqua" w:cs="Times New Roman"/>
                <w:kern w:val="0"/>
              </w:rPr>
              <w:t>predominant</w:t>
            </w:r>
          </w:p>
        </w:tc>
      </w:tr>
    </w:tbl>
    <w:p w14:paraId="4671B9CD" w14:textId="77777777" w:rsidR="002C16E4" w:rsidRPr="004865E7" w:rsidRDefault="002C16E4" w:rsidP="00FA3CB2">
      <w:pPr>
        <w:widowControl/>
        <w:autoSpaceDE w:val="0"/>
        <w:autoSpaceDN w:val="0"/>
        <w:adjustRightInd w:val="0"/>
        <w:snapToGrid w:val="0"/>
        <w:spacing w:line="360" w:lineRule="auto"/>
        <w:rPr>
          <w:rFonts w:ascii="Book Antiqua" w:eastAsia="SimSun" w:hAnsi="Book Antiqua" w:cs="Times"/>
          <w:kern w:val="0"/>
          <w:lang w:eastAsia="zh-CN"/>
        </w:rPr>
      </w:pPr>
      <w:r w:rsidRPr="004865E7">
        <w:rPr>
          <w:rFonts w:ascii="Book Antiqua" w:hAnsi="Book Antiqua" w:cs="Times"/>
          <w:kern w:val="0"/>
        </w:rPr>
        <w:lastRenderedPageBreak/>
        <w:t xml:space="preserve"> </w:t>
      </w:r>
    </w:p>
    <w:p w14:paraId="13F1BE9F"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4F0B8616" w14:textId="77777777" w:rsidR="00154C3D" w:rsidRPr="004865E7" w:rsidRDefault="00154C3D" w:rsidP="00FA3CB2">
      <w:pPr>
        <w:widowControl/>
        <w:autoSpaceDE w:val="0"/>
        <w:autoSpaceDN w:val="0"/>
        <w:adjustRightInd w:val="0"/>
        <w:snapToGrid w:val="0"/>
        <w:spacing w:line="360" w:lineRule="auto"/>
        <w:rPr>
          <w:rFonts w:ascii="Book Antiqua" w:hAnsi="Book Antiqua" w:cs="Times"/>
          <w:kern w:val="0"/>
        </w:rPr>
      </w:pPr>
    </w:p>
    <w:p w14:paraId="0823EC1D" w14:textId="77777777" w:rsidR="00154C3D" w:rsidRPr="004865E7" w:rsidRDefault="00154C3D" w:rsidP="00FA3CB2">
      <w:pPr>
        <w:widowControl/>
        <w:autoSpaceDE w:val="0"/>
        <w:autoSpaceDN w:val="0"/>
        <w:adjustRightInd w:val="0"/>
        <w:snapToGrid w:val="0"/>
        <w:spacing w:line="360" w:lineRule="auto"/>
        <w:rPr>
          <w:rFonts w:ascii="Book Antiqua" w:hAnsi="Book Antiqua" w:cs="Times"/>
          <w:kern w:val="0"/>
        </w:rPr>
      </w:pPr>
    </w:p>
    <w:p w14:paraId="3C2AA8BD"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4B981F5E" w14:textId="77777777" w:rsidR="002C16E4" w:rsidRPr="004865E7" w:rsidRDefault="002C16E4" w:rsidP="00FA3CB2">
      <w:pPr>
        <w:widowControl/>
        <w:autoSpaceDE w:val="0"/>
        <w:autoSpaceDN w:val="0"/>
        <w:adjustRightInd w:val="0"/>
        <w:snapToGrid w:val="0"/>
        <w:spacing w:line="360" w:lineRule="auto"/>
        <w:rPr>
          <w:rFonts w:ascii="Book Antiqua" w:hAnsi="Book Antiqua" w:cs="Times"/>
          <w:kern w:val="0"/>
        </w:rPr>
      </w:pPr>
    </w:p>
    <w:p w14:paraId="16B05F7F" w14:textId="77777777" w:rsidR="00314767" w:rsidRPr="004865E7" w:rsidRDefault="00314767" w:rsidP="00FA3CB2">
      <w:pPr>
        <w:adjustRightInd w:val="0"/>
        <w:snapToGrid w:val="0"/>
        <w:spacing w:line="360" w:lineRule="auto"/>
        <w:rPr>
          <w:rFonts w:ascii="Book Antiqua" w:eastAsia="SimSun" w:hAnsi="Book Antiqua"/>
          <w:lang w:eastAsia="zh-CN"/>
        </w:rPr>
      </w:pPr>
    </w:p>
    <w:sectPr w:rsidR="00314767" w:rsidRPr="004865E7" w:rsidSect="00154C3D">
      <w:pgSz w:w="16840" w:h="11900" w:orient="landscape"/>
      <w:pgMar w:top="993" w:right="1134" w:bottom="993" w:left="1985" w:header="720" w:footer="720" w:gutter="0"/>
      <w:cols w:space="720"/>
      <w:noEndnote/>
      <w:docGrid w:linePitch="326" w:charSpace="475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2F1AF" w14:textId="77777777" w:rsidR="00A74F3B" w:rsidRDefault="00A74F3B" w:rsidP="00230AD3">
      <w:r>
        <w:separator/>
      </w:r>
    </w:p>
  </w:endnote>
  <w:endnote w:type="continuationSeparator" w:id="0">
    <w:p w14:paraId="7C7072A4" w14:textId="77777777" w:rsidR="00A74F3B" w:rsidRDefault="00A74F3B" w:rsidP="0023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ヒラギノ角ゴ ProN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AdvPA0C4">
    <w:altName w:val="Arial"/>
    <w:panose1 w:val="00000000000000000000"/>
    <w:charset w:val="4D"/>
    <w:family w:val="swiss"/>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radeGothic">
    <w:altName w:val="Arial"/>
    <w:panose1 w:val="00000000000000000000"/>
    <w:charset w:val="4D"/>
    <w:family w:val="swiss"/>
    <w:notTrueType/>
    <w:pitch w:val="default"/>
    <w:sig w:usb0="00000003" w:usb1="00000000" w:usb2="00000000" w:usb3="00000000" w:csb0="00000001" w:csb1="00000000"/>
  </w:font>
  <w:font w:name="Lucida Grande">
    <w:charset w:val="00"/>
    <w:family w:val="auto"/>
    <w:pitch w:val="variable"/>
    <w:sig w:usb0="A1002AE7" w:usb1="C0000063" w:usb2="00000038"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BFFFA" w14:textId="77777777" w:rsidR="00A74F3B" w:rsidRDefault="00A74F3B" w:rsidP="00230AD3">
      <w:r>
        <w:separator/>
      </w:r>
    </w:p>
  </w:footnote>
  <w:footnote w:type="continuationSeparator" w:id="0">
    <w:p w14:paraId="42D53A59" w14:textId="77777777" w:rsidR="00A74F3B" w:rsidRDefault="00A74F3B" w:rsidP="00230A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F2844C0"/>
    <w:lvl w:ilvl="0">
      <w:start w:val="1"/>
      <w:numFmt w:val="decimal"/>
      <w:lvlText w:val="%1."/>
      <w:lvlJc w:val="left"/>
      <w:pPr>
        <w:tabs>
          <w:tab w:val="num" w:pos="360"/>
        </w:tabs>
        <w:ind w:left="360" w:hanging="36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E500BC6"/>
    <w:multiLevelType w:val="hybridMultilevel"/>
    <w:tmpl w:val="C7B26E1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2F713174"/>
    <w:multiLevelType w:val="hybridMultilevel"/>
    <w:tmpl w:val="20A2312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38486512"/>
    <w:multiLevelType w:val="hybridMultilevel"/>
    <w:tmpl w:val="50B8FB9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408A2AC0"/>
    <w:multiLevelType w:val="hybridMultilevel"/>
    <w:tmpl w:val="AA2249E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41286507"/>
    <w:multiLevelType w:val="hybridMultilevel"/>
    <w:tmpl w:val="A696451C"/>
    <w:lvl w:ilvl="0" w:tplc="F7BA615E">
      <w:start w:val="71"/>
      <w:numFmt w:val="bullet"/>
      <w:lvlText w:val=""/>
      <w:lvlJc w:val="left"/>
      <w:pPr>
        <w:ind w:left="690" w:hanging="360"/>
      </w:pPr>
      <w:rPr>
        <w:rFonts w:ascii="Wingdings" w:eastAsia="MS PGothic" w:hAnsi="Wingdings"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E4"/>
    <w:rsid w:val="00014588"/>
    <w:rsid w:val="000511D7"/>
    <w:rsid w:val="000916F0"/>
    <w:rsid w:val="000A0947"/>
    <w:rsid w:val="000C23CF"/>
    <w:rsid w:val="000D7F2A"/>
    <w:rsid w:val="001111EA"/>
    <w:rsid w:val="00131B74"/>
    <w:rsid w:val="00154C3D"/>
    <w:rsid w:val="00165058"/>
    <w:rsid w:val="00165578"/>
    <w:rsid w:val="001A7CF7"/>
    <w:rsid w:val="00230AD3"/>
    <w:rsid w:val="00246C01"/>
    <w:rsid w:val="002B39D2"/>
    <w:rsid w:val="002C16E4"/>
    <w:rsid w:val="0030714F"/>
    <w:rsid w:val="00314767"/>
    <w:rsid w:val="00360971"/>
    <w:rsid w:val="00461EFE"/>
    <w:rsid w:val="004865E7"/>
    <w:rsid w:val="004977AC"/>
    <w:rsid w:val="004A7750"/>
    <w:rsid w:val="004B6020"/>
    <w:rsid w:val="004D7993"/>
    <w:rsid w:val="005077D4"/>
    <w:rsid w:val="0059707D"/>
    <w:rsid w:val="0060461E"/>
    <w:rsid w:val="006729BE"/>
    <w:rsid w:val="006B7736"/>
    <w:rsid w:val="006D6192"/>
    <w:rsid w:val="0071512B"/>
    <w:rsid w:val="00716851"/>
    <w:rsid w:val="00752EDF"/>
    <w:rsid w:val="007927E6"/>
    <w:rsid w:val="007F72F3"/>
    <w:rsid w:val="00816D3F"/>
    <w:rsid w:val="008472C2"/>
    <w:rsid w:val="00867778"/>
    <w:rsid w:val="008E025E"/>
    <w:rsid w:val="008F2FD7"/>
    <w:rsid w:val="00946DD9"/>
    <w:rsid w:val="009A2A0D"/>
    <w:rsid w:val="009C0D5E"/>
    <w:rsid w:val="00A40748"/>
    <w:rsid w:val="00A74642"/>
    <w:rsid w:val="00A74F3B"/>
    <w:rsid w:val="00A95F89"/>
    <w:rsid w:val="00AE64F0"/>
    <w:rsid w:val="00B05BC4"/>
    <w:rsid w:val="00B05E9D"/>
    <w:rsid w:val="00B06BB0"/>
    <w:rsid w:val="00B104AB"/>
    <w:rsid w:val="00B80884"/>
    <w:rsid w:val="00BB503B"/>
    <w:rsid w:val="00BC32FA"/>
    <w:rsid w:val="00C125D9"/>
    <w:rsid w:val="00CC4952"/>
    <w:rsid w:val="00CD0E5C"/>
    <w:rsid w:val="00CF6DA1"/>
    <w:rsid w:val="00D40773"/>
    <w:rsid w:val="00D70D1B"/>
    <w:rsid w:val="00D72AA3"/>
    <w:rsid w:val="00D820C6"/>
    <w:rsid w:val="00D82A2A"/>
    <w:rsid w:val="00DE6C60"/>
    <w:rsid w:val="00E26503"/>
    <w:rsid w:val="00E60AF6"/>
    <w:rsid w:val="00ED34B9"/>
    <w:rsid w:val="00F07E5A"/>
    <w:rsid w:val="00F25F86"/>
    <w:rsid w:val="00F40655"/>
    <w:rsid w:val="00F60554"/>
    <w:rsid w:val="00F743FC"/>
    <w:rsid w:val="00FA3CB2"/>
    <w:rsid w:val="00FB5F7F"/>
    <w:rsid w:val="00FC1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B7F98"/>
  <w14:defaultImageDpi w14:val="300"/>
  <w15:docId w15:val="{61030FFD-FDEE-4A4A-AE05-99F1418B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6E4"/>
    <w:pPr>
      <w:widowControl w:val="0"/>
      <w:jc w:val="both"/>
    </w:pPr>
  </w:style>
  <w:style w:type="paragraph" w:styleId="Heading1">
    <w:name w:val="heading 1"/>
    <w:basedOn w:val="Normal"/>
    <w:next w:val="Normal"/>
    <w:link w:val="Heading1Char"/>
    <w:qFormat/>
    <w:rsid w:val="002C16E4"/>
    <w:pPr>
      <w:widowControl/>
      <w:autoSpaceDE w:val="0"/>
      <w:autoSpaceDN w:val="0"/>
      <w:adjustRightInd w:val="0"/>
      <w:spacing w:after="240" w:line="360" w:lineRule="auto"/>
      <w:jc w:val="left"/>
      <w:outlineLvl w:val="0"/>
    </w:pPr>
    <w:rPr>
      <w:rFonts w:ascii="Times" w:hAnsi="Times" w:cs="Times"/>
      <w:b/>
      <w:caps/>
      <w:kern w:val="0"/>
      <w:szCs w:val="22"/>
    </w:rPr>
  </w:style>
  <w:style w:type="paragraph" w:styleId="Heading2">
    <w:name w:val="heading 2"/>
    <w:basedOn w:val="Normal"/>
    <w:next w:val="Normal"/>
    <w:link w:val="Heading2Char"/>
    <w:qFormat/>
    <w:rsid w:val="002C16E4"/>
    <w:pPr>
      <w:widowControl/>
      <w:autoSpaceDE w:val="0"/>
      <w:autoSpaceDN w:val="0"/>
      <w:adjustRightInd w:val="0"/>
      <w:spacing w:after="240" w:line="360" w:lineRule="auto"/>
      <w:jc w:val="left"/>
      <w:outlineLvl w:val="1"/>
    </w:pPr>
    <w:rPr>
      <w:rFonts w:ascii="Times" w:hAnsi="Times" w:cs="Times"/>
      <w:b/>
      <w:kern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16E4"/>
    <w:rPr>
      <w:rFonts w:ascii="Times" w:hAnsi="Times" w:cs="Times"/>
      <w:b/>
      <w:caps/>
      <w:kern w:val="0"/>
      <w:szCs w:val="22"/>
    </w:rPr>
  </w:style>
  <w:style w:type="character" w:customStyle="1" w:styleId="Heading2Char">
    <w:name w:val="Heading 2 Char"/>
    <w:basedOn w:val="DefaultParagraphFont"/>
    <w:link w:val="Heading2"/>
    <w:rsid w:val="002C16E4"/>
    <w:rPr>
      <w:rFonts w:ascii="Times" w:hAnsi="Times" w:cs="Times"/>
      <w:b/>
      <w:kern w:val="0"/>
      <w:szCs w:val="22"/>
    </w:rPr>
  </w:style>
  <w:style w:type="paragraph" w:styleId="BalloonText">
    <w:name w:val="Balloon Text"/>
    <w:basedOn w:val="Normal"/>
    <w:link w:val="BalloonTextChar"/>
    <w:uiPriority w:val="99"/>
    <w:semiHidden/>
    <w:unhideWhenUsed/>
    <w:rsid w:val="002C16E4"/>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2C16E4"/>
    <w:rPr>
      <w:rFonts w:ascii="ヒラギノ角ゴ ProN W3" w:eastAsia="ヒラギノ角ゴ ProN W3"/>
      <w:sz w:val="18"/>
      <w:szCs w:val="18"/>
    </w:rPr>
  </w:style>
  <w:style w:type="character" w:styleId="Hyperlink">
    <w:name w:val="Hyperlink"/>
    <w:basedOn w:val="DefaultParagraphFont"/>
    <w:uiPriority w:val="99"/>
    <w:unhideWhenUsed/>
    <w:rsid w:val="002C16E4"/>
    <w:rPr>
      <w:color w:val="0000FF" w:themeColor="hyperlink"/>
      <w:u w:val="single"/>
    </w:rPr>
  </w:style>
  <w:style w:type="paragraph" w:styleId="Revision">
    <w:name w:val="Revision"/>
    <w:hidden/>
    <w:rsid w:val="002C16E4"/>
  </w:style>
  <w:style w:type="character" w:styleId="CommentReference">
    <w:name w:val="annotation reference"/>
    <w:basedOn w:val="DefaultParagraphFont"/>
    <w:semiHidden/>
    <w:unhideWhenUsed/>
    <w:rsid w:val="002C16E4"/>
    <w:rPr>
      <w:sz w:val="16"/>
      <w:szCs w:val="16"/>
    </w:rPr>
  </w:style>
  <w:style w:type="paragraph" w:styleId="CommentText">
    <w:name w:val="annotation text"/>
    <w:basedOn w:val="Normal"/>
    <w:link w:val="CommentTextChar"/>
    <w:uiPriority w:val="99"/>
    <w:unhideWhenUsed/>
    <w:rsid w:val="002C16E4"/>
    <w:rPr>
      <w:sz w:val="20"/>
      <w:szCs w:val="20"/>
    </w:rPr>
  </w:style>
  <w:style w:type="character" w:customStyle="1" w:styleId="CommentTextChar">
    <w:name w:val="Comment Text Char"/>
    <w:basedOn w:val="DefaultParagraphFont"/>
    <w:link w:val="CommentText"/>
    <w:semiHidden/>
    <w:rsid w:val="002C16E4"/>
    <w:rPr>
      <w:sz w:val="20"/>
      <w:szCs w:val="20"/>
    </w:rPr>
  </w:style>
  <w:style w:type="paragraph" w:styleId="CommentSubject">
    <w:name w:val="annotation subject"/>
    <w:basedOn w:val="CommentText"/>
    <w:next w:val="CommentText"/>
    <w:link w:val="CommentSubjectChar"/>
    <w:semiHidden/>
    <w:unhideWhenUsed/>
    <w:rsid w:val="002C16E4"/>
    <w:rPr>
      <w:b/>
      <w:bCs/>
    </w:rPr>
  </w:style>
  <w:style w:type="character" w:customStyle="1" w:styleId="CommentSubjectChar">
    <w:name w:val="Comment Subject Char"/>
    <w:basedOn w:val="CommentTextChar"/>
    <w:link w:val="CommentSubject"/>
    <w:semiHidden/>
    <w:rsid w:val="002C16E4"/>
    <w:rPr>
      <w:b/>
      <w:bCs/>
      <w:sz w:val="20"/>
      <w:szCs w:val="20"/>
    </w:rPr>
  </w:style>
  <w:style w:type="character" w:styleId="Strong">
    <w:name w:val="Strong"/>
    <w:basedOn w:val="DefaultParagraphFont"/>
    <w:uiPriority w:val="22"/>
    <w:qFormat/>
    <w:rsid w:val="002C16E4"/>
    <w:rPr>
      <w:b/>
      <w:bCs/>
    </w:rPr>
  </w:style>
  <w:style w:type="paragraph" w:styleId="ListParagraph">
    <w:name w:val="List Paragraph"/>
    <w:basedOn w:val="Normal"/>
    <w:rsid w:val="002C16E4"/>
    <w:pPr>
      <w:ind w:left="720"/>
      <w:contextualSpacing/>
    </w:pPr>
  </w:style>
  <w:style w:type="paragraph" w:styleId="Title">
    <w:name w:val="Title"/>
    <w:basedOn w:val="Normal"/>
    <w:next w:val="Normal"/>
    <w:link w:val="TitleChar"/>
    <w:qFormat/>
    <w:rsid w:val="002C16E4"/>
    <w:pPr>
      <w:widowControl/>
      <w:autoSpaceDE w:val="0"/>
      <w:autoSpaceDN w:val="0"/>
      <w:adjustRightInd w:val="0"/>
      <w:spacing w:after="240" w:line="360" w:lineRule="auto"/>
      <w:jc w:val="center"/>
    </w:pPr>
    <w:rPr>
      <w:rFonts w:ascii="Times" w:hAnsi="Times" w:cs="Times"/>
      <w:b/>
      <w:kern w:val="0"/>
      <w:sz w:val="28"/>
      <w:szCs w:val="28"/>
    </w:rPr>
  </w:style>
  <w:style w:type="character" w:customStyle="1" w:styleId="TitleChar">
    <w:name w:val="Title Char"/>
    <w:basedOn w:val="DefaultParagraphFont"/>
    <w:link w:val="Title"/>
    <w:rsid w:val="002C16E4"/>
    <w:rPr>
      <w:rFonts w:ascii="Times" w:hAnsi="Times" w:cs="Times"/>
      <w:b/>
      <w:kern w:val="0"/>
      <w:sz w:val="28"/>
      <w:szCs w:val="28"/>
    </w:rPr>
  </w:style>
  <w:style w:type="paragraph" w:styleId="DocumentMap">
    <w:name w:val="Document Map"/>
    <w:basedOn w:val="Normal"/>
    <w:link w:val="DocumentMapChar"/>
    <w:semiHidden/>
    <w:unhideWhenUsed/>
    <w:rsid w:val="002C16E4"/>
    <w:rPr>
      <w:rFonts w:ascii="ヒラギノ角ゴ ProN W3" w:eastAsia="ヒラギノ角ゴ ProN W3"/>
    </w:rPr>
  </w:style>
  <w:style w:type="character" w:customStyle="1" w:styleId="DocumentMapChar">
    <w:name w:val="Document Map Char"/>
    <w:basedOn w:val="DefaultParagraphFont"/>
    <w:link w:val="DocumentMap"/>
    <w:semiHidden/>
    <w:rsid w:val="002C16E4"/>
    <w:rPr>
      <w:rFonts w:ascii="ヒラギノ角ゴ ProN W3" w:eastAsia="ヒラギノ角ゴ ProN W3"/>
    </w:rPr>
  </w:style>
  <w:style w:type="paragraph" w:styleId="NormalWeb">
    <w:name w:val="Normal (Web)"/>
    <w:basedOn w:val="Normal"/>
    <w:uiPriority w:val="99"/>
    <w:semiHidden/>
    <w:unhideWhenUsed/>
    <w:rsid w:val="00A95F89"/>
    <w:rPr>
      <w:rFonts w:ascii="Times New Roman" w:hAnsi="Times New Roman" w:cs="Times New Roman"/>
    </w:rPr>
  </w:style>
  <w:style w:type="character" w:customStyle="1" w:styleId="Char1">
    <w:name w:val="批注文字 Char1"/>
    <w:uiPriority w:val="99"/>
    <w:locked/>
    <w:rsid w:val="00E60AF6"/>
    <w:rPr>
      <w:rFonts w:ascii="Times New Roman" w:eastAsia="SimSun" w:hAnsi="Times New Roman" w:cs="Times New Roman"/>
      <w:sz w:val="21"/>
      <w:lang w:eastAsia="zh-CN"/>
    </w:rPr>
  </w:style>
  <w:style w:type="character" w:customStyle="1" w:styleId="trans">
    <w:name w:val="trans"/>
    <w:basedOn w:val="DefaultParagraphFont"/>
    <w:rsid w:val="00E60AF6"/>
  </w:style>
  <w:style w:type="character" w:customStyle="1" w:styleId="webdict">
    <w:name w:val="webdict"/>
    <w:basedOn w:val="DefaultParagraphFont"/>
    <w:rsid w:val="00E60AF6"/>
  </w:style>
  <w:style w:type="character" w:styleId="FollowedHyperlink">
    <w:name w:val="FollowedHyperlink"/>
    <w:basedOn w:val="DefaultParagraphFont"/>
    <w:uiPriority w:val="99"/>
    <w:semiHidden/>
    <w:unhideWhenUsed/>
    <w:rsid w:val="000C23CF"/>
    <w:rPr>
      <w:color w:val="800080" w:themeColor="followedHyperlink"/>
      <w:u w:val="single"/>
    </w:rPr>
  </w:style>
  <w:style w:type="paragraph" w:styleId="Header">
    <w:name w:val="header"/>
    <w:basedOn w:val="Normal"/>
    <w:link w:val="HeaderChar"/>
    <w:uiPriority w:val="99"/>
    <w:unhideWhenUsed/>
    <w:rsid w:val="00230AD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30AD3"/>
    <w:rPr>
      <w:sz w:val="18"/>
      <w:szCs w:val="18"/>
    </w:rPr>
  </w:style>
  <w:style w:type="paragraph" w:styleId="Footer">
    <w:name w:val="footer"/>
    <w:basedOn w:val="Normal"/>
    <w:link w:val="FooterChar"/>
    <w:uiPriority w:val="99"/>
    <w:unhideWhenUsed/>
    <w:rsid w:val="00230AD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30A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959709">
      <w:bodyDiv w:val="1"/>
      <w:marLeft w:val="0"/>
      <w:marRight w:val="0"/>
      <w:marTop w:val="0"/>
      <w:marBottom w:val="0"/>
      <w:divBdr>
        <w:top w:val="none" w:sz="0" w:space="0" w:color="auto"/>
        <w:left w:val="none" w:sz="0" w:space="0" w:color="auto"/>
        <w:bottom w:val="none" w:sz="0" w:space="0" w:color="auto"/>
        <w:right w:val="none" w:sz="0" w:space="0" w:color="auto"/>
      </w:divBdr>
    </w:div>
    <w:div w:id="712340681">
      <w:bodyDiv w:val="1"/>
      <w:marLeft w:val="0"/>
      <w:marRight w:val="0"/>
      <w:marTop w:val="0"/>
      <w:marBottom w:val="0"/>
      <w:divBdr>
        <w:top w:val="none" w:sz="0" w:space="0" w:color="auto"/>
        <w:left w:val="none" w:sz="0" w:space="0" w:color="auto"/>
        <w:bottom w:val="none" w:sz="0" w:space="0" w:color="auto"/>
        <w:right w:val="none" w:sz="0" w:space="0" w:color="auto"/>
      </w:divBdr>
    </w:div>
    <w:div w:id="906498140">
      <w:bodyDiv w:val="1"/>
      <w:marLeft w:val="0"/>
      <w:marRight w:val="0"/>
      <w:marTop w:val="0"/>
      <w:marBottom w:val="0"/>
      <w:divBdr>
        <w:top w:val="none" w:sz="0" w:space="0" w:color="auto"/>
        <w:left w:val="none" w:sz="0" w:space="0" w:color="auto"/>
        <w:bottom w:val="none" w:sz="0" w:space="0" w:color="auto"/>
        <w:right w:val="none" w:sz="0" w:space="0" w:color="auto"/>
      </w:divBdr>
    </w:div>
    <w:div w:id="1132793645">
      <w:bodyDiv w:val="1"/>
      <w:marLeft w:val="0"/>
      <w:marRight w:val="0"/>
      <w:marTop w:val="0"/>
      <w:marBottom w:val="0"/>
      <w:divBdr>
        <w:top w:val="none" w:sz="0" w:space="0" w:color="auto"/>
        <w:left w:val="none" w:sz="0" w:space="0" w:color="auto"/>
        <w:bottom w:val="none" w:sz="0" w:space="0" w:color="auto"/>
        <w:right w:val="none" w:sz="0" w:space="0" w:color="auto"/>
      </w:divBdr>
    </w:div>
    <w:div w:id="1436945074">
      <w:bodyDiv w:val="1"/>
      <w:marLeft w:val="0"/>
      <w:marRight w:val="0"/>
      <w:marTop w:val="0"/>
      <w:marBottom w:val="0"/>
      <w:divBdr>
        <w:top w:val="none" w:sz="0" w:space="0" w:color="auto"/>
        <w:left w:val="none" w:sz="0" w:space="0" w:color="auto"/>
        <w:bottom w:val="none" w:sz="0" w:space="0" w:color="auto"/>
        <w:right w:val="none" w:sz="0" w:space="0" w:color="auto"/>
      </w:divBdr>
      <w:divsChild>
        <w:div w:id="1200782002">
          <w:marLeft w:val="0"/>
          <w:marRight w:val="0"/>
          <w:marTop w:val="0"/>
          <w:marBottom w:val="0"/>
          <w:divBdr>
            <w:top w:val="none" w:sz="0" w:space="0" w:color="auto"/>
            <w:left w:val="none" w:sz="0" w:space="0" w:color="auto"/>
            <w:bottom w:val="none" w:sz="0" w:space="0" w:color="auto"/>
            <w:right w:val="none" w:sz="0" w:space="0" w:color="auto"/>
          </w:divBdr>
          <w:divsChild>
            <w:div w:id="898444377">
              <w:marLeft w:val="0"/>
              <w:marRight w:val="0"/>
              <w:marTop w:val="0"/>
              <w:marBottom w:val="0"/>
              <w:divBdr>
                <w:top w:val="none" w:sz="0" w:space="0" w:color="auto"/>
                <w:left w:val="none" w:sz="0" w:space="0" w:color="auto"/>
                <w:bottom w:val="none" w:sz="0" w:space="0" w:color="auto"/>
                <w:right w:val="none" w:sz="0" w:space="0" w:color="auto"/>
              </w:divBdr>
            </w:div>
            <w:div w:id="1809976164">
              <w:marLeft w:val="0"/>
              <w:marRight w:val="0"/>
              <w:marTop w:val="0"/>
              <w:marBottom w:val="0"/>
              <w:divBdr>
                <w:top w:val="none" w:sz="0" w:space="0" w:color="auto"/>
                <w:left w:val="none" w:sz="0" w:space="0" w:color="auto"/>
                <w:bottom w:val="none" w:sz="0" w:space="0" w:color="auto"/>
                <w:right w:val="none" w:sz="0" w:space="0" w:color="auto"/>
              </w:divBdr>
            </w:div>
            <w:div w:id="272398225">
              <w:marLeft w:val="0"/>
              <w:marRight w:val="0"/>
              <w:marTop w:val="0"/>
              <w:marBottom w:val="0"/>
              <w:divBdr>
                <w:top w:val="none" w:sz="0" w:space="0" w:color="auto"/>
                <w:left w:val="none" w:sz="0" w:space="0" w:color="auto"/>
                <w:bottom w:val="none" w:sz="0" w:space="0" w:color="auto"/>
                <w:right w:val="none" w:sz="0" w:space="0" w:color="auto"/>
              </w:divBdr>
            </w:div>
            <w:div w:id="564604688">
              <w:marLeft w:val="0"/>
              <w:marRight w:val="0"/>
              <w:marTop w:val="0"/>
              <w:marBottom w:val="0"/>
              <w:divBdr>
                <w:top w:val="none" w:sz="0" w:space="0" w:color="auto"/>
                <w:left w:val="none" w:sz="0" w:space="0" w:color="auto"/>
                <w:bottom w:val="none" w:sz="0" w:space="0" w:color="auto"/>
                <w:right w:val="none" w:sz="0" w:space="0" w:color="auto"/>
              </w:divBdr>
            </w:div>
            <w:div w:id="2088190793">
              <w:marLeft w:val="0"/>
              <w:marRight w:val="0"/>
              <w:marTop w:val="0"/>
              <w:marBottom w:val="0"/>
              <w:divBdr>
                <w:top w:val="none" w:sz="0" w:space="0" w:color="auto"/>
                <w:left w:val="none" w:sz="0" w:space="0" w:color="auto"/>
                <w:bottom w:val="none" w:sz="0" w:space="0" w:color="auto"/>
                <w:right w:val="none" w:sz="0" w:space="0" w:color="auto"/>
              </w:divBdr>
            </w:div>
            <w:div w:id="1978803700">
              <w:marLeft w:val="0"/>
              <w:marRight w:val="0"/>
              <w:marTop w:val="0"/>
              <w:marBottom w:val="0"/>
              <w:divBdr>
                <w:top w:val="none" w:sz="0" w:space="0" w:color="auto"/>
                <w:left w:val="none" w:sz="0" w:space="0" w:color="auto"/>
                <w:bottom w:val="none" w:sz="0" w:space="0" w:color="auto"/>
                <w:right w:val="none" w:sz="0" w:space="0" w:color="auto"/>
              </w:divBdr>
            </w:div>
            <w:div w:id="177158701">
              <w:marLeft w:val="0"/>
              <w:marRight w:val="0"/>
              <w:marTop w:val="0"/>
              <w:marBottom w:val="0"/>
              <w:divBdr>
                <w:top w:val="none" w:sz="0" w:space="0" w:color="auto"/>
                <w:left w:val="none" w:sz="0" w:space="0" w:color="auto"/>
                <w:bottom w:val="none" w:sz="0" w:space="0" w:color="auto"/>
                <w:right w:val="none" w:sz="0" w:space="0" w:color="auto"/>
              </w:divBdr>
            </w:div>
            <w:div w:id="1641182181">
              <w:marLeft w:val="0"/>
              <w:marRight w:val="0"/>
              <w:marTop w:val="0"/>
              <w:marBottom w:val="0"/>
              <w:divBdr>
                <w:top w:val="none" w:sz="0" w:space="0" w:color="auto"/>
                <w:left w:val="none" w:sz="0" w:space="0" w:color="auto"/>
                <w:bottom w:val="none" w:sz="0" w:space="0" w:color="auto"/>
                <w:right w:val="none" w:sz="0" w:space="0" w:color="auto"/>
              </w:divBdr>
            </w:div>
            <w:div w:id="1280405889">
              <w:marLeft w:val="0"/>
              <w:marRight w:val="0"/>
              <w:marTop w:val="0"/>
              <w:marBottom w:val="0"/>
              <w:divBdr>
                <w:top w:val="none" w:sz="0" w:space="0" w:color="auto"/>
                <w:left w:val="none" w:sz="0" w:space="0" w:color="auto"/>
                <w:bottom w:val="none" w:sz="0" w:space="0" w:color="auto"/>
                <w:right w:val="none" w:sz="0" w:space="0" w:color="auto"/>
              </w:divBdr>
            </w:div>
            <w:div w:id="375007234">
              <w:marLeft w:val="0"/>
              <w:marRight w:val="0"/>
              <w:marTop w:val="0"/>
              <w:marBottom w:val="0"/>
              <w:divBdr>
                <w:top w:val="none" w:sz="0" w:space="0" w:color="auto"/>
                <w:left w:val="none" w:sz="0" w:space="0" w:color="auto"/>
                <w:bottom w:val="none" w:sz="0" w:space="0" w:color="auto"/>
                <w:right w:val="none" w:sz="0" w:space="0" w:color="auto"/>
              </w:divBdr>
            </w:div>
            <w:div w:id="1543708545">
              <w:marLeft w:val="0"/>
              <w:marRight w:val="0"/>
              <w:marTop w:val="0"/>
              <w:marBottom w:val="0"/>
              <w:divBdr>
                <w:top w:val="none" w:sz="0" w:space="0" w:color="auto"/>
                <w:left w:val="none" w:sz="0" w:space="0" w:color="auto"/>
                <w:bottom w:val="none" w:sz="0" w:space="0" w:color="auto"/>
                <w:right w:val="none" w:sz="0" w:space="0" w:color="auto"/>
              </w:divBdr>
            </w:div>
            <w:div w:id="592394458">
              <w:marLeft w:val="0"/>
              <w:marRight w:val="0"/>
              <w:marTop w:val="0"/>
              <w:marBottom w:val="0"/>
              <w:divBdr>
                <w:top w:val="none" w:sz="0" w:space="0" w:color="auto"/>
                <w:left w:val="none" w:sz="0" w:space="0" w:color="auto"/>
                <w:bottom w:val="none" w:sz="0" w:space="0" w:color="auto"/>
                <w:right w:val="none" w:sz="0" w:space="0" w:color="auto"/>
              </w:divBdr>
            </w:div>
            <w:div w:id="581259281">
              <w:marLeft w:val="0"/>
              <w:marRight w:val="0"/>
              <w:marTop w:val="0"/>
              <w:marBottom w:val="0"/>
              <w:divBdr>
                <w:top w:val="none" w:sz="0" w:space="0" w:color="auto"/>
                <w:left w:val="none" w:sz="0" w:space="0" w:color="auto"/>
                <w:bottom w:val="none" w:sz="0" w:space="0" w:color="auto"/>
                <w:right w:val="none" w:sz="0" w:space="0" w:color="auto"/>
              </w:divBdr>
            </w:div>
            <w:div w:id="1106117691">
              <w:marLeft w:val="0"/>
              <w:marRight w:val="0"/>
              <w:marTop w:val="0"/>
              <w:marBottom w:val="0"/>
              <w:divBdr>
                <w:top w:val="none" w:sz="0" w:space="0" w:color="auto"/>
                <w:left w:val="none" w:sz="0" w:space="0" w:color="auto"/>
                <w:bottom w:val="none" w:sz="0" w:space="0" w:color="auto"/>
                <w:right w:val="none" w:sz="0" w:space="0" w:color="auto"/>
              </w:divBdr>
            </w:div>
            <w:div w:id="1232689674">
              <w:marLeft w:val="0"/>
              <w:marRight w:val="0"/>
              <w:marTop w:val="0"/>
              <w:marBottom w:val="0"/>
              <w:divBdr>
                <w:top w:val="none" w:sz="0" w:space="0" w:color="auto"/>
                <w:left w:val="none" w:sz="0" w:space="0" w:color="auto"/>
                <w:bottom w:val="none" w:sz="0" w:space="0" w:color="auto"/>
                <w:right w:val="none" w:sz="0" w:space="0" w:color="auto"/>
              </w:divBdr>
            </w:div>
            <w:div w:id="1687947226">
              <w:marLeft w:val="0"/>
              <w:marRight w:val="0"/>
              <w:marTop w:val="0"/>
              <w:marBottom w:val="0"/>
              <w:divBdr>
                <w:top w:val="none" w:sz="0" w:space="0" w:color="auto"/>
                <w:left w:val="none" w:sz="0" w:space="0" w:color="auto"/>
                <w:bottom w:val="none" w:sz="0" w:space="0" w:color="auto"/>
                <w:right w:val="none" w:sz="0" w:space="0" w:color="auto"/>
              </w:divBdr>
            </w:div>
            <w:div w:id="874778152">
              <w:marLeft w:val="0"/>
              <w:marRight w:val="0"/>
              <w:marTop w:val="0"/>
              <w:marBottom w:val="0"/>
              <w:divBdr>
                <w:top w:val="none" w:sz="0" w:space="0" w:color="auto"/>
                <w:left w:val="none" w:sz="0" w:space="0" w:color="auto"/>
                <w:bottom w:val="none" w:sz="0" w:space="0" w:color="auto"/>
                <w:right w:val="none" w:sz="0" w:space="0" w:color="auto"/>
              </w:divBdr>
            </w:div>
            <w:div w:id="629748661">
              <w:marLeft w:val="0"/>
              <w:marRight w:val="0"/>
              <w:marTop w:val="0"/>
              <w:marBottom w:val="0"/>
              <w:divBdr>
                <w:top w:val="none" w:sz="0" w:space="0" w:color="auto"/>
                <w:left w:val="none" w:sz="0" w:space="0" w:color="auto"/>
                <w:bottom w:val="none" w:sz="0" w:space="0" w:color="auto"/>
                <w:right w:val="none" w:sz="0" w:space="0" w:color="auto"/>
              </w:divBdr>
            </w:div>
            <w:div w:id="983778771">
              <w:marLeft w:val="0"/>
              <w:marRight w:val="0"/>
              <w:marTop w:val="0"/>
              <w:marBottom w:val="0"/>
              <w:divBdr>
                <w:top w:val="none" w:sz="0" w:space="0" w:color="auto"/>
                <w:left w:val="none" w:sz="0" w:space="0" w:color="auto"/>
                <w:bottom w:val="none" w:sz="0" w:space="0" w:color="auto"/>
                <w:right w:val="none" w:sz="0" w:space="0" w:color="auto"/>
              </w:divBdr>
            </w:div>
            <w:div w:id="1240097758">
              <w:marLeft w:val="0"/>
              <w:marRight w:val="0"/>
              <w:marTop w:val="0"/>
              <w:marBottom w:val="0"/>
              <w:divBdr>
                <w:top w:val="none" w:sz="0" w:space="0" w:color="auto"/>
                <w:left w:val="none" w:sz="0" w:space="0" w:color="auto"/>
                <w:bottom w:val="none" w:sz="0" w:space="0" w:color="auto"/>
                <w:right w:val="none" w:sz="0" w:space="0" w:color="auto"/>
              </w:divBdr>
            </w:div>
            <w:div w:id="1359964143">
              <w:marLeft w:val="0"/>
              <w:marRight w:val="0"/>
              <w:marTop w:val="0"/>
              <w:marBottom w:val="0"/>
              <w:divBdr>
                <w:top w:val="none" w:sz="0" w:space="0" w:color="auto"/>
                <w:left w:val="none" w:sz="0" w:space="0" w:color="auto"/>
                <w:bottom w:val="none" w:sz="0" w:space="0" w:color="auto"/>
                <w:right w:val="none" w:sz="0" w:space="0" w:color="auto"/>
              </w:divBdr>
            </w:div>
            <w:div w:id="1532066924">
              <w:marLeft w:val="0"/>
              <w:marRight w:val="0"/>
              <w:marTop w:val="0"/>
              <w:marBottom w:val="0"/>
              <w:divBdr>
                <w:top w:val="none" w:sz="0" w:space="0" w:color="auto"/>
                <w:left w:val="none" w:sz="0" w:space="0" w:color="auto"/>
                <w:bottom w:val="none" w:sz="0" w:space="0" w:color="auto"/>
                <w:right w:val="none" w:sz="0" w:space="0" w:color="auto"/>
              </w:divBdr>
            </w:div>
            <w:div w:id="1717240057">
              <w:marLeft w:val="0"/>
              <w:marRight w:val="0"/>
              <w:marTop w:val="0"/>
              <w:marBottom w:val="0"/>
              <w:divBdr>
                <w:top w:val="none" w:sz="0" w:space="0" w:color="auto"/>
                <w:left w:val="none" w:sz="0" w:space="0" w:color="auto"/>
                <w:bottom w:val="none" w:sz="0" w:space="0" w:color="auto"/>
                <w:right w:val="none" w:sz="0" w:space="0" w:color="auto"/>
              </w:divBdr>
            </w:div>
            <w:div w:id="1555703109">
              <w:marLeft w:val="0"/>
              <w:marRight w:val="0"/>
              <w:marTop w:val="0"/>
              <w:marBottom w:val="0"/>
              <w:divBdr>
                <w:top w:val="none" w:sz="0" w:space="0" w:color="auto"/>
                <w:left w:val="none" w:sz="0" w:space="0" w:color="auto"/>
                <w:bottom w:val="none" w:sz="0" w:space="0" w:color="auto"/>
                <w:right w:val="none" w:sz="0" w:space="0" w:color="auto"/>
              </w:divBdr>
            </w:div>
            <w:div w:id="1557011633">
              <w:marLeft w:val="0"/>
              <w:marRight w:val="0"/>
              <w:marTop w:val="0"/>
              <w:marBottom w:val="0"/>
              <w:divBdr>
                <w:top w:val="none" w:sz="0" w:space="0" w:color="auto"/>
                <w:left w:val="none" w:sz="0" w:space="0" w:color="auto"/>
                <w:bottom w:val="none" w:sz="0" w:space="0" w:color="auto"/>
                <w:right w:val="none" w:sz="0" w:space="0" w:color="auto"/>
              </w:divBdr>
            </w:div>
            <w:div w:id="1204755476">
              <w:marLeft w:val="0"/>
              <w:marRight w:val="0"/>
              <w:marTop w:val="0"/>
              <w:marBottom w:val="0"/>
              <w:divBdr>
                <w:top w:val="none" w:sz="0" w:space="0" w:color="auto"/>
                <w:left w:val="none" w:sz="0" w:space="0" w:color="auto"/>
                <w:bottom w:val="none" w:sz="0" w:space="0" w:color="auto"/>
                <w:right w:val="none" w:sz="0" w:space="0" w:color="auto"/>
              </w:divBdr>
            </w:div>
            <w:div w:id="1085341701">
              <w:marLeft w:val="0"/>
              <w:marRight w:val="0"/>
              <w:marTop w:val="0"/>
              <w:marBottom w:val="0"/>
              <w:divBdr>
                <w:top w:val="none" w:sz="0" w:space="0" w:color="auto"/>
                <w:left w:val="none" w:sz="0" w:space="0" w:color="auto"/>
                <w:bottom w:val="none" w:sz="0" w:space="0" w:color="auto"/>
                <w:right w:val="none" w:sz="0" w:space="0" w:color="auto"/>
              </w:divBdr>
            </w:div>
            <w:div w:id="1309746311">
              <w:marLeft w:val="0"/>
              <w:marRight w:val="0"/>
              <w:marTop w:val="0"/>
              <w:marBottom w:val="0"/>
              <w:divBdr>
                <w:top w:val="none" w:sz="0" w:space="0" w:color="auto"/>
                <w:left w:val="none" w:sz="0" w:space="0" w:color="auto"/>
                <w:bottom w:val="none" w:sz="0" w:space="0" w:color="auto"/>
                <w:right w:val="none" w:sz="0" w:space="0" w:color="auto"/>
              </w:divBdr>
            </w:div>
            <w:div w:id="1574853787">
              <w:marLeft w:val="0"/>
              <w:marRight w:val="0"/>
              <w:marTop w:val="0"/>
              <w:marBottom w:val="0"/>
              <w:divBdr>
                <w:top w:val="none" w:sz="0" w:space="0" w:color="auto"/>
                <w:left w:val="none" w:sz="0" w:space="0" w:color="auto"/>
                <w:bottom w:val="none" w:sz="0" w:space="0" w:color="auto"/>
                <w:right w:val="none" w:sz="0" w:space="0" w:color="auto"/>
              </w:divBdr>
            </w:div>
            <w:div w:id="11080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6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kujigotoda@yahoo.co.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6733</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河野 真</dc:creator>
  <cp:lastModifiedBy>LS Ma</cp:lastModifiedBy>
  <cp:revision>2</cp:revision>
  <dcterms:created xsi:type="dcterms:W3CDTF">2015-10-12T14:35:00Z</dcterms:created>
  <dcterms:modified xsi:type="dcterms:W3CDTF">2015-10-12T14:35:00Z</dcterms:modified>
</cp:coreProperties>
</file>