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0FB" w:rsidRPr="004931C2" w:rsidRDefault="00C270FB" w:rsidP="004931C2">
      <w:pPr>
        <w:adjustRightInd w:val="0"/>
        <w:snapToGrid w:val="0"/>
        <w:spacing w:line="360" w:lineRule="auto"/>
        <w:rPr>
          <w:rFonts w:ascii="Book Antiqua" w:eastAsia="Times New Roman" w:hAnsi="Book Antiqua" w:cs="SimSun"/>
          <w:i/>
          <w:sz w:val="24"/>
          <w:szCs w:val="24"/>
        </w:rPr>
      </w:pPr>
      <w:bookmarkStart w:id="0" w:name="OLE_LINK2088"/>
      <w:bookmarkStart w:id="1" w:name="OLE_LINK437"/>
      <w:bookmarkStart w:id="2" w:name="OLE_LINK438"/>
      <w:bookmarkStart w:id="3" w:name="OLE_LINK1420"/>
      <w:bookmarkStart w:id="4" w:name="OLE_LINK1602"/>
      <w:bookmarkStart w:id="5" w:name="OLE_LINK191"/>
      <w:bookmarkStart w:id="6" w:name="OLE_LINK192"/>
      <w:bookmarkStart w:id="7" w:name="OLE_LINK368"/>
      <w:bookmarkStart w:id="8" w:name="OLE_LINK1406"/>
      <w:bookmarkStart w:id="9" w:name="OLE_LINK6"/>
      <w:bookmarkStart w:id="10" w:name="OLE_LINK7"/>
      <w:r w:rsidRPr="004931C2">
        <w:rPr>
          <w:rFonts w:ascii="Book Antiqua" w:eastAsia="Times New Roman" w:hAnsi="Book Antiqua" w:cs="SimSun"/>
          <w:b/>
          <w:sz w:val="24"/>
          <w:szCs w:val="24"/>
        </w:rPr>
        <w:t xml:space="preserve">Name of journal: </w:t>
      </w:r>
      <w:bookmarkStart w:id="11" w:name="OLE_LINK718"/>
      <w:bookmarkStart w:id="12" w:name="OLE_LINK719"/>
      <w:bookmarkStart w:id="13" w:name="OLE_LINK645"/>
      <w:bookmarkStart w:id="14" w:name="OLE_LINK661"/>
      <w:bookmarkStart w:id="15" w:name="OLE_LINK696"/>
      <w:bookmarkStart w:id="16" w:name="OLE_LINK1068"/>
      <w:bookmarkStart w:id="17" w:name="OLE_LINK335"/>
      <w:r w:rsidRPr="004931C2">
        <w:rPr>
          <w:rFonts w:ascii="Book Antiqua" w:eastAsia="Times New Roman" w:hAnsi="Book Antiqua" w:cs="SimSun"/>
          <w:i/>
          <w:kern w:val="0"/>
          <w:sz w:val="24"/>
          <w:szCs w:val="24"/>
        </w:rPr>
        <w:t>World Journal of Gastroenterology</w:t>
      </w:r>
      <w:bookmarkEnd w:id="11"/>
      <w:bookmarkEnd w:id="12"/>
      <w:bookmarkEnd w:id="13"/>
      <w:bookmarkEnd w:id="14"/>
      <w:bookmarkEnd w:id="15"/>
      <w:bookmarkEnd w:id="16"/>
      <w:bookmarkEnd w:id="17"/>
    </w:p>
    <w:p w:rsidR="00C270FB" w:rsidRPr="004931C2" w:rsidRDefault="00C270FB" w:rsidP="004931C2">
      <w:pPr>
        <w:adjustRightInd w:val="0"/>
        <w:snapToGrid w:val="0"/>
        <w:spacing w:line="360" w:lineRule="auto"/>
        <w:rPr>
          <w:rFonts w:ascii="Book Antiqua" w:eastAsia="Times New Roman" w:hAnsi="Book Antiqua" w:cs="SimSun"/>
          <w:b/>
          <w:i/>
          <w:sz w:val="24"/>
          <w:szCs w:val="24"/>
        </w:rPr>
      </w:pPr>
      <w:r w:rsidRPr="004931C2">
        <w:rPr>
          <w:rFonts w:ascii="Book Antiqua" w:hAnsi="Book Antiqua" w:cs="Arial"/>
          <w:b/>
          <w:sz w:val="24"/>
          <w:szCs w:val="24"/>
          <w:lang w:val="en"/>
        </w:rPr>
        <w:t>ESPS Manuscript NO: 20752</w:t>
      </w:r>
    </w:p>
    <w:p w:rsidR="00C270FB" w:rsidRPr="004931C2" w:rsidRDefault="00C270FB" w:rsidP="004931C2">
      <w:pPr>
        <w:adjustRightInd w:val="0"/>
        <w:snapToGrid w:val="0"/>
        <w:spacing w:line="360" w:lineRule="auto"/>
        <w:rPr>
          <w:rFonts w:ascii="Book Antiqua" w:hAnsi="Book Antiqua" w:cs="Times New Roman"/>
          <w:b/>
          <w:sz w:val="24"/>
          <w:szCs w:val="24"/>
        </w:rPr>
      </w:pPr>
      <w:bookmarkStart w:id="18" w:name="OLE_LINK886"/>
      <w:bookmarkStart w:id="19" w:name="OLE_LINK887"/>
      <w:bookmarkStart w:id="20" w:name="OLE_LINK888"/>
      <w:bookmarkStart w:id="21" w:name="OLE_LINK1072"/>
      <w:bookmarkStart w:id="22" w:name="OLE_LINK863"/>
      <w:bookmarkStart w:id="23" w:name="OLE_LINK965"/>
      <w:bookmarkStart w:id="24" w:name="OLE_LINK897"/>
      <w:bookmarkStart w:id="25" w:name="OLE_LINK1021"/>
      <w:bookmarkStart w:id="26" w:name="OLE_LINK1040"/>
      <w:bookmarkStart w:id="27" w:name="OLE_LINK870"/>
      <w:bookmarkStart w:id="28" w:name="OLE_LINK1029"/>
      <w:bookmarkStart w:id="29" w:name="OLE_LINK950"/>
      <w:bookmarkStart w:id="30" w:name="OLE_LINK1191"/>
      <w:bookmarkStart w:id="31" w:name="OLE_LINK1131"/>
      <w:bookmarkStart w:id="32" w:name="OLE_LINK1064"/>
      <w:bookmarkStart w:id="33" w:name="OLE_LINK1165"/>
      <w:bookmarkStart w:id="34" w:name="OLE_LINK1333"/>
      <w:bookmarkStart w:id="35" w:name="OLE_LINK1367"/>
      <w:bookmarkStart w:id="36" w:name="OLE_LINK1400"/>
      <w:bookmarkStart w:id="37" w:name="OLE_LINK1616"/>
      <w:bookmarkStart w:id="38" w:name="OLE_LINK1378"/>
      <w:bookmarkStart w:id="39" w:name="OLE_LINK1489"/>
      <w:bookmarkStart w:id="40" w:name="OLE_LINK1379"/>
      <w:bookmarkStart w:id="41" w:name="OLE_LINK1468"/>
      <w:bookmarkStart w:id="42" w:name="OLE_LINK1638"/>
      <w:bookmarkStart w:id="43" w:name="OLE_LINK1581"/>
      <w:bookmarkStart w:id="44" w:name="OLE_LINK1715"/>
      <w:bookmarkStart w:id="45" w:name="OLE_LINK1893"/>
      <w:bookmarkStart w:id="46" w:name="OLE_LINK1929"/>
      <w:bookmarkStart w:id="47" w:name="OLE_LINK1717"/>
      <w:bookmarkStart w:id="48" w:name="OLE_LINK1908"/>
      <w:bookmarkStart w:id="49" w:name="OLE_LINK1933"/>
      <w:bookmarkStart w:id="50" w:name="OLE_LINK1798"/>
      <w:bookmarkStart w:id="51" w:name="OLE_LINK1867"/>
      <w:bookmarkStart w:id="52" w:name="OLE_LINK1904"/>
      <w:bookmarkStart w:id="53" w:name="OLE_LINK1937"/>
      <w:bookmarkStart w:id="54" w:name="OLE_LINK2062"/>
      <w:bookmarkStart w:id="55" w:name="OLE_LINK2119"/>
      <w:bookmarkStart w:id="56" w:name="OLE_LINK2067"/>
      <w:bookmarkEnd w:id="0"/>
      <w:r w:rsidRPr="004931C2">
        <w:rPr>
          <w:rFonts w:ascii="Book Antiqua" w:hAnsi="Book Antiqua" w:cs="Times New Roman"/>
          <w:b/>
          <w:sz w:val="24"/>
          <w:szCs w:val="24"/>
        </w:rPr>
        <w:t>Manuscript Type</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4931C2">
        <w:rPr>
          <w:rFonts w:ascii="Book Antiqua" w:hAnsi="Book Antiqua"/>
          <w:b/>
          <w:kern w:val="0"/>
          <w:sz w:val="24"/>
          <w:szCs w:val="24"/>
        </w:rPr>
        <w:t xml:space="preserve">: </w:t>
      </w:r>
      <w:bookmarkStart w:id="57" w:name="OLE_LINK1386"/>
      <w:bookmarkStart w:id="58" w:name="OLE_LINK37"/>
      <w:bookmarkStart w:id="59" w:name="OLE_LINK2034"/>
      <w:r w:rsidRPr="004931C2">
        <w:rPr>
          <w:rFonts w:ascii="Book Antiqua" w:hAnsi="Book Antiqua"/>
          <w:b/>
          <w:kern w:val="0"/>
          <w:sz w:val="24"/>
          <w:szCs w:val="24"/>
        </w:rPr>
        <w:t>ORIGINAL ARTICLE</w:t>
      </w:r>
    </w:p>
    <w:p w:rsidR="00C270FB" w:rsidRPr="004931C2" w:rsidRDefault="00C270FB" w:rsidP="004931C2">
      <w:pPr>
        <w:autoSpaceDE w:val="0"/>
        <w:autoSpaceDN w:val="0"/>
        <w:adjustRightInd w:val="0"/>
        <w:snapToGrid w:val="0"/>
        <w:spacing w:line="360" w:lineRule="auto"/>
        <w:rPr>
          <w:rFonts w:ascii="Book Antiqua" w:hAnsi="Book Antiqua"/>
          <w:b/>
          <w:kern w:val="0"/>
          <w:sz w:val="24"/>
          <w:szCs w:val="24"/>
        </w:rPr>
      </w:pPr>
    </w:p>
    <w:bookmarkEnd w:id="1"/>
    <w:bookmarkEnd w:id="2"/>
    <w:bookmarkEnd w:id="3"/>
    <w:bookmarkEnd w:id="4"/>
    <w:bookmarkEnd w:id="57"/>
    <w:bookmarkEnd w:id="58"/>
    <w:bookmarkEnd w:id="59"/>
    <w:p w:rsidR="00C270FB" w:rsidRPr="004931C2" w:rsidRDefault="00C270FB" w:rsidP="004931C2">
      <w:pPr>
        <w:adjustRightInd w:val="0"/>
        <w:snapToGrid w:val="0"/>
        <w:spacing w:line="360" w:lineRule="auto"/>
        <w:rPr>
          <w:rFonts w:ascii="Book Antiqua" w:eastAsia="YouYuan" w:hAnsi="Book Antiqua"/>
          <w:b/>
          <w:i/>
          <w:sz w:val="24"/>
          <w:szCs w:val="24"/>
        </w:rPr>
      </w:pPr>
      <w:r w:rsidRPr="004931C2">
        <w:rPr>
          <w:rFonts w:ascii="Book Antiqua" w:eastAsia="YouYuan" w:hAnsi="Book Antiqua"/>
          <w:b/>
          <w:i/>
          <w:sz w:val="24"/>
          <w:szCs w:val="24"/>
        </w:rPr>
        <w:t>Basic Study</w:t>
      </w:r>
    </w:p>
    <w:p w:rsidR="000958E5" w:rsidRPr="004931C2" w:rsidRDefault="00C270FB" w:rsidP="004931C2">
      <w:pPr>
        <w:adjustRightInd w:val="0"/>
        <w:snapToGrid w:val="0"/>
        <w:spacing w:line="360" w:lineRule="auto"/>
        <w:rPr>
          <w:rFonts w:ascii="Book Antiqua" w:hAnsi="Book Antiqua" w:cs="Times New Roman"/>
          <w:b/>
          <w:sz w:val="24"/>
          <w:szCs w:val="24"/>
        </w:rPr>
      </w:pPr>
      <w:bookmarkStart w:id="60" w:name="OLE_LINK2170"/>
      <w:bookmarkStart w:id="61" w:name="OLE_LINK2171"/>
      <w:bookmarkStart w:id="62" w:name="OLE_LINK2179"/>
      <w:bookmarkStart w:id="63" w:name="OLE_LINK2181"/>
      <w:bookmarkEnd w:id="5"/>
      <w:bookmarkEnd w:id="6"/>
      <w:bookmarkEnd w:id="7"/>
      <w:bookmarkEnd w:id="8"/>
      <w:r w:rsidRPr="004931C2">
        <w:rPr>
          <w:rFonts w:ascii="Book Antiqua" w:hAnsi="Book Antiqua" w:cs="Times New Roman"/>
          <w:b/>
          <w:sz w:val="24"/>
          <w:szCs w:val="24"/>
        </w:rPr>
        <w:t>Interleukin</w:t>
      </w:r>
      <w:r w:rsidR="000958E5" w:rsidRPr="004931C2">
        <w:rPr>
          <w:rFonts w:ascii="Book Antiqua" w:hAnsi="Book Antiqua" w:cs="Times New Roman"/>
          <w:b/>
          <w:sz w:val="24"/>
          <w:szCs w:val="24"/>
        </w:rPr>
        <w:t>-22 contributes to liver regeneration</w:t>
      </w:r>
      <w:bookmarkEnd w:id="9"/>
      <w:bookmarkEnd w:id="10"/>
      <w:r w:rsidR="000000A3" w:rsidRPr="004931C2">
        <w:rPr>
          <w:rFonts w:ascii="Book Antiqua" w:hAnsi="Book Antiqua" w:cs="Times New Roman"/>
          <w:b/>
          <w:sz w:val="24"/>
          <w:szCs w:val="24"/>
        </w:rPr>
        <w:t xml:space="preserve"> in</w:t>
      </w:r>
      <w:r w:rsidR="000958E5" w:rsidRPr="004931C2">
        <w:rPr>
          <w:rFonts w:ascii="Book Antiqua" w:hAnsi="Book Antiqua" w:cs="Times New Roman"/>
          <w:b/>
          <w:sz w:val="24"/>
          <w:szCs w:val="24"/>
        </w:rPr>
        <w:t xml:space="preserve"> </w:t>
      </w:r>
      <w:r w:rsidR="009E5730" w:rsidRPr="004931C2">
        <w:rPr>
          <w:rFonts w:ascii="Book Antiqua" w:hAnsi="Book Antiqua" w:cs="Times New Roman"/>
          <w:b/>
          <w:sz w:val="24"/>
          <w:szCs w:val="24"/>
        </w:rPr>
        <w:t>concanavalin A</w:t>
      </w:r>
      <w:r w:rsidR="000958E5" w:rsidRPr="004931C2">
        <w:rPr>
          <w:rFonts w:ascii="Book Antiqua" w:hAnsi="Book Antiqua" w:cs="Times New Roman"/>
          <w:b/>
          <w:sz w:val="24"/>
          <w:szCs w:val="24"/>
        </w:rPr>
        <w:t xml:space="preserve">-mediated murine hepatitis model after hepatectomy </w:t>
      </w:r>
    </w:p>
    <w:bookmarkEnd w:id="60"/>
    <w:bookmarkEnd w:id="61"/>
    <w:bookmarkEnd w:id="62"/>
    <w:bookmarkEnd w:id="63"/>
    <w:p w:rsidR="00CE394B" w:rsidRPr="004931C2" w:rsidRDefault="00CE394B" w:rsidP="004931C2">
      <w:pPr>
        <w:adjustRightInd w:val="0"/>
        <w:snapToGrid w:val="0"/>
        <w:spacing w:line="360" w:lineRule="auto"/>
        <w:rPr>
          <w:rFonts w:ascii="Book Antiqua" w:hAnsi="Book Antiqua" w:cs="Times New Roman"/>
          <w:b/>
          <w:sz w:val="24"/>
          <w:szCs w:val="24"/>
        </w:rPr>
      </w:pPr>
    </w:p>
    <w:p w:rsidR="00CE394B" w:rsidRPr="004931C2" w:rsidRDefault="00C02D84" w:rsidP="004931C2">
      <w:pPr>
        <w:adjustRightInd w:val="0"/>
        <w:snapToGrid w:val="0"/>
        <w:spacing w:line="360" w:lineRule="auto"/>
        <w:rPr>
          <w:rFonts w:ascii="Book Antiqua" w:hAnsi="Book Antiqua" w:cs="Times New Roman"/>
          <w:sz w:val="24"/>
          <w:szCs w:val="24"/>
        </w:rPr>
      </w:pPr>
      <w:bookmarkStart w:id="64" w:name="OLE_LINK414"/>
      <w:bookmarkStart w:id="65" w:name="OLE_LINK419"/>
      <w:bookmarkStart w:id="66" w:name="OLE_LINK593"/>
      <w:bookmarkStart w:id="67" w:name="OLE_LINK1045"/>
      <w:bookmarkStart w:id="68" w:name="OLE_LINK527"/>
      <w:bookmarkStart w:id="69" w:name="OLE_LINK626"/>
      <w:bookmarkStart w:id="70" w:name="OLE_LINK698"/>
      <w:bookmarkStart w:id="71" w:name="OLE_LINK741"/>
      <w:bookmarkStart w:id="72" w:name="OLE_LINK1014"/>
      <w:bookmarkStart w:id="73" w:name="OLE_LINK1177"/>
      <w:bookmarkStart w:id="74" w:name="OLE_LINK1349"/>
      <w:bookmarkStart w:id="75" w:name="OLE_LINK278"/>
      <w:bookmarkStart w:id="76" w:name="OLE_LINK1405"/>
      <w:bookmarkStart w:id="77" w:name="OLE_LINK1789"/>
      <w:bookmarkStart w:id="78" w:name="OLE_LINK1875"/>
      <w:bookmarkStart w:id="79" w:name="OLE_LINK1950"/>
      <w:bookmarkStart w:id="80" w:name="OLE_LINK2077"/>
      <w:bookmarkStart w:id="81" w:name="OLE_LINK2232"/>
      <w:bookmarkStart w:id="82" w:name="OLE_LINK1989"/>
      <w:bookmarkStart w:id="83" w:name="OLE_LINK1990"/>
      <w:bookmarkStart w:id="84" w:name="OLE_LINK893"/>
      <w:bookmarkStart w:id="85" w:name="OLE_LINK256"/>
      <w:bookmarkStart w:id="86" w:name="OLE_LINK380"/>
      <w:bookmarkStart w:id="87" w:name="OLE_LINK1232"/>
      <w:bookmarkStart w:id="88" w:name="OLE_LINK282"/>
      <w:bookmarkStart w:id="89" w:name="OLE_LINK474"/>
      <w:bookmarkStart w:id="90" w:name="OLE_LINK1873"/>
      <w:bookmarkStart w:id="91" w:name="OLE_LINK1866"/>
      <w:bookmarkStart w:id="92" w:name="OLE_LINK1957"/>
      <w:bookmarkStart w:id="93" w:name="OLE_LINK2650"/>
      <w:bookmarkStart w:id="94" w:name="OLE_LINK2662"/>
      <w:bookmarkStart w:id="95" w:name="OLE_LINK2859"/>
      <w:bookmarkStart w:id="96" w:name="OLE_LINK2896"/>
      <w:bookmarkStart w:id="97" w:name="OLE_LINK2975"/>
      <w:bookmarkStart w:id="98" w:name="OLE_LINK2963"/>
      <w:bookmarkStart w:id="99" w:name="OLE_LINK3017"/>
      <w:bookmarkStart w:id="100" w:name="OLE_LINK3076"/>
      <w:bookmarkStart w:id="101" w:name="OLE_LINK3086"/>
      <w:r w:rsidRPr="004931C2">
        <w:rPr>
          <w:rFonts w:ascii="Book Antiqua" w:hAnsi="Book Antiqua"/>
          <w:sz w:val="24"/>
          <w:szCs w:val="24"/>
        </w:rPr>
        <w:t xml:space="preserve">Zhang YM </w:t>
      </w:r>
      <w:r w:rsidRPr="004931C2">
        <w:rPr>
          <w:rFonts w:ascii="Book Antiqua" w:hAnsi="Book Antiqua"/>
          <w:i/>
          <w:sz w:val="24"/>
          <w:szCs w:val="24"/>
        </w:rPr>
        <w:t>et al</w:t>
      </w:r>
      <w:r w:rsidRPr="004931C2">
        <w:rPr>
          <w:rFonts w:ascii="Book Antiqua" w:hAnsi="Book Antiqua"/>
          <w:sz w:val="24"/>
          <w:szCs w:val="24"/>
        </w:rPr>
        <w:t xml:space="preserve">. </w:t>
      </w:r>
      <w:r w:rsidRPr="004931C2">
        <w:rPr>
          <w:rFonts w:ascii="Book Antiqua" w:hAnsi="Book Antiqua" w:cs="Times New Roman"/>
          <w:sz w:val="24"/>
          <w:szCs w:val="24"/>
        </w:rPr>
        <w:t>IL-22 promote liver regeneration of CP</w:t>
      </w:r>
    </w:p>
    <w:p w:rsidR="00C270FB" w:rsidRPr="004931C2" w:rsidRDefault="00C270FB" w:rsidP="004931C2">
      <w:pPr>
        <w:adjustRightInd w:val="0"/>
        <w:snapToGrid w:val="0"/>
        <w:spacing w:line="360" w:lineRule="auto"/>
        <w:rPr>
          <w:rFonts w:ascii="Book Antiqua" w:hAnsi="Book Antiqua" w:cs="Times New Roman"/>
          <w:sz w:val="24"/>
          <w:szCs w:val="24"/>
        </w:rPr>
      </w:pPr>
    </w:p>
    <w:p w:rsidR="00C270FB" w:rsidRPr="004931C2" w:rsidRDefault="00C270FB" w:rsidP="004931C2">
      <w:pPr>
        <w:adjustRightInd w:val="0"/>
        <w:snapToGrid w:val="0"/>
        <w:spacing w:line="360" w:lineRule="auto"/>
        <w:rPr>
          <w:rFonts w:ascii="Book Antiqua" w:hAnsi="Book Antiqua" w:cs="Times New Roman"/>
          <w:sz w:val="24"/>
          <w:szCs w:val="24"/>
        </w:rPr>
      </w:pPr>
      <w:bookmarkStart w:id="102" w:name="OLE_LINK2168"/>
      <w:bookmarkStart w:id="103" w:name="OLE_LINK2169"/>
      <w:bookmarkStart w:id="104" w:name="OLE_LINK2182"/>
      <w:bookmarkStart w:id="105" w:name="OLE_LINK2183"/>
      <w:r w:rsidRPr="004931C2">
        <w:rPr>
          <w:rFonts w:ascii="Book Antiqua" w:hAnsi="Book Antiqua" w:cs="Times New Roman"/>
          <w:sz w:val="24"/>
          <w:szCs w:val="24"/>
        </w:rPr>
        <w:t>Ya-Min</w:t>
      </w:r>
      <w:r w:rsidR="00880B1B">
        <w:rPr>
          <w:rFonts w:ascii="Book Antiqua" w:hAnsi="Book Antiqua" w:cs="Times New Roman"/>
          <w:sz w:val="24"/>
          <w:szCs w:val="24"/>
        </w:rPr>
        <w:t xml:space="preserve"> </w:t>
      </w:r>
      <w:r w:rsidRPr="004931C2">
        <w:rPr>
          <w:rFonts w:ascii="Book Antiqua" w:hAnsi="Book Antiqua" w:cs="Times New Roman"/>
          <w:sz w:val="24"/>
          <w:szCs w:val="24"/>
        </w:rPr>
        <w:t>Zhang</w:t>
      </w:r>
      <w:bookmarkEnd w:id="102"/>
      <w:bookmarkEnd w:id="103"/>
      <w:r w:rsidRPr="004931C2">
        <w:rPr>
          <w:rFonts w:ascii="Book Antiqua" w:hAnsi="Book Antiqua" w:cs="Times New Roman"/>
          <w:sz w:val="24"/>
          <w:szCs w:val="24"/>
        </w:rPr>
        <w:t>, Zi-Rong Liu, Zi-Lin Cui, Chao Yang, Long Yang, Yang Li, Zhong-Yang Shen</w:t>
      </w:r>
    </w:p>
    <w:bookmarkEnd w:id="104"/>
    <w:bookmarkEnd w:id="105"/>
    <w:p w:rsidR="00C270FB" w:rsidRPr="004931C2" w:rsidRDefault="00C270FB" w:rsidP="004931C2">
      <w:pPr>
        <w:adjustRightInd w:val="0"/>
        <w:snapToGrid w:val="0"/>
        <w:spacing w:line="360" w:lineRule="auto"/>
        <w:rPr>
          <w:rFonts w:ascii="Book Antiqua" w:hAnsi="Book Antiqua" w:cs="Times New Roman"/>
          <w:sz w:val="24"/>
          <w:szCs w:val="24"/>
        </w:rPr>
      </w:pPr>
    </w:p>
    <w:p w:rsidR="00C270FB" w:rsidRPr="004931C2" w:rsidRDefault="00C270FB" w:rsidP="004931C2">
      <w:pPr>
        <w:adjustRightInd w:val="0"/>
        <w:snapToGrid w:val="0"/>
        <w:spacing w:line="360" w:lineRule="auto"/>
        <w:rPr>
          <w:rFonts w:ascii="Book Antiqua" w:hAnsi="Book Antiqua"/>
          <w:sz w:val="24"/>
          <w:szCs w:val="24"/>
        </w:rPr>
      </w:pPr>
      <w:r w:rsidRPr="004931C2">
        <w:rPr>
          <w:rFonts w:ascii="Book Antiqua" w:hAnsi="Book Antiqua"/>
          <w:b/>
          <w:sz w:val="24"/>
          <w:szCs w:val="24"/>
        </w:rPr>
        <w:t xml:space="preserve">Yan-Min Zhang, Zi-Lin Cui, Long Yang, Yang Li, Zhong-Yang Shen, </w:t>
      </w:r>
      <w:r w:rsidRPr="004931C2">
        <w:rPr>
          <w:rFonts w:ascii="Book Antiqua" w:hAnsi="Book Antiqua"/>
          <w:sz w:val="24"/>
          <w:szCs w:val="24"/>
        </w:rPr>
        <w:t>Department of Hepatobiliary Surgery, First Central Hospital, Tianjin 300192, China</w:t>
      </w:r>
    </w:p>
    <w:p w:rsidR="00C270FB" w:rsidRPr="004931C2" w:rsidRDefault="00C270FB" w:rsidP="004931C2">
      <w:pPr>
        <w:adjustRightInd w:val="0"/>
        <w:snapToGrid w:val="0"/>
        <w:spacing w:line="360" w:lineRule="auto"/>
        <w:rPr>
          <w:rFonts w:ascii="Book Antiqua" w:hAnsi="Book Antiqua"/>
          <w:sz w:val="24"/>
          <w:szCs w:val="24"/>
        </w:rPr>
      </w:pPr>
    </w:p>
    <w:p w:rsidR="00C270FB" w:rsidRPr="004931C2" w:rsidRDefault="00C270FB" w:rsidP="004931C2">
      <w:pPr>
        <w:adjustRightInd w:val="0"/>
        <w:snapToGrid w:val="0"/>
        <w:spacing w:line="360" w:lineRule="auto"/>
        <w:rPr>
          <w:rFonts w:ascii="Book Antiqua" w:hAnsi="Book Antiqua"/>
          <w:sz w:val="24"/>
          <w:szCs w:val="24"/>
        </w:rPr>
      </w:pPr>
      <w:r w:rsidRPr="004931C2">
        <w:rPr>
          <w:rFonts w:ascii="Book Antiqua" w:hAnsi="Book Antiqua"/>
          <w:b/>
          <w:sz w:val="24"/>
          <w:szCs w:val="24"/>
        </w:rPr>
        <w:t>Zi-Rong Liu, Chao Yang,</w:t>
      </w:r>
      <w:r w:rsidRPr="004931C2">
        <w:rPr>
          <w:rFonts w:ascii="Book Antiqua" w:hAnsi="Book Antiqua"/>
          <w:sz w:val="24"/>
          <w:szCs w:val="24"/>
        </w:rPr>
        <w:t xml:space="preserve"> First Central Clinic of Tianjin Medical University, Tianjin 300192, China</w:t>
      </w:r>
    </w:p>
    <w:p w:rsidR="00C270FB" w:rsidRPr="004931C2" w:rsidRDefault="00C270FB" w:rsidP="004931C2">
      <w:pPr>
        <w:adjustRightInd w:val="0"/>
        <w:snapToGrid w:val="0"/>
        <w:spacing w:line="360" w:lineRule="auto"/>
        <w:rPr>
          <w:rFonts w:ascii="Book Antiqua" w:hAnsi="Book Antiqua"/>
          <w:sz w:val="24"/>
          <w:szCs w:val="24"/>
        </w:rPr>
      </w:pPr>
    </w:p>
    <w:p w:rsidR="00C270FB" w:rsidRPr="004931C2" w:rsidRDefault="00C270FB" w:rsidP="004931C2">
      <w:pPr>
        <w:adjustRightInd w:val="0"/>
        <w:snapToGrid w:val="0"/>
        <w:spacing w:line="360" w:lineRule="auto"/>
        <w:rPr>
          <w:rFonts w:ascii="Book Antiqua" w:hAnsi="Book Antiqua"/>
          <w:sz w:val="24"/>
          <w:szCs w:val="24"/>
        </w:rPr>
      </w:pPr>
      <w:r w:rsidRPr="004931C2">
        <w:rPr>
          <w:rFonts w:ascii="Book Antiqua" w:hAnsi="Book Antiqua"/>
          <w:b/>
          <w:sz w:val="24"/>
          <w:szCs w:val="24"/>
        </w:rPr>
        <w:t xml:space="preserve">Author contributions: </w:t>
      </w:r>
      <w:r w:rsidRPr="004931C2">
        <w:rPr>
          <w:rFonts w:ascii="Book Antiqua" w:hAnsi="Book Antiqua"/>
          <w:sz w:val="24"/>
          <w:szCs w:val="24"/>
        </w:rPr>
        <w:t>Zhang YM and Liu ZR contributed equally to this work; Zhang YM, Liu ZR and Cui ZL designed the research; Zhang YM, Liu ZR, Yang C, Yang L and Li Y performed the research; Zhang YM, Liu ZR, Yang L and Shen ZY contributed new reagents and analytic tools; Zhang YM, Liu ZR, Yang C, Cui ZL and Li Y analyzed the data; Zhang YM and Liu ZR wrote the paper.</w:t>
      </w:r>
    </w:p>
    <w:p w:rsidR="00C270FB" w:rsidRPr="004931C2" w:rsidRDefault="00C270FB" w:rsidP="004931C2">
      <w:pPr>
        <w:adjustRightInd w:val="0"/>
        <w:snapToGrid w:val="0"/>
        <w:spacing w:line="360" w:lineRule="auto"/>
        <w:rPr>
          <w:rFonts w:ascii="Book Antiqua" w:hAnsi="Book Antiqua"/>
          <w:sz w:val="24"/>
          <w:szCs w:val="24"/>
        </w:rPr>
      </w:pPr>
    </w:p>
    <w:p w:rsidR="00C270FB" w:rsidRPr="004931C2" w:rsidRDefault="00C270FB" w:rsidP="004931C2">
      <w:pPr>
        <w:adjustRightInd w:val="0"/>
        <w:snapToGrid w:val="0"/>
        <w:spacing w:line="360" w:lineRule="auto"/>
        <w:rPr>
          <w:rFonts w:ascii="Book Antiqua" w:hAnsi="Book Antiqua"/>
          <w:sz w:val="24"/>
          <w:szCs w:val="24"/>
        </w:rPr>
      </w:pPr>
      <w:bookmarkStart w:id="106" w:name="OLE_LINK2184"/>
      <w:bookmarkStart w:id="107" w:name="OLE_LINK2185"/>
      <w:r w:rsidRPr="004931C2">
        <w:rPr>
          <w:rFonts w:ascii="Book Antiqua" w:hAnsi="Book Antiqua"/>
          <w:b/>
          <w:sz w:val="24"/>
          <w:szCs w:val="24"/>
        </w:rPr>
        <w:t xml:space="preserve">Supported by </w:t>
      </w:r>
      <w:r w:rsidRPr="004931C2">
        <w:rPr>
          <w:rFonts w:ascii="Book Antiqua" w:hAnsi="Book Antiqua"/>
          <w:sz w:val="24"/>
          <w:szCs w:val="24"/>
        </w:rPr>
        <w:t>National Natural Science Foundation of China, No. 81370576; and Application foundation and advanced technology research plan of Tian jin, China, No.14JCYBJC24800.</w:t>
      </w:r>
    </w:p>
    <w:bookmarkEnd w:id="106"/>
    <w:bookmarkEnd w:id="107"/>
    <w:p w:rsidR="00C270FB" w:rsidRPr="004931C2" w:rsidRDefault="00C270FB" w:rsidP="004931C2">
      <w:pPr>
        <w:adjustRightInd w:val="0"/>
        <w:snapToGrid w:val="0"/>
        <w:spacing w:line="360" w:lineRule="auto"/>
        <w:rPr>
          <w:rFonts w:ascii="Book Antiqua" w:hAnsi="Book Antiqua"/>
          <w:sz w:val="24"/>
          <w:szCs w:val="24"/>
        </w:rPr>
      </w:pPr>
    </w:p>
    <w:p w:rsidR="00C270FB" w:rsidRPr="004931C2" w:rsidRDefault="00C270FB" w:rsidP="004931C2">
      <w:pPr>
        <w:adjustRightInd w:val="0"/>
        <w:snapToGrid w:val="0"/>
        <w:spacing w:line="360" w:lineRule="auto"/>
        <w:rPr>
          <w:rFonts w:ascii="Book Antiqua" w:hAnsi="Book Antiqua"/>
          <w:sz w:val="24"/>
          <w:szCs w:val="24"/>
        </w:rPr>
      </w:pPr>
      <w:r w:rsidRPr="004931C2">
        <w:rPr>
          <w:rFonts w:ascii="Book Antiqua" w:hAnsi="Book Antiqua"/>
          <w:b/>
          <w:sz w:val="24"/>
          <w:szCs w:val="24"/>
        </w:rPr>
        <w:lastRenderedPageBreak/>
        <w:t xml:space="preserve">Institutional review board statement: </w:t>
      </w:r>
      <w:r w:rsidRPr="004931C2">
        <w:rPr>
          <w:rFonts w:ascii="Book Antiqua" w:hAnsi="Book Antiqua"/>
          <w:sz w:val="24"/>
          <w:szCs w:val="24"/>
        </w:rPr>
        <w:t>This work has been approved by the Ethics Committee of Tianjin First Central Hospital.</w:t>
      </w:r>
    </w:p>
    <w:p w:rsidR="00C270FB" w:rsidRPr="0002392D" w:rsidRDefault="00C270FB" w:rsidP="0002392D">
      <w:pPr>
        <w:adjustRightInd w:val="0"/>
        <w:snapToGrid w:val="0"/>
        <w:spacing w:line="360" w:lineRule="auto"/>
        <w:rPr>
          <w:rFonts w:ascii="Book Antiqua" w:hAnsi="Book Antiqua"/>
          <w:sz w:val="24"/>
          <w:szCs w:val="24"/>
        </w:rPr>
      </w:pPr>
      <w:bookmarkStart w:id="108" w:name="OLE_LINK417"/>
      <w:bookmarkStart w:id="109" w:name="OLE_LINK418"/>
      <w:bookmarkStart w:id="110" w:name="OLE_LINK143"/>
      <w:bookmarkStart w:id="111" w:name="OLE_LINK144"/>
      <w:bookmarkStart w:id="112" w:name="OLE_LINK1343"/>
      <w:bookmarkStart w:id="113" w:name="OLE_LINK1344"/>
      <w:bookmarkStart w:id="114" w:name="OLE_LINK1354"/>
      <w:bookmarkStart w:id="115" w:name="OLE_LINK1752"/>
      <w:bookmarkStart w:id="116" w:name="OLE_LINK261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CE394B" w:rsidRPr="0002392D" w:rsidRDefault="00CE394B" w:rsidP="0002392D">
      <w:pPr>
        <w:adjustRightInd w:val="0"/>
        <w:snapToGrid w:val="0"/>
        <w:spacing w:line="360" w:lineRule="auto"/>
        <w:rPr>
          <w:rFonts w:ascii="Book Antiqua" w:hAnsi="Book Antiqua"/>
          <w:sz w:val="24"/>
          <w:szCs w:val="24"/>
        </w:rPr>
      </w:pPr>
      <w:r w:rsidRPr="0002392D">
        <w:rPr>
          <w:rFonts w:ascii="Book Antiqua" w:hAnsi="Book Antiqua"/>
          <w:b/>
          <w:sz w:val="24"/>
          <w:szCs w:val="24"/>
        </w:rPr>
        <w:t>Institutional animal care and use committee</w:t>
      </w:r>
      <w:bookmarkEnd w:id="108"/>
      <w:bookmarkEnd w:id="109"/>
      <w:r w:rsidR="00C270FB" w:rsidRPr="0002392D">
        <w:rPr>
          <w:rFonts w:ascii="Book Antiqua" w:hAnsi="Book Antiqua"/>
          <w:b/>
          <w:sz w:val="24"/>
          <w:szCs w:val="24"/>
        </w:rPr>
        <w:t xml:space="preserve"> statement</w:t>
      </w:r>
      <w:r w:rsidRPr="0002392D">
        <w:rPr>
          <w:rFonts w:ascii="Book Antiqua" w:hAnsi="Book Antiqua"/>
          <w:b/>
          <w:sz w:val="24"/>
          <w:szCs w:val="24"/>
        </w:rPr>
        <w:t xml:space="preserve">: </w:t>
      </w:r>
      <w:r w:rsidR="008C251A" w:rsidRPr="0002392D">
        <w:rPr>
          <w:rFonts w:ascii="Book Antiqua" w:hAnsi="Book Antiqua"/>
          <w:sz w:val="24"/>
          <w:szCs w:val="24"/>
        </w:rPr>
        <w:t>All procedures involving animals were reviewed and approved by the Institutional Animal Care and Use Committee of the Institute</w:t>
      </w:r>
      <w:r w:rsidR="00A55C66" w:rsidRPr="0002392D">
        <w:rPr>
          <w:rFonts w:ascii="Book Antiqua" w:hAnsi="Book Antiqua"/>
          <w:sz w:val="24"/>
          <w:szCs w:val="24"/>
        </w:rPr>
        <w:t xml:space="preserve"> of laboratory animal sciences, CAMS</w:t>
      </w:r>
      <w:r w:rsidR="00C270FB" w:rsidRPr="0002392D">
        <w:rPr>
          <w:rFonts w:ascii="Book Antiqua" w:hAnsi="Book Antiqua"/>
          <w:sz w:val="24"/>
          <w:szCs w:val="24"/>
        </w:rPr>
        <w:t xml:space="preserve"> and </w:t>
      </w:r>
      <w:r w:rsidR="00A55C66" w:rsidRPr="0002392D">
        <w:rPr>
          <w:rFonts w:ascii="Book Antiqua" w:hAnsi="Book Antiqua"/>
          <w:sz w:val="24"/>
          <w:szCs w:val="24"/>
        </w:rPr>
        <w:t xml:space="preserve">PUMC </w:t>
      </w:r>
      <w:r w:rsidR="008C251A" w:rsidRPr="0002392D">
        <w:rPr>
          <w:rFonts w:ascii="Book Antiqua" w:hAnsi="Book Antiqua"/>
          <w:sz w:val="24"/>
          <w:szCs w:val="24"/>
        </w:rPr>
        <w:t>(IACUC protocol number: SCXK</w:t>
      </w:r>
      <w:r w:rsidR="00C270FB" w:rsidRPr="0002392D">
        <w:rPr>
          <w:rFonts w:ascii="Book Antiqua" w:hAnsi="Book Antiqua"/>
          <w:sz w:val="24"/>
          <w:szCs w:val="24"/>
        </w:rPr>
        <w:t>[</w:t>
      </w:r>
      <w:r w:rsidR="008C251A" w:rsidRPr="0002392D">
        <w:rPr>
          <w:rFonts w:ascii="Book Antiqua" w:hAnsi="Book Antiqua"/>
          <w:sz w:val="24"/>
          <w:szCs w:val="24"/>
        </w:rPr>
        <w:t>Jing</w:t>
      </w:r>
      <w:r w:rsidR="00C270FB" w:rsidRPr="0002392D">
        <w:rPr>
          <w:rFonts w:ascii="Book Antiqua" w:hAnsi="Book Antiqua"/>
          <w:sz w:val="24"/>
          <w:szCs w:val="24"/>
        </w:rPr>
        <w:t>]</w:t>
      </w:r>
      <w:r w:rsidR="008C251A" w:rsidRPr="0002392D">
        <w:rPr>
          <w:rFonts w:ascii="Book Antiqua" w:hAnsi="Book Antiqua"/>
          <w:sz w:val="24"/>
          <w:szCs w:val="24"/>
        </w:rPr>
        <w:t>2014-0004).</w:t>
      </w:r>
    </w:p>
    <w:bookmarkEnd w:id="110"/>
    <w:bookmarkEnd w:id="111"/>
    <w:p w:rsidR="008A54ED" w:rsidRPr="004931C2" w:rsidRDefault="008A54ED" w:rsidP="004931C2">
      <w:pPr>
        <w:autoSpaceDE w:val="0"/>
        <w:autoSpaceDN w:val="0"/>
        <w:adjustRightInd w:val="0"/>
        <w:snapToGrid w:val="0"/>
        <w:spacing w:line="360" w:lineRule="auto"/>
        <w:rPr>
          <w:rFonts w:ascii="Book Antiqua" w:hAnsi="Book Antiqua"/>
          <w:sz w:val="24"/>
          <w:szCs w:val="24"/>
          <w:shd w:val="pct15" w:color="auto" w:fill="FFFFFF"/>
        </w:rPr>
      </w:pPr>
    </w:p>
    <w:p w:rsidR="00CE394B" w:rsidRPr="004931C2" w:rsidRDefault="00CE394B" w:rsidP="004931C2">
      <w:pPr>
        <w:autoSpaceDE w:val="0"/>
        <w:autoSpaceDN w:val="0"/>
        <w:adjustRightInd w:val="0"/>
        <w:snapToGrid w:val="0"/>
        <w:spacing w:line="360" w:lineRule="auto"/>
        <w:rPr>
          <w:rFonts w:ascii="Book Antiqua" w:hAnsi="Book Antiqua"/>
          <w:sz w:val="24"/>
          <w:szCs w:val="24"/>
          <w:shd w:val="pct15" w:color="auto" w:fill="FFFFFF"/>
        </w:rPr>
      </w:pPr>
      <w:bookmarkStart w:id="117" w:name="OLE_LINK31"/>
      <w:bookmarkStart w:id="118" w:name="OLE_LINK32"/>
      <w:bookmarkStart w:id="119" w:name="OLE_LINK2886"/>
      <w:bookmarkStart w:id="120" w:name="OLE_LINK2902"/>
      <w:r w:rsidRPr="004931C2">
        <w:rPr>
          <w:rFonts w:ascii="Book Antiqua" w:hAnsi="Book Antiqua" w:cs="TimesNewRomanPS-BoldItalicMT"/>
          <w:b/>
          <w:bCs/>
          <w:iCs/>
          <w:kern w:val="0"/>
          <w:sz w:val="24"/>
          <w:szCs w:val="24"/>
        </w:rPr>
        <w:t>Conflict-of-interest</w:t>
      </w:r>
      <w:r w:rsidR="00C270FB" w:rsidRPr="004931C2">
        <w:rPr>
          <w:rFonts w:ascii="Book Antiqua" w:hAnsi="Book Antiqua" w:cs="TimesNewRomanPS-BoldItalicMT"/>
          <w:b/>
          <w:bCs/>
          <w:iCs/>
          <w:kern w:val="0"/>
          <w:sz w:val="24"/>
          <w:szCs w:val="24"/>
        </w:rPr>
        <w:t xml:space="preserve"> statement</w:t>
      </w:r>
      <w:r w:rsidRPr="004931C2">
        <w:rPr>
          <w:rFonts w:ascii="Book Antiqua" w:hAnsi="Book Antiqua" w:cs="TimesNewRomanPS-BoldItalicMT"/>
          <w:b/>
          <w:bCs/>
          <w:iCs/>
          <w:kern w:val="0"/>
          <w:sz w:val="24"/>
          <w:szCs w:val="24"/>
        </w:rPr>
        <w:t>:</w:t>
      </w:r>
      <w:r w:rsidR="008A54ED" w:rsidRPr="004931C2">
        <w:rPr>
          <w:rFonts w:ascii="Book Antiqua" w:hAnsi="Book Antiqua"/>
          <w:sz w:val="24"/>
          <w:szCs w:val="24"/>
        </w:rPr>
        <w:t xml:space="preserve"> </w:t>
      </w:r>
      <w:r w:rsidR="008A54ED" w:rsidRPr="0002392D">
        <w:rPr>
          <w:rFonts w:ascii="Book Antiqua" w:hAnsi="Book Antiqua"/>
          <w:sz w:val="24"/>
          <w:szCs w:val="24"/>
        </w:rPr>
        <w:t>The authors declare no conflcts of interest.</w:t>
      </w:r>
    </w:p>
    <w:bookmarkEnd w:id="117"/>
    <w:bookmarkEnd w:id="118"/>
    <w:bookmarkEnd w:id="119"/>
    <w:bookmarkEnd w:id="120"/>
    <w:p w:rsidR="00CE394B" w:rsidRPr="004931C2" w:rsidRDefault="00CE394B" w:rsidP="004931C2">
      <w:pPr>
        <w:autoSpaceDE w:val="0"/>
        <w:autoSpaceDN w:val="0"/>
        <w:adjustRightInd w:val="0"/>
        <w:snapToGrid w:val="0"/>
        <w:spacing w:line="360" w:lineRule="auto"/>
        <w:rPr>
          <w:rFonts w:ascii="Book Antiqua" w:hAnsi="Book Antiqua" w:cs="TimesNewRomanPS-BoldItalicMT"/>
          <w:b/>
          <w:bCs/>
          <w:i/>
          <w:iCs/>
          <w:kern w:val="0"/>
          <w:sz w:val="24"/>
          <w:szCs w:val="24"/>
        </w:rPr>
      </w:pPr>
    </w:p>
    <w:p w:rsidR="00CE394B" w:rsidRPr="004931C2" w:rsidRDefault="00CE394B" w:rsidP="004931C2">
      <w:pPr>
        <w:autoSpaceDE w:val="0"/>
        <w:autoSpaceDN w:val="0"/>
        <w:adjustRightInd w:val="0"/>
        <w:snapToGrid w:val="0"/>
        <w:spacing w:line="360" w:lineRule="auto"/>
        <w:rPr>
          <w:rFonts w:ascii="Book Antiqua" w:hAnsi="Book Antiqua"/>
          <w:sz w:val="24"/>
          <w:szCs w:val="24"/>
          <w:shd w:val="pct15" w:color="auto" w:fill="FFFFFF"/>
        </w:rPr>
      </w:pPr>
      <w:bookmarkStart w:id="121" w:name="OLE_LINK611"/>
      <w:r w:rsidRPr="004931C2">
        <w:rPr>
          <w:rFonts w:ascii="Book Antiqua" w:hAnsi="Book Antiqua" w:cs="TimesNewRomanPS-BoldItalicMT"/>
          <w:b/>
          <w:bCs/>
          <w:iCs/>
          <w:kern w:val="0"/>
          <w:sz w:val="24"/>
          <w:szCs w:val="24"/>
        </w:rPr>
        <w:t>Data sharing</w:t>
      </w:r>
      <w:r w:rsidR="00C270FB" w:rsidRPr="004931C2">
        <w:rPr>
          <w:rFonts w:ascii="Book Antiqua" w:hAnsi="Book Antiqua" w:cs="TimesNewRomanPS-BoldItalicMT"/>
          <w:b/>
          <w:bCs/>
          <w:iCs/>
          <w:kern w:val="0"/>
          <w:sz w:val="24"/>
          <w:szCs w:val="24"/>
        </w:rPr>
        <w:t xml:space="preserve"> statement</w:t>
      </w:r>
      <w:r w:rsidRPr="004931C2">
        <w:rPr>
          <w:rFonts w:ascii="Book Antiqua" w:hAnsi="Book Antiqua" w:cs="TimesNewRomanPS-BoldItalicMT"/>
          <w:b/>
          <w:bCs/>
          <w:iCs/>
          <w:kern w:val="0"/>
          <w:sz w:val="24"/>
          <w:szCs w:val="24"/>
        </w:rPr>
        <w:t>:</w:t>
      </w:r>
      <w:r w:rsidR="008A54ED" w:rsidRPr="004931C2">
        <w:rPr>
          <w:rFonts w:ascii="Book Antiqua" w:hAnsi="Book Antiqua"/>
          <w:sz w:val="24"/>
          <w:szCs w:val="24"/>
        </w:rPr>
        <w:t xml:space="preserve"> </w:t>
      </w:r>
      <w:r w:rsidR="008A54ED" w:rsidRPr="0002392D">
        <w:rPr>
          <w:rFonts w:ascii="Book Antiqua" w:hAnsi="Book Antiqua"/>
          <w:sz w:val="24"/>
          <w:szCs w:val="24"/>
        </w:rPr>
        <w:t>No additional unpublished data are available.</w:t>
      </w:r>
    </w:p>
    <w:p w:rsidR="00C270FB" w:rsidRPr="004931C2" w:rsidRDefault="00C270FB" w:rsidP="004931C2">
      <w:pPr>
        <w:autoSpaceDE w:val="0"/>
        <w:autoSpaceDN w:val="0"/>
        <w:adjustRightInd w:val="0"/>
        <w:snapToGrid w:val="0"/>
        <w:spacing w:line="360" w:lineRule="auto"/>
        <w:rPr>
          <w:rFonts w:ascii="Book Antiqua" w:hAnsi="Book Antiqua"/>
          <w:sz w:val="24"/>
          <w:szCs w:val="24"/>
          <w:shd w:val="pct15" w:color="auto" w:fill="FFFFFF"/>
        </w:rPr>
      </w:pPr>
    </w:p>
    <w:p w:rsidR="00C270FB" w:rsidRPr="004931C2" w:rsidRDefault="00C270FB" w:rsidP="004931C2">
      <w:pPr>
        <w:widowControl/>
        <w:adjustRightInd w:val="0"/>
        <w:snapToGrid w:val="0"/>
        <w:spacing w:line="360" w:lineRule="auto"/>
        <w:rPr>
          <w:rFonts w:ascii="Book Antiqua" w:hAnsi="Book Antiqua"/>
          <w:sz w:val="24"/>
          <w:szCs w:val="24"/>
        </w:rPr>
      </w:pPr>
      <w:bookmarkStart w:id="122" w:name="OLE_LINK441"/>
      <w:bookmarkStart w:id="123" w:name="OLE_LINK442"/>
      <w:bookmarkStart w:id="124" w:name="OLE_LINK1032"/>
      <w:bookmarkStart w:id="125" w:name="OLE_LINK1460"/>
      <w:bookmarkStart w:id="126" w:name="OLE_LINK1708"/>
      <w:bookmarkStart w:id="127" w:name="OLE_LINK1435"/>
      <w:bookmarkStart w:id="128" w:name="OLE_LINK1478"/>
      <w:bookmarkStart w:id="129" w:name="OLE_LINK1428"/>
      <w:bookmarkStart w:id="130" w:name="OLE_LINK1355"/>
      <w:bookmarkStart w:id="131" w:name="OLE_LINK1425"/>
      <w:bookmarkStart w:id="132" w:name="OLE_LINK1504"/>
      <w:bookmarkStart w:id="133" w:name="OLE_LINK1544"/>
      <w:bookmarkStart w:id="134" w:name="OLE_LINK1680"/>
      <w:bookmarkStart w:id="135" w:name="OLE_LINK1710"/>
      <w:bookmarkStart w:id="136" w:name="OLE_LINK3317"/>
      <w:bookmarkStart w:id="137" w:name="OLE_LINK22"/>
      <w:bookmarkStart w:id="138" w:name="OLE_LINK1684"/>
      <w:bookmarkStart w:id="139" w:name="OLE_LINK1885"/>
      <w:bookmarkStart w:id="140" w:name="OLE_LINK1799"/>
      <w:bookmarkStart w:id="141" w:name="OLE_LINK27"/>
      <w:bookmarkStart w:id="142" w:name="OLE_LINK732"/>
      <w:bookmarkStart w:id="143" w:name="OLE_LINK2053"/>
      <w:bookmarkStart w:id="144" w:name="OLE_LINK2096"/>
      <w:bookmarkStart w:id="145" w:name="OLE_LINK2035"/>
      <w:bookmarkEnd w:id="112"/>
      <w:bookmarkEnd w:id="113"/>
      <w:bookmarkEnd w:id="114"/>
      <w:bookmarkEnd w:id="115"/>
      <w:bookmarkEnd w:id="116"/>
      <w:bookmarkEnd w:id="121"/>
      <w:r w:rsidRPr="004931C2">
        <w:rPr>
          <w:rFonts w:ascii="Book Antiqua" w:hAnsi="Book Antiqua"/>
          <w:b/>
          <w:color w:val="000000"/>
          <w:kern w:val="0"/>
          <w:sz w:val="24"/>
          <w:szCs w:val="24"/>
        </w:rPr>
        <w:t xml:space="preserve">Open-Access: </w:t>
      </w:r>
      <w:bookmarkStart w:id="146" w:name="OLE_LINK479"/>
      <w:bookmarkStart w:id="147" w:name="OLE_LINK496"/>
      <w:bookmarkStart w:id="148" w:name="OLE_LINK506"/>
      <w:bookmarkStart w:id="149" w:name="OLE_LINK507"/>
      <w:r w:rsidRPr="004931C2">
        <w:rPr>
          <w:rFonts w:ascii="Book Antiqua" w:hAnsi="Book Antiqua"/>
          <w:color w:val="000000"/>
          <w:sz w:val="24"/>
          <w:szCs w:val="24"/>
        </w:rPr>
        <w:t xml:space="preserve">This article is an </w:t>
      </w:r>
      <w:r w:rsidRPr="004931C2">
        <w:rPr>
          <w:rFonts w:ascii="Book Antiqua" w:hAnsi="Book Antiqua"/>
          <w:sz w:val="24"/>
          <w:szCs w:val="24"/>
        </w:rPr>
        <w:t xml:space="preserve">open-access article which </w:t>
      </w:r>
      <w:r w:rsidRPr="004931C2">
        <w:rPr>
          <w:rFonts w:ascii="Book Antiqua" w:hAnsi="Book Antiqua"/>
          <w:color w:val="000000"/>
          <w:sz w:val="24"/>
          <w:szCs w:val="24"/>
        </w:rPr>
        <w:t>was selected by an in-house editor and fully peer-reviewed by external reviewers. It is dis</w:t>
      </w:r>
      <w:r w:rsidRPr="004931C2">
        <w:rPr>
          <w:rFonts w:ascii="Book Antiqua" w:hAnsi="Book Antiqua"/>
          <w:sz w:val="24"/>
          <w:szCs w:val="24"/>
        </w:rPr>
        <w:t xml:space="preserve">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4931C2">
          <w:rPr>
            <w:rStyle w:val="Hyperlink"/>
            <w:rFonts w:ascii="Book Antiqua" w:hAnsi="Book Antiqua"/>
            <w:sz w:val="24"/>
            <w:szCs w:val="24"/>
          </w:rPr>
          <w:t>http://creativecommons.org/licenses/by-nc/4.0/</w:t>
        </w:r>
      </w:hyperlink>
      <w:bookmarkEnd w:id="146"/>
      <w:bookmarkEnd w:id="147"/>
      <w:bookmarkEnd w:id="148"/>
      <w:bookmarkEnd w:id="149"/>
    </w:p>
    <w:p w:rsidR="00C270FB" w:rsidRPr="004931C2" w:rsidRDefault="00C270FB" w:rsidP="004931C2">
      <w:pPr>
        <w:widowControl/>
        <w:adjustRightInd w:val="0"/>
        <w:snapToGrid w:val="0"/>
        <w:spacing w:line="360" w:lineRule="auto"/>
        <w:rPr>
          <w:rFonts w:ascii="Book Antiqua" w:hAnsi="Book Antiqua" w:cs="SimSun"/>
          <w:kern w:val="0"/>
          <w:sz w:val="24"/>
          <w:szCs w:val="24"/>
        </w:rPr>
      </w:pPr>
    </w:p>
    <w:p w:rsidR="003200E6" w:rsidRPr="0002392D" w:rsidRDefault="00C270FB" w:rsidP="0002392D">
      <w:pPr>
        <w:widowControl/>
        <w:adjustRightInd w:val="0"/>
        <w:snapToGrid w:val="0"/>
        <w:spacing w:line="360" w:lineRule="auto"/>
        <w:rPr>
          <w:rFonts w:ascii="Book Antiqua" w:hAnsi="Book Antiqua"/>
          <w:sz w:val="24"/>
          <w:szCs w:val="24"/>
        </w:rPr>
      </w:pPr>
      <w:bookmarkStart w:id="150" w:name="OLE_LINK1529"/>
      <w:bookmarkStart w:id="151" w:name="OLE_LINK1530"/>
      <w:bookmarkStart w:id="152" w:name="OLE_LINK1701"/>
      <w:bookmarkStart w:id="153" w:name="OLE_LINK193"/>
      <w:bookmarkStart w:id="154" w:name="OLE_LINK194"/>
      <w:bookmarkStart w:id="155" w:name="OLE_LINK1134"/>
      <w:bookmarkStart w:id="156" w:name="OLE_LINK1421"/>
      <w:bookmarkStart w:id="157" w:name="OLE_LINK1660"/>
      <w:bookmarkStart w:id="158" w:name="OLE_LINK3318"/>
      <w:bookmarkStart w:id="159" w:name="OLE_LINK30"/>
      <w:bookmarkStart w:id="160" w:name="OLE_LINK34"/>
      <w:bookmarkStart w:id="161" w:name="OLE_LINK200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4931C2">
        <w:rPr>
          <w:rFonts w:ascii="Book Antiqua" w:hAnsi="Book Antiqua"/>
          <w:b/>
          <w:color w:val="000000"/>
          <w:sz w:val="24"/>
          <w:szCs w:val="24"/>
        </w:rPr>
        <w:t xml:space="preserve">Correspondence </w:t>
      </w:r>
      <w:bookmarkEnd w:id="150"/>
      <w:bookmarkEnd w:id="151"/>
      <w:r w:rsidRPr="004931C2">
        <w:rPr>
          <w:rFonts w:ascii="Book Antiqua" w:hAnsi="Book Antiqua"/>
          <w:b/>
          <w:color w:val="000000"/>
          <w:sz w:val="24"/>
          <w:szCs w:val="24"/>
        </w:rPr>
        <w:t>to:</w:t>
      </w:r>
      <w:bookmarkStart w:id="162" w:name="OLE_LINK2186"/>
      <w:bookmarkStart w:id="163" w:name="OLE_LINK2187"/>
      <w:bookmarkEnd w:id="152"/>
      <w:r w:rsidRPr="004931C2">
        <w:rPr>
          <w:rFonts w:ascii="Book Antiqua" w:hAnsi="Book Antiqua"/>
          <w:b/>
          <w:color w:val="000000"/>
          <w:sz w:val="24"/>
          <w:szCs w:val="24"/>
        </w:rPr>
        <w:t xml:space="preserve"> </w:t>
      </w:r>
      <w:bookmarkEnd w:id="153"/>
      <w:bookmarkEnd w:id="154"/>
      <w:bookmarkEnd w:id="155"/>
      <w:bookmarkEnd w:id="156"/>
      <w:bookmarkEnd w:id="157"/>
      <w:bookmarkEnd w:id="158"/>
      <w:bookmarkEnd w:id="159"/>
      <w:bookmarkEnd w:id="160"/>
      <w:bookmarkEnd w:id="161"/>
      <w:r w:rsidR="003200E6" w:rsidRPr="0002392D">
        <w:rPr>
          <w:rFonts w:ascii="Book Antiqua" w:hAnsi="Book Antiqua"/>
          <w:b/>
          <w:sz w:val="24"/>
          <w:szCs w:val="24"/>
        </w:rPr>
        <w:t xml:space="preserve">Zi-Rong Liu, </w:t>
      </w:r>
      <w:r w:rsidRPr="0002392D">
        <w:rPr>
          <w:rFonts w:ascii="Book Antiqua" w:hAnsi="Book Antiqua"/>
          <w:b/>
          <w:sz w:val="24"/>
          <w:szCs w:val="24"/>
        </w:rPr>
        <w:t>Postgraduate</w:t>
      </w:r>
      <w:r w:rsidR="003200E6" w:rsidRPr="0002392D">
        <w:rPr>
          <w:rFonts w:ascii="Book Antiqua" w:hAnsi="Book Antiqua"/>
          <w:b/>
          <w:sz w:val="24"/>
          <w:szCs w:val="24"/>
        </w:rPr>
        <w:t xml:space="preserve">, </w:t>
      </w:r>
      <w:r w:rsidR="003200E6" w:rsidRPr="0002392D">
        <w:rPr>
          <w:rFonts w:ascii="Book Antiqua" w:hAnsi="Book Antiqua"/>
          <w:sz w:val="24"/>
          <w:szCs w:val="24"/>
        </w:rPr>
        <w:t>First Central Clinic of Tianjin Medical University</w:t>
      </w:r>
      <w:r w:rsidRPr="0002392D">
        <w:rPr>
          <w:rFonts w:ascii="Book Antiqua" w:hAnsi="Book Antiqua"/>
          <w:sz w:val="24"/>
          <w:szCs w:val="24"/>
        </w:rPr>
        <w:t xml:space="preserve">, No. </w:t>
      </w:r>
      <w:r w:rsidR="003200E6" w:rsidRPr="0002392D">
        <w:rPr>
          <w:rFonts w:ascii="Book Antiqua" w:hAnsi="Book Antiqua"/>
          <w:sz w:val="24"/>
          <w:szCs w:val="24"/>
        </w:rPr>
        <w:t>24 Fukang road, Nankai district, Tianjin</w:t>
      </w:r>
      <w:r w:rsidRPr="0002392D">
        <w:rPr>
          <w:rFonts w:ascii="Book Antiqua" w:hAnsi="Book Antiqua"/>
          <w:sz w:val="24"/>
          <w:szCs w:val="24"/>
        </w:rPr>
        <w:t xml:space="preserve"> 300192</w:t>
      </w:r>
      <w:r w:rsidR="003200E6" w:rsidRPr="0002392D">
        <w:rPr>
          <w:rFonts w:ascii="Book Antiqua" w:hAnsi="Book Antiqua"/>
          <w:sz w:val="24"/>
          <w:szCs w:val="24"/>
        </w:rPr>
        <w:t>, China</w:t>
      </w:r>
      <w:r w:rsidRPr="0002392D">
        <w:rPr>
          <w:rFonts w:ascii="Book Antiqua" w:hAnsi="Book Antiqua"/>
          <w:sz w:val="24"/>
          <w:szCs w:val="24"/>
        </w:rPr>
        <w:t xml:space="preserve">. </w:t>
      </w:r>
      <w:hyperlink r:id="rId8" w:history="1">
        <w:r w:rsidR="0004021F" w:rsidRPr="0002392D">
          <w:rPr>
            <w:rFonts w:ascii="Book Antiqua" w:hAnsi="Book Antiqua"/>
            <w:sz w:val="24"/>
            <w:szCs w:val="24"/>
          </w:rPr>
          <w:t>liuzirong0730@163.com</w:t>
        </w:r>
      </w:hyperlink>
    </w:p>
    <w:bookmarkEnd w:id="162"/>
    <w:bookmarkEnd w:id="163"/>
    <w:p w:rsidR="0004021F" w:rsidRPr="0002392D" w:rsidRDefault="0004021F" w:rsidP="0002392D">
      <w:pPr>
        <w:widowControl/>
        <w:adjustRightInd w:val="0"/>
        <w:snapToGrid w:val="0"/>
        <w:spacing w:line="360" w:lineRule="auto"/>
        <w:rPr>
          <w:rFonts w:ascii="Book Antiqua" w:hAnsi="Book Antiqua"/>
          <w:sz w:val="24"/>
          <w:szCs w:val="24"/>
        </w:rPr>
      </w:pPr>
      <w:r w:rsidRPr="000C3346">
        <w:rPr>
          <w:rFonts w:ascii="Book Antiqua" w:hAnsi="Book Antiqua"/>
          <w:b/>
          <w:sz w:val="24"/>
          <w:szCs w:val="24"/>
        </w:rPr>
        <w:t>Telephone:</w:t>
      </w:r>
      <w:r w:rsidR="00880B1B" w:rsidRPr="000C3346">
        <w:rPr>
          <w:rFonts w:ascii="Book Antiqua" w:hAnsi="Book Antiqua"/>
          <w:b/>
          <w:sz w:val="24"/>
          <w:szCs w:val="24"/>
        </w:rPr>
        <w:t xml:space="preserve"> </w:t>
      </w:r>
      <w:r w:rsidR="00C6548E" w:rsidRPr="0002392D">
        <w:rPr>
          <w:rFonts w:ascii="Book Antiqua" w:hAnsi="Book Antiqua"/>
          <w:sz w:val="24"/>
          <w:szCs w:val="24"/>
        </w:rPr>
        <w:t>+</w:t>
      </w:r>
      <w:r w:rsidR="00880B1B" w:rsidRPr="0002392D">
        <w:rPr>
          <w:rFonts w:ascii="Book Antiqua" w:hAnsi="Book Antiqua"/>
          <w:sz w:val="24"/>
          <w:szCs w:val="24"/>
        </w:rPr>
        <w:t xml:space="preserve"> </w:t>
      </w:r>
      <w:r w:rsidRPr="0002392D">
        <w:rPr>
          <w:rFonts w:ascii="Book Antiqua" w:hAnsi="Book Antiqua"/>
          <w:sz w:val="24"/>
          <w:szCs w:val="24"/>
        </w:rPr>
        <w:t>86-13132206635</w:t>
      </w:r>
    </w:p>
    <w:p w:rsidR="00C270FB" w:rsidRPr="004931C2" w:rsidRDefault="00C270FB" w:rsidP="004931C2">
      <w:pPr>
        <w:adjustRightInd w:val="0"/>
        <w:snapToGrid w:val="0"/>
        <w:spacing w:line="360" w:lineRule="auto"/>
        <w:rPr>
          <w:rFonts w:ascii="Book Antiqua" w:hAnsi="Book Antiqua"/>
          <w:sz w:val="24"/>
          <w:szCs w:val="24"/>
          <w:shd w:val="pct15" w:color="auto" w:fill="FFFFFF"/>
        </w:rPr>
      </w:pPr>
    </w:p>
    <w:p w:rsidR="00C270FB" w:rsidRPr="004931C2" w:rsidRDefault="00C270FB" w:rsidP="004931C2">
      <w:pPr>
        <w:adjustRightInd w:val="0"/>
        <w:snapToGrid w:val="0"/>
        <w:spacing w:line="360" w:lineRule="auto"/>
        <w:rPr>
          <w:rFonts w:ascii="Book Antiqua" w:hAnsi="Book Antiqua"/>
          <w:b/>
          <w:bCs/>
          <w:sz w:val="24"/>
          <w:szCs w:val="24"/>
        </w:rPr>
      </w:pPr>
      <w:bookmarkStart w:id="164" w:name="OLE_LINK1346"/>
      <w:bookmarkStart w:id="165" w:name="OLE_LINK1347"/>
      <w:bookmarkStart w:id="166" w:name="OLE_LINK1461"/>
      <w:bookmarkStart w:id="167" w:name="OLE_LINK1437"/>
      <w:bookmarkStart w:id="168" w:name="OLE_LINK1493"/>
      <w:bookmarkStart w:id="169" w:name="OLE_LINK1436"/>
      <w:bookmarkStart w:id="170" w:name="OLE_LINK1584"/>
      <w:bookmarkStart w:id="171" w:name="OLE_LINK1426"/>
      <w:bookmarkStart w:id="172" w:name="OLE_LINK1470"/>
      <w:bookmarkStart w:id="173" w:name="OLE_LINK1726"/>
      <w:bookmarkStart w:id="174" w:name="OLE_LINK1773"/>
      <w:bookmarkStart w:id="175" w:name="OLE_LINK1819"/>
      <w:bookmarkStart w:id="176" w:name="OLE_LINK1800"/>
      <w:bookmarkStart w:id="177" w:name="OLE_LINK1718"/>
      <w:bookmarkStart w:id="178" w:name="OLE_LINK1895"/>
      <w:bookmarkStart w:id="179" w:name="OLE_LINK25"/>
      <w:bookmarkStart w:id="180" w:name="OLE_LINK29"/>
      <w:bookmarkStart w:id="181" w:name="OLE_LINK733"/>
      <w:bookmarkStart w:id="182" w:name="OLE_LINK2054"/>
      <w:bookmarkStart w:id="183" w:name="OLE_LINK2097"/>
      <w:bookmarkStart w:id="184" w:name="OLE_LINK2036"/>
      <w:bookmarkStart w:id="185" w:name="OLE_LINK2126"/>
      <w:r w:rsidRPr="004931C2">
        <w:rPr>
          <w:rFonts w:ascii="Book Antiqua" w:hAnsi="Book Antiqua"/>
          <w:b/>
          <w:bCs/>
          <w:sz w:val="24"/>
          <w:szCs w:val="24"/>
        </w:rPr>
        <w:t xml:space="preserve">Received: </w:t>
      </w:r>
      <w:r w:rsidRPr="004931C2">
        <w:rPr>
          <w:rFonts w:ascii="Book Antiqua" w:hAnsi="Book Antiqua"/>
          <w:bCs/>
          <w:sz w:val="24"/>
          <w:szCs w:val="24"/>
        </w:rPr>
        <w:t>Juen 20, 2015</w:t>
      </w:r>
    </w:p>
    <w:p w:rsidR="00C270FB" w:rsidRPr="004931C2" w:rsidRDefault="00C270FB" w:rsidP="004931C2">
      <w:pPr>
        <w:adjustRightInd w:val="0"/>
        <w:snapToGrid w:val="0"/>
        <w:spacing w:line="360" w:lineRule="auto"/>
        <w:rPr>
          <w:rFonts w:ascii="Book Antiqua" w:hAnsi="Book Antiqua"/>
          <w:bCs/>
          <w:sz w:val="24"/>
          <w:szCs w:val="24"/>
        </w:rPr>
      </w:pPr>
      <w:r w:rsidRPr="004931C2">
        <w:rPr>
          <w:rFonts w:ascii="Book Antiqua" w:hAnsi="Book Antiqua"/>
          <w:b/>
          <w:bCs/>
          <w:sz w:val="24"/>
          <w:szCs w:val="24"/>
        </w:rPr>
        <w:t xml:space="preserve">Peer-review started: </w:t>
      </w:r>
      <w:r w:rsidRPr="004931C2">
        <w:rPr>
          <w:rFonts w:ascii="Book Antiqua" w:hAnsi="Book Antiqua"/>
          <w:bCs/>
          <w:sz w:val="24"/>
          <w:szCs w:val="24"/>
        </w:rPr>
        <w:t>June 21, 2015</w:t>
      </w:r>
    </w:p>
    <w:p w:rsidR="00C270FB" w:rsidRPr="004931C2" w:rsidRDefault="00C270FB" w:rsidP="004931C2">
      <w:pPr>
        <w:adjustRightInd w:val="0"/>
        <w:snapToGrid w:val="0"/>
        <w:spacing w:line="360" w:lineRule="auto"/>
        <w:rPr>
          <w:rFonts w:ascii="Book Antiqua" w:hAnsi="Book Antiqua"/>
          <w:bCs/>
          <w:sz w:val="24"/>
          <w:szCs w:val="24"/>
        </w:rPr>
      </w:pPr>
      <w:r w:rsidRPr="004931C2">
        <w:rPr>
          <w:rFonts w:ascii="Book Antiqua" w:hAnsi="Book Antiqua"/>
          <w:b/>
          <w:bCs/>
          <w:sz w:val="24"/>
          <w:szCs w:val="24"/>
        </w:rPr>
        <w:t>First decision:</w:t>
      </w:r>
      <w:r w:rsidRPr="004931C2">
        <w:rPr>
          <w:rFonts w:ascii="Book Antiqua" w:hAnsi="Book Antiqua"/>
          <w:bCs/>
          <w:sz w:val="24"/>
          <w:szCs w:val="24"/>
        </w:rPr>
        <w:t xml:space="preserve"> July 10, 2015</w:t>
      </w:r>
    </w:p>
    <w:p w:rsidR="00C270FB" w:rsidRPr="004931C2" w:rsidRDefault="00C270FB" w:rsidP="004931C2">
      <w:pPr>
        <w:adjustRightInd w:val="0"/>
        <w:snapToGrid w:val="0"/>
        <w:spacing w:line="360" w:lineRule="auto"/>
        <w:rPr>
          <w:rFonts w:ascii="Book Antiqua" w:hAnsi="Book Antiqua"/>
          <w:bCs/>
          <w:sz w:val="24"/>
          <w:szCs w:val="24"/>
        </w:rPr>
      </w:pPr>
      <w:r w:rsidRPr="004931C2">
        <w:rPr>
          <w:rFonts w:ascii="Book Antiqua" w:hAnsi="Book Antiqua"/>
          <w:b/>
          <w:bCs/>
          <w:sz w:val="24"/>
          <w:szCs w:val="24"/>
        </w:rPr>
        <w:t>Revised:</w:t>
      </w:r>
      <w:r w:rsidRPr="004931C2">
        <w:rPr>
          <w:rFonts w:ascii="Book Antiqua" w:hAnsi="Book Antiqua"/>
          <w:bCs/>
          <w:sz w:val="24"/>
          <w:szCs w:val="24"/>
        </w:rPr>
        <w:t xml:space="preserve"> July 21, 2015</w:t>
      </w:r>
    </w:p>
    <w:p w:rsidR="00E1571F" w:rsidRPr="004B5E0D" w:rsidRDefault="00C270FB" w:rsidP="00E1571F">
      <w:pPr>
        <w:spacing w:line="360" w:lineRule="auto"/>
        <w:rPr>
          <w:rFonts w:ascii="Book Antiqua" w:hAnsi="Book Antiqua"/>
          <w:color w:val="000000"/>
          <w:sz w:val="24"/>
        </w:rPr>
      </w:pPr>
      <w:r w:rsidRPr="004931C2">
        <w:rPr>
          <w:rFonts w:ascii="Book Antiqua" w:hAnsi="Book Antiqua"/>
          <w:b/>
          <w:bCs/>
          <w:sz w:val="24"/>
          <w:szCs w:val="24"/>
        </w:rPr>
        <w:t>Accepted:</w:t>
      </w:r>
      <w:bookmarkStart w:id="186" w:name="OLE_LINK98"/>
      <w:bookmarkStart w:id="187" w:name="OLE_LINK99"/>
      <w:bookmarkStart w:id="188" w:name="OLE_LINK104"/>
      <w:bookmarkStart w:id="189" w:name="OLE_LINK115"/>
      <w:bookmarkStart w:id="190" w:name="OLE_LINK116"/>
      <w:bookmarkStart w:id="191" w:name="OLE_LINK117"/>
      <w:bookmarkStart w:id="192" w:name="OLE_LINK118"/>
      <w:bookmarkStart w:id="193" w:name="OLE_LINK119"/>
      <w:bookmarkStart w:id="194" w:name="OLE_LINK121"/>
      <w:bookmarkStart w:id="195" w:name="OLE_LINK122"/>
      <w:bookmarkStart w:id="196" w:name="OLE_LINK125"/>
      <w:bookmarkStart w:id="197" w:name="OLE_LINK126"/>
      <w:bookmarkStart w:id="198" w:name="OLE_LINK127"/>
      <w:bookmarkStart w:id="199" w:name="OLE_LINK129"/>
      <w:bookmarkStart w:id="200" w:name="OLE_LINK132"/>
      <w:bookmarkStart w:id="201" w:name="OLE_LINK134"/>
      <w:bookmarkStart w:id="202" w:name="OLE_LINK135"/>
      <w:bookmarkStart w:id="203" w:name="OLE_LINK136"/>
      <w:bookmarkStart w:id="204" w:name="OLE_LINK137"/>
      <w:bookmarkStart w:id="205" w:name="OLE_LINK138"/>
      <w:bookmarkStart w:id="206" w:name="OLE_LINK139"/>
      <w:bookmarkStart w:id="207" w:name="OLE_LINK141"/>
      <w:bookmarkStart w:id="208" w:name="OLE_LINK142"/>
      <w:r w:rsidR="00E1571F" w:rsidRPr="00E1571F">
        <w:rPr>
          <w:rFonts w:ascii="Book Antiqua" w:hAnsi="Book Antiqua"/>
          <w:color w:val="000000"/>
          <w:sz w:val="24"/>
        </w:rPr>
        <w:t xml:space="preserve"> </w:t>
      </w:r>
      <w:r w:rsidR="00E1571F">
        <w:rPr>
          <w:rFonts w:ascii="Book Antiqua" w:hAnsi="Book Antiqua"/>
          <w:color w:val="000000"/>
          <w:sz w:val="24"/>
        </w:rPr>
        <w:t>October 23, 2015</w:t>
      </w:r>
    </w:p>
    <w:p w:rsidR="00C270FB" w:rsidRPr="004931C2" w:rsidRDefault="00880B1B" w:rsidP="004931C2">
      <w:pPr>
        <w:adjustRightInd w:val="0"/>
        <w:snapToGrid w:val="0"/>
        <w:spacing w:line="360" w:lineRule="auto"/>
        <w:rPr>
          <w:rFonts w:ascii="Book Antiqua" w:hAnsi="Book Antiqua"/>
          <w:b/>
          <w:bCs/>
          <w:sz w:val="24"/>
          <w:szCs w:val="24"/>
        </w:rPr>
      </w:pPr>
      <w:bookmarkStart w:id="209" w:name="_GoBack"/>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Pr>
          <w:rFonts w:ascii="Book Antiqua" w:hAnsi="Book Antiqua"/>
          <w:b/>
          <w:bCs/>
          <w:sz w:val="24"/>
          <w:szCs w:val="24"/>
        </w:rPr>
        <w:lastRenderedPageBreak/>
        <w:t xml:space="preserve"> </w:t>
      </w:r>
    </w:p>
    <w:p w:rsidR="00C270FB" w:rsidRPr="004931C2" w:rsidRDefault="00C270FB" w:rsidP="004931C2">
      <w:pPr>
        <w:adjustRightInd w:val="0"/>
        <w:snapToGrid w:val="0"/>
        <w:spacing w:line="360" w:lineRule="auto"/>
        <w:rPr>
          <w:rFonts w:ascii="Book Antiqua" w:hAnsi="Book Antiqua"/>
          <w:b/>
          <w:bCs/>
          <w:sz w:val="24"/>
          <w:szCs w:val="24"/>
        </w:rPr>
      </w:pPr>
      <w:r w:rsidRPr="004931C2">
        <w:rPr>
          <w:rFonts w:ascii="Book Antiqua" w:hAnsi="Book Antiqua"/>
          <w:b/>
          <w:bCs/>
          <w:sz w:val="24"/>
          <w:szCs w:val="24"/>
        </w:rPr>
        <w:t>Article in press:</w:t>
      </w:r>
    </w:p>
    <w:p w:rsidR="00C270FB" w:rsidRPr="004931C2" w:rsidRDefault="00C270FB" w:rsidP="004931C2">
      <w:pPr>
        <w:adjustRightInd w:val="0"/>
        <w:snapToGrid w:val="0"/>
        <w:spacing w:line="360" w:lineRule="auto"/>
        <w:rPr>
          <w:rFonts w:ascii="Book Antiqua" w:hAnsi="Book Antiqua"/>
          <w:b/>
          <w:bCs/>
          <w:sz w:val="24"/>
          <w:szCs w:val="24"/>
        </w:rPr>
      </w:pPr>
      <w:r w:rsidRPr="004931C2">
        <w:rPr>
          <w:rFonts w:ascii="Book Antiqua" w:hAnsi="Book Antiqua"/>
          <w:b/>
          <w:bCs/>
          <w:sz w:val="24"/>
          <w:szCs w:val="24"/>
        </w:rPr>
        <w:t xml:space="preserve">Published online: </w:t>
      </w:r>
    </w:p>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rsidR="0004021F" w:rsidRPr="004931C2" w:rsidRDefault="0004021F" w:rsidP="004931C2">
      <w:pPr>
        <w:adjustRightInd w:val="0"/>
        <w:snapToGrid w:val="0"/>
        <w:spacing w:line="360" w:lineRule="auto"/>
        <w:rPr>
          <w:rFonts w:ascii="Book Antiqua" w:hAnsi="Book Antiqua"/>
          <w:sz w:val="24"/>
          <w:szCs w:val="24"/>
          <w:shd w:val="pct15" w:color="auto" w:fill="FFFFFF"/>
        </w:rPr>
      </w:pPr>
    </w:p>
    <w:p w:rsidR="00C270FB" w:rsidRPr="004931C2" w:rsidRDefault="00C270FB" w:rsidP="004931C2">
      <w:pPr>
        <w:widowControl/>
        <w:adjustRightInd w:val="0"/>
        <w:snapToGrid w:val="0"/>
        <w:spacing w:line="360" w:lineRule="auto"/>
        <w:rPr>
          <w:rFonts w:ascii="Book Antiqua" w:hAnsi="Book Antiqua" w:cs="Times New Roman"/>
          <w:b/>
          <w:sz w:val="24"/>
          <w:szCs w:val="24"/>
        </w:rPr>
      </w:pPr>
      <w:r w:rsidRPr="004931C2">
        <w:rPr>
          <w:rFonts w:ascii="Book Antiqua" w:hAnsi="Book Antiqua" w:cs="Times New Roman"/>
          <w:b/>
          <w:sz w:val="24"/>
          <w:szCs w:val="24"/>
        </w:rPr>
        <w:br w:type="page"/>
      </w:r>
    </w:p>
    <w:p w:rsidR="000958E5" w:rsidRPr="004931C2" w:rsidRDefault="000958E5" w:rsidP="004931C2">
      <w:pPr>
        <w:adjustRightInd w:val="0"/>
        <w:snapToGrid w:val="0"/>
        <w:spacing w:line="360" w:lineRule="auto"/>
        <w:rPr>
          <w:rFonts w:ascii="Book Antiqua" w:hAnsi="Book Antiqua" w:cs="Times New Roman"/>
          <w:b/>
          <w:sz w:val="24"/>
          <w:szCs w:val="24"/>
        </w:rPr>
      </w:pPr>
      <w:r w:rsidRPr="004931C2">
        <w:rPr>
          <w:rFonts w:ascii="Book Antiqua" w:hAnsi="Book Antiqua" w:cs="Times New Roman"/>
          <w:b/>
          <w:sz w:val="24"/>
          <w:szCs w:val="24"/>
        </w:rPr>
        <w:lastRenderedPageBreak/>
        <w:t>Abstract</w:t>
      </w:r>
    </w:p>
    <w:p w:rsidR="00E7092F" w:rsidRPr="004931C2" w:rsidRDefault="00E7092F" w:rsidP="004931C2">
      <w:pPr>
        <w:adjustRightInd w:val="0"/>
        <w:snapToGrid w:val="0"/>
        <w:spacing w:line="360" w:lineRule="auto"/>
        <w:rPr>
          <w:rFonts w:ascii="Book Antiqua" w:hAnsi="Book Antiqua"/>
          <w:sz w:val="24"/>
          <w:szCs w:val="24"/>
        </w:rPr>
      </w:pPr>
      <w:bookmarkStart w:id="210" w:name="OLE_LINK3"/>
      <w:bookmarkStart w:id="211" w:name="OLE_LINK4"/>
      <w:r w:rsidRPr="004931C2">
        <w:rPr>
          <w:rFonts w:ascii="Book Antiqua" w:hAnsi="Book Antiqua" w:cs="Times New Roman"/>
          <w:b/>
          <w:sz w:val="24"/>
          <w:szCs w:val="24"/>
        </w:rPr>
        <w:t>AIM</w:t>
      </w:r>
      <w:r w:rsidR="000958E5" w:rsidRPr="004931C2">
        <w:rPr>
          <w:rFonts w:ascii="Book Antiqua" w:hAnsi="Book Antiqua" w:cs="Times New Roman"/>
          <w:sz w:val="24"/>
          <w:szCs w:val="24"/>
        </w:rPr>
        <w:t xml:space="preserve">: </w:t>
      </w:r>
      <w:r w:rsidRPr="004931C2">
        <w:rPr>
          <w:rFonts w:ascii="Book Antiqua" w:hAnsi="Book Antiqua"/>
          <w:sz w:val="24"/>
          <w:szCs w:val="24"/>
        </w:rPr>
        <w:t xml:space="preserve">To investigate the therapeutic effects and mechanisms of </w:t>
      </w:r>
      <w:r w:rsidR="009E5730" w:rsidRPr="004931C2">
        <w:rPr>
          <w:rFonts w:ascii="Book Antiqua" w:hAnsi="Book Antiqua"/>
          <w:sz w:val="24"/>
          <w:szCs w:val="24"/>
        </w:rPr>
        <w:t>interleukin (</w:t>
      </w:r>
      <w:r w:rsidRPr="004931C2">
        <w:rPr>
          <w:rFonts w:ascii="Book Antiqua" w:hAnsi="Book Antiqua"/>
          <w:sz w:val="24"/>
          <w:szCs w:val="24"/>
        </w:rPr>
        <w:t>IL</w:t>
      </w:r>
      <w:r w:rsidR="009E5730" w:rsidRPr="004931C2">
        <w:rPr>
          <w:rFonts w:ascii="Book Antiqua" w:hAnsi="Book Antiqua"/>
          <w:sz w:val="24"/>
          <w:szCs w:val="24"/>
        </w:rPr>
        <w:t>)</w:t>
      </w:r>
      <w:r w:rsidRPr="004931C2">
        <w:rPr>
          <w:rFonts w:ascii="Book Antiqua" w:hAnsi="Book Antiqua"/>
          <w:sz w:val="24"/>
          <w:szCs w:val="24"/>
        </w:rPr>
        <w:t xml:space="preserve">-22 in liver regeneration with mice with </w:t>
      </w:r>
      <w:r w:rsidR="009E5730" w:rsidRPr="004931C2">
        <w:rPr>
          <w:rFonts w:ascii="Book Antiqua" w:hAnsi="Book Antiqua"/>
          <w:sz w:val="24"/>
          <w:szCs w:val="24"/>
        </w:rPr>
        <w:t>concanavalin A (</w:t>
      </w:r>
      <w:r w:rsidRPr="004931C2">
        <w:rPr>
          <w:rFonts w:ascii="Book Antiqua" w:hAnsi="Book Antiqua"/>
          <w:sz w:val="24"/>
          <w:szCs w:val="24"/>
        </w:rPr>
        <w:t>ConA</w:t>
      </w:r>
      <w:r w:rsidR="009E5730" w:rsidRPr="004931C2">
        <w:rPr>
          <w:rFonts w:ascii="Book Antiqua" w:hAnsi="Book Antiqua"/>
          <w:sz w:val="24"/>
          <w:szCs w:val="24"/>
        </w:rPr>
        <w:t>)</w:t>
      </w:r>
      <w:r w:rsidRPr="004931C2">
        <w:rPr>
          <w:rFonts w:ascii="Book Antiqua" w:hAnsi="Book Antiqua"/>
          <w:sz w:val="24"/>
          <w:szCs w:val="24"/>
        </w:rPr>
        <w:t>-mediated liver injury following 70</w:t>
      </w:r>
      <w:r w:rsidR="009E5730" w:rsidRPr="004931C2">
        <w:rPr>
          <w:rFonts w:ascii="Book Antiqua" w:hAnsi="Book Antiqua"/>
          <w:sz w:val="24"/>
          <w:szCs w:val="24"/>
        </w:rPr>
        <w:t>%</w:t>
      </w:r>
      <w:r w:rsidRPr="004931C2">
        <w:rPr>
          <w:rFonts w:ascii="Book Antiqua" w:hAnsi="Book Antiqua"/>
          <w:sz w:val="24"/>
          <w:szCs w:val="24"/>
        </w:rPr>
        <w:t xml:space="preserve"> hepatectomy.</w:t>
      </w:r>
    </w:p>
    <w:p w:rsidR="000958E5" w:rsidRPr="004931C2" w:rsidRDefault="000958E5" w:rsidP="004931C2">
      <w:pPr>
        <w:adjustRightInd w:val="0"/>
        <w:snapToGrid w:val="0"/>
        <w:spacing w:line="360" w:lineRule="auto"/>
        <w:rPr>
          <w:rFonts w:ascii="Book Antiqua" w:hAnsi="Book Antiqua" w:cs="Times New Roman"/>
          <w:sz w:val="24"/>
          <w:szCs w:val="24"/>
        </w:rPr>
      </w:pPr>
    </w:p>
    <w:p w:rsidR="000958E5" w:rsidRPr="004931C2" w:rsidRDefault="009E5730" w:rsidP="004931C2">
      <w:pPr>
        <w:adjustRightInd w:val="0"/>
        <w:snapToGrid w:val="0"/>
        <w:spacing w:line="360" w:lineRule="auto"/>
        <w:rPr>
          <w:rFonts w:ascii="Book Antiqua" w:hAnsi="Book Antiqua" w:cs="Times New Roman"/>
          <w:sz w:val="24"/>
          <w:szCs w:val="24"/>
        </w:rPr>
      </w:pPr>
      <w:r w:rsidRPr="004931C2">
        <w:rPr>
          <w:rFonts w:ascii="Book Antiqua" w:hAnsi="Book Antiqua" w:cs="Times New Roman"/>
          <w:b/>
          <w:sz w:val="24"/>
          <w:szCs w:val="24"/>
        </w:rPr>
        <w:t>METHODS</w:t>
      </w:r>
      <w:r w:rsidRPr="004931C2">
        <w:rPr>
          <w:rFonts w:ascii="Book Antiqua" w:hAnsi="Book Antiqua" w:cs="Times New Roman"/>
          <w:sz w:val="24"/>
          <w:szCs w:val="24"/>
        </w:rPr>
        <w:t xml:space="preserve">: </w:t>
      </w:r>
      <w:r w:rsidR="000958E5" w:rsidRPr="004931C2">
        <w:rPr>
          <w:rFonts w:ascii="Book Antiqua" w:hAnsi="Book Antiqua" w:cs="Times New Roman"/>
          <w:sz w:val="24"/>
          <w:szCs w:val="24"/>
        </w:rPr>
        <w:t xml:space="preserve">Mice were injected intravenously with ConA at 10 </w:t>
      </w:r>
      <w:bookmarkStart w:id="212" w:name="OLE_LINK2156"/>
      <w:bookmarkStart w:id="213" w:name="OLE_LINK2157"/>
      <w:r w:rsidRPr="004931C2">
        <w:rPr>
          <w:rFonts w:ascii="Book Antiqua" w:hAnsi="Book Antiqua" w:cs="Times New Roman"/>
          <w:sz w:val="24"/>
          <w:szCs w:val="24"/>
        </w:rPr>
        <w:t>μ</w:t>
      </w:r>
      <w:r w:rsidR="000958E5" w:rsidRPr="004931C2">
        <w:rPr>
          <w:rFonts w:ascii="Book Antiqua" w:hAnsi="Book Antiqua" w:cs="Times New Roman"/>
          <w:sz w:val="24"/>
          <w:szCs w:val="24"/>
        </w:rPr>
        <w:t>g/g</w:t>
      </w:r>
      <w:bookmarkEnd w:id="212"/>
      <w:bookmarkEnd w:id="213"/>
      <w:r w:rsidR="000958E5" w:rsidRPr="004931C2">
        <w:rPr>
          <w:rFonts w:ascii="Book Antiqua" w:hAnsi="Book Antiqua" w:cs="Times New Roman"/>
          <w:sz w:val="24"/>
          <w:szCs w:val="24"/>
        </w:rPr>
        <w:t xml:space="preserve"> body weight 4 days before 70</w:t>
      </w:r>
      <w:r w:rsidRPr="004931C2">
        <w:rPr>
          <w:rFonts w:ascii="Book Antiqua" w:hAnsi="Book Antiqua" w:cs="Times New Roman"/>
          <w:sz w:val="24"/>
          <w:szCs w:val="24"/>
        </w:rPr>
        <w:t>%</w:t>
      </w:r>
      <w:r w:rsidR="000958E5" w:rsidRPr="004931C2">
        <w:rPr>
          <w:rFonts w:ascii="Book Antiqua" w:hAnsi="Book Antiqua" w:cs="Times New Roman"/>
          <w:sz w:val="24"/>
          <w:szCs w:val="24"/>
        </w:rPr>
        <w:t xml:space="preserve"> hepatectomy to create the hepatitis model, and recombinant IL-22 was injected at 0.125 </w:t>
      </w:r>
      <w:r w:rsidRPr="004931C2">
        <w:rPr>
          <w:rFonts w:ascii="Book Antiqua" w:hAnsi="Book Antiqua" w:cs="Times New Roman"/>
          <w:sz w:val="24"/>
          <w:szCs w:val="24"/>
        </w:rPr>
        <w:t>μg/g</w:t>
      </w:r>
      <w:r w:rsidR="000958E5" w:rsidRPr="004931C2">
        <w:rPr>
          <w:rFonts w:ascii="Book Antiqua" w:hAnsi="Book Antiqua" w:cs="Times New Roman"/>
          <w:sz w:val="24"/>
          <w:szCs w:val="24"/>
        </w:rPr>
        <w:t xml:space="preserve"> body weight 30 </w:t>
      </w:r>
      <w:r w:rsidRPr="004931C2">
        <w:rPr>
          <w:rFonts w:ascii="Book Antiqua" w:hAnsi="Book Antiqua" w:cs="Times New Roman"/>
          <w:sz w:val="24"/>
          <w:szCs w:val="24"/>
        </w:rPr>
        <w:t>min</w:t>
      </w:r>
      <w:r w:rsidR="000958E5" w:rsidRPr="004931C2">
        <w:rPr>
          <w:rFonts w:ascii="Book Antiqua" w:hAnsi="Book Antiqua" w:cs="Times New Roman"/>
          <w:sz w:val="24"/>
          <w:szCs w:val="24"/>
        </w:rPr>
        <w:t xml:space="preserve"> prior to 70</w:t>
      </w:r>
      <w:r w:rsidRPr="004931C2">
        <w:rPr>
          <w:rFonts w:ascii="Book Antiqua" w:hAnsi="Book Antiqua" w:cs="Times New Roman"/>
          <w:sz w:val="24"/>
          <w:szCs w:val="24"/>
        </w:rPr>
        <w:t>%</w:t>
      </w:r>
      <w:r w:rsidR="000958E5" w:rsidRPr="004931C2">
        <w:rPr>
          <w:rFonts w:ascii="Book Antiqua" w:hAnsi="Book Antiqua" w:cs="Times New Roman"/>
          <w:sz w:val="24"/>
          <w:szCs w:val="24"/>
        </w:rPr>
        <w:t xml:space="preserve"> hepatectomy to create the therapy model. The control animals received an intravenous injection of an identical volume of saline.</w:t>
      </w:r>
    </w:p>
    <w:p w:rsidR="009E5730" w:rsidRPr="004931C2" w:rsidRDefault="009E5730" w:rsidP="004931C2">
      <w:pPr>
        <w:adjustRightInd w:val="0"/>
        <w:snapToGrid w:val="0"/>
        <w:spacing w:line="360" w:lineRule="auto"/>
        <w:rPr>
          <w:rFonts w:ascii="Book Antiqua" w:hAnsi="Book Antiqua" w:cs="Times New Roman"/>
          <w:sz w:val="24"/>
          <w:szCs w:val="24"/>
        </w:rPr>
      </w:pPr>
    </w:p>
    <w:p w:rsidR="000958E5" w:rsidRPr="004931C2" w:rsidRDefault="009E5730" w:rsidP="004931C2">
      <w:pPr>
        <w:adjustRightInd w:val="0"/>
        <w:snapToGrid w:val="0"/>
        <w:spacing w:line="360" w:lineRule="auto"/>
        <w:rPr>
          <w:rFonts w:ascii="Book Antiqua" w:hAnsi="Book Antiqua" w:cs="Times New Roman"/>
          <w:sz w:val="24"/>
          <w:szCs w:val="24"/>
        </w:rPr>
      </w:pPr>
      <w:r w:rsidRPr="004931C2">
        <w:rPr>
          <w:rFonts w:ascii="Book Antiqua" w:hAnsi="Book Antiqua" w:cs="Times New Roman"/>
          <w:b/>
          <w:sz w:val="24"/>
          <w:szCs w:val="24"/>
        </w:rPr>
        <w:t>RESULTS</w:t>
      </w:r>
      <w:r w:rsidR="000958E5" w:rsidRPr="004931C2">
        <w:rPr>
          <w:rFonts w:ascii="Book Antiqua" w:hAnsi="Book Antiqua" w:cs="Times New Roman"/>
          <w:sz w:val="24"/>
          <w:szCs w:val="24"/>
        </w:rPr>
        <w:t xml:space="preserve">: In the mice, the IL-22 treatment prior to the 70% hepatectomy performed under general anesthesia resulted in reductions in the biochemical and histological evidence of liver injury, the earlier proliferation of chain nuclear antigen expression and accelerated recovery of liver mass. </w:t>
      </w:r>
      <w:bookmarkStart w:id="214" w:name="OLE_LINK1"/>
      <w:bookmarkStart w:id="215" w:name="OLE_LINK2"/>
      <w:r w:rsidR="000958E5" w:rsidRPr="004931C2">
        <w:rPr>
          <w:rFonts w:ascii="Book Antiqua" w:hAnsi="Book Antiqua" w:cs="Times New Roman"/>
          <w:sz w:val="24"/>
          <w:szCs w:val="24"/>
        </w:rPr>
        <w:t>IL-22</w:t>
      </w:r>
      <w:bookmarkEnd w:id="214"/>
      <w:bookmarkEnd w:id="215"/>
      <w:r w:rsidR="000958E5" w:rsidRPr="004931C2">
        <w:rPr>
          <w:rFonts w:ascii="Book Antiqua" w:hAnsi="Book Antiqua" w:cs="Times New Roman"/>
          <w:sz w:val="24"/>
          <w:szCs w:val="24"/>
        </w:rPr>
        <w:t xml:space="preserve"> pretreatment also significantly induced signal transducer and activator of transcription factor 3 (STAT3) activation and increased the expressions of a variety of mitogenic proteins, such as cyclin D1. Furthermore, </w:t>
      </w:r>
      <w:r w:rsidR="000958E5" w:rsidRPr="004931C2">
        <w:rPr>
          <w:rFonts w:ascii="Book Antiqua" w:hAnsi="Book Antiqua" w:cs="Times New Roman"/>
          <w:i/>
          <w:sz w:val="24"/>
          <w:szCs w:val="24"/>
        </w:rPr>
        <w:t>AFP</w:t>
      </w:r>
      <w:r w:rsidR="00B0469A" w:rsidRPr="004931C2">
        <w:rPr>
          <w:rFonts w:ascii="Book Antiqua" w:hAnsi="Book Antiqua" w:cs="Times New Roman"/>
          <w:sz w:val="24"/>
          <w:szCs w:val="24"/>
        </w:rPr>
        <w:t xml:space="preserve"> </w:t>
      </w:r>
      <w:r w:rsidR="000958E5" w:rsidRPr="004931C2">
        <w:rPr>
          <w:rFonts w:ascii="Book Antiqua" w:hAnsi="Book Antiqua" w:cs="Times New Roman"/>
          <w:sz w:val="24"/>
          <w:szCs w:val="24"/>
        </w:rPr>
        <w:t xml:space="preserve">mRNA expression was significantly elevated after IL-22 treatment. </w:t>
      </w:r>
    </w:p>
    <w:p w:rsidR="009E5730" w:rsidRPr="004931C2" w:rsidRDefault="009E5730" w:rsidP="004931C2">
      <w:pPr>
        <w:adjustRightInd w:val="0"/>
        <w:snapToGrid w:val="0"/>
        <w:spacing w:line="360" w:lineRule="auto"/>
        <w:rPr>
          <w:rFonts w:ascii="Book Antiqua" w:hAnsi="Book Antiqua" w:cs="Times New Roman"/>
          <w:sz w:val="24"/>
          <w:szCs w:val="24"/>
        </w:rPr>
      </w:pPr>
    </w:p>
    <w:p w:rsidR="000958E5" w:rsidRPr="004931C2" w:rsidRDefault="009E5730" w:rsidP="004931C2">
      <w:pPr>
        <w:adjustRightInd w:val="0"/>
        <w:snapToGrid w:val="0"/>
        <w:spacing w:line="360" w:lineRule="auto"/>
        <w:rPr>
          <w:rFonts w:ascii="Book Antiqua" w:hAnsi="Book Antiqua" w:cs="Times New Roman"/>
          <w:sz w:val="24"/>
          <w:szCs w:val="24"/>
        </w:rPr>
      </w:pPr>
      <w:r w:rsidRPr="004931C2">
        <w:rPr>
          <w:rFonts w:ascii="Book Antiqua" w:hAnsi="Book Antiqua" w:cs="Times New Roman"/>
          <w:b/>
          <w:sz w:val="24"/>
          <w:szCs w:val="24"/>
        </w:rPr>
        <w:t>CONCLUSION</w:t>
      </w:r>
      <w:r w:rsidR="000958E5" w:rsidRPr="004931C2">
        <w:rPr>
          <w:rFonts w:ascii="Book Antiqua" w:hAnsi="Book Antiqua" w:cs="Times New Roman"/>
          <w:sz w:val="24"/>
          <w:szCs w:val="24"/>
        </w:rPr>
        <w:t xml:space="preserve">: In this study, we demonstrated that IL-22 is a survival factor for hepatocytes and also prevents and repairs liver injury by enhancing pro-growth pathways </w:t>
      </w:r>
      <w:r w:rsidR="000958E5" w:rsidRPr="00880B1B">
        <w:rPr>
          <w:rFonts w:ascii="Book Antiqua" w:hAnsi="Book Antiqua" w:cs="Times New Roman"/>
          <w:i/>
          <w:sz w:val="24"/>
          <w:szCs w:val="24"/>
        </w:rPr>
        <w:t>via</w:t>
      </w:r>
      <w:r w:rsidR="000958E5" w:rsidRPr="004931C2">
        <w:rPr>
          <w:rFonts w:ascii="Book Antiqua" w:hAnsi="Book Antiqua" w:cs="Times New Roman"/>
          <w:sz w:val="24"/>
          <w:szCs w:val="24"/>
        </w:rPr>
        <w:t xml:space="preserve"> STAT3 activation. Treatment with IL-22 protein may represent a novel therapeutic strategy for preventing liver injury patients with liver disease who have undergone hepatectomy.</w:t>
      </w:r>
    </w:p>
    <w:p w:rsidR="009E5730" w:rsidRPr="004931C2" w:rsidRDefault="009E5730" w:rsidP="004931C2">
      <w:pPr>
        <w:adjustRightInd w:val="0"/>
        <w:snapToGrid w:val="0"/>
        <w:spacing w:line="360" w:lineRule="auto"/>
        <w:rPr>
          <w:rFonts w:ascii="Book Antiqua" w:hAnsi="Book Antiqua" w:cs="Times New Roman"/>
          <w:sz w:val="24"/>
          <w:szCs w:val="24"/>
        </w:rPr>
      </w:pPr>
    </w:p>
    <w:bookmarkEnd w:id="210"/>
    <w:bookmarkEnd w:id="211"/>
    <w:p w:rsidR="000958E5" w:rsidRPr="004931C2" w:rsidRDefault="000958E5" w:rsidP="004931C2">
      <w:pPr>
        <w:adjustRightInd w:val="0"/>
        <w:snapToGrid w:val="0"/>
        <w:spacing w:line="360" w:lineRule="auto"/>
        <w:rPr>
          <w:rFonts w:ascii="Book Antiqua" w:hAnsi="Book Antiqua" w:cs="Times New Roman"/>
          <w:sz w:val="24"/>
          <w:szCs w:val="24"/>
        </w:rPr>
      </w:pPr>
      <w:r w:rsidRPr="004931C2">
        <w:rPr>
          <w:rFonts w:ascii="Book Antiqua" w:hAnsi="Book Antiqua" w:cs="Times New Roman"/>
          <w:b/>
          <w:sz w:val="24"/>
          <w:szCs w:val="24"/>
        </w:rPr>
        <w:t>Key</w:t>
      </w:r>
      <w:r w:rsidR="009E5730" w:rsidRPr="004931C2">
        <w:rPr>
          <w:rFonts w:ascii="Book Antiqua" w:hAnsi="Book Antiqua" w:cs="Times New Roman"/>
          <w:b/>
          <w:sz w:val="24"/>
          <w:szCs w:val="24"/>
        </w:rPr>
        <w:t xml:space="preserve"> </w:t>
      </w:r>
      <w:r w:rsidRPr="004931C2">
        <w:rPr>
          <w:rFonts w:ascii="Book Antiqua" w:hAnsi="Book Antiqua" w:cs="Times New Roman"/>
          <w:b/>
          <w:sz w:val="24"/>
          <w:szCs w:val="24"/>
        </w:rPr>
        <w:t>words:</w:t>
      </w:r>
      <w:r w:rsidRPr="004931C2">
        <w:rPr>
          <w:rFonts w:ascii="Book Antiqua" w:hAnsi="Book Antiqua" w:cs="Times New Roman"/>
          <w:sz w:val="24"/>
          <w:szCs w:val="24"/>
        </w:rPr>
        <w:t xml:space="preserve"> </w:t>
      </w:r>
      <w:bookmarkStart w:id="216" w:name="OLE_LINK2188"/>
      <w:bookmarkStart w:id="217" w:name="OLE_LINK2189"/>
      <w:r w:rsidR="009E5730" w:rsidRPr="004931C2">
        <w:rPr>
          <w:rFonts w:ascii="Book Antiqua" w:hAnsi="Book Antiqua" w:cs="Times New Roman"/>
          <w:sz w:val="24"/>
          <w:szCs w:val="24"/>
        </w:rPr>
        <w:t>Interleukin</w:t>
      </w:r>
      <w:r w:rsidRPr="004931C2">
        <w:rPr>
          <w:rFonts w:ascii="Book Antiqua" w:hAnsi="Book Antiqua" w:cs="Times New Roman"/>
          <w:sz w:val="24"/>
          <w:szCs w:val="24"/>
        </w:rPr>
        <w:t>-22</w:t>
      </w:r>
      <w:r w:rsidR="009E5730" w:rsidRPr="004931C2">
        <w:rPr>
          <w:rFonts w:ascii="Book Antiqua" w:hAnsi="Book Antiqua" w:cs="Times New Roman"/>
          <w:sz w:val="24"/>
          <w:szCs w:val="24"/>
        </w:rPr>
        <w:t>;</w:t>
      </w:r>
      <w:r w:rsidRPr="004931C2">
        <w:rPr>
          <w:rFonts w:ascii="Book Antiqua" w:hAnsi="Book Antiqua" w:cs="Times New Roman"/>
          <w:sz w:val="24"/>
          <w:szCs w:val="24"/>
        </w:rPr>
        <w:t xml:space="preserve"> Concanavalin A</w:t>
      </w:r>
      <w:r w:rsidR="009E5730" w:rsidRPr="004931C2">
        <w:rPr>
          <w:rFonts w:ascii="Book Antiqua" w:hAnsi="Book Antiqua" w:cs="Times New Roman"/>
          <w:sz w:val="24"/>
          <w:szCs w:val="24"/>
        </w:rPr>
        <w:t>;</w:t>
      </w:r>
      <w:r w:rsidRPr="004931C2">
        <w:rPr>
          <w:rFonts w:ascii="Book Antiqua" w:hAnsi="Book Antiqua" w:cs="Times New Roman"/>
          <w:sz w:val="24"/>
          <w:szCs w:val="24"/>
        </w:rPr>
        <w:t xml:space="preserve"> </w:t>
      </w:r>
      <w:r w:rsidR="009E5730" w:rsidRPr="004931C2">
        <w:rPr>
          <w:rFonts w:ascii="Book Antiqua" w:hAnsi="Book Antiqua" w:cs="Times New Roman"/>
          <w:sz w:val="24"/>
          <w:szCs w:val="24"/>
        </w:rPr>
        <w:t xml:space="preserve">Partial </w:t>
      </w:r>
      <w:r w:rsidRPr="004931C2">
        <w:rPr>
          <w:rFonts w:ascii="Book Antiqua" w:hAnsi="Book Antiqua" w:cs="Times New Roman"/>
          <w:sz w:val="24"/>
          <w:szCs w:val="24"/>
        </w:rPr>
        <w:t>hepatectomy</w:t>
      </w:r>
      <w:r w:rsidR="009E5730" w:rsidRPr="004931C2">
        <w:rPr>
          <w:rFonts w:ascii="Book Antiqua" w:hAnsi="Book Antiqua" w:cs="Times New Roman"/>
          <w:sz w:val="24"/>
          <w:szCs w:val="24"/>
        </w:rPr>
        <w:t>;</w:t>
      </w:r>
      <w:r w:rsidRPr="004931C2">
        <w:rPr>
          <w:rFonts w:ascii="Book Antiqua" w:hAnsi="Book Antiqua" w:cs="Times New Roman"/>
          <w:sz w:val="24"/>
          <w:szCs w:val="24"/>
        </w:rPr>
        <w:t xml:space="preserve"> </w:t>
      </w:r>
      <w:r w:rsidR="009E5730" w:rsidRPr="004931C2">
        <w:rPr>
          <w:rFonts w:ascii="Book Antiqua" w:hAnsi="Book Antiqua" w:cs="Times New Roman"/>
          <w:sz w:val="24"/>
          <w:szCs w:val="24"/>
        </w:rPr>
        <w:t xml:space="preserve">Liver </w:t>
      </w:r>
      <w:r w:rsidRPr="004931C2">
        <w:rPr>
          <w:rFonts w:ascii="Book Antiqua" w:hAnsi="Book Antiqua" w:cs="Times New Roman"/>
          <w:sz w:val="24"/>
          <w:szCs w:val="24"/>
        </w:rPr>
        <w:t>regeneration</w:t>
      </w:r>
    </w:p>
    <w:p w:rsidR="00CE394B" w:rsidRPr="004931C2" w:rsidRDefault="00CE394B" w:rsidP="004931C2">
      <w:pPr>
        <w:adjustRightInd w:val="0"/>
        <w:snapToGrid w:val="0"/>
        <w:spacing w:line="360" w:lineRule="auto"/>
        <w:rPr>
          <w:rFonts w:ascii="Book Antiqua" w:hAnsi="Book Antiqua" w:cs="Times New Roman"/>
          <w:sz w:val="24"/>
          <w:szCs w:val="24"/>
        </w:rPr>
      </w:pPr>
    </w:p>
    <w:p w:rsidR="009E5730" w:rsidRPr="009E5730" w:rsidRDefault="009E5730" w:rsidP="004931C2">
      <w:pPr>
        <w:adjustRightInd w:val="0"/>
        <w:snapToGrid w:val="0"/>
        <w:spacing w:line="360" w:lineRule="auto"/>
        <w:rPr>
          <w:rFonts w:ascii="Book Antiqua" w:hAnsi="Book Antiqua"/>
          <w:color w:val="000000"/>
          <w:sz w:val="24"/>
          <w:szCs w:val="24"/>
        </w:rPr>
      </w:pPr>
      <w:bookmarkStart w:id="218" w:name="OLE_LINK60"/>
      <w:bookmarkStart w:id="219" w:name="OLE_LINK61"/>
      <w:bookmarkStart w:id="220" w:name="OLE_LINK1429"/>
      <w:bookmarkStart w:id="221" w:name="OLE_LINK1801"/>
      <w:bookmarkStart w:id="222" w:name="OLE_LINK1833"/>
      <w:bookmarkStart w:id="223" w:name="OLE_LINK1896"/>
      <w:bookmarkStart w:id="224" w:name="OLE_LINK1974"/>
      <w:bookmarkStart w:id="225" w:name="OLE_LINK1795"/>
      <w:bookmarkStart w:id="226" w:name="OLE_LINK1956"/>
      <w:bookmarkStart w:id="227" w:name="OLE_LINK1915"/>
      <w:bookmarkStart w:id="228" w:name="OLE_LINK1941"/>
      <w:bookmarkStart w:id="229" w:name="OLE_LINK2024"/>
      <w:bookmarkStart w:id="230" w:name="OLE_LINK1992"/>
      <w:bookmarkEnd w:id="216"/>
      <w:bookmarkEnd w:id="217"/>
      <w:r w:rsidRPr="009E5730">
        <w:rPr>
          <w:rFonts w:ascii="Book Antiqua" w:hAnsi="Book Antiqua"/>
          <w:b/>
          <w:color w:val="000000"/>
          <w:sz w:val="24"/>
          <w:szCs w:val="24"/>
        </w:rPr>
        <w:t xml:space="preserve">© The Author(s) 2015. </w:t>
      </w:r>
      <w:r w:rsidRPr="009E5730">
        <w:rPr>
          <w:rFonts w:ascii="Book Antiqua" w:hAnsi="Book Antiqua"/>
          <w:color w:val="000000"/>
          <w:sz w:val="24"/>
          <w:szCs w:val="24"/>
        </w:rPr>
        <w:t>Published by Baishideng Publishing Group Inc. All rights reserved.</w:t>
      </w:r>
    </w:p>
    <w:bookmarkEnd w:id="218"/>
    <w:bookmarkEnd w:id="219"/>
    <w:bookmarkEnd w:id="220"/>
    <w:bookmarkEnd w:id="221"/>
    <w:bookmarkEnd w:id="222"/>
    <w:bookmarkEnd w:id="223"/>
    <w:bookmarkEnd w:id="224"/>
    <w:bookmarkEnd w:id="225"/>
    <w:bookmarkEnd w:id="226"/>
    <w:bookmarkEnd w:id="227"/>
    <w:bookmarkEnd w:id="228"/>
    <w:bookmarkEnd w:id="229"/>
    <w:bookmarkEnd w:id="230"/>
    <w:p w:rsidR="009E5730" w:rsidRPr="004931C2" w:rsidRDefault="009E5730" w:rsidP="004931C2">
      <w:pPr>
        <w:adjustRightInd w:val="0"/>
        <w:snapToGrid w:val="0"/>
        <w:spacing w:line="360" w:lineRule="auto"/>
        <w:rPr>
          <w:rFonts w:ascii="Book Antiqua" w:hAnsi="Book Antiqua" w:cs="Times New Roman"/>
          <w:sz w:val="24"/>
          <w:szCs w:val="24"/>
        </w:rPr>
      </w:pPr>
    </w:p>
    <w:p w:rsidR="00AB0048" w:rsidRPr="004931C2" w:rsidRDefault="00CE394B" w:rsidP="004931C2">
      <w:pPr>
        <w:adjustRightInd w:val="0"/>
        <w:snapToGrid w:val="0"/>
        <w:spacing w:line="360" w:lineRule="auto"/>
        <w:rPr>
          <w:rFonts w:ascii="Book Antiqua" w:hAnsi="Book Antiqua"/>
          <w:sz w:val="24"/>
          <w:szCs w:val="24"/>
        </w:rPr>
      </w:pPr>
      <w:bookmarkStart w:id="231" w:name="OLE_LINK1196"/>
      <w:bookmarkStart w:id="232" w:name="OLE_LINK1154"/>
      <w:bookmarkStart w:id="233" w:name="OLE_LINK1155"/>
      <w:bookmarkStart w:id="234" w:name="OLE_LINK1322"/>
      <w:bookmarkStart w:id="235" w:name="OLE_LINK1044"/>
      <w:bookmarkStart w:id="236" w:name="OLE_LINK1224"/>
      <w:bookmarkStart w:id="237" w:name="OLE_LINK1225"/>
      <w:bookmarkStart w:id="238" w:name="OLE_LINK1634"/>
      <w:bookmarkStart w:id="239" w:name="OLE_LINK1635"/>
      <w:bookmarkStart w:id="240" w:name="OLE_LINK1762"/>
      <w:bookmarkStart w:id="241" w:name="OLE_LINK1763"/>
      <w:bookmarkStart w:id="242" w:name="OLE_LINK1764"/>
      <w:bookmarkStart w:id="243" w:name="OLE_LINK1939"/>
      <w:bookmarkStart w:id="244" w:name="OLE_LINK2194"/>
      <w:bookmarkStart w:id="245" w:name="OLE_LINK2878"/>
      <w:bookmarkStart w:id="246" w:name="OLE_LINK576"/>
      <w:bookmarkStart w:id="247" w:name="OLE_LINK579"/>
      <w:bookmarkStart w:id="248" w:name="OLE_LINK580"/>
      <w:bookmarkStart w:id="249" w:name="OLE_LINK521"/>
      <w:bookmarkStart w:id="250" w:name="OLE_LINK1043"/>
      <w:bookmarkStart w:id="251" w:name="OLE_LINK1886"/>
      <w:bookmarkStart w:id="252" w:name="OLE_LINK1887"/>
      <w:bookmarkStart w:id="253" w:name="OLE_LINK1888"/>
      <w:bookmarkStart w:id="254" w:name="OLE_LINK1889"/>
      <w:bookmarkStart w:id="255" w:name="OLE_LINK1903"/>
      <w:bookmarkStart w:id="256" w:name="OLE_LINK2083"/>
      <w:bookmarkStart w:id="257" w:name="OLE_LINK2084"/>
      <w:bookmarkStart w:id="258" w:name="OLE_LINK1977"/>
      <w:bookmarkStart w:id="259" w:name="OLE_LINK3258"/>
      <w:bookmarkStart w:id="260" w:name="OLE_LINK274"/>
      <w:bookmarkStart w:id="261" w:name="OLE_LINK275"/>
      <w:bookmarkStart w:id="262" w:name="OLE_LINK309"/>
      <w:bookmarkStart w:id="263" w:name="OLE_LINK477"/>
      <w:bookmarkStart w:id="264" w:name="OLE_LINK352"/>
      <w:bookmarkStart w:id="265" w:name="OLE_LINK312"/>
      <w:bookmarkStart w:id="266" w:name="OLE_LINK547"/>
      <w:bookmarkStart w:id="267" w:name="OLE_LINK1878"/>
      <w:bookmarkStart w:id="268" w:name="OLE_LINK581"/>
      <w:bookmarkStart w:id="269" w:name="OLE_LINK582"/>
      <w:bookmarkStart w:id="270" w:name="OLE_LINK994"/>
      <w:bookmarkStart w:id="271" w:name="OLE_LINK995"/>
      <w:bookmarkStart w:id="272" w:name="OLE_LINK1074"/>
      <w:bookmarkStart w:id="273" w:name="OLE_LINK1140"/>
      <w:bookmarkStart w:id="274" w:name="OLE_LINK1127"/>
      <w:bookmarkStart w:id="275" w:name="OLE_LINK1266"/>
      <w:bookmarkStart w:id="276" w:name="OLE_LINK1540"/>
      <w:bookmarkStart w:id="277" w:name="OLE_LINK1541"/>
      <w:bookmarkStart w:id="278" w:name="OLE_LINK1551"/>
      <w:bookmarkStart w:id="279" w:name="OLE_LINK1560"/>
      <w:bookmarkStart w:id="280" w:name="OLE_LINK1561"/>
      <w:bookmarkStart w:id="281" w:name="OLE_LINK1568"/>
      <w:bookmarkStart w:id="282" w:name="OLE_LINK1587"/>
      <w:bookmarkStart w:id="283" w:name="OLE_LINK1601"/>
      <w:bookmarkStart w:id="284" w:name="OLE_LINK1707"/>
      <w:bookmarkStart w:id="285" w:name="OLE_LINK1731"/>
      <w:bookmarkStart w:id="286" w:name="OLE_LINK1775"/>
      <w:bookmarkStart w:id="287" w:name="OLE_LINK1818"/>
      <w:bookmarkStart w:id="288" w:name="OLE_LINK1909"/>
      <w:bookmarkStart w:id="289" w:name="OLE_LINK1965"/>
      <w:bookmarkStart w:id="290" w:name="OLE_LINK1967"/>
      <w:bookmarkStart w:id="291" w:name="OLE_LINK1972"/>
      <w:bookmarkStart w:id="292" w:name="OLE_LINK1973"/>
      <w:bookmarkStart w:id="293" w:name="OLE_LINK2021"/>
      <w:bookmarkStart w:id="294" w:name="OLE_LINK2022"/>
      <w:bookmarkStart w:id="295" w:name="OLE_LINK2041"/>
      <w:bookmarkStart w:id="296" w:name="OLE_LINK2042"/>
      <w:bookmarkStart w:id="297" w:name="OLE_LINK2063"/>
      <w:bookmarkStart w:id="298" w:name="OLE_LINK2120"/>
      <w:bookmarkStart w:id="299" w:name="OLE_LINK2158"/>
      <w:bookmarkStart w:id="300" w:name="OLE_LINK2180"/>
      <w:bookmarkStart w:id="301" w:name="OLE_LINK2253"/>
      <w:bookmarkStart w:id="302" w:name="OLE_LINK2217"/>
      <w:bookmarkStart w:id="303" w:name="OLE_LINK2236"/>
      <w:bookmarkStart w:id="304" w:name="OLE_LINK2268"/>
      <w:bookmarkStart w:id="305" w:name="OLE_LINK2279"/>
      <w:bookmarkStart w:id="306" w:name="OLE_LINK2313"/>
      <w:bookmarkStart w:id="307" w:name="OLE_LINK2319"/>
      <w:bookmarkStart w:id="308" w:name="OLE_LINK2320"/>
      <w:bookmarkStart w:id="309" w:name="OLE_LINK2366"/>
      <w:bookmarkStart w:id="310" w:name="OLE_LINK2372"/>
      <w:bookmarkStart w:id="311" w:name="OLE_LINK2384"/>
      <w:bookmarkStart w:id="312" w:name="OLE_LINK2464"/>
      <w:bookmarkStart w:id="313" w:name="OLE_LINK2492"/>
      <w:bookmarkStart w:id="314" w:name="OLE_LINK2532"/>
      <w:bookmarkStart w:id="315" w:name="OLE_LINK2405"/>
      <w:bookmarkStart w:id="316" w:name="OLE_LINK2406"/>
      <w:bookmarkStart w:id="317" w:name="OLE_LINK2425"/>
      <w:bookmarkStart w:id="318" w:name="OLE_LINK2478"/>
      <w:bookmarkStart w:id="319" w:name="OLE_LINK525"/>
      <w:bookmarkStart w:id="320" w:name="OLE_LINK894"/>
      <w:bookmarkStart w:id="321" w:name="OLE_LINK2848"/>
      <w:bookmarkStart w:id="322" w:name="OLE_LINK2849"/>
      <w:bookmarkStart w:id="323" w:name="OLE_LINK2931"/>
      <w:bookmarkStart w:id="324" w:name="OLE_LINK2979"/>
      <w:bookmarkStart w:id="325" w:name="OLE_LINK2994"/>
      <w:bookmarkStart w:id="326" w:name="OLE_LINK2998"/>
      <w:bookmarkStart w:id="327" w:name="OLE_LINK3077"/>
      <w:r w:rsidRPr="004931C2">
        <w:rPr>
          <w:rFonts w:ascii="Book Antiqua" w:hAnsi="Book Antiqua" w:cs="SimSun"/>
          <w:b/>
          <w:kern w:val="0"/>
          <w:sz w:val="24"/>
          <w:szCs w:val="24"/>
        </w:rPr>
        <w:t>Core tip:</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4931C2">
        <w:rPr>
          <w:rFonts w:ascii="Book Antiqua" w:hAnsi="Book Antiqua" w:cs="SimSun"/>
          <w:kern w:val="0"/>
          <w:sz w:val="24"/>
          <w:szCs w:val="24"/>
        </w:rPr>
        <w:t xml:space="preserve"> </w:t>
      </w:r>
      <w:bookmarkStart w:id="328" w:name="OLE_LINK1226"/>
      <w:bookmarkStart w:id="329" w:name="OLE_LINK1227"/>
      <w:bookmarkStart w:id="330" w:name="OLE_LINK2554"/>
      <w:bookmarkStart w:id="331" w:name="OLE_LINK2555"/>
      <w:bookmarkStart w:id="332" w:name="OLE_LINK2965"/>
      <w:bookmarkStart w:id="333" w:name="OLE_LINK2966"/>
      <w:bookmarkStart w:id="334" w:name="OLE_LINK2190"/>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sidR="009E5730" w:rsidRPr="004931C2">
        <w:rPr>
          <w:rFonts w:ascii="Book Antiqua" w:hAnsi="Book Antiqua"/>
          <w:sz w:val="24"/>
          <w:szCs w:val="24"/>
        </w:rPr>
        <w:t>Interleukin (IL)</w:t>
      </w:r>
      <w:r w:rsidR="00A23E2D" w:rsidRPr="004931C2">
        <w:rPr>
          <w:rFonts w:ascii="Book Antiqua" w:hAnsi="Book Antiqua"/>
          <w:sz w:val="24"/>
          <w:szCs w:val="24"/>
        </w:rPr>
        <w:t xml:space="preserve">-22 appears to play a protective role in inflammation and has also been demonstrated to have proliferative effects in a hepatocyte cell line, however, it has rarely been reported that the protective and proliferative effects exist simultaneously. In this article, we investigated the therapeutic effects and mechanisms of IL-22 in liver regeneration with mice with </w:t>
      </w:r>
      <w:r w:rsidR="001432A2" w:rsidRPr="004931C2">
        <w:rPr>
          <w:rFonts w:ascii="Book Antiqua" w:hAnsi="Book Antiqua"/>
          <w:sz w:val="24"/>
          <w:szCs w:val="24"/>
        </w:rPr>
        <w:t>concanavalin A</w:t>
      </w:r>
      <w:r w:rsidR="00A23E2D" w:rsidRPr="004931C2">
        <w:rPr>
          <w:rFonts w:ascii="Book Antiqua" w:hAnsi="Book Antiqua"/>
          <w:sz w:val="24"/>
          <w:szCs w:val="24"/>
        </w:rPr>
        <w:t>-mediated liver injury following 70</w:t>
      </w:r>
      <w:r w:rsidR="009E5730" w:rsidRPr="004931C2">
        <w:rPr>
          <w:rFonts w:ascii="Book Antiqua" w:hAnsi="Book Antiqua"/>
          <w:sz w:val="24"/>
          <w:szCs w:val="24"/>
        </w:rPr>
        <w:t>%</w:t>
      </w:r>
      <w:r w:rsidR="00A23E2D" w:rsidRPr="004931C2">
        <w:rPr>
          <w:rFonts w:ascii="Book Antiqua" w:hAnsi="Book Antiqua"/>
          <w:sz w:val="24"/>
          <w:szCs w:val="24"/>
        </w:rPr>
        <w:t xml:space="preserve"> hepatectomy.</w:t>
      </w:r>
      <w:r w:rsidR="00AB0048" w:rsidRPr="004931C2">
        <w:rPr>
          <w:rFonts w:ascii="Book Antiqua" w:hAnsi="Book Antiqua"/>
          <w:sz w:val="24"/>
          <w:szCs w:val="24"/>
        </w:rPr>
        <w:t xml:space="preserve"> IL-22 played protective and survival roles against liver injury in this model. </w:t>
      </w:r>
    </w:p>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rsidR="00CE394B" w:rsidRPr="004931C2" w:rsidRDefault="00CE394B" w:rsidP="004931C2">
      <w:pPr>
        <w:adjustRightInd w:val="0"/>
        <w:snapToGrid w:val="0"/>
        <w:spacing w:line="360" w:lineRule="auto"/>
        <w:rPr>
          <w:rFonts w:ascii="Book Antiqua" w:hAnsi="Book Antiqua" w:cs="Times New Roman"/>
          <w:sz w:val="24"/>
          <w:szCs w:val="24"/>
        </w:rPr>
      </w:pPr>
    </w:p>
    <w:p w:rsidR="009E5730" w:rsidRPr="004931C2" w:rsidRDefault="009E5730" w:rsidP="004931C2">
      <w:pPr>
        <w:adjustRightInd w:val="0"/>
        <w:snapToGrid w:val="0"/>
        <w:spacing w:line="360" w:lineRule="auto"/>
        <w:rPr>
          <w:rFonts w:ascii="Book Antiqua" w:hAnsi="Book Antiqua"/>
          <w:color w:val="000000"/>
          <w:sz w:val="24"/>
          <w:szCs w:val="24"/>
        </w:rPr>
      </w:pPr>
      <w:r w:rsidRPr="004931C2">
        <w:rPr>
          <w:rFonts w:ascii="Book Antiqua" w:hAnsi="Book Antiqua" w:cs="Times New Roman"/>
          <w:sz w:val="24"/>
          <w:szCs w:val="24"/>
        </w:rPr>
        <w:t xml:space="preserve">Zhang YM, Liu ZR, Cui ZL, Yang C, Yang L, Li Y, Shen ZY. Interleukin-22 contributes to liver regeneration in concanavalin A-mediated murine hepatitis model after hepatectomy. </w:t>
      </w:r>
      <w:bookmarkStart w:id="335" w:name="OLE_LINK110"/>
      <w:bookmarkStart w:id="336" w:name="OLE_LINK111"/>
      <w:bookmarkStart w:id="337" w:name="OLE_LINK140"/>
      <w:bookmarkStart w:id="338" w:name="OLE_LINK699"/>
      <w:bookmarkStart w:id="339" w:name="OLE_LINK658"/>
      <w:bookmarkStart w:id="340" w:name="OLE_LINK1236"/>
      <w:bookmarkStart w:id="341" w:name="OLE_LINK1369"/>
      <w:bookmarkStart w:id="342" w:name="OLE_LINK1802"/>
      <w:bookmarkStart w:id="343" w:name="OLE_LINK1719"/>
      <w:bookmarkStart w:id="344" w:name="OLE_LINK1796"/>
      <w:bookmarkStart w:id="345" w:name="OLE_LINK1869"/>
      <w:bookmarkStart w:id="346" w:name="OLE_LINK1917"/>
      <w:bookmarkStart w:id="347" w:name="OLE_LINK1942"/>
      <w:bookmarkStart w:id="348" w:name="OLE_LINK2176"/>
      <w:bookmarkStart w:id="349" w:name="OLE_LINK2074"/>
      <w:r w:rsidRPr="004931C2">
        <w:rPr>
          <w:rFonts w:ascii="Book Antiqua" w:hAnsi="Book Antiqua"/>
          <w:i/>
          <w:color w:val="000000"/>
          <w:sz w:val="24"/>
          <w:szCs w:val="24"/>
        </w:rPr>
        <w:t xml:space="preserve">World J Gastroenterol </w:t>
      </w:r>
      <w:r w:rsidRPr="004931C2">
        <w:rPr>
          <w:rFonts w:ascii="Book Antiqua" w:hAnsi="Book Antiqua"/>
          <w:color w:val="000000"/>
          <w:sz w:val="24"/>
          <w:szCs w:val="24"/>
        </w:rPr>
        <w:t>2015; In press</w:t>
      </w:r>
    </w:p>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rsidR="009E5730" w:rsidRPr="004931C2" w:rsidRDefault="009E5730" w:rsidP="004931C2">
      <w:pPr>
        <w:adjustRightInd w:val="0"/>
        <w:snapToGrid w:val="0"/>
        <w:spacing w:line="360" w:lineRule="auto"/>
        <w:rPr>
          <w:rFonts w:ascii="Book Antiqua" w:hAnsi="Book Antiqua" w:cs="Times New Roman"/>
          <w:sz w:val="24"/>
          <w:szCs w:val="24"/>
        </w:rPr>
      </w:pPr>
    </w:p>
    <w:p w:rsidR="009E5730" w:rsidRPr="004931C2" w:rsidRDefault="009E5730" w:rsidP="004931C2">
      <w:pPr>
        <w:widowControl/>
        <w:adjustRightInd w:val="0"/>
        <w:snapToGrid w:val="0"/>
        <w:spacing w:line="360" w:lineRule="auto"/>
        <w:rPr>
          <w:rFonts w:ascii="Book Antiqua" w:hAnsi="Book Antiqua" w:cs="Times New Roman"/>
          <w:sz w:val="24"/>
          <w:szCs w:val="24"/>
        </w:rPr>
      </w:pPr>
      <w:r w:rsidRPr="004931C2">
        <w:rPr>
          <w:rFonts w:ascii="Book Antiqua" w:hAnsi="Book Antiqua" w:cs="Times New Roman"/>
          <w:sz w:val="24"/>
          <w:szCs w:val="24"/>
        </w:rPr>
        <w:br w:type="page"/>
      </w:r>
    </w:p>
    <w:p w:rsidR="009E5730" w:rsidRPr="004931C2" w:rsidRDefault="009E5730" w:rsidP="004931C2">
      <w:pPr>
        <w:adjustRightInd w:val="0"/>
        <w:snapToGrid w:val="0"/>
        <w:spacing w:line="360" w:lineRule="auto"/>
        <w:rPr>
          <w:rFonts w:ascii="Book Antiqua" w:hAnsi="Book Antiqua" w:cs="Times New Roman"/>
          <w:b/>
          <w:sz w:val="24"/>
          <w:szCs w:val="24"/>
        </w:rPr>
      </w:pPr>
      <w:r w:rsidRPr="004931C2">
        <w:rPr>
          <w:rFonts w:ascii="Book Antiqua" w:hAnsi="Book Antiqua" w:cs="Times New Roman"/>
          <w:b/>
          <w:sz w:val="24"/>
          <w:szCs w:val="24"/>
        </w:rPr>
        <w:lastRenderedPageBreak/>
        <w:t>INTRODUCTION</w:t>
      </w:r>
    </w:p>
    <w:p w:rsidR="000958E5" w:rsidRPr="004931C2" w:rsidRDefault="000958E5" w:rsidP="004931C2">
      <w:pPr>
        <w:adjustRightInd w:val="0"/>
        <w:snapToGrid w:val="0"/>
        <w:spacing w:line="360" w:lineRule="auto"/>
        <w:rPr>
          <w:rFonts w:ascii="Book Antiqua" w:hAnsi="Book Antiqua" w:cs="Times New Roman"/>
          <w:sz w:val="24"/>
          <w:szCs w:val="24"/>
        </w:rPr>
      </w:pPr>
      <w:r w:rsidRPr="004931C2">
        <w:rPr>
          <w:rFonts w:ascii="Book Antiqua" w:hAnsi="Book Antiqua" w:cs="Times New Roman"/>
          <w:sz w:val="24"/>
          <w:szCs w:val="24"/>
        </w:rPr>
        <w:t>Interleukin-22 (IL-22) is an inducible cytokine of the IL-10 superfamily that was identified by the Belgian Renauld team as early as 2000 and was previously known as the IL</w:t>
      </w:r>
      <w:r w:rsidR="00AB0048" w:rsidRPr="004931C2">
        <w:rPr>
          <w:rFonts w:ascii="Book Antiqua" w:hAnsi="Book Antiqua" w:cs="Times New Roman"/>
          <w:sz w:val="24"/>
          <w:szCs w:val="24"/>
        </w:rPr>
        <w:t>-10-related factor from T cells</w:t>
      </w:r>
      <w:r w:rsidR="00CE394B" w:rsidRPr="004931C2">
        <w:rPr>
          <w:rFonts w:ascii="Book Antiqua" w:hAnsi="Book Antiqua" w:cs="Times New Roman"/>
          <w:sz w:val="24"/>
          <w:szCs w:val="24"/>
          <w:vertAlign w:val="superscript"/>
        </w:rPr>
        <w:t>[1]</w:t>
      </w:r>
      <w:r w:rsidRPr="004931C2">
        <w:rPr>
          <w:rFonts w:ascii="Book Antiqua" w:hAnsi="Book Antiqua" w:cs="Times New Roman"/>
          <w:sz w:val="24"/>
          <w:szCs w:val="24"/>
        </w:rPr>
        <w:t xml:space="preserve">. IL-22 is produced by activated T cells and natural killer (NK) cells and acts </w:t>
      </w:r>
      <w:r w:rsidRPr="00C6548E">
        <w:rPr>
          <w:rFonts w:ascii="Book Antiqua" w:hAnsi="Book Antiqua" w:cs="Times New Roman"/>
          <w:i/>
          <w:sz w:val="24"/>
          <w:szCs w:val="24"/>
        </w:rPr>
        <w:t>via</w:t>
      </w:r>
      <w:r w:rsidRPr="004931C2">
        <w:rPr>
          <w:rFonts w:ascii="Book Antiqua" w:hAnsi="Book Antiqua" w:cs="Times New Roman"/>
          <w:sz w:val="24"/>
          <w:szCs w:val="24"/>
        </w:rPr>
        <w:t xml:space="preserve"> a heterodimeric receptor complex consisting of IL-22 receptor-α (IL-22Rα) and IL-10 receptor-β (IL-10Rβ).</w:t>
      </w:r>
      <w:r w:rsidR="00880B1B">
        <w:rPr>
          <w:rFonts w:ascii="Book Antiqua" w:hAnsi="Book Antiqua" w:cs="Times New Roman"/>
          <w:sz w:val="24"/>
          <w:szCs w:val="24"/>
        </w:rPr>
        <w:t xml:space="preserve"> </w:t>
      </w:r>
    </w:p>
    <w:p w:rsidR="000958E5" w:rsidRPr="004931C2" w:rsidRDefault="000958E5" w:rsidP="004931C2">
      <w:pPr>
        <w:adjustRightInd w:val="0"/>
        <w:snapToGrid w:val="0"/>
        <w:spacing w:line="360" w:lineRule="auto"/>
        <w:ind w:firstLineChars="100" w:firstLine="240"/>
        <w:rPr>
          <w:rFonts w:ascii="Book Antiqua" w:hAnsi="Book Antiqua" w:cs="Times New Roman"/>
          <w:sz w:val="24"/>
          <w:szCs w:val="24"/>
        </w:rPr>
      </w:pPr>
      <w:r w:rsidRPr="004931C2">
        <w:rPr>
          <w:rFonts w:ascii="Book Antiqua" w:hAnsi="Book Antiqua" w:cs="Times New Roman"/>
          <w:sz w:val="24"/>
          <w:szCs w:val="24"/>
        </w:rPr>
        <w:t xml:space="preserve">IL-22 has been demonstrated to exhibit a variety of effects. IL-22 appears to play an important role in inflammation and has also been noted to exert proliferative effects in a hepatocyte cell </w:t>
      </w:r>
      <w:r w:rsidR="001432A2" w:rsidRPr="004931C2">
        <w:rPr>
          <w:rFonts w:ascii="Book Antiqua" w:hAnsi="Book Antiqua" w:cs="Times New Roman"/>
          <w:sz w:val="24"/>
          <w:szCs w:val="24"/>
        </w:rPr>
        <w:t xml:space="preserve">line </w:t>
      </w:r>
      <w:r w:rsidR="001432A2" w:rsidRPr="004931C2">
        <w:rPr>
          <w:rFonts w:ascii="Book Antiqua" w:hAnsi="Book Antiqua" w:cs="Times New Roman"/>
          <w:i/>
          <w:sz w:val="24"/>
          <w:szCs w:val="24"/>
        </w:rPr>
        <w:t>in vitro</w:t>
      </w:r>
      <w:r w:rsidR="00AB0048" w:rsidRPr="004931C2">
        <w:rPr>
          <w:rFonts w:ascii="Book Antiqua" w:hAnsi="Book Antiqua" w:cs="Times New Roman"/>
          <w:sz w:val="24"/>
          <w:szCs w:val="24"/>
          <w:vertAlign w:val="superscript"/>
        </w:rPr>
        <w:t>[2-5]</w:t>
      </w:r>
      <w:r w:rsidRPr="004931C2">
        <w:rPr>
          <w:rFonts w:ascii="Book Antiqua" w:hAnsi="Book Antiqua" w:cs="Times New Roman"/>
          <w:sz w:val="24"/>
          <w:szCs w:val="24"/>
        </w:rPr>
        <w:t xml:space="preserve">. In 2004, the Bin Gao team demonstrated that IL-22 expression is significantly induced in T cell-mediated hepatitis and that IL-22 blockade markedly enhances liver injury in this model, while the administration of recombinant IL-22 prevents </w:t>
      </w:r>
      <w:r w:rsidR="001432A2" w:rsidRPr="004931C2">
        <w:rPr>
          <w:rFonts w:ascii="Book Antiqua" w:hAnsi="Book Antiqua" w:cs="Times New Roman"/>
          <w:sz w:val="24"/>
          <w:szCs w:val="24"/>
        </w:rPr>
        <w:t>concanavalin A (ConA)</w:t>
      </w:r>
      <w:r w:rsidRPr="004931C2">
        <w:rPr>
          <w:rFonts w:ascii="Book Antiqua" w:hAnsi="Book Antiqua" w:cs="Times New Roman"/>
          <w:sz w:val="24"/>
          <w:szCs w:val="24"/>
        </w:rPr>
        <w:t>-induced liver injury</w:t>
      </w:r>
      <w:r w:rsidR="00AB0048" w:rsidRPr="004931C2">
        <w:rPr>
          <w:rFonts w:ascii="Book Antiqua" w:hAnsi="Book Antiqua" w:cs="Times New Roman"/>
          <w:sz w:val="24"/>
          <w:szCs w:val="24"/>
          <w:vertAlign w:val="superscript"/>
        </w:rPr>
        <w:t>[5]</w:t>
      </w:r>
      <w:r w:rsidRPr="004931C2">
        <w:rPr>
          <w:rFonts w:ascii="Book Antiqua" w:hAnsi="Book Antiqua" w:cs="Times New Roman"/>
          <w:sz w:val="24"/>
          <w:szCs w:val="24"/>
        </w:rPr>
        <w:t xml:space="preserve">. These findings suggest that IL-22 acts as a protective cytokine that attenuates liver injury in T cell-mediated hepatitis. Furthermore, </w:t>
      </w:r>
      <w:r w:rsidR="001432A2" w:rsidRPr="004931C2">
        <w:rPr>
          <w:rFonts w:ascii="Book Antiqua" w:hAnsi="Book Antiqua" w:cs="Times New Roman"/>
          <w:i/>
          <w:sz w:val="24"/>
          <w:szCs w:val="24"/>
        </w:rPr>
        <w:t>in vitro</w:t>
      </w:r>
      <w:r w:rsidRPr="004931C2">
        <w:rPr>
          <w:rFonts w:ascii="Book Antiqua" w:hAnsi="Book Antiqua" w:cs="Times New Roman"/>
          <w:sz w:val="24"/>
          <w:szCs w:val="24"/>
        </w:rPr>
        <w:t xml:space="preserve"> study has also revealed that IL-22 has no obvious toxicity on liver cell lines or primary liver cells and has proliferative and survival effects on these cells. Additionally, a recent study supported a potential therapeutic role for IL-22 as a protective factor in hepatic resection. The authors of this study observed significant increases in hepatic IL-22 receptor expression and serum IL-22 levels after 70% hepatectomy and a significant decrease in liver reg</w:t>
      </w:r>
      <w:r w:rsidR="001432A2" w:rsidRPr="004931C2">
        <w:rPr>
          <w:rFonts w:ascii="Book Antiqua" w:hAnsi="Book Antiqua" w:cs="Times New Roman"/>
          <w:sz w:val="24"/>
          <w:szCs w:val="24"/>
        </w:rPr>
        <w:t>eneration after IL-22 blockade</w:t>
      </w:r>
      <w:r w:rsidR="00AB0048" w:rsidRPr="004931C2">
        <w:rPr>
          <w:rFonts w:ascii="Book Antiqua" w:hAnsi="Book Antiqua" w:cs="Times New Roman"/>
          <w:sz w:val="24"/>
          <w:szCs w:val="24"/>
          <w:vertAlign w:val="superscript"/>
        </w:rPr>
        <w:t>[6]</w:t>
      </w:r>
      <w:r w:rsidRPr="004931C2">
        <w:rPr>
          <w:rFonts w:ascii="Book Antiqua" w:hAnsi="Book Antiqua" w:cs="Times New Roman"/>
          <w:sz w:val="24"/>
          <w:szCs w:val="24"/>
        </w:rPr>
        <w:t>. However, the precise mechanism of IL – 22-mediated liver protection remains unclear.</w:t>
      </w:r>
    </w:p>
    <w:p w:rsidR="000958E5" w:rsidRPr="004931C2" w:rsidRDefault="000958E5" w:rsidP="004931C2">
      <w:pPr>
        <w:adjustRightInd w:val="0"/>
        <w:snapToGrid w:val="0"/>
        <w:spacing w:line="360" w:lineRule="auto"/>
        <w:ind w:firstLineChars="100" w:firstLine="240"/>
        <w:rPr>
          <w:rFonts w:ascii="Book Antiqua" w:hAnsi="Book Antiqua" w:cs="Times New Roman"/>
          <w:sz w:val="24"/>
          <w:szCs w:val="24"/>
        </w:rPr>
      </w:pPr>
      <w:r w:rsidRPr="004931C2">
        <w:rPr>
          <w:rFonts w:ascii="Book Antiqua" w:hAnsi="Book Antiqua" w:cs="Times New Roman"/>
          <w:sz w:val="24"/>
          <w:szCs w:val="24"/>
        </w:rPr>
        <w:t xml:space="preserve">Currently, all of the evidence supporting the role of IL-22 in liver protection is from liver injury models, and the evidence for the liver proliferative effects is almost entirely from the simple 2/3 liver resection model without other injury. However, clinical patients with hepatectomy nearly always have liver disease and thus significantly decreased liver regeneration abilities. In this article, we sought to investigate the therapeutic effects and mechanisms of IL-22-mediated liver regeneration in mice with ConA-mediated liver injury </w:t>
      </w:r>
      <w:r w:rsidRPr="004931C2">
        <w:rPr>
          <w:rFonts w:ascii="Book Antiqua" w:hAnsi="Book Antiqua" w:cs="Times New Roman"/>
          <w:sz w:val="24"/>
          <w:szCs w:val="24"/>
        </w:rPr>
        <w:lastRenderedPageBreak/>
        <w:t>following 70</w:t>
      </w:r>
      <w:r w:rsidR="009E5730" w:rsidRPr="004931C2">
        <w:rPr>
          <w:rFonts w:ascii="Book Antiqua" w:hAnsi="Book Antiqua" w:cs="Times New Roman"/>
          <w:sz w:val="24"/>
          <w:szCs w:val="24"/>
        </w:rPr>
        <w:t>%</w:t>
      </w:r>
      <w:r w:rsidRPr="004931C2">
        <w:rPr>
          <w:rFonts w:ascii="Book Antiqua" w:hAnsi="Book Antiqua" w:cs="Times New Roman"/>
          <w:sz w:val="24"/>
          <w:szCs w:val="24"/>
        </w:rPr>
        <w:t xml:space="preserve"> hepatectomy. </w:t>
      </w:r>
    </w:p>
    <w:p w:rsidR="000958E5" w:rsidRPr="004931C2" w:rsidRDefault="000958E5" w:rsidP="004931C2">
      <w:pPr>
        <w:adjustRightInd w:val="0"/>
        <w:snapToGrid w:val="0"/>
        <w:spacing w:line="360" w:lineRule="auto"/>
        <w:rPr>
          <w:rFonts w:ascii="Book Antiqua" w:hAnsi="Book Antiqua" w:cs="Times New Roman"/>
          <w:sz w:val="24"/>
          <w:szCs w:val="24"/>
        </w:rPr>
      </w:pPr>
    </w:p>
    <w:p w:rsidR="000958E5" w:rsidRPr="004931C2" w:rsidRDefault="000958E5" w:rsidP="004931C2">
      <w:pPr>
        <w:adjustRightInd w:val="0"/>
        <w:snapToGrid w:val="0"/>
        <w:spacing w:line="360" w:lineRule="auto"/>
        <w:rPr>
          <w:rFonts w:ascii="Book Antiqua" w:hAnsi="Book Antiqua" w:cs="Times New Roman"/>
          <w:b/>
          <w:bCs/>
          <w:sz w:val="24"/>
          <w:szCs w:val="24"/>
        </w:rPr>
      </w:pPr>
      <w:r w:rsidRPr="004931C2">
        <w:rPr>
          <w:rFonts w:ascii="Book Antiqua" w:hAnsi="Book Antiqua" w:cs="Times New Roman"/>
          <w:b/>
          <w:bCs/>
          <w:sz w:val="24"/>
          <w:szCs w:val="24"/>
        </w:rPr>
        <w:t>MATERIALS AND METHODS</w:t>
      </w:r>
    </w:p>
    <w:p w:rsidR="001432A2" w:rsidRPr="004931C2" w:rsidRDefault="000958E5" w:rsidP="004931C2">
      <w:pPr>
        <w:adjustRightInd w:val="0"/>
        <w:snapToGrid w:val="0"/>
        <w:spacing w:line="360" w:lineRule="auto"/>
        <w:rPr>
          <w:rFonts w:ascii="Book Antiqua" w:hAnsi="Book Antiqua" w:cs="Times New Roman"/>
          <w:b/>
          <w:bCs/>
          <w:i/>
          <w:iCs/>
          <w:sz w:val="24"/>
          <w:szCs w:val="24"/>
        </w:rPr>
      </w:pPr>
      <w:r w:rsidRPr="004931C2">
        <w:rPr>
          <w:rFonts w:ascii="Book Antiqua" w:hAnsi="Book Antiqua" w:cs="Times New Roman"/>
          <w:b/>
          <w:bCs/>
          <w:i/>
          <w:sz w:val="24"/>
          <w:szCs w:val="24"/>
        </w:rPr>
        <w:t>Materials</w:t>
      </w:r>
    </w:p>
    <w:p w:rsidR="001432A2" w:rsidRPr="004931C2" w:rsidRDefault="000958E5" w:rsidP="004931C2">
      <w:pPr>
        <w:adjustRightInd w:val="0"/>
        <w:snapToGrid w:val="0"/>
        <w:spacing w:line="360" w:lineRule="auto"/>
        <w:rPr>
          <w:rFonts w:ascii="Book Antiqua" w:hAnsi="Book Antiqua" w:cs="Times New Roman"/>
          <w:sz w:val="24"/>
          <w:szCs w:val="24"/>
        </w:rPr>
      </w:pPr>
      <w:r w:rsidRPr="004931C2">
        <w:rPr>
          <w:rFonts w:ascii="Book Antiqua" w:hAnsi="Book Antiqua" w:cs="Times New Roman"/>
          <w:sz w:val="24"/>
          <w:szCs w:val="24"/>
        </w:rPr>
        <w:t>Recombinant IL-22 protein was purchased from</w:t>
      </w:r>
      <w:bookmarkStart w:id="350" w:name="OLE_LINK19"/>
      <w:bookmarkStart w:id="351" w:name="OLE_LINK20"/>
      <w:r w:rsidRPr="004931C2">
        <w:rPr>
          <w:rFonts w:ascii="Book Antiqua" w:hAnsi="Book Antiqua" w:cs="Times New Roman"/>
          <w:sz w:val="24"/>
          <w:szCs w:val="24"/>
        </w:rPr>
        <w:t xml:space="preserve"> Pepro Tech Inc</w:t>
      </w:r>
      <w:bookmarkEnd w:id="350"/>
      <w:bookmarkEnd w:id="351"/>
      <w:r w:rsidRPr="004931C2">
        <w:rPr>
          <w:rFonts w:ascii="Book Antiqua" w:hAnsi="Book Antiqua" w:cs="Times New Roman"/>
          <w:sz w:val="24"/>
          <w:szCs w:val="24"/>
        </w:rPr>
        <w:t xml:space="preserve"> (</w:t>
      </w:r>
      <w:r w:rsidR="00927575" w:rsidRPr="004931C2">
        <w:rPr>
          <w:rFonts w:ascii="Book Antiqua" w:hAnsi="Book Antiqua" w:cs="Arial"/>
          <w:sz w:val="24"/>
          <w:szCs w:val="24"/>
          <w:shd w:val="clear" w:color="auto" w:fill="FFFFFF"/>
        </w:rPr>
        <w:t>S</w:t>
      </w:r>
      <w:r w:rsidR="00927575" w:rsidRPr="004931C2">
        <w:rPr>
          <w:rFonts w:ascii="Book Antiqua" w:hAnsi="Book Antiqua" w:cs="Times New Roman"/>
          <w:sz w:val="24"/>
          <w:szCs w:val="24"/>
        </w:rPr>
        <w:t xml:space="preserve">tate of New Jersey, </w:t>
      </w:r>
      <w:r w:rsidRPr="004931C2">
        <w:rPr>
          <w:rFonts w:ascii="Book Antiqua" w:hAnsi="Book Antiqua" w:cs="Times New Roman"/>
          <w:sz w:val="24"/>
          <w:szCs w:val="24"/>
        </w:rPr>
        <w:t xml:space="preserve">USA). Anti-STAT3, Cyclin D1 and </w:t>
      </w:r>
      <w:r w:rsidR="00880B1B" w:rsidRPr="00880B1B">
        <w:rPr>
          <w:rFonts w:ascii="Book Antiqua" w:hAnsi="Book Antiqua" w:cs="Times New Roman"/>
          <w:sz w:val="24"/>
          <w:szCs w:val="24"/>
        </w:rPr>
        <w:t>proliferating cell nuclear antigen (PCNA)</w:t>
      </w:r>
      <w:r w:rsidR="00880B1B">
        <w:rPr>
          <w:rFonts w:ascii="Book Antiqua" w:hAnsi="Book Antiqua" w:cs="Times New Roman" w:hint="eastAsia"/>
          <w:sz w:val="24"/>
          <w:szCs w:val="24"/>
        </w:rPr>
        <w:t xml:space="preserve"> </w:t>
      </w:r>
      <w:r w:rsidRPr="004931C2">
        <w:rPr>
          <w:rFonts w:ascii="Book Antiqua" w:hAnsi="Book Antiqua" w:cs="Times New Roman"/>
          <w:sz w:val="24"/>
          <w:szCs w:val="24"/>
        </w:rPr>
        <w:t>antibodies were obtained fro</w:t>
      </w:r>
      <w:r w:rsidR="001432A2" w:rsidRPr="004931C2">
        <w:rPr>
          <w:rFonts w:ascii="Book Antiqua" w:hAnsi="Book Antiqua" w:cs="Times New Roman"/>
          <w:sz w:val="24"/>
          <w:szCs w:val="24"/>
        </w:rPr>
        <w:t>m Cell Signaling Technology Inc</w:t>
      </w:r>
      <w:r w:rsidRPr="004931C2">
        <w:rPr>
          <w:rFonts w:ascii="Book Antiqua" w:hAnsi="Book Antiqua" w:cs="Times New Roman"/>
          <w:sz w:val="24"/>
          <w:szCs w:val="24"/>
        </w:rPr>
        <w:t xml:space="preserve"> (CST, USA). Female C57/BL6 mice were purchased from HFK Bioscience Co. Ltd. (Beijing, China).</w:t>
      </w:r>
      <w:r w:rsidR="00880B1B">
        <w:rPr>
          <w:rFonts w:ascii="Book Antiqua" w:hAnsi="Book Antiqua" w:cs="Times New Roman"/>
          <w:sz w:val="24"/>
          <w:szCs w:val="24"/>
        </w:rPr>
        <w:t xml:space="preserve"> </w:t>
      </w:r>
    </w:p>
    <w:p w:rsidR="000958E5" w:rsidRPr="004931C2" w:rsidRDefault="00880B1B" w:rsidP="004931C2">
      <w:pPr>
        <w:adjustRightInd w:val="0"/>
        <w:snapToGrid w:val="0"/>
        <w:spacing w:line="360" w:lineRule="auto"/>
        <w:rPr>
          <w:rFonts w:ascii="Book Antiqua" w:hAnsi="Book Antiqua" w:cs="Times New Roman"/>
          <w:sz w:val="24"/>
          <w:szCs w:val="24"/>
        </w:rPr>
      </w:pPr>
      <w:r>
        <w:rPr>
          <w:rFonts w:ascii="Book Antiqua" w:hAnsi="Book Antiqua" w:cs="Times New Roman"/>
          <w:sz w:val="24"/>
          <w:szCs w:val="24"/>
        </w:rPr>
        <w:t xml:space="preserve"> </w:t>
      </w:r>
    </w:p>
    <w:p w:rsidR="001432A2" w:rsidRPr="004931C2" w:rsidRDefault="000958E5" w:rsidP="004931C2">
      <w:pPr>
        <w:adjustRightInd w:val="0"/>
        <w:snapToGrid w:val="0"/>
        <w:spacing w:line="360" w:lineRule="auto"/>
        <w:rPr>
          <w:rFonts w:ascii="Book Antiqua" w:hAnsi="Book Antiqua" w:cs="Times New Roman"/>
          <w:b/>
          <w:sz w:val="24"/>
          <w:szCs w:val="24"/>
        </w:rPr>
      </w:pPr>
      <w:r w:rsidRPr="004931C2">
        <w:rPr>
          <w:rFonts w:ascii="Book Antiqua" w:hAnsi="Book Antiqua" w:cs="Times New Roman"/>
          <w:b/>
          <w:i/>
          <w:sz w:val="24"/>
          <w:szCs w:val="24"/>
        </w:rPr>
        <w:t>Se</w:t>
      </w:r>
      <w:r w:rsidR="001432A2" w:rsidRPr="004931C2">
        <w:rPr>
          <w:rFonts w:ascii="Book Antiqua" w:hAnsi="Book Antiqua" w:cs="Times New Roman"/>
          <w:b/>
          <w:i/>
          <w:sz w:val="24"/>
          <w:szCs w:val="24"/>
        </w:rPr>
        <w:t>venty percent hepatectomy model</w:t>
      </w:r>
    </w:p>
    <w:p w:rsidR="000958E5" w:rsidRPr="004931C2" w:rsidRDefault="000958E5" w:rsidP="004931C2">
      <w:pPr>
        <w:adjustRightInd w:val="0"/>
        <w:snapToGrid w:val="0"/>
        <w:spacing w:line="360" w:lineRule="auto"/>
        <w:rPr>
          <w:rFonts w:ascii="Book Antiqua" w:hAnsi="Book Antiqua" w:cs="Times New Roman"/>
          <w:sz w:val="24"/>
          <w:szCs w:val="24"/>
        </w:rPr>
      </w:pPr>
      <w:r w:rsidRPr="004931C2">
        <w:rPr>
          <w:rFonts w:ascii="Book Antiqua" w:hAnsi="Book Antiqua" w:cs="Times New Roman"/>
          <w:sz w:val="24"/>
          <w:szCs w:val="24"/>
        </w:rPr>
        <w:t>Female C57/BL6 mice (6–8 wk of age, 20-25 g) were maintained under specific pathogen-free conditions with free access to water and food before each experiment. The animals were anesthetized with </w:t>
      </w:r>
      <w:hyperlink r:id="rId9" w:history="1">
        <w:r w:rsidRPr="004931C2">
          <w:rPr>
            <w:rFonts w:ascii="Book Antiqua" w:hAnsi="Book Antiqua" w:cs="Times New Roman"/>
            <w:sz w:val="24"/>
            <w:szCs w:val="24"/>
          </w:rPr>
          <w:t>chloral</w:t>
        </w:r>
      </w:hyperlink>
      <w:r w:rsidRPr="004931C2">
        <w:rPr>
          <w:rFonts w:ascii="Book Antiqua" w:hAnsi="Book Antiqua" w:cs="Times New Roman"/>
          <w:sz w:val="24"/>
          <w:szCs w:val="24"/>
        </w:rPr>
        <w:t> </w:t>
      </w:r>
      <w:hyperlink r:id="rId10" w:history="1">
        <w:r w:rsidRPr="004931C2">
          <w:rPr>
            <w:rFonts w:ascii="Book Antiqua" w:hAnsi="Book Antiqua" w:cs="Times New Roman"/>
            <w:sz w:val="24"/>
            <w:szCs w:val="24"/>
          </w:rPr>
          <w:t>hydrate</w:t>
        </w:r>
      </w:hyperlink>
      <w:r w:rsidRPr="004931C2">
        <w:rPr>
          <w:rFonts w:ascii="Book Antiqua" w:hAnsi="Book Antiqua" w:cs="Times New Roman"/>
          <w:sz w:val="24"/>
          <w:szCs w:val="24"/>
        </w:rPr>
        <w:t xml:space="preserve"> injections. After a midline incision was created under microscopic guidance, and the middle and left hepatic lobe of the liver were fully freed, 7-0 vascular sutures were used to ligate the branches of hepatic artery and portal vein of the median and left lateral lobes of the liver. Next, the bile duct was ligated with 7-0 vascular sutures, and the gall bladder was removed. Finally, the median and left lateral lobes of the liver were resected after a 4-0 silk suture ligation was secured around the base of each lobe.</w:t>
      </w:r>
    </w:p>
    <w:p w:rsidR="001432A2" w:rsidRPr="004931C2" w:rsidRDefault="001432A2" w:rsidP="004931C2">
      <w:pPr>
        <w:adjustRightInd w:val="0"/>
        <w:snapToGrid w:val="0"/>
        <w:spacing w:line="360" w:lineRule="auto"/>
        <w:rPr>
          <w:rFonts w:ascii="Book Antiqua" w:hAnsi="Book Antiqua" w:cs="Times New Roman"/>
          <w:sz w:val="24"/>
          <w:szCs w:val="24"/>
        </w:rPr>
      </w:pPr>
    </w:p>
    <w:p w:rsidR="001432A2" w:rsidRPr="004931C2" w:rsidRDefault="000958E5" w:rsidP="004931C2">
      <w:pPr>
        <w:adjustRightInd w:val="0"/>
        <w:snapToGrid w:val="0"/>
        <w:spacing w:line="360" w:lineRule="auto"/>
        <w:rPr>
          <w:rFonts w:ascii="Book Antiqua" w:hAnsi="Book Antiqua" w:cs="Times New Roman"/>
          <w:b/>
          <w:i/>
          <w:iCs/>
          <w:sz w:val="24"/>
          <w:szCs w:val="24"/>
        </w:rPr>
      </w:pPr>
      <w:r w:rsidRPr="004931C2">
        <w:rPr>
          <w:rFonts w:ascii="Book Antiqua" w:hAnsi="Book Antiqua" w:cs="Times New Roman"/>
          <w:b/>
          <w:i/>
          <w:sz w:val="24"/>
          <w:szCs w:val="24"/>
        </w:rPr>
        <w:t>C</w:t>
      </w:r>
      <w:r w:rsidR="001432A2" w:rsidRPr="004931C2">
        <w:rPr>
          <w:rFonts w:ascii="Book Antiqua" w:hAnsi="Book Antiqua" w:cs="Times New Roman"/>
          <w:b/>
          <w:i/>
          <w:sz w:val="24"/>
          <w:szCs w:val="24"/>
        </w:rPr>
        <w:t>onA-mediated liver injury model</w:t>
      </w:r>
    </w:p>
    <w:p w:rsidR="000958E5" w:rsidRPr="004931C2" w:rsidRDefault="000958E5" w:rsidP="004931C2">
      <w:pPr>
        <w:adjustRightInd w:val="0"/>
        <w:snapToGrid w:val="0"/>
        <w:spacing w:line="360" w:lineRule="auto"/>
        <w:rPr>
          <w:rFonts w:ascii="Book Antiqua" w:hAnsi="Book Antiqua" w:cs="Times New Roman"/>
          <w:sz w:val="24"/>
          <w:szCs w:val="24"/>
        </w:rPr>
      </w:pPr>
      <w:r w:rsidRPr="004931C2">
        <w:rPr>
          <w:rFonts w:ascii="Book Antiqua" w:hAnsi="Book Antiqua" w:cs="Times New Roman"/>
          <w:sz w:val="24"/>
          <w:szCs w:val="24"/>
        </w:rPr>
        <w:t xml:space="preserve">ConA was injected intravenously at 10 </w:t>
      </w:r>
      <w:r w:rsidR="009E5730" w:rsidRPr="004931C2">
        <w:rPr>
          <w:rFonts w:ascii="Book Antiqua" w:hAnsi="Book Antiqua" w:cs="Times New Roman"/>
          <w:sz w:val="24"/>
          <w:szCs w:val="24"/>
        </w:rPr>
        <w:t>μg/g</w:t>
      </w:r>
      <w:r w:rsidRPr="004931C2">
        <w:rPr>
          <w:rFonts w:ascii="Book Antiqua" w:hAnsi="Book Antiqua" w:cs="Times New Roman"/>
          <w:sz w:val="24"/>
          <w:szCs w:val="24"/>
        </w:rPr>
        <w:t xml:space="preserve"> body wt 4 d before the operation, and the 70% hepatectomy model animals received intravenous injections of identical volumes of saline.</w:t>
      </w:r>
    </w:p>
    <w:p w:rsidR="001432A2" w:rsidRPr="004931C2" w:rsidRDefault="001432A2" w:rsidP="004931C2">
      <w:pPr>
        <w:adjustRightInd w:val="0"/>
        <w:snapToGrid w:val="0"/>
        <w:spacing w:line="360" w:lineRule="auto"/>
        <w:rPr>
          <w:rFonts w:ascii="Book Antiqua" w:hAnsi="Book Antiqua" w:cs="Times New Roman"/>
          <w:sz w:val="24"/>
          <w:szCs w:val="24"/>
        </w:rPr>
      </w:pPr>
    </w:p>
    <w:p w:rsidR="001432A2" w:rsidRPr="004931C2" w:rsidRDefault="000958E5" w:rsidP="004931C2">
      <w:pPr>
        <w:adjustRightInd w:val="0"/>
        <w:snapToGrid w:val="0"/>
        <w:spacing w:line="360" w:lineRule="auto"/>
        <w:rPr>
          <w:rFonts w:ascii="Book Antiqua" w:hAnsi="Book Antiqua" w:cs="Times New Roman"/>
          <w:iCs/>
          <w:sz w:val="24"/>
          <w:szCs w:val="24"/>
        </w:rPr>
      </w:pPr>
      <w:r w:rsidRPr="004931C2">
        <w:rPr>
          <w:rFonts w:ascii="Book Antiqua" w:hAnsi="Book Antiqua" w:cs="Times New Roman"/>
          <w:i/>
          <w:sz w:val="24"/>
          <w:szCs w:val="24"/>
        </w:rPr>
        <w:t>ConA-mediated liver i</w:t>
      </w:r>
      <w:r w:rsidR="001432A2" w:rsidRPr="004931C2">
        <w:rPr>
          <w:rFonts w:ascii="Book Antiqua" w:hAnsi="Book Antiqua" w:cs="Times New Roman"/>
          <w:i/>
          <w:sz w:val="24"/>
          <w:szCs w:val="24"/>
        </w:rPr>
        <w:t>njury and 70% hepatectomy model</w:t>
      </w:r>
    </w:p>
    <w:p w:rsidR="000958E5" w:rsidRPr="004931C2" w:rsidRDefault="000958E5" w:rsidP="004931C2">
      <w:pPr>
        <w:adjustRightInd w:val="0"/>
        <w:snapToGrid w:val="0"/>
        <w:spacing w:line="360" w:lineRule="auto"/>
        <w:rPr>
          <w:rFonts w:ascii="Book Antiqua" w:hAnsi="Book Antiqua" w:cs="Times New Roman"/>
          <w:sz w:val="24"/>
          <w:szCs w:val="24"/>
        </w:rPr>
      </w:pPr>
      <w:r w:rsidRPr="004931C2">
        <w:rPr>
          <w:rFonts w:ascii="Book Antiqua" w:hAnsi="Book Antiqua" w:cs="Times New Roman"/>
          <w:sz w:val="24"/>
          <w:szCs w:val="24"/>
        </w:rPr>
        <w:t xml:space="preserve">ConA was injected intravenously at 10 </w:t>
      </w:r>
      <w:r w:rsidR="009E5730" w:rsidRPr="004931C2">
        <w:rPr>
          <w:rFonts w:ascii="Book Antiqua" w:hAnsi="Book Antiqua" w:cs="Times New Roman"/>
          <w:sz w:val="24"/>
          <w:szCs w:val="24"/>
        </w:rPr>
        <w:t>μg/g</w:t>
      </w:r>
      <w:r w:rsidRPr="004931C2">
        <w:rPr>
          <w:rFonts w:ascii="Book Antiqua" w:hAnsi="Book Antiqua" w:cs="Times New Roman"/>
          <w:sz w:val="24"/>
          <w:szCs w:val="24"/>
        </w:rPr>
        <w:t xml:space="preserve"> body wt, and the 70% hepatectomies were performed 4 d later.</w:t>
      </w:r>
    </w:p>
    <w:p w:rsidR="001432A2" w:rsidRPr="004931C2" w:rsidRDefault="001432A2" w:rsidP="004931C2">
      <w:pPr>
        <w:adjustRightInd w:val="0"/>
        <w:snapToGrid w:val="0"/>
        <w:spacing w:line="360" w:lineRule="auto"/>
        <w:rPr>
          <w:rFonts w:ascii="Book Antiqua" w:hAnsi="Book Antiqua" w:cs="Times New Roman"/>
          <w:sz w:val="24"/>
          <w:szCs w:val="24"/>
        </w:rPr>
      </w:pPr>
    </w:p>
    <w:p w:rsidR="001432A2" w:rsidRPr="004931C2" w:rsidRDefault="001432A2" w:rsidP="004931C2">
      <w:pPr>
        <w:adjustRightInd w:val="0"/>
        <w:snapToGrid w:val="0"/>
        <w:spacing w:line="360" w:lineRule="auto"/>
        <w:rPr>
          <w:rFonts w:ascii="Book Antiqua" w:hAnsi="Book Antiqua" w:cs="Times New Roman"/>
          <w:i/>
          <w:sz w:val="24"/>
          <w:szCs w:val="24"/>
        </w:rPr>
      </w:pPr>
      <w:r w:rsidRPr="004931C2">
        <w:rPr>
          <w:rFonts w:ascii="Book Antiqua" w:hAnsi="Book Antiqua" w:cs="Times New Roman"/>
          <w:i/>
          <w:sz w:val="24"/>
          <w:szCs w:val="24"/>
        </w:rPr>
        <w:lastRenderedPageBreak/>
        <w:t>IL-22 treatment model</w:t>
      </w:r>
    </w:p>
    <w:p w:rsidR="001432A2" w:rsidRPr="004931C2" w:rsidRDefault="000958E5" w:rsidP="004931C2">
      <w:pPr>
        <w:adjustRightInd w:val="0"/>
        <w:snapToGrid w:val="0"/>
        <w:spacing w:line="360" w:lineRule="auto"/>
        <w:rPr>
          <w:rFonts w:ascii="Book Antiqua" w:hAnsi="Book Antiqua" w:cs="Times New Roman"/>
          <w:sz w:val="24"/>
          <w:szCs w:val="24"/>
        </w:rPr>
      </w:pPr>
      <w:r w:rsidRPr="004931C2">
        <w:rPr>
          <w:rFonts w:ascii="Book Antiqua" w:hAnsi="Book Antiqua" w:cs="Times New Roman"/>
          <w:iCs/>
          <w:sz w:val="24"/>
          <w:szCs w:val="24"/>
        </w:rPr>
        <w:t xml:space="preserve">Four days after the </w:t>
      </w:r>
      <w:r w:rsidRPr="004931C2">
        <w:rPr>
          <w:rFonts w:ascii="Book Antiqua" w:hAnsi="Book Antiqua" w:cs="Times New Roman"/>
          <w:sz w:val="24"/>
          <w:szCs w:val="24"/>
        </w:rPr>
        <w:t xml:space="preserve">intravenous injections of 10 </w:t>
      </w:r>
      <w:r w:rsidR="009E5730" w:rsidRPr="004931C2">
        <w:rPr>
          <w:rFonts w:ascii="Book Antiqua" w:hAnsi="Book Antiqua" w:cs="Times New Roman"/>
          <w:sz w:val="24"/>
          <w:szCs w:val="24"/>
        </w:rPr>
        <w:t>μg/g</w:t>
      </w:r>
      <w:r w:rsidRPr="004931C2">
        <w:rPr>
          <w:rFonts w:ascii="Book Antiqua" w:hAnsi="Book Antiqua" w:cs="Times New Roman"/>
          <w:sz w:val="24"/>
          <w:szCs w:val="24"/>
        </w:rPr>
        <w:t xml:space="preserve"> body wt ConA, recombinant murine IL-22 was injected intravenously at 0.125 </w:t>
      </w:r>
      <w:r w:rsidR="009E5730" w:rsidRPr="004931C2">
        <w:rPr>
          <w:rFonts w:ascii="Book Antiqua" w:hAnsi="Book Antiqua" w:cs="Times New Roman"/>
          <w:sz w:val="24"/>
          <w:szCs w:val="24"/>
        </w:rPr>
        <w:t>μg/g</w:t>
      </w:r>
      <w:r w:rsidRPr="004931C2">
        <w:rPr>
          <w:rFonts w:ascii="Book Antiqua" w:hAnsi="Book Antiqua" w:cs="Times New Roman"/>
          <w:sz w:val="24"/>
          <w:szCs w:val="24"/>
        </w:rPr>
        <w:t xml:space="preserve"> body wt 30 min prior to 70% hepatectomy. The control animals received intravenous injections of identical volumes of saline.</w:t>
      </w:r>
    </w:p>
    <w:p w:rsidR="001432A2" w:rsidRPr="004931C2" w:rsidRDefault="001432A2" w:rsidP="004931C2">
      <w:pPr>
        <w:adjustRightInd w:val="0"/>
        <w:snapToGrid w:val="0"/>
        <w:spacing w:line="360" w:lineRule="auto"/>
        <w:rPr>
          <w:rFonts w:ascii="Book Antiqua" w:hAnsi="Book Antiqua" w:cs="Times New Roman"/>
          <w:sz w:val="24"/>
          <w:szCs w:val="24"/>
        </w:rPr>
      </w:pPr>
    </w:p>
    <w:p w:rsidR="001432A2" w:rsidRPr="004931C2" w:rsidRDefault="000958E5" w:rsidP="004931C2">
      <w:pPr>
        <w:adjustRightInd w:val="0"/>
        <w:snapToGrid w:val="0"/>
        <w:spacing w:line="360" w:lineRule="auto"/>
        <w:rPr>
          <w:rFonts w:ascii="Book Antiqua" w:hAnsi="Book Antiqua" w:cs="Times New Roman"/>
          <w:b/>
          <w:sz w:val="24"/>
          <w:szCs w:val="24"/>
        </w:rPr>
      </w:pPr>
      <w:r w:rsidRPr="004931C2">
        <w:rPr>
          <w:rFonts w:ascii="Book Antiqua" w:hAnsi="Book Antiqua" w:cs="Times New Roman"/>
          <w:b/>
          <w:i/>
          <w:sz w:val="24"/>
          <w:szCs w:val="24"/>
        </w:rPr>
        <w:t>Liver weight/body weight ratio</w:t>
      </w:r>
    </w:p>
    <w:p w:rsidR="000958E5" w:rsidRPr="004931C2" w:rsidRDefault="000958E5" w:rsidP="004931C2">
      <w:pPr>
        <w:adjustRightInd w:val="0"/>
        <w:snapToGrid w:val="0"/>
        <w:spacing w:line="360" w:lineRule="auto"/>
        <w:rPr>
          <w:rFonts w:ascii="Book Antiqua" w:hAnsi="Book Antiqua" w:cs="Times New Roman"/>
          <w:sz w:val="24"/>
          <w:szCs w:val="24"/>
        </w:rPr>
      </w:pPr>
      <w:r w:rsidRPr="004931C2">
        <w:rPr>
          <w:rFonts w:ascii="Book Antiqua" w:hAnsi="Book Antiqua" w:cs="Times New Roman"/>
          <w:sz w:val="24"/>
          <w:szCs w:val="24"/>
        </w:rPr>
        <w:t>At 32 h, 40 h, 48 h, 1 w</w:t>
      </w:r>
      <w:r w:rsidR="001432A2" w:rsidRPr="004931C2">
        <w:rPr>
          <w:rFonts w:ascii="Book Antiqua" w:hAnsi="Book Antiqua" w:cs="Times New Roman"/>
          <w:sz w:val="24"/>
          <w:szCs w:val="24"/>
        </w:rPr>
        <w:t>k</w:t>
      </w:r>
      <w:r w:rsidRPr="004931C2">
        <w:rPr>
          <w:rFonts w:ascii="Book Antiqua" w:hAnsi="Book Antiqua" w:cs="Times New Roman"/>
          <w:sz w:val="24"/>
          <w:szCs w:val="24"/>
        </w:rPr>
        <w:t>, and 2 w</w:t>
      </w:r>
      <w:r w:rsidR="001432A2" w:rsidRPr="004931C2">
        <w:rPr>
          <w:rFonts w:ascii="Book Antiqua" w:hAnsi="Book Antiqua" w:cs="Times New Roman"/>
          <w:sz w:val="24"/>
          <w:szCs w:val="24"/>
        </w:rPr>
        <w:t>k</w:t>
      </w:r>
      <w:r w:rsidRPr="004931C2">
        <w:rPr>
          <w:rFonts w:ascii="Book Antiqua" w:hAnsi="Book Antiqua" w:cs="Times New Roman"/>
          <w:sz w:val="24"/>
          <w:szCs w:val="24"/>
        </w:rPr>
        <w:t>, the mice were humanely killed under general anesthesia once moribund. The liver and body weights of all mice in each group were measured, and the liver weight/body weight was then calculated to observe the liver regeneration conditions.</w:t>
      </w:r>
    </w:p>
    <w:p w:rsidR="001432A2" w:rsidRPr="004931C2" w:rsidRDefault="001432A2" w:rsidP="004931C2">
      <w:pPr>
        <w:adjustRightInd w:val="0"/>
        <w:snapToGrid w:val="0"/>
        <w:spacing w:line="360" w:lineRule="auto"/>
        <w:rPr>
          <w:rFonts w:ascii="Book Antiqua" w:hAnsi="Book Antiqua" w:cs="Times New Roman"/>
          <w:sz w:val="24"/>
          <w:szCs w:val="24"/>
        </w:rPr>
      </w:pPr>
    </w:p>
    <w:p w:rsidR="001432A2" w:rsidRPr="004931C2" w:rsidRDefault="000958E5" w:rsidP="004931C2">
      <w:pPr>
        <w:adjustRightInd w:val="0"/>
        <w:snapToGrid w:val="0"/>
        <w:spacing w:line="360" w:lineRule="auto"/>
        <w:rPr>
          <w:rFonts w:ascii="Book Antiqua" w:hAnsi="Book Antiqua" w:cs="Times New Roman"/>
          <w:b/>
          <w:bCs/>
          <w:i/>
          <w:iCs/>
          <w:sz w:val="24"/>
          <w:szCs w:val="24"/>
        </w:rPr>
      </w:pPr>
      <w:r w:rsidRPr="004931C2">
        <w:rPr>
          <w:rFonts w:ascii="Book Antiqua" w:hAnsi="Book Antiqua" w:cs="Times New Roman"/>
          <w:b/>
          <w:i/>
          <w:sz w:val="24"/>
          <w:szCs w:val="24"/>
        </w:rPr>
        <w:t>Examination of</w:t>
      </w:r>
      <w:r w:rsidR="001432A2" w:rsidRPr="004931C2">
        <w:rPr>
          <w:rFonts w:ascii="Book Antiqua" w:hAnsi="Book Antiqua" w:cs="Times New Roman"/>
          <w:b/>
          <w:i/>
          <w:sz w:val="24"/>
          <w:szCs w:val="24"/>
        </w:rPr>
        <w:t xml:space="preserve"> liver injury</w:t>
      </w:r>
    </w:p>
    <w:p w:rsidR="000958E5" w:rsidRPr="004931C2" w:rsidRDefault="000958E5" w:rsidP="004931C2">
      <w:pPr>
        <w:adjustRightInd w:val="0"/>
        <w:snapToGrid w:val="0"/>
        <w:spacing w:line="360" w:lineRule="auto"/>
        <w:rPr>
          <w:rFonts w:ascii="Book Antiqua" w:hAnsi="Book Antiqua" w:cs="Times New Roman"/>
          <w:sz w:val="24"/>
          <w:szCs w:val="24"/>
        </w:rPr>
      </w:pPr>
      <w:r w:rsidRPr="004931C2">
        <w:rPr>
          <w:rFonts w:ascii="Book Antiqua" w:hAnsi="Book Antiqua" w:cs="Times New Roman"/>
          <w:sz w:val="24"/>
          <w:szCs w:val="24"/>
        </w:rPr>
        <w:t xml:space="preserve">To assess the damage to the hepatic parenchyma, the serum </w:t>
      </w:r>
      <w:bookmarkStart w:id="352" w:name="OLE_LINK2174"/>
      <w:bookmarkStart w:id="353" w:name="OLE_LINK2175"/>
      <w:r w:rsidRPr="004931C2">
        <w:rPr>
          <w:rFonts w:ascii="Book Antiqua" w:hAnsi="Book Antiqua" w:cs="Times New Roman"/>
          <w:sz w:val="24"/>
          <w:szCs w:val="24"/>
        </w:rPr>
        <w:t>alanine aminotransferase</w:t>
      </w:r>
      <w:bookmarkEnd w:id="352"/>
      <w:bookmarkEnd w:id="353"/>
      <w:r w:rsidRPr="004931C2">
        <w:rPr>
          <w:rFonts w:ascii="Book Antiqua" w:hAnsi="Book Antiqua" w:cs="Times New Roman"/>
          <w:sz w:val="24"/>
          <w:szCs w:val="24"/>
        </w:rPr>
        <w:t xml:space="preserve"> (ALT) and </w:t>
      </w:r>
      <w:bookmarkStart w:id="354" w:name="OLE_LINK2177"/>
      <w:bookmarkStart w:id="355" w:name="OLE_LINK2178"/>
      <w:r w:rsidRPr="004931C2">
        <w:rPr>
          <w:rFonts w:ascii="Book Antiqua" w:hAnsi="Book Antiqua" w:cs="Times New Roman"/>
          <w:sz w:val="24"/>
          <w:szCs w:val="24"/>
        </w:rPr>
        <w:t>aspartate aminotransferase (AST)</w:t>
      </w:r>
      <w:bookmarkEnd w:id="354"/>
      <w:bookmarkEnd w:id="355"/>
      <w:r w:rsidRPr="004931C2">
        <w:rPr>
          <w:rFonts w:ascii="Book Antiqua" w:hAnsi="Book Antiqua" w:cs="Times New Roman"/>
          <w:sz w:val="24"/>
          <w:szCs w:val="24"/>
        </w:rPr>
        <w:t xml:space="preserve"> levels were measured using a serum analyzer (Cobas-Mira Plus, Roche, Manheim, Germany). The liver specimens were fixed in 10% buffered formalin and embedded in paraffin, and the paraffin embedded liver tissue sections were then stained with hematoxylin and eosin for histological examinations.</w:t>
      </w:r>
    </w:p>
    <w:p w:rsidR="001432A2" w:rsidRPr="004931C2" w:rsidRDefault="001432A2" w:rsidP="004931C2">
      <w:pPr>
        <w:adjustRightInd w:val="0"/>
        <w:snapToGrid w:val="0"/>
        <w:spacing w:line="360" w:lineRule="auto"/>
        <w:rPr>
          <w:rFonts w:ascii="Book Antiqua" w:hAnsi="Book Antiqua" w:cs="Times New Roman"/>
          <w:sz w:val="24"/>
          <w:szCs w:val="24"/>
        </w:rPr>
      </w:pPr>
    </w:p>
    <w:p w:rsidR="001432A2" w:rsidRPr="004931C2" w:rsidRDefault="000958E5" w:rsidP="004931C2">
      <w:pPr>
        <w:adjustRightInd w:val="0"/>
        <w:snapToGrid w:val="0"/>
        <w:spacing w:line="360" w:lineRule="auto"/>
        <w:rPr>
          <w:rFonts w:ascii="Book Antiqua" w:hAnsi="Book Antiqua" w:cs="Times New Roman"/>
          <w:b/>
          <w:i/>
          <w:sz w:val="24"/>
          <w:szCs w:val="24"/>
        </w:rPr>
      </w:pPr>
      <w:r w:rsidRPr="004931C2">
        <w:rPr>
          <w:rFonts w:ascii="Book Antiqua" w:hAnsi="Book Antiqua" w:cs="Times New Roman"/>
          <w:b/>
          <w:i/>
          <w:sz w:val="24"/>
          <w:szCs w:val="24"/>
        </w:rPr>
        <w:t>Immunohistochemistry</w:t>
      </w:r>
    </w:p>
    <w:p w:rsidR="000958E5" w:rsidRPr="004931C2" w:rsidRDefault="000958E5" w:rsidP="004931C2">
      <w:pPr>
        <w:adjustRightInd w:val="0"/>
        <w:snapToGrid w:val="0"/>
        <w:spacing w:line="360" w:lineRule="auto"/>
        <w:rPr>
          <w:rFonts w:ascii="Book Antiqua" w:hAnsi="Book Antiqua" w:cs="Times New Roman"/>
          <w:sz w:val="24"/>
          <w:szCs w:val="24"/>
        </w:rPr>
      </w:pPr>
      <w:r w:rsidRPr="004931C2">
        <w:rPr>
          <w:rFonts w:ascii="Book Antiqua" w:hAnsi="Book Antiqua" w:cs="Times New Roman"/>
          <w:sz w:val="24"/>
          <w:szCs w:val="24"/>
        </w:rPr>
        <w:t>The tissue specimens were fixed in neutral buffered formalin and then embedded in paraffin. The 4-µm paraffin sections were deparaffinized in xylene and rehydrated in a graded series of alcohol. Endogenous peroxidase was inhibited with 0.3% H</w:t>
      </w:r>
      <w:r w:rsidRPr="004931C2">
        <w:rPr>
          <w:rFonts w:ascii="Book Antiqua" w:hAnsi="Book Antiqua" w:cs="Times New Roman"/>
          <w:sz w:val="24"/>
          <w:szCs w:val="24"/>
          <w:vertAlign w:val="subscript"/>
        </w:rPr>
        <w:t>2</w:t>
      </w:r>
      <w:r w:rsidRPr="004931C2">
        <w:rPr>
          <w:rFonts w:ascii="Book Antiqua" w:hAnsi="Book Antiqua" w:cs="Times New Roman"/>
          <w:sz w:val="24"/>
          <w:szCs w:val="24"/>
        </w:rPr>
        <w:t>O</w:t>
      </w:r>
      <w:r w:rsidRPr="004931C2">
        <w:rPr>
          <w:rFonts w:ascii="Book Antiqua" w:hAnsi="Book Antiqua" w:cs="Times New Roman"/>
          <w:sz w:val="24"/>
          <w:szCs w:val="24"/>
          <w:vertAlign w:val="subscript"/>
        </w:rPr>
        <w:t>2</w:t>
      </w:r>
      <w:r w:rsidRPr="004931C2">
        <w:rPr>
          <w:rFonts w:ascii="Book Antiqua" w:hAnsi="Book Antiqua" w:cs="Times New Roman"/>
          <w:sz w:val="24"/>
          <w:szCs w:val="24"/>
        </w:rPr>
        <w:t xml:space="preserve"> in methanol. The sections were heated in a microwave oven (in 10 mM citrate buffer, pH 6.0) for 20 min for epitope retrieval. The primary antibodies were against PCNA (1:4000; Abcam). The slides were incubated with anti-mouse/rabbit biotinylated bridging antibodies (dilution: 1/200, DAKO) for 60 min. The sections were counterstained with Mayer’s hematoxylin. PCNA antigen expression levels were evaluated by counting the positively stained staining cells (H&amp;E) in the </w:t>
      </w:r>
      <w:r w:rsidRPr="004931C2">
        <w:rPr>
          <w:rFonts w:ascii="Book Antiqua" w:hAnsi="Book Antiqua" w:cs="Times New Roman"/>
          <w:sz w:val="24"/>
          <w:szCs w:val="24"/>
        </w:rPr>
        <w:lastRenderedPageBreak/>
        <w:t>portal triads of five high-power fields (HPFs) per slide, and the results are expressed as the average number of positive cells/HPF.</w:t>
      </w:r>
    </w:p>
    <w:p w:rsidR="001432A2" w:rsidRPr="004931C2" w:rsidRDefault="001432A2" w:rsidP="004931C2">
      <w:pPr>
        <w:adjustRightInd w:val="0"/>
        <w:snapToGrid w:val="0"/>
        <w:spacing w:line="360" w:lineRule="auto"/>
        <w:rPr>
          <w:rFonts w:ascii="Book Antiqua" w:hAnsi="Book Antiqua" w:cs="Times New Roman"/>
          <w:sz w:val="24"/>
          <w:szCs w:val="24"/>
        </w:rPr>
      </w:pPr>
    </w:p>
    <w:p w:rsidR="001432A2" w:rsidRPr="004931C2" w:rsidRDefault="000958E5" w:rsidP="004931C2">
      <w:pPr>
        <w:adjustRightInd w:val="0"/>
        <w:snapToGrid w:val="0"/>
        <w:spacing w:line="360" w:lineRule="auto"/>
        <w:rPr>
          <w:rFonts w:ascii="Book Antiqua" w:hAnsi="Book Antiqua" w:cs="Times New Roman"/>
          <w:b/>
          <w:sz w:val="24"/>
          <w:szCs w:val="24"/>
        </w:rPr>
      </w:pPr>
      <w:r w:rsidRPr="004931C2">
        <w:rPr>
          <w:rFonts w:ascii="Book Antiqua" w:hAnsi="Book Antiqua" w:cs="Times New Roman"/>
          <w:b/>
          <w:i/>
          <w:sz w:val="24"/>
          <w:szCs w:val="24"/>
        </w:rPr>
        <w:t>Quantitative real-time PCR analysis</w:t>
      </w:r>
    </w:p>
    <w:p w:rsidR="000958E5" w:rsidRPr="004931C2" w:rsidRDefault="000958E5" w:rsidP="004931C2">
      <w:pPr>
        <w:adjustRightInd w:val="0"/>
        <w:snapToGrid w:val="0"/>
        <w:spacing w:line="360" w:lineRule="auto"/>
        <w:rPr>
          <w:rFonts w:ascii="Book Antiqua" w:hAnsi="Book Antiqua" w:cs="Times New Roman"/>
          <w:sz w:val="24"/>
          <w:szCs w:val="24"/>
        </w:rPr>
      </w:pPr>
      <w:r w:rsidRPr="004931C2">
        <w:rPr>
          <w:rFonts w:ascii="Book Antiqua" w:hAnsi="Book Antiqua" w:cs="Times New Roman"/>
          <w:sz w:val="24"/>
          <w:szCs w:val="24"/>
        </w:rPr>
        <w:t>RNA was extracted from snap-frozen liver tissue samples using the TRIzol technique. Five micrograms of RNA were reverse-transcribed into cDNA using oligo-dT primers with a Superscript III First-Strand Synthesis System (Invitrogen). Quantitative real-time PCR was performed with iCycler IQ system (Bio-Rad, Hercules, CA). The primers sequence for AFP were 5’- CAA AGC ATT GCA CGA AAA TGA G-3’ (forward) and 5’-AAC AAA CTG GGT AAA GGT GAT GGT-3’ (reverse). β-actin was measured as a housekeeping gene. The cycling conditions comprised a 5 min polymerase activation at 95°C, 40 cycles of 95</w:t>
      </w:r>
      <w:r w:rsidR="001432A2" w:rsidRPr="004931C2">
        <w:rPr>
          <w:rFonts w:ascii="Book Antiqua" w:hAnsi="Book Antiqua" w:cs="Times New Roman"/>
          <w:sz w:val="24"/>
          <w:szCs w:val="24"/>
        </w:rPr>
        <w:t xml:space="preserve"> </w:t>
      </w:r>
      <w:r w:rsidRPr="004931C2">
        <w:rPr>
          <w:rFonts w:ascii="Book Antiqua" w:hAnsi="Book Antiqua" w:cs="Times New Roman"/>
          <w:sz w:val="24"/>
          <w:szCs w:val="24"/>
        </w:rPr>
        <w:t>°C for 5 s and 60°C for 30 s and a single fluorescence measurement. Melting curve analysis based on increasing the temperature from 60 to 95</w:t>
      </w:r>
      <w:r w:rsidR="001432A2" w:rsidRPr="004931C2">
        <w:rPr>
          <w:rFonts w:ascii="Book Antiqua" w:hAnsi="Book Antiqua" w:cs="Times New Roman"/>
          <w:sz w:val="24"/>
          <w:szCs w:val="24"/>
        </w:rPr>
        <w:t xml:space="preserve"> </w:t>
      </w:r>
      <w:r w:rsidRPr="004931C2">
        <w:rPr>
          <w:rFonts w:ascii="Book Antiqua" w:hAnsi="Book Antiqua" w:cs="Times New Roman"/>
          <w:sz w:val="24"/>
          <w:szCs w:val="24"/>
        </w:rPr>
        <w:t>°C at a rate of 0.5</w:t>
      </w:r>
      <w:r w:rsidR="001432A2" w:rsidRPr="004931C2">
        <w:rPr>
          <w:rFonts w:ascii="Book Antiqua" w:hAnsi="Book Antiqua" w:cs="Times New Roman"/>
          <w:sz w:val="24"/>
          <w:szCs w:val="24"/>
        </w:rPr>
        <w:t xml:space="preserve"> </w:t>
      </w:r>
      <w:r w:rsidRPr="004931C2">
        <w:rPr>
          <w:rFonts w:ascii="Book Antiqua" w:hAnsi="Book Antiqua" w:cs="Times New Roman"/>
          <w:sz w:val="24"/>
          <w:szCs w:val="24"/>
        </w:rPr>
        <w:t>°C/s with continuous fluorescence measurement revealed a single, narrow peak for the suspected fusion temperature.</w:t>
      </w:r>
    </w:p>
    <w:p w:rsidR="001432A2" w:rsidRPr="004931C2" w:rsidRDefault="001432A2" w:rsidP="004931C2">
      <w:pPr>
        <w:adjustRightInd w:val="0"/>
        <w:snapToGrid w:val="0"/>
        <w:spacing w:line="360" w:lineRule="auto"/>
        <w:rPr>
          <w:rFonts w:ascii="Book Antiqua" w:hAnsi="Book Antiqua" w:cs="Times New Roman"/>
          <w:sz w:val="24"/>
          <w:szCs w:val="24"/>
        </w:rPr>
      </w:pPr>
    </w:p>
    <w:p w:rsidR="001432A2" w:rsidRPr="004931C2" w:rsidRDefault="000958E5" w:rsidP="004931C2">
      <w:pPr>
        <w:adjustRightInd w:val="0"/>
        <w:snapToGrid w:val="0"/>
        <w:spacing w:line="360" w:lineRule="auto"/>
        <w:rPr>
          <w:rFonts w:ascii="Book Antiqua" w:hAnsi="Book Antiqua" w:cs="Times New Roman"/>
          <w:i/>
          <w:sz w:val="24"/>
          <w:szCs w:val="24"/>
        </w:rPr>
      </w:pPr>
      <w:r w:rsidRPr="004931C2">
        <w:rPr>
          <w:rFonts w:ascii="Book Antiqua" w:hAnsi="Book Antiqua" w:cs="Times New Roman"/>
          <w:i/>
          <w:sz w:val="24"/>
          <w:szCs w:val="24"/>
        </w:rPr>
        <w:t>Western blot</w:t>
      </w:r>
    </w:p>
    <w:p w:rsidR="000958E5" w:rsidRPr="004931C2" w:rsidRDefault="000958E5" w:rsidP="004931C2">
      <w:pPr>
        <w:adjustRightInd w:val="0"/>
        <w:snapToGrid w:val="0"/>
        <w:spacing w:line="360" w:lineRule="auto"/>
        <w:rPr>
          <w:rFonts w:ascii="Book Antiqua" w:hAnsi="Book Antiqua" w:cs="Times New Roman"/>
          <w:sz w:val="24"/>
          <w:szCs w:val="24"/>
        </w:rPr>
      </w:pPr>
      <w:r w:rsidRPr="004931C2">
        <w:rPr>
          <w:rFonts w:ascii="Book Antiqua" w:hAnsi="Book Antiqua" w:cs="Times New Roman"/>
          <w:sz w:val="24"/>
          <w:szCs w:val="24"/>
        </w:rPr>
        <w:t>The mice were euthanized at baseline and at 32 h, 40 h, 48 h, 1 w</w:t>
      </w:r>
      <w:r w:rsidR="001432A2" w:rsidRPr="004931C2">
        <w:rPr>
          <w:rFonts w:ascii="Book Antiqua" w:hAnsi="Book Antiqua" w:cs="Times New Roman"/>
          <w:sz w:val="24"/>
          <w:szCs w:val="24"/>
        </w:rPr>
        <w:t>k</w:t>
      </w:r>
      <w:r w:rsidRPr="004931C2">
        <w:rPr>
          <w:rFonts w:ascii="Book Antiqua" w:hAnsi="Book Antiqua" w:cs="Times New Roman"/>
          <w:sz w:val="24"/>
          <w:szCs w:val="24"/>
        </w:rPr>
        <w:t xml:space="preserve"> and 2 w</w:t>
      </w:r>
      <w:r w:rsidR="001432A2" w:rsidRPr="004931C2">
        <w:rPr>
          <w:rFonts w:ascii="Book Antiqua" w:hAnsi="Book Antiqua" w:cs="Times New Roman"/>
          <w:sz w:val="24"/>
          <w:szCs w:val="24"/>
        </w:rPr>
        <w:t>k</w:t>
      </w:r>
      <w:r w:rsidRPr="004931C2">
        <w:rPr>
          <w:rFonts w:ascii="Book Antiqua" w:hAnsi="Book Antiqua" w:cs="Times New Roman"/>
          <w:sz w:val="24"/>
          <w:szCs w:val="24"/>
        </w:rPr>
        <w:t xml:space="preserve"> after hepatectomy, and liver samples were obtained for Western blot analyses. The proteins were extracted from the liver tissues and quantified using a protein assay (Bio-Rad Laboratories, CA). The protein samples (30 μg) were fractionated by SDS-PAGE and transferred to a nitrocellulose membrane. Immunoblotting was conducted using antibodies against STAT3 and CyclinD1 (all purchased from Cell Signaling Technology, Inc. USA). The results were visualized </w:t>
      </w:r>
      <w:r w:rsidRPr="00880B1B">
        <w:rPr>
          <w:rFonts w:ascii="Book Antiqua" w:hAnsi="Book Antiqua" w:cs="Times New Roman"/>
          <w:i/>
          <w:sz w:val="24"/>
          <w:szCs w:val="24"/>
        </w:rPr>
        <w:t>via</w:t>
      </w:r>
      <w:r w:rsidRPr="004931C2">
        <w:rPr>
          <w:rFonts w:ascii="Book Antiqua" w:hAnsi="Book Antiqua" w:cs="Times New Roman"/>
          <w:sz w:val="24"/>
          <w:szCs w:val="24"/>
        </w:rPr>
        <w:t xml:space="preserve"> an enhanced chemiluminescent detection system (Pierce ECL Substrate Western blot detection system, Thermo Scientific, IL) and exposure to autoradiography film (Kodak XAR film).</w:t>
      </w:r>
    </w:p>
    <w:p w:rsidR="001432A2" w:rsidRPr="004931C2" w:rsidRDefault="001432A2" w:rsidP="004931C2">
      <w:pPr>
        <w:adjustRightInd w:val="0"/>
        <w:snapToGrid w:val="0"/>
        <w:spacing w:line="360" w:lineRule="auto"/>
        <w:rPr>
          <w:rFonts w:ascii="Book Antiqua" w:hAnsi="Book Antiqua" w:cs="Times New Roman"/>
          <w:sz w:val="24"/>
          <w:szCs w:val="24"/>
        </w:rPr>
      </w:pPr>
    </w:p>
    <w:p w:rsidR="001432A2" w:rsidRPr="004931C2" w:rsidRDefault="000958E5" w:rsidP="004931C2">
      <w:pPr>
        <w:adjustRightInd w:val="0"/>
        <w:snapToGrid w:val="0"/>
        <w:spacing w:line="360" w:lineRule="auto"/>
        <w:rPr>
          <w:rFonts w:ascii="Book Antiqua" w:hAnsi="Book Antiqua" w:cs="Times New Roman"/>
          <w:b/>
          <w:i/>
          <w:sz w:val="24"/>
          <w:szCs w:val="24"/>
        </w:rPr>
      </w:pPr>
      <w:r w:rsidRPr="004931C2">
        <w:rPr>
          <w:rFonts w:ascii="Book Antiqua" w:hAnsi="Book Antiqua" w:cs="Times New Roman"/>
          <w:b/>
          <w:i/>
          <w:sz w:val="24"/>
          <w:szCs w:val="24"/>
        </w:rPr>
        <w:t xml:space="preserve">Statistical </w:t>
      </w:r>
      <w:r w:rsidR="001432A2" w:rsidRPr="004931C2">
        <w:rPr>
          <w:rFonts w:ascii="Book Antiqua" w:hAnsi="Book Antiqua" w:cs="Times New Roman"/>
          <w:b/>
          <w:i/>
          <w:sz w:val="24"/>
          <w:szCs w:val="24"/>
        </w:rPr>
        <w:t>analysis</w:t>
      </w:r>
    </w:p>
    <w:p w:rsidR="000958E5" w:rsidRPr="004931C2" w:rsidRDefault="000958E5" w:rsidP="004931C2">
      <w:pPr>
        <w:adjustRightInd w:val="0"/>
        <w:snapToGrid w:val="0"/>
        <w:spacing w:line="360" w:lineRule="auto"/>
        <w:rPr>
          <w:rFonts w:ascii="Book Antiqua" w:hAnsi="Book Antiqua" w:cs="Times New Roman"/>
          <w:sz w:val="24"/>
          <w:szCs w:val="24"/>
        </w:rPr>
      </w:pPr>
      <w:r w:rsidRPr="004931C2">
        <w:rPr>
          <w:rFonts w:ascii="Book Antiqua" w:hAnsi="Book Antiqua" w:cs="Times New Roman"/>
          <w:sz w:val="24"/>
          <w:szCs w:val="24"/>
        </w:rPr>
        <w:lastRenderedPageBreak/>
        <w:t>All parametric data are presented as the mean</w:t>
      </w:r>
      <w:r w:rsidR="00880B1B">
        <w:rPr>
          <w:rFonts w:ascii="Book Antiqua" w:hAnsi="Book Antiqua" w:cs="Times New Roman"/>
          <w:sz w:val="24"/>
          <w:szCs w:val="24"/>
        </w:rPr>
        <w:t xml:space="preserve"> </w:t>
      </w:r>
      <w:r w:rsidR="00170317">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 xml:space="preserve">the standard deviation. The data were analyzed for significance using Student’s t tests. One-way analyses of variance with Fisher’s protected least significant difference (PLSD) tests were used to compare the means. The log-rank test was applied to the compare survival curves. Differences were considered statistically significant when </w:t>
      </w:r>
      <w:r w:rsidRPr="004931C2">
        <w:rPr>
          <w:rFonts w:ascii="Book Antiqua" w:hAnsi="Book Antiqua" w:cs="Times New Roman"/>
          <w:i/>
          <w:sz w:val="24"/>
          <w:szCs w:val="24"/>
        </w:rPr>
        <w:t>P</w:t>
      </w:r>
      <w:r w:rsidR="001432A2" w:rsidRPr="004931C2">
        <w:rPr>
          <w:rFonts w:ascii="Book Antiqua" w:hAnsi="Book Antiqua" w:cs="Times New Roman"/>
          <w:sz w:val="24"/>
          <w:szCs w:val="24"/>
        </w:rPr>
        <w:t xml:space="preserve"> </w:t>
      </w:r>
      <w:r w:rsidRPr="004931C2">
        <w:rPr>
          <w:rFonts w:ascii="Book Antiqua" w:hAnsi="Book Antiqua" w:cs="Times New Roman"/>
          <w:sz w:val="24"/>
          <w:szCs w:val="24"/>
        </w:rPr>
        <w:t>&lt;</w:t>
      </w:r>
      <w:r w:rsidR="001432A2" w:rsidRPr="004931C2">
        <w:rPr>
          <w:rFonts w:ascii="Book Antiqua" w:hAnsi="Book Antiqua" w:cs="Times New Roman"/>
          <w:sz w:val="24"/>
          <w:szCs w:val="24"/>
        </w:rPr>
        <w:t xml:space="preserve"> </w:t>
      </w:r>
      <w:r w:rsidRPr="004931C2">
        <w:rPr>
          <w:rFonts w:ascii="Book Antiqua" w:hAnsi="Book Antiqua" w:cs="Times New Roman"/>
          <w:sz w:val="24"/>
          <w:szCs w:val="24"/>
        </w:rPr>
        <w:t>0.05.</w:t>
      </w:r>
    </w:p>
    <w:p w:rsidR="001432A2" w:rsidRPr="004931C2" w:rsidRDefault="001432A2" w:rsidP="004931C2">
      <w:pPr>
        <w:adjustRightInd w:val="0"/>
        <w:snapToGrid w:val="0"/>
        <w:spacing w:line="360" w:lineRule="auto"/>
        <w:rPr>
          <w:rFonts w:ascii="Book Antiqua" w:hAnsi="Book Antiqua" w:cs="Times New Roman"/>
          <w:sz w:val="24"/>
          <w:szCs w:val="24"/>
        </w:rPr>
      </w:pPr>
    </w:p>
    <w:p w:rsidR="000958E5" w:rsidRPr="004931C2" w:rsidRDefault="000958E5" w:rsidP="004931C2">
      <w:pPr>
        <w:adjustRightInd w:val="0"/>
        <w:snapToGrid w:val="0"/>
        <w:spacing w:line="360" w:lineRule="auto"/>
        <w:rPr>
          <w:rFonts w:ascii="Book Antiqua" w:hAnsi="Book Antiqua" w:cs="Times New Roman"/>
          <w:b/>
          <w:sz w:val="24"/>
          <w:szCs w:val="24"/>
        </w:rPr>
      </w:pPr>
      <w:r w:rsidRPr="004931C2">
        <w:rPr>
          <w:rFonts w:ascii="Book Antiqua" w:hAnsi="Book Antiqua" w:cs="Times New Roman"/>
          <w:b/>
          <w:sz w:val="24"/>
          <w:szCs w:val="24"/>
        </w:rPr>
        <w:t>RESULTS</w:t>
      </w:r>
    </w:p>
    <w:p w:rsidR="001432A2" w:rsidRPr="004931C2" w:rsidRDefault="000958E5" w:rsidP="004931C2">
      <w:pPr>
        <w:adjustRightInd w:val="0"/>
        <w:snapToGrid w:val="0"/>
        <w:spacing w:line="360" w:lineRule="auto"/>
        <w:rPr>
          <w:rFonts w:ascii="Book Antiqua" w:hAnsi="Book Antiqua" w:cs="Times New Roman"/>
          <w:b/>
          <w:i/>
          <w:sz w:val="24"/>
          <w:szCs w:val="24"/>
        </w:rPr>
      </w:pPr>
      <w:r w:rsidRPr="004931C2">
        <w:rPr>
          <w:rFonts w:ascii="Book Antiqua" w:hAnsi="Book Antiqua" w:cs="Times New Roman"/>
          <w:b/>
          <w:i/>
          <w:sz w:val="24"/>
          <w:szCs w:val="24"/>
        </w:rPr>
        <w:t xml:space="preserve">Effects of IL-22 on </w:t>
      </w:r>
      <w:bookmarkStart w:id="356" w:name="OLE_LINK11"/>
      <w:bookmarkStart w:id="357" w:name="OLE_LINK12"/>
      <w:r w:rsidRPr="004931C2">
        <w:rPr>
          <w:rFonts w:ascii="Book Antiqua" w:hAnsi="Book Antiqua" w:cs="Times New Roman"/>
          <w:b/>
          <w:i/>
          <w:sz w:val="24"/>
          <w:szCs w:val="24"/>
        </w:rPr>
        <w:t>the liver weight/body weight ratio</w:t>
      </w:r>
      <w:bookmarkEnd w:id="356"/>
      <w:bookmarkEnd w:id="357"/>
      <w:r w:rsidRPr="004931C2">
        <w:rPr>
          <w:rFonts w:ascii="Book Antiqua" w:hAnsi="Book Antiqua" w:cs="Times New Roman"/>
          <w:b/>
          <w:i/>
          <w:sz w:val="24"/>
          <w:szCs w:val="24"/>
        </w:rPr>
        <w:t xml:space="preserve"> after partial hepatectomy</w:t>
      </w:r>
    </w:p>
    <w:p w:rsidR="000958E5" w:rsidRPr="004931C2" w:rsidRDefault="000958E5" w:rsidP="004931C2">
      <w:pPr>
        <w:adjustRightInd w:val="0"/>
        <w:snapToGrid w:val="0"/>
        <w:spacing w:line="360" w:lineRule="auto"/>
        <w:rPr>
          <w:rFonts w:ascii="Book Antiqua" w:hAnsi="Book Antiqua" w:cs="Times New Roman"/>
          <w:sz w:val="24"/>
          <w:szCs w:val="24"/>
        </w:rPr>
      </w:pPr>
      <w:r w:rsidRPr="004931C2">
        <w:rPr>
          <w:rFonts w:ascii="Book Antiqua" w:hAnsi="Book Antiqua" w:cs="Times New Roman"/>
          <w:sz w:val="24"/>
          <w:szCs w:val="24"/>
        </w:rPr>
        <w:t>At 32 h, 40 h, 48 h, 1 w</w:t>
      </w:r>
      <w:r w:rsidR="001432A2" w:rsidRPr="004931C2">
        <w:rPr>
          <w:rFonts w:ascii="Book Antiqua" w:hAnsi="Book Antiqua" w:cs="Times New Roman"/>
          <w:sz w:val="24"/>
          <w:szCs w:val="24"/>
        </w:rPr>
        <w:t>k</w:t>
      </w:r>
      <w:r w:rsidRPr="004931C2">
        <w:rPr>
          <w:rFonts w:ascii="Book Antiqua" w:hAnsi="Book Antiqua" w:cs="Times New Roman"/>
          <w:sz w:val="24"/>
          <w:szCs w:val="24"/>
        </w:rPr>
        <w:t>, or 2 w</w:t>
      </w:r>
      <w:r w:rsidR="001432A2" w:rsidRPr="004931C2">
        <w:rPr>
          <w:rFonts w:ascii="Book Antiqua" w:hAnsi="Book Antiqua" w:cs="Times New Roman"/>
          <w:sz w:val="24"/>
          <w:szCs w:val="24"/>
        </w:rPr>
        <w:t>k</w:t>
      </w:r>
      <w:r w:rsidRPr="004931C2">
        <w:rPr>
          <w:rFonts w:ascii="Book Antiqua" w:hAnsi="Book Antiqua" w:cs="Times New Roman"/>
          <w:sz w:val="24"/>
          <w:szCs w:val="24"/>
        </w:rPr>
        <w:t xml:space="preserve">, the mice were humanely killed humanely under general anesthesia once moribund. The liver and body weights were measured, and the liver weight/body weight ratios were then calculated. As illustrated in </w:t>
      </w:r>
      <w:r w:rsidR="001432A2" w:rsidRPr="004931C2">
        <w:rPr>
          <w:rFonts w:ascii="Book Antiqua" w:hAnsi="Book Antiqua" w:cs="Times New Roman"/>
          <w:sz w:val="24"/>
          <w:szCs w:val="24"/>
        </w:rPr>
        <w:t>Figure</w:t>
      </w:r>
      <w:r w:rsidRPr="004931C2">
        <w:rPr>
          <w:rFonts w:ascii="Book Antiqua" w:hAnsi="Book Antiqua" w:cs="Times New Roman"/>
          <w:sz w:val="24"/>
          <w:szCs w:val="24"/>
        </w:rPr>
        <w:t xml:space="preserve"> 1, increases in the liver weight/body weight ratios were observed in the PHX, ConA</w:t>
      </w:r>
      <w:r w:rsidR="00880B1B">
        <w:rPr>
          <w:rFonts w:ascii="Book Antiqua" w:hAnsi="Book Antiqua" w:cs="Times New Roman"/>
          <w:sz w:val="24"/>
          <w:szCs w:val="24"/>
        </w:rPr>
        <w:t xml:space="preserve"> </w:t>
      </w:r>
      <w:r w:rsidR="00C6548E">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PHX and ConA</w:t>
      </w:r>
      <w:r w:rsidR="00880B1B">
        <w:rPr>
          <w:rFonts w:ascii="Book Antiqua" w:hAnsi="Book Antiqua" w:cs="Times New Roman"/>
          <w:sz w:val="24"/>
          <w:szCs w:val="24"/>
        </w:rPr>
        <w:t xml:space="preserve"> </w:t>
      </w:r>
      <w:r w:rsidR="00C6548E">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PHX</w:t>
      </w:r>
      <w:r w:rsidR="00880B1B">
        <w:rPr>
          <w:rFonts w:ascii="Book Antiqua" w:hAnsi="Book Antiqua" w:cs="Times New Roman"/>
          <w:sz w:val="24"/>
          <w:szCs w:val="24"/>
        </w:rPr>
        <w:t xml:space="preserve"> </w:t>
      </w:r>
      <w:r w:rsidR="00C6548E">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IL-22 groups, all groups returned to normal liver weights by 2 w. Compared with the ConA</w:t>
      </w:r>
      <w:r w:rsidR="00880B1B">
        <w:rPr>
          <w:rFonts w:ascii="Book Antiqua" w:hAnsi="Book Antiqua" w:cs="Times New Roman"/>
          <w:sz w:val="24"/>
          <w:szCs w:val="24"/>
        </w:rPr>
        <w:t xml:space="preserve"> </w:t>
      </w:r>
      <w:r w:rsidR="00C6548E">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PHX group, the ratio of the ConA</w:t>
      </w:r>
      <w:r w:rsidR="00880B1B">
        <w:rPr>
          <w:rFonts w:ascii="Book Antiqua" w:hAnsi="Book Antiqua" w:cs="Times New Roman"/>
          <w:sz w:val="24"/>
          <w:szCs w:val="24"/>
        </w:rPr>
        <w:t xml:space="preserve"> </w:t>
      </w:r>
      <w:r w:rsidR="00C6548E">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PHX</w:t>
      </w:r>
      <w:r w:rsidR="00880B1B">
        <w:rPr>
          <w:rFonts w:ascii="Book Antiqua" w:hAnsi="Book Antiqua" w:cs="Times New Roman"/>
          <w:sz w:val="24"/>
          <w:szCs w:val="24"/>
        </w:rPr>
        <w:t xml:space="preserve"> </w:t>
      </w:r>
      <w:r w:rsidR="00C6548E">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IL-22 group increased more rapidly, and significant differences between these two groups were observed at 40 h, 48 h, 1 w</w:t>
      </w:r>
      <w:r w:rsidR="001432A2" w:rsidRPr="004931C2">
        <w:rPr>
          <w:rFonts w:ascii="Book Antiqua" w:hAnsi="Book Antiqua" w:cs="Times New Roman"/>
          <w:sz w:val="24"/>
          <w:szCs w:val="24"/>
        </w:rPr>
        <w:t>k</w:t>
      </w:r>
      <w:r w:rsidRPr="004931C2">
        <w:rPr>
          <w:rFonts w:ascii="Book Antiqua" w:hAnsi="Book Antiqua" w:cs="Times New Roman"/>
          <w:sz w:val="24"/>
          <w:szCs w:val="24"/>
        </w:rPr>
        <w:t xml:space="preserve"> and 2 w</w:t>
      </w:r>
      <w:r w:rsidR="001432A2" w:rsidRPr="004931C2">
        <w:rPr>
          <w:rFonts w:ascii="Book Antiqua" w:hAnsi="Book Antiqua" w:cs="Times New Roman"/>
          <w:sz w:val="24"/>
          <w:szCs w:val="24"/>
        </w:rPr>
        <w:t>k</w:t>
      </w:r>
      <w:r w:rsidRPr="004931C2">
        <w:rPr>
          <w:rFonts w:ascii="Book Antiqua" w:hAnsi="Book Antiqua" w:cs="Times New Roman"/>
          <w:sz w:val="24"/>
          <w:szCs w:val="24"/>
        </w:rPr>
        <w:t>. Similarly, compared to the ConA</w:t>
      </w:r>
      <w:r w:rsidR="00880B1B">
        <w:rPr>
          <w:rFonts w:ascii="Book Antiqua" w:hAnsi="Book Antiqua" w:cs="Times New Roman"/>
          <w:sz w:val="24"/>
          <w:szCs w:val="24"/>
        </w:rPr>
        <w:t xml:space="preserve"> </w:t>
      </w:r>
      <w:r w:rsidR="00C6548E">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PHX group, the ratios of the PHX group increased more rapidly, and the differences reached significance at 48 h or 1 w</w:t>
      </w:r>
      <w:r w:rsidR="001432A2" w:rsidRPr="004931C2">
        <w:rPr>
          <w:rFonts w:ascii="Book Antiqua" w:hAnsi="Book Antiqua" w:cs="Times New Roman"/>
          <w:sz w:val="24"/>
          <w:szCs w:val="24"/>
        </w:rPr>
        <w:t>k</w:t>
      </w:r>
      <w:r w:rsidRPr="004931C2">
        <w:rPr>
          <w:rFonts w:ascii="Book Antiqua" w:hAnsi="Book Antiqua" w:cs="Times New Roman"/>
          <w:sz w:val="24"/>
          <w:szCs w:val="24"/>
        </w:rPr>
        <w:t>. However, the increase in the PHX group was less than that in the ConA</w:t>
      </w:r>
      <w:r w:rsidR="00880B1B">
        <w:rPr>
          <w:rFonts w:ascii="Book Antiqua" w:hAnsi="Book Antiqua" w:cs="Times New Roman"/>
          <w:sz w:val="24"/>
          <w:szCs w:val="24"/>
        </w:rPr>
        <w:t xml:space="preserve"> </w:t>
      </w:r>
      <w:r w:rsidR="00C6548E">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PHX group at 32 h. These data correlated with the cellular swelling in the liver at 32 h in the ConA</w:t>
      </w:r>
      <w:r w:rsidR="00880B1B">
        <w:rPr>
          <w:rFonts w:ascii="Book Antiqua" w:hAnsi="Book Antiqua" w:cs="Times New Roman"/>
          <w:sz w:val="24"/>
          <w:szCs w:val="24"/>
        </w:rPr>
        <w:t xml:space="preserve"> </w:t>
      </w:r>
      <w:r w:rsidR="00C6548E">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PHX group.</w:t>
      </w:r>
    </w:p>
    <w:p w:rsidR="001432A2" w:rsidRPr="004931C2" w:rsidRDefault="001432A2" w:rsidP="004931C2">
      <w:pPr>
        <w:adjustRightInd w:val="0"/>
        <w:snapToGrid w:val="0"/>
        <w:spacing w:line="360" w:lineRule="auto"/>
        <w:rPr>
          <w:rFonts w:ascii="Book Antiqua" w:hAnsi="Book Antiqua"/>
          <w:sz w:val="24"/>
          <w:szCs w:val="24"/>
        </w:rPr>
      </w:pPr>
      <w:bookmarkStart w:id="358" w:name="OLE_LINK13"/>
    </w:p>
    <w:p w:rsidR="001432A2" w:rsidRPr="004931C2" w:rsidRDefault="000958E5" w:rsidP="004931C2">
      <w:pPr>
        <w:adjustRightInd w:val="0"/>
        <w:snapToGrid w:val="0"/>
        <w:spacing w:line="360" w:lineRule="auto"/>
        <w:rPr>
          <w:rFonts w:ascii="Book Antiqua" w:hAnsi="Book Antiqua" w:cs="Times New Roman"/>
          <w:b/>
          <w:i/>
          <w:sz w:val="24"/>
          <w:szCs w:val="24"/>
        </w:rPr>
      </w:pPr>
      <w:r w:rsidRPr="004931C2">
        <w:rPr>
          <w:rFonts w:ascii="Book Antiqua" w:hAnsi="Book Antiqua" w:cs="Times New Roman"/>
          <w:b/>
          <w:i/>
          <w:sz w:val="24"/>
          <w:szCs w:val="24"/>
        </w:rPr>
        <w:t>Effects of IL-22 on liver damag</w:t>
      </w:r>
      <w:r w:rsidR="001432A2" w:rsidRPr="004931C2">
        <w:rPr>
          <w:rFonts w:ascii="Book Antiqua" w:hAnsi="Book Antiqua" w:cs="Times New Roman"/>
          <w:b/>
          <w:i/>
          <w:sz w:val="24"/>
          <w:szCs w:val="24"/>
        </w:rPr>
        <w:t>e following partial hepatectomy</w:t>
      </w:r>
    </w:p>
    <w:p w:rsidR="000958E5" w:rsidRPr="004931C2" w:rsidRDefault="000958E5" w:rsidP="004931C2">
      <w:pPr>
        <w:adjustRightInd w:val="0"/>
        <w:snapToGrid w:val="0"/>
        <w:spacing w:line="360" w:lineRule="auto"/>
        <w:rPr>
          <w:rFonts w:ascii="Book Antiqua" w:hAnsi="Book Antiqua" w:cs="Times New Roman"/>
          <w:sz w:val="24"/>
          <w:szCs w:val="24"/>
        </w:rPr>
      </w:pPr>
      <w:r w:rsidRPr="004931C2">
        <w:rPr>
          <w:rFonts w:ascii="Book Antiqua" w:hAnsi="Book Antiqua" w:cs="Times New Roman"/>
          <w:sz w:val="24"/>
          <w:szCs w:val="24"/>
        </w:rPr>
        <w:t>At 32 h, 40 h, 48 h, 1 w</w:t>
      </w:r>
      <w:r w:rsidR="001432A2" w:rsidRPr="004931C2">
        <w:rPr>
          <w:rFonts w:ascii="Book Antiqua" w:hAnsi="Book Antiqua" w:cs="Times New Roman"/>
          <w:sz w:val="24"/>
          <w:szCs w:val="24"/>
        </w:rPr>
        <w:t>k</w:t>
      </w:r>
      <w:r w:rsidRPr="004931C2">
        <w:rPr>
          <w:rFonts w:ascii="Book Antiqua" w:hAnsi="Book Antiqua" w:cs="Times New Roman"/>
          <w:sz w:val="24"/>
          <w:szCs w:val="24"/>
        </w:rPr>
        <w:t xml:space="preserve"> and 2 w</w:t>
      </w:r>
      <w:r w:rsidR="001432A2" w:rsidRPr="004931C2">
        <w:rPr>
          <w:rFonts w:ascii="Book Antiqua" w:hAnsi="Book Antiqua" w:cs="Times New Roman"/>
          <w:sz w:val="24"/>
          <w:szCs w:val="24"/>
        </w:rPr>
        <w:t>k</w:t>
      </w:r>
      <w:r w:rsidRPr="004931C2">
        <w:rPr>
          <w:rFonts w:ascii="Book Antiqua" w:hAnsi="Book Antiqua" w:cs="Times New Roman"/>
          <w:sz w:val="24"/>
          <w:szCs w:val="24"/>
        </w:rPr>
        <w:t xml:space="preserve"> after 70% hepatectomy, serum was collected, and the ALT and AST levels were measured </w:t>
      </w:r>
      <w:r w:rsidRPr="004931C2">
        <w:rPr>
          <w:rFonts w:ascii="Book Antiqua" w:hAnsi="Book Antiqua" w:cs="Times New Roman"/>
          <w:i/>
          <w:sz w:val="24"/>
          <w:szCs w:val="24"/>
        </w:rPr>
        <w:t>via</w:t>
      </w:r>
      <w:r w:rsidRPr="004931C2">
        <w:rPr>
          <w:rFonts w:ascii="Book Antiqua" w:hAnsi="Book Antiqua" w:cs="Times New Roman"/>
          <w:sz w:val="24"/>
          <w:szCs w:val="24"/>
        </w:rPr>
        <w:t xml:space="preserve"> biochemical analyses. As illustrated in </w:t>
      </w:r>
      <w:r w:rsidR="001432A2" w:rsidRPr="004931C2">
        <w:rPr>
          <w:rFonts w:ascii="Book Antiqua" w:hAnsi="Book Antiqua" w:cs="Times New Roman"/>
          <w:sz w:val="24"/>
          <w:szCs w:val="24"/>
        </w:rPr>
        <w:t>Figure</w:t>
      </w:r>
      <w:r w:rsidRPr="004931C2">
        <w:rPr>
          <w:rFonts w:ascii="Book Antiqua" w:hAnsi="Book Antiqua" w:cs="Times New Roman"/>
          <w:sz w:val="24"/>
          <w:szCs w:val="24"/>
        </w:rPr>
        <w:t xml:space="preserve"> 2, compared with the ConA</w:t>
      </w:r>
      <w:r w:rsidR="00880B1B">
        <w:rPr>
          <w:rFonts w:ascii="Book Antiqua" w:hAnsi="Book Antiqua" w:cs="Times New Roman"/>
          <w:sz w:val="24"/>
          <w:szCs w:val="24"/>
        </w:rPr>
        <w:t xml:space="preserve"> </w:t>
      </w:r>
      <w:r w:rsidR="00C6548E">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PHX group, the ALT and AST serum levels in the ConA</w:t>
      </w:r>
      <w:r w:rsidR="00880B1B">
        <w:rPr>
          <w:rFonts w:ascii="Book Antiqua" w:hAnsi="Book Antiqua" w:cs="Times New Roman"/>
          <w:sz w:val="24"/>
          <w:szCs w:val="24"/>
        </w:rPr>
        <w:t xml:space="preserve"> </w:t>
      </w:r>
      <w:r w:rsidR="00C6548E">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PHX</w:t>
      </w:r>
      <w:r w:rsidR="00880B1B">
        <w:rPr>
          <w:rFonts w:ascii="Book Antiqua" w:hAnsi="Book Antiqua" w:cs="Times New Roman"/>
          <w:sz w:val="24"/>
          <w:szCs w:val="24"/>
        </w:rPr>
        <w:t xml:space="preserve"> </w:t>
      </w:r>
      <w:r w:rsidR="00C6548E">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 xml:space="preserve">IL-22 group were reduced, and these differences were significant at all of the time points. Furthermore, with the recombinant IL-22 pretreatment, the decreases in the </w:t>
      </w:r>
      <w:r w:rsidRPr="004931C2">
        <w:rPr>
          <w:rFonts w:ascii="Book Antiqua" w:hAnsi="Book Antiqua" w:cs="Times New Roman"/>
          <w:sz w:val="24"/>
          <w:szCs w:val="24"/>
        </w:rPr>
        <w:lastRenderedPageBreak/>
        <w:t>ALT and AST levels of the ConA</w:t>
      </w:r>
      <w:r w:rsidR="00880B1B">
        <w:rPr>
          <w:rFonts w:ascii="Book Antiqua" w:hAnsi="Book Antiqua" w:cs="Times New Roman"/>
          <w:sz w:val="24"/>
          <w:szCs w:val="24"/>
        </w:rPr>
        <w:t xml:space="preserve"> </w:t>
      </w:r>
      <w:r w:rsidR="00C6548E">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PHX</w:t>
      </w:r>
      <w:r w:rsidR="00880B1B">
        <w:rPr>
          <w:rFonts w:ascii="Book Antiqua" w:hAnsi="Book Antiqua" w:cs="Times New Roman"/>
          <w:sz w:val="24"/>
          <w:szCs w:val="24"/>
        </w:rPr>
        <w:t xml:space="preserve"> </w:t>
      </w:r>
      <w:r w:rsidR="00C6548E">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IL-22 group were significantly greater than those of the ConA and PHX groups at 40 h, 48 h and 1w</w:t>
      </w:r>
      <w:r w:rsidR="001432A2" w:rsidRPr="004931C2">
        <w:rPr>
          <w:rFonts w:ascii="Book Antiqua" w:hAnsi="Book Antiqua" w:cs="Times New Roman"/>
          <w:sz w:val="24"/>
          <w:szCs w:val="24"/>
        </w:rPr>
        <w:t>k</w:t>
      </w:r>
      <w:r w:rsidRPr="004931C2">
        <w:rPr>
          <w:rFonts w:ascii="Book Antiqua" w:hAnsi="Book Antiqua" w:cs="Times New Roman"/>
          <w:sz w:val="24"/>
          <w:szCs w:val="24"/>
        </w:rPr>
        <w:t xml:space="preserve">. </w:t>
      </w:r>
    </w:p>
    <w:p w:rsidR="000958E5" w:rsidRPr="004931C2" w:rsidRDefault="000958E5" w:rsidP="004931C2">
      <w:pPr>
        <w:adjustRightInd w:val="0"/>
        <w:snapToGrid w:val="0"/>
        <w:spacing w:line="360" w:lineRule="auto"/>
        <w:ind w:firstLineChars="100" w:firstLine="240"/>
        <w:rPr>
          <w:rFonts w:ascii="Book Antiqua" w:hAnsi="Book Antiqua" w:cs="Times New Roman"/>
          <w:sz w:val="24"/>
          <w:szCs w:val="24"/>
        </w:rPr>
      </w:pPr>
      <w:r w:rsidRPr="004931C2">
        <w:rPr>
          <w:rFonts w:ascii="Book Antiqua" w:hAnsi="Book Antiqua" w:cs="Times New Roman"/>
          <w:sz w:val="24"/>
          <w:szCs w:val="24"/>
        </w:rPr>
        <w:t xml:space="preserve">We also the histologic features of the liver with </w:t>
      </w:r>
      <w:r w:rsidR="001432A2" w:rsidRPr="004931C2">
        <w:rPr>
          <w:rFonts w:ascii="Book Antiqua" w:hAnsi="Book Antiqua" w:cs="Times New Roman"/>
          <w:sz w:val="24"/>
          <w:szCs w:val="24"/>
        </w:rPr>
        <w:t xml:space="preserve">hematoxylin-eosin </w:t>
      </w:r>
      <w:r w:rsidR="00901485" w:rsidRPr="004931C2">
        <w:rPr>
          <w:rFonts w:ascii="Book Antiqua" w:hAnsi="Book Antiqua" w:cs="Times New Roman"/>
          <w:sz w:val="24"/>
          <w:szCs w:val="24"/>
        </w:rPr>
        <w:t>(</w:t>
      </w:r>
      <w:r w:rsidR="001432A2" w:rsidRPr="004931C2">
        <w:rPr>
          <w:rFonts w:ascii="Book Antiqua" w:hAnsi="Book Antiqua" w:cs="Times New Roman"/>
          <w:sz w:val="24"/>
          <w:szCs w:val="24"/>
        </w:rPr>
        <w:t>HE</w:t>
      </w:r>
      <w:r w:rsidR="00901485" w:rsidRPr="004931C2">
        <w:rPr>
          <w:rFonts w:ascii="Book Antiqua" w:hAnsi="Book Antiqua" w:cs="Times New Roman"/>
          <w:sz w:val="24"/>
          <w:szCs w:val="24"/>
        </w:rPr>
        <w:t>)</w:t>
      </w:r>
      <w:r w:rsidRPr="004931C2">
        <w:rPr>
          <w:rFonts w:ascii="Book Antiqua" w:hAnsi="Book Antiqua" w:cs="Times New Roman"/>
          <w:sz w:val="24"/>
          <w:szCs w:val="24"/>
        </w:rPr>
        <w:t xml:space="preserve"> staining. As illustrated in </w:t>
      </w:r>
      <w:r w:rsidR="001432A2" w:rsidRPr="004931C2">
        <w:rPr>
          <w:rFonts w:ascii="Book Antiqua" w:hAnsi="Book Antiqua" w:cs="Times New Roman"/>
          <w:sz w:val="24"/>
          <w:szCs w:val="24"/>
        </w:rPr>
        <w:t>Figure</w:t>
      </w:r>
      <w:r w:rsidRPr="004931C2">
        <w:rPr>
          <w:rFonts w:ascii="Book Antiqua" w:hAnsi="Book Antiqua" w:cs="Times New Roman"/>
          <w:sz w:val="24"/>
          <w:szCs w:val="24"/>
        </w:rPr>
        <w:t xml:space="preserve"> 3, the HE staining of the ConA</w:t>
      </w:r>
      <w:r w:rsidR="00880B1B">
        <w:rPr>
          <w:rFonts w:ascii="Book Antiqua" w:hAnsi="Book Antiqua" w:cs="Times New Roman"/>
          <w:sz w:val="24"/>
          <w:szCs w:val="24"/>
        </w:rPr>
        <w:t xml:space="preserve"> </w:t>
      </w:r>
      <w:r w:rsidR="00C6548E">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PHX group demonstrated severe sinusoidal narrowing that was noted as early as 32 h after hepatectomy. By 48 h, swelling, nuclear condensation and laminar necrosis of the hepatocytes were observed in addition to the near-total loss of the hepatic sinusoids. By 2 w, the hepatic sinusoids and the complete structure of the hepatic lobule were not observed in the hepatocytes. In contrast, the HE staining of the ConA</w:t>
      </w:r>
      <w:r w:rsidR="00880B1B">
        <w:rPr>
          <w:rFonts w:ascii="Book Antiqua" w:hAnsi="Book Antiqua" w:cs="Times New Roman"/>
          <w:sz w:val="24"/>
          <w:szCs w:val="24"/>
        </w:rPr>
        <w:t xml:space="preserve"> </w:t>
      </w:r>
      <w:r w:rsidR="00C6548E">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PHX</w:t>
      </w:r>
      <w:r w:rsidR="00880B1B">
        <w:rPr>
          <w:rFonts w:ascii="Book Antiqua" w:hAnsi="Book Antiqua" w:cs="Times New Roman"/>
          <w:sz w:val="24"/>
          <w:szCs w:val="24"/>
        </w:rPr>
        <w:t xml:space="preserve"> </w:t>
      </w:r>
      <w:r w:rsidR="00C6548E">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IL-22 group revealed much less evidence of injury at 48 h; the cytoplasm was preserved, and some less severe swelling was present. At 2 w</w:t>
      </w:r>
      <w:r w:rsidR="001432A2" w:rsidRPr="004931C2">
        <w:rPr>
          <w:rFonts w:ascii="Book Antiqua" w:hAnsi="Book Antiqua" w:cs="Times New Roman"/>
          <w:sz w:val="24"/>
          <w:szCs w:val="24"/>
        </w:rPr>
        <w:t>k</w:t>
      </w:r>
      <w:r w:rsidRPr="004931C2">
        <w:rPr>
          <w:rFonts w:ascii="Book Antiqua" w:hAnsi="Book Antiqua" w:cs="Times New Roman"/>
          <w:sz w:val="24"/>
          <w:szCs w:val="24"/>
        </w:rPr>
        <w:t xml:space="preserve">, normal nuclear morphologies, hepatic sinusoids, complete structures of the hepatic lobules and significant regeneration in the hepatocytes were observed. </w:t>
      </w:r>
    </w:p>
    <w:p w:rsidR="001432A2" w:rsidRPr="004931C2" w:rsidRDefault="001432A2" w:rsidP="004931C2">
      <w:pPr>
        <w:adjustRightInd w:val="0"/>
        <w:snapToGrid w:val="0"/>
        <w:spacing w:line="360" w:lineRule="auto"/>
        <w:rPr>
          <w:rFonts w:ascii="Book Antiqua" w:hAnsi="Book Antiqua" w:cs="Times New Roman"/>
          <w:sz w:val="24"/>
          <w:szCs w:val="24"/>
        </w:rPr>
      </w:pPr>
      <w:bookmarkStart w:id="359" w:name="OLE_LINK8"/>
      <w:bookmarkStart w:id="360" w:name="OLE_LINK9"/>
    </w:p>
    <w:p w:rsidR="001432A2" w:rsidRPr="004931C2" w:rsidRDefault="000958E5" w:rsidP="004931C2">
      <w:pPr>
        <w:adjustRightInd w:val="0"/>
        <w:snapToGrid w:val="0"/>
        <w:spacing w:line="360" w:lineRule="auto"/>
        <w:rPr>
          <w:rFonts w:ascii="Book Antiqua" w:hAnsi="Book Antiqua" w:cs="Times New Roman"/>
          <w:b/>
          <w:i/>
          <w:iCs/>
          <w:sz w:val="24"/>
          <w:szCs w:val="24"/>
        </w:rPr>
      </w:pPr>
      <w:r w:rsidRPr="004931C2">
        <w:rPr>
          <w:rFonts w:ascii="Book Antiqua" w:hAnsi="Book Antiqua" w:cs="Times New Roman"/>
          <w:b/>
          <w:i/>
          <w:sz w:val="24"/>
          <w:szCs w:val="24"/>
        </w:rPr>
        <w:t>Effects of IL-22 on hepatocyte proliferation after partial hepatectomy</w:t>
      </w:r>
      <w:bookmarkEnd w:id="359"/>
      <w:bookmarkEnd w:id="360"/>
    </w:p>
    <w:p w:rsidR="000958E5" w:rsidRPr="004931C2" w:rsidRDefault="000958E5" w:rsidP="004931C2">
      <w:pPr>
        <w:adjustRightInd w:val="0"/>
        <w:snapToGrid w:val="0"/>
        <w:spacing w:line="360" w:lineRule="auto"/>
        <w:rPr>
          <w:rFonts w:ascii="Book Antiqua" w:hAnsi="Book Antiqua" w:cs="Times New Roman"/>
          <w:sz w:val="24"/>
          <w:szCs w:val="24"/>
        </w:rPr>
      </w:pPr>
      <w:r w:rsidRPr="004931C2">
        <w:rPr>
          <w:rFonts w:ascii="Book Antiqua" w:hAnsi="Book Antiqua" w:cs="Times New Roman"/>
          <w:sz w:val="24"/>
          <w:szCs w:val="24"/>
        </w:rPr>
        <w:t xml:space="preserve">Hepatocyte proliferation was determined by the expression of PCNA, which is a nuclear antigen that is associated with hepatocyte proliferation. As illustrated in </w:t>
      </w:r>
      <w:r w:rsidR="001432A2" w:rsidRPr="004931C2">
        <w:rPr>
          <w:rFonts w:ascii="Book Antiqua" w:hAnsi="Book Antiqua" w:cs="Times New Roman"/>
          <w:sz w:val="24"/>
          <w:szCs w:val="24"/>
        </w:rPr>
        <w:t>Figure</w:t>
      </w:r>
      <w:r w:rsidRPr="004931C2">
        <w:rPr>
          <w:rFonts w:ascii="Book Antiqua" w:hAnsi="Book Antiqua" w:cs="Times New Roman"/>
          <w:sz w:val="24"/>
          <w:szCs w:val="24"/>
        </w:rPr>
        <w:t xml:space="preserve"> 4, the PCNA labeling indices in the four groups began to increase postoperatively and peaked at 48 h. Compared with the ConA</w:t>
      </w:r>
      <w:r w:rsidR="00880B1B">
        <w:rPr>
          <w:rFonts w:ascii="Book Antiqua" w:hAnsi="Book Antiqua" w:cs="Times New Roman"/>
          <w:sz w:val="24"/>
          <w:szCs w:val="24"/>
        </w:rPr>
        <w:t xml:space="preserve"> </w:t>
      </w:r>
      <w:r w:rsidR="00C6548E">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PHX group, the PCNA labeling indices were significantly increased in the ConA, PHX and ConA</w:t>
      </w:r>
      <w:r w:rsidR="00880B1B">
        <w:rPr>
          <w:rFonts w:ascii="Book Antiqua" w:hAnsi="Book Antiqua" w:cs="Times New Roman"/>
          <w:sz w:val="24"/>
          <w:szCs w:val="24"/>
        </w:rPr>
        <w:t xml:space="preserve"> </w:t>
      </w:r>
      <w:r w:rsidR="00C6548E">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PHX</w:t>
      </w:r>
      <w:r w:rsidR="00880B1B">
        <w:rPr>
          <w:rFonts w:ascii="Book Antiqua" w:hAnsi="Book Antiqua" w:cs="Times New Roman"/>
          <w:sz w:val="24"/>
          <w:szCs w:val="24"/>
        </w:rPr>
        <w:t xml:space="preserve"> </w:t>
      </w:r>
      <w:r w:rsidR="00C6548E">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IL-22 groups at all of the time points, particularly at 32, 40, and 48 h. Furthermore, the PCNA levels in the ConA</w:t>
      </w:r>
      <w:r w:rsidR="00880B1B">
        <w:rPr>
          <w:rFonts w:ascii="Book Antiqua" w:hAnsi="Book Antiqua" w:cs="Times New Roman"/>
          <w:sz w:val="24"/>
          <w:szCs w:val="24"/>
        </w:rPr>
        <w:t xml:space="preserve"> </w:t>
      </w:r>
      <w:r w:rsidR="00C6548E">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PHX</w:t>
      </w:r>
      <w:r w:rsidR="00880B1B">
        <w:rPr>
          <w:rFonts w:ascii="Book Antiqua" w:hAnsi="Book Antiqua" w:cs="Times New Roman"/>
          <w:sz w:val="24"/>
          <w:szCs w:val="24"/>
        </w:rPr>
        <w:t xml:space="preserve"> </w:t>
      </w:r>
      <w:r w:rsidR="00C6548E">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IL-22 group increased to greater extents than those of the ConA and PHX groups at 32 h, 40 h and 48 h.</w:t>
      </w:r>
    </w:p>
    <w:p w:rsidR="00A22279" w:rsidRPr="004931C2" w:rsidRDefault="00A22279" w:rsidP="004931C2">
      <w:pPr>
        <w:adjustRightInd w:val="0"/>
        <w:snapToGrid w:val="0"/>
        <w:spacing w:line="360" w:lineRule="auto"/>
        <w:rPr>
          <w:rFonts w:ascii="Book Antiqua" w:hAnsi="Book Antiqua" w:cs="Times New Roman"/>
          <w:sz w:val="24"/>
          <w:szCs w:val="24"/>
        </w:rPr>
      </w:pPr>
    </w:p>
    <w:p w:rsidR="00A22279" w:rsidRPr="004931C2" w:rsidRDefault="000958E5" w:rsidP="004931C2">
      <w:pPr>
        <w:adjustRightInd w:val="0"/>
        <w:snapToGrid w:val="0"/>
        <w:spacing w:line="360" w:lineRule="auto"/>
        <w:rPr>
          <w:rFonts w:ascii="Book Antiqua" w:hAnsi="Book Antiqua" w:cs="Times New Roman"/>
          <w:b/>
          <w:i/>
          <w:iCs/>
          <w:sz w:val="24"/>
          <w:szCs w:val="24"/>
        </w:rPr>
      </w:pPr>
      <w:r w:rsidRPr="004931C2">
        <w:rPr>
          <w:rFonts w:ascii="Book Antiqua" w:hAnsi="Book Antiqua" w:cs="Times New Roman"/>
          <w:b/>
          <w:i/>
          <w:sz w:val="24"/>
          <w:szCs w:val="24"/>
        </w:rPr>
        <w:t>Effects of IL-22 on AFP</w:t>
      </w:r>
      <w:r w:rsidR="00B0469A" w:rsidRPr="004931C2">
        <w:rPr>
          <w:rFonts w:ascii="Book Antiqua" w:hAnsi="Book Antiqua" w:cs="Times New Roman"/>
          <w:b/>
          <w:i/>
          <w:sz w:val="24"/>
          <w:szCs w:val="24"/>
        </w:rPr>
        <w:t xml:space="preserve"> </w:t>
      </w:r>
      <w:r w:rsidRPr="004931C2">
        <w:rPr>
          <w:rFonts w:ascii="Book Antiqua" w:hAnsi="Book Antiqua" w:cs="Times New Roman"/>
          <w:b/>
          <w:i/>
          <w:sz w:val="24"/>
          <w:szCs w:val="24"/>
        </w:rPr>
        <w:t>mRNA expression after partial hepatectomy</w:t>
      </w:r>
    </w:p>
    <w:p w:rsidR="000958E5" w:rsidRPr="004931C2" w:rsidRDefault="000958E5" w:rsidP="004931C2">
      <w:pPr>
        <w:adjustRightInd w:val="0"/>
        <w:snapToGrid w:val="0"/>
        <w:spacing w:line="360" w:lineRule="auto"/>
        <w:rPr>
          <w:rFonts w:ascii="Book Antiqua" w:hAnsi="Book Antiqua" w:cs="Times New Roman"/>
          <w:sz w:val="24"/>
          <w:szCs w:val="24"/>
        </w:rPr>
      </w:pPr>
      <w:r w:rsidRPr="004931C2">
        <w:rPr>
          <w:rFonts w:ascii="Book Antiqua" w:hAnsi="Book Antiqua" w:cs="Times New Roman"/>
          <w:iCs/>
          <w:sz w:val="24"/>
          <w:szCs w:val="24"/>
        </w:rPr>
        <w:t xml:space="preserve">The </w:t>
      </w:r>
      <w:r w:rsidRPr="004931C2">
        <w:rPr>
          <w:rFonts w:ascii="Book Antiqua" w:hAnsi="Book Antiqua" w:cs="Times New Roman"/>
          <w:sz w:val="24"/>
          <w:szCs w:val="24"/>
        </w:rPr>
        <w:t>mice underwent 70% hepatectomy or sham laparotomy, and quantitative analysis of the liver AFP</w:t>
      </w:r>
      <w:r w:rsidR="00B0469A" w:rsidRPr="004931C2">
        <w:rPr>
          <w:rFonts w:ascii="Book Antiqua" w:hAnsi="Book Antiqua" w:cs="Times New Roman"/>
          <w:sz w:val="24"/>
          <w:szCs w:val="24"/>
        </w:rPr>
        <w:t xml:space="preserve"> </w:t>
      </w:r>
      <w:r w:rsidRPr="004931C2">
        <w:rPr>
          <w:rFonts w:ascii="Book Antiqua" w:hAnsi="Book Antiqua" w:cs="Times New Roman"/>
          <w:sz w:val="24"/>
          <w:szCs w:val="24"/>
        </w:rPr>
        <w:t>mRNA expression was performed with real-time RT-PCR. At 32 h, 40 h, 48 h, 1 w</w:t>
      </w:r>
      <w:r w:rsidR="00A22279" w:rsidRPr="004931C2">
        <w:rPr>
          <w:rFonts w:ascii="Book Antiqua" w:hAnsi="Book Antiqua" w:cs="Times New Roman"/>
          <w:sz w:val="24"/>
          <w:szCs w:val="24"/>
        </w:rPr>
        <w:t>k</w:t>
      </w:r>
      <w:r w:rsidRPr="004931C2">
        <w:rPr>
          <w:rFonts w:ascii="Book Antiqua" w:hAnsi="Book Antiqua" w:cs="Times New Roman"/>
          <w:sz w:val="24"/>
          <w:szCs w:val="24"/>
        </w:rPr>
        <w:t>, and 2 w</w:t>
      </w:r>
      <w:r w:rsidR="00A22279" w:rsidRPr="004931C2">
        <w:rPr>
          <w:rFonts w:ascii="Book Antiqua" w:hAnsi="Book Antiqua" w:cs="Times New Roman"/>
          <w:sz w:val="24"/>
          <w:szCs w:val="24"/>
        </w:rPr>
        <w:t>k</w:t>
      </w:r>
      <w:r w:rsidRPr="004931C2">
        <w:rPr>
          <w:rFonts w:ascii="Book Antiqua" w:hAnsi="Book Antiqua" w:cs="Times New Roman"/>
          <w:sz w:val="24"/>
          <w:szCs w:val="24"/>
        </w:rPr>
        <w:t>, the hepatic AFP</w:t>
      </w:r>
      <w:r w:rsidR="00B0469A" w:rsidRPr="004931C2">
        <w:rPr>
          <w:rFonts w:ascii="Book Antiqua" w:hAnsi="Book Antiqua" w:cs="Times New Roman"/>
          <w:sz w:val="24"/>
          <w:szCs w:val="24"/>
        </w:rPr>
        <w:t xml:space="preserve"> </w:t>
      </w:r>
      <w:r w:rsidRPr="004931C2">
        <w:rPr>
          <w:rFonts w:ascii="Book Antiqua" w:hAnsi="Book Antiqua" w:cs="Times New Roman"/>
          <w:sz w:val="24"/>
          <w:szCs w:val="24"/>
        </w:rPr>
        <w:t>mRNA expressions in the ConA</w:t>
      </w:r>
      <w:r w:rsidR="00880B1B">
        <w:rPr>
          <w:rFonts w:ascii="Book Antiqua" w:hAnsi="Book Antiqua" w:cs="Times New Roman"/>
          <w:sz w:val="24"/>
          <w:szCs w:val="24"/>
        </w:rPr>
        <w:t xml:space="preserve"> </w:t>
      </w:r>
      <w:r w:rsidR="00C6548E">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PHX group were 0.55</w:t>
      </w:r>
      <w:r w:rsidR="00880B1B">
        <w:rPr>
          <w:rFonts w:ascii="Book Antiqua" w:hAnsi="Book Antiqua" w:cs="Times New Roman"/>
          <w:sz w:val="24"/>
          <w:szCs w:val="24"/>
        </w:rPr>
        <w:t xml:space="preserve"> </w:t>
      </w:r>
      <w:r w:rsidR="00170317">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0.06, 0.93</w:t>
      </w:r>
      <w:r w:rsidR="00880B1B">
        <w:rPr>
          <w:rFonts w:ascii="Book Antiqua" w:hAnsi="Book Antiqua" w:cs="Times New Roman"/>
          <w:sz w:val="24"/>
          <w:szCs w:val="24"/>
        </w:rPr>
        <w:t xml:space="preserve"> </w:t>
      </w:r>
      <w:r w:rsidR="00170317">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0.08, 1.72</w:t>
      </w:r>
      <w:r w:rsidR="00880B1B">
        <w:rPr>
          <w:rFonts w:ascii="Book Antiqua" w:hAnsi="Book Antiqua" w:cs="Times New Roman"/>
          <w:sz w:val="24"/>
          <w:szCs w:val="24"/>
        </w:rPr>
        <w:t xml:space="preserve"> </w:t>
      </w:r>
      <w:r w:rsidR="00170317">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 xml:space="preserve">0.11, </w:t>
      </w:r>
      <w:r w:rsidRPr="004931C2">
        <w:rPr>
          <w:rFonts w:ascii="Book Antiqua" w:hAnsi="Book Antiqua" w:cs="Times New Roman"/>
          <w:sz w:val="24"/>
          <w:szCs w:val="24"/>
        </w:rPr>
        <w:lastRenderedPageBreak/>
        <w:t>0.66</w:t>
      </w:r>
      <w:r w:rsidR="00880B1B">
        <w:rPr>
          <w:rFonts w:ascii="Book Antiqua" w:hAnsi="Book Antiqua" w:cs="Times New Roman"/>
          <w:sz w:val="24"/>
          <w:szCs w:val="24"/>
        </w:rPr>
        <w:t xml:space="preserve"> </w:t>
      </w:r>
      <w:r w:rsidR="00170317">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0.05 and 0.43</w:t>
      </w:r>
      <w:r w:rsidR="00880B1B">
        <w:rPr>
          <w:rFonts w:ascii="Book Antiqua" w:hAnsi="Book Antiqua" w:cs="Times New Roman"/>
          <w:sz w:val="24"/>
          <w:szCs w:val="24"/>
        </w:rPr>
        <w:t xml:space="preserve"> </w:t>
      </w:r>
      <w:r w:rsidR="00170317">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0.04, respectively. In the IL-22 pretreatment group, the corresponding values were 0.74</w:t>
      </w:r>
      <w:r w:rsidR="00880B1B">
        <w:rPr>
          <w:rFonts w:ascii="Book Antiqua" w:hAnsi="Book Antiqua" w:cs="Times New Roman"/>
          <w:sz w:val="24"/>
          <w:szCs w:val="24"/>
        </w:rPr>
        <w:t xml:space="preserve"> </w:t>
      </w:r>
      <w:r w:rsidR="00170317">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0.08, 1.81</w:t>
      </w:r>
      <w:r w:rsidR="00880B1B">
        <w:rPr>
          <w:rFonts w:ascii="Book Antiqua" w:hAnsi="Book Antiqua" w:cs="Times New Roman"/>
          <w:sz w:val="24"/>
          <w:szCs w:val="24"/>
        </w:rPr>
        <w:t xml:space="preserve"> </w:t>
      </w:r>
      <w:r w:rsidR="00170317">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0.14, 2.80</w:t>
      </w:r>
      <w:r w:rsidR="00880B1B">
        <w:rPr>
          <w:rFonts w:ascii="Book Antiqua" w:hAnsi="Book Antiqua" w:cs="Times New Roman"/>
          <w:sz w:val="24"/>
          <w:szCs w:val="24"/>
        </w:rPr>
        <w:t xml:space="preserve"> </w:t>
      </w:r>
      <w:r w:rsidR="00170317">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0.26, 0.86</w:t>
      </w:r>
      <w:r w:rsidR="00880B1B">
        <w:rPr>
          <w:rFonts w:ascii="Book Antiqua" w:hAnsi="Book Antiqua" w:cs="Times New Roman"/>
          <w:sz w:val="24"/>
          <w:szCs w:val="24"/>
        </w:rPr>
        <w:t xml:space="preserve"> </w:t>
      </w:r>
      <w:r w:rsidR="00170317">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0.05 and 0.51</w:t>
      </w:r>
      <w:r w:rsidR="00880B1B">
        <w:rPr>
          <w:rFonts w:ascii="Book Antiqua" w:hAnsi="Book Antiqua" w:cs="Times New Roman"/>
          <w:sz w:val="24"/>
          <w:szCs w:val="24"/>
        </w:rPr>
        <w:t xml:space="preserve"> </w:t>
      </w:r>
      <w:r w:rsidR="00170317">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0.03. Figure 5 illustrates that the AFP</w:t>
      </w:r>
      <w:r w:rsidR="00B0469A" w:rsidRPr="004931C2">
        <w:rPr>
          <w:rFonts w:ascii="Book Antiqua" w:hAnsi="Book Antiqua" w:cs="Times New Roman"/>
          <w:sz w:val="24"/>
          <w:szCs w:val="24"/>
        </w:rPr>
        <w:t xml:space="preserve"> </w:t>
      </w:r>
      <w:r w:rsidRPr="004931C2">
        <w:rPr>
          <w:rFonts w:ascii="Book Antiqua" w:hAnsi="Book Antiqua" w:cs="Times New Roman"/>
          <w:sz w:val="24"/>
          <w:szCs w:val="24"/>
        </w:rPr>
        <w:t>mRNA expression began at 32 h and had significantly increased by 48 h after hepatectomy in all four groups. Additionally, the AFP</w:t>
      </w:r>
      <w:r w:rsidR="00B0469A" w:rsidRPr="004931C2">
        <w:rPr>
          <w:rFonts w:ascii="Book Antiqua" w:hAnsi="Book Antiqua" w:cs="Times New Roman"/>
          <w:sz w:val="24"/>
          <w:szCs w:val="24"/>
        </w:rPr>
        <w:t xml:space="preserve"> </w:t>
      </w:r>
      <w:r w:rsidRPr="004931C2">
        <w:rPr>
          <w:rFonts w:ascii="Book Antiqua" w:hAnsi="Book Antiqua" w:cs="Times New Roman"/>
          <w:sz w:val="24"/>
          <w:szCs w:val="24"/>
        </w:rPr>
        <w:t>mRNA levels in the ConA</w:t>
      </w:r>
      <w:r w:rsidR="00880B1B">
        <w:rPr>
          <w:rFonts w:ascii="Book Antiqua" w:hAnsi="Book Antiqua" w:cs="Times New Roman"/>
          <w:sz w:val="24"/>
          <w:szCs w:val="24"/>
        </w:rPr>
        <w:t xml:space="preserve"> </w:t>
      </w:r>
      <w:r w:rsidR="00C6548E">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PHX</w:t>
      </w:r>
      <w:r w:rsidR="00880B1B">
        <w:rPr>
          <w:rFonts w:ascii="Book Antiqua" w:hAnsi="Book Antiqua" w:cs="Times New Roman"/>
          <w:sz w:val="24"/>
          <w:szCs w:val="24"/>
        </w:rPr>
        <w:t xml:space="preserve"> </w:t>
      </w:r>
      <w:r w:rsidR="00C6548E">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IL-22 group were significantly increased at 32 h, 40 h, 48 h and 1 w</w:t>
      </w:r>
      <w:r w:rsidR="00A22279" w:rsidRPr="004931C2">
        <w:rPr>
          <w:rFonts w:ascii="Book Antiqua" w:hAnsi="Book Antiqua" w:cs="Times New Roman"/>
          <w:sz w:val="24"/>
          <w:szCs w:val="24"/>
        </w:rPr>
        <w:t>k</w:t>
      </w:r>
      <w:r w:rsidRPr="004931C2">
        <w:rPr>
          <w:rFonts w:ascii="Book Antiqua" w:hAnsi="Book Antiqua" w:cs="Times New Roman"/>
          <w:sz w:val="24"/>
          <w:szCs w:val="24"/>
        </w:rPr>
        <w:t xml:space="preserve"> after partial hepatectomy compared with the ConA</w:t>
      </w:r>
      <w:r w:rsidR="00880B1B">
        <w:rPr>
          <w:rFonts w:ascii="Book Antiqua" w:hAnsi="Book Antiqua" w:cs="Times New Roman"/>
          <w:sz w:val="24"/>
          <w:szCs w:val="24"/>
        </w:rPr>
        <w:t xml:space="preserve"> </w:t>
      </w:r>
      <w:r w:rsidR="00C6548E">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PHX group.</w:t>
      </w:r>
      <w:r w:rsidR="00880B1B">
        <w:rPr>
          <w:rFonts w:ascii="Book Antiqua" w:hAnsi="Book Antiqua" w:cs="Times New Roman"/>
          <w:sz w:val="24"/>
          <w:szCs w:val="24"/>
        </w:rPr>
        <w:t xml:space="preserve"> </w:t>
      </w:r>
    </w:p>
    <w:p w:rsidR="00A22279" w:rsidRPr="004931C2" w:rsidRDefault="00A22279" w:rsidP="004931C2">
      <w:pPr>
        <w:adjustRightInd w:val="0"/>
        <w:snapToGrid w:val="0"/>
        <w:spacing w:line="360" w:lineRule="auto"/>
        <w:rPr>
          <w:rFonts w:ascii="Book Antiqua" w:hAnsi="Book Antiqua" w:cs="Times New Roman"/>
          <w:sz w:val="24"/>
          <w:szCs w:val="24"/>
        </w:rPr>
      </w:pPr>
    </w:p>
    <w:p w:rsidR="00A22279" w:rsidRPr="004931C2" w:rsidRDefault="000958E5" w:rsidP="004931C2">
      <w:pPr>
        <w:adjustRightInd w:val="0"/>
        <w:snapToGrid w:val="0"/>
        <w:spacing w:line="360" w:lineRule="auto"/>
        <w:rPr>
          <w:rFonts w:ascii="Book Antiqua" w:hAnsi="Book Antiqua" w:cs="Times New Roman"/>
          <w:b/>
          <w:i/>
          <w:sz w:val="24"/>
          <w:szCs w:val="24"/>
        </w:rPr>
      </w:pPr>
      <w:r w:rsidRPr="004931C2">
        <w:rPr>
          <w:rFonts w:ascii="Book Antiqua" w:hAnsi="Book Antiqua" w:cs="Times New Roman"/>
          <w:b/>
          <w:i/>
          <w:sz w:val="24"/>
          <w:szCs w:val="24"/>
        </w:rPr>
        <w:t>Effects of IL-22 on STAT3 and CyclinD1 activa</w:t>
      </w:r>
      <w:r w:rsidR="00A22279" w:rsidRPr="004931C2">
        <w:rPr>
          <w:rFonts w:ascii="Book Antiqua" w:hAnsi="Book Antiqua" w:cs="Times New Roman"/>
          <w:b/>
          <w:i/>
          <w:sz w:val="24"/>
          <w:szCs w:val="24"/>
        </w:rPr>
        <w:t>tions after partial hepatectomy</w:t>
      </w:r>
    </w:p>
    <w:p w:rsidR="000958E5" w:rsidRPr="004931C2" w:rsidRDefault="000958E5" w:rsidP="004931C2">
      <w:pPr>
        <w:adjustRightInd w:val="0"/>
        <w:snapToGrid w:val="0"/>
        <w:spacing w:line="360" w:lineRule="auto"/>
        <w:rPr>
          <w:rFonts w:ascii="Book Antiqua" w:hAnsi="Book Antiqua" w:cs="Times New Roman"/>
          <w:sz w:val="24"/>
          <w:szCs w:val="24"/>
        </w:rPr>
      </w:pPr>
      <w:r w:rsidRPr="004931C2">
        <w:rPr>
          <w:rFonts w:ascii="Book Antiqua" w:hAnsi="Book Antiqua" w:cs="Times New Roman"/>
          <w:sz w:val="24"/>
          <w:szCs w:val="24"/>
        </w:rPr>
        <w:t xml:space="preserve">The activations of the STAT3 and CyclinD1 were measured using Western Blot analysis to assess the effects of IL-22 after partial hepatectomy. As illustrated in </w:t>
      </w:r>
      <w:r w:rsidR="001432A2" w:rsidRPr="004931C2">
        <w:rPr>
          <w:rFonts w:ascii="Book Antiqua" w:hAnsi="Book Antiqua" w:cs="Times New Roman"/>
          <w:sz w:val="24"/>
          <w:szCs w:val="24"/>
        </w:rPr>
        <w:t>Figure</w:t>
      </w:r>
      <w:r w:rsidRPr="004931C2">
        <w:rPr>
          <w:rFonts w:ascii="Book Antiqua" w:hAnsi="Book Antiqua" w:cs="Times New Roman"/>
          <w:sz w:val="24"/>
          <w:szCs w:val="24"/>
        </w:rPr>
        <w:t xml:space="preserve"> 6, no significant activations of STAT3 and CyclinD1 were observed at 32 h after partial hepatectomy in the ConA</w:t>
      </w:r>
      <w:r w:rsidR="00880B1B">
        <w:rPr>
          <w:rFonts w:ascii="Book Antiqua" w:hAnsi="Book Antiqua" w:cs="Times New Roman"/>
          <w:sz w:val="24"/>
          <w:szCs w:val="24"/>
        </w:rPr>
        <w:t xml:space="preserve"> </w:t>
      </w:r>
      <w:r w:rsidR="00C6548E">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PHX group, and these activations increased gradually at 48 h and 2 w</w:t>
      </w:r>
      <w:r w:rsidR="00A22279" w:rsidRPr="004931C2">
        <w:rPr>
          <w:rFonts w:ascii="Book Antiqua" w:hAnsi="Book Antiqua" w:cs="Times New Roman"/>
          <w:sz w:val="24"/>
          <w:szCs w:val="24"/>
        </w:rPr>
        <w:t>k</w:t>
      </w:r>
      <w:r w:rsidRPr="004931C2">
        <w:rPr>
          <w:rFonts w:ascii="Book Antiqua" w:hAnsi="Book Antiqua" w:cs="Times New Roman"/>
          <w:sz w:val="24"/>
          <w:szCs w:val="24"/>
        </w:rPr>
        <w:t xml:space="preserve">. Although STAT3 and CyclinD1 activations were apparent in the remnant livers of the other three groups, </w:t>
      </w:r>
      <w:bookmarkStart w:id="361" w:name="OLE_LINK17"/>
      <w:bookmarkStart w:id="362" w:name="OLE_LINK18"/>
      <w:r w:rsidRPr="004931C2">
        <w:rPr>
          <w:rFonts w:ascii="Book Antiqua" w:hAnsi="Book Antiqua" w:cs="Times New Roman"/>
          <w:sz w:val="24"/>
          <w:szCs w:val="24"/>
        </w:rPr>
        <w:t>STAT3 and CyclinD1 were activated much earlier in the ConA</w:t>
      </w:r>
      <w:r w:rsidR="00880B1B">
        <w:rPr>
          <w:rFonts w:ascii="Book Antiqua" w:hAnsi="Book Antiqua" w:cs="Times New Roman"/>
          <w:sz w:val="24"/>
          <w:szCs w:val="24"/>
        </w:rPr>
        <w:t xml:space="preserve"> </w:t>
      </w:r>
      <w:r w:rsidR="00C6548E">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PHX</w:t>
      </w:r>
      <w:r w:rsidR="00880B1B">
        <w:rPr>
          <w:rFonts w:ascii="Book Antiqua" w:hAnsi="Book Antiqua" w:cs="Times New Roman"/>
          <w:sz w:val="24"/>
          <w:szCs w:val="24"/>
        </w:rPr>
        <w:t xml:space="preserve"> </w:t>
      </w:r>
      <w:r w:rsidR="00C6548E">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 xml:space="preserve">IL-22 group than the PHX and ConA groups. Furthermore, among the four groups, the STAT3 and CyclinD1 levels exhibited the greatest increases in the </w:t>
      </w:r>
      <w:bookmarkStart w:id="363" w:name="OLE_LINK15"/>
      <w:bookmarkStart w:id="364" w:name="OLE_LINK16"/>
      <w:r w:rsidRPr="004931C2">
        <w:rPr>
          <w:rFonts w:ascii="Book Antiqua" w:hAnsi="Book Antiqua" w:cs="Times New Roman"/>
          <w:sz w:val="24"/>
          <w:szCs w:val="24"/>
        </w:rPr>
        <w:t>ConA</w:t>
      </w:r>
      <w:r w:rsidR="00880B1B">
        <w:rPr>
          <w:rFonts w:ascii="Book Antiqua" w:hAnsi="Book Antiqua" w:cs="Times New Roman"/>
          <w:sz w:val="24"/>
          <w:szCs w:val="24"/>
        </w:rPr>
        <w:t xml:space="preserve"> </w:t>
      </w:r>
      <w:r w:rsidR="00C6548E">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PHX</w:t>
      </w:r>
      <w:r w:rsidR="00880B1B">
        <w:rPr>
          <w:rFonts w:ascii="Book Antiqua" w:hAnsi="Book Antiqua" w:cs="Times New Roman"/>
          <w:sz w:val="24"/>
          <w:szCs w:val="24"/>
        </w:rPr>
        <w:t xml:space="preserve"> </w:t>
      </w:r>
      <w:r w:rsidR="00C6548E">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 xml:space="preserve">IL-22 group </w:t>
      </w:r>
      <w:bookmarkEnd w:id="363"/>
      <w:bookmarkEnd w:id="364"/>
      <w:r w:rsidRPr="004931C2">
        <w:rPr>
          <w:rFonts w:ascii="Book Antiqua" w:hAnsi="Book Antiqua" w:cs="Times New Roman"/>
          <w:sz w:val="24"/>
          <w:szCs w:val="24"/>
        </w:rPr>
        <w:t>and the smallest increases in the ConA</w:t>
      </w:r>
      <w:r w:rsidR="00880B1B">
        <w:rPr>
          <w:rFonts w:ascii="Book Antiqua" w:hAnsi="Book Antiqua" w:cs="Times New Roman"/>
          <w:sz w:val="24"/>
          <w:szCs w:val="24"/>
        </w:rPr>
        <w:t xml:space="preserve"> </w:t>
      </w:r>
      <w:r w:rsidR="00C6548E">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PHX group across all of the time points.</w:t>
      </w:r>
      <w:bookmarkEnd w:id="361"/>
      <w:bookmarkEnd w:id="362"/>
    </w:p>
    <w:bookmarkEnd w:id="358"/>
    <w:p w:rsidR="00A22279" w:rsidRPr="004931C2" w:rsidRDefault="00A22279" w:rsidP="004931C2">
      <w:pPr>
        <w:adjustRightInd w:val="0"/>
        <w:snapToGrid w:val="0"/>
        <w:spacing w:line="360" w:lineRule="auto"/>
        <w:rPr>
          <w:rFonts w:ascii="Book Antiqua" w:hAnsi="Book Antiqua" w:cs="Times New Roman"/>
          <w:b/>
          <w:sz w:val="24"/>
          <w:szCs w:val="24"/>
        </w:rPr>
      </w:pPr>
    </w:p>
    <w:p w:rsidR="000958E5" w:rsidRPr="004931C2" w:rsidRDefault="000958E5" w:rsidP="004931C2">
      <w:pPr>
        <w:adjustRightInd w:val="0"/>
        <w:snapToGrid w:val="0"/>
        <w:spacing w:line="360" w:lineRule="auto"/>
        <w:rPr>
          <w:rFonts w:ascii="Book Antiqua" w:hAnsi="Book Antiqua" w:cs="Times New Roman"/>
          <w:b/>
          <w:sz w:val="24"/>
          <w:szCs w:val="24"/>
        </w:rPr>
      </w:pPr>
      <w:r w:rsidRPr="004931C2">
        <w:rPr>
          <w:rFonts w:ascii="Book Antiqua" w:hAnsi="Book Antiqua" w:cs="Times New Roman"/>
          <w:b/>
          <w:sz w:val="24"/>
          <w:szCs w:val="24"/>
        </w:rPr>
        <w:t>DISCUSSION</w:t>
      </w:r>
    </w:p>
    <w:p w:rsidR="000958E5" w:rsidRPr="004931C2" w:rsidRDefault="000958E5" w:rsidP="004931C2">
      <w:pPr>
        <w:adjustRightInd w:val="0"/>
        <w:snapToGrid w:val="0"/>
        <w:spacing w:line="360" w:lineRule="auto"/>
        <w:rPr>
          <w:rFonts w:ascii="Book Antiqua" w:hAnsi="Book Antiqua" w:cs="Times New Roman"/>
          <w:sz w:val="24"/>
          <w:szCs w:val="24"/>
        </w:rPr>
      </w:pPr>
      <w:r w:rsidRPr="004931C2">
        <w:rPr>
          <w:rFonts w:ascii="Book Antiqua" w:hAnsi="Book Antiqua" w:cs="Times New Roman"/>
          <w:sz w:val="24"/>
          <w:szCs w:val="24"/>
        </w:rPr>
        <w:t>IL-22 has previously been shown to have a variety of effects. IL-22 appears to play a protec</w:t>
      </w:r>
      <w:r w:rsidR="00AB0048" w:rsidRPr="004931C2">
        <w:rPr>
          <w:rFonts w:ascii="Book Antiqua" w:hAnsi="Book Antiqua" w:cs="Times New Roman"/>
          <w:sz w:val="24"/>
          <w:szCs w:val="24"/>
        </w:rPr>
        <w:t>tive role in inf</w:t>
      </w:r>
      <w:r w:rsidR="00A22279" w:rsidRPr="004931C2">
        <w:rPr>
          <w:rFonts w:ascii="Book Antiqua" w:hAnsi="Book Antiqua" w:cs="Times New Roman"/>
          <w:sz w:val="24"/>
          <w:szCs w:val="24"/>
        </w:rPr>
        <w:t>lammation</w:t>
      </w:r>
      <w:r w:rsidR="00AB0048" w:rsidRPr="004931C2">
        <w:rPr>
          <w:rFonts w:ascii="Book Antiqua" w:hAnsi="Book Antiqua" w:cs="Times New Roman"/>
          <w:sz w:val="24"/>
          <w:szCs w:val="24"/>
          <w:vertAlign w:val="superscript"/>
        </w:rPr>
        <w:t>[7-10]</w:t>
      </w:r>
      <w:r w:rsidRPr="004931C2">
        <w:rPr>
          <w:rFonts w:ascii="Book Antiqua" w:hAnsi="Book Antiqua" w:cs="Times New Roman"/>
          <w:sz w:val="24"/>
          <w:szCs w:val="24"/>
        </w:rPr>
        <w:t xml:space="preserve"> and has also been demonstrated to have proliferative eff</w:t>
      </w:r>
      <w:r w:rsidR="00A22279" w:rsidRPr="004931C2">
        <w:rPr>
          <w:rFonts w:ascii="Book Antiqua" w:hAnsi="Book Antiqua" w:cs="Times New Roman"/>
          <w:sz w:val="24"/>
          <w:szCs w:val="24"/>
        </w:rPr>
        <w:t>ects in a hepatocyte cell line</w:t>
      </w:r>
      <w:r w:rsidR="00AB0048" w:rsidRPr="004931C2">
        <w:rPr>
          <w:rFonts w:ascii="Book Antiqua" w:hAnsi="Book Antiqua" w:cs="Times New Roman"/>
          <w:sz w:val="24"/>
          <w:szCs w:val="24"/>
          <w:vertAlign w:val="superscript"/>
        </w:rPr>
        <w:t>[11]</w:t>
      </w:r>
      <w:r w:rsidRPr="004931C2">
        <w:rPr>
          <w:rFonts w:ascii="Book Antiqua" w:hAnsi="Book Antiqua" w:cs="Times New Roman"/>
          <w:sz w:val="24"/>
          <w:szCs w:val="24"/>
        </w:rPr>
        <w:t xml:space="preserve">. Hepatectomy in T cell-mediated hepatitis induced by concanavalin A models clinical hepatectomy with liver disease well. We demonstrated that IL-22 acts as a protective cytokine that attenuates liver injury in this model. The present study revealed that pre-treatment with IL-22 prior to hepatectomy significantly decreases the serum ALT and AST levels and increases the </w:t>
      </w:r>
      <w:r w:rsidRPr="004931C2">
        <w:rPr>
          <w:rFonts w:ascii="Book Antiqua" w:hAnsi="Book Antiqua" w:cs="Times New Roman"/>
          <w:sz w:val="24"/>
          <w:szCs w:val="24"/>
        </w:rPr>
        <w:lastRenderedPageBreak/>
        <w:t>serum ALB level following 70% hepatectomy. Our findings suggest that IL-22 plays a protective role against liver injury in ConA-induced T cell hepatitis following 70% hepatectomy and that IL-22 is a survival factor for hepatocytes. With the administration of exogenous IL-22, the liver weight/body ratio increased significantly and returned to the normal level by 2 w</w:t>
      </w:r>
      <w:r w:rsidR="00A22279" w:rsidRPr="004931C2">
        <w:rPr>
          <w:rFonts w:ascii="Book Antiqua" w:hAnsi="Book Antiqua" w:cs="Times New Roman"/>
          <w:sz w:val="24"/>
          <w:szCs w:val="24"/>
        </w:rPr>
        <w:t>k</w:t>
      </w:r>
      <w:r w:rsidRPr="004931C2">
        <w:rPr>
          <w:rFonts w:ascii="Book Antiqua" w:hAnsi="Book Antiqua" w:cs="Times New Roman"/>
          <w:sz w:val="24"/>
          <w:szCs w:val="24"/>
        </w:rPr>
        <w:t>. Additionally, the nuclear morphologies, hepatic sinusoids, complete structures of the hepatic lobules returned to normal, and significant regeneration was observed in the hepatocytes. In contrast, the ConA</w:t>
      </w:r>
      <w:r w:rsidR="00880B1B">
        <w:rPr>
          <w:rFonts w:ascii="Book Antiqua" w:hAnsi="Book Antiqua" w:cs="Times New Roman"/>
          <w:sz w:val="24"/>
          <w:szCs w:val="24"/>
        </w:rPr>
        <w:t xml:space="preserve"> </w:t>
      </w:r>
      <w:r w:rsidR="00C6548E">
        <w:rPr>
          <w:rFonts w:ascii="Book Antiqua" w:hAnsi="Book Antiqua" w:cs="Times New Roman"/>
          <w:sz w:val="24"/>
          <w:szCs w:val="24"/>
        </w:rPr>
        <w:t>+</w:t>
      </w:r>
      <w:r w:rsidR="00880B1B">
        <w:rPr>
          <w:rFonts w:ascii="Book Antiqua" w:hAnsi="Book Antiqua" w:cs="Times New Roman"/>
          <w:sz w:val="24"/>
          <w:szCs w:val="24"/>
        </w:rPr>
        <w:t xml:space="preserve"> </w:t>
      </w:r>
      <w:r w:rsidRPr="004931C2">
        <w:rPr>
          <w:rFonts w:ascii="Book Antiqua" w:hAnsi="Book Antiqua" w:cs="Times New Roman"/>
          <w:sz w:val="24"/>
          <w:szCs w:val="24"/>
        </w:rPr>
        <w:t>PHX group that was not administered exogenous IL-22 exhibited swelling, nuclear condensation and laminar necrosis of the hepatocytes and a near-total loss of the hepatic sinusoids.</w:t>
      </w:r>
    </w:p>
    <w:p w:rsidR="000958E5" w:rsidRPr="004931C2" w:rsidRDefault="000958E5" w:rsidP="004931C2">
      <w:pPr>
        <w:adjustRightInd w:val="0"/>
        <w:snapToGrid w:val="0"/>
        <w:spacing w:line="360" w:lineRule="auto"/>
        <w:ind w:firstLineChars="100" w:firstLine="240"/>
        <w:rPr>
          <w:rFonts w:ascii="Book Antiqua" w:hAnsi="Book Antiqua" w:cs="Times New Roman"/>
          <w:sz w:val="24"/>
          <w:szCs w:val="24"/>
        </w:rPr>
      </w:pPr>
      <w:r w:rsidRPr="004931C2">
        <w:rPr>
          <w:rFonts w:ascii="Book Antiqua" w:hAnsi="Book Antiqua" w:cs="Times New Roman"/>
          <w:sz w:val="24"/>
          <w:szCs w:val="24"/>
        </w:rPr>
        <w:t>In the liver, IL-22 plays an important role in the acute-phase response and possibly also plays a role in the p</w:t>
      </w:r>
      <w:r w:rsidR="00AB0048" w:rsidRPr="004931C2">
        <w:rPr>
          <w:rFonts w:ascii="Book Antiqua" w:hAnsi="Book Antiqua" w:cs="Times New Roman"/>
          <w:sz w:val="24"/>
          <w:szCs w:val="24"/>
        </w:rPr>
        <w:t>romotion of liver regeneration</w:t>
      </w:r>
      <w:r w:rsidR="00AB0048" w:rsidRPr="004931C2">
        <w:rPr>
          <w:rFonts w:ascii="Book Antiqua" w:hAnsi="Book Antiqua" w:cs="Times New Roman"/>
          <w:sz w:val="24"/>
          <w:szCs w:val="24"/>
          <w:vertAlign w:val="superscript"/>
        </w:rPr>
        <w:t>[2,6,12</w:t>
      </w:r>
      <w:r w:rsidR="00A22279" w:rsidRPr="004931C2">
        <w:rPr>
          <w:rFonts w:ascii="Book Antiqua" w:hAnsi="Book Antiqua" w:cs="Times New Roman"/>
          <w:sz w:val="24"/>
          <w:szCs w:val="24"/>
          <w:vertAlign w:val="superscript"/>
        </w:rPr>
        <w:t>,</w:t>
      </w:r>
      <w:r w:rsidR="00AB0048" w:rsidRPr="004931C2">
        <w:rPr>
          <w:rFonts w:ascii="Book Antiqua" w:hAnsi="Book Antiqua" w:cs="Times New Roman"/>
          <w:sz w:val="24"/>
          <w:szCs w:val="24"/>
          <w:vertAlign w:val="superscript"/>
        </w:rPr>
        <w:t>13]</w:t>
      </w:r>
      <w:r w:rsidRPr="004931C2">
        <w:rPr>
          <w:rFonts w:ascii="Book Antiqua" w:hAnsi="Book Antiqua" w:cs="Times New Roman"/>
          <w:sz w:val="24"/>
          <w:szCs w:val="24"/>
        </w:rPr>
        <w:t xml:space="preserve">. IL_22 acts </w:t>
      </w:r>
      <w:r w:rsidRPr="00880B1B">
        <w:rPr>
          <w:rFonts w:ascii="Book Antiqua" w:hAnsi="Book Antiqua" w:cs="Times New Roman"/>
          <w:i/>
          <w:sz w:val="24"/>
          <w:szCs w:val="24"/>
        </w:rPr>
        <w:t>via</w:t>
      </w:r>
      <w:r w:rsidRPr="004931C2">
        <w:rPr>
          <w:rFonts w:ascii="Book Antiqua" w:hAnsi="Book Antiqua" w:cs="Times New Roman"/>
          <w:sz w:val="24"/>
          <w:szCs w:val="24"/>
        </w:rPr>
        <w:t xml:space="preserve"> a heterodimeric receptor complex that consists of IL-22 receptor-α (IL-22Rα) </w:t>
      </w:r>
      <w:r w:rsidR="00AB0048" w:rsidRPr="004931C2">
        <w:rPr>
          <w:rFonts w:ascii="Book Antiqua" w:hAnsi="Book Antiqua" w:cs="Times New Roman"/>
          <w:sz w:val="24"/>
          <w:szCs w:val="24"/>
        </w:rPr>
        <w:t>and IL-10 receptor-β (IL-10Rβ)</w:t>
      </w:r>
      <w:r w:rsidR="00AB0048" w:rsidRPr="004931C2">
        <w:rPr>
          <w:rFonts w:ascii="Book Antiqua" w:hAnsi="Book Antiqua" w:cs="Times New Roman"/>
          <w:sz w:val="24"/>
          <w:szCs w:val="24"/>
          <w:vertAlign w:val="superscript"/>
        </w:rPr>
        <w:t>[2,5,14</w:t>
      </w:r>
      <w:r w:rsidR="00A22279" w:rsidRPr="004931C2">
        <w:rPr>
          <w:rFonts w:ascii="Book Antiqua" w:hAnsi="Book Antiqua" w:cs="Times New Roman"/>
          <w:sz w:val="24"/>
          <w:szCs w:val="24"/>
          <w:vertAlign w:val="superscript"/>
        </w:rPr>
        <w:t>,</w:t>
      </w:r>
      <w:r w:rsidR="00AB0048" w:rsidRPr="004931C2">
        <w:rPr>
          <w:rFonts w:ascii="Book Antiqua" w:hAnsi="Book Antiqua" w:cs="Times New Roman"/>
          <w:sz w:val="24"/>
          <w:szCs w:val="24"/>
          <w:vertAlign w:val="superscript"/>
        </w:rPr>
        <w:t>15]</w:t>
      </w:r>
      <w:r w:rsidRPr="004931C2">
        <w:rPr>
          <w:rFonts w:ascii="Book Antiqua" w:hAnsi="Book Antiqua" w:cs="Times New Roman"/>
          <w:sz w:val="24"/>
          <w:szCs w:val="24"/>
        </w:rPr>
        <w:t>. Examinations of the downstream signaling events following IL-22 administration in the context of partial hepatectomy demonstrated an increase in stat-3 activation. A substantial volume of published evidence supports the notion of STAT3-mediated c</w:t>
      </w:r>
      <w:r w:rsidR="00AB0048" w:rsidRPr="004931C2">
        <w:rPr>
          <w:rFonts w:ascii="Book Antiqua" w:hAnsi="Book Antiqua" w:cs="Times New Roman"/>
          <w:sz w:val="24"/>
          <w:szCs w:val="24"/>
        </w:rPr>
        <w:t>ell surv</w:t>
      </w:r>
      <w:r w:rsidR="00A22279" w:rsidRPr="004931C2">
        <w:rPr>
          <w:rFonts w:ascii="Book Antiqua" w:hAnsi="Book Antiqua" w:cs="Times New Roman"/>
          <w:sz w:val="24"/>
          <w:szCs w:val="24"/>
        </w:rPr>
        <w:t>ival and proliferation</w:t>
      </w:r>
      <w:r w:rsidR="00AB0048" w:rsidRPr="004931C2">
        <w:rPr>
          <w:rFonts w:ascii="Book Antiqua" w:hAnsi="Book Antiqua" w:cs="Times New Roman"/>
          <w:sz w:val="24"/>
          <w:szCs w:val="24"/>
          <w:vertAlign w:val="superscript"/>
        </w:rPr>
        <w:t>[16-21]</w:t>
      </w:r>
      <w:r w:rsidRPr="004931C2">
        <w:rPr>
          <w:rFonts w:ascii="Book Antiqua" w:hAnsi="Book Antiqua" w:cs="Times New Roman"/>
          <w:sz w:val="24"/>
          <w:szCs w:val="24"/>
        </w:rPr>
        <w:t>. Our present investigation revealed that the injection of IL-22 rapidly induced STAT3 activation in the liver and that STAT3 induced the expression of genes that are important for cell cycle progression (</w:t>
      </w:r>
      <w:r w:rsidRPr="004931C2">
        <w:rPr>
          <w:rFonts w:ascii="Book Antiqua" w:hAnsi="Book Antiqua" w:cs="Times New Roman"/>
          <w:i/>
          <w:sz w:val="24"/>
          <w:szCs w:val="24"/>
        </w:rPr>
        <w:t>e.g</w:t>
      </w:r>
      <w:r w:rsidRPr="004931C2">
        <w:rPr>
          <w:rFonts w:ascii="Book Antiqua" w:hAnsi="Book Antiqua" w:cs="Times New Roman"/>
          <w:sz w:val="24"/>
          <w:szCs w:val="24"/>
        </w:rPr>
        <w:t>., cyclinD1) and concurrently significantly increased PCNA staining to eventually promote cell survival and proliferation. These findings suggest that IL-22 was also partially responsible for hepatic STAT3 activation in this model. Thus, the activation of STAT3 by IL-22 was likely responsible for the protective role of IL-22 in the hepatocytes.</w:t>
      </w:r>
    </w:p>
    <w:p w:rsidR="000958E5" w:rsidRPr="004931C2" w:rsidRDefault="000958E5" w:rsidP="004931C2">
      <w:pPr>
        <w:adjustRightInd w:val="0"/>
        <w:snapToGrid w:val="0"/>
        <w:spacing w:line="360" w:lineRule="auto"/>
        <w:ind w:firstLineChars="100" w:firstLine="240"/>
        <w:rPr>
          <w:rFonts w:ascii="Book Antiqua" w:hAnsi="Book Antiqua" w:cs="Times New Roman"/>
          <w:sz w:val="24"/>
          <w:szCs w:val="24"/>
        </w:rPr>
      </w:pPr>
      <w:r w:rsidRPr="004931C2">
        <w:rPr>
          <w:rFonts w:ascii="Book Antiqua" w:hAnsi="Book Antiqua" w:cs="Times New Roman"/>
          <w:sz w:val="24"/>
          <w:szCs w:val="24"/>
        </w:rPr>
        <w:t>Alpha fetal protein (AFP) is a specific marker of liver cancer tumors and is closely related to individual development, tissue regeneratio</w:t>
      </w:r>
      <w:r w:rsidR="004D4F93" w:rsidRPr="004931C2">
        <w:rPr>
          <w:rFonts w:ascii="Book Antiqua" w:hAnsi="Book Antiqua" w:cs="Times New Roman"/>
          <w:sz w:val="24"/>
          <w:szCs w:val="24"/>
        </w:rPr>
        <w:t>n, apoptosis and tumorigenesis</w:t>
      </w:r>
      <w:r w:rsidR="004D4F93" w:rsidRPr="004931C2">
        <w:rPr>
          <w:rFonts w:ascii="Book Antiqua" w:hAnsi="Book Antiqua" w:cs="Times New Roman"/>
          <w:sz w:val="24"/>
          <w:szCs w:val="24"/>
          <w:vertAlign w:val="superscript"/>
        </w:rPr>
        <w:t>[22-25]</w:t>
      </w:r>
      <w:r w:rsidRPr="004931C2">
        <w:rPr>
          <w:rFonts w:ascii="Book Antiqua" w:hAnsi="Book Antiqua" w:cs="Times New Roman"/>
          <w:sz w:val="24"/>
          <w:szCs w:val="24"/>
        </w:rPr>
        <w:t xml:space="preserve">. The main role of AFP in liver regeneration is the regulation hepatocyte growth. It has also been demonstrated that in the context of the synergy of various growth factors, AFP mediates cell growth </w:t>
      </w:r>
      <w:r w:rsidRPr="004931C2">
        <w:rPr>
          <w:rFonts w:ascii="Book Antiqua" w:hAnsi="Book Antiqua" w:cs="Times New Roman"/>
          <w:sz w:val="24"/>
          <w:szCs w:val="24"/>
        </w:rPr>
        <w:lastRenderedPageBreak/>
        <w:t xml:space="preserve">regulation </w:t>
      </w:r>
      <w:r w:rsidRPr="00880B1B">
        <w:rPr>
          <w:rFonts w:ascii="Book Antiqua" w:hAnsi="Book Antiqua" w:cs="Times New Roman"/>
          <w:i/>
          <w:sz w:val="24"/>
          <w:szCs w:val="24"/>
        </w:rPr>
        <w:t>via</w:t>
      </w:r>
      <w:r w:rsidRPr="004931C2">
        <w:rPr>
          <w:rFonts w:ascii="Book Antiqua" w:hAnsi="Book Antiqua" w:cs="Times New Roman"/>
          <w:sz w:val="24"/>
          <w:szCs w:val="24"/>
        </w:rPr>
        <w:t xml:space="preserve"> an interaction with a special cell membrane receptor that results in the uptake of arachidonic acid and AFP into the cell. The process provides the necessary substrate and signal transduction for the M phase </w:t>
      </w:r>
      <w:r w:rsidR="00A22279" w:rsidRPr="004931C2">
        <w:rPr>
          <w:rFonts w:ascii="Book Antiqua" w:hAnsi="Book Antiqua" w:cs="Times New Roman"/>
          <w:sz w:val="24"/>
          <w:szCs w:val="24"/>
        </w:rPr>
        <w:t>of mitosis</w:t>
      </w:r>
      <w:r w:rsidR="004D4F93" w:rsidRPr="004931C2">
        <w:rPr>
          <w:rFonts w:ascii="Book Antiqua" w:hAnsi="Book Antiqua" w:cs="Times New Roman"/>
          <w:sz w:val="24"/>
          <w:szCs w:val="24"/>
          <w:vertAlign w:val="superscript"/>
        </w:rPr>
        <w:t>[26</w:t>
      </w:r>
      <w:r w:rsidR="00A22279" w:rsidRPr="004931C2">
        <w:rPr>
          <w:rFonts w:ascii="Book Antiqua" w:hAnsi="Book Antiqua" w:cs="Times New Roman"/>
          <w:sz w:val="24"/>
          <w:szCs w:val="24"/>
          <w:vertAlign w:val="superscript"/>
        </w:rPr>
        <w:t>,</w:t>
      </w:r>
      <w:r w:rsidR="004D4F93" w:rsidRPr="004931C2">
        <w:rPr>
          <w:rFonts w:ascii="Book Antiqua" w:hAnsi="Book Antiqua" w:cs="Times New Roman"/>
          <w:sz w:val="24"/>
          <w:szCs w:val="24"/>
          <w:vertAlign w:val="superscript"/>
        </w:rPr>
        <w:t>27]</w:t>
      </w:r>
      <w:r w:rsidRPr="004931C2">
        <w:rPr>
          <w:rFonts w:ascii="Book Antiqua" w:hAnsi="Book Antiqua" w:cs="Times New Roman"/>
          <w:sz w:val="24"/>
          <w:szCs w:val="24"/>
        </w:rPr>
        <w:t>. Our present study found that following pretreatment with recombinant IL-22, AFP</w:t>
      </w:r>
      <w:r w:rsidR="00B0469A" w:rsidRPr="004931C2">
        <w:rPr>
          <w:rFonts w:ascii="Book Antiqua" w:hAnsi="Book Antiqua" w:cs="Times New Roman"/>
          <w:sz w:val="24"/>
          <w:szCs w:val="24"/>
        </w:rPr>
        <w:t xml:space="preserve"> </w:t>
      </w:r>
      <w:r w:rsidRPr="004931C2">
        <w:rPr>
          <w:rFonts w:ascii="Book Antiqua" w:hAnsi="Book Antiqua" w:cs="Times New Roman"/>
          <w:sz w:val="24"/>
          <w:szCs w:val="24"/>
        </w:rPr>
        <w:t>mRNA begin to be expressed from 32 h, and this expression increased significantly by 48 h after hepatectomy. This increase in expression was probably due to the loss of the negative regulation of the transcription inhibitory factor. This expression trend reflects the promotion of cell proliferation in the liver by AFP</w:t>
      </w:r>
      <w:r w:rsidR="00B0469A" w:rsidRPr="004931C2">
        <w:rPr>
          <w:rFonts w:ascii="Book Antiqua" w:hAnsi="Book Antiqua" w:cs="Times New Roman"/>
          <w:sz w:val="24"/>
          <w:szCs w:val="24"/>
        </w:rPr>
        <w:t xml:space="preserve"> </w:t>
      </w:r>
      <w:r w:rsidRPr="004931C2">
        <w:rPr>
          <w:rFonts w:ascii="Book Antiqua" w:hAnsi="Book Antiqua" w:cs="Times New Roman"/>
          <w:sz w:val="24"/>
          <w:szCs w:val="24"/>
        </w:rPr>
        <w:t>mRNA. These findings suggest that IL-22 can decrease the expression of the transcription inhibitory factor to induce the expression of AFP</w:t>
      </w:r>
      <w:r w:rsidR="00B0469A" w:rsidRPr="004931C2">
        <w:rPr>
          <w:rFonts w:ascii="Book Antiqua" w:hAnsi="Book Antiqua" w:cs="Times New Roman"/>
          <w:sz w:val="24"/>
          <w:szCs w:val="24"/>
        </w:rPr>
        <w:t xml:space="preserve"> </w:t>
      </w:r>
      <w:r w:rsidRPr="004931C2">
        <w:rPr>
          <w:rFonts w:ascii="Book Antiqua" w:hAnsi="Book Antiqua" w:cs="Times New Roman"/>
          <w:sz w:val="24"/>
          <w:szCs w:val="24"/>
        </w:rPr>
        <w:t>mRNA and provide the necessary material basis for mitosis and thus eventually promote cell survival and proliferation.</w:t>
      </w:r>
    </w:p>
    <w:p w:rsidR="000958E5" w:rsidRPr="004931C2" w:rsidRDefault="000958E5" w:rsidP="004931C2">
      <w:pPr>
        <w:adjustRightInd w:val="0"/>
        <w:snapToGrid w:val="0"/>
        <w:spacing w:line="360" w:lineRule="auto"/>
        <w:ind w:firstLineChars="100" w:firstLine="240"/>
        <w:rPr>
          <w:rFonts w:ascii="Book Antiqua" w:hAnsi="Book Antiqua" w:cs="Times New Roman"/>
          <w:sz w:val="24"/>
          <w:szCs w:val="24"/>
        </w:rPr>
      </w:pPr>
      <w:r w:rsidRPr="004931C2">
        <w:rPr>
          <w:rFonts w:ascii="Book Antiqua" w:hAnsi="Book Antiqua" w:cs="Times New Roman"/>
          <w:sz w:val="24"/>
          <w:szCs w:val="24"/>
        </w:rPr>
        <w:t>In summary, the model of hepatectomy in T cell-mediated hepatitis induced by concanavalin A simulates clinical hepatectomy with liver disease accurately, and our findings suggest that IL-22 played protective and survival roles against liver injury in this model. Thus, IL-22 treatment should be considered to be a novel therapeutic option for liver injury and regeneration.</w:t>
      </w:r>
    </w:p>
    <w:p w:rsidR="00CE394B" w:rsidRPr="004931C2" w:rsidRDefault="00CE394B" w:rsidP="004931C2">
      <w:pPr>
        <w:adjustRightInd w:val="0"/>
        <w:snapToGrid w:val="0"/>
        <w:spacing w:line="360" w:lineRule="auto"/>
        <w:ind w:firstLineChars="100" w:firstLine="240"/>
        <w:rPr>
          <w:rFonts w:ascii="Book Antiqua" w:hAnsi="Book Antiqua" w:cs="Times New Roman"/>
          <w:sz w:val="24"/>
          <w:szCs w:val="24"/>
        </w:rPr>
      </w:pPr>
    </w:p>
    <w:p w:rsidR="00A22279" w:rsidRPr="004931C2" w:rsidRDefault="00A22279" w:rsidP="004931C2">
      <w:pPr>
        <w:autoSpaceDE w:val="0"/>
        <w:autoSpaceDN w:val="0"/>
        <w:adjustRightInd w:val="0"/>
        <w:snapToGrid w:val="0"/>
        <w:spacing w:line="360" w:lineRule="auto"/>
        <w:rPr>
          <w:rFonts w:ascii="Book Antiqua" w:hAnsi="Book Antiqua"/>
          <w:b/>
          <w:bCs/>
          <w:sz w:val="24"/>
          <w:szCs w:val="24"/>
        </w:rPr>
      </w:pPr>
      <w:bookmarkStart w:id="365" w:name="OLE_LINK902"/>
      <w:bookmarkStart w:id="366" w:name="OLE_LINK903"/>
      <w:bookmarkStart w:id="367" w:name="OLE_LINK904"/>
      <w:bookmarkStart w:id="368" w:name="OLE_LINK905"/>
      <w:bookmarkStart w:id="369" w:name="OLE_LINK1827"/>
      <w:bookmarkStart w:id="370" w:name="OLE_LINK1828"/>
      <w:bookmarkStart w:id="371" w:name="OLE_LINK1829"/>
      <w:bookmarkStart w:id="372" w:name="OLE_LINK2351"/>
      <w:bookmarkStart w:id="373" w:name="OLE_LINK2353"/>
      <w:bookmarkStart w:id="374" w:name="OLE_LINK2354"/>
      <w:bookmarkStart w:id="375" w:name="OLE_LINK2355"/>
      <w:r w:rsidRPr="004931C2">
        <w:rPr>
          <w:rFonts w:ascii="Book Antiqua" w:hAnsi="Book Antiqua"/>
          <w:b/>
          <w:bCs/>
          <w:sz w:val="24"/>
          <w:szCs w:val="24"/>
        </w:rPr>
        <w:t>COMMENTS</w:t>
      </w:r>
    </w:p>
    <w:p w:rsidR="00A22279" w:rsidRPr="004931C2" w:rsidRDefault="00A22279" w:rsidP="004931C2">
      <w:pPr>
        <w:adjustRightInd w:val="0"/>
        <w:snapToGrid w:val="0"/>
        <w:spacing w:line="360" w:lineRule="auto"/>
        <w:rPr>
          <w:rFonts w:ascii="Book Antiqua" w:hAnsi="Book Antiqua"/>
          <w:b/>
          <w:bCs/>
          <w:i/>
          <w:sz w:val="24"/>
          <w:szCs w:val="24"/>
        </w:rPr>
      </w:pPr>
      <w:bookmarkStart w:id="376" w:name="OLE_LINK614"/>
      <w:bookmarkStart w:id="377" w:name="OLE_LINK615"/>
      <w:bookmarkStart w:id="378" w:name="OLE_LINK843"/>
      <w:bookmarkStart w:id="379" w:name="OLE_LINK844"/>
      <w:r w:rsidRPr="004931C2">
        <w:rPr>
          <w:rFonts w:ascii="Book Antiqua" w:hAnsi="Book Antiqua"/>
          <w:b/>
          <w:bCs/>
          <w:i/>
          <w:sz w:val="24"/>
          <w:szCs w:val="24"/>
        </w:rPr>
        <w:t>Background</w:t>
      </w:r>
    </w:p>
    <w:bookmarkEnd w:id="376"/>
    <w:bookmarkEnd w:id="377"/>
    <w:p w:rsidR="00A22279" w:rsidRPr="004931C2" w:rsidRDefault="00A22279" w:rsidP="004931C2">
      <w:pPr>
        <w:adjustRightInd w:val="0"/>
        <w:snapToGrid w:val="0"/>
        <w:spacing w:line="360" w:lineRule="auto"/>
        <w:rPr>
          <w:rFonts w:ascii="Book Antiqua" w:hAnsi="Book Antiqua"/>
          <w:sz w:val="24"/>
          <w:szCs w:val="24"/>
        </w:rPr>
      </w:pPr>
      <w:r w:rsidRPr="004931C2">
        <w:rPr>
          <w:rFonts w:ascii="Book Antiqua" w:hAnsi="Book Antiqua"/>
          <w:sz w:val="24"/>
          <w:szCs w:val="24"/>
        </w:rPr>
        <w:t>Interleukin (IL)-22 appears to play a protective role in inflammation and has also been demonstrated to exert proliferative effects in a hepatocyte cell line; however, it has rarely been reported that the protective and proliferative effects exist simultaneously. In this article, the authors sought to investigate the therapeutic effects and mechanisms of IL-22 in liver regeneration with mice with concanavalin A (ConA)-mediated liver injury following 70% hepatectomy.</w:t>
      </w:r>
    </w:p>
    <w:p w:rsidR="00A22279" w:rsidRPr="004931C2" w:rsidRDefault="00A22279" w:rsidP="004931C2">
      <w:pPr>
        <w:adjustRightInd w:val="0"/>
        <w:snapToGrid w:val="0"/>
        <w:spacing w:line="360" w:lineRule="auto"/>
        <w:rPr>
          <w:rFonts w:ascii="Book Antiqua" w:hAnsi="Book Antiqua"/>
          <w:sz w:val="24"/>
          <w:szCs w:val="24"/>
        </w:rPr>
      </w:pPr>
    </w:p>
    <w:p w:rsidR="00A22279" w:rsidRPr="004931C2" w:rsidRDefault="00A22279" w:rsidP="004931C2">
      <w:pPr>
        <w:adjustRightInd w:val="0"/>
        <w:snapToGrid w:val="0"/>
        <w:spacing w:line="360" w:lineRule="auto"/>
        <w:rPr>
          <w:rFonts w:ascii="Book Antiqua" w:hAnsi="Book Antiqua"/>
          <w:b/>
          <w:bCs/>
          <w:i/>
          <w:sz w:val="24"/>
          <w:szCs w:val="24"/>
        </w:rPr>
      </w:pPr>
      <w:r w:rsidRPr="004931C2">
        <w:rPr>
          <w:rFonts w:ascii="Book Antiqua" w:hAnsi="Book Antiqua"/>
          <w:b/>
          <w:bCs/>
          <w:i/>
          <w:sz w:val="24"/>
          <w:szCs w:val="24"/>
        </w:rPr>
        <w:t>Research frontiers</w:t>
      </w:r>
    </w:p>
    <w:p w:rsidR="00A22279" w:rsidRPr="004931C2" w:rsidRDefault="00A22279" w:rsidP="004931C2">
      <w:pPr>
        <w:adjustRightInd w:val="0"/>
        <w:snapToGrid w:val="0"/>
        <w:spacing w:line="360" w:lineRule="auto"/>
        <w:rPr>
          <w:rFonts w:ascii="Book Antiqua" w:hAnsi="Book Antiqua"/>
          <w:sz w:val="24"/>
          <w:szCs w:val="24"/>
        </w:rPr>
      </w:pPr>
      <w:bookmarkStart w:id="380" w:name="OLE_LINK21"/>
      <w:bookmarkStart w:id="381" w:name="OLE_LINK23"/>
      <w:r w:rsidRPr="004931C2">
        <w:rPr>
          <w:rFonts w:ascii="Book Antiqua" w:hAnsi="Book Antiqua"/>
          <w:sz w:val="24"/>
          <w:szCs w:val="24"/>
        </w:rPr>
        <w:t>IL-22 has also been demonstrated to play a protective role in inflammation and proliferative effects</w:t>
      </w:r>
      <w:bookmarkEnd w:id="380"/>
      <w:bookmarkEnd w:id="381"/>
      <w:r w:rsidRPr="004931C2">
        <w:rPr>
          <w:rFonts w:ascii="Book Antiqua" w:hAnsi="Book Antiqua"/>
          <w:sz w:val="24"/>
          <w:szCs w:val="24"/>
        </w:rPr>
        <w:t xml:space="preserve"> in a hepatocyte cell line, however, it has rarely been </w:t>
      </w:r>
      <w:r w:rsidRPr="004931C2">
        <w:rPr>
          <w:rFonts w:ascii="Book Antiqua" w:hAnsi="Book Antiqua"/>
          <w:sz w:val="24"/>
          <w:szCs w:val="24"/>
        </w:rPr>
        <w:lastRenderedPageBreak/>
        <w:t>reported that the protective and proliferative effects exist simultaneously.</w:t>
      </w:r>
    </w:p>
    <w:p w:rsidR="00A22279" w:rsidRPr="004931C2" w:rsidRDefault="00A22279" w:rsidP="004931C2">
      <w:pPr>
        <w:adjustRightInd w:val="0"/>
        <w:snapToGrid w:val="0"/>
        <w:spacing w:line="360" w:lineRule="auto"/>
        <w:rPr>
          <w:rFonts w:ascii="Book Antiqua" w:hAnsi="Book Antiqua"/>
          <w:sz w:val="24"/>
          <w:szCs w:val="24"/>
        </w:rPr>
      </w:pPr>
    </w:p>
    <w:p w:rsidR="00A22279" w:rsidRPr="004931C2" w:rsidRDefault="00A22279" w:rsidP="004931C2">
      <w:pPr>
        <w:adjustRightInd w:val="0"/>
        <w:snapToGrid w:val="0"/>
        <w:spacing w:line="360" w:lineRule="auto"/>
        <w:rPr>
          <w:rFonts w:ascii="Book Antiqua" w:hAnsi="Book Antiqua"/>
          <w:i/>
          <w:sz w:val="24"/>
          <w:szCs w:val="24"/>
        </w:rPr>
      </w:pPr>
      <w:r w:rsidRPr="004931C2">
        <w:rPr>
          <w:rFonts w:ascii="Book Antiqua" w:hAnsi="Book Antiqua"/>
          <w:b/>
          <w:bCs/>
          <w:i/>
          <w:sz w:val="24"/>
          <w:szCs w:val="24"/>
        </w:rPr>
        <w:t>Innovations and breakthroughs</w:t>
      </w:r>
    </w:p>
    <w:p w:rsidR="00A22279" w:rsidRPr="004931C2" w:rsidRDefault="00A22279" w:rsidP="004931C2">
      <w:pPr>
        <w:adjustRightInd w:val="0"/>
        <w:snapToGrid w:val="0"/>
        <w:spacing w:line="360" w:lineRule="auto"/>
        <w:rPr>
          <w:rFonts w:ascii="Book Antiqua" w:hAnsi="Book Antiqua"/>
          <w:sz w:val="24"/>
          <w:szCs w:val="24"/>
        </w:rPr>
      </w:pPr>
      <w:r w:rsidRPr="004931C2">
        <w:rPr>
          <w:rFonts w:ascii="Book Antiqua" w:hAnsi="Book Antiqua"/>
          <w:sz w:val="24"/>
          <w:szCs w:val="24"/>
        </w:rPr>
        <w:t>In this article, the authors investigated the therapeutic effects and mechanisms of IL-22 in liver regeneration with mice with ConA-mediated liver injury following 70% hepatectomy. IL-22 was demonstrated to play protective role and proliferative effects together.</w:t>
      </w:r>
    </w:p>
    <w:p w:rsidR="00A22279" w:rsidRPr="004931C2" w:rsidRDefault="00A22279" w:rsidP="004931C2">
      <w:pPr>
        <w:adjustRightInd w:val="0"/>
        <w:snapToGrid w:val="0"/>
        <w:spacing w:line="360" w:lineRule="auto"/>
        <w:rPr>
          <w:rFonts w:ascii="Book Antiqua" w:hAnsi="Book Antiqua"/>
          <w:sz w:val="24"/>
          <w:szCs w:val="24"/>
        </w:rPr>
      </w:pPr>
    </w:p>
    <w:p w:rsidR="00A22279" w:rsidRPr="004931C2" w:rsidRDefault="00A22279" w:rsidP="004931C2">
      <w:pPr>
        <w:adjustRightInd w:val="0"/>
        <w:snapToGrid w:val="0"/>
        <w:spacing w:line="360" w:lineRule="auto"/>
        <w:rPr>
          <w:rFonts w:ascii="Book Antiqua" w:hAnsi="Book Antiqua"/>
          <w:b/>
          <w:bCs/>
          <w:i/>
          <w:sz w:val="24"/>
          <w:szCs w:val="24"/>
        </w:rPr>
      </w:pPr>
      <w:bookmarkStart w:id="382" w:name="OLE_LINK1860"/>
      <w:bookmarkStart w:id="383" w:name="OLE_LINK1861"/>
      <w:r w:rsidRPr="004931C2">
        <w:rPr>
          <w:rFonts w:ascii="Book Antiqua" w:hAnsi="Book Antiqua"/>
          <w:b/>
          <w:bCs/>
          <w:i/>
          <w:sz w:val="24"/>
          <w:szCs w:val="24"/>
        </w:rPr>
        <w:t xml:space="preserve">Applications </w:t>
      </w:r>
    </w:p>
    <w:bookmarkEnd w:id="382"/>
    <w:bookmarkEnd w:id="383"/>
    <w:p w:rsidR="00A22279" w:rsidRPr="004931C2" w:rsidRDefault="00A22279" w:rsidP="004931C2">
      <w:pPr>
        <w:adjustRightInd w:val="0"/>
        <w:snapToGrid w:val="0"/>
        <w:spacing w:line="360" w:lineRule="auto"/>
        <w:rPr>
          <w:rFonts w:ascii="Book Antiqua" w:hAnsi="Book Antiqua"/>
          <w:sz w:val="24"/>
          <w:szCs w:val="24"/>
        </w:rPr>
      </w:pPr>
      <w:r w:rsidRPr="004931C2">
        <w:rPr>
          <w:rFonts w:ascii="Book Antiqua" w:hAnsi="Book Antiqua"/>
          <w:sz w:val="24"/>
          <w:szCs w:val="24"/>
        </w:rPr>
        <w:t>IL-22 treatment should be considered to be a novel therapeutic option for liver injury and regeneration on clinic.</w:t>
      </w:r>
    </w:p>
    <w:p w:rsidR="00A22279" w:rsidRPr="004931C2" w:rsidRDefault="00A22279" w:rsidP="004931C2">
      <w:pPr>
        <w:adjustRightInd w:val="0"/>
        <w:snapToGrid w:val="0"/>
        <w:spacing w:line="360" w:lineRule="auto"/>
        <w:rPr>
          <w:rFonts w:ascii="Book Antiqua" w:hAnsi="Book Antiqua"/>
          <w:sz w:val="24"/>
          <w:szCs w:val="24"/>
        </w:rPr>
      </w:pPr>
    </w:p>
    <w:p w:rsidR="00A22279" w:rsidRPr="004931C2" w:rsidRDefault="00A22279" w:rsidP="004931C2">
      <w:pPr>
        <w:adjustRightInd w:val="0"/>
        <w:snapToGrid w:val="0"/>
        <w:spacing w:line="360" w:lineRule="auto"/>
        <w:rPr>
          <w:rFonts w:ascii="Book Antiqua" w:hAnsi="Book Antiqua"/>
          <w:b/>
          <w:bCs/>
          <w:i/>
          <w:sz w:val="24"/>
          <w:szCs w:val="24"/>
        </w:rPr>
      </w:pPr>
      <w:bookmarkStart w:id="384" w:name="OLE_LINK2204"/>
      <w:bookmarkStart w:id="385" w:name="OLE_LINK2135"/>
      <w:bookmarkStart w:id="386" w:name="OLE_LINK2585"/>
      <w:bookmarkStart w:id="387" w:name="OLE_LINK2586"/>
      <w:bookmarkStart w:id="388" w:name="OLE_LINK2709"/>
      <w:bookmarkStart w:id="389" w:name="OLE_LINK2926"/>
      <w:bookmarkStart w:id="390" w:name="OLE_LINK678"/>
      <w:bookmarkStart w:id="391" w:name="OLE_LINK679"/>
      <w:r w:rsidRPr="004931C2">
        <w:rPr>
          <w:rFonts w:ascii="Book Antiqua" w:hAnsi="Book Antiqua"/>
          <w:b/>
          <w:bCs/>
          <w:i/>
          <w:sz w:val="24"/>
          <w:szCs w:val="24"/>
        </w:rPr>
        <w:t>Peer-review</w:t>
      </w:r>
    </w:p>
    <w:bookmarkEnd w:id="365"/>
    <w:bookmarkEnd w:id="366"/>
    <w:bookmarkEnd w:id="367"/>
    <w:bookmarkEnd w:id="368"/>
    <w:bookmarkEnd w:id="369"/>
    <w:bookmarkEnd w:id="370"/>
    <w:bookmarkEnd w:id="371"/>
    <w:bookmarkEnd w:id="372"/>
    <w:bookmarkEnd w:id="373"/>
    <w:bookmarkEnd w:id="374"/>
    <w:bookmarkEnd w:id="375"/>
    <w:bookmarkEnd w:id="378"/>
    <w:bookmarkEnd w:id="379"/>
    <w:bookmarkEnd w:id="384"/>
    <w:bookmarkEnd w:id="385"/>
    <w:bookmarkEnd w:id="386"/>
    <w:bookmarkEnd w:id="387"/>
    <w:bookmarkEnd w:id="388"/>
    <w:bookmarkEnd w:id="389"/>
    <w:bookmarkEnd w:id="390"/>
    <w:bookmarkEnd w:id="391"/>
    <w:p w:rsidR="00CE394B" w:rsidRPr="004931C2" w:rsidRDefault="00A22279" w:rsidP="004931C2">
      <w:pPr>
        <w:adjustRightInd w:val="0"/>
        <w:snapToGrid w:val="0"/>
        <w:spacing w:line="360" w:lineRule="auto"/>
        <w:rPr>
          <w:rFonts w:ascii="Book Antiqua" w:hAnsi="Book Antiqua"/>
          <w:sz w:val="24"/>
          <w:szCs w:val="24"/>
        </w:rPr>
      </w:pPr>
      <w:r w:rsidRPr="004931C2">
        <w:rPr>
          <w:rFonts w:ascii="Book Antiqua" w:hAnsi="Book Antiqua"/>
          <w:sz w:val="24"/>
          <w:szCs w:val="24"/>
        </w:rPr>
        <w:t xml:space="preserve">In this study, the authors demonstrated that IL-22 is a valuable factor for hepatocyte proliferation and can protect liver from injury induced by ConA. The work is well-done and provides the interesting results. </w:t>
      </w:r>
    </w:p>
    <w:p w:rsidR="00A22279" w:rsidRPr="004931C2" w:rsidRDefault="00A22279" w:rsidP="004931C2">
      <w:pPr>
        <w:adjustRightInd w:val="0"/>
        <w:snapToGrid w:val="0"/>
        <w:spacing w:line="360" w:lineRule="auto"/>
        <w:rPr>
          <w:rFonts w:ascii="Book Antiqua" w:hAnsi="Book Antiqua" w:cs="Times New Roman"/>
          <w:sz w:val="24"/>
          <w:szCs w:val="24"/>
        </w:rPr>
      </w:pPr>
    </w:p>
    <w:p w:rsidR="00A22279" w:rsidRPr="004931C2" w:rsidRDefault="00A22279" w:rsidP="004931C2">
      <w:pPr>
        <w:widowControl/>
        <w:adjustRightInd w:val="0"/>
        <w:snapToGrid w:val="0"/>
        <w:spacing w:line="360" w:lineRule="auto"/>
        <w:rPr>
          <w:rFonts w:ascii="Book Antiqua" w:hAnsi="Book Antiqua" w:cs="Times New Roman"/>
          <w:b/>
          <w:sz w:val="24"/>
          <w:szCs w:val="24"/>
        </w:rPr>
      </w:pPr>
      <w:r w:rsidRPr="004931C2">
        <w:rPr>
          <w:rFonts w:ascii="Book Antiqua" w:hAnsi="Book Antiqua" w:cs="Times New Roman"/>
          <w:b/>
          <w:sz w:val="24"/>
          <w:szCs w:val="24"/>
        </w:rPr>
        <w:br w:type="page"/>
      </w:r>
    </w:p>
    <w:p w:rsidR="000958E5" w:rsidRPr="004931C2" w:rsidRDefault="000958E5" w:rsidP="004931C2">
      <w:pPr>
        <w:adjustRightInd w:val="0"/>
        <w:snapToGrid w:val="0"/>
        <w:spacing w:line="360" w:lineRule="auto"/>
        <w:rPr>
          <w:rFonts w:ascii="Book Antiqua" w:hAnsi="Book Antiqua" w:cs="Times New Roman"/>
          <w:b/>
          <w:sz w:val="24"/>
          <w:szCs w:val="24"/>
        </w:rPr>
      </w:pPr>
      <w:r w:rsidRPr="004931C2">
        <w:rPr>
          <w:rFonts w:ascii="Book Antiqua" w:hAnsi="Book Antiqua" w:cs="Times New Roman"/>
          <w:b/>
          <w:sz w:val="24"/>
          <w:szCs w:val="24"/>
        </w:rPr>
        <w:lastRenderedPageBreak/>
        <w:t>REFERENCES</w:t>
      </w:r>
    </w:p>
    <w:p w:rsidR="00A22279" w:rsidRPr="00A22279" w:rsidRDefault="00A22279" w:rsidP="004931C2">
      <w:pPr>
        <w:widowControl/>
        <w:adjustRightInd w:val="0"/>
        <w:snapToGrid w:val="0"/>
        <w:spacing w:line="360" w:lineRule="auto"/>
        <w:rPr>
          <w:rFonts w:ascii="Book Antiqua" w:eastAsia="SimSun" w:hAnsi="Book Antiqua" w:cs="SimSun"/>
          <w:kern w:val="0"/>
          <w:sz w:val="24"/>
          <w:szCs w:val="24"/>
        </w:rPr>
      </w:pPr>
      <w:r w:rsidRPr="00A22279">
        <w:rPr>
          <w:rFonts w:ascii="Book Antiqua" w:eastAsia="SimSun" w:hAnsi="Book Antiqua" w:cs="SimSun"/>
          <w:kern w:val="0"/>
          <w:sz w:val="24"/>
          <w:szCs w:val="24"/>
        </w:rPr>
        <w:t xml:space="preserve">1 </w:t>
      </w:r>
      <w:r w:rsidRPr="00A22279">
        <w:rPr>
          <w:rFonts w:ascii="Book Antiqua" w:eastAsia="SimSun" w:hAnsi="Book Antiqua" w:cs="SimSun"/>
          <w:b/>
          <w:bCs/>
          <w:kern w:val="0"/>
          <w:sz w:val="24"/>
          <w:szCs w:val="24"/>
        </w:rPr>
        <w:t>Dumoutier L</w:t>
      </w:r>
      <w:r w:rsidRPr="00A22279">
        <w:rPr>
          <w:rFonts w:ascii="Book Antiqua" w:eastAsia="SimSun" w:hAnsi="Book Antiqua" w:cs="SimSun"/>
          <w:kern w:val="0"/>
          <w:sz w:val="24"/>
          <w:szCs w:val="24"/>
        </w:rPr>
        <w:t xml:space="preserve">, Louahed J, Renauld JC. Cloning and characterization of IL-10-related T cell-derived inducible factor (IL-TIF), a novel cytokine structurally related to IL-10 and inducible by IL-9. </w:t>
      </w:r>
      <w:r w:rsidRPr="00A22279">
        <w:rPr>
          <w:rFonts w:ascii="Book Antiqua" w:eastAsia="SimSun" w:hAnsi="Book Antiqua" w:cs="SimSun"/>
          <w:i/>
          <w:iCs/>
          <w:kern w:val="0"/>
          <w:sz w:val="24"/>
          <w:szCs w:val="24"/>
        </w:rPr>
        <w:t>J Immunol</w:t>
      </w:r>
      <w:r w:rsidRPr="00A22279">
        <w:rPr>
          <w:rFonts w:ascii="Book Antiqua" w:eastAsia="SimSun" w:hAnsi="Book Antiqua" w:cs="SimSun"/>
          <w:kern w:val="0"/>
          <w:sz w:val="24"/>
          <w:szCs w:val="24"/>
        </w:rPr>
        <w:t xml:space="preserve"> 2000; </w:t>
      </w:r>
      <w:r w:rsidRPr="00A22279">
        <w:rPr>
          <w:rFonts w:ascii="Book Antiqua" w:eastAsia="SimSun" w:hAnsi="Book Antiqua" w:cs="SimSun"/>
          <w:b/>
          <w:bCs/>
          <w:kern w:val="0"/>
          <w:sz w:val="24"/>
          <w:szCs w:val="24"/>
        </w:rPr>
        <w:t>164</w:t>
      </w:r>
      <w:r w:rsidRPr="00A22279">
        <w:rPr>
          <w:rFonts w:ascii="Book Antiqua" w:eastAsia="SimSun" w:hAnsi="Book Antiqua" w:cs="SimSun"/>
          <w:kern w:val="0"/>
          <w:sz w:val="24"/>
          <w:szCs w:val="24"/>
        </w:rPr>
        <w:t>: 1814-1819 [PMID: 10657629 DOI: 10.4049/jimmunol.164.4.1814]</w:t>
      </w:r>
    </w:p>
    <w:p w:rsidR="00A22279" w:rsidRPr="00A22279" w:rsidRDefault="00A22279" w:rsidP="004931C2">
      <w:pPr>
        <w:widowControl/>
        <w:adjustRightInd w:val="0"/>
        <w:snapToGrid w:val="0"/>
        <w:spacing w:line="360" w:lineRule="auto"/>
        <w:rPr>
          <w:rFonts w:ascii="Book Antiqua" w:eastAsia="SimSun" w:hAnsi="Book Antiqua" w:cs="SimSun"/>
          <w:kern w:val="0"/>
          <w:sz w:val="24"/>
          <w:szCs w:val="24"/>
        </w:rPr>
      </w:pPr>
      <w:r w:rsidRPr="00A22279">
        <w:rPr>
          <w:rFonts w:ascii="Book Antiqua" w:eastAsia="SimSun" w:hAnsi="Book Antiqua" w:cs="SimSun"/>
          <w:kern w:val="0"/>
          <w:sz w:val="24"/>
          <w:szCs w:val="24"/>
        </w:rPr>
        <w:t xml:space="preserve">2 </w:t>
      </w:r>
      <w:r w:rsidRPr="00A22279">
        <w:rPr>
          <w:rFonts w:ascii="Book Antiqua" w:eastAsia="SimSun" w:hAnsi="Book Antiqua" w:cs="SimSun"/>
          <w:b/>
          <w:bCs/>
          <w:kern w:val="0"/>
          <w:sz w:val="24"/>
          <w:szCs w:val="24"/>
        </w:rPr>
        <w:t>Ki SH</w:t>
      </w:r>
      <w:r w:rsidRPr="00A22279">
        <w:rPr>
          <w:rFonts w:ascii="Book Antiqua" w:eastAsia="SimSun" w:hAnsi="Book Antiqua" w:cs="SimSun"/>
          <w:kern w:val="0"/>
          <w:sz w:val="24"/>
          <w:szCs w:val="24"/>
        </w:rPr>
        <w:t xml:space="preserve">, Park O, Zheng M, Morales-Ibanez O, Kolls JK, Bataller R, Gao B. Interleukin-22 treatment ameliorates alcoholic liver injury in a murine model of chronic-binge ethanol feeding: role of signal transducer and activator of transcription 3. </w:t>
      </w:r>
      <w:r w:rsidRPr="00A22279">
        <w:rPr>
          <w:rFonts w:ascii="Book Antiqua" w:eastAsia="SimSun" w:hAnsi="Book Antiqua" w:cs="SimSun"/>
          <w:i/>
          <w:iCs/>
          <w:kern w:val="0"/>
          <w:sz w:val="24"/>
          <w:szCs w:val="24"/>
        </w:rPr>
        <w:t>Hepatology</w:t>
      </w:r>
      <w:r w:rsidRPr="00A22279">
        <w:rPr>
          <w:rFonts w:ascii="Book Antiqua" w:eastAsia="SimSun" w:hAnsi="Book Antiqua" w:cs="SimSun"/>
          <w:kern w:val="0"/>
          <w:sz w:val="24"/>
          <w:szCs w:val="24"/>
        </w:rPr>
        <w:t xml:space="preserve"> 2010; </w:t>
      </w:r>
      <w:r w:rsidRPr="00A22279">
        <w:rPr>
          <w:rFonts w:ascii="Book Antiqua" w:eastAsia="SimSun" w:hAnsi="Book Antiqua" w:cs="SimSun"/>
          <w:b/>
          <w:bCs/>
          <w:kern w:val="0"/>
          <w:sz w:val="24"/>
          <w:szCs w:val="24"/>
        </w:rPr>
        <w:t>52</w:t>
      </w:r>
      <w:r w:rsidRPr="00A22279">
        <w:rPr>
          <w:rFonts w:ascii="Book Antiqua" w:eastAsia="SimSun" w:hAnsi="Book Antiqua" w:cs="SimSun"/>
          <w:kern w:val="0"/>
          <w:sz w:val="24"/>
          <w:szCs w:val="24"/>
        </w:rPr>
        <w:t>: 1291-1300 [PMID: 20842630 DOI: 10.1002/hep.23837]</w:t>
      </w:r>
    </w:p>
    <w:p w:rsidR="00A22279" w:rsidRPr="00A22279" w:rsidRDefault="00A22279" w:rsidP="004931C2">
      <w:pPr>
        <w:widowControl/>
        <w:adjustRightInd w:val="0"/>
        <w:snapToGrid w:val="0"/>
        <w:spacing w:line="360" w:lineRule="auto"/>
        <w:rPr>
          <w:rFonts w:ascii="Book Antiqua" w:eastAsia="SimSun" w:hAnsi="Book Antiqua" w:cs="SimSun"/>
          <w:kern w:val="0"/>
          <w:sz w:val="24"/>
          <w:szCs w:val="24"/>
        </w:rPr>
      </w:pPr>
      <w:r w:rsidRPr="00A22279">
        <w:rPr>
          <w:rFonts w:ascii="Book Antiqua" w:eastAsia="SimSun" w:hAnsi="Book Antiqua" w:cs="SimSun"/>
          <w:kern w:val="0"/>
          <w:sz w:val="24"/>
          <w:szCs w:val="24"/>
        </w:rPr>
        <w:t xml:space="preserve">3 </w:t>
      </w:r>
      <w:r w:rsidRPr="00A22279">
        <w:rPr>
          <w:rFonts w:ascii="Book Antiqua" w:eastAsia="SimSun" w:hAnsi="Book Antiqua" w:cs="SimSun"/>
          <w:b/>
          <w:bCs/>
          <w:kern w:val="0"/>
          <w:sz w:val="24"/>
          <w:szCs w:val="24"/>
        </w:rPr>
        <w:t>Yang L</w:t>
      </w:r>
      <w:r w:rsidRPr="00A22279">
        <w:rPr>
          <w:rFonts w:ascii="Book Antiqua" w:eastAsia="SimSun" w:hAnsi="Book Antiqua" w:cs="SimSun"/>
          <w:kern w:val="0"/>
          <w:sz w:val="24"/>
          <w:szCs w:val="24"/>
        </w:rPr>
        <w:t xml:space="preserve">, Zhang Y, Wang L, Fan F, Zhu L, Li Z, Ruan X, Huang H, Wang Z, Huang Z, Huang Y, Yan X, Chen Y. Amelioration of high fat diet induced liver lipogenesis and hepatic steatosis by interleukin-22. </w:t>
      </w:r>
      <w:r w:rsidRPr="00A22279">
        <w:rPr>
          <w:rFonts w:ascii="Book Antiqua" w:eastAsia="SimSun" w:hAnsi="Book Antiqua" w:cs="SimSun"/>
          <w:i/>
          <w:iCs/>
          <w:kern w:val="0"/>
          <w:sz w:val="24"/>
          <w:szCs w:val="24"/>
        </w:rPr>
        <w:t>J Hepatol</w:t>
      </w:r>
      <w:r w:rsidRPr="00A22279">
        <w:rPr>
          <w:rFonts w:ascii="Book Antiqua" w:eastAsia="SimSun" w:hAnsi="Book Antiqua" w:cs="SimSun"/>
          <w:kern w:val="0"/>
          <w:sz w:val="24"/>
          <w:szCs w:val="24"/>
        </w:rPr>
        <w:t xml:space="preserve"> 2010; </w:t>
      </w:r>
      <w:r w:rsidRPr="00A22279">
        <w:rPr>
          <w:rFonts w:ascii="Book Antiqua" w:eastAsia="SimSun" w:hAnsi="Book Antiqua" w:cs="SimSun"/>
          <w:b/>
          <w:bCs/>
          <w:kern w:val="0"/>
          <w:sz w:val="24"/>
          <w:szCs w:val="24"/>
        </w:rPr>
        <w:t>53</w:t>
      </w:r>
      <w:r w:rsidRPr="00A22279">
        <w:rPr>
          <w:rFonts w:ascii="Book Antiqua" w:eastAsia="SimSun" w:hAnsi="Book Antiqua" w:cs="SimSun"/>
          <w:kern w:val="0"/>
          <w:sz w:val="24"/>
          <w:szCs w:val="24"/>
        </w:rPr>
        <w:t>: 339-347 [PMID: 20452699 DOI: 10.1016/j.jhep.2010.03.004]</w:t>
      </w:r>
    </w:p>
    <w:p w:rsidR="00A22279" w:rsidRPr="00A22279" w:rsidRDefault="00A22279" w:rsidP="004931C2">
      <w:pPr>
        <w:widowControl/>
        <w:adjustRightInd w:val="0"/>
        <w:snapToGrid w:val="0"/>
        <w:spacing w:line="360" w:lineRule="auto"/>
        <w:rPr>
          <w:rFonts w:ascii="Book Antiqua" w:eastAsia="SimSun" w:hAnsi="Book Antiqua" w:cs="SimSun"/>
          <w:kern w:val="0"/>
          <w:sz w:val="24"/>
          <w:szCs w:val="24"/>
        </w:rPr>
      </w:pPr>
      <w:r w:rsidRPr="00A22279">
        <w:rPr>
          <w:rFonts w:ascii="Book Antiqua" w:eastAsia="SimSun" w:hAnsi="Book Antiqua" w:cs="SimSun"/>
          <w:kern w:val="0"/>
          <w:sz w:val="24"/>
          <w:szCs w:val="24"/>
        </w:rPr>
        <w:t xml:space="preserve">4 </w:t>
      </w:r>
      <w:r w:rsidRPr="00A22279">
        <w:rPr>
          <w:rFonts w:ascii="Book Antiqua" w:eastAsia="SimSun" w:hAnsi="Book Antiqua" w:cs="SimSun"/>
          <w:b/>
          <w:bCs/>
          <w:kern w:val="0"/>
          <w:sz w:val="24"/>
          <w:szCs w:val="24"/>
        </w:rPr>
        <w:t>Zenewicz LA</w:t>
      </w:r>
      <w:r w:rsidRPr="00A22279">
        <w:rPr>
          <w:rFonts w:ascii="Book Antiqua" w:eastAsia="SimSun" w:hAnsi="Book Antiqua" w:cs="SimSun"/>
          <w:kern w:val="0"/>
          <w:sz w:val="24"/>
          <w:szCs w:val="24"/>
        </w:rPr>
        <w:t xml:space="preserve">, Yancopoulos GD, Valenzuela DM, Murphy AJ, Karow M, Flavell RA. Interleukin-22 but not interleukin-17 provides protection to hepatocytes during acute liver inflammation. </w:t>
      </w:r>
      <w:r w:rsidRPr="00A22279">
        <w:rPr>
          <w:rFonts w:ascii="Book Antiqua" w:eastAsia="SimSun" w:hAnsi="Book Antiqua" w:cs="SimSun"/>
          <w:i/>
          <w:iCs/>
          <w:kern w:val="0"/>
          <w:sz w:val="24"/>
          <w:szCs w:val="24"/>
        </w:rPr>
        <w:t>Immunity</w:t>
      </w:r>
      <w:r w:rsidRPr="00A22279">
        <w:rPr>
          <w:rFonts w:ascii="Book Antiqua" w:eastAsia="SimSun" w:hAnsi="Book Antiqua" w:cs="SimSun"/>
          <w:kern w:val="0"/>
          <w:sz w:val="24"/>
          <w:szCs w:val="24"/>
        </w:rPr>
        <w:t xml:space="preserve"> 2007; </w:t>
      </w:r>
      <w:r w:rsidRPr="00A22279">
        <w:rPr>
          <w:rFonts w:ascii="Book Antiqua" w:eastAsia="SimSun" w:hAnsi="Book Antiqua" w:cs="SimSun"/>
          <w:b/>
          <w:bCs/>
          <w:kern w:val="0"/>
          <w:sz w:val="24"/>
          <w:szCs w:val="24"/>
        </w:rPr>
        <w:t>27</w:t>
      </w:r>
      <w:r w:rsidRPr="00A22279">
        <w:rPr>
          <w:rFonts w:ascii="Book Antiqua" w:eastAsia="SimSun" w:hAnsi="Book Antiqua" w:cs="SimSun"/>
          <w:kern w:val="0"/>
          <w:sz w:val="24"/>
          <w:szCs w:val="24"/>
        </w:rPr>
        <w:t>: 647-659 [PMID: 17919941 DOI: 10.1016/j.immuni.2007.07.023]</w:t>
      </w:r>
    </w:p>
    <w:p w:rsidR="00A22279" w:rsidRPr="00A22279" w:rsidRDefault="00A22279" w:rsidP="004931C2">
      <w:pPr>
        <w:widowControl/>
        <w:adjustRightInd w:val="0"/>
        <w:snapToGrid w:val="0"/>
        <w:spacing w:line="360" w:lineRule="auto"/>
        <w:rPr>
          <w:rFonts w:ascii="Book Antiqua" w:eastAsia="SimSun" w:hAnsi="Book Antiqua" w:cs="SimSun"/>
          <w:kern w:val="0"/>
          <w:sz w:val="24"/>
          <w:szCs w:val="24"/>
        </w:rPr>
      </w:pPr>
      <w:r w:rsidRPr="00A22279">
        <w:rPr>
          <w:rFonts w:ascii="Book Antiqua" w:eastAsia="SimSun" w:hAnsi="Book Antiqua" w:cs="SimSun"/>
          <w:kern w:val="0"/>
          <w:sz w:val="24"/>
          <w:szCs w:val="24"/>
        </w:rPr>
        <w:t xml:space="preserve">5 </w:t>
      </w:r>
      <w:r w:rsidRPr="00A22279">
        <w:rPr>
          <w:rFonts w:ascii="Book Antiqua" w:eastAsia="SimSun" w:hAnsi="Book Antiqua" w:cs="SimSun"/>
          <w:b/>
          <w:bCs/>
          <w:kern w:val="0"/>
          <w:sz w:val="24"/>
          <w:szCs w:val="24"/>
        </w:rPr>
        <w:t>Radaeva S</w:t>
      </w:r>
      <w:r w:rsidRPr="00A22279">
        <w:rPr>
          <w:rFonts w:ascii="Book Antiqua" w:eastAsia="SimSun" w:hAnsi="Book Antiqua" w:cs="SimSun"/>
          <w:kern w:val="0"/>
          <w:sz w:val="24"/>
          <w:szCs w:val="24"/>
        </w:rPr>
        <w:t xml:space="preserve">, Sun R, Pan HN, Hong F, Gao B. Interleukin 22 (IL-22) plays a protective role in T cell-mediated murine hepatitis: IL-22 is a survival factor for hepatocytes via STAT3 activation. </w:t>
      </w:r>
      <w:r w:rsidRPr="00A22279">
        <w:rPr>
          <w:rFonts w:ascii="Book Antiqua" w:eastAsia="SimSun" w:hAnsi="Book Antiqua" w:cs="SimSun"/>
          <w:i/>
          <w:iCs/>
          <w:kern w:val="0"/>
          <w:sz w:val="24"/>
          <w:szCs w:val="24"/>
        </w:rPr>
        <w:t>Hepatology</w:t>
      </w:r>
      <w:r w:rsidRPr="00A22279">
        <w:rPr>
          <w:rFonts w:ascii="Book Antiqua" w:eastAsia="SimSun" w:hAnsi="Book Antiqua" w:cs="SimSun"/>
          <w:kern w:val="0"/>
          <w:sz w:val="24"/>
          <w:szCs w:val="24"/>
        </w:rPr>
        <w:t xml:space="preserve"> 2004; </w:t>
      </w:r>
      <w:r w:rsidRPr="00A22279">
        <w:rPr>
          <w:rFonts w:ascii="Book Antiqua" w:eastAsia="SimSun" w:hAnsi="Book Antiqua" w:cs="SimSun"/>
          <w:b/>
          <w:bCs/>
          <w:kern w:val="0"/>
          <w:sz w:val="24"/>
          <w:szCs w:val="24"/>
        </w:rPr>
        <w:t>39</w:t>
      </w:r>
      <w:r w:rsidRPr="00A22279">
        <w:rPr>
          <w:rFonts w:ascii="Book Antiqua" w:eastAsia="SimSun" w:hAnsi="Book Antiqua" w:cs="SimSun"/>
          <w:kern w:val="0"/>
          <w:sz w:val="24"/>
          <w:szCs w:val="24"/>
        </w:rPr>
        <w:t>: 1332-1342 [PMID: 15122762 DOI: 10.1002/hep.20184]</w:t>
      </w:r>
    </w:p>
    <w:p w:rsidR="00A22279" w:rsidRPr="00A22279" w:rsidRDefault="00A22279" w:rsidP="004931C2">
      <w:pPr>
        <w:widowControl/>
        <w:adjustRightInd w:val="0"/>
        <w:snapToGrid w:val="0"/>
        <w:spacing w:line="360" w:lineRule="auto"/>
        <w:rPr>
          <w:rFonts w:ascii="Book Antiqua" w:eastAsia="SimSun" w:hAnsi="Book Antiqua" w:cs="SimSun"/>
          <w:kern w:val="0"/>
          <w:sz w:val="24"/>
          <w:szCs w:val="24"/>
        </w:rPr>
      </w:pPr>
      <w:r w:rsidRPr="00A22279">
        <w:rPr>
          <w:rFonts w:ascii="Book Antiqua" w:eastAsia="SimSun" w:hAnsi="Book Antiqua" w:cs="SimSun"/>
          <w:kern w:val="0"/>
          <w:sz w:val="24"/>
          <w:szCs w:val="24"/>
        </w:rPr>
        <w:t xml:space="preserve">6 </w:t>
      </w:r>
      <w:r w:rsidRPr="00A22279">
        <w:rPr>
          <w:rFonts w:ascii="Book Antiqua" w:eastAsia="SimSun" w:hAnsi="Book Antiqua" w:cs="SimSun"/>
          <w:b/>
          <w:bCs/>
          <w:kern w:val="0"/>
          <w:sz w:val="24"/>
          <w:szCs w:val="24"/>
        </w:rPr>
        <w:t>Ren X</w:t>
      </w:r>
      <w:r w:rsidRPr="00A22279">
        <w:rPr>
          <w:rFonts w:ascii="Book Antiqua" w:eastAsia="SimSun" w:hAnsi="Book Antiqua" w:cs="SimSun"/>
          <w:kern w:val="0"/>
          <w:sz w:val="24"/>
          <w:szCs w:val="24"/>
        </w:rPr>
        <w:t xml:space="preserve">, Hu B, Colletti LM. IL-22 is involved in liver regeneration after hepatectomy. </w:t>
      </w:r>
      <w:r w:rsidRPr="00A22279">
        <w:rPr>
          <w:rFonts w:ascii="Book Antiqua" w:eastAsia="SimSun" w:hAnsi="Book Antiqua" w:cs="SimSun"/>
          <w:i/>
          <w:iCs/>
          <w:kern w:val="0"/>
          <w:sz w:val="24"/>
          <w:szCs w:val="24"/>
        </w:rPr>
        <w:t>Am J Physiol Gastrointest Liver Physiol</w:t>
      </w:r>
      <w:r w:rsidRPr="00A22279">
        <w:rPr>
          <w:rFonts w:ascii="Book Antiqua" w:eastAsia="SimSun" w:hAnsi="Book Antiqua" w:cs="SimSun"/>
          <w:kern w:val="0"/>
          <w:sz w:val="24"/>
          <w:szCs w:val="24"/>
        </w:rPr>
        <w:t xml:space="preserve"> 2010; </w:t>
      </w:r>
      <w:r w:rsidRPr="00A22279">
        <w:rPr>
          <w:rFonts w:ascii="Book Antiqua" w:eastAsia="SimSun" w:hAnsi="Book Antiqua" w:cs="SimSun"/>
          <w:b/>
          <w:bCs/>
          <w:kern w:val="0"/>
          <w:sz w:val="24"/>
          <w:szCs w:val="24"/>
        </w:rPr>
        <w:t>298</w:t>
      </w:r>
      <w:r w:rsidRPr="00A22279">
        <w:rPr>
          <w:rFonts w:ascii="Book Antiqua" w:eastAsia="SimSun" w:hAnsi="Book Antiqua" w:cs="SimSun"/>
          <w:kern w:val="0"/>
          <w:sz w:val="24"/>
          <w:szCs w:val="24"/>
        </w:rPr>
        <w:t>: G74-G80 [PMID: 19875704 DOI: 10.1152/ajpgi.00075.2009]</w:t>
      </w:r>
    </w:p>
    <w:p w:rsidR="00A22279" w:rsidRPr="00A22279" w:rsidRDefault="00A22279" w:rsidP="004931C2">
      <w:pPr>
        <w:widowControl/>
        <w:adjustRightInd w:val="0"/>
        <w:snapToGrid w:val="0"/>
        <w:spacing w:line="360" w:lineRule="auto"/>
        <w:rPr>
          <w:rFonts w:ascii="Book Antiqua" w:eastAsia="SimSun" w:hAnsi="Book Antiqua" w:cs="SimSun"/>
          <w:kern w:val="0"/>
          <w:sz w:val="24"/>
          <w:szCs w:val="24"/>
        </w:rPr>
      </w:pPr>
      <w:r w:rsidRPr="00A22279">
        <w:rPr>
          <w:rFonts w:ascii="Book Antiqua" w:eastAsia="SimSun" w:hAnsi="Book Antiqua" w:cs="SimSun"/>
          <w:kern w:val="0"/>
          <w:sz w:val="24"/>
          <w:szCs w:val="24"/>
        </w:rPr>
        <w:t xml:space="preserve">7 </w:t>
      </w:r>
      <w:r w:rsidRPr="00A22279">
        <w:rPr>
          <w:rFonts w:ascii="Book Antiqua" w:eastAsia="SimSun" w:hAnsi="Book Antiqua" w:cs="SimSun"/>
          <w:b/>
          <w:bCs/>
          <w:kern w:val="0"/>
          <w:sz w:val="24"/>
          <w:szCs w:val="24"/>
        </w:rPr>
        <w:t>Boniface K</w:t>
      </w:r>
      <w:r w:rsidRPr="00A22279">
        <w:rPr>
          <w:rFonts w:ascii="Book Antiqua" w:eastAsia="SimSun" w:hAnsi="Book Antiqua" w:cs="SimSun"/>
          <w:kern w:val="0"/>
          <w:sz w:val="24"/>
          <w:szCs w:val="24"/>
        </w:rPr>
        <w:t xml:space="preserve">, Bernard FX, Garcia M, Gurney AL, Lecron JC, Morel F. IL-22 inhibits epidermal differentiation and induces proinflammatory gene expression and migration of human keratinocytes. </w:t>
      </w:r>
      <w:r w:rsidRPr="00A22279">
        <w:rPr>
          <w:rFonts w:ascii="Book Antiqua" w:eastAsia="SimSun" w:hAnsi="Book Antiqua" w:cs="SimSun"/>
          <w:i/>
          <w:iCs/>
          <w:kern w:val="0"/>
          <w:sz w:val="24"/>
          <w:szCs w:val="24"/>
        </w:rPr>
        <w:t>J Immunol</w:t>
      </w:r>
      <w:r w:rsidRPr="00A22279">
        <w:rPr>
          <w:rFonts w:ascii="Book Antiqua" w:eastAsia="SimSun" w:hAnsi="Book Antiqua" w:cs="SimSun"/>
          <w:kern w:val="0"/>
          <w:sz w:val="24"/>
          <w:szCs w:val="24"/>
        </w:rPr>
        <w:t xml:space="preserve"> 2005; </w:t>
      </w:r>
      <w:r w:rsidRPr="00A22279">
        <w:rPr>
          <w:rFonts w:ascii="Book Antiqua" w:eastAsia="SimSun" w:hAnsi="Book Antiqua" w:cs="SimSun"/>
          <w:b/>
          <w:bCs/>
          <w:kern w:val="0"/>
          <w:sz w:val="24"/>
          <w:szCs w:val="24"/>
        </w:rPr>
        <w:t>174</w:t>
      </w:r>
      <w:r w:rsidRPr="00A22279">
        <w:rPr>
          <w:rFonts w:ascii="Book Antiqua" w:eastAsia="SimSun" w:hAnsi="Book Antiqua" w:cs="SimSun"/>
          <w:kern w:val="0"/>
          <w:sz w:val="24"/>
          <w:szCs w:val="24"/>
        </w:rPr>
        <w:t>: 3695-3702 [PMID: 15749908 DOI: 10.4049/jimmuol.174.6.3695]</w:t>
      </w:r>
    </w:p>
    <w:p w:rsidR="00A22279" w:rsidRPr="00A22279" w:rsidRDefault="00A22279" w:rsidP="004931C2">
      <w:pPr>
        <w:widowControl/>
        <w:adjustRightInd w:val="0"/>
        <w:snapToGrid w:val="0"/>
        <w:spacing w:line="360" w:lineRule="auto"/>
        <w:rPr>
          <w:rFonts w:ascii="Book Antiqua" w:eastAsia="SimSun" w:hAnsi="Book Antiqua" w:cs="SimSun"/>
          <w:kern w:val="0"/>
          <w:sz w:val="24"/>
          <w:szCs w:val="24"/>
        </w:rPr>
      </w:pPr>
      <w:r w:rsidRPr="00A22279">
        <w:rPr>
          <w:rFonts w:ascii="Book Antiqua" w:eastAsia="SimSun" w:hAnsi="Book Antiqua" w:cs="SimSun"/>
          <w:kern w:val="0"/>
          <w:sz w:val="24"/>
          <w:szCs w:val="24"/>
        </w:rPr>
        <w:t xml:space="preserve">8 </w:t>
      </w:r>
      <w:r w:rsidRPr="00A22279">
        <w:rPr>
          <w:rFonts w:ascii="Book Antiqua" w:eastAsia="SimSun" w:hAnsi="Book Antiqua" w:cs="SimSun"/>
          <w:b/>
          <w:bCs/>
          <w:kern w:val="0"/>
          <w:sz w:val="24"/>
          <w:szCs w:val="24"/>
        </w:rPr>
        <w:t>Brand S</w:t>
      </w:r>
      <w:r w:rsidRPr="00A22279">
        <w:rPr>
          <w:rFonts w:ascii="Book Antiqua" w:eastAsia="SimSun" w:hAnsi="Book Antiqua" w:cs="SimSun"/>
          <w:kern w:val="0"/>
          <w:sz w:val="24"/>
          <w:szCs w:val="24"/>
        </w:rPr>
        <w:t xml:space="preserve">, Beigel F, Olszak T, Zitzmann K, Eichhorst ST, Otte JM, Diepolder H, Marquardt A, Jagla W, Popp A, Leclair S, Herrmann K, Seiderer J, </w:t>
      </w:r>
      <w:r w:rsidRPr="00A22279">
        <w:rPr>
          <w:rFonts w:ascii="Book Antiqua" w:eastAsia="SimSun" w:hAnsi="Book Antiqua" w:cs="SimSun"/>
          <w:kern w:val="0"/>
          <w:sz w:val="24"/>
          <w:szCs w:val="24"/>
        </w:rPr>
        <w:lastRenderedPageBreak/>
        <w:t xml:space="preserve">Ochsenkühn T, Göke B, Auernhammer CJ, Dambacher J. IL-22 is increased in active Crohn's disease and promotes proinflammatory gene expression and intestinal epithelial cell migration. </w:t>
      </w:r>
      <w:r w:rsidRPr="00A22279">
        <w:rPr>
          <w:rFonts w:ascii="Book Antiqua" w:eastAsia="SimSun" w:hAnsi="Book Antiqua" w:cs="SimSun"/>
          <w:i/>
          <w:iCs/>
          <w:kern w:val="0"/>
          <w:sz w:val="24"/>
          <w:szCs w:val="24"/>
        </w:rPr>
        <w:t>Am J Physiol Gastrointest Liver Physiol</w:t>
      </w:r>
      <w:r w:rsidRPr="00A22279">
        <w:rPr>
          <w:rFonts w:ascii="Book Antiqua" w:eastAsia="SimSun" w:hAnsi="Book Antiqua" w:cs="SimSun"/>
          <w:kern w:val="0"/>
          <w:sz w:val="24"/>
          <w:szCs w:val="24"/>
        </w:rPr>
        <w:t xml:space="preserve"> 2006; </w:t>
      </w:r>
      <w:r w:rsidRPr="00A22279">
        <w:rPr>
          <w:rFonts w:ascii="Book Antiqua" w:eastAsia="SimSun" w:hAnsi="Book Antiqua" w:cs="SimSun"/>
          <w:b/>
          <w:bCs/>
          <w:kern w:val="0"/>
          <w:sz w:val="24"/>
          <w:szCs w:val="24"/>
        </w:rPr>
        <w:t>290</w:t>
      </w:r>
      <w:r w:rsidRPr="00A22279">
        <w:rPr>
          <w:rFonts w:ascii="Book Antiqua" w:eastAsia="SimSun" w:hAnsi="Book Antiqua" w:cs="SimSun"/>
          <w:kern w:val="0"/>
          <w:sz w:val="24"/>
          <w:szCs w:val="24"/>
        </w:rPr>
        <w:t>: G827-G838 [PMID: 16537974 DOI: 10.1152/ajpgi.00513.2005]</w:t>
      </w:r>
    </w:p>
    <w:p w:rsidR="00A22279" w:rsidRPr="00A22279" w:rsidRDefault="00A22279" w:rsidP="004931C2">
      <w:pPr>
        <w:widowControl/>
        <w:adjustRightInd w:val="0"/>
        <w:snapToGrid w:val="0"/>
        <w:spacing w:line="360" w:lineRule="auto"/>
        <w:rPr>
          <w:rFonts w:ascii="Book Antiqua" w:eastAsia="SimSun" w:hAnsi="Book Antiqua" w:cs="SimSun"/>
          <w:kern w:val="0"/>
          <w:sz w:val="24"/>
          <w:szCs w:val="24"/>
        </w:rPr>
      </w:pPr>
      <w:r w:rsidRPr="00A22279">
        <w:rPr>
          <w:rFonts w:ascii="Book Antiqua" w:eastAsia="SimSun" w:hAnsi="Book Antiqua" w:cs="SimSun"/>
          <w:kern w:val="0"/>
          <w:sz w:val="24"/>
          <w:szCs w:val="24"/>
        </w:rPr>
        <w:t xml:space="preserve">9 </w:t>
      </w:r>
      <w:r w:rsidRPr="00A22279">
        <w:rPr>
          <w:rFonts w:ascii="Book Antiqua" w:eastAsia="SimSun" w:hAnsi="Book Antiqua" w:cs="SimSun"/>
          <w:b/>
          <w:bCs/>
          <w:kern w:val="0"/>
          <w:sz w:val="24"/>
          <w:szCs w:val="24"/>
        </w:rPr>
        <w:t>Chung Y</w:t>
      </w:r>
      <w:r w:rsidRPr="00A22279">
        <w:rPr>
          <w:rFonts w:ascii="Book Antiqua" w:eastAsia="SimSun" w:hAnsi="Book Antiqua" w:cs="SimSun"/>
          <w:kern w:val="0"/>
          <w:sz w:val="24"/>
          <w:szCs w:val="24"/>
        </w:rPr>
        <w:t>, Yang X, Chang SH, Ma L, Tian Q, Dong C. Expression and regulation of IL-22 in the IL-17-producing CD4</w:t>
      </w:r>
      <w:r w:rsidR="00C6548E">
        <w:rPr>
          <w:rFonts w:ascii="Book Antiqua" w:eastAsia="SimSun" w:hAnsi="Book Antiqua" w:cs="SimSun"/>
          <w:kern w:val="0"/>
          <w:sz w:val="24"/>
          <w:szCs w:val="24"/>
        </w:rPr>
        <w:t xml:space="preserve"> +</w:t>
      </w:r>
      <w:r w:rsidR="00880B1B">
        <w:rPr>
          <w:rFonts w:ascii="Book Antiqua" w:eastAsia="SimSun" w:hAnsi="Book Antiqua" w:cs="SimSun"/>
          <w:kern w:val="0"/>
          <w:sz w:val="24"/>
          <w:szCs w:val="24"/>
        </w:rPr>
        <w:t xml:space="preserve"> </w:t>
      </w:r>
      <w:r w:rsidRPr="00A22279">
        <w:rPr>
          <w:rFonts w:ascii="Book Antiqua" w:eastAsia="SimSun" w:hAnsi="Book Antiqua" w:cs="SimSun"/>
          <w:kern w:val="0"/>
          <w:sz w:val="24"/>
          <w:szCs w:val="24"/>
        </w:rPr>
        <w:t xml:space="preserve">T lymphocytes. </w:t>
      </w:r>
      <w:r w:rsidRPr="00A22279">
        <w:rPr>
          <w:rFonts w:ascii="Book Antiqua" w:eastAsia="SimSun" w:hAnsi="Book Antiqua" w:cs="SimSun"/>
          <w:i/>
          <w:iCs/>
          <w:kern w:val="0"/>
          <w:sz w:val="24"/>
          <w:szCs w:val="24"/>
        </w:rPr>
        <w:t>Cell Res</w:t>
      </w:r>
      <w:r w:rsidRPr="00A22279">
        <w:rPr>
          <w:rFonts w:ascii="Book Antiqua" w:eastAsia="SimSun" w:hAnsi="Book Antiqua" w:cs="SimSun"/>
          <w:kern w:val="0"/>
          <w:sz w:val="24"/>
          <w:szCs w:val="24"/>
        </w:rPr>
        <w:t xml:space="preserve"> 2006; </w:t>
      </w:r>
      <w:r w:rsidRPr="00A22279">
        <w:rPr>
          <w:rFonts w:ascii="Book Antiqua" w:eastAsia="SimSun" w:hAnsi="Book Antiqua" w:cs="SimSun"/>
          <w:b/>
          <w:bCs/>
          <w:kern w:val="0"/>
          <w:sz w:val="24"/>
          <w:szCs w:val="24"/>
        </w:rPr>
        <w:t>16</w:t>
      </w:r>
      <w:r w:rsidRPr="00A22279">
        <w:rPr>
          <w:rFonts w:ascii="Book Antiqua" w:eastAsia="SimSun" w:hAnsi="Book Antiqua" w:cs="SimSun"/>
          <w:kern w:val="0"/>
          <w:sz w:val="24"/>
          <w:szCs w:val="24"/>
        </w:rPr>
        <w:t>: 902-907 [PMID: 17088898 DOI: 10.1038/sj.cr.7310106]</w:t>
      </w:r>
    </w:p>
    <w:p w:rsidR="00A22279" w:rsidRPr="00A22279" w:rsidRDefault="00A22279" w:rsidP="004931C2">
      <w:pPr>
        <w:widowControl/>
        <w:adjustRightInd w:val="0"/>
        <w:snapToGrid w:val="0"/>
        <w:spacing w:line="360" w:lineRule="auto"/>
        <w:rPr>
          <w:rFonts w:ascii="Book Antiqua" w:eastAsia="SimSun" w:hAnsi="Book Antiqua" w:cs="SimSun"/>
          <w:kern w:val="0"/>
          <w:sz w:val="24"/>
          <w:szCs w:val="24"/>
        </w:rPr>
      </w:pPr>
      <w:r w:rsidRPr="00A22279">
        <w:rPr>
          <w:rFonts w:ascii="Book Antiqua" w:eastAsia="SimSun" w:hAnsi="Book Antiqua" w:cs="SimSun"/>
          <w:kern w:val="0"/>
          <w:sz w:val="24"/>
          <w:szCs w:val="24"/>
        </w:rPr>
        <w:t xml:space="preserve">10 </w:t>
      </w:r>
      <w:r w:rsidRPr="00A22279">
        <w:rPr>
          <w:rFonts w:ascii="Book Antiqua" w:eastAsia="SimSun" w:hAnsi="Book Antiqua" w:cs="SimSun"/>
          <w:b/>
          <w:bCs/>
          <w:kern w:val="0"/>
          <w:sz w:val="24"/>
          <w:szCs w:val="24"/>
        </w:rPr>
        <w:t>Liao SC</w:t>
      </w:r>
      <w:r w:rsidRPr="00A22279">
        <w:rPr>
          <w:rFonts w:ascii="Book Antiqua" w:eastAsia="SimSun" w:hAnsi="Book Antiqua" w:cs="SimSun"/>
          <w:kern w:val="0"/>
          <w:sz w:val="24"/>
          <w:szCs w:val="24"/>
        </w:rPr>
        <w:t xml:space="preserve">, Cheng YC, Wang YC, Wang CW, Yang SM, Yu CK, Shieh CC, Cheng KC, Lee MF, Chiang SR, Shieh JM, Chang MS. IL-19 induced Th2 cytokines and was up-regulated in asthma patients. </w:t>
      </w:r>
      <w:r w:rsidRPr="00A22279">
        <w:rPr>
          <w:rFonts w:ascii="Book Antiqua" w:eastAsia="SimSun" w:hAnsi="Book Antiqua" w:cs="SimSun"/>
          <w:i/>
          <w:iCs/>
          <w:kern w:val="0"/>
          <w:sz w:val="24"/>
          <w:szCs w:val="24"/>
        </w:rPr>
        <w:t>J Immunol</w:t>
      </w:r>
      <w:r w:rsidRPr="00A22279">
        <w:rPr>
          <w:rFonts w:ascii="Book Antiqua" w:eastAsia="SimSun" w:hAnsi="Book Antiqua" w:cs="SimSun"/>
          <w:kern w:val="0"/>
          <w:sz w:val="24"/>
          <w:szCs w:val="24"/>
        </w:rPr>
        <w:t xml:space="preserve"> 2004; </w:t>
      </w:r>
      <w:r w:rsidRPr="00A22279">
        <w:rPr>
          <w:rFonts w:ascii="Book Antiqua" w:eastAsia="SimSun" w:hAnsi="Book Antiqua" w:cs="SimSun"/>
          <w:b/>
          <w:bCs/>
          <w:kern w:val="0"/>
          <w:sz w:val="24"/>
          <w:szCs w:val="24"/>
        </w:rPr>
        <w:t>173</w:t>
      </w:r>
      <w:r w:rsidRPr="00A22279">
        <w:rPr>
          <w:rFonts w:ascii="Book Antiqua" w:eastAsia="SimSun" w:hAnsi="Book Antiqua" w:cs="SimSun"/>
          <w:kern w:val="0"/>
          <w:sz w:val="24"/>
          <w:szCs w:val="24"/>
        </w:rPr>
        <w:t>: 6712-6718 [PMID: 15557163 DOI: 10.4049/jimmunol.173.11.6712]</w:t>
      </w:r>
    </w:p>
    <w:p w:rsidR="00A22279" w:rsidRPr="00A22279" w:rsidRDefault="00A22279" w:rsidP="004931C2">
      <w:pPr>
        <w:widowControl/>
        <w:adjustRightInd w:val="0"/>
        <w:snapToGrid w:val="0"/>
        <w:spacing w:line="360" w:lineRule="auto"/>
        <w:rPr>
          <w:rFonts w:ascii="Book Antiqua" w:eastAsia="SimSun" w:hAnsi="Book Antiqua" w:cs="SimSun"/>
          <w:kern w:val="0"/>
          <w:sz w:val="24"/>
          <w:szCs w:val="24"/>
        </w:rPr>
      </w:pPr>
      <w:r w:rsidRPr="00A22279">
        <w:rPr>
          <w:rFonts w:ascii="Book Antiqua" w:eastAsia="SimSun" w:hAnsi="Book Antiqua" w:cs="SimSun"/>
          <w:kern w:val="0"/>
          <w:sz w:val="24"/>
          <w:szCs w:val="24"/>
        </w:rPr>
        <w:t xml:space="preserve">11 </w:t>
      </w:r>
      <w:r w:rsidRPr="00A22279">
        <w:rPr>
          <w:rFonts w:ascii="Book Antiqua" w:eastAsia="SimSun" w:hAnsi="Book Antiqua" w:cs="SimSun"/>
          <w:b/>
          <w:bCs/>
          <w:kern w:val="0"/>
          <w:sz w:val="24"/>
          <w:szCs w:val="24"/>
        </w:rPr>
        <w:t>Brand S</w:t>
      </w:r>
      <w:r w:rsidRPr="00A22279">
        <w:rPr>
          <w:rFonts w:ascii="Book Antiqua" w:eastAsia="SimSun" w:hAnsi="Book Antiqua" w:cs="SimSun"/>
          <w:kern w:val="0"/>
          <w:sz w:val="24"/>
          <w:szCs w:val="24"/>
        </w:rPr>
        <w:t xml:space="preserve">, Dambacher J, Beigel F, Zitzmann K, Heeg MH, Weiss TS, Prüfer T, Olszak T, Steib CJ, Storr M, Göke B, Diepolder H, Bilzer M, Thasler WE, Auernhammer CJ. IL-22-mediated liver cell regeneration is abrogated by SOCS-1/3 overexpression in vitro. </w:t>
      </w:r>
      <w:r w:rsidRPr="00A22279">
        <w:rPr>
          <w:rFonts w:ascii="Book Antiqua" w:eastAsia="SimSun" w:hAnsi="Book Antiqua" w:cs="SimSun"/>
          <w:i/>
          <w:iCs/>
          <w:kern w:val="0"/>
          <w:sz w:val="24"/>
          <w:szCs w:val="24"/>
        </w:rPr>
        <w:t>Am J Physiol Gastrointest Liver Physiol</w:t>
      </w:r>
      <w:r w:rsidRPr="00A22279">
        <w:rPr>
          <w:rFonts w:ascii="Book Antiqua" w:eastAsia="SimSun" w:hAnsi="Book Antiqua" w:cs="SimSun"/>
          <w:kern w:val="0"/>
          <w:sz w:val="24"/>
          <w:szCs w:val="24"/>
        </w:rPr>
        <w:t xml:space="preserve"> 2007; </w:t>
      </w:r>
      <w:r w:rsidRPr="00A22279">
        <w:rPr>
          <w:rFonts w:ascii="Book Antiqua" w:eastAsia="SimSun" w:hAnsi="Book Antiqua" w:cs="SimSun"/>
          <w:b/>
          <w:bCs/>
          <w:kern w:val="0"/>
          <w:sz w:val="24"/>
          <w:szCs w:val="24"/>
        </w:rPr>
        <w:t>292</w:t>
      </w:r>
      <w:r w:rsidRPr="00A22279">
        <w:rPr>
          <w:rFonts w:ascii="Book Antiqua" w:eastAsia="SimSun" w:hAnsi="Book Antiqua" w:cs="SimSun"/>
          <w:kern w:val="0"/>
          <w:sz w:val="24"/>
          <w:szCs w:val="24"/>
        </w:rPr>
        <w:t>: G1019-G1028 [PMID: 17204547 DOI: 10.1152/ajpgi.00239.2006]</w:t>
      </w:r>
    </w:p>
    <w:p w:rsidR="00A22279" w:rsidRPr="00A22279" w:rsidRDefault="00A22279" w:rsidP="004931C2">
      <w:pPr>
        <w:widowControl/>
        <w:adjustRightInd w:val="0"/>
        <w:snapToGrid w:val="0"/>
        <w:spacing w:line="360" w:lineRule="auto"/>
        <w:rPr>
          <w:rFonts w:ascii="Book Antiqua" w:eastAsia="SimSun" w:hAnsi="Book Antiqua" w:cs="SimSun"/>
          <w:kern w:val="0"/>
          <w:sz w:val="24"/>
          <w:szCs w:val="24"/>
        </w:rPr>
      </w:pPr>
      <w:r w:rsidRPr="00A22279">
        <w:rPr>
          <w:rFonts w:ascii="Book Antiqua" w:eastAsia="SimSun" w:hAnsi="Book Antiqua" w:cs="SimSun"/>
          <w:kern w:val="0"/>
          <w:sz w:val="24"/>
          <w:szCs w:val="24"/>
        </w:rPr>
        <w:t xml:space="preserve">12 </w:t>
      </w:r>
      <w:r w:rsidRPr="00A22279">
        <w:rPr>
          <w:rFonts w:ascii="Book Antiqua" w:eastAsia="SimSun" w:hAnsi="Book Antiqua" w:cs="SimSun"/>
          <w:b/>
          <w:bCs/>
          <w:kern w:val="0"/>
          <w:sz w:val="24"/>
          <w:szCs w:val="24"/>
        </w:rPr>
        <w:t>Moh A</w:t>
      </w:r>
      <w:r w:rsidRPr="00A22279">
        <w:rPr>
          <w:rFonts w:ascii="Book Antiqua" w:eastAsia="SimSun" w:hAnsi="Book Antiqua" w:cs="SimSun"/>
          <w:kern w:val="0"/>
          <w:sz w:val="24"/>
          <w:szCs w:val="24"/>
        </w:rPr>
        <w:t xml:space="preserve">, Iwamoto Y, Chai GX, Zhang SS, Kano A, Yang DD, Zhang W, Wang J, Jacoby JJ, Gao B, Flavell RA, Fu XY. Role of STAT3 in liver regeneration: survival, DNA synthesis, inflammatory reaction and liver mass recovery. </w:t>
      </w:r>
      <w:r w:rsidRPr="00A22279">
        <w:rPr>
          <w:rFonts w:ascii="Book Antiqua" w:eastAsia="SimSun" w:hAnsi="Book Antiqua" w:cs="SimSun"/>
          <w:i/>
          <w:iCs/>
          <w:kern w:val="0"/>
          <w:sz w:val="24"/>
          <w:szCs w:val="24"/>
        </w:rPr>
        <w:t>Lab Invest</w:t>
      </w:r>
      <w:r w:rsidRPr="00A22279">
        <w:rPr>
          <w:rFonts w:ascii="Book Antiqua" w:eastAsia="SimSun" w:hAnsi="Book Antiqua" w:cs="SimSun"/>
          <w:kern w:val="0"/>
          <w:sz w:val="24"/>
          <w:szCs w:val="24"/>
        </w:rPr>
        <w:t xml:space="preserve"> 2007; </w:t>
      </w:r>
      <w:r w:rsidRPr="00A22279">
        <w:rPr>
          <w:rFonts w:ascii="Book Antiqua" w:eastAsia="SimSun" w:hAnsi="Book Antiqua" w:cs="SimSun"/>
          <w:b/>
          <w:bCs/>
          <w:kern w:val="0"/>
          <w:sz w:val="24"/>
          <w:szCs w:val="24"/>
        </w:rPr>
        <w:t>87</w:t>
      </w:r>
      <w:r w:rsidRPr="00A22279">
        <w:rPr>
          <w:rFonts w:ascii="Book Antiqua" w:eastAsia="SimSun" w:hAnsi="Book Antiqua" w:cs="SimSun"/>
          <w:kern w:val="0"/>
          <w:sz w:val="24"/>
          <w:szCs w:val="24"/>
        </w:rPr>
        <w:t>: 1018-1028 [PMID: 17660847 DOI: 10.1038/labinvest.3700630]</w:t>
      </w:r>
    </w:p>
    <w:p w:rsidR="00A22279" w:rsidRPr="00A22279" w:rsidRDefault="00A22279" w:rsidP="004931C2">
      <w:pPr>
        <w:widowControl/>
        <w:adjustRightInd w:val="0"/>
        <w:snapToGrid w:val="0"/>
        <w:spacing w:line="360" w:lineRule="auto"/>
        <w:rPr>
          <w:rFonts w:ascii="Book Antiqua" w:eastAsia="SimSun" w:hAnsi="Book Antiqua" w:cs="SimSun"/>
          <w:kern w:val="0"/>
          <w:sz w:val="24"/>
          <w:szCs w:val="24"/>
        </w:rPr>
      </w:pPr>
      <w:r w:rsidRPr="00A22279">
        <w:rPr>
          <w:rFonts w:ascii="Book Antiqua" w:eastAsia="SimSun" w:hAnsi="Book Antiqua" w:cs="SimSun"/>
          <w:kern w:val="0"/>
          <w:sz w:val="24"/>
          <w:szCs w:val="24"/>
        </w:rPr>
        <w:t xml:space="preserve">13 </w:t>
      </w:r>
      <w:r w:rsidRPr="00A22279">
        <w:rPr>
          <w:rFonts w:ascii="Book Antiqua" w:eastAsia="SimSun" w:hAnsi="Book Antiqua" w:cs="SimSun"/>
          <w:b/>
          <w:bCs/>
          <w:kern w:val="0"/>
          <w:sz w:val="24"/>
          <w:szCs w:val="24"/>
        </w:rPr>
        <w:t>Zimmers TA</w:t>
      </w:r>
      <w:r w:rsidRPr="00A22279">
        <w:rPr>
          <w:rFonts w:ascii="Book Antiqua" w:eastAsia="SimSun" w:hAnsi="Book Antiqua" w:cs="SimSun"/>
          <w:kern w:val="0"/>
          <w:sz w:val="24"/>
          <w:szCs w:val="24"/>
        </w:rPr>
        <w:t xml:space="preserve">, McKillop IH, Pierce RH, Yoo JY, Koniaris LG. Massive liver growth in mice induced by systemic interleukin 6 administration. </w:t>
      </w:r>
      <w:r w:rsidRPr="00A22279">
        <w:rPr>
          <w:rFonts w:ascii="Book Antiqua" w:eastAsia="SimSun" w:hAnsi="Book Antiqua" w:cs="SimSun"/>
          <w:i/>
          <w:iCs/>
          <w:kern w:val="0"/>
          <w:sz w:val="24"/>
          <w:szCs w:val="24"/>
        </w:rPr>
        <w:t>Hepatology</w:t>
      </w:r>
      <w:r w:rsidRPr="00A22279">
        <w:rPr>
          <w:rFonts w:ascii="Book Antiqua" w:eastAsia="SimSun" w:hAnsi="Book Antiqua" w:cs="SimSun"/>
          <w:kern w:val="0"/>
          <w:sz w:val="24"/>
          <w:szCs w:val="24"/>
        </w:rPr>
        <w:t xml:space="preserve"> 2003; </w:t>
      </w:r>
      <w:r w:rsidRPr="00A22279">
        <w:rPr>
          <w:rFonts w:ascii="Book Antiqua" w:eastAsia="SimSun" w:hAnsi="Book Antiqua" w:cs="SimSun"/>
          <w:b/>
          <w:bCs/>
          <w:kern w:val="0"/>
          <w:sz w:val="24"/>
          <w:szCs w:val="24"/>
        </w:rPr>
        <w:t>38</w:t>
      </w:r>
      <w:r w:rsidRPr="00A22279">
        <w:rPr>
          <w:rFonts w:ascii="Book Antiqua" w:eastAsia="SimSun" w:hAnsi="Book Antiqua" w:cs="SimSun"/>
          <w:kern w:val="0"/>
          <w:sz w:val="24"/>
          <w:szCs w:val="24"/>
        </w:rPr>
        <w:t>: 326-334 [PMID: 12883476 DOI: 10.1053/jhep.2003.50318]</w:t>
      </w:r>
    </w:p>
    <w:p w:rsidR="00A22279" w:rsidRPr="00A22279" w:rsidRDefault="00A22279" w:rsidP="004931C2">
      <w:pPr>
        <w:widowControl/>
        <w:adjustRightInd w:val="0"/>
        <w:snapToGrid w:val="0"/>
        <w:spacing w:line="360" w:lineRule="auto"/>
        <w:rPr>
          <w:rFonts w:ascii="Book Antiqua" w:eastAsia="SimSun" w:hAnsi="Book Antiqua" w:cs="SimSun"/>
          <w:kern w:val="0"/>
          <w:sz w:val="24"/>
          <w:szCs w:val="24"/>
        </w:rPr>
      </w:pPr>
      <w:r w:rsidRPr="00A22279">
        <w:rPr>
          <w:rFonts w:ascii="Book Antiqua" w:eastAsia="SimSun" w:hAnsi="Book Antiqua" w:cs="SimSun"/>
          <w:kern w:val="0"/>
          <w:sz w:val="24"/>
          <w:szCs w:val="24"/>
        </w:rPr>
        <w:t xml:space="preserve">14 </w:t>
      </w:r>
      <w:r w:rsidRPr="00A22279">
        <w:rPr>
          <w:rFonts w:ascii="Book Antiqua" w:eastAsia="SimSun" w:hAnsi="Book Antiqua" w:cs="SimSun"/>
          <w:b/>
          <w:bCs/>
          <w:kern w:val="0"/>
          <w:sz w:val="24"/>
          <w:szCs w:val="24"/>
        </w:rPr>
        <w:t>Wolk K</w:t>
      </w:r>
      <w:r w:rsidRPr="00A22279">
        <w:rPr>
          <w:rFonts w:ascii="Book Antiqua" w:eastAsia="SimSun" w:hAnsi="Book Antiqua" w:cs="SimSun"/>
          <w:kern w:val="0"/>
          <w:sz w:val="24"/>
          <w:szCs w:val="24"/>
        </w:rPr>
        <w:t xml:space="preserve">, Kunz S, Witte E, Friedrich M, Asadullah K, Sabat R. IL-22 increases the innate immunity of tissues. </w:t>
      </w:r>
      <w:r w:rsidRPr="00A22279">
        <w:rPr>
          <w:rFonts w:ascii="Book Antiqua" w:eastAsia="SimSun" w:hAnsi="Book Antiqua" w:cs="SimSun"/>
          <w:i/>
          <w:iCs/>
          <w:kern w:val="0"/>
          <w:sz w:val="24"/>
          <w:szCs w:val="24"/>
        </w:rPr>
        <w:t>Immunity</w:t>
      </w:r>
      <w:r w:rsidRPr="00A22279">
        <w:rPr>
          <w:rFonts w:ascii="Book Antiqua" w:eastAsia="SimSun" w:hAnsi="Book Antiqua" w:cs="SimSun"/>
          <w:kern w:val="0"/>
          <w:sz w:val="24"/>
          <w:szCs w:val="24"/>
        </w:rPr>
        <w:t xml:space="preserve"> 2004; </w:t>
      </w:r>
      <w:r w:rsidRPr="00A22279">
        <w:rPr>
          <w:rFonts w:ascii="Book Antiqua" w:eastAsia="SimSun" w:hAnsi="Book Antiqua" w:cs="SimSun"/>
          <w:b/>
          <w:bCs/>
          <w:kern w:val="0"/>
          <w:sz w:val="24"/>
          <w:szCs w:val="24"/>
        </w:rPr>
        <w:t>21</w:t>
      </w:r>
      <w:r w:rsidRPr="00A22279">
        <w:rPr>
          <w:rFonts w:ascii="Book Antiqua" w:eastAsia="SimSun" w:hAnsi="Book Antiqua" w:cs="SimSun"/>
          <w:kern w:val="0"/>
          <w:sz w:val="24"/>
          <w:szCs w:val="24"/>
        </w:rPr>
        <w:t>: 241-254 [PMID: 15308104 DOI: 10.1016/j.immuni.2004.07.007]</w:t>
      </w:r>
    </w:p>
    <w:p w:rsidR="00A22279" w:rsidRPr="00A22279" w:rsidRDefault="00A22279" w:rsidP="004931C2">
      <w:pPr>
        <w:widowControl/>
        <w:adjustRightInd w:val="0"/>
        <w:snapToGrid w:val="0"/>
        <w:spacing w:line="360" w:lineRule="auto"/>
        <w:rPr>
          <w:rFonts w:ascii="Book Antiqua" w:eastAsia="SimSun" w:hAnsi="Book Antiqua" w:cs="SimSun"/>
          <w:kern w:val="0"/>
          <w:sz w:val="24"/>
          <w:szCs w:val="24"/>
        </w:rPr>
      </w:pPr>
      <w:r w:rsidRPr="00A22279">
        <w:rPr>
          <w:rFonts w:ascii="Book Antiqua" w:eastAsia="SimSun" w:hAnsi="Book Antiqua" w:cs="SimSun"/>
          <w:kern w:val="0"/>
          <w:sz w:val="24"/>
          <w:szCs w:val="24"/>
        </w:rPr>
        <w:t xml:space="preserve">15 </w:t>
      </w:r>
      <w:r w:rsidRPr="00A22279">
        <w:rPr>
          <w:rFonts w:ascii="Book Antiqua" w:eastAsia="SimSun" w:hAnsi="Book Antiqua" w:cs="SimSun"/>
          <w:b/>
          <w:bCs/>
          <w:kern w:val="0"/>
          <w:sz w:val="24"/>
          <w:szCs w:val="24"/>
        </w:rPr>
        <w:t>Wolk K</w:t>
      </w:r>
      <w:r w:rsidRPr="00A22279">
        <w:rPr>
          <w:rFonts w:ascii="Book Antiqua" w:eastAsia="SimSun" w:hAnsi="Book Antiqua" w:cs="SimSun"/>
          <w:kern w:val="0"/>
          <w:sz w:val="24"/>
          <w:szCs w:val="24"/>
        </w:rPr>
        <w:t xml:space="preserve">, Witte E, Witte K, Warszawska K, Sabat R. Biology of interleukin-22. </w:t>
      </w:r>
      <w:r w:rsidRPr="00A22279">
        <w:rPr>
          <w:rFonts w:ascii="Book Antiqua" w:eastAsia="SimSun" w:hAnsi="Book Antiqua" w:cs="SimSun"/>
          <w:i/>
          <w:iCs/>
          <w:kern w:val="0"/>
          <w:sz w:val="24"/>
          <w:szCs w:val="24"/>
        </w:rPr>
        <w:t>Semin Immunopathol</w:t>
      </w:r>
      <w:r w:rsidRPr="00A22279">
        <w:rPr>
          <w:rFonts w:ascii="Book Antiqua" w:eastAsia="SimSun" w:hAnsi="Book Antiqua" w:cs="SimSun"/>
          <w:kern w:val="0"/>
          <w:sz w:val="24"/>
          <w:szCs w:val="24"/>
        </w:rPr>
        <w:t xml:space="preserve"> 2010; </w:t>
      </w:r>
      <w:r w:rsidRPr="00A22279">
        <w:rPr>
          <w:rFonts w:ascii="Book Antiqua" w:eastAsia="SimSun" w:hAnsi="Book Antiqua" w:cs="SimSun"/>
          <w:b/>
          <w:bCs/>
          <w:kern w:val="0"/>
          <w:sz w:val="24"/>
          <w:szCs w:val="24"/>
        </w:rPr>
        <w:t>32</w:t>
      </w:r>
      <w:r w:rsidRPr="00A22279">
        <w:rPr>
          <w:rFonts w:ascii="Book Antiqua" w:eastAsia="SimSun" w:hAnsi="Book Antiqua" w:cs="SimSun"/>
          <w:kern w:val="0"/>
          <w:sz w:val="24"/>
          <w:szCs w:val="24"/>
        </w:rPr>
        <w:t>: 17-31 [PMID: 20127093 DOI: 10.1007/s00281-009-0188-x]</w:t>
      </w:r>
    </w:p>
    <w:p w:rsidR="00A22279" w:rsidRPr="00A22279" w:rsidRDefault="00A22279" w:rsidP="004931C2">
      <w:pPr>
        <w:widowControl/>
        <w:adjustRightInd w:val="0"/>
        <w:snapToGrid w:val="0"/>
        <w:spacing w:line="360" w:lineRule="auto"/>
        <w:rPr>
          <w:rFonts w:ascii="Book Antiqua" w:eastAsia="SimSun" w:hAnsi="Book Antiqua" w:cs="SimSun"/>
          <w:kern w:val="0"/>
          <w:sz w:val="24"/>
          <w:szCs w:val="24"/>
        </w:rPr>
      </w:pPr>
      <w:r w:rsidRPr="00A22279">
        <w:rPr>
          <w:rFonts w:ascii="Book Antiqua" w:eastAsia="SimSun" w:hAnsi="Book Antiqua" w:cs="SimSun"/>
          <w:kern w:val="0"/>
          <w:sz w:val="24"/>
          <w:szCs w:val="24"/>
        </w:rPr>
        <w:lastRenderedPageBreak/>
        <w:t xml:space="preserve">16 </w:t>
      </w:r>
      <w:r w:rsidRPr="00A22279">
        <w:rPr>
          <w:rFonts w:ascii="Book Antiqua" w:eastAsia="SimSun" w:hAnsi="Book Antiqua" w:cs="SimSun"/>
          <w:b/>
          <w:bCs/>
          <w:kern w:val="0"/>
          <w:sz w:val="24"/>
          <w:szCs w:val="24"/>
        </w:rPr>
        <w:t>Ransohoff DF</w:t>
      </w:r>
      <w:r w:rsidRPr="00A22279">
        <w:rPr>
          <w:rFonts w:ascii="Book Antiqua" w:eastAsia="SimSun" w:hAnsi="Book Antiqua" w:cs="SimSun"/>
          <w:kern w:val="0"/>
          <w:sz w:val="24"/>
          <w:szCs w:val="24"/>
        </w:rPr>
        <w:t xml:space="preserve">. Colon cancer in ulcerative colitis. </w:t>
      </w:r>
      <w:r w:rsidRPr="00A22279">
        <w:rPr>
          <w:rFonts w:ascii="Book Antiqua" w:eastAsia="SimSun" w:hAnsi="Book Antiqua" w:cs="SimSun"/>
          <w:i/>
          <w:iCs/>
          <w:kern w:val="0"/>
          <w:sz w:val="24"/>
          <w:szCs w:val="24"/>
        </w:rPr>
        <w:t>Gastroenterology</w:t>
      </w:r>
      <w:r w:rsidRPr="00A22279">
        <w:rPr>
          <w:rFonts w:ascii="Book Antiqua" w:eastAsia="SimSun" w:hAnsi="Book Antiqua" w:cs="SimSun"/>
          <w:kern w:val="0"/>
          <w:sz w:val="24"/>
          <w:szCs w:val="24"/>
        </w:rPr>
        <w:t xml:space="preserve"> 1988; </w:t>
      </w:r>
      <w:r w:rsidRPr="00A22279">
        <w:rPr>
          <w:rFonts w:ascii="Book Antiqua" w:eastAsia="SimSun" w:hAnsi="Book Antiqua" w:cs="SimSun"/>
          <w:b/>
          <w:bCs/>
          <w:kern w:val="0"/>
          <w:sz w:val="24"/>
          <w:szCs w:val="24"/>
        </w:rPr>
        <w:t>94</w:t>
      </w:r>
      <w:r w:rsidRPr="00A22279">
        <w:rPr>
          <w:rFonts w:ascii="Book Antiqua" w:eastAsia="SimSun" w:hAnsi="Book Antiqua" w:cs="SimSun"/>
          <w:kern w:val="0"/>
          <w:sz w:val="24"/>
          <w:szCs w:val="24"/>
        </w:rPr>
        <w:t>: 1089-1091 [PMID: 3345879]</w:t>
      </w:r>
    </w:p>
    <w:p w:rsidR="00A22279" w:rsidRPr="00A22279" w:rsidRDefault="00A22279" w:rsidP="004931C2">
      <w:pPr>
        <w:widowControl/>
        <w:adjustRightInd w:val="0"/>
        <w:snapToGrid w:val="0"/>
        <w:spacing w:line="360" w:lineRule="auto"/>
        <w:rPr>
          <w:rFonts w:ascii="Book Antiqua" w:eastAsia="SimSun" w:hAnsi="Book Antiqua" w:cs="SimSun"/>
          <w:kern w:val="0"/>
          <w:sz w:val="24"/>
          <w:szCs w:val="24"/>
        </w:rPr>
      </w:pPr>
      <w:r w:rsidRPr="00A22279">
        <w:rPr>
          <w:rFonts w:ascii="Book Antiqua" w:eastAsia="SimSun" w:hAnsi="Book Antiqua" w:cs="SimSun"/>
          <w:kern w:val="0"/>
          <w:sz w:val="24"/>
          <w:szCs w:val="24"/>
        </w:rPr>
        <w:t xml:space="preserve">17 </w:t>
      </w:r>
      <w:r w:rsidRPr="00A22279">
        <w:rPr>
          <w:rFonts w:ascii="Book Antiqua" w:eastAsia="SimSun" w:hAnsi="Book Antiqua" w:cs="SimSun"/>
          <w:b/>
          <w:bCs/>
          <w:kern w:val="0"/>
          <w:sz w:val="24"/>
          <w:szCs w:val="24"/>
        </w:rPr>
        <w:t>Grivennikov S</w:t>
      </w:r>
      <w:r w:rsidRPr="00A22279">
        <w:rPr>
          <w:rFonts w:ascii="Book Antiqua" w:eastAsia="SimSun" w:hAnsi="Book Antiqua" w:cs="SimSun"/>
          <w:kern w:val="0"/>
          <w:sz w:val="24"/>
          <w:szCs w:val="24"/>
        </w:rPr>
        <w:t xml:space="preserve">, Karin E, Terzic J, Mucida D, Yu GY, Vallabhapurapu S, Scheller J, Rose-John S, Cheroutre H, Eckmann L, Karin M. IL-6 and Stat3 are required for survival of intestinal epithelial cells and development of colitis-associated cancer. </w:t>
      </w:r>
      <w:r w:rsidRPr="00A22279">
        <w:rPr>
          <w:rFonts w:ascii="Book Antiqua" w:eastAsia="SimSun" w:hAnsi="Book Antiqua" w:cs="SimSun"/>
          <w:i/>
          <w:iCs/>
          <w:kern w:val="0"/>
          <w:sz w:val="24"/>
          <w:szCs w:val="24"/>
        </w:rPr>
        <w:t>Cancer Cell</w:t>
      </w:r>
      <w:r w:rsidRPr="00A22279">
        <w:rPr>
          <w:rFonts w:ascii="Book Antiqua" w:eastAsia="SimSun" w:hAnsi="Book Antiqua" w:cs="SimSun"/>
          <w:kern w:val="0"/>
          <w:sz w:val="24"/>
          <w:szCs w:val="24"/>
        </w:rPr>
        <w:t xml:space="preserve"> 2009; </w:t>
      </w:r>
      <w:r w:rsidRPr="00A22279">
        <w:rPr>
          <w:rFonts w:ascii="Book Antiqua" w:eastAsia="SimSun" w:hAnsi="Book Antiqua" w:cs="SimSun"/>
          <w:b/>
          <w:bCs/>
          <w:kern w:val="0"/>
          <w:sz w:val="24"/>
          <w:szCs w:val="24"/>
        </w:rPr>
        <w:t>15</w:t>
      </w:r>
      <w:r w:rsidRPr="00A22279">
        <w:rPr>
          <w:rFonts w:ascii="Book Antiqua" w:eastAsia="SimSun" w:hAnsi="Book Antiqua" w:cs="SimSun"/>
          <w:kern w:val="0"/>
          <w:sz w:val="24"/>
          <w:szCs w:val="24"/>
        </w:rPr>
        <w:t>: 103-113 [PMID: 19185845 DOI: 10.1016/j.ccr.2009.01.001]</w:t>
      </w:r>
    </w:p>
    <w:p w:rsidR="004931C2" w:rsidRPr="004931C2" w:rsidRDefault="004931C2" w:rsidP="004931C2">
      <w:pPr>
        <w:widowControl/>
        <w:adjustRightInd w:val="0"/>
        <w:snapToGrid w:val="0"/>
        <w:spacing w:line="360" w:lineRule="auto"/>
        <w:rPr>
          <w:rFonts w:ascii="Book Antiqua" w:eastAsia="SimSun" w:hAnsi="Book Antiqua" w:cs="SimSun"/>
          <w:kern w:val="0"/>
          <w:sz w:val="24"/>
          <w:szCs w:val="24"/>
        </w:rPr>
      </w:pPr>
      <w:r w:rsidRPr="004931C2">
        <w:rPr>
          <w:rFonts w:ascii="Book Antiqua" w:eastAsia="SimSun" w:hAnsi="Book Antiqua" w:cs="SimSun"/>
          <w:kern w:val="0"/>
          <w:sz w:val="24"/>
          <w:szCs w:val="24"/>
        </w:rPr>
        <w:t xml:space="preserve">18 </w:t>
      </w:r>
      <w:r w:rsidRPr="004931C2">
        <w:rPr>
          <w:rFonts w:ascii="Book Antiqua" w:eastAsia="SimSun" w:hAnsi="Book Antiqua" w:cs="SimSun"/>
          <w:b/>
          <w:kern w:val="0"/>
          <w:sz w:val="24"/>
          <w:szCs w:val="24"/>
        </w:rPr>
        <w:t>Abraham C</w:t>
      </w:r>
      <w:r w:rsidRPr="004931C2">
        <w:rPr>
          <w:rFonts w:ascii="Book Antiqua" w:eastAsia="SimSun" w:hAnsi="Book Antiqua" w:cs="SimSun"/>
          <w:kern w:val="0"/>
          <w:sz w:val="24"/>
          <w:szCs w:val="24"/>
        </w:rPr>
        <w:t xml:space="preserve">, Medzhitov R. Interactions between the host innate immune system and microbes in inflammatory bowel disease. </w:t>
      </w:r>
      <w:r w:rsidRPr="004931C2">
        <w:rPr>
          <w:rFonts w:ascii="Book Antiqua" w:eastAsia="SimSun" w:hAnsi="Book Antiqua" w:cs="SimSun"/>
          <w:i/>
          <w:kern w:val="0"/>
          <w:sz w:val="24"/>
          <w:szCs w:val="24"/>
        </w:rPr>
        <w:t>Gastroenterology</w:t>
      </w:r>
      <w:r w:rsidRPr="004931C2">
        <w:rPr>
          <w:rFonts w:ascii="Book Antiqua" w:eastAsia="SimSun" w:hAnsi="Book Antiqua" w:cs="SimSun"/>
          <w:kern w:val="0"/>
          <w:sz w:val="24"/>
          <w:szCs w:val="24"/>
        </w:rPr>
        <w:t xml:space="preserve"> 2011; </w:t>
      </w:r>
      <w:r w:rsidRPr="004931C2">
        <w:rPr>
          <w:rFonts w:ascii="Book Antiqua" w:eastAsia="SimSun" w:hAnsi="Book Antiqua" w:cs="SimSun"/>
          <w:b/>
          <w:kern w:val="0"/>
          <w:sz w:val="24"/>
          <w:szCs w:val="24"/>
        </w:rPr>
        <w:t>140</w:t>
      </w:r>
      <w:r w:rsidRPr="004931C2">
        <w:rPr>
          <w:rFonts w:ascii="Book Antiqua" w:eastAsia="SimSun" w:hAnsi="Book Antiqua" w:cs="SimSun"/>
          <w:kern w:val="0"/>
          <w:sz w:val="24"/>
          <w:szCs w:val="24"/>
        </w:rPr>
        <w:t>: 1729-1737 [PMID: 21530739 DOI: 10.1053/j.gastro.2011.02.012]</w:t>
      </w:r>
    </w:p>
    <w:p w:rsidR="00A22279" w:rsidRPr="00A22279" w:rsidRDefault="00A22279" w:rsidP="004931C2">
      <w:pPr>
        <w:widowControl/>
        <w:adjustRightInd w:val="0"/>
        <w:snapToGrid w:val="0"/>
        <w:spacing w:line="360" w:lineRule="auto"/>
        <w:rPr>
          <w:rFonts w:ascii="Book Antiqua" w:eastAsia="SimSun" w:hAnsi="Book Antiqua" w:cs="SimSun"/>
          <w:kern w:val="0"/>
          <w:sz w:val="24"/>
          <w:szCs w:val="24"/>
        </w:rPr>
      </w:pPr>
      <w:r w:rsidRPr="00A22279">
        <w:rPr>
          <w:rFonts w:ascii="Book Antiqua" w:eastAsia="SimSun" w:hAnsi="Book Antiqua" w:cs="SimSun"/>
          <w:kern w:val="0"/>
          <w:sz w:val="24"/>
          <w:szCs w:val="24"/>
        </w:rPr>
        <w:t xml:space="preserve">19 </w:t>
      </w:r>
      <w:r w:rsidRPr="00A22279">
        <w:rPr>
          <w:rFonts w:ascii="Book Antiqua" w:eastAsia="SimSun" w:hAnsi="Book Antiqua" w:cs="SimSun"/>
          <w:b/>
          <w:bCs/>
          <w:kern w:val="0"/>
          <w:sz w:val="24"/>
          <w:szCs w:val="24"/>
        </w:rPr>
        <w:t>Morrison PJ</w:t>
      </w:r>
      <w:r w:rsidRPr="00A22279">
        <w:rPr>
          <w:rFonts w:ascii="Book Antiqua" w:eastAsia="SimSun" w:hAnsi="Book Antiqua" w:cs="SimSun"/>
          <w:kern w:val="0"/>
          <w:sz w:val="24"/>
          <w:szCs w:val="24"/>
        </w:rPr>
        <w:t xml:space="preserve">, Ballantyne SJ, Kullberg MC. Interleukin-23 and T helper 17-type responses in intestinal inflammation: from cytokines to T-cell plasticity. </w:t>
      </w:r>
      <w:r w:rsidRPr="00A22279">
        <w:rPr>
          <w:rFonts w:ascii="Book Antiqua" w:eastAsia="SimSun" w:hAnsi="Book Antiqua" w:cs="SimSun"/>
          <w:i/>
          <w:iCs/>
          <w:kern w:val="0"/>
          <w:sz w:val="24"/>
          <w:szCs w:val="24"/>
        </w:rPr>
        <w:t>Immunology</w:t>
      </w:r>
      <w:r w:rsidRPr="00A22279">
        <w:rPr>
          <w:rFonts w:ascii="Book Antiqua" w:eastAsia="SimSun" w:hAnsi="Book Antiqua" w:cs="SimSun"/>
          <w:kern w:val="0"/>
          <w:sz w:val="24"/>
          <w:szCs w:val="24"/>
        </w:rPr>
        <w:t xml:space="preserve"> 2011; </w:t>
      </w:r>
      <w:r w:rsidRPr="00A22279">
        <w:rPr>
          <w:rFonts w:ascii="Book Antiqua" w:eastAsia="SimSun" w:hAnsi="Book Antiqua" w:cs="SimSun"/>
          <w:b/>
          <w:bCs/>
          <w:kern w:val="0"/>
          <w:sz w:val="24"/>
          <w:szCs w:val="24"/>
        </w:rPr>
        <w:t>133</w:t>
      </w:r>
      <w:r w:rsidRPr="00A22279">
        <w:rPr>
          <w:rFonts w:ascii="Book Antiqua" w:eastAsia="SimSun" w:hAnsi="Book Antiqua" w:cs="SimSun"/>
          <w:kern w:val="0"/>
          <w:sz w:val="24"/>
          <w:szCs w:val="24"/>
        </w:rPr>
        <w:t>: 397-408 [PMID: 21631495 DOI: 10.1111/j.1365-2567.2011.03454.x]</w:t>
      </w:r>
    </w:p>
    <w:p w:rsidR="00A22279" w:rsidRPr="00A22279" w:rsidRDefault="00A22279" w:rsidP="004931C2">
      <w:pPr>
        <w:widowControl/>
        <w:adjustRightInd w:val="0"/>
        <w:snapToGrid w:val="0"/>
        <w:spacing w:line="360" w:lineRule="auto"/>
        <w:rPr>
          <w:rFonts w:ascii="Book Antiqua" w:eastAsia="SimSun" w:hAnsi="Book Antiqua" w:cs="SimSun"/>
          <w:kern w:val="0"/>
          <w:sz w:val="24"/>
          <w:szCs w:val="24"/>
        </w:rPr>
      </w:pPr>
      <w:r w:rsidRPr="00A22279">
        <w:rPr>
          <w:rFonts w:ascii="Book Antiqua" w:eastAsia="SimSun" w:hAnsi="Book Antiqua" w:cs="SimSun"/>
          <w:kern w:val="0"/>
          <w:sz w:val="24"/>
          <w:szCs w:val="24"/>
        </w:rPr>
        <w:t xml:space="preserve">20 </w:t>
      </w:r>
      <w:r w:rsidRPr="00A22279">
        <w:rPr>
          <w:rFonts w:ascii="Book Antiqua" w:eastAsia="SimSun" w:hAnsi="Book Antiqua" w:cs="SimSun"/>
          <w:b/>
          <w:bCs/>
          <w:kern w:val="0"/>
          <w:sz w:val="24"/>
          <w:szCs w:val="24"/>
        </w:rPr>
        <w:t>Acosta-Rodriguez EV</w:t>
      </w:r>
      <w:r w:rsidRPr="00A22279">
        <w:rPr>
          <w:rFonts w:ascii="Book Antiqua" w:eastAsia="SimSun" w:hAnsi="Book Antiqua" w:cs="SimSun"/>
          <w:kern w:val="0"/>
          <w:sz w:val="24"/>
          <w:szCs w:val="24"/>
        </w:rPr>
        <w:t xml:space="preserve">, Napolitani G, Lanzavecchia A, Sallusto F. Interleukins 1beta and 6 but not transforming growth factor-beta are essential for the differentiation of interleukin 17-producing human T helper cells. </w:t>
      </w:r>
      <w:r w:rsidRPr="00A22279">
        <w:rPr>
          <w:rFonts w:ascii="Book Antiqua" w:eastAsia="SimSun" w:hAnsi="Book Antiqua" w:cs="SimSun"/>
          <w:i/>
          <w:iCs/>
          <w:kern w:val="0"/>
          <w:sz w:val="24"/>
          <w:szCs w:val="24"/>
        </w:rPr>
        <w:t>Nat Immunol</w:t>
      </w:r>
      <w:r w:rsidRPr="00A22279">
        <w:rPr>
          <w:rFonts w:ascii="Book Antiqua" w:eastAsia="SimSun" w:hAnsi="Book Antiqua" w:cs="SimSun"/>
          <w:kern w:val="0"/>
          <w:sz w:val="24"/>
          <w:szCs w:val="24"/>
        </w:rPr>
        <w:t xml:space="preserve"> 2007; </w:t>
      </w:r>
      <w:r w:rsidRPr="00A22279">
        <w:rPr>
          <w:rFonts w:ascii="Book Antiqua" w:eastAsia="SimSun" w:hAnsi="Book Antiqua" w:cs="SimSun"/>
          <w:b/>
          <w:bCs/>
          <w:kern w:val="0"/>
          <w:sz w:val="24"/>
          <w:szCs w:val="24"/>
        </w:rPr>
        <w:t>8</w:t>
      </w:r>
      <w:r w:rsidRPr="00A22279">
        <w:rPr>
          <w:rFonts w:ascii="Book Antiqua" w:eastAsia="SimSun" w:hAnsi="Book Antiqua" w:cs="SimSun"/>
          <w:kern w:val="0"/>
          <w:sz w:val="24"/>
          <w:szCs w:val="24"/>
        </w:rPr>
        <w:t>: 942-949 [PMID: 17676045 DOI: 10.1038/ni1496]</w:t>
      </w:r>
    </w:p>
    <w:p w:rsidR="00A22279" w:rsidRPr="00A22279" w:rsidRDefault="00A22279" w:rsidP="004931C2">
      <w:pPr>
        <w:widowControl/>
        <w:adjustRightInd w:val="0"/>
        <w:snapToGrid w:val="0"/>
        <w:spacing w:line="360" w:lineRule="auto"/>
        <w:rPr>
          <w:rFonts w:ascii="Book Antiqua" w:eastAsia="SimSun" w:hAnsi="Book Antiqua" w:cs="SimSun"/>
          <w:kern w:val="0"/>
          <w:sz w:val="24"/>
          <w:szCs w:val="24"/>
        </w:rPr>
      </w:pPr>
      <w:r w:rsidRPr="00A22279">
        <w:rPr>
          <w:rFonts w:ascii="Book Antiqua" w:eastAsia="SimSun" w:hAnsi="Book Antiqua" w:cs="SimSun"/>
          <w:kern w:val="0"/>
          <w:sz w:val="24"/>
          <w:szCs w:val="24"/>
        </w:rPr>
        <w:t xml:space="preserve">21 </w:t>
      </w:r>
      <w:r w:rsidRPr="00A22279">
        <w:rPr>
          <w:rFonts w:ascii="Book Antiqua" w:eastAsia="SimSun" w:hAnsi="Book Antiqua" w:cs="SimSun"/>
          <w:b/>
          <w:bCs/>
          <w:kern w:val="0"/>
          <w:sz w:val="24"/>
          <w:szCs w:val="24"/>
        </w:rPr>
        <w:t>Das J</w:t>
      </w:r>
      <w:r w:rsidRPr="00A22279">
        <w:rPr>
          <w:rFonts w:ascii="Book Antiqua" w:eastAsia="SimSun" w:hAnsi="Book Antiqua" w:cs="SimSun"/>
          <w:kern w:val="0"/>
          <w:sz w:val="24"/>
          <w:szCs w:val="24"/>
        </w:rPr>
        <w:t xml:space="preserve">, Ren G, Zhang L, Roberts AI, Zhao X, Bothwell AL, Van Kaer L, Shi Y, Das G. Transforming growth factor beta is dispensable for the molecular orchestration of Th17 cell differentiation. </w:t>
      </w:r>
      <w:r w:rsidRPr="00A22279">
        <w:rPr>
          <w:rFonts w:ascii="Book Antiqua" w:eastAsia="SimSun" w:hAnsi="Book Antiqua" w:cs="SimSun"/>
          <w:i/>
          <w:iCs/>
          <w:kern w:val="0"/>
          <w:sz w:val="24"/>
          <w:szCs w:val="24"/>
        </w:rPr>
        <w:t>J Exp Med</w:t>
      </w:r>
      <w:r w:rsidRPr="00A22279">
        <w:rPr>
          <w:rFonts w:ascii="Book Antiqua" w:eastAsia="SimSun" w:hAnsi="Book Antiqua" w:cs="SimSun"/>
          <w:kern w:val="0"/>
          <w:sz w:val="24"/>
          <w:szCs w:val="24"/>
        </w:rPr>
        <w:t xml:space="preserve"> 2009; </w:t>
      </w:r>
      <w:r w:rsidRPr="00A22279">
        <w:rPr>
          <w:rFonts w:ascii="Book Antiqua" w:eastAsia="SimSun" w:hAnsi="Book Antiqua" w:cs="SimSun"/>
          <w:b/>
          <w:bCs/>
          <w:kern w:val="0"/>
          <w:sz w:val="24"/>
          <w:szCs w:val="24"/>
        </w:rPr>
        <w:t>206</w:t>
      </w:r>
      <w:r w:rsidRPr="00A22279">
        <w:rPr>
          <w:rFonts w:ascii="Book Antiqua" w:eastAsia="SimSun" w:hAnsi="Book Antiqua" w:cs="SimSun"/>
          <w:kern w:val="0"/>
          <w:sz w:val="24"/>
          <w:szCs w:val="24"/>
        </w:rPr>
        <w:t>: 2407-2416 [PMID: 19808254 DOI: 10.1084/jem.20082286]</w:t>
      </w:r>
    </w:p>
    <w:p w:rsidR="00A22279" w:rsidRPr="00A22279" w:rsidRDefault="00A22279" w:rsidP="004931C2">
      <w:pPr>
        <w:widowControl/>
        <w:adjustRightInd w:val="0"/>
        <w:snapToGrid w:val="0"/>
        <w:spacing w:line="360" w:lineRule="auto"/>
        <w:rPr>
          <w:rFonts w:ascii="Book Antiqua" w:eastAsia="SimSun" w:hAnsi="Book Antiqua" w:cs="SimSun"/>
          <w:kern w:val="0"/>
          <w:sz w:val="24"/>
          <w:szCs w:val="24"/>
        </w:rPr>
      </w:pPr>
      <w:r w:rsidRPr="00A22279">
        <w:rPr>
          <w:rFonts w:ascii="Book Antiqua" w:eastAsia="SimSun" w:hAnsi="Book Antiqua" w:cs="SimSun"/>
          <w:kern w:val="0"/>
          <w:sz w:val="24"/>
          <w:szCs w:val="24"/>
        </w:rPr>
        <w:t xml:space="preserve">22 </w:t>
      </w:r>
      <w:r w:rsidRPr="00A22279">
        <w:rPr>
          <w:rFonts w:ascii="Book Antiqua" w:eastAsia="SimSun" w:hAnsi="Book Antiqua" w:cs="SimSun"/>
          <w:b/>
          <w:bCs/>
          <w:kern w:val="0"/>
          <w:sz w:val="24"/>
          <w:szCs w:val="24"/>
        </w:rPr>
        <w:t>Liu L</w:t>
      </w:r>
      <w:r w:rsidRPr="00A22279">
        <w:rPr>
          <w:rFonts w:ascii="Book Antiqua" w:eastAsia="SimSun" w:hAnsi="Book Antiqua" w:cs="SimSun"/>
          <w:kern w:val="0"/>
          <w:sz w:val="24"/>
          <w:szCs w:val="24"/>
        </w:rPr>
        <w:t xml:space="preserve">, Zhang CZ, Cai M, Fu J, Chen GG, Yun J. Downregulation of polo-like kinase 4 in hepatocellular carcinoma associates with poor prognosis. </w:t>
      </w:r>
      <w:r w:rsidRPr="00A22279">
        <w:rPr>
          <w:rFonts w:ascii="Book Antiqua" w:eastAsia="SimSun" w:hAnsi="Book Antiqua" w:cs="SimSun"/>
          <w:i/>
          <w:iCs/>
          <w:kern w:val="0"/>
          <w:sz w:val="24"/>
          <w:szCs w:val="24"/>
        </w:rPr>
        <w:t>PLoS One</w:t>
      </w:r>
      <w:r w:rsidRPr="00A22279">
        <w:rPr>
          <w:rFonts w:ascii="Book Antiqua" w:eastAsia="SimSun" w:hAnsi="Book Antiqua" w:cs="SimSun"/>
          <w:kern w:val="0"/>
          <w:sz w:val="24"/>
          <w:szCs w:val="24"/>
        </w:rPr>
        <w:t xml:space="preserve"> 2012; </w:t>
      </w:r>
      <w:r w:rsidRPr="00A22279">
        <w:rPr>
          <w:rFonts w:ascii="Book Antiqua" w:eastAsia="SimSun" w:hAnsi="Book Antiqua" w:cs="SimSun"/>
          <w:b/>
          <w:bCs/>
          <w:kern w:val="0"/>
          <w:sz w:val="24"/>
          <w:szCs w:val="24"/>
        </w:rPr>
        <w:t>7</w:t>
      </w:r>
      <w:r w:rsidRPr="00A22279">
        <w:rPr>
          <w:rFonts w:ascii="Book Antiqua" w:eastAsia="SimSun" w:hAnsi="Book Antiqua" w:cs="SimSun"/>
          <w:kern w:val="0"/>
          <w:sz w:val="24"/>
          <w:szCs w:val="24"/>
        </w:rPr>
        <w:t>: e41293 [PMID: 22829937 DOI: 10.1371/journal.pone.0041293]</w:t>
      </w:r>
    </w:p>
    <w:p w:rsidR="00A22279" w:rsidRPr="00A22279" w:rsidRDefault="00A22279" w:rsidP="004931C2">
      <w:pPr>
        <w:widowControl/>
        <w:adjustRightInd w:val="0"/>
        <w:snapToGrid w:val="0"/>
        <w:spacing w:line="360" w:lineRule="auto"/>
        <w:rPr>
          <w:rFonts w:ascii="Book Antiqua" w:eastAsia="SimSun" w:hAnsi="Book Antiqua" w:cs="SimSun"/>
          <w:kern w:val="0"/>
          <w:sz w:val="24"/>
          <w:szCs w:val="24"/>
        </w:rPr>
      </w:pPr>
      <w:r w:rsidRPr="00A22279">
        <w:rPr>
          <w:rFonts w:ascii="Book Antiqua" w:eastAsia="SimSun" w:hAnsi="Book Antiqua" w:cs="SimSun"/>
          <w:kern w:val="0"/>
          <w:sz w:val="24"/>
          <w:szCs w:val="24"/>
        </w:rPr>
        <w:t xml:space="preserve">23 </w:t>
      </w:r>
      <w:r w:rsidRPr="00A22279">
        <w:rPr>
          <w:rFonts w:ascii="Book Antiqua" w:eastAsia="SimSun" w:hAnsi="Book Antiqua" w:cs="SimSun"/>
          <w:b/>
          <w:bCs/>
          <w:kern w:val="0"/>
          <w:sz w:val="24"/>
          <w:szCs w:val="24"/>
        </w:rPr>
        <w:t>Spear BT</w:t>
      </w:r>
      <w:r w:rsidRPr="00A22279">
        <w:rPr>
          <w:rFonts w:ascii="Book Antiqua" w:eastAsia="SimSun" w:hAnsi="Book Antiqua" w:cs="SimSun"/>
          <w:kern w:val="0"/>
          <w:sz w:val="24"/>
          <w:szCs w:val="24"/>
        </w:rPr>
        <w:t xml:space="preserve">. Alpha-fetoprotein gene regulation: lessons from transgenic mice. </w:t>
      </w:r>
      <w:r w:rsidRPr="00A22279">
        <w:rPr>
          <w:rFonts w:ascii="Book Antiqua" w:eastAsia="SimSun" w:hAnsi="Book Antiqua" w:cs="SimSun"/>
          <w:i/>
          <w:iCs/>
          <w:kern w:val="0"/>
          <w:sz w:val="24"/>
          <w:szCs w:val="24"/>
        </w:rPr>
        <w:t>Semin Cancer Biol</w:t>
      </w:r>
      <w:r w:rsidRPr="00A22279">
        <w:rPr>
          <w:rFonts w:ascii="Book Antiqua" w:eastAsia="SimSun" w:hAnsi="Book Antiqua" w:cs="SimSun"/>
          <w:kern w:val="0"/>
          <w:sz w:val="24"/>
          <w:szCs w:val="24"/>
        </w:rPr>
        <w:t xml:space="preserve"> 1999; </w:t>
      </w:r>
      <w:r w:rsidRPr="00A22279">
        <w:rPr>
          <w:rFonts w:ascii="Book Antiqua" w:eastAsia="SimSun" w:hAnsi="Book Antiqua" w:cs="SimSun"/>
          <w:b/>
          <w:bCs/>
          <w:kern w:val="0"/>
          <w:sz w:val="24"/>
          <w:szCs w:val="24"/>
        </w:rPr>
        <w:t>9</w:t>
      </w:r>
      <w:r w:rsidRPr="00A22279">
        <w:rPr>
          <w:rFonts w:ascii="Book Antiqua" w:eastAsia="SimSun" w:hAnsi="Book Antiqua" w:cs="SimSun"/>
          <w:kern w:val="0"/>
          <w:sz w:val="24"/>
          <w:szCs w:val="24"/>
        </w:rPr>
        <w:t>: 109-116 [PMID: 10202132 DOI: 10.1006/scbi.1998.0087]</w:t>
      </w:r>
    </w:p>
    <w:p w:rsidR="00A22279" w:rsidRPr="00A22279" w:rsidRDefault="00A22279" w:rsidP="004931C2">
      <w:pPr>
        <w:widowControl/>
        <w:adjustRightInd w:val="0"/>
        <w:snapToGrid w:val="0"/>
        <w:spacing w:line="360" w:lineRule="auto"/>
        <w:rPr>
          <w:rFonts w:ascii="Book Antiqua" w:eastAsia="SimSun" w:hAnsi="Book Antiqua" w:cs="SimSun"/>
          <w:kern w:val="0"/>
          <w:sz w:val="24"/>
          <w:szCs w:val="24"/>
        </w:rPr>
      </w:pPr>
      <w:r w:rsidRPr="00A22279">
        <w:rPr>
          <w:rFonts w:ascii="Book Antiqua" w:eastAsia="SimSun" w:hAnsi="Book Antiqua" w:cs="SimSun"/>
          <w:kern w:val="0"/>
          <w:sz w:val="24"/>
          <w:szCs w:val="24"/>
        </w:rPr>
        <w:lastRenderedPageBreak/>
        <w:t xml:space="preserve">24 </w:t>
      </w:r>
      <w:r w:rsidRPr="00A22279">
        <w:rPr>
          <w:rFonts w:ascii="Book Antiqua" w:eastAsia="SimSun" w:hAnsi="Book Antiqua" w:cs="SimSun"/>
          <w:b/>
          <w:bCs/>
          <w:kern w:val="0"/>
          <w:sz w:val="24"/>
          <w:szCs w:val="24"/>
        </w:rPr>
        <w:t>Boss JH</w:t>
      </w:r>
      <w:r w:rsidRPr="00A22279">
        <w:rPr>
          <w:rFonts w:ascii="Book Antiqua" w:eastAsia="SimSun" w:hAnsi="Book Antiqua" w:cs="SimSun"/>
          <w:kern w:val="0"/>
          <w:sz w:val="24"/>
          <w:szCs w:val="24"/>
        </w:rPr>
        <w:t xml:space="preserve">, Rosenmann E, Zajicek G. Alpha-fetoprotein and liver cell proliferation in rats fed choline-deficient diet. </w:t>
      </w:r>
      <w:r w:rsidRPr="00A22279">
        <w:rPr>
          <w:rFonts w:ascii="Book Antiqua" w:eastAsia="SimSun" w:hAnsi="Book Antiqua" w:cs="SimSun"/>
          <w:i/>
          <w:iCs/>
          <w:kern w:val="0"/>
          <w:sz w:val="24"/>
          <w:szCs w:val="24"/>
        </w:rPr>
        <w:t>Z Ernahrungswiss</w:t>
      </w:r>
      <w:r w:rsidRPr="00A22279">
        <w:rPr>
          <w:rFonts w:ascii="Book Antiqua" w:eastAsia="SimSun" w:hAnsi="Book Antiqua" w:cs="SimSun"/>
          <w:kern w:val="0"/>
          <w:sz w:val="24"/>
          <w:szCs w:val="24"/>
        </w:rPr>
        <w:t xml:space="preserve"> 1976; </w:t>
      </w:r>
      <w:r w:rsidRPr="00A22279">
        <w:rPr>
          <w:rFonts w:ascii="Book Antiqua" w:eastAsia="SimSun" w:hAnsi="Book Antiqua" w:cs="SimSun"/>
          <w:b/>
          <w:bCs/>
          <w:kern w:val="0"/>
          <w:sz w:val="24"/>
          <w:szCs w:val="24"/>
        </w:rPr>
        <w:t>15</w:t>
      </w:r>
      <w:r w:rsidRPr="00A22279">
        <w:rPr>
          <w:rFonts w:ascii="Book Antiqua" w:eastAsia="SimSun" w:hAnsi="Book Antiqua" w:cs="SimSun"/>
          <w:kern w:val="0"/>
          <w:sz w:val="24"/>
          <w:szCs w:val="24"/>
        </w:rPr>
        <w:t>: 211-216 [PMID: 61657]</w:t>
      </w:r>
    </w:p>
    <w:p w:rsidR="00A22279" w:rsidRPr="00A22279" w:rsidRDefault="00A22279" w:rsidP="004931C2">
      <w:pPr>
        <w:widowControl/>
        <w:adjustRightInd w:val="0"/>
        <w:snapToGrid w:val="0"/>
        <w:spacing w:line="360" w:lineRule="auto"/>
        <w:rPr>
          <w:rFonts w:ascii="Book Antiqua" w:eastAsia="SimSun" w:hAnsi="Book Antiqua" w:cs="SimSun"/>
          <w:kern w:val="0"/>
          <w:sz w:val="24"/>
          <w:szCs w:val="24"/>
        </w:rPr>
      </w:pPr>
      <w:r w:rsidRPr="00A22279">
        <w:rPr>
          <w:rFonts w:ascii="Book Antiqua" w:eastAsia="SimSun" w:hAnsi="Book Antiqua" w:cs="SimSun"/>
          <w:kern w:val="0"/>
          <w:sz w:val="24"/>
          <w:szCs w:val="24"/>
        </w:rPr>
        <w:t xml:space="preserve">25 </w:t>
      </w:r>
      <w:r w:rsidRPr="00A22279">
        <w:rPr>
          <w:rFonts w:ascii="Book Antiqua" w:eastAsia="SimSun" w:hAnsi="Book Antiqua" w:cs="SimSun"/>
          <w:b/>
          <w:bCs/>
          <w:kern w:val="0"/>
          <w:sz w:val="24"/>
          <w:szCs w:val="24"/>
        </w:rPr>
        <w:t>Yuan Q</w:t>
      </w:r>
      <w:r w:rsidRPr="00A22279">
        <w:rPr>
          <w:rFonts w:ascii="Book Antiqua" w:eastAsia="SimSun" w:hAnsi="Book Antiqua" w:cs="SimSun"/>
          <w:kern w:val="0"/>
          <w:sz w:val="24"/>
          <w:szCs w:val="24"/>
        </w:rPr>
        <w:t xml:space="preserve">, Loya K, Rani B, Möbus S, Balakrishnan A, Lamle J, Cathomen T, Vogel A, Manns MP, Ott M, Cantz T, Sharma AD. MicroRNA-221 overexpression accelerates hepatocyte proliferation during liver regeneration. </w:t>
      </w:r>
      <w:r w:rsidRPr="00A22279">
        <w:rPr>
          <w:rFonts w:ascii="Book Antiqua" w:eastAsia="SimSun" w:hAnsi="Book Antiqua" w:cs="SimSun"/>
          <w:i/>
          <w:iCs/>
          <w:kern w:val="0"/>
          <w:sz w:val="24"/>
          <w:szCs w:val="24"/>
        </w:rPr>
        <w:t>Hepatology</w:t>
      </w:r>
      <w:r w:rsidRPr="00A22279">
        <w:rPr>
          <w:rFonts w:ascii="Book Antiqua" w:eastAsia="SimSun" w:hAnsi="Book Antiqua" w:cs="SimSun"/>
          <w:kern w:val="0"/>
          <w:sz w:val="24"/>
          <w:szCs w:val="24"/>
        </w:rPr>
        <w:t xml:space="preserve"> 2013; </w:t>
      </w:r>
      <w:r w:rsidRPr="00A22279">
        <w:rPr>
          <w:rFonts w:ascii="Book Antiqua" w:eastAsia="SimSun" w:hAnsi="Book Antiqua" w:cs="SimSun"/>
          <w:b/>
          <w:bCs/>
          <w:kern w:val="0"/>
          <w:sz w:val="24"/>
          <w:szCs w:val="24"/>
        </w:rPr>
        <w:t>57</w:t>
      </w:r>
      <w:r w:rsidRPr="00A22279">
        <w:rPr>
          <w:rFonts w:ascii="Book Antiqua" w:eastAsia="SimSun" w:hAnsi="Book Antiqua" w:cs="SimSun"/>
          <w:kern w:val="0"/>
          <w:sz w:val="24"/>
          <w:szCs w:val="24"/>
        </w:rPr>
        <w:t>: 299-310 [PMID: 22821679 DOI: 10.1002/hep.25984]</w:t>
      </w:r>
    </w:p>
    <w:p w:rsidR="00A22279" w:rsidRPr="00A22279" w:rsidRDefault="00A22279" w:rsidP="004931C2">
      <w:pPr>
        <w:widowControl/>
        <w:adjustRightInd w:val="0"/>
        <w:snapToGrid w:val="0"/>
        <w:spacing w:line="360" w:lineRule="auto"/>
        <w:rPr>
          <w:rFonts w:ascii="Book Antiqua" w:eastAsia="SimSun" w:hAnsi="Book Antiqua" w:cs="SimSun"/>
          <w:kern w:val="0"/>
          <w:sz w:val="24"/>
          <w:szCs w:val="24"/>
        </w:rPr>
      </w:pPr>
      <w:r w:rsidRPr="00A22279">
        <w:rPr>
          <w:rFonts w:ascii="Book Antiqua" w:eastAsia="SimSun" w:hAnsi="Book Antiqua" w:cs="SimSun"/>
          <w:kern w:val="0"/>
          <w:sz w:val="24"/>
          <w:szCs w:val="24"/>
        </w:rPr>
        <w:t xml:space="preserve">26 </w:t>
      </w:r>
      <w:r w:rsidRPr="00A22279">
        <w:rPr>
          <w:rFonts w:ascii="Book Antiqua" w:eastAsia="SimSun" w:hAnsi="Book Antiqua" w:cs="SimSun"/>
          <w:b/>
          <w:bCs/>
          <w:kern w:val="0"/>
          <w:sz w:val="24"/>
          <w:szCs w:val="24"/>
        </w:rPr>
        <w:t>Karvountzis GG</w:t>
      </w:r>
      <w:r w:rsidRPr="00A22279">
        <w:rPr>
          <w:rFonts w:ascii="Book Antiqua" w:eastAsia="SimSun" w:hAnsi="Book Antiqua" w:cs="SimSun"/>
          <w:kern w:val="0"/>
          <w:sz w:val="24"/>
          <w:szCs w:val="24"/>
        </w:rPr>
        <w:t xml:space="preserve">, Redeker AG. Relation of alpha-fetoprotein in acute hepatitis to severity and prognosis. </w:t>
      </w:r>
      <w:r w:rsidRPr="00A22279">
        <w:rPr>
          <w:rFonts w:ascii="Book Antiqua" w:eastAsia="SimSun" w:hAnsi="Book Antiqua" w:cs="SimSun"/>
          <w:i/>
          <w:iCs/>
          <w:kern w:val="0"/>
          <w:sz w:val="24"/>
          <w:szCs w:val="24"/>
        </w:rPr>
        <w:t>Ann Intern Med</w:t>
      </w:r>
      <w:r w:rsidRPr="00A22279">
        <w:rPr>
          <w:rFonts w:ascii="Book Antiqua" w:eastAsia="SimSun" w:hAnsi="Book Antiqua" w:cs="SimSun"/>
          <w:kern w:val="0"/>
          <w:sz w:val="24"/>
          <w:szCs w:val="24"/>
        </w:rPr>
        <w:t xml:space="preserve"> 1974; </w:t>
      </w:r>
      <w:r w:rsidRPr="00A22279">
        <w:rPr>
          <w:rFonts w:ascii="Book Antiqua" w:eastAsia="SimSun" w:hAnsi="Book Antiqua" w:cs="SimSun"/>
          <w:b/>
          <w:bCs/>
          <w:kern w:val="0"/>
          <w:sz w:val="24"/>
          <w:szCs w:val="24"/>
        </w:rPr>
        <w:t>80</w:t>
      </w:r>
      <w:r w:rsidRPr="00A22279">
        <w:rPr>
          <w:rFonts w:ascii="Book Antiqua" w:eastAsia="SimSun" w:hAnsi="Book Antiqua" w:cs="SimSun"/>
          <w:kern w:val="0"/>
          <w:sz w:val="24"/>
          <w:szCs w:val="24"/>
        </w:rPr>
        <w:t>: 156-160 [PMID: 4811790 DOI: 10.7326/0003-4819-80-2-156]</w:t>
      </w:r>
    </w:p>
    <w:p w:rsidR="00A22279" w:rsidRPr="00A22279" w:rsidRDefault="00A22279" w:rsidP="004931C2">
      <w:pPr>
        <w:widowControl/>
        <w:adjustRightInd w:val="0"/>
        <w:snapToGrid w:val="0"/>
        <w:spacing w:line="360" w:lineRule="auto"/>
        <w:rPr>
          <w:rFonts w:ascii="Book Antiqua" w:eastAsia="SimSun" w:hAnsi="Book Antiqua" w:cs="SimSun"/>
          <w:kern w:val="0"/>
          <w:sz w:val="24"/>
          <w:szCs w:val="24"/>
        </w:rPr>
      </w:pPr>
      <w:r w:rsidRPr="00A22279">
        <w:rPr>
          <w:rFonts w:ascii="Book Antiqua" w:eastAsia="SimSun" w:hAnsi="Book Antiqua" w:cs="SimSun"/>
          <w:kern w:val="0"/>
          <w:sz w:val="24"/>
          <w:szCs w:val="24"/>
        </w:rPr>
        <w:t xml:space="preserve">27 </w:t>
      </w:r>
      <w:r w:rsidRPr="00A22279">
        <w:rPr>
          <w:rFonts w:ascii="Book Antiqua" w:eastAsia="SimSun" w:hAnsi="Book Antiqua" w:cs="SimSun"/>
          <w:b/>
          <w:bCs/>
          <w:kern w:val="0"/>
          <w:sz w:val="24"/>
          <w:szCs w:val="24"/>
        </w:rPr>
        <w:t>Shen H</w:t>
      </w:r>
      <w:r w:rsidRPr="00A22279">
        <w:rPr>
          <w:rFonts w:ascii="Book Antiqua" w:eastAsia="SimSun" w:hAnsi="Book Antiqua" w:cs="SimSun"/>
          <w:kern w:val="0"/>
          <w:sz w:val="24"/>
          <w:szCs w:val="24"/>
        </w:rPr>
        <w:t xml:space="preserve">, Luan F, Liu H, Gao L, Liang X, Zhang L, Sun W, Ma C. ZHX2 is a repressor of alpha-fetoprotein expression in human hepatoma cell lines. </w:t>
      </w:r>
      <w:r w:rsidRPr="00A22279">
        <w:rPr>
          <w:rFonts w:ascii="Book Antiqua" w:eastAsia="SimSun" w:hAnsi="Book Antiqua" w:cs="SimSun"/>
          <w:i/>
          <w:iCs/>
          <w:kern w:val="0"/>
          <w:sz w:val="24"/>
          <w:szCs w:val="24"/>
        </w:rPr>
        <w:t>J Cell Mol Med</w:t>
      </w:r>
      <w:r w:rsidRPr="00A22279">
        <w:rPr>
          <w:rFonts w:ascii="Book Antiqua" w:eastAsia="SimSun" w:hAnsi="Book Antiqua" w:cs="SimSun"/>
          <w:kern w:val="0"/>
          <w:sz w:val="24"/>
          <w:szCs w:val="24"/>
        </w:rPr>
        <w:t xml:space="preserve"> 2008; </w:t>
      </w:r>
      <w:r w:rsidRPr="00A22279">
        <w:rPr>
          <w:rFonts w:ascii="Book Antiqua" w:eastAsia="SimSun" w:hAnsi="Book Antiqua" w:cs="SimSun"/>
          <w:b/>
          <w:bCs/>
          <w:kern w:val="0"/>
          <w:sz w:val="24"/>
          <w:szCs w:val="24"/>
        </w:rPr>
        <w:t>12</w:t>
      </w:r>
      <w:r w:rsidRPr="00A22279">
        <w:rPr>
          <w:rFonts w:ascii="Book Antiqua" w:eastAsia="SimSun" w:hAnsi="Book Antiqua" w:cs="SimSun"/>
          <w:kern w:val="0"/>
          <w:sz w:val="24"/>
          <w:szCs w:val="24"/>
        </w:rPr>
        <w:t>: 2772-2780 [PMID: 18194454 DOI: 10.1111/j.1582-4934.2008.00233.x]</w:t>
      </w:r>
    </w:p>
    <w:p w:rsidR="004931C2" w:rsidRPr="004931C2" w:rsidRDefault="00A22279" w:rsidP="00C6548E">
      <w:pPr>
        <w:adjustRightInd w:val="0"/>
        <w:snapToGrid w:val="0"/>
        <w:spacing w:line="360" w:lineRule="auto"/>
        <w:jc w:val="right"/>
        <w:rPr>
          <w:rFonts w:ascii="Book Antiqua" w:hAnsi="Book Antiqua"/>
          <w:sz w:val="24"/>
          <w:szCs w:val="24"/>
        </w:rPr>
      </w:pPr>
      <w:bookmarkStart w:id="392" w:name="OLE_LINK51"/>
      <w:bookmarkStart w:id="393" w:name="OLE_LINK52"/>
      <w:bookmarkStart w:id="394" w:name="OLE_LINK75"/>
      <w:bookmarkStart w:id="395" w:name="OLE_LINK120"/>
      <w:bookmarkStart w:id="396" w:name="OLE_LINK148"/>
      <w:bookmarkStart w:id="397" w:name="OLE_LINK72"/>
      <w:bookmarkStart w:id="398" w:name="OLE_LINK112"/>
      <w:bookmarkStart w:id="399" w:name="OLE_LINK320"/>
      <w:bookmarkStart w:id="400" w:name="OLE_LINK387"/>
      <w:bookmarkStart w:id="401" w:name="OLE_LINK183"/>
      <w:bookmarkStart w:id="402" w:name="OLE_LINK254"/>
      <w:bookmarkStart w:id="403" w:name="OLE_LINK149"/>
      <w:bookmarkStart w:id="404" w:name="OLE_LINK225"/>
      <w:bookmarkStart w:id="405" w:name="OLE_LINK207"/>
      <w:bookmarkStart w:id="406" w:name="OLE_LINK226"/>
      <w:bookmarkStart w:id="407" w:name="OLE_LINK212"/>
      <w:bookmarkStart w:id="408" w:name="OLE_LINK250"/>
      <w:bookmarkStart w:id="409" w:name="OLE_LINK281"/>
      <w:bookmarkStart w:id="410" w:name="OLE_LINK240"/>
      <w:bookmarkStart w:id="411" w:name="OLE_LINK313"/>
      <w:bookmarkStart w:id="412" w:name="OLE_LINK304"/>
      <w:bookmarkStart w:id="413" w:name="OLE_LINK321"/>
      <w:bookmarkStart w:id="414" w:name="OLE_LINK385"/>
      <w:bookmarkStart w:id="415" w:name="OLE_LINK400"/>
      <w:bookmarkStart w:id="416" w:name="OLE_LINK346"/>
      <w:bookmarkStart w:id="417" w:name="OLE_LINK371"/>
      <w:bookmarkStart w:id="418" w:name="OLE_LINK334"/>
      <w:bookmarkStart w:id="419" w:name="OLE_LINK1830"/>
      <w:bookmarkStart w:id="420" w:name="OLE_LINK457"/>
      <w:bookmarkStart w:id="421" w:name="OLE_LINK288"/>
      <w:bookmarkStart w:id="422" w:name="OLE_LINK384"/>
      <w:bookmarkStart w:id="423" w:name="OLE_LINK379"/>
      <w:bookmarkStart w:id="424" w:name="OLE_LINK303"/>
      <w:bookmarkStart w:id="425" w:name="OLE_LINK450"/>
      <w:bookmarkStart w:id="426" w:name="OLE_LINK489"/>
      <w:bookmarkStart w:id="427" w:name="OLE_LINK535"/>
      <w:bookmarkStart w:id="428" w:name="OLE_LINK648"/>
      <w:bookmarkStart w:id="429" w:name="OLE_LINK686"/>
      <w:bookmarkStart w:id="430" w:name="OLE_LINK430"/>
      <w:bookmarkStart w:id="431" w:name="OLE_LINK471"/>
      <w:bookmarkStart w:id="432" w:name="OLE_LINK462"/>
      <w:bookmarkStart w:id="433" w:name="OLE_LINK519"/>
      <w:bookmarkStart w:id="434" w:name="OLE_LINK575"/>
      <w:bookmarkStart w:id="435" w:name="OLE_LINK491"/>
      <w:bookmarkStart w:id="436" w:name="OLE_LINK532"/>
      <w:bookmarkStart w:id="437" w:name="OLE_LINK572"/>
      <w:bookmarkStart w:id="438" w:name="OLE_LINK574"/>
      <w:bookmarkStart w:id="439" w:name="OLE_LINK480"/>
      <w:bookmarkStart w:id="440" w:name="OLE_LINK567"/>
      <w:bookmarkStart w:id="441" w:name="OLE_LINK2700"/>
      <w:bookmarkStart w:id="442" w:name="OLE_LINK639"/>
      <w:bookmarkStart w:id="443" w:name="OLE_LINK688"/>
      <w:bookmarkStart w:id="444" w:name="OLE_LINK722"/>
      <w:bookmarkStart w:id="445" w:name="OLE_LINK542"/>
      <w:bookmarkStart w:id="446" w:name="OLE_LINK589"/>
      <w:bookmarkStart w:id="447" w:name="OLE_LINK640"/>
      <w:bookmarkStart w:id="448" w:name="OLE_LINK714"/>
      <w:bookmarkStart w:id="449" w:name="OLE_LINK716"/>
      <w:bookmarkStart w:id="450" w:name="OLE_LINK770"/>
      <w:bookmarkStart w:id="451" w:name="OLE_LINK801"/>
      <w:bookmarkStart w:id="452" w:name="OLE_LINK660"/>
      <w:bookmarkStart w:id="453" w:name="OLE_LINK739"/>
      <w:bookmarkStart w:id="454" w:name="OLE_LINK781"/>
      <w:bookmarkStart w:id="455" w:name="OLE_LINK833"/>
      <w:bookmarkStart w:id="456" w:name="OLE_LINK642"/>
      <w:bookmarkStart w:id="457" w:name="OLE_LINK700"/>
      <w:bookmarkStart w:id="458" w:name="OLE_LINK792"/>
      <w:bookmarkStart w:id="459" w:name="OLE_LINK2882"/>
      <w:bookmarkStart w:id="460" w:name="OLE_LINK836"/>
      <w:bookmarkStart w:id="461" w:name="OLE_LINK889"/>
      <w:bookmarkStart w:id="462" w:name="OLE_LINK782"/>
      <w:bookmarkStart w:id="463" w:name="OLE_LINK826"/>
      <w:bookmarkStart w:id="464" w:name="OLE_LINK865"/>
      <w:bookmarkStart w:id="465" w:name="OLE_LINK2898"/>
      <w:bookmarkStart w:id="466" w:name="OLE_LINK856"/>
      <w:bookmarkStart w:id="467" w:name="OLE_LINK908"/>
      <w:bookmarkStart w:id="468" w:name="OLE_LINK980"/>
      <w:bookmarkStart w:id="469" w:name="OLE_LINK1018"/>
      <w:bookmarkStart w:id="470" w:name="OLE_LINK1049"/>
      <w:bookmarkStart w:id="471" w:name="OLE_LINK1076"/>
      <w:bookmarkStart w:id="472" w:name="OLE_LINK1106"/>
      <w:bookmarkStart w:id="473" w:name="OLE_LINK891"/>
      <w:bookmarkStart w:id="474" w:name="OLE_LINK943"/>
      <w:bookmarkStart w:id="475" w:name="OLE_LINK981"/>
      <w:bookmarkStart w:id="476" w:name="OLE_LINK1030"/>
      <w:bookmarkStart w:id="477" w:name="OLE_LINK847"/>
      <w:bookmarkStart w:id="478" w:name="OLE_LINK909"/>
      <w:bookmarkStart w:id="479" w:name="OLE_LINK898"/>
      <w:bookmarkStart w:id="480" w:name="OLE_LINK906"/>
      <w:bookmarkStart w:id="481" w:name="OLE_LINK992"/>
      <w:bookmarkStart w:id="482" w:name="OLE_LINK993"/>
      <w:bookmarkStart w:id="483" w:name="OLE_LINK1052"/>
      <w:bookmarkStart w:id="484" w:name="OLE_LINK946"/>
      <w:bookmarkStart w:id="485" w:name="OLE_LINK911"/>
      <w:bookmarkStart w:id="486" w:name="OLE_LINK930"/>
      <w:bookmarkStart w:id="487" w:name="OLE_LINK1059"/>
      <w:bookmarkStart w:id="488" w:name="OLE_LINK1174"/>
      <w:bookmarkStart w:id="489" w:name="OLE_LINK1137"/>
      <w:bookmarkStart w:id="490" w:name="OLE_LINK1167"/>
      <w:bookmarkStart w:id="491" w:name="OLE_LINK1200"/>
      <w:bookmarkStart w:id="492" w:name="OLE_LINK1241"/>
      <w:bookmarkStart w:id="493" w:name="OLE_LINK1288"/>
      <w:bookmarkStart w:id="494" w:name="OLE_LINK1056"/>
      <w:bookmarkStart w:id="495" w:name="OLE_LINK1158"/>
      <w:bookmarkStart w:id="496" w:name="OLE_LINK1175"/>
      <w:bookmarkStart w:id="497" w:name="OLE_LINK1169"/>
      <w:bookmarkStart w:id="498" w:name="OLE_LINK1060"/>
      <w:bookmarkStart w:id="499" w:name="OLE_LINK1185"/>
      <w:bookmarkStart w:id="500" w:name="OLE_LINK1172"/>
      <w:bookmarkStart w:id="501" w:name="OLE_LINK1176"/>
      <w:bookmarkStart w:id="502" w:name="OLE_LINK1348"/>
      <w:bookmarkStart w:id="503" w:name="OLE_LINK1373"/>
      <w:bookmarkStart w:id="504" w:name="OLE_LINK1410"/>
      <w:bookmarkStart w:id="505" w:name="OLE_LINK1448"/>
      <w:bookmarkStart w:id="506" w:name="OLE_LINK1492"/>
      <w:bookmarkStart w:id="507" w:name="OLE_LINK1585"/>
      <w:bookmarkStart w:id="508" w:name="OLE_LINK1622"/>
      <w:bookmarkStart w:id="509" w:name="OLE_LINK1661"/>
      <w:bookmarkStart w:id="510" w:name="OLE_LINK1691"/>
      <w:bookmarkStart w:id="511" w:name="OLE_LINK1462"/>
      <w:bookmarkStart w:id="512" w:name="OLE_LINK1531"/>
      <w:bookmarkStart w:id="513" w:name="OLE_LINK1384"/>
      <w:bookmarkStart w:id="514" w:name="OLE_LINK1457"/>
      <w:bookmarkStart w:id="515" w:name="OLE_LINK1500"/>
      <w:bookmarkStart w:id="516" w:name="OLE_LINK1591"/>
      <w:bookmarkStart w:id="517" w:name="OLE_LINK1370"/>
      <w:bookmarkStart w:id="518" w:name="OLE_LINK1443"/>
      <w:bookmarkStart w:id="519" w:name="OLE_LINK1472"/>
      <w:bookmarkStart w:id="520" w:name="OLE_LINK1503"/>
      <w:bookmarkStart w:id="521" w:name="OLE_LINK1390"/>
      <w:bookmarkStart w:id="522" w:name="OLE_LINK1490"/>
      <w:bookmarkStart w:id="523" w:name="OLE_LINK1576"/>
      <w:bookmarkStart w:id="524" w:name="OLE_LINK1618"/>
      <w:bookmarkStart w:id="525" w:name="OLE_LINK1650"/>
      <w:bookmarkStart w:id="526" w:name="OLE_LINK1721"/>
      <w:bookmarkStart w:id="527" w:name="OLE_LINK1565"/>
      <w:bookmarkStart w:id="528" w:name="OLE_LINK1619"/>
      <w:bookmarkStart w:id="529" w:name="OLE_LINK1671"/>
      <w:bookmarkStart w:id="530" w:name="OLE_LINK1716"/>
      <w:bookmarkStart w:id="531" w:name="OLE_LINK1761"/>
      <w:bookmarkStart w:id="532" w:name="OLE_LINK1586"/>
      <w:bookmarkStart w:id="533" w:name="OLE_LINK1593"/>
      <w:bookmarkStart w:id="534" w:name="OLE_LINK1630"/>
      <w:bookmarkStart w:id="535" w:name="OLE_LINK1699"/>
      <w:bookmarkStart w:id="536" w:name="OLE_LINK1736"/>
      <w:bookmarkStart w:id="537" w:name="OLE_LINK1792"/>
      <w:bookmarkStart w:id="538" w:name="OLE_LINK1825"/>
      <w:bookmarkStart w:id="539" w:name="OLE_LINK1865"/>
      <w:bookmarkStart w:id="540" w:name="OLE_LINK1692"/>
      <w:bookmarkStart w:id="541" w:name="OLE_LINK1808"/>
      <w:bookmarkStart w:id="542" w:name="OLE_LINK1862"/>
      <w:bookmarkStart w:id="543" w:name="OLE_LINK1859"/>
      <w:bookmarkStart w:id="544" w:name="OLE_LINK1901"/>
      <w:bookmarkStart w:id="545" w:name="OLE_LINK1841"/>
      <w:bookmarkStart w:id="546" w:name="OLE_LINK1879"/>
      <w:bookmarkStart w:id="547" w:name="OLE_LINK1916"/>
      <w:bookmarkStart w:id="548" w:name="OLE_LINK1960"/>
      <w:bookmarkStart w:id="549" w:name="OLE_LINK1834"/>
      <w:bookmarkStart w:id="550" w:name="OLE_LINK2027"/>
      <w:bookmarkStart w:id="551" w:name="OLE_LINK2056"/>
      <w:bookmarkStart w:id="552" w:name="OLE_LINK1870"/>
      <w:bookmarkStart w:id="553" w:name="OLE_LINK1883"/>
      <w:bookmarkStart w:id="554" w:name="OLE_LINK1890"/>
      <w:bookmarkStart w:id="555" w:name="OLE_LINK1922"/>
      <w:bookmarkStart w:id="556" w:name="OLE_LINK1943"/>
      <w:bookmarkStart w:id="557" w:name="OLE_LINK1970"/>
      <w:bookmarkStart w:id="558" w:name="OLE_LINK1983"/>
      <w:bookmarkStart w:id="559" w:name="OLE_LINK2031"/>
      <w:bookmarkStart w:id="560" w:name="OLE_LINK2066"/>
      <w:bookmarkStart w:id="561" w:name="OLE_LINK2094"/>
      <w:bookmarkStart w:id="562" w:name="OLE_LINK2136"/>
      <w:bookmarkStart w:id="563" w:name="OLE_LINK2192"/>
      <w:bookmarkStart w:id="564" w:name="OLE_LINK1984"/>
      <w:bookmarkStart w:id="565" w:name="OLE_LINK2040"/>
      <w:bookmarkStart w:id="566" w:name="OLE_LINK2087"/>
      <w:bookmarkStart w:id="567" w:name="OLE_LINK2131"/>
      <w:r w:rsidRPr="004931C2">
        <w:rPr>
          <w:rFonts w:ascii="Book Antiqua" w:hAnsi="Book Antiqua"/>
          <w:b/>
          <w:bCs/>
          <w:sz w:val="24"/>
          <w:szCs w:val="24"/>
        </w:rPr>
        <w:t>P-Reviewer:</w:t>
      </w:r>
      <w:r w:rsidRPr="004931C2">
        <w:rPr>
          <w:rFonts w:ascii="Book Antiqua" w:hAnsi="Book Antiqua"/>
          <w:bCs/>
          <w:sz w:val="24"/>
          <w:szCs w:val="24"/>
        </w:rPr>
        <w:t xml:space="preserve"> </w:t>
      </w:r>
      <w:r w:rsidR="004931C2" w:rsidRPr="004931C2">
        <w:rPr>
          <w:rFonts w:ascii="Book Antiqua" w:hAnsi="Book Antiqua"/>
          <w:bCs/>
          <w:sz w:val="24"/>
          <w:szCs w:val="24"/>
        </w:rPr>
        <w:t>Mensah-Brown EPK, Wang GY</w:t>
      </w:r>
      <w:r w:rsidRPr="004931C2">
        <w:rPr>
          <w:rFonts w:ascii="Book Antiqua" w:hAnsi="Book Antiqua"/>
          <w:b/>
          <w:bCs/>
          <w:sz w:val="24"/>
          <w:szCs w:val="24"/>
        </w:rPr>
        <w:t xml:space="preserve"> S-Editor:</w:t>
      </w:r>
      <w:r w:rsidRPr="004931C2">
        <w:rPr>
          <w:rFonts w:ascii="Book Antiqua" w:hAnsi="Book Antiqua"/>
          <w:sz w:val="24"/>
          <w:szCs w:val="24"/>
        </w:rPr>
        <w:t xml:space="preserve"> Yu J </w:t>
      </w:r>
    </w:p>
    <w:p w:rsidR="004931C2" w:rsidRPr="004931C2" w:rsidRDefault="00A22279" w:rsidP="00C6548E">
      <w:pPr>
        <w:adjustRightInd w:val="0"/>
        <w:snapToGrid w:val="0"/>
        <w:spacing w:line="360" w:lineRule="auto"/>
        <w:jc w:val="right"/>
        <w:rPr>
          <w:rFonts w:ascii="Book Antiqua" w:hAnsi="Book Antiqua"/>
          <w:b/>
          <w:bCs/>
          <w:sz w:val="24"/>
          <w:szCs w:val="24"/>
        </w:rPr>
      </w:pPr>
      <w:r w:rsidRPr="004931C2">
        <w:rPr>
          <w:rFonts w:ascii="Book Antiqua" w:hAnsi="Book Antiqua"/>
          <w:b/>
          <w:bCs/>
          <w:sz w:val="24"/>
          <w:szCs w:val="24"/>
        </w:rPr>
        <w:t>L-Editor:</w:t>
      </w:r>
      <w:r w:rsidR="00880B1B">
        <w:rPr>
          <w:rFonts w:ascii="Book Antiqua" w:hAnsi="Book Antiqua"/>
          <w:sz w:val="24"/>
          <w:szCs w:val="24"/>
        </w:rPr>
        <w:t xml:space="preserve"> </w:t>
      </w:r>
      <w:r w:rsidRPr="004931C2">
        <w:rPr>
          <w:rFonts w:ascii="Book Antiqua" w:hAnsi="Book Antiqua"/>
          <w:b/>
          <w:bCs/>
          <w:sz w:val="24"/>
          <w:szCs w:val="24"/>
        </w:rPr>
        <w:t>E-Editor:</w:t>
      </w:r>
    </w:p>
    <w:p w:rsidR="004931C2" w:rsidRPr="004931C2" w:rsidRDefault="004931C2" w:rsidP="004931C2">
      <w:pPr>
        <w:widowControl/>
        <w:adjustRightInd w:val="0"/>
        <w:snapToGrid w:val="0"/>
        <w:spacing w:line="360" w:lineRule="auto"/>
        <w:rPr>
          <w:rFonts w:ascii="Book Antiqua" w:hAnsi="Book Antiqua"/>
          <w:b/>
          <w:bCs/>
          <w:sz w:val="24"/>
          <w:szCs w:val="24"/>
        </w:rPr>
      </w:pPr>
      <w:r w:rsidRPr="004931C2">
        <w:rPr>
          <w:rFonts w:ascii="Book Antiqua" w:hAnsi="Book Antiqua"/>
          <w:b/>
          <w:bCs/>
          <w:sz w:val="24"/>
          <w:szCs w:val="24"/>
        </w:rPr>
        <w:br w:type="page"/>
      </w:r>
    </w:p>
    <w:p w:rsidR="00170317" w:rsidRPr="006E574E" w:rsidRDefault="00880B1B" w:rsidP="006E574E">
      <w:pPr>
        <w:adjustRightInd w:val="0"/>
        <w:snapToGrid w:val="0"/>
        <w:spacing w:line="360" w:lineRule="auto"/>
        <w:rPr>
          <w:rFonts w:ascii="Book Antiqua" w:hAnsi="Book Antiqua"/>
          <w:b/>
          <w:sz w:val="24"/>
          <w:szCs w:val="24"/>
        </w:rPr>
      </w:pPr>
      <w:r>
        <w:rPr>
          <w:rFonts w:ascii="Book Antiqua" w:hAnsi="Book Antiqua" w:hint="eastAsia"/>
          <w:b/>
          <w:sz w:val="24"/>
          <w:szCs w:val="24"/>
        </w:rPr>
        <w:lastRenderedPageBreak/>
        <w: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2"/>
        <w:gridCol w:w="1367"/>
        <w:gridCol w:w="1373"/>
        <w:gridCol w:w="1373"/>
        <w:gridCol w:w="1698"/>
      </w:tblGrid>
      <w:tr w:rsidR="00170317" w:rsidRPr="00170317" w:rsidTr="00170317">
        <w:tc>
          <w:tcPr>
            <w:tcW w:w="1362" w:type="dxa"/>
            <w:tcBorders>
              <w:top w:val="single" w:sz="4" w:space="0" w:color="auto"/>
              <w:bottom w:val="single" w:sz="4" w:space="0" w:color="auto"/>
            </w:tcBorders>
          </w:tcPr>
          <w:p w:rsidR="00170317" w:rsidRPr="00170317" w:rsidRDefault="00170317" w:rsidP="00170317">
            <w:pPr>
              <w:spacing w:line="480" w:lineRule="auto"/>
              <w:jc w:val="left"/>
              <w:rPr>
                <w:rFonts w:ascii="Book Antiqua" w:hAnsi="Book Antiqua"/>
                <w:b/>
                <w:sz w:val="24"/>
                <w:szCs w:val="24"/>
              </w:rPr>
            </w:pPr>
            <w:r w:rsidRPr="00170317">
              <w:rPr>
                <w:rFonts w:ascii="Book Antiqua" w:hAnsi="Book Antiqua"/>
                <w:b/>
                <w:sz w:val="24"/>
                <w:szCs w:val="24"/>
              </w:rPr>
              <w:t>PO</w:t>
            </w:r>
            <w:r w:rsidR="00880B1B">
              <w:rPr>
                <w:rFonts w:ascii="Book Antiqua" w:hAnsi="Book Antiqua"/>
                <w:b/>
                <w:sz w:val="24"/>
                <w:szCs w:val="24"/>
              </w:rPr>
              <w:t xml:space="preserve"> </w:t>
            </w:r>
          </w:p>
        </w:tc>
        <w:tc>
          <w:tcPr>
            <w:tcW w:w="1367" w:type="dxa"/>
            <w:tcBorders>
              <w:top w:val="single" w:sz="4" w:space="0" w:color="auto"/>
              <w:bottom w:val="single" w:sz="4" w:space="0" w:color="auto"/>
            </w:tcBorders>
          </w:tcPr>
          <w:p w:rsidR="00170317" w:rsidRPr="00170317" w:rsidRDefault="00170317" w:rsidP="006E574E">
            <w:pPr>
              <w:spacing w:line="480" w:lineRule="auto"/>
              <w:jc w:val="center"/>
              <w:rPr>
                <w:rFonts w:ascii="Book Antiqua" w:hAnsi="Book Antiqua"/>
                <w:b/>
                <w:sz w:val="24"/>
                <w:szCs w:val="24"/>
              </w:rPr>
            </w:pPr>
            <w:r w:rsidRPr="00170317">
              <w:rPr>
                <w:rFonts w:ascii="Book Antiqua" w:hAnsi="Book Antiqua"/>
                <w:b/>
                <w:sz w:val="24"/>
                <w:szCs w:val="24"/>
              </w:rPr>
              <w:t>PHX</w:t>
            </w:r>
          </w:p>
        </w:tc>
        <w:tc>
          <w:tcPr>
            <w:tcW w:w="1373" w:type="dxa"/>
            <w:tcBorders>
              <w:top w:val="single" w:sz="4" w:space="0" w:color="auto"/>
              <w:bottom w:val="single" w:sz="4" w:space="0" w:color="auto"/>
            </w:tcBorders>
          </w:tcPr>
          <w:p w:rsidR="00170317" w:rsidRPr="00170317" w:rsidRDefault="00170317" w:rsidP="006E574E">
            <w:pPr>
              <w:spacing w:line="480" w:lineRule="auto"/>
              <w:jc w:val="center"/>
              <w:rPr>
                <w:rFonts w:ascii="Book Antiqua" w:hAnsi="Book Antiqua"/>
                <w:b/>
                <w:sz w:val="24"/>
                <w:szCs w:val="24"/>
              </w:rPr>
            </w:pPr>
            <w:r w:rsidRPr="00170317">
              <w:rPr>
                <w:rFonts w:ascii="Book Antiqua" w:hAnsi="Book Antiqua"/>
                <w:b/>
                <w:sz w:val="24"/>
                <w:szCs w:val="24"/>
              </w:rPr>
              <w:t>ConA</w:t>
            </w:r>
          </w:p>
        </w:tc>
        <w:tc>
          <w:tcPr>
            <w:tcW w:w="1373" w:type="dxa"/>
            <w:tcBorders>
              <w:top w:val="single" w:sz="4" w:space="0" w:color="auto"/>
              <w:bottom w:val="single" w:sz="4" w:space="0" w:color="auto"/>
            </w:tcBorders>
          </w:tcPr>
          <w:p w:rsidR="00170317" w:rsidRPr="00170317" w:rsidRDefault="00170317" w:rsidP="006E574E">
            <w:pPr>
              <w:spacing w:line="480" w:lineRule="auto"/>
              <w:jc w:val="center"/>
              <w:rPr>
                <w:rFonts w:ascii="Book Antiqua" w:hAnsi="Book Antiqua"/>
                <w:b/>
                <w:sz w:val="24"/>
                <w:szCs w:val="24"/>
              </w:rPr>
            </w:pPr>
            <w:r w:rsidRPr="00170317">
              <w:rPr>
                <w:rFonts w:ascii="Book Antiqua" w:hAnsi="Book Antiqua"/>
                <w:b/>
                <w:sz w:val="24"/>
                <w:szCs w:val="24"/>
              </w:rPr>
              <w:t>ConA + PHX</w:t>
            </w:r>
          </w:p>
        </w:tc>
        <w:tc>
          <w:tcPr>
            <w:tcW w:w="1698" w:type="dxa"/>
            <w:tcBorders>
              <w:top w:val="single" w:sz="4" w:space="0" w:color="auto"/>
              <w:bottom w:val="single" w:sz="4" w:space="0" w:color="auto"/>
            </w:tcBorders>
          </w:tcPr>
          <w:p w:rsidR="00170317" w:rsidRPr="00170317" w:rsidRDefault="00170317" w:rsidP="006E574E">
            <w:pPr>
              <w:spacing w:line="480" w:lineRule="auto"/>
              <w:jc w:val="center"/>
              <w:rPr>
                <w:rFonts w:ascii="Book Antiqua" w:hAnsi="Book Antiqua"/>
                <w:b/>
                <w:sz w:val="24"/>
                <w:szCs w:val="24"/>
              </w:rPr>
            </w:pPr>
            <w:r w:rsidRPr="00170317">
              <w:rPr>
                <w:rFonts w:ascii="Book Antiqua" w:hAnsi="Book Antiqua"/>
                <w:b/>
                <w:sz w:val="24"/>
                <w:szCs w:val="24"/>
              </w:rPr>
              <w:t>ConA + PHX + IL-22</w:t>
            </w:r>
          </w:p>
          <w:p w:rsidR="00170317" w:rsidRPr="00170317" w:rsidRDefault="00170317" w:rsidP="006E574E">
            <w:pPr>
              <w:spacing w:line="480" w:lineRule="auto"/>
              <w:jc w:val="center"/>
              <w:rPr>
                <w:rFonts w:ascii="Book Antiqua" w:hAnsi="Book Antiqua"/>
                <w:b/>
                <w:sz w:val="24"/>
                <w:szCs w:val="24"/>
              </w:rPr>
            </w:pPr>
          </w:p>
        </w:tc>
      </w:tr>
      <w:tr w:rsidR="00170317" w:rsidRPr="00170317" w:rsidTr="00170317">
        <w:tc>
          <w:tcPr>
            <w:tcW w:w="1362" w:type="dxa"/>
            <w:tcBorders>
              <w:top w:val="single" w:sz="4" w:space="0" w:color="auto"/>
            </w:tcBorders>
          </w:tcPr>
          <w:p w:rsidR="00170317" w:rsidRPr="00170317" w:rsidRDefault="00170317" w:rsidP="00170317">
            <w:pPr>
              <w:spacing w:line="480" w:lineRule="auto"/>
              <w:jc w:val="left"/>
              <w:rPr>
                <w:rFonts w:ascii="Book Antiqua" w:hAnsi="Book Antiqua"/>
                <w:sz w:val="24"/>
                <w:szCs w:val="24"/>
              </w:rPr>
            </w:pPr>
            <w:r w:rsidRPr="00170317">
              <w:rPr>
                <w:rFonts w:ascii="Book Antiqua" w:hAnsi="Book Antiqua"/>
                <w:sz w:val="24"/>
                <w:szCs w:val="24"/>
              </w:rPr>
              <w:t>32 h</w:t>
            </w:r>
            <w:r w:rsidR="00880B1B">
              <w:rPr>
                <w:rFonts w:ascii="Book Antiqua" w:hAnsi="Book Antiqua"/>
                <w:sz w:val="24"/>
                <w:szCs w:val="24"/>
              </w:rPr>
              <w:t xml:space="preserve"> </w:t>
            </w:r>
          </w:p>
        </w:tc>
        <w:tc>
          <w:tcPr>
            <w:tcW w:w="1367" w:type="dxa"/>
            <w:tcBorders>
              <w:top w:val="single" w:sz="4" w:space="0" w:color="auto"/>
            </w:tcBorders>
          </w:tcPr>
          <w:p w:rsidR="00170317" w:rsidRPr="00170317" w:rsidRDefault="00170317" w:rsidP="006E574E">
            <w:pPr>
              <w:spacing w:line="480" w:lineRule="auto"/>
              <w:jc w:val="center"/>
              <w:rPr>
                <w:rFonts w:ascii="Book Antiqua" w:hAnsi="Book Antiqua"/>
                <w:sz w:val="24"/>
                <w:szCs w:val="24"/>
              </w:rPr>
            </w:pPr>
            <w:r w:rsidRPr="00170317">
              <w:rPr>
                <w:rFonts w:ascii="Book Antiqua" w:hAnsi="Book Antiqua"/>
                <w:sz w:val="24"/>
                <w:szCs w:val="24"/>
              </w:rPr>
              <w:t>2.50 ± 0.20</w:t>
            </w:r>
            <w:r>
              <w:rPr>
                <w:rFonts w:ascii="Book Antiqua" w:hAnsi="Book Antiqua" w:hint="eastAsia"/>
                <w:sz w:val="24"/>
                <w:szCs w:val="24"/>
                <w:vertAlign w:val="superscript"/>
              </w:rPr>
              <w:t>c</w:t>
            </w:r>
          </w:p>
        </w:tc>
        <w:tc>
          <w:tcPr>
            <w:tcW w:w="1373" w:type="dxa"/>
            <w:tcBorders>
              <w:top w:val="single" w:sz="4" w:space="0" w:color="auto"/>
            </w:tcBorders>
          </w:tcPr>
          <w:p w:rsidR="00170317" w:rsidRPr="00170317" w:rsidRDefault="00170317" w:rsidP="006E574E">
            <w:pPr>
              <w:spacing w:line="480" w:lineRule="auto"/>
              <w:jc w:val="center"/>
              <w:rPr>
                <w:rFonts w:ascii="Book Antiqua" w:hAnsi="Book Antiqua"/>
                <w:sz w:val="24"/>
                <w:szCs w:val="24"/>
              </w:rPr>
            </w:pPr>
            <w:r w:rsidRPr="00170317">
              <w:rPr>
                <w:rFonts w:ascii="Book Antiqua" w:hAnsi="Book Antiqua"/>
                <w:sz w:val="24"/>
                <w:szCs w:val="24"/>
              </w:rPr>
              <w:t>5.10 ± 0.08</w:t>
            </w:r>
          </w:p>
        </w:tc>
        <w:tc>
          <w:tcPr>
            <w:tcW w:w="1373" w:type="dxa"/>
            <w:tcBorders>
              <w:top w:val="single" w:sz="4" w:space="0" w:color="auto"/>
            </w:tcBorders>
          </w:tcPr>
          <w:p w:rsidR="00170317" w:rsidRPr="00170317" w:rsidRDefault="00170317" w:rsidP="006E574E">
            <w:pPr>
              <w:spacing w:line="480" w:lineRule="auto"/>
              <w:jc w:val="center"/>
              <w:rPr>
                <w:rFonts w:ascii="Book Antiqua" w:hAnsi="Book Antiqua"/>
                <w:sz w:val="24"/>
                <w:szCs w:val="24"/>
              </w:rPr>
            </w:pPr>
            <w:r w:rsidRPr="00170317">
              <w:rPr>
                <w:rFonts w:ascii="Book Antiqua" w:hAnsi="Book Antiqua"/>
                <w:sz w:val="24"/>
                <w:szCs w:val="24"/>
              </w:rPr>
              <w:t>2.78 ± 0.10</w:t>
            </w:r>
          </w:p>
        </w:tc>
        <w:tc>
          <w:tcPr>
            <w:tcW w:w="1698" w:type="dxa"/>
            <w:tcBorders>
              <w:top w:val="single" w:sz="4" w:space="0" w:color="auto"/>
            </w:tcBorders>
          </w:tcPr>
          <w:p w:rsidR="00170317" w:rsidRPr="00170317" w:rsidRDefault="00170317" w:rsidP="006E574E">
            <w:pPr>
              <w:spacing w:line="480" w:lineRule="auto"/>
              <w:jc w:val="center"/>
              <w:rPr>
                <w:rFonts w:ascii="Book Antiqua" w:hAnsi="Book Antiqua"/>
                <w:sz w:val="24"/>
                <w:szCs w:val="24"/>
              </w:rPr>
            </w:pPr>
            <w:r w:rsidRPr="00170317">
              <w:rPr>
                <w:rFonts w:ascii="Book Antiqua" w:hAnsi="Book Antiqua"/>
                <w:sz w:val="24"/>
                <w:szCs w:val="24"/>
              </w:rPr>
              <w:t>2.68 ± 0.12</w:t>
            </w:r>
          </w:p>
        </w:tc>
      </w:tr>
      <w:tr w:rsidR="00170317" w:rsidRPr="00170317" w:rsidTr="00170317">
        <w:tc>
          <w:tcPr>
            <w:tcW w:w="1362" w:type="dxa"/>
          </w:tcPr>
          <w:p w:rsidR="00170317" w:rsidRPr="00170317" w:rsidRDefault="00170317" w:rsidP="00170317">
            <w:pPr>
              <w:spacing w:line="480" w:lineRule="auto"/>
              <w:jc w:val="left"/>
              <w:rPr>
                <w:rFonts w:ascii="Book Antiqua" w:hAnsi="Book Antiqua"/>
                <w:sz w:val="24"/>
                <w:szCs w:val="24"/>
              </w:rPr>
            </w:pPr>
            <w:r w:rsidRPr="00170317">
              <w:rPr>
                <w:rFonts w:ascii="Book Antiqua" w:hAnsi="Book Antiqua"/>
                <w:sz w:val="24"/>
                <w:szCs w:val="24"/>
              </w:rPr>
              <w:t>40 h</w:t>
            </w:r>
            <w:r w:rsidR="00880B1B">
              <w:rPr>
                <w:rFonts w:ascii="Book Antiqua" w:hAnsi="Book Antiqua"/>
                <w:sz w:val="24"/>
                <w:szCs w:val="24"/>
              </w:rPr>
              <w:t xml:space="preserve"> </w:t>
            </w:r>
          </w:p>
        </w:tc>
        <w:tc>
          <w:tcPr>
            <w:tcW w:w="1367" w:type="dxa"/>
          </w:tcPr>
          <w:p w:rsidR="00170317" w:rsidRPr="00170317" w:rsidRDefault="00170317" w:rsidP="006E574E">
            <w:pPr>
              <w:spacing w:line="480" w:lineRule="auto"/>
              <w:jc w:val="center"/>
              <w:rPr>
                <w:rFonts w:ascii="Book Antiqua" w:hAnsi="Book Antiqua"/>
                <w:sz w:val="24"/>
                <w:szCs w:val="24"/>
              </w:rPr>
            </w:pPr>
            <w:r w:rsidRPr="00170317">
              <w:rPr>
                <w:rFonts w:ascii="Book Antiqua" w:hAnsi="Book Antiqua"/>
                <w:sz w:val="24"/>
                <w:szCs w:val="24"/>
              </w:rPr>
              <w:t>3.03 ± 0.15</w:t>
            </w:r>
          </w:p>
        </w:tc>
        <w:tc>
          <w:tcPr>
            <w:tcW w:w="1373" w:type="dxa"/>
          </w:tcPr>
          <w:p w:rsidR="00170317" w:rsidRPr="00170317" w:rsidRDefault="00170317" w:rsidP="006E574E">
            <w:pPr>
              <w:spacing w:line="480" w:lineRule="auto"/>
              <w:jc w:val="center"/>
              <w:rPr>
                <w:rFonts w:ascii="Book Antiqua" w:hAnsi="Book Antiqua"/>
                <w:sz w:val="24"/>
                <w:szCs w:val="24"/>
              </w:rPr>
            </w:pPr>
            <w:r w:rsidRPr="00170317">
              <w:rPr>
                <w:rFonts w:ascii="Book Antiqua" w:hAnsi="Book Antiqua"/>
                <w:sz w:val="24"/>
                <w:szCs w:val="24"/>
              </w:rPr>
              <w:t>5.08 ± 0.10</w:t>
            </w:r>
          </w:p>
        </w:tc>
        <w:tc>
          <w:tcPr>
            <w:tcW w:w="1373" w:type="dxa"/>
          </w:tcPr>
          <w:p w:rsidR="00170317" w:rsidRPr="00170317" w:rsidRDefault="00170317" w:rsidP="006E574E">
            <w:pPr>
              <w:spacing w:line="480" w:lineRule="auto"/>
              <w:jc w:val="center"/>
              <w:rPr>
                <w:rFonts w:ascii="Book Antiqua" w:hAnsi="Book Antiqua"/>
                <w:sz w:val="24"/>
                <w:szCs w:val="24"/>
              </w:rPr>
            </w:pPr>
            <w:r w:rsidRPr="00170317">
              <w:rPr>
                <w:rFonts w:ascii="Book Antiqua" w:hAnsi="Book Antiqua"/>
                <w:sz w:val="24"/>
                <w:szCs w:val="24"/>
              </w:rPr>
              <w:t>2.95 ± 0.14</w:t>
            </w:r>
          </w:p>
        </w:tc>
        <w:tc>
          <w:tcPr>
            <w:tcW w:w="1698" w:type="dxa"/>
          </w:tcPr>
          <w:p w:rsidR="00170317" w:rsidRPr="00170317" w:rsidRDefault="00170317" w:rsidP="006E574E">
            <w:pPr>
              <w:spacing w:line="480" w:lineRule="auto"/>
              <w:jc w:val="center"/>
              <w:rPr>
                <w:rFonts w:ascii="Book Antiqua" w:hAnsi="Book Antiqua"/>
                <w:sz w:val="24"/>
                <w:szCs w:val="24"/>
              </w:rPr>
            </w:pPr>
            <w:r w:rsidRPr="00170317">
              <w:rPr>
                <w:rFonts w:ascii="Book Antiqua" w:hAnsi="Book Antiqua"/>
                <w:sz w:val="24"/>
                <w:szCs w:val="24"/>
              </w:rPr>
              <w:t>3.16 ± 0.17</w:t>
            </w:r>
            <w:r w:rsidRPr="00170317">
              <w:rPr>
                <w:rFonts w:ascii="Book Antiqua" w:hAnsi="Book Antiqua"/>
                <w:sz w:val="24"/>
                <w:szCs w:val="24"/>
                <w:vertAlign w:val="superscript"/>
              </w:rPr>
              <w:t>a</w:t>
            </w:r>
          </w:p>
        </w:tc>
      </w:tr>
      <w:tr w:rsidR="00170317" w:rsidRPr="00170317" w:rsidTr="00170317">
        <w:tc>
          <w:tcPr>
            <w:tcW w:w="1362" w:type="dxa"/>
          </w:tcPr>
          <w:p w:rsidR="00170317" w:rsidRPr="00170317" w:rsidRDefault="00170317" w:rsidP="00170317">
            <w:pPr>
              <w:spacing w:line="480" w:lineRule="auto"/>
              <w:jc w:val="left"/>
              <w:rPr>
                <w:rFonts w:ascii="Book Antiqua" w:hAnsi="Book Antiqua"/>
                <w:sz w:val="24"/>
                <w:szCs w:val="24"/>
              </w:rPr>
            </w:pPr>
            <w:r w:rsidRPr="00170317">
              <w:rPr>
                <w:rFonts w:ascii="Book Antiqua" w:hAnsi="Book Antiqua"/>
                <w:sz w:val="24"/>
                <w:szCs w:val="24"/>
              </w:rPr>
              <w:t>48 h</w:t>
            </w:r>
          </w:p>
        </w:tc>
        <w:tc>
          <w:tcPr>
            <w:tcW w:w="1367" w:type="dxa"/>
          </w:tcPr>
          <w:p w:rsidR="00170317" w:rsidRPr="00170317" w:rsidRDefault="00170317" w:rsidP="006E574E">
            <w:pPr>
              <w:spacing w:line="480" w:lineRule="auto"/>
              <w:jc w:val="center"/>
              <w:rPr>
                <w:rFonts w:ascii="Book Antiqua" w:hAnsi="Book Antiqua"/>
                <w:sz w:val="24"/>
                <w:szCs w:val="24"/>
              </w:rPr>
            </w:pPr>
            <w:r w:rsidRPr="00170317">
              <w:rPr>
                <w:rFonts w:ascii="Book Antiqua" w:hAnsi="Book Antiqua"/>
                <w:sz w:val="24"/>
                <w:szCs w:val="24"/>
              </w:rPr>
              <w:t>3.26 ± 0.13</w:t>
            </w:r>
            <w:r w:rsidRPr="00170317">
              <w:rPr>
                <w:rFonts w:ascii="Book Antiqua" w:hAnsi="Book Antiqua"/>
                <w:sz w:val="24"/>
                <w:szCs w:val="24"/>
                <w:vertAlign w:val="superscript"/>
              </w:rPr>
              <w:t>a</w:t>
            </w:r>
          </w:p>
        </w:tc>
        <w:tc>
          <w:tcPr>
            <w:tcW w:w="1373" w:type="dxa"/>
          </w:tcPr>
          <w:p w:rsidR="00170317" w:rsidRPr="00170317" w:rsidRDefault="00170317" w:rsidP="006E574E">
            <w:pPr>
              <w:spacing w:line="480" w:lineRule="auto"/>
              <w:jc w:val="center"/>
              <w:rPr>
                <w:rFonts w:ascii="Book Antiqua" w:hAnsi="Book Antiqua"/>
                <w:sz w:val="24"/>
                <w:szCs w:val="24"/>
              </w:rPr>
            </w:pPr>
            <w:r w:rsidRPr="00170317">
              <w:rPr>
                <w:rFonts w:ascii="Book Antiqua" w:hAnsi="Book Antiqua"/>
                <w:sz w:val="24"/>
                <w:szCs w:val="24"/>
              </w:rPr>
              <w:t>5.05 ± 0.08</w:t>
            </w:r>
          </w:p>
        </w:tc>
        <w:tc>
          <w:tcPr>
            <w:tcW w:w="1373" w:type="dxa"/>
          </w:tcPr>
          <w:p w:rsidR="00170317" w:rsidRPr="00170317" w:rsidRDefault="00170317" w:rsidP="006E574E">
            <w:pPr>
              <w:spacing w:line="480" w:lineRule="auto"/>
              <w:jc w:val="center"/>
              <w:rPr>
                <w:rFonts w:ascii="Book Antiqua" w:hAnsi="Book Antiqua"/>
                <w:sz w:val="24"/>
                <w:szCs w:val="24"/>
              </w:rPr>
            </w:pPr>
            <w:r w:rsidRPr="00170317">
              <w:rPr>
                <w:rFonts w:ascii="Book Antiqua" w:hAnsi="Book Antiqua"/>
                <w:sz w:val="24"/>
                <w:szCs w:val="24"/>
              </w:rPr>
              <w:t>3.09 ± 0.14</w:t>
            </w:r>
          </w:p>
        </w:tc>
        <w:tc>
          <w:tcPr>
            <w:tcW w:w="1698" w:type="dxa"/>
          </w:tcPr>
          <w:p w:rsidR="00170317" w:rsidRPr="00170317" w:rsidRDefault="00170317" w:rsidP="006E574E">
            <w:pPr>
              <w:spacing w:line="480" w:lineRule="auto"/>
              <w:jc w:val="center"/>
              <w:rPr>
                <w:rFonts w:ascii="Book Antiqua" w:hAnsi="Book Antiqua"/>
                <w:sz w:val="24"/>
                <w:szCs w:val="24"/>
              </w:rPr>
            </w:pPr>
            <w:r w:rsidRPr="00170317">
              <w:rPr>
                <w:rFonts w:ascii="Book Antiqua" w:hAnsi="Book Antiqua"/>
                <w:sz w:val="24"/>
                <w:szCs w:val="24"/>
              </w:rPr>
              <w:t>3.34 ± 0.13</w:t>
            </w:r>
            <w:r>
              <w:rPr>
                <w:rFonts w:ascii="Book Antiqua" w:hAnsi="Book Antiqua" w:hint="eastAsia"/>
                <w:sz w:val="24"/>
                <w:szCs w:val="24"/>
                <w:vertAlign w:val="superscript"/>
              </w:rPr>
              <w:t>c</w:t>
            </w:r>
          </w:p>
        </w:tc>
      </w:tr>
      <w:tr w:rsidR="00170317" w:rsidRPr="00170317" w:rsidTr="00170317">
        <w:tc>
          <w:tcPr>
            <w:tcW w:w="1362" w:type="dxa"/>
          </w:tcPr>
          <w:p w:rsidR="00170317" w:rsidRPr="00170317" w:rsidRDefault="00170317" w:rsidP="00170317">
            <w:pPr>
              <w:spacing w:line="480" w:lineRule="auto"/>
              <w:jc w:val="left"/>
              <w:rPr>
                <w:rFonts w:ascii="Book Antiqua" w:hAnsi="Book Antiqua"/>
                <w:sz w:val="24"/>
                <w:szCs w:val="24"/>
              </w:rPr>
            </w:pPr>
            <w:r w:rsidRPr="00170317">
              <w:rPr>
                <w:rFonts w:ascii="Book Antiqua" w:hAnsi="Book Antiqua"/>
                <w:sz w:val="24"/>
                <w:szCs w:val="24"/>
              </w:rPr>
              <w:t>1 wk</w:t>
            </w:r>
          </w:p>
        </w:tc>
        <w:tc>
          <w:tcPr>
            <w:tcW w:w="1367" w:type="dxa"/>
          </w:tcPr>
          <w:p w:rsidR="00170317" w:rsidRPr="00170317" w:rsidRDefault="00170317" w:rsidP="006E574E">
            <w:pPr>
              <w:spacing w:line="480" w:lineRule="auto"/>
              <w:jc w:val="center"/>
              <w:rPr>
                <w:rFonts w:ascii="Book Antiqua" w:hAnsi="Book Antiqua"/>
                <w:sz w:val="24"/>
                <w:szCs w:val="24"/>
              </w:rPr>
            </w:pPr>
            <w:r w:rsidRPr="00170317">
              <w:rPr>
                <w:rFonts w:ascii="Book Antiqua" w:hAnsi="Book Antiqua"/>
                <w:sz w:val="24"/>
                <w:szCs w:val="24"/>
              </w:rPr>
              <w:t>4.01 ± 0.15</w:t>
            </w:r>
            <w:r w:rsidRPr="00170317">
              <w:rPr>
                <w:rFonts w:ascii="Book Antiqua" w:hAnsi="Book Antiqua" w:hint="eastAsia"/>
                <w:sz w:val="24"/>
                <w:szCs w:val="24"/>
                <w:vertAlign w:val="superscript"/>
              </w:rPr>
              <w:t>a</w:t>
            </w:r>
          </w:p>
        </w:tc>
        <w:tc>
          <w:tcPr>
            <w:tcW w:w="1373" w:type="dxa"/>
          </w:tcPr>
          <w:p w:rsidR="00170317" w:rsidRPr="00170317" w:rsidRDefault="00170317" w:rsidP="006E574E">
            <w:pPr>
              <w:spacing w:line="480" w:lineRule="auto"/>
              <w:jc w:val="center"/>
              <w:rPr>
                <w:rFonts w:ascii="Book Antiqua" w:hAnsi="Book Antiqua"/>
                <w:sz w:val="24"/>
                <w:szCs w:val="24"/>
              </w:rPr>
            </w:pPr>
            <w:r w:rsidRPr="00170317">
              <w:rPr>
                <w:rFonts w:ascii="Book Antiqua" w:hAnsi="Book Antiqua"/>
                <w:sz w:val="24"/>
                <w:szCs w:val="24"/>
              </w:rPr>
              <w:t>4.84 ± 0.16</w:t>
            </w:r>
          </w:p>
        </w:tc>
        <w:tc>
          <w:tcPr>
            <w:tcW w:w="1373" w:type="dxa"/>
          </w:tcPr>
          <w:p w:rsidR="00170317" w:rsidRPr="00170317" w:rsidRDefault="00170317" w:rsidP="006E574E">
            <w:pPr>
              <w:spacing w:line="480" w:lineRule="auto"/>
              <w:jc w:val="center"/>
              <w:rPr>
                <w:rFonts w:ascii="Book Antiqua" w:hAnsi="Book Antiqua"/>
                <w:sz w:val="24"/>
                <w:szCs w:val="24"/>
              </w:rPr>
            </w:pPr>
            <w:r w:rsidRPr="00170317">
              <w:rPr>
                <w:rFonts w:ascii="Book Antiqua" w:hAnsi="Book Antiqua"/>
                <w:sz w:val="24"/>
                <w:szCs w:val="24"/>
              </w:rPr>
              <w:t>3.78 ± 0.10</w:t>
            </w:r>
          </w:p>
        </w:tc>
        <w:tc>
          <w:tcPr>
            <w:tcW w:w="1698" w:type="dxa"/>
          </w:tcPr>
          <w:p w:rsidR="00170317" w:rsidRPr="00170317" w:rsidRDefault="00170317" w:rsidP="006E574E">
            <w:pPr>
              <w:spacing w:line="480" w:lineRule="auto"/>
              <w:jc w:val="center"/>
              <w:rPr>
                <w:rFonts w:ascii="Book Antiqua" w:hAnsi="Book Antiqua"/>
                <w:sz w:val="24"/>
                <w:szCs w:val="24"/>
              </w:rPr>
            </w:pPr>
            <w:r w:rsidRPr="00170317">
              <w:rPr>
                <w:rFonts w:ascii="Book Antiqua" w:hAnsi="Book Antiqua"/>
                <w:sz w:val="24"/>
                <w:szCs w:val="24"/>
              </w:rPr>
              <w:t>4.19 ± 0.14</w:t>
            </w:r>
            <w:r>
              <w:rPr>
                <w:rFonts w:ascii="Book Antiqua" w:hAnsi="Book Antiqua" w:hint="eastAsia"/>
                <w:sz w:val="24"/>
                <w:szCs w:val="24"/>
                <w:vertAlign w:val="superscript"/>
              </w:rPr>
              <w:t>c</w:t>
            </w:r>
          </w:p>
        </w:tc>
      </w:tr>
      <w:tr w:rsidR="00170317" w:rsidRPr="00170317" w:rsidTr="00170317">
        <w:tc>
          <w:tcPr>
            <w:tcW w:w="1362" w:type="dxa"/>
            <w:tcBorders>
              <w:bottom w:val="single" w:sz="4" w:space="0" w:color="auto"/>
            </w:tcBorders>
          </w:tcPr>
          <w:p w:rsidR="00170317" w:rsidRPr="00170317" w:rsidRDefault="00170317" w:rsidP="00170317">
            <w:pPr>
              <w:spacing w:line="480" w:lineRule="auto"/>
              <w:jc w:val="left"/>
              <w:rPr>
                <w:rFonts w:ascii="Book Antiqua" w:hAnsi="Book Antiqua"/>
                <w:sz w:val="24"/>
                <w:szCs w:val="24"/>
              </w:rPr>
            </w:pPr>
            <w:r w:rsidRPr="00170317">
              <w:rPr>
                <w:rFonts w:ascii="Book Antiqua" w:hAnsi="Book Antiqua"/>
                <w:sz w:val="24"/>
                <w:szCs w:val="24"/>
              </w:rPr>
              <w:t>2 wk</w:t>
            </w:r>
          </w:p>
        </w:tc>
        <w:tc>
          <w:tcPr>
            <w:tcW w:w="1367" w:type="dxa"/>
            <w:tcBorders>
              <w:bottom w:val="single" w:sz="4" w:space="0" w:color="auto"/>
            </w:tcBorders>
          </w:tcPr>
          <w:p w:rsidR="00170317" w:rsidRPr="00170317" w:rsidRDefault="00170317" w:rsidP="006E574E">
            <w:pPr>
              <w:spacing w:line="480" w:lineRule="auto"/>
              <w:jc w:val="center"/>
              <w:rPr>
                <w:rFonts w:ascii="Book Antiqua" w:hAnsi="Book Antiqua"/>
                <w:sz w:val="24"/>
                <w:szCs w:val="24"/>
              </w:rPr>
            </w:pPr>
            <w:r w:rsidRPr="00170317">
              <w:rPr>
                <w:rFonts w:ascii="Book Antiqua" w:hAnsi="Book Antiqua"/>
                <w:sz w:val="24"/>
                <w:szCs w:val="24"/>
              </w:rPr>
              <w:t>5.05 ± 0.17</w:t>
            </w:r>
          </w:p>
        </w:tc>
        <w:tc>
          <w:tcPr>
            <w:tcW w:w="1373" w:type="dxa"/>
            <w:tcBorders>
              <w:bottom w:val="single" w:sz="4" w:space="0" w:color="auto"/>
            </w:tcBorders>
          </w:tcPr>
          <w:p w:rsidR="00170317" w:rsidRPr="00170317" w:rsidRDefault="00170317" w:rsidP="006E574E">
            <w:pPr>
              <w:spacing w:line="480" w:lineRule="auto"/>
              <w:jc w:val="center"/>
              <w:rPr>
                <w:rFonts w:ascii="Book Antiqua" w:hAnsi="Book Antiqua"/>
                <w:sz w:val="24"/>
                <w:szCs w:val="24"/>
              </w:rPr>
            </w:pPr>
            <w:r w:rsidRPr="00170317">
              <w:rPr>
                <w:rFonts w:ascii="Book Antiqua" w:hAnsi="Book Antiqua"/>
                <w:sz w:val="24"/>
                <w:szCs w:val="24"/>
              </w:rPr>
              <w:t>4.97 ± 0.14</w:t>
            </w:r>
          </w:p>
        </w:tc>
        <w:tc>
          <w:tcPr>
            <w:tcW w:w="1373" w:type="dxa"/>
            <w:tcBorders>
              <w:bottom w:val="single" w:sz="4" w:space="0" w:color="auto"/>
            </w:tcBorders>
          </w:tcPr>
          <w:p w:rsidR="00170317" w:rsidRPr="00170317" w:rsidRDefault="00170317" w:rsidP="006E574E">
            <w:pPr>
              <w:spacing w:line="480" w:lineRule="auto"/>
              <w:jc w:val="center"/>
              <w:rPr>
                <w:rFonts w:ascii="Book Antiqua" w:hAnsi="Book Antiqua"/>
                <w:sz w:val="24"/>
                <w:szCs w:val="24"/>
              </w:rPr>
            </w:pPr>
            <w:r w:rsidRPr="00170317">
              <w:rPr>
                <w:rFonts w:ascii="Book Antiqua" w:hAnsi="Book Antiqua"/>
                <w:sz w:val="24"/>
                <w:szCs w:val="24"/>
              </w:rPr>
              <w:t>4.89 ± 0.12</w:t>
            </w:r>
          </w:p>
        </w:tc>
        <w:tc>
          <w:tcPr>
            <w:tcW w:w="1698" w:type="dxa"/>
            <w:tcBorders>
              <w:bottom w:val="single" w:sz="4" w:space="0" w:color="auto"/>
            </w:tcBorders>
          </w:tcPr>
          <w:p w:rsidR="00170317" w:rsidRPr="00170317" w:rsidRDefault="00170317" w:rsidP="006E574E">
            <w:pPr>
              <w:spacing w:line="480" w:lineRule="auto"/>
              <w:jc w:val="center"/>
              <w:rPr>
                <w:rFonts w:ascii="Book Antiqua" w:hAnsi="Book Antiqua"/>
                <w:sz w:val="24"/>
                <w:szCs w:val="24"/>
              </w:rPr>
            </w:pPr>
            <w:r w:rsidRPr="00170317">
              <w:rPr>
                <w:rFonts w:ascii="Book Antiqua" w:hAnsi="Book Antiqua"/>
                <w:sz w:val="24"/>
                <w:szCs w:val="24"/>
              </w:rPr>
              <w:t>5.14 ± 0.16</w:t>
            </w:r>
            <w:r w:rsidRPr="00170317">
              <w:rPr>
                <w:rFonts w:ascii="Book Antiqua" w:hAnsi="Book Antiqua"/>
                <w:sz w:val="24"/>
                <w:szCs w:val="24"/>
                <w:vertAlign w:val="superscript"/>
              </w:rPr>
              <w:t>a</w:t>
            </w:r>
          </w:p>
        </w:tc>
      </w:tr>
    </w:tbl>
    <w:p w:rsidR="00170317" w:rsidRDefault="00170317" w:rsidP="004931C2">
      <w:pPr>
        <w:adjustRightInd w:val="0"/>
        <w:snapToGrid w:val="0"/>
        <w:spacing w:line="360" w:lineRule="auto"/>
        <w:ind w:firstLineChars="250" w:firstLine="600"/>
        <w:rPr>
          <w:rFonts w:ascii="Book Antiqua" w:hAnsi="Book Antiqua"/>
          <w:sz w:val="24"/>
          <w:szCs w:val="24"/>
        </w:rPr>
      </w:pPr>
    </w:p>
    <w:p w:rsidR="00170317" w:rsidRDefault="00170317" w:rsidP="004931C2">
      <w:pPr>
        <w:adjustRightInd w:val="0"/>
        <w:snapToGrid w:val="0"/>
        <w:spacing w:line="360" w:lineRule="auto"/>
        <w:ind w:firstLineChars="250" w:firstLine="600"/>
        <w:rPr>
          <w:rFonts w:ascii="Book Antiqua" w:hAnsi="Book Antiqua"/>
          <w:sz w:val="24"/>
          <w:szCs w:val="24"/>
        </w:rPr>
      </w:pPr>
      <w:r>
        <w:rPr>
          <w:rFonts w:ascii="Book Antiqua" w:hAnsi="Book Antiqua" w:hint="eastAsia"/>
          <w:sz w:val="24"/>
          <w:szCs w:val="24"/>
        </w:rPr>
        <w:t>B</w:t>
      </w:r>
    </w:p>
    <w:p w:rsidR="004931C2" w:rsidRDefault="004931C2" w:rsidP="004931C2">
      <w:pPr>
        <w:adjustRightInd w:val="0"/>
        <w:snapToGrid w:val="0"/>
        <w:spacing w:line="360" w:lineRule="auto"/>
        <w:ind w:firstLineChars="250" w:firstLine="600"/>
        <w:rPr>
          <w:rFonts w:ascii="Book Antiqua" w:hAnsi="Book Antiqua"/>
          <w:sz w:val="24"/>
          <w:szCs w:val="24"/>
        </w:rPr>
      </w:pPr>
      <w:r w:rsidRPr="004931C2">
        <w:rPr>
          <w:rFonts w:ascii="Book Antiqua" w:eastAsia="Times New Roman" w:hAnsi="Book Antiqua" w:cs="Times New Roman"/>
          <w:noProof/>
          <w:color w:val="000000"/>
          <w:w w:val="0"/>
          <w:kern w:val="0"/>
          <w:sz w:val="24"/>
          <w:szCs w:val="24"/>
          <w:u w:color="000000"/>
          <w:bdr w:val="none" w:sz="0" w:space="0" w:color="000000"/>
          <w:shd w:val="clear" w:color="000000" w:fill="000000"/>
        </w:rPr>
        <w:drawing>
          <wp:inline distT="0" distB="0" distL="0" distR="0" wp14:anchorId="4F12D661" wp14:editId="20B72307">
            <wp:extent cx="2488331" cy="2043485"/>
            <wp:effectExtent l="0" t="0" r="7620" b="0"/>
            <wp:docPr id="2" name="图片 2" descr="C:\Users\lzr\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zr\Desktop\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8285" cy="2043447"/>
                    </a:xfrm>
                    <a:prstGeom prst="rect">
                      <a:avLst/>
                    </a:prstGeom>
                    <a:noFill/>
                    <a:ln>
                      <a:noFill/>
                    </a:ln>
                  </pic:spPr>
                </pic:pic>
              </a:graphicData>
            </a:graphic>
          </wp:inline>
        </w:drawing>
      </w:r>
    </w:p>
    <w:p w:rsidR="004931C2" w:rsidRPr="004931C2" w:rsidRDefault="00170317" w:rsidP="004931C2">
      <w:pPr>
        <w:adjustRightInd w:val="0"/>
        <w:snapToGrid w:val="0"/>
        <w:spacing w:line="360" w:lineRule="auto"/>
        <w:rPr>
          <w:rFonts w:ascii="Book Antiqua" w:hAnsi="Book Antiqua" w:cs="Times New Roman"/>
          <w:color w:val="231F20"/>
          <w:sz w:val="24"/>
          <w:szCs w:val="24"/>
        </w:rPr>
      </w:pPr>
      <w:r w:rsidRPr="00170317">
        <w:rPr>
          <w:rFonts w:ascii="Book Antiqua" w:hAnsi="Book Antiqua" w:cs="Times New Roman"/>
          <w:b/>
          <w:color w:val="231F20"/>
          <w:sz w:val="24"/>
          <w:szCs w:val="24"/>
        </w:rPr>
        <w:t>Fig</w:t>
      </w:r>
      <w:r w:rsidRPr="00170317">
        <w:rPr>
          <w:rFonts w:ascii="Book Antiqua" w:hAnsi="Book Antiqua" w:cs="Times New Roman" w:hint="eastAsia"/>
          <w:b/>
          <w:color w:val="231F20"/>
          <w:sz w:val="24"/>
          <w:szCs w:val="24"/>
        </w:rPr>
        <w:t>ure</w:t>
      </w:r>
      <w:r w:rsidRPr="00170317">
        <w:rPr>
          <w:rFonts w:ascii="Book Antiqua" w:hAnsi="Book Antiqua" w:cs="Times New Roman"/>
          <w:b/>
          <w:color w:val="231F20"/>
          <w:sz w:val="24"/>
          <w:szCs w:val="24"/>
        </w:rPr>
        <w:t xml:space="preserve"> 1</w:t>
      </w:r>
      <w:r w:rsidR="004931C2" w:rsidRPr="00170317">
        <w:rPr>
          <w:rFonts w:ascii="Book Antiqua" w:hAnsi="Book Antiqua" w:cs="Times New Roman"/>
          <w:b/>
          <w:color w:val="231F20"/>
          <w:sz w:val="24"/>
          <w:szCs w:val="24"/>
        </w:rPr>
        <w:t xml:space="preserve"> Liver weight/body weight ratios following partial hepatectomy.</w:t>
      </w:r>
      <w:r w:rsidR="004931C2" w:rsidRPr="004931C2">
        <w:rPr>
          <w:rFonts w:ascii="Book Antiqua" w:hAnsi="Book Antiqua" w:cs="Times New Roman"/>
          <w:color w:val="231F20"/>
          <w:sz w:val="24"/>
          <w:szCs w:val="24"/>
        </w:rPr>
        <w:t xml:space="preserve"> </w:t>
      </w:r>
      <w:r w:rsidR="00880B1B">
        <w:rPr>
          <w:rFonts w:ascii="Book Antiqua" w:hAnsi="Book Antiqua" w:cs="Times New Roman" w:hint="eastAsia"/>
          <w:color w:val="231F20"/>
          <w:sz w:val="24"/>
          <w:szCs w:val="24"/>
        </w:rPr>
        <w:t xml:space="preserve">A and B: </w:t>
      </w:r>
      <w:r w:rsidR="004931C2" w:rsidRPr="004931C2">
        <w:rPr>
          <w:rFonts w:ascii="Book Antiqua" w:hAnsi="Book Antiqua" w:cs="Times New Roman"/>
          <w:color w:val="231F20"/>
          <w:sz w:val="24"/>
          <w:szCs w:val="24"/>
        </w:rPr>
        <w:t xml:space="preserve">Increases in the liver weight/body weight ratio were observed in the PHX, </w:t>
      </w:r>
      <w:r w:rsidR="00880B1B" w:rsidRPr="00880B1B">
        <w:rPr>
          <w:rFonts w:ascii="Book Antiqua" w:hAnsi="Book Antiqua" w:cs="Times New Roman"/>
          <w:color w:val="231F20"/>
          <w:sz w:val="24"/>
          <w:szCs w:val="24"/>
        </w:rPr>
        <w:t>concanavalin A (ConA)</w:t>
      </w:r>
      <w:r w:rsidR="00880B1B">
        <w:rPr>
          <w:rFonts w:ascii="Book Antiqua" w:hAnsi="Book Antiqua" w:cs="Times New Roman" w:hint="eastAsia"/>
          <w:color w:val="231F20"/>
          <w:sz w:val="24"/>
          <w:szCs w:val="24"/>
        </w:rPr>
        <w:t xml:space="preserve"> </w:t>
      </w:r>
      <w:r w:rsidR="00C6548E">
        <w:rPr>
          <w:rFonts w:ascii="Book Antiqua" w:hAnsi="Book Antiqua" w:cs="Times New Roman"/>
          <w:color w:val="231F20"/>
          <w:sz w:val="24"/>
          <w:szCs w:val="24"/>
        </w:rPr>
        <w:t xml:space="preserve">+ </w:t>
      </w:r>
      <w:r w:rsidR="004931C2" w:rsidRPr="004931C2">
        <w:rPr>
          <w:rFonts w:ascii="Book Antiqua" w:hAnsi="Book Antiqua" w:cs="Times New Roman"/>
          <w:color w:val="231F20"/>
          <w:sz w:val="24"/>
          <w:szCs w:val="24"/>
        </w:rPr>
        <w:t>PHX and ConA</w:t>
      </w:r>
      <w:r w:rsidR="00C6548E">
        <w:rPr>
          <w:rFonts w:ascii="Book Antiqua" w:hAnsi="Book Antiqua" w:cs="Times New Roman"/>
          <w:color w:val="231F20"/>
          <w:sz w:val="24"/>
          <w:szCs w:val="24"/>
        </w:rPr>
        <w:t xml:space="preserve"> + </w:t>
      </w:r>
      <w:r w:rsidR="004931C2" w:rsidRPr="004931C2">
        <w:rPr>
          <w:rFonts w:ascii="Book Antiqua" w:hAnsi="Book Antiqua" w:cs="Times New Roman"/>
          <w:color w:val="231F20"/>
          <w:sz w:val="24"/>
          <w:szCs w:val="24"/>
        </w:rPr>
        <w:t>PHX</w:t>
      </w:r>
      <w:r w:rsidR="00C6548E">
        <w:rPr>
          <w:rFonts w:ascii="Book Antiqua" w:hAnsi="Book Antiqua" w:cs="Times New Roman"/>
          <w:color w:val="231F20"/>
          <w:sz w:val="24"/>
          <w:szCs w:val="24"/>
        </w:rPr>
        <w:t xml:space="preserve"> + </w:t>
      </w:r>
      <w:bookmarkStart w:id="568" w:name="OLE_LINK2172"/>
      <w:bookmarkStart w:id="569" w:name="OLE_LINK2173"/>
      <w:r w:rsidR="00880B1B" w:rsidRPr="00880B1B">
        <w:rPr>
          <w:rFonts w:ascii="Book Antiqua" w:hAnsi="Book Antiqua" w:cs="Times New Roman"/>
          <w:color w:val="231F20"/>
          <w:sz w:val="24"/>
          <w:szCs w:val="24"/>
        </w:rPr>
        <w:t>interleukin</w:t>
      </w:r>
      <w:r w:rsidR="00880B1B" w:rsidRPr="00880B1B">
        <w:rPr>
          <w:rFonts w:ascii="Book Antiqua" w:hAnsi="Book Antiqua" w:cs="Times New Roman" w:hint="eastAsia"/>
          <w:color w:val="231F20"/>
          <w:sz w:val="24"/>
          <w:szCs w:val="24"/>
        </w:rPr>
        <w:t xml:space="preserve"> </w:t>
      </w:r>
      <w:r w:rsidR="00880B1B">
        <w:rPr>
          <w:rFonts w:ascii="Book Antiqua" w:hAnsi="Book Antiqua" w:cs="Times New Roman" w:hint="eastAsia"/>
          <w:color w:val="231F20"/>
          <w:sz w:val="24"/>
          <w:szCs w:val="24"/>
        </w:rPr>
        <w:t>(</w:t>
      </w:r>
      <w:r w:rsidR="00880B1B" w:rsidRPr="00880B1B">
        <w:rPr>
          <w:rFonts w:ascii="Book Antiqua" w:hAnsi="Book Antiqua" w:cs="Times New Roman"/>
          <w:color w:val="231F20"/>
          <w:sz w:val="24"/>
          <w:szCs w:val="24"/>
        </w:rPr>
        <w:t>IL</w:t>
      </w:r>
      <w:r w:rsidR="00880B1B">
        <w:rPr>
          <w:rFonts w:ascii="Book Antiqua" w:hAnsi="Book Antiqua" w:cs="Times New Roman" w:hint="eastAsia"/>
          <w:color w:val="231F20"/>
          <w:sz w:val="24"/>
          <w:szCs w:val="24"/>
        </w:rPr>
        <w:t>)</w:t>
      </w:r>
      <w:bookmarkEnd w:id="568"/>
      <w:bookmarkEnd w:id="569"/>
      <w:r w:rsidR="004931C2" w:rsidRPr="004931C2">
        <w:rPr>
          <w:rFonts w:ascii="Book Antiqua" w:hAnsi="Book Antiqua" w:cs="Times New Roman"/>
          <w:color w:val="231F20"/>
          <w:sz w:val="24"/>
          <w:szCs w:val="24"/>
        </w:rPr>
        <w:t>-22 groups, and all groups returned to normal liver weights by 2 w</w:t>
      </w:r>
      <w:r w:rsidR="00880B1B">
        <w:rPr>
          <w:rFonts w:ascii="Book Antiqua" w:hAnsi="Book Antiqua" w:cs="Times New Roman" w:hint="eastAsia"/>
          <w:color w:val="231F20"/>
          <w:sz w:val="24"/>
          <w:szCs w:val="24"/>
        </w:rPr>
        <w:t>k</w:t>
      </w:r>
      <w:r w:rsidR="004931C2" w:rsidRPr="004931C2">
        <w:rPr>
          <w:rFonts w:ascii="Book Antiqua" w:hAnsi="Book Antiqua" w:cs="Times New Roman"/>
          <w:color w:val="231F20"/>
          <w:sz w:val="24"/>
          <w:szCs w:val="24"/>
        </w:rPr>
        <w:t>. Compared with the ConA</w:t>
      </w:r>
      <w:r w:rsidR="00C6548E">
        <w:rPr>
          <w:rFonts w:ascii="Book Antiqua" w:hAnsi="Book Antiqua" w:cs="Times New Roman"/>
          <w:color w:val="231F20"/>
          <w:sz w:val="24"/>
          <w:szCs w:val="24"/>
        </w:rPr>
        <w:t xml:space="preserve"> + </w:t>
      </w:r>
      <w:r w:rsidR="004931C2" w:rsidRPr="004931C2">
        <w:rPr>
          <w:rFonts w:ascii="Book Antiqua" w:hAnsi="Book Antiqua" w:cs="Times New Roman"/>
          <w:color w:val="231F20"/>
          <w:sz w:val="24"/>
          <w:szCs w:val="24"/>
        </w:rPr>
        <w:t>PHX group, the ConA</w:t>
      </w:r>
      <w:r w:rsidR="00C6548E">
        <w:rPr>
          <w:rFonts w:ascii="Book Antiqua" w:hAnsi="Book Antiqua" w:cs="Times New Roman"/>
          <w:color w:val="231F20"/>
          <w:sz w:val="24"/>
          <w:szCs w:val="24"/>
        </w:rPr>
        <w:t xml:space="preserve"> + </w:t>
      </w:r>
      <w:r w:rsidR="004931C2" w:rsidRPr="004931C2">
        <w:rPr>
          <w:rFonts w:ascii="Book Antiqua" w:hAnsi="Book Antiqua" w:cs="Times New Roman"/>
          <w:color w:val="231F20"/>
          <w:sz w:val="24"/>
          <w:szCs w:val="24"/>
        </w:rPr>
        <w:t>PHX</w:t>
      </w:r>
      <w:r w:rsidR="00C6548E">
        <w:rPr>
          <w:rFonts w:ascii="Book Antiqua" w:hAnsi="Book Antiqua" w:cs="Times New Roman"/>
          <w:color w:val="231F20"/>
          <w:sz w:val="24"/>
          <w:szCs w:val="24"/>
        </w:rPr>
        <w:t xml:space="preserve"> + </w:t>
      </w:r>
      <w:r w:rsidR="004931C2" w:rsidRPr="004931C2">
        <w:rPr>
          <w:rFonts w:ascii="Book Antiqua" w:hAnsi="Book Antiqua" w:cs="Times New Roman"/>
          <w:color w:val="231F20"/>
          <w:sz w:val="24"/>
          <w:szCs w:val="24"/>
        </w:rPr>
        <w:t xml:space="preserve">IL-22 group exhibited </w:t>
      </w:r>
      <w:r w:rsidR="004931C2" w:rsidRPr="004931C2">
        <w:rPr>
          <w:rFonts w:ascii="Book Antiqua" w:hAnsi="Book Antiqua" w:cs="Times New Roman"/>
          <w:color w:val="231F20"/>
          <w:sz w:val="24"/>
          <w:szCs w:val="24"/>
        </w:rPr>
        <w:lastRenderedPageBreak/>
        <w:t>greater increases that reached significance at 40 h, 48 h, 1 w</w:t>
      </w:r>
      <w:r w:rsidR="00880B1B">
        <w:rPr>
          <w:rFonts w:ascii="Book Antiqua" w:hAnsi="Book Antiqua" w:cs="Times New Roman" w:hint="eastAsia"/>
          <w:color w:val="231F20"/>
          <w:sz w:val="24"/>
          <w:szCs w:val="24"/>
        </w:rPr>
        <w:t>k</w:t>
      </w:r>
      <w:r w:rsidR="004931C2" w:rsidRPr="004931C2">
        <w:rPr>
          <w:rFonts w:ascii="Book Antiqua" w:hAnsi="Book Antiqua" w:cs="Times New Roman"/>
          <w:color w:val="231F20"/>
          <w:sz w:val="24"/>
          <w:szCs w:val="24"/>
        </w:rPr>
        <w:t xml:space="preserve"> and 2 w</w:t>
      </w:r>
      <w:r w:rsidR="00880B1B">
        <w:rPr>
          <w:rFonts w:ascii="Book Antiqua" w:hAnsi="Book Antiqua" w:cs="Times New Roman" w:hint="eastAsia"/>
          <w:color w:val="231F20"/>
          <w:sz w:val="24"/>
          <w:szCs w:val="24"/>
        </w:rPr>
        <w:t>k</w:t>
      </w:r>
      <w:r w:rsidR="004931C2" w:rsidRPr="004931C2">
        <w:rPr>
          <w:rFonts w:ascii="Book Antiqua" w:hAnsi="Book Antiqua" w:cs="Times New Roman"/>
          <w:color w:val="231F20"/>
          <w:sz w:val="24"/>
          <w:szCs w:val="24"/>
        </w:rPr>
        <w:t xml:space="preserve"> (</w:t>
      </w:r>
      <w:r w:rsidR="004931C2" w:rsidRPr="004931C2">
        <w:rPr>
          <w:rFonts w:ascii="Book Antiqua" w:hAnsi="Book Antiqua" w:cs="Times New Roman"/>
          <w:color w:val="231F20"/>
          <w:sz w:val="24"/>
          <w:szCs w:val="24"/>
          <w:vertAlign w:val="superscript"/>
        </w:rPr>
        <w:t>a</w:t>
      </w:r>
      <w:r w:rsidR="00C6548E" w:rsidRPr="00C6548E">
        <w:rPr>
          <w:rFonts w:ascii="Book Antiqua" w:hAnsi="Book Antiqua" w:cs="Times New Roman"/>
          <w:i/>
          <w:color w:val="231F20"/>
          <w:sz w:val="24"/>
          <w:szCs w:val="24"/>
        </w:rPr>
        <w:t xml:space="preserve">P &lt; </w:t>
      </w:r>
      <w:r w:rsidR="004931C2" w:rsidRPr="004931C2">
        <w:rPr>
          <w:rFonts w:ascii="Book Antiqua" w:hAnsi="Book Antiqua" w:cs="Times New Roman"/>
          <w:color w:val="231F20"/>
          <w:sz w:val="24"/>
          <w:szCs w:val="24"/>
        </w:rPr>
        <w:t>0.05); these differences were particularly notable at 48 h and 1 w</w:t>
      </w:r>
      <w:r w:rsidR="00880B1B">
        <w:rPr>
          <w:rFonts w:ascii="Book Antiqua" w:hAnsi="Book Antiqua" w:cs="Times New Roman" w:hint="eastAsia"/>
          <w:color w:val="231F20"/>
          <w:sz w:val="24"/>
          <w:szCs w:val="24"/>
        </w:rPr>
        <w:t>k</w:t>
      </w:r>
      <w:r w:rsidR="004931C2" w:rsidRPr="004931C2">
        <w:rPr>
          <w:rFonts w:ascii="Book Antiqua" w:hAnsi="Book Antiqua" w:cs="Times New Roman"/>
          <w:color w:val="231F20"/>
          <w:sz w:val="24"/>
          <w:szCs w:val="24"/>
        </w:rPr>
        <w:t xml:space="preserve"> (</w:t>
      </w:r>
      <w:r>
        <w:rPr>
          <w:rFonts w:ascii="Book Antiqua" w:hAnsi="Book Antiqua" w:cs="Times New Roman" w:hint="eastAsia"/>
          <w:color w:val="231F20"/>
          <w:sz w:val="24"/>
          <w:szCs w:val="24"/>
          <w:vertAlign w:val="superscript"/>
        </w:rPr>
        <w:t>c</w:t>
      </w:r>
      <w:r w:rsidR="00C6548E" w:rsidRPr="00C6548E">
        <w:rPr>
          <w:rFonts w:ascii="Book Antiqua" w:hAnsi="Book Antiqua" w:cs="Times New Roman"/>
          <w:i/>
          <w:color w:val="231F20"/>
          <w:sz w:val="24"/>
          <w:szCs w:val="24"/>
        </w:rPr>
        <w:t xml:space="preserve">P &lt; </w:t>
      </w:r>
      <w:r w:rsidR="004931C2" w:rsidRPr="004931C2">
        <w:rPr>
          <w:rFonts w:ascii="Book Antiqua" w:hAnsi="Book Antiqua" w:cs="Times New Roman"/>
          <w:color w:val="231F20"/>
          <w:sz w:val="24"/>
          <w:szCs w:val="24"/>
        </w:rPr>
        <w:t>0.01). The increases in the PHX group were significantly different from those in the ConA</w:t>
      </w:r>
      <w:r w:rsidR="00C6548E">
        <w:rPr>
          <w:rFonts w:ascii="Book Antiqua" w:hAnsi="Book Antiqua" w:cs="Times New Roman"/>
          <w:color w:val="231F20"/>
          <w:sz w:val="24"/>
          <w:szCs w:val="24"/>
        </w:rPr>
        <w:t xml:space="preserve"> + </w:t>
      </w:r>
      <w:r w:rsidR="004931C2" w:rsidRPr="004931C2">
        <w:rPr>
          <w:rFonts w:ascii="Book Antiqua" w:hAnsi="Book Antiqua" w:cs="Times New Roman"/>
          <w:color w:val="231F20"/>
          <w:sz w:val="24"/>
          <w:szCs w:val="24"/>
        </w:rPr>
        <w:t>PHX group at 48 h and 1 w</w:t>
      </w:r>
      <w:r>
        <w:rPr>
          <w:rFonts w:ascii="Book Antiqua" w:hAnsi="Book Antiqua" w:cs="Times New Roman" w:hint="eastAsia"/>
          <w:color w:val="231F20"/>
          <w:sz w:val="24"/>
          <w:szCs w:val="24"/>
        </w:rPr>
        <w:t>k</w:t>
      </w:r>
      <w:r w:rsidR="004931C2" w:rsidRPr="004931C2">
        <w:rPr>
          <w:rFonts w:ascii="Book Antiqua" w:hAnsi="Book Antiqua" w:cs="Times New Roman"/>
          <w:color w:val="231F20"/>
          <w:sz w:val="24"/>
          <w:szCs w:val="24"/>
        </w:rPr>
        <w:t xml:space="preserve"> (</w:t>
      </w:r>
      <w:r w:rsidR="004931C2" w:rsidRPr="004931C2">
        <w:rPr>
          <w:rFonts w:ascii="Book Antiqua" w:hAnsi="Book Antiqua" w:cs="Times New Roman"/>
          <w:color w:val="231F20"/>
          <w:sz w:val="24"/>
          <w:szCs w:val="24"/>
          <w:vertAlign w:val="superscript"/>
        </w:rPr>
        <w:t>a</w:t>
      </w:r>
      <w:r w:rsidR="00C6548E" w:rsidRPr="00C6548E">
        <w:rPr>
          <w:rFonts w:ascii="Book Antiqua" w:hAnsi="Book Antiqua" w:cs="Times New Roman"/>
          <w:i/>
          <w:color w:val="231F20"/>
          <w:sz w:val="24"/>
          <w:szCs w:val="24"/>
        </w:rPr>
        <w:t xml:space="preserve">P &lt; </w:t>
      </w:r>
      <w:r w:rsidR="004931C2" w:rsidRPr="004931C2">
        <w:rPr>
          <w:rFonts w:ascii="Book Antiqua" w:hAnsi="Book Antiqua" w:cs="Times New Roman"/>
          <w:color w:val="231F20"/>
          <w:sz w:val="24"/>
          <w:szCs w:val="24"/>
        </w:rPr>
        <w:t>0.05); however, the increase in the PHX group at 32 h was less than that in the ConA</w:t>
      </w:r>
      <w:r w:rsidR="00C6548E">
        <w:rPr>
          <w:rFonts w:ascii="Book Antiqua" w:hAnsi="Book Antiqua" w:cs="Times New Roman"/>
          <w:color w:val="231F20"/>
          <w:sz w:val="24"/>
          <w:szCs w:val="24"/>
        </w:rPr>
        <w:t xml:space="preserve"> + </w:t>
      </w:r>
      <w:r w:rsidR="004931C2" w:rsidRPr="004931C2">
        <w:rPr>
          <w:rFonts w:ascii="Book Antiqua" w:hAnsi="Book Antiqua" w:cs="Times New Roman"/>
          <w:color w:val="231F20"/>
          <w:sz w:val="24"/>
          <w:szCs w:val="24"/>
        </w:rPr>
        <w:t>PHX group (</w:t>
      </w:r>
      <w:r>
        <w:rPr>
          <w:rFonts w:ascii="Book Antiqua" w:hAnsi="Book Antiqua" w:cs="Times New Roman" w:hint="eastAsia"/>
          <w:color w:val="231F20"/>
          <w:sz w:val="24"/>
          <w:szCs w:val="24"/>
          <w:vertAlign w:val="superscript"/>
        </w:rPr>
        <w:t>c</w:t>
      </w:r>
      <w:r w:rsidR="00C6548E" w:rsidRPr="00C6548E">
        <w:rPr>
          <w:rFonts w:ascii="Book Antiqua" w:hAnsi="Book Antiqua" w:cs="Times New Roman"/>
          <w:i/>
          <w:color w:val="231F20"/>
          <w:sz w:val="24"/>
          <w:szCs w:val="24"/>
        </w:rPr>
        <w:t xml:space="preserve">P &lt; </w:t>
      </w:r>
      <w:r w:rsidR="004931C2" w:rsidRPr="004931C2">
        <w:rPr>
          <w:rFonts w:ascii="Book Antiqua" w:hAnsi="Book Antiqua" w:cs="Times New Roman"/>
          <w:color w:val="231F20"/>
          <w:sz w:val="24"/>
          <w:szCs w:val="24"/>
        </w:rPr>
        <w:t>0.01). These data were correlated with the cellular swelling in the liver at 32 h in the ConA</w:t>
      </w:r>
      <w:r w:rsidR="00C6548E">
        <w:rPr>
          <w:rFonts w:ascii="Book Antiqua" w:hAnsi="Book Antiqua" w:cs="Times New Roman"/>
          <w:color w:val="231F20"/>
          <w:sz w:val="24"/>
          <w:szCs w:val="24"/>
        </w:rPr>
        <w:t xml:space="preserve"> + </w:t>
      </w:r>
      <w:r w:rsidR="004931C2" w:rsidRPr="004931C2">
        <w:rPr>
          <w:rFonts w:ascii="Book Antiqua" w:hAnsi="Book Antiqua" w:cs="Times New Roman"/>
          <w:color w:val="231F20"/>
          <w:sz w:val="24"/>
          <w:szCs w:val="24"/>
        </w:rPr>
        <w:t xml:space="preserve">PHX group. </w:t>
      </w:r>
    </w:p>
    <w:p w:rsidR="004931C2" w:rsidRPr="004931C2" w:rsidRDefault="004931C2" w:rsidP="004931C2">
      <w:pPr>
        <w:widowControl/>
        <w:adjustRightInd w:val="0"/>
        <w:snapToGrid w:val="0"/>
        <w:spacing w:line="360" w:lineRule="auto"/>
        <w:rPr>
          <w:rFonts w:ascii="Book Antiqua" w:hAnsi="Book Antiqua" w:cs="Times New Roman"/>
          <w:color w:val="231F20"/>
          <w:sz w:val="24"/>
          <w:szCs w:val="24"/>
        </w:rPr>
      </w:pPr>
      <w:r w:rsidRPr="004931C2">
        <w:rPr>
          <w:rFonts w:ascii="Book Antiqua" w:hAnsi="Book Antiqua" w:cs="Times New Roman"/>
          <w:color w:val="231F20"/>
          <w:sz w:val="24"/>
          <w:szCs w:val="24"/>
        </w:rPr>
        <w:br w:type="page"/>
      </w:r>
    </w:p>
    <w:p w:rsidR="004701AA" w:rsidRDefault="004701AA" w:rsidP="004931C2">
      <w:pPr>
        <w:adjustRightInd w:val="0"/>
        <w:snapToGrid w:val="0"/>
        <w:spacing w:line="360" w:lineRule="auto"/>
        <w:rPr>
          <w:rFonts w:ascii="Book Antiqua" w:hAnsi="Book Antiqua"/>
          <w:noProof/>
          <w:sz w:val="24"/>
          <w:szCs w:val="24"/>
        </w:rPr>
      </w:pPr>
      <w:r>
        <w:rPr>
          <w:rFonts w:ascii="Book Antiqua" w:hAnsi="Book Antiqua" w:hint="eastAsia"/>
          <w:noProof/>
          <w:sz w:val="24"/>
          <w:szCs w:val="24"/>
        </w:rPr>
        <w:lastRenderedPageBreak/>
        <w:t>A</w:t>
      </w:r>
      <w:r w:rsidR="00880B1B">
        <w:rPr>
          <w:rFonts w:ascii="Book Antiqua" w:hAnsi="Book Antiqua" w:hint="eastAsia"/>
          <w:noProof/>
          <w:sz w:val="24"/>
          <w:szCs w:val="24"/>
        </w:rPr>
        <w:t xml:space="preserve"> </w:t>
      </w:r>
      <w:r w:rsidR="00427AD3">
        <w:rPr>
          <w:rFonts w:ascii="Book Antiqua" w:hAnsi="Book Antiqua" w:hint="eastAsia"/>
          <w:noProof/>
          <w:sz w:val="24"/>
          <w:szCs w:val="24"/>
        </w:rPr>
        <w:t>B</w:t>
      </w:r>
    </w:p>
    <w:p w:rsidR="004931C2" w:rsidRPr="004931C2" w:rsidRDefault="004701AA" w:rsidP="004931C2">
      <w:pPr>
        <w:adjustRightInd w:val="0"/>
        <w:snapToGrid w:val="0"/>
        <w:spacing w:line="360" w:lineRule="auto"/>
        <w:rPr>
          <w:rFonts w:ascii="Book Antiqua" w:hAnsi="Book Antiqua"/>
          <w:b/>
          <w:noProof/>
          <w:sz w:val="24"/>
          <w:szCs w:val="24"/>
        </w:rPr>
      </w:pPr>
      <w:r>
        <w:rPr>
          <w:rFonts w:ascii="Book Antiqua" w:hAnsi="Book Antiqua"/>
          <w:noProof/>
          <w:sz w:val="24"/>
          <w:szCs w:val="24"/>
        </w:rPr>
        <w:drawing>
          <wp:inline distT="0" distB="0" distL="0" distR="0" wp14:anchorId="2CDD425C" wp14:editId="3F478E33">
            <wp:extent cx="2538375" cy="1934467"/>
            <wp:effectExtent l="0" t="0" r="0" b="8890"/>
            <wp:docPr id="16" name="图片 16" descr="C:\Users\baishideng-2014\Desktop\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ishideng-2014\Desktop\2a.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823" cy="1936332"/>
                    </a:xfrm>
                    <a:prstGeom prst="rect">
                      <a:avLst/>
                    </a:prstGeom>
                    <a:noFill/>
                    <a:ln>
                      <a:noFill/>
                    </a:ln>
                  </pic:spPr>
                </pic:pic>
              </a:graphicData>
            </a:graphic>
          </wp:inline>
        </w:drawing>
      </w:r>
      <w:r w:rsidRPr="004701AA">
        <w:rPr>
          <w:rFonts w:ascii="Book Antiqua" w:hAnsi="Book Antiqua"/>
          <w:noProof/>
          <w:sz w:val="24"/>
          <w:szCs w:val="24"/>
        </w:rPr>
        <w:t xml:space="preserve"> </w:t>
      </w:r>
      <w:r w:rsidR="004931C2" w:rsidRPr="004931C2">
        <w:rPr>
          <w:rFonts w:ascii="Book Antiqua" w:hAnsi="Book Antiqua"/>
          <w:b/>
          <w:noProof/>
          <w:sz w:val="24"/>
          <w:szCs w:val="24"/>
        </w:rPr>
        <w:drawing>
          <wp:inline distT="0" distB="0" distL="0" distR="0" wp14:anchorId="37271F02" wp14:editId="72DD5974">
            <wp:extent cx="2417196" cy="1818169"/>
            <wp:effectExtent l="0" t="0" r="2540" b="0"/>
            <wp:docPr id="7" name="图片 7" descr="C:\Users\lzr\Desktop\ALT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zr\Desktop\ALT2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7313" cy="1818257"/>
                    </a:xfrm>
                    <a:prstGeom prst="rect">
                      <a:avLst/>
                    </a:prstGeom>
                    <a:noFill/>
                    <a:ln>
                      <a:noFill/>
                    </a:ln>
                  </pic:spPr>
                </pic:pic>
              </a:graphicData>
            </a:graphic>
          </wp:inline>
        </w:drawing>
      </w:r>
      <w:r w:rsidR="004931C2" w:rsidRPr="004931C2">
        <w:rPr>
          <w:rFonts w:ascii="Book Antiqua" w:hAnsi="Book Antiqua"/>
          <w:noProof/>
          <w:sz w:val="24"/>
          <w:szCs w:val="24"/>
        </w:rPr>
        <w:t xml:space="preserve"> </w:t>
      </w:r>
    </w:p>
    <w:p w:rsidR="004931C2" w:rsidRPr="004931C2" w:rsidRDefault="00880B1B" w:rsidP="004931C2">
      <w:pPr>
        <w:adjustRightInd w:val="0"/>
        <w:snapToGrid w:val="0"/>
        <w:spacing w:line="360" w:lineRule="auto"/>
        <w:rPr>
          <w:rFonts w:ascii="Book Antiqua" w:hAnsi="Book Antiqua"/>
          <w:noProof/>
          <w:sz w:val="24"/>
          <w:szCs w:val="24"/>
        </w:rPr>
      </w:pPr>
      <w:r>
        <w:rPr>
          <w:rFonts w:ascii="Book Antiqua" w:hAnsi="Book Antiqua"/>
          <w:noProof/>
          <w:sz w:val="24"/>
          <w:szCs w:val="24"/>
        </w:rPr>
        <w:t xml:space="preserve"> </w:t>
      </w:r>
      <w:r w:rsidR="004701AA">
        <w:rPr>
          <w:rFonts w:ascii="Book Antiqua" w:hAnsi="Book Antiqua" w:hint="eastAsia"/>
          <w:noProof/>
          <w:sz w:val="24"/>
          <w:szCs w:val="24"/>
        </w:rPr>
        <w:t>C</w:t>
      </w:r>
      <w:r>
        <w:rPr>
          <w:rFonts w:ascii="Book Antiqua" w:hAnsi="Book Antiqua"/>
          <w:noProof/>
          <w:sz w:val="24"/>
          <w:szCs w:val="24"/>
        </w:rPr>
        <w:t xml:space="preserve"> </w:t>
      </w:r>
      <w:r w:rsidR="004701AA">
        <w:rPr>
          <w:rFonts w:ascii="Book Antiqua" w:hAnsi="Book Antiqua" w:hint="eastAsia"/>
          <w:noProof/>
          <w:sz w:val="24"/>
          <w:szCs w:val="24"/>
        </w:rPr>
        <w:t>D</w:t>
      </w:r>
      <w:r>
        <w:rPr>
          <w:rFonts w:ascii="Book Antiqua" w:hAnsi="Book Antiqua"/>
          <w:noProof/>
          <w:sz w:val="24"/>
          <w:szCs w:val="24"/>
        </w:rPr>
        <w:t xml:space="preserve"> </w:t>
      </w:r>
    </w:p>
    <w:p w:rsidR="004931C2" w:rsidRPr="004931C2" w:rsidRDefault="004931C2" w:rsidP="004931C2">
      <w:pPr>
        <w:adjustRightInd w:val="0"/>
        <w:snapToGrid w:val="0"/>
        <w:spacing w:line="360" w:lineRule="auto"/>
        <w:rPr>
          <w:rFonts w:ascii="Book Antiqua" w:hAnsi="Book Antiqua"/>
          <w:b/>
          <w:noProof/>
          <w:sz w:val="24"/>
          <w:szCs w:val="24"/>
        </w:rPr>
      </w:pPr>
      <w:r w:rsidRPr="004931C2">
        <w:rPr>
          <w:rFonts w:ascii="Book Antiqua" w:eastAsia="Times New Roman" w:hAnsi="Book Antiqua" w:cs="Times New Roman"/>
          <w:snapToGrid w:val="0"/>
          <w:color w:val="000000"/>
          <w:w w:val="0"/>
          <w:kern w:val="0"/>
          <w:sz w:val="24"/>
          <w:szCs w:val="24"/>
          <w:u w:color="000000"/>
          <w:bdr w:val="none" w:sz="0" w:space="0" w:color="000000"/>
          <w:shd w:val="clear" w:color="000000" w:fill="000000"/>
          <w:lang w:val="x-none" w:eastAsia="x-none" w:bidi="x-none"/>
        </w:rPr>
        <w:t xml:space="preserve"> </w:t>
      </w:r>
      <w:r w:rsidR="00427AD3">
        <w:rPr>
          <w:rFonts w:ascii="Book Antiqua" w:eastAsia="Times New Roman" w:hAnsi="Book Antiqua" w:cs="Times New Roman"/>
          <w:noProof/>
          <w:color w:val="000000"/>
          <w:w w:val="0"/>
          <w:kern w:val="0"/>
          <w:sz w:val="24"/>
          <w:szCs w:val="24"/>
          <w:u w:color="000000"/>
          <w:bdr w:val="none" w:sz="0" w:space="0" w:color="000000"/>
          <w:shd w:val="clear" w:color="000000" w:fill="000000"/>
        </w:rPr>
        <w:drawing>
          <wp:inline distT="0" distB="0" distL="0" distR="0" wp14:anchorId="04508993" wp14:editId="20BA80EE">
            <wp:extent cx="2686921" cy="2187245"/>
            <wp:effectExtent l="0" t="0" r="0" b="3810"/>
            <wp:docPr id="18" name="图片 18" descr="C:\Users\baishideng-2014\Desktop\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aishideng-2014\Desktop\2c.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6903" cy="2187230"/>
                    </a:xfrm>
                    <a:prstGeom prst="rect">
                      <a:avLst/>
                    </a:prstGeom>
                    <a:noFill/>
                    <a:ln>
                      <a:noFill/>
                    </a:ln>
                  </pic:spPr>
                </pic:pic>
              </a:graphicData>
            </a:graphic>
          </wp:inline>
        </w:drawing>
      </w:r>
      <w:r w:rsidRPr="004931C2">
        <w:rPr>
          <w:rFonts w:ascii="Book Antiqua" w:eastAsia="Times New Roman" w:hAnsi="Book Antiqua" w:cs="Times New Roman"/>
          <w:noProof/>
          <w:color w:val="000000"/>
          <w:w w:val="0"/>
          <w:kern w:val="0"/>
          <w:sz w:val="24"/>
          <w:szCs w:val="24"/>
          <w:u w:color="000000"/>
          <w:bdr w:val="none" w:sz="0" w:space="0" w:color="000000"/>
          <w:shd w:val="clear" w:color="000000" w:fill="000000"/>
        </w:rPr>
        <w:drawing>
          <wp:inline distT="0" distB="0" distL="0" distR="0" wp14:anchorId="2DF0EA9A" wp14:editId="0E64DC02">
            <wp:extent cx="2390371" cy="2059387"/>
            <wp:effectExtent l="0" t="0" r="0" b="0"/>
            <wp:docPr id="9" name="图片 9" descr="C:\Users\lzr\Desktop\AST线性2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zr\Desktop\AST线性2d.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3407" cy="2062003"/>
                    </a:xfrm>
                    <a:prstGeom prst="rect">
                      <a:avLst/>
                    </a:prstGeom>
                    <a:noFill/>
                    <a:ln>
                      <a:noFill/>
                    </a:ln>
                  </pic:spPr>
                </pic:pic>
              </a:graphicData>
            </a:graphic>
          </wp:inline>
        </w:drawing>
      </w:r>
    </w:p>
    <w:p w:rsidR="004931C2" w:rsidRPr="004931C2" w:rsidRDefault="004931C2" w:rsidP="004931C2">
      <w:pPr>
        <w:adjustRightInd w:val="0"/>
        <w:snapToGrid w:val="0"/>
        <w:spacing w:line="360" w:lineRule="auto"/>
        <w:rPr>
          <w:rFonts w:ascii="Book Antiqua" w:hAnsi="Book Antiqua" w:cs="Times New Roman"/>
          <w:color w:val="231F20"/>
          <w:sz w:val="24"/>
          <w:szCs w:val="24"/>
        </w:rPr>
      </w:pPr>
      <w:r w:rsidRPr="00C6548E">
        <w:rPr>
          <w:rFonts w:ascii="Book Antiqua" w:hAnsi="Book Antiqua" w:cs="Times New Roman"/>
          <w:b/>
          <w:color w:val="231F20"/>
          <w:sz w:val="24"/>
          <w:szCs w:val="24"/>
        </w:rPr>
        <w:t>Fig</w:t>
      </w:r>
      <w:r w:rsidR="00C6548E" w:rsidRPr="00C6548E">
        <w:rPr>
          <w:rFonts w:ascii="Book Antiqua" w:hAnsi="Book Antiqua" w:cs="Times New Roman" w:hint="eastAsia"/>
          <w:b/>
          <w:color w:val="231F20"/>
          <w:sz w:val="24"/>
          <w:szCs w:val="24"/>
        </w:rPr>
        <w:t xml:space="preserve">ure </w:t>
      </w:r>
      <w:r w:rsidRPr="00C6548E">
        <w:rPr>
          <w:rFonts w:ascii="Book Antiqua" w:hAnsi="Book Antiqua" w:cs="Times New Roman"/>
          <w:b/>
          <w:color w:val="231F20"/>
          <w:sz w:val="24"/>
          <w:szCs w:val="24"/>
        </w:rPr>
        <w:t xml:space="preserve">2 Serum </w:t>
      </w:r>
      <w:r w:rsidR="00880B1B" w:rsidRPr="00880B1B">
        <w:rPr>
          <w:rFonts w:ascii="Book Antiqua" w:hAnsi="Book Antiqua" w:cs="Times New Roman"/>
          <w:b/>
          <w:color w:val="231F20"/>
          <w:sz w:val="24"/>
          <w:szCs w:val="24"/>
        </w:rPr>
        <w:t xml:space="preserve">alanine aminotransferase </w:t>
      </w:r>
      <w:r w:rsidRPr="00C6548E">
        <w:rPr>
          <w:rFonts w:ascii="Book Antiqua" w:hAnsi="Book Antiqua" w:cs="Times New Roman"/>
          <w:b/>
          <w:color w:val="231F20"/>
          <w:sz w:val="24"/>
          <w:szCs w:val="24"/>
        </w:rPr>
        <w:t xml:space="preserve">and </w:t>
      </w:r>
      <w:r w:rsidR="00880B1B" w:rsidRPr="00880B1B">
        <w:rPr>
          <w:rFonts w:ascii="Book Antiqua" w:hAnsi="Book Antiqua" w:cs="Times New Roman"/>
          <w:b/>
          <w:color w:val="231F20"/>
          <w:sz w:val="24"/>
          <w:szCs w:val="24"/>
        </w:rPr>
        <w:t xml:space="preserve">aspartate aminotransferase </w:t>
      </w:r>
      <w:r w:rsidRPr="00C6548E">
        <w:rPr>
          <w:rFonts w:ascii="Book Antiqua" w:hAnsi="Book Antiqua" w:cs="Times New Roman"/>
          <w:b/>
          <w:color w:val="231F20"/>
          <w:sz w:val="24"/>
          <w:szCs w:val="24"/>
        </w:rPr>
        <w:t>levels after partial hepatectomy.</w:t>
      </w:r>
      <w:r w:rsidR="00C6548E">
        <w:rPr>
          <w:rFonts w:ascii="Book Antiqua" w:hAnsi="Book Antiqua" w:cs="Times New Roman" w:hint="eastAsia"/>
          <w:color w:val="231F20"/>
          <w:sz w:val="24"/>
          <w:szCs w:val="24"/>
        </w:rPr>
        <w:t xml:space="preserve"> A-D:</w:t>
      </w:r>
      <w:r w:rsidR="00880B1B">
        <w:rPr>
          <w:rFonts w:ascii="Book Antiqua" w:hAnsi="Book Antiqua" w:cs="Times New Roman" w:hint="eastAsia"/>
          <w:color w:val="231F20"/>
          <w:sz w:val="24"/>
          <w:szCs w:val="24"/>
        </w:rPr>
        <w:t xml:space="preserve"> </w:t>
      </w:r>
      <w:r w:rsidRPr="004931C2">
        <w:rPr>
          <w:rFonts w:ascii="Book Antiqua" w:hAnsi="Book Antiqua" w:cs="Times New Roman"/>
          <w:color w:val="231F20"/>
          <w:sz w:val="24"/>
          <w:szCs w:val="24"/>
        </w:rPr>
        <w:t xml:space="preserve">Decreases in serum </w:t>
      </w:r>
      <w:r w:rsidR="00880B1B" w:rsidRPr="00880B1B">
        <w:rPr>
          <w:rFonts w:ascii="Book Antiqua" w:hAnsi="Book Antiqua" w:cs="Times New Roman"/>
          <w:color w:val="231F20"/>
          <w:sz w:val="24"/>
          <w:szCs w:val="24"/>
        </w:rPr>
        <w:t xml:space="preserve">alanine aminotransferase </w:t>
      </w:r>
      <w:r w:rsidR="00880B1B">
        <w:rPr>
          <w:rFonts w:ascii="Book Antiqua" w:hAnsi="Book Antiqua" w:cs="Times New Roman" w:hint="eastAsia"/>
          <w:color w:val="231F20"/>
          <w:sz w:val="24"/>
          <w:szCs w:val="24"/>
        </w:rPr>
        <w:t>(</w:t>
      </w:r>
      <w:r w:rsidRPr="004931C2">
        <w:rPr>
          <w:rFonts w:ascii="Book Antiqua" w:hAnsi="Book Antiqua" w:cs="Times New Roman"/>
          <w:color w:val="231F20"/>
          <w:sz w:val="24"/>
          <w:szCs w:val="24"/>
        </w:rPr>
        <w:t>ALT</w:t>
      </w:r>
      <w:r w:rsidR="00880B1B">
        <w:rPr>
          <w:rFonts w:ascii="Book Antiqua" w:hAnsi="Book Antiqua" w:cs="Times New Roman" w:hint="eastAsia"/>
          <w:color w:val="231F20"/>
          <w:sz w:val="24"/>
          <w:szCs w:val="24"/>
        </w:rPr>
        <w:t>)</w:t>
      </w:r>
      <w:r w:rsidRPr="004931C2">
        <w:rPr>
          <w:rFonts w:ascii="Book Antiqua" w:hAnsi="Book Antiqua" w:cs="Times New Roman"/>
          <w:color w:val="231F20"/>
          <w:sz w:val="24"/>
          <w:szCs w:val="24"/>
        </w:rPr>
        <w:t xml:space="preserve"> and </w:t>
      </w:r>
      <w:r w:rsidR="00880B1B">
        <w:rPr>
          <w:rFonts w:ascii="Book Antiqua" w:hAnsi="Book Antiqua" w:cs="Times New Roman"/>
          <w:kern w:val="0"/>
          <w:sz w:val="24"/>
          <w:szCs w:val="24"/>
        </w:rPr>
        <w:t>aspartate aminotransferase (AST)</w:t>
      </w:r>
      <w:r w:rsidR="00880B1B">
        <w:rPr>
          <w:rFonts w:ascii="Book Antiqua" w:hAnsi="Book Antiqua" w:cs="Times New Roman" w:hint="eastAsia"/>
          <w:kern w:val="0"/>
          <w:sz w:val="24"/>
          <w:szCs w:val="24"/>
        </w:rPr>
        <w:t xml:space="preserve"> </w:t>
      </w:r>
      <w:r w:rsidRPr="004931C2">
        <w:rPr>
          <w:rFonts w:ascii="Book Antiqua" w:hAnsi="Book Antiqua" w:cs="Times New Roman"/>
          <w:color w:val="231F20"/>
          <w:sz w:val="24"/>
          <w:szCs w:val="24"/>
        </w:rPr>
        <w:t>were observed after 32 h, particularly from 40 h to 1 w</w:t>
      </w:r>
      <w:r w:rsidR="00C6548E">
        <w:rPr>
          <w:rFonts w:ascii="Book Antiqua" w:hAnsi="Book Antiqua" w:cs="Times New Roman" w:hint="eastAsia"/>
          <w:color w:val="231F20"/>
          <w:sz w:val="24"/>
          <w:szCs w:val="24"/>
        </w:rPr>
        <w:t>k</w:t>
      </w:r>
      <w:r w:rsidRPr="004931C2">
        <w:rPr>
          <w:rFonts w:ascii="Book Antiqua" w:hAnsi="Book Antiqua" w:cs="Times New Roman"/>
          <w:color w:val="231F20"/>
          <w:sz w:val="24"/>
          <w:szCs w:val="24"/>
        </w:rPr>
        <w:t xml:space="preserve">. Compared to the </w:t>
      </w:r>
      <w:r w:rsidR="00880B1B" w:rsidRPr="00880B1B">
        <w:rPr>
          <w:rFonts w:ascii="Book Antiqua" w:hAnsi="Book Antiqua" w:cs="Times New Roman"/>
          <w:color w:val="231F20"/>
          <w:sz w:val="24"/>
          <w:szCs w:val="24"/>
        </w:rPr>
        <w:t>concanavalin A (ConA)</w:t>
      </w:r>
      <w:r w:rsidR="00880B1B">
        <w:rPr>
          <w:rFonts w:ascii="Book Antiqua" w:hAnsi="Book Antiqua" w:cs="Times New Roman" w:hint="eastAsia"/>
          <w:color w:val="231F20"/>
          <w:sz w:val="24"/>
          <w:szCs w:val="24"/>
        </w:rPr>
        <w:t xml:space="preserve"> </w:t>
      </w:r>
      <w:r w:rsidR="00C6548E">
        <w:rPr>
          <w:rFonts w:ascii="Book Antiqua" w:hAnsi="Book Antiqua" w:cs="Times New Roman"/>
          <w:color w:val="231F20"/>
          <w:sz w:val="24"/>
          <w:szCs w:val="24"/>
        </w:rPr>
        <w:t xml:space="preserve">+ </w:t>
      </w:r>
      <w:r w:rsidRPr="004931C2">
        <w:rPr>
          <w:rFonts w:ascii="Book Antiqua" w:hAnsi="Book Antiqua" w:cs="Times New Roman"/>
          <w:color w:val="231F20"/>
          <w:sz w:val="24"/>
          <w:szCs w:val="24"/>
        </w:rPr>
        <w:t>PHX group, the serum ALT and AST levels of the ConA</w:t>
      </w:r>
      <w:r w:rsidR="00C6548E">
        <w:rPr>
          <w:rFonts w:ascii="Book Antiqua" w:hAnsi="Book Antiqua" w:cs="Times New Roman"/>
          <w:color w:val="231F20"/>
          <w:sz w:val="24"/>
          <w:szCs w:val="24"/>
        </w:rPr>
        <w:t xml:space="preserve"> + </w:t>
      </w:r>
      <w:r w:rsidRPr="004931C2">
        <w:rPr>
          <w:rFonts w:ascii="Book Antiqua" w:hAnsi="Book Antiqua" w:cs="Times New Roman"/>
          <w:color w:val="231F20"/>
          <w:sz w:val="24"/>
          <w:szCs w:val="24"/>
        </w:rPr>
        <w:t>PHX</w:t>
      </w:r>
      <w:r w:rsidR="00C6548E">
        <w:rPr>
          <w:rFonts w:ascii="Book Antiqua" w:hAnsi="Book Antiqua" w:cs="Times New Roman"/>
          <w:color w:val="231F20"/>
          <w:sz w:val="24"/>
          <w:szCs w:val="24"/>
        </w:rPr>
        <w:t xml:space="preserve"> + </w:t>
      </w:r>
      <w:r w:rsidR="00880B1B">
        <w:rPr>
          <w:rFonts w:ascii="Book Antiqua" w:hAnsi="Book Antiqua" w:cs="Times New Roman"/>
          <w:color w:val="231F20"/>
          <w:kern w:val="0"/>
          <w:sz w:val="24"/>
          <w:szCs w:val="24"/>
        </w:rPr>
        <w:t>interleukin (IL)</w:t>
      </w:r>
      <w:r w:rsidRPr="004931C2">
        <w:rPr>
          <w:rFonts w:ascii="Book Antiqua" w:hAnsi="Book Antiqua" w:cs="Times New Roman"/>
          <w:color w:val="231F20"/>
          <w:sz w:val="24"/>
          <w:szCs w:val="24"/>
        </w:rPr>
        <w:t>-22 group</w:t>
      </w:r>
      <w:r w:rsidRPr="004931C2">
        <w:rPr>
          <w:rFonts w:ascii="Book Antiqua" w:hAnsi="Book Antiqua"/>
          <w:sz w:val="24"/>
          <w:szCs w:val="24"/>
        </w:rPr>
        <w:t xml:space="preserve"> </w:t>
      </w:r>
      <w:r w:rsidRPr="004931C2">
        <w:rPr>
          <w:rFonts w:ascii="Book Antiqua" w:hAnsi="Book Antiqua" w:cs="Times New Roman"/>
          <w:color w:val="231F20"/>
          <w:sz w:val="24"/>
          <w:szCs w:val="24"/>
        </w:rPr>
        <w:t>decreased, and the difference were significant at all time points (</w:t>
      </w:r>
      <w:r w:rsidR="00C6548E">
        <w:rPr>
          <w:rFonts w:ascii="Book Antiqua" w:hAnsi="Book Antiqua" w:cs="Times New Roman" w:hint="eastAsia"/>
          <w:color w:val="231F20"/>
          <w:sz w:val="24"/>
          <w:szCs w:val="24"/>
          <w:vertAlign w:val="superscript"/>
        </w:rPr>
        <w:t>c</w:t>
      </w:r>
      <w:r w:rsidR="00C6548E" w:rsidRPr="00C6548E">
        <w:rPr>
          <w:rFonts w:ascii="Book Antiqua" w:hAnsi="Book Antiqua" w:cs="Times New Roman"/>
          <w:i/>
          <w:color w:val="231F20"/>
          <w:sz w:val="24"/>
          <w:szCs w:val="24"/>
        </w:rPr>
        <w:t xml:space="preserve">P &lt; </w:t>
      </w:r>
      <w:r w:rsidRPr="004931C2">
        <w:rPr>
          <w:rFonts w:ascii="Book Antiqua" w:hAnsi="Book Antiqua" w:cs="Times New Roman"/>
          <w:color w:val="231F20"/>
          <w:sz w:val="24"/>
          <w:szCs w:val="24"/>
        </w:rPr>
        <w:t>0.01). Furthermore, with the recombinant IL-22 pretreatment, the ALT and AST levels in the ConA</w:t>
      </w:r>
      <w:r w:rsidR="00C6548E">
        <w:rPr>
          <w:rFonts w:ascii="Book Antiqua" w:hAnsi="Book Antiqua" w:cs="Times New Roman"/>
          <w:color w:val="231F20"/>
          <w:sz w:val="24"/>
          <w:szCs w:val="24"/>
        </w:rPr>
        <w:t xml:space="preserve"> + </w:t>
      </w:r>
      <w:r w:rsidRPr="004931C2">
        <w:rPr>
          <w:rFonts w:ascii="Book Antiqua" w:hAnsi="Book Antiqua" w:cs="Times New Roman"/>
          <w:color w:val="231F20"/>
          <w:sz w:val="24"/>
          <w:szCs w:val="24"/>
        </w:rPr>
        <w:t>PHX</w:t>
      </w:r>
      <w:r w:rsidR="00C6548E">
        <w:rPr>
          <w:rFonts w:ascii="Book Antiqua" w:hAnsi="Book Antiqua" w:cs="Times New Roman"/>
          <w:color w:val="231F20"/>
          <w:sz w:val="24"/>
          <w:szCs w:val="24"/>
        </w:rPr>
        <w:t xml:space="preserve"> + </w:t>
      </w:r>
      <w:r w:rsidRPr="004931C2">
        <w:rPr>
          <w:rFonts w:ascii="Book Antiqua" w:hAnsi="Book Antiqua" w:cs="Times New Roman"/>
          <w:color w:val="231F20"/>
          <w:sz w:val="24"/>
          <w:szCs w:val="24"/>
        </w:rPr>
        <w:t>IL-22 group decreased to significantly greater extents than the levels in the ConA and PHX groups at 40 h, 48 h and 1 w</w:t>
      </w:r>
      <w:r w:rsidR="00C6548E">
        <w:rPr>
          <w:rFonts w:ascii="Book Antiqua" w:hAnsi="Book Antiqua" w:cs="Times New Roman" w:hint="eastAsia"/>
          <w:color w:val="231F20"/>
          <w:sz w:val="24"/>
          <w:szCs w:val="24"/>
        </w:rPr>
        <w:t>k</w:t>
      </w:r>
      <w:r w:rsidRPr="004931C2">
        <w:rPr>
          <w:rFonts w:ascii="Book Antiqua" w:hAnsi="Book Antiqua" w:cs="Times New Roman"/>
          <w:color w:val="231F20"/>
          <w:sz w:val="24"/>
          <w:szCs w:val="24"/>
        </w:rPr>
        <w:t xml:space="preserve"> (</w:t>
      </w:r>
      <w:r w:rsidRPr="004931C2">
        <w:rPr>
          <w:rFonts w:ascii="Book Antiqua" w:hAnsi="Book Antiqua" w:cs="Times New Roman"/>
          <w:color w:val="231F20"/>
          <w:sz w:val="24"/>
          <w:szCs w:val="24"/>
          <w:vertAlign w:val="superscript"/>
        </w:rPr>
        <w:t>a</w:t>
      </w:r>
      <w:r w:rsidR="00C6548E" w:rsidRPr="00C6548E">
        <w:rPr>
          <w:rFonts w:ascii="Book Antiqua" w:hAnsi="Book Antiqua" w:cs="Times New Roman"/>
          <w:i/>
          <w:color w:val="231F20"/>
          <w:sz w:val="24"/>
          <w:szCs w:val="24"/>
        </w:rPr>
        <w:t xml:space="preserve">P &lt; </w:t>
      </w:r>
      <w:r w:rsidRPr="004931C2">
        <w:rPr>
          <w:rFonts w:ascii="Book Antiqua" w:hAnsi="Book Antiqua" w:cs="Times New Roman"/>
          <w:color w:val="231F20"/>
          <w:sz w:val="24"/>
          <w:szCs w:val="24"/>
        </w:rPr>
        <w:t>0.05).</w:t>
      </w:r>
    </w:p>
    <w:p w:rsidR="004931C2" w:rsidRPr="004931C2" w:rsidRDefault="004931C2" w:rsidP="004931C2">
      <w:pPr>
        <w:widowControl/>
        <w:adjustRightInd w:val="0"/>
        <w:snapToGrid w:val="0"/>
        <w:spacing w:line="360" w:lineRule="auto"/>
        <w:rPr>
          <w:rFonts w:ascii="Book Antiqua" w:hAnsi="Book Antiqua" w:cs="Times New Roman"/>
          <w:color w:val="231F20"/>
          <w:sz w:val="24"/>
          <w:szCs w:val="24"/>
        </w:rPr>
      </w:pPr>
      <w:r w:rsidRPr="004931C2">
        <w:rPr>
          <w:rFonts w:ascii="Book Antiqua" w:hAnsi="Book Antiqua" w:cs="Times New Roman"/>
          <w:color w:val="231F20"/>
          <w:sz w:val="24"/>
          <w:szCs w:val="24"/>
        </w:rPr>
        <w:br w:type="page"/>
      </w:r>
    </w:p>
    <w:p w:rsidR="004931C2" w:rsidRPr="004931C2" w:rsidRDefault="004931C2" w:rsidP="004931C2">
      <w:pPr>
        <w:adjustRightInd w:val="0"/>
        <w:snapToGrid w:val="0"/>
        <w:spacing w:line="360" w:lineRule="auto"/>
        <w:ind w:firstLineChars="100" w:firstLine="240"/>
        <w:rPr>
          <w:rFonts w:ascii="Book Antiqua" w:hAnsi="Book Antiqua" w:cs="Times New Roman"/>
          <w:color w:val="231F20"/>
          <w:sz w:val="24"/>
          <w:szCs w:val="24"/>
        </w:rPr>
      </w:pPr>
      <w:r w:rsidRPr="004931C2">
        <w:rPr>
          <w:rFonts w:ascii="Book Antiqua" w:hAnsi="Book Antiqua"/>
          <w:noProof/>
          <w:sz w:val="24"/>
          <w:szCs w:val="24"/>
        </w:rPr>
        <w:lastRenderedPageBreak/>
        <w:drawing>
          <wp:inline distT="0" distB="0" distL="0" distR="0" wp14:anchorId="4E58E5D5" wp14:editId="4376038E">
            <wp:extent cx="5057140" cy="2122805"/>
            <wp:effectExtent l="0" t="0" r="0" b="0"/>
            <wp:docPr id="5" name="图片 5" descr="说明: C:\Users\lzr\Desktop\病理\病理4组全\病理14-12 2wi 模板\组合.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lzr\Desktop\病理\病理4组全\病理14-12 2wi 模板\组合.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7140" cy="2122805"/>
                    </a:xfrm>
                    <a:prstGeom prst="rect">
                      <a:avLst/>
                    </a:prstGeom>
                    <a:noFill/>
                    <a:ln>
                      <a:noFill/>
                    </a:ln>
                  </pic:spPr>
                </pic:pic>
              </a:graphicData>
            </a:graphic>
          </wp:inline>
        </w:drawing>
      </w:r>
    </w:p>
    <w:p w:rsidR="004931C2" w:rsidRPr="004931C2" w:rsidRDefault="004931C2" w:rsidP="00C6548E">
      <w:pPr>
        <w:adjustRightInd w:val="0"/>
        <w:snapToGrid w:val="0"/>
        <w:spacing w:line="360" w:lineRule="auto"/>
        <w:rPr>
          <w:rFonts w:ascii="Book Antiqua" w:hAnsi="Book Antiqua" w:cs="Times New Roman"/>
          <w:color w:val="231F20"/>
          <w:sz w:val="24"/>
          <w:szCs w:val="24"/>
        </w:rPr>
      </w:pPr>
      <w:r w:rsidRPr="00C6548E">
        <w:rPr>
          <w:rFonts w:ascii="Book Antiqua" w:hAnsi="Book Antiqua" w:cs="Times New Roman"/>
          <w:b/>
          <w:color w:val="231F20"/>
          <w:sz w:val="24"/>
          <w:szCs w:val="24"/>
        </w:rPr>
        <w:t>Fig</w:t>
      </w:r>
      <w:r w:rsidR="00C6548E" w:rsidRPr="00C6548E">
        <w:rPr>
          <w:rFonts w:ascii="Book Antiqua" w:hAnsi="Book Antiqua" w:cs="Times New Roman" w:hint="eastAsia"/>
          <w:b/>
          <w:color w:val="231F20"/>
          <w:sz w:val="24"/>
          <w:szCs w:val="24"/>
        </w:rPr>
        <w:t>ure</w:t>
      </w:r>
      <w:r w:rsidRPr="00C6548E">
        <w:rPr>
          <w:rFonts w:ascii="Book Antiqua" w:hAnsi="Book Antiqua" w:cs="Times New Roman"/>
          <w:b/>
          <w:color w:val="231F20"/>
          <w:sz w:val="24"/>
          <w:szCs w:val="24"/>
        </w:rPr>
        <w:t xml:space="preserve"> 3 Representative hematoxylin and eosin staining of the remnant livers after partial hepatectomy</w:t>
      </w:r>
      <w:r w:rsidRPr="00C6548E">
        <w:rPr>
          <w:rFonts w:ascii="Book Antiqua" w:hAnsi="Book Antiqua" w:cs="Times New Roman"/>
          <w:b/>
          <w:color w:val="000000"/>
          <w:sz w:val="24"/>
          <w:szCs w:val="24"/>
        </w:rPr>
        <w:t xml:space="preserve">. </w:t>
      </w:r>
      <w:r w:rsidRPr="004931C2">
        <w:rPr>
          <w:rFonts w:ascii="Book Antiqua" w:hAnsi="Book Antiqua" w:cs="Times New Roman"/>
          <w:color w:val="000000"/>
          <w:sz w:val="24"/>
          <w:szCs w:val="24"/>
        </w:rPr>
        <w:t xml:space="preserve">The </w:t>
      </w:r>
      <w:r w:rsidRPr="004931C2">
        <w:rPr>
          <w:rFonts w:ascii="Book Antiqua" w:hAnsi="Book Antiqua" w:cs="Times New Roman"/>
          <w:color w:val="231F20"/>
          <w:sz w:val="24"/>
          <w:szCs w:val="24"/>
        </w:rPr>
        <w:t xml:space="preserve">PHX, </w:t>
      </w:r>
      <w:r w:rsidR="00880B1B" w:rsidRPr="00880B1B">
        <w:rPr>
          <w:rFonts w:ascii="Book Antiqua" w:hAnsi="Book Antiqua" w:cs="Times New Roman"/>
          <w:color w:val="231F20"/>
          <w:sz w:val="24"/>
          <w:szCs w:val="24"/>
        </w:rPr>
        <w:t>concanavalin A (ConA)</w:t>
      </w:r>
      <w:r w:rsidRPr="004931C2">
        <w:rPr>
          <w:rFonts w:ascii="Book Antiqua" w:hAnsi="Book Antiqua" w:cs="Times New Roman"/>
          <w:color w:val="231F20"/>
          <w:sz w:val="24"/>
          <w:szCs w:val="24"/>
        </w:rPr>
        <w:t>, ConA</w:t>
      </w:r>
      <w:r w:rsidR="00C6548E">
        <w:rPr>
          <w:rFonts w:ascii="Book Antiqua" w:hAnsi="Book Antiqua" w:cs="Times New Roman"/>
          <w:color w:val="231F20"/>
          <w:sz w:val="24"/>
          <w:szCs w:val="24"/>
        </w:rPr>
        <w:t xml:space="preserve"> + </w:t>
      </w:r>
      <w:r w:rsidRPr="004931C2">
        <w:rPr>
          <w:rFonts w:ascii="Book Antiqua" w:hAnsi="Book Antiqua" w:cs="Times New Roman"/>
          <w:color w:val="231F20"/>
          <w:sz w:val="24"/>
          <w:szCs w:val="24"/>
        </w:rPr>
        <w:t>PHX and ConA</w:t>
      </w:r>
      <w:r w:rsidR="00C6548E">
        <w:rPr>
          <w:rFonts w:ascii="Book Antiqua" w:hAnsi="Book Antiqua" w:cs="Times New Roman"/>
          <w:color w:val="231F20"/>
          <w:sz w:val="24"/>
          <w:szCs w:val="24"/>
        </w:rPr>
        <w:t xml:space="preserve"> + </w:t>
      </w:r>
      <w:r w:rsidRPr="004931C2">
        <w:rPr>
          <w:rFonts w:ascii="Book Antiqua" w:hAnsi="Book Antiqua" w:cs="Times New Roman"/>
          <w:color w:val="231F20"/>
          <w:sz w:val="24"/>
          <w:szCs w:val="24"/>
        </w:rPr>
        <w:t>PHX</w:t>
      </w:r>
      <w:r w:rsidR="00C6548E">
        <w:rPr>
          <w:rFonts w:ascii="Book Antiqua" w:hAnsi="Book Antiqua" w:cs="Times New Roman"/>
          <w:color w:val="231F20"/>
          <w:sz w:val="24"/>
          <w:szCs w:val="24"/>
        </w:rPr>
        <w:t xml:space="preserve"> + </w:t>
      </w:r>
      <w:r w:rsidR="00880B1B">
        <w:rPr>
          <w:rFonts w:ascii="Book Antiqua" w:hAnsi="Book Antiqua" w:cs="Times New Roman"/>
          <w:color w:val="231F20"/>
          <w:kern w:val="0"/>
          <w:sz w:val="24"/>
          <w:szCs w:val="24"/>
        </w:rPr>
        <w:t>interleukin (IL)</w:t>
      </w:r>
      <w:r w:rsidRPr="004931C2">
        <w:rPr>
          <w:rFonts w:ascii="Book Antiqua" w:hAnsi="Book Antiqua" w:cs="Times New Roman"/>
          <w:color w:val="231F20"/>
          <w:sz w:val="24"/>
          <w:szCs w:val="24"/>
        </w:rPr>
        <w:t xml:space="preserve">-22 groups, respectively, at </w:t>
      </w:r>
      <w:r w:rsidRPr="004931C2">
        <w:rPr>
          <w:rFonts w:ascii="Book Antiqua" w:hAnsi="Book Antiqua" w:cs="Times New Roman"/>
          <w:color w:val="000000"/>
          <w:sz w:val="24"/>
          <w:szCs w:val="24"/>
        </w:rPr>
        <w:t xml:space="preserve">48 h </w:t>
      </w:r>
      <w:r w:rsidRPr="004931C2">
        <w:rPr>
          <w:rFonts w:ascii="Book Antiqua" w:hAnsi="Book Antiqua" w:cs="Times New Roman"/>
          <w:color w:val="231F20"/>
          <w:sz w:val="24"/>
          <w:szCs w:val="24"/>
        </w:rPr>
        <w:t>after partial hepatectomy</w:t>
      </w:r>
      <w:r w:rsidR="00C6548E">
        <w:rPr>
          <w:rFonts w:ascii="Book Antiqua" w:hAnsi="Book Antiqua" w:cs="Times New Roman" w:hint="eastAsia"/>
          <w:color w:val="231F20"/>
          <w:sz w:val="24"/>
          <w:szCs w:val="24"/>
        </w:rPr>
        <w:t xml:space="preserve"> </w:t>
      </w:r>
      <w:r w:rsidR="00C6548E" w:rsidRPr="00C6548E">
        <w:rPr>
          <w:rFonts w:ascii="Book Antiqua" w:hAnsi="Book Antiqua" w:cs="Times New Roman"/>
          <w:color w:val="231F20"/>
          <w:sz w:val="24"/>
          <w:szCs w:val="24"/>
        </w:rPr>
        <w:t>(a-d)</w:t>
      </w:r>
      <w:r w:rsidR="00C6548E">
        <w:rPr>
          <w:rFonts w:ascii="Book Antiqua" w:hAnsi="Book Antiqua" w:cs="Times New Roman" w:hint="eastAsia"/>
          <w:color w:val="231F20"/>
          <w:sz w:val="24"/>
          <w:szCs w:val="24"/>
        </w:rPr>
        <w:t xml:space="preserve">; </w:t>
      </w:r>
      <w:r w:rsidRPr="004931C2">
        <w:rPr>
          <w:rFonts w:ascii="Book Antiqua" w:hAnsi="Book Antiqua" w:cs="Times New Roman"/>
          <w:color w:val="000000"/>
          <w:sz w:val="24"/>
          <w:szCs w:val="24"/>
        </w:rPr>
        <w:t xml:space="preserve">The </w:t>
      </w:r>
      <w:r w:rsidRPr="004931C2">
        <w:rPr>
          <w:rFonts w:ascii="Book Antiqua" w:hAnsi="Book Antiqua" w:cs="Times New Roman"/>
          <w:color w:val="231F20"/>
          <w:sz w:val="24"/>
          <w:szCs w:val="24"/>
        </w:rPr>
        <w:t>PHX, ConA, ConA</w:t>
      </w:r>
      <w:r w:rsidR="00C6548E">
        <w:rPr>
          <w:rFonts w:ascii="Book Antiqua" w:hAnsi="Book Antiqua" w:cs="Times New Roman"/>
          <w:color w:val="231F20"/>
          <w:sz w:val="24"/>
          <w:szCs w:val="24"/>
        </w:rPr>
        <w:t xml:space="preserve"> + </w:t>
      </w:r>
      <w:r w:rsidRPr="004931C2">
        <w:rPr>
          <w:rFonts w:ascii="Book Antiqua" w:hAnsi="Book Antiqua" w:cs="Times New Roman"/>
          <w:color w:val="231F20"/>
          <w:sz w:val="24"/>
          <w:szCs w:val="24"/>
        </w:rPr>
        <w:t>PHX and ConA</w:t>
      </w:r>
      <w:r w:rsidR="00C6548E">
        <w:rPr>
          <w:rFonts w:ascii="Book Antiqua" w:hAnsi="Book Antiqua" w:cs="Times New Roman"/>
          <w:color w:val="231F20"/>
          <w:sz w:val="24"/>
          <w:szCs w:val="24"/>
        </w:rPr>
        <w:t xml:space="preserve"> + </w:t>
      </w:r>
      <w:r w:rsidRPr="004931C2">
        <w:rPr>
          <w:rFonts w:ascii="Book Antiqua" w:hAnsi="Book Antiqua" w:cs="Times New Roman"/>
          <w:color w:val="231F20"/>
          <w:sz w:val="24"/>
          <w:szCs w:val="24"/>
        </w:rPr>
        <w:t>PHX</w:t>
      </w:r>
      <w:r w:rsidR="00C6548E">
        <w:rPr>
          <w:rFonts w:ascii="Book Antiqua" w:hAnsi="Book Antiqua" w:cs="Times New Roman"/>
          <w:color w:val="231F20"/>
          <w:sz w:val="24"/>
          <w:szCs w:val="24"/>
        </w:rPr>
        <w:t xml:space="preserve"> + </w:t>
      </w:r>
      <w:r w:rsidRPr="004931C2">
        <w:rPr>
          <w:rFonts w:ascii="Book Antiqua" w:hAnsi="Book Antiqua" w:cs="Times New Roman"/>
          <w:color w:val="231F20"/>
          <w:sz w:val="24"/>
          <w:szCs w:val="24"/>
        </w:rPr>
        <w:t>IL-22 groups, respectively, at 2 w</w:t>
      </w:r>
      <w:r w:rsidR="00C6548E">
        <w:rPr>
          <w:rFonts w:ascii="Book Antiqua" w:hAnsi="Book Antiqua" w:cs="Times New Roman" w:hint="eastAsia"/>
          <w:color w:val="231F20"/>
          <w:sz w:val="24"/>
          <w:szCs w:val="24"/>
        </w:rPr>
        <w:t>k</w:t>
      </w:r>
      <w:r w:rsidRPr="004931C2">
        <w:rPr>
          <w:rFonts w:ascii="Book Antiqua" w:hAnsi="Book Antiqua" w:cs="Times New Roman"/>
          <w:color w:val="231F20"/>
          <w:sz w:val="24"/>
          <w:szCs w:val="24"/>
        </w:rPr>
        <w:t xml:space="preserve"> after partial hepatectomy</w:t>
      </w:r>
      <w:r w:rsidR="00C6548E">
        <w:rPr>
          <w:rFonts w:ascii="Book Antiqua" w:hAnsi="Book Antiqua" w:cs="Times New Roman" w:hint="eastAsia"/>
          <w:color w:val="231F20"/>
          <w:sz w:val="24"/>
          <w:szCs w:val="24"/>
        </w:rPr>
        <w:t xml:space="preserve"> </w:t>
      </w:r>
      <w:r w:rsidR="00C6548E" w:rsidRPr="00C6548E">
        <w:rPr>
          <w:rFonts w:ascii="Book Antiqua" w:hAnsi="Book Antiqua" w:cs="Times New Roman"/>
          <w:color w:val="231F20"/>
          <w:sz w:val="24"/>
          <w:szCs w:val="24"/>
        </w:rPr>
        <w:t>(e-h)</w:t>
      </w:r>
      <w:r w:rsidRPr="004931C2">
        <w:rPr>
          <w:rFonts w:ascii="Book Antiqua" w:hAnsi="Book Antiqua" w:cs="Times New Roman"/>
          <w:color w:val="231F20"/>
          <w:sz w:val="24"/>
          <w:szCs w:val="24"/>
        </w:rPr>
        <w:t>.</w:t>
      </w:r>
    </w:p>
    <w:p w:rsidR="004931C2" w:rsidRPr="004931C2" w:rsidRDefault="004931C2" w:rsidP="004931C2">
      <w:pPr>
        <w:widowControl/>
        <w:adjustRightInd w:val="0"/>
        <w:snapToGrid w:val="0"/>
        <w:spacing w:line="360" w:lineRule="auto"/>
        <w:rPr>
          <w:rFonts w:ascii="Book Antiqua" w:hAnsi="Book Antiqua" w:cs="Times New Roman"/>
          <w:color w:val="231F20"/>
          <w:sz w:val="24"/>
          <w:szCs w:val="24"/>
        </w:rPr>
      </w:pPr>
      <w:r w:rsidRPr="004931C2">
        <w:rPr>
          <w:rFonts w:ascii="Book Antiqua" w:hAnsi="Book Antiqua" w:cs="Times New Roman"/>
          <w:color w:val="231F20"/>
          <w:sz w:val="24"/>
          <w:szCs w:val="24"/>
        </w:rPr>
        <w:br w:type="page"/>
      </w:r>
    </w:p>
    <w:p w:rsidR="004931C2" w:rsidRPr="004931C2" w:rsidRDefault="004931C2" w:rsidP="004931C2">
      <w:pPr>
        <w:adjustRightInd w:val="0"/>
        <w:snapToGrid w:val="0"/>
        <w:spacing w:line="360" w:lineRule="auto"/>
        <w:rPr>
          <w:rFonts w:ascii="Book Antiqua" w:hAnsi="Book Antiqua" w:cs="Times New Roman"/>
          <w:b/>
          <w:color w:val="231F20"/>
          <w:sz w:val="24"/>
          <w:szCs w:val="24"/>
        </w:rPr>
      </w:pPr>
      <w:r w:rsidRPr="004931C2">
        <w:rPr>
          <w:rFonts w:ascii="Book Antiqua" w:hAnsi="Book Antiqua" w:cs="Times New Roman"/>
          <w:b/>
          <w:color w:val="231F20"/>
          <w:sz w:val="24"/>
          <w:szCs w:val="24"/>
        </w:rPr>
        <w:lastRenderedPageBreak/>
        <w:t>A</w:t>
      </w:r>
    </w:p>
    <w:p w:rsidR="004931C2" w:rsidRPr="004931C2" w:rsidRDefault="004931C2" w:rsidP="004931C2">
      <w:pPr>
        <w:adjustRightInd w:val="0"/>
        <w:snapToGrid w:val="0"/>
        <w:spacing w:line="360" w:lineRule="auto"/>
        <w:ind w:firstLineChars="144" w:firstLine="346"/>
        <w:rPr>
          <w:rFonts w:ascii="Book Antiqua" w:hAnsi="Book Antiqua" w:cs="Times New Roman"/>
          <w:color w:val="231F20"/>
          <w:sz w:val="24"/>
          <w:szCs w:val="24"/>
        </w:rPr>
      </w:pPr>
      <w:r w:rsidRPr="004931C2">
        <w:rPr>
          <w:rFonts w:ascii="Book Antiqua" w:hAnsi="Book Antiqua" w:cs="Times New Roman"/>
          <w:color w:val="231F20"/>
          <w:sz w:val="24"/>
          <w:szCs w:val="24"/>
        </w:rPr>
        <w:t>a</w:t>
      </w:r>
      <w:r w:rsidR="00880B1B">
        <w:rPr>
          <w:rFonts w:ascii="Book Antiqua" w:hAnsi="Book Antiqua" w:cs="Times New Roman"/>
          <w:color w:val="231F20"/>
          <w:sz w:val="24"/>
          <w:szCs w:val="24"/>
        </w:rPr>
        <w:t xml:space="preserve"> </w:t>
      </w:r>
      <w:r w:rsidRPr="004931C2">
        <w:rPr>
          <w:rFonts w:ascii="Book Antiqua" w:hAnsi="Book Antiqua" w:cs="Times New Roman"/>
          <w:color w:val="231F20"/>
          <w:sz w:val="24"/>
          <w:szCs w:val="24"/>
        </w:rPr>
        <w:t>b</w:t>
      </w:r>
      <w:r w:rsidR="00880B1B">
        <w:rPr>
          <w:rFonts w:ascii="Book Antiqua" w:hAnsi="Book Antiqua" w:cs="Times New Roman"/>
          <w:color w:val="231F20"/>
          <w:sz w:val="24"/>
          <w:szCs w:val="24"/>
        </w:rPr>
        <w:t xml:space="preserve"> </w:t>
      </w:r>
    </w:p>
    <w:p w:rsidR="004931C2" w:rsidRPr="004931C2" w:rsidRDefault="00C6548E" w:rsidP="004931C2">
      <w:pPr>
        <w:adjustRightInd w:val="0"/>
        <w:snapToGrid w:val="0"/>
        <w:spacing w:line="360" w:lineRule="auto"/>
        <w:rPr>
          <w:rFonts w:ascii="Book Antiqua" w:hAnsi="Book Antiqua"/>
          <w:b/>
          <w:noProof/>
          <w:sz w:val="24"/>
          <w:szCs w:val="24"/>
        </w:rPr>
      </w:pPr>
      <w:r>
        <w:rPr>
          <w:rFonts w:ascii="Book Antiqua" w:hAnsi="Book Antiqua"/>
          <w:b/>
          <w:noProof/>
          <w:sz w:val="24"/>
          <w:szCs w:val="24"/>
        </w:rPr>
        <w:drawing>
          <wp:inline distT="0" distB="0" distL="0" distR="0" wp14:anchorId="7BB052E5" wp14:editId="36691BEB">
            <wp:extent cx="2601581" cy="2011680"/>
            <wp:effectExtent l="0" t="0" r="8890" b="7620"/>
            <wp:docPr id="15" name="图片 15" descr="C:\Users\baishideng-2014\Desktop\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ishideng-2014\Desktop\4.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1778" cy="2011833"/>
                    </a:xfrm>
                    <a:prstGeom prst="rect">
                      <a:avLst/>
                    </a:prstGeom>
                    <a:noFill/>
                    <a:ln>
                      <a:noFill/>
                    </a:ln>
                  </pic:spPr>
                </pic:pic>
              </a:graphicData>
            </a:graphic>
          </wp:inline>
        </w:drawing>
      </w:r>
      <w:r w:rsidR="004931C2" w:rsidRPr="004931C2">
        <w:rPr>
          <w:rFonts w:ascii="Book Antiqua" w:hAnsi="Book Antiqua"/>
          <w:b/>
          <w:noProof/>
          <w:sz w:val="24"/>
          <w:szCs w:val="24"/>
        </w:rPr>
        <w:drawing>
          <wp:inline distT="0" distB="0" distL="0" distR="0" wp14:anchorId="7960E274" wp14:editId="14DC856A">
            <wp:extent cx="2534368" cy="1963972"/>
            <wp:effectExtent l="0" t="0" r="0" b="0"/>
            <wp:docPr id="1" name="图片 1" descr="C:\Users\lzr\Desktop\柱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zr\Desktop\柱4a.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0142" cy="1968447"/>
                    </a:xfrm>
                    <a:prstGeom prst="rect">
                      <a:avLst/>
                    </a:prstGeom>
                    <a:noFill/>
                    <a:ln>
                      <a:noFill/>
                    </a:ln>
                  </pic:spPr>
                </pic:pic>
              </a:graphicData>
            </a:graphic>
          </wp:inline>
        </w:drawing>
      </w:r>
      <w:r w:rsidR="004931C2" w:rsidRPr="004931C2">
        <w:rPr>
          <w:rFonts w:ascii="Book Antiqua" w:hAnsi="Book Antiqua"/>
          <w:b/>
          <w:noProof/>
          <w:sz w:val="24"/>
          <w:szCs w:val="24"/>
        </w:rPr>
        <w:drawing>
          <wp:inline distT="0" distB="0" distL="0" distR="0" wp14:anchorId="6AF6DDFD" wp14:editId="1BAF32BE">
            <wp:extent cx="2715754" cy="2075290"/>
            <wp:effectExtent l="0" t="0" r="8890" b="1270"/>
            <wp:docPr id="4" name="图片 4" descr="C:\Users\lzr\Desktop\线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zr\Desktop\线4b.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7491" cy="2076617"/>
                    </a:xfrm>
                    <a:prstGeom prst="rect">
                      <a:avLst/>
                    </a:prstGeom>
                    <a:noFill/>
                    <a:ln>
                      <a:noFill/>
                    </a:ln>
                  </pic:spPr>
                </pic:pic>
              </a:graphicData>
            </a:graphic>
          </wp:inline>
        </w:drawing>
      </w:r>
    </w:p>
    <w:p w:rsidR="004931C2" w:rsidRPr="004931C2" w:rsidRDefault="004931C2" w:rsidP="004931C2">
      <w:pPr>
        <w:adjustRightInd w:val="0"/>
        <w:snapToGrid w:val="0"/>
        <w:spacing w:line="360" w:lineRule="auto"/>
        <w:rPr>
          <w:rFonts w:ascii="Book Antiqua" w:hAnsi="Book Antiqua"/>
          <w:b/>
          <w:sz w:val="24"/>
          <w:szCs w:val="24"/>
        </w:rPr>
      </w:pPr>
      <w:r w:rsidRPr="004931C2">
        <w:rPr>
          <w:rFonts w:ascii="Book Antiqua" w:hAnsi="Book Antiqua"/>
          <w:b/>
          <w:sz w:val="24"/>
          <w:szCs w:val="24"/>
        </w:rPr>
        <w:t>B</w:t>
      </w:r>
    </w:p>
    <w:p w:rsidR="004931C2" w:rsidRPr="004931C2" w:rsidRDefault="004931C2" w:rsidP="004931C2">
      <w:pPr>
        <w:adjustRightInd w:val="0"/>
        <w:snapToGrid w:val="0"/>
        <w:spacing w:line="360" w:lineRule="auto"/>
        <w:ind w:firstLineChars="98" w:firstLine="236"/>
        <w:rPr>
          <w:rFonts w:ascii="Book Antiqua" w:hAnsi="Book Antiqua"/>
          <w:b/>
          <w:sz w:val="24"/>
          <w:szCs w:val="24"/>
        </w:rPr>
      </w:pPr>
      <w:r w:rsidRPr="004931C2">
        <w:rPr>
          <w:rFonts w:ascii="Book Antiqua" w:hAnsi="Book Antiqua"/>
          <w:b/>
          <w:noProof/>
          <w:sz w:val="24"/>
          <w:szCs w:val="24"/>
        </w:rPr>
        <w:drawing>
          <wp:inline distT="0" distB="0" distL="0" distR="0" wp14:anchorId="2B3A51DB" wp14:editId="77630630">
            <wp:extent cx="5144770" cy="2226310"/>
            <wp:effectExtent l="0" t="0" r="0" b="2540"/>
            <wp:docPr id="3" name="图片 3" descr="说明: F:\资料\实验资料\文章\IL-22对刀豆蛋白A介导的肝损伤小鼠部分肝切除术后肝脏再生的作用\pcna\四组\图片12×14\全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说明: F:\资料\实验资料\文章\IL-22对刀豆蛋白A介导的肝损伤小鼠部分肝切除术后肝脏再生的作用\pcna\四组\图片12×14\全图.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4770" cy="2226310"/>
                    </a:xfrm>
                    <a:prstGeom prst="rect">
                      <a:avLst/>
                    </a:prstGeom>
                    <a:noFill/>
                    <a:ln>
                      <a:noFill/>
                    </a:ln>
                  </pic:spPr>
                </pic:pic>
              </a:graphicData>
            </a:graphic>
          </wp:inline>
        </w:drawing>
      </w:r>
    </w:p>
    <w:p w:rsidR="004931C2" w:rsidRPr="004931C2" w:rsidRDefault="004931C2" w:rsidP="00C6548E">
      <w:pPr>
        <w:adjustRightInd w:val="0"/>
        <w:snapToGrid w:val="0"/>
        <w:spacing w:line="360" w:lineRule="auto"/>
        <w:rPr>
          <w:rFonts w:ascii="Book Antiqua" w:hAnsi="Book Antiqua" w:cs="Times New Roman"/>
          <w:color w:val="231F20"/>
          <w:sz w:val="24"/>
          <w:szCs w:val="24"/>
        </w:rPr>
      </w:pPr>
      <w:r w:rsidRPr="00C6548E">
        <w:rPr>
          <w:rFonts w:ascii="Book Antiqua" w:hAnsi="Book Antiqua" w:cs="Times New Roman"/>
          <w:b/>
          <w:color w:val="231F20"/>
          <w:sz w:val="24"/>
          <w:szCs w:val="24"/>
        </w:rPr>
        <w:t>F</w:t>
      </w:r>
      <w:r w:rsidRPr="00880B1B">
        <w:rPr>
          <w:rFonts w:ascii="Book Antiqua" w:hAnsi="Book Antiqua" w:cs="Times New Roman"/>
          <w:b/>
          <w:color w:val="231F20"/>
          <w:sz w:val="24"/>
          <w:szCs w:val="24"/>
        </w:rPr>
        <w:t>ig</w:t>
      </w:r>
      <w:r w:rsidR="00C6548E" w:rsidRPr="00880B1B">
        <w:rPr>
          <w:rFonts w:ascii="Book Antiqua" w:hAnsi="Book Antiqua" w:cs="Times New Roman" w:hint="eastAsia"/>
          <w:b/>
          <w:color w:val="231F20"/>
          <w:sz w:val="24"/>
          <w:szCs w:val="24"/>
        </w:rPr>
        <w:t>ure</w:t>
      </w:r>
      <w:r w:rsidRPr="00880B1B">
        <w:rPr>
          <w:rFonts w:ascii="Book Antiqua" w:hAnsi="Book Antiqua" w:cs="Times New Roman"/>
          <w:b/>
          <w:color w:val="231F20"/>
          <w:sz w:val="24"/>
          <w:szCs w:val="24"/>
        </w:rPr>
        <w:t xml:space="preserve"> 4 </w:t>
      </w:r>
      <w:r w:rsidR="00880B1B" w:rsidRPr="00880B1B">
        <w:rPr>
          <w:rFonts w:ascii="Book Antiqua" w:hAnsi="Book Antiqua" w:cs="Times New Roman"/>
          <w:b/>
          <w:kern w:val="0"/>
          <w:sz w:val="24"/>
          <w:szCs w:val="24"/>
        </w:rPr>
        <w:t xml:space="preserve">Proliferating cell nuclear antigen </w:t>
      </w:r>
      <w:r w:rsidRPr="00880B1B">
        <w:rPr>
          <w:rFonts w:ascii="Book Antiqua" w:hAnsi="Book Antiqua" w:cs="Times New Roman"/>
          <w:b/>
          <w:color w:val="231F20"/>
          <w:sz w:val="24"/>
          <w:szCs w:val="24"/>
        </w:rPr>
        <w:t>labeling indices in the remnant livers after partial hepatectomy</w:t>
      </w:r>
      <w:r w:rsidRPr="00C6548E">
        <w:rPr>
          <w:rFonts w:ascii="Book Antiqua" w:hAnsi="Book Antiqua" w:cs="Times New Roman"/>
          <w:b/>
          <w:color w:val="231F20"/>
          <w:sz w:val="24"/>
          <w:szCs w:val="24"/>
        </w:rPr>
        <w:t xml:space="preserve">. </w:t>
      </w:r>
      <w:r w:rsidRPr="00C6548E">
        <w:rPr>
          <w:rFonts w:ascii="Book Antiqua" w:hAnsi="Book Antiqua" w:cs="Times New Roman"/>
          <w:color w:val="231F20"/>
          <w:sz w:val="24"/>
          <w:szCs w:val="24"/>
        </w:rPr>
        <w:t xml:space="preserve">A: </w:t>
      </w:r>
      <w:r w:rsidRPr="004931C2">
        <w:rPr>
          <w:rFonts w:ascii="Book Antiqua" w:hAnsi="Book Antiqua" w:cs="Times New Roman"/>
          <w:color w:val="231F20"/>
          <w:sz w:val="24"/>
          <w:szCs w:val="24"/>
        </w:rPr>
        <w:t xml:space="preserve">Compared with the </w:t>
      </w:r>
      <w:r w:rsidR="00880B1B" w:rsidRPr="00880B1B">
        <w:rPr>
          <w:rFonts w:ascii="Book Antiqua" w:hAnsi="Book Antiqua" w:cs="Times New Roman"/>
          <w:color w:val="231F20"/>
          <w:sz w:val="24"/>
          <w:szCs w:val="24"/>
        </w:rPr>
        <w:t>concanavalin A (ConA)</w:t>
      </w:r>
      <w:r w:rsidR="00880B1B">
        <w:rPr>
          <w:rFonts w:ascii="Book Antiqua" w:hAnsi="Book Antiqua" w:cs="Times New Roman" w:hint="eastAsia"/>
          <w:color w:val="231F20"/>
          <w:sz w:val="24"/>
          <w:szCs w:val="24"/>
        </w:rPr>
        <w:t xml:space="preserve"> </w:t>
      </w:r>
      <w:r w:rsidR="00C6548E">
        <w:rPr>
          <w:rFonts w:ascii="Book Antiqua" w:hAnsi="Book Antiqua" w:cs="Times New Roman"/>
          <w:color w:val="231F20"/>
          <w:sz w:val="24"/>
          <w:szCs w:val="24"/>
        </w:rPr>
        <w:t>+</w:t>
      </w:r>
      <w:r w:rsidR="00880B1B">
        <w:rPr>
          <w:rFonts w:ascii="Book Antiqua" w:hAnsi="Book Antiqua" w:cs="Times New Roman"/>
          <w:color w:val="231F20"/>
          <w:sz w:val="24"/>
          <w:szCs w:val="24"/>
        </w:rPr>
        <w:t xml:space="preserve"> </w:t>
      </w:r>
      <w:r w:rsidRPr="004931C2">
        <w:rPr>
          <w:rFonts w:ascii="Book Antiqua" w:hAnsi="Book Antiqua" w:cs="Times New Roman"/>
          <w:color w:val="231F20"/>
          <w:sz w:val="24"/>
          <w:szCs w:val="24"/>
        </w:rPr>
        <w:t xml:space="preserve">PHX group, the </w:t>
      </w:r>
      <w:r w:rsidR="00880B1B">
        <w:rPr>
          <w:rFonts w:ascii="Book Antiqua" w:hAnsi="Book Antiqua" w:cs="Times New Roman"/>
          <w:kern w:val="0"/>
          <w:sz w:val="24"/>
          <w:szCs w:val="24"/>
        </w:rPr>
        <w:t>proliferating cell nuclear antigen (PCNA)</w:t>
      </w:r>
      <w:r w:rsidR="00880B1B" w:rsidRPr="004931C2">
        <w:rPr>
          <w:rFonts w:ascii="Book Antiqua" w:hAnsi="Book Antiqua" w:cs="Times New Roman"/>
          <w:color w:val="231F20"/>
          <w:sz w:val="24"/>
          <w:szCs w:val="24"/>
        </w:rPr>
        <w:t xml:space="preserve"> </w:t>
      </w:r>
      <w:r w:rsidRPr="004931C2">
        <w:rPr>
          <w:rFonts w:ascii="Book Antiqua" w:hAnsi="Book Antiqua" w:cs="Times New Roman"/>
          <w:color w:val="231F20"/>
          <w:sz w:val="24"/>
          <w:szCs w:val="24"/>
        </w:rPr>
        <w:t>labeling indices were significantly increased in the ConA, PHX and ConA</w:t>
      </w:r>
      <w:r w:rsidR="00880B1B">
        <w:rPr>
          <w:rFonts w:ascii="Book Antiqua" w:hAnsi="Book Antiqua" w:cs="Times New Roman" w:hint="eastAsia"/>
          <w:color w:val="231F20"/>
          <w:sz w:val="24"/>
          <w:szCs w:val="24"/>
        </w:rPr>
        <w:t xml:space="preserve"> </w:t>
      </w:r>
      <w:r w:rsidR="00C6548E">
        <w:rPr>
          <w:rFonts w:ascii="Book Antiqua" w:hAnsi="Book Antiqua" w:cs="Times New Roman"/>
          <w:color w:val="231F20"/>
          <w:sz w:val="24"/>
          <w:szCs w:val="24"/>
        </w:rPr>
        <w:t>+</w:t>
      </w:r>
      <w:r w:rsidR="00880B1B">
        <w:rPr>
          <w:rFonts w:ascii="Book Antiqua" w:hAnsi="Book Antiqua" w:cs="Times New Roman"/>
          <w:color w:val="231F20"/>
          <w:sz w:val="24"/>
          <w:szCs w:val="24"/>
        </w:rPr>
        <w:t xml:space="preserve"> </w:t>
      </w:r>
      <w:r w:rsidRPr="004931C2">
        <w:rPr>
          <w:rFonts w:ascii="Book Antiqua" w:hAnsi="Book Antiqua" w:cs="Times New Roman"/>
          <w:color w:val="231F20"/>
          <w:sz w:val="24"/>
          <w:szCs w:val="24"/>
        </w:rPr>
        <w:t>PHX</w:t>
      </w:r>
      <w:r w:rsidR="00C6548E">
        <w:rPr>
          <w:rFonts w:ascii="Book Antiqua" w:hAnsi="Book Antiqua" w:cs="Times New Roman"/>
          <w:color w:val="231F20"/>
          <w:sz w:val="24"/>
          <w:szCs w:val="24"/>
        </w:rPr>
        <w:t xml:space="preserve"> + </w:t>
      </w:r>
      <w:r w:rsidR="00880B1B">
        <w:rPr>
          <w:rFonts w:ascii="Book Antiqua" w:hAnsi="Book Antiqua" w:cs="Times New Roman"/>
          <w:color w:val="231F20"/>
          <w:kern w:val="0"/>
          <w:sz w:val="24"/>
          <w:szCs w:val="24"/>
        </w:rPr>
        <w:t>interleukin (IL)</w:t>
      </w:r>
      <w:r w:rsidRPr="004931C2">
        <w:rPr>
          <w:rFonts w:ascii="Book Antiqua" w:hAnsi="Book Antiqua" w:cs="Times New Roman"/>
          <w:color w:val="231F20"/>
          <w:sz w:val="24"/>
          <w:szCs w:val="24"/>
        </w:rPr>
        <w:t>-22 groups at all of the time points (</w:t>
      </w:r>
      <w:r w:rsidRPr="004931C2">
        <w:rPr>
          <w:rFonts w:ascii="Book Antiqua" w:hAnsi="Book Antiqua" w:cs="Times New Roman"/>
          <w:color w:val="231F20"/>
          <w:sz w:val="24"/>
          <w:szCs w:val="24"/>
          <w:vertAlign w:val="superscript"/>
        </w:rPr>
        <w:t>a</w:t>
      </w:r>
      <w:r w:rsidR="00C6548E" w:rsidRPr="00C6548E">
        <w:rPr>
          <w:rFonts w:ascii="Book Antiqua" w:hAnsi="Book Antiqua" w:cs="Times New Roman"/>
          <w:i/>
          <w:color w:val="231F20"/>
          <w:sz w:val="24"/>
          <w:szCs w:val="24"/>
        </w:rPr>
        <w:t xml:space="preserve">P &lt; </w:t>
      </w:r>
      <w:r w:rsidRPr="004931C2">
        <w:rPr>
          <w:rFonts w:ascii="Book Antiqua" w:hAnsi="Book Antiqua" w:cs="Times New Roman"/>
          <w:color w:val="231F20"/>
          <w:sz w:val="24"/>
          <w:szCs w:val="24"/>
        </w:rPr>
        <w:t xml:space="preserve">0.05), particularly at 32, </w:t>
      </w:r>
      <w:r w:rsidRPr="004931C2">
        <w:rPr>
          <w:rFonts w:ascii="Book Antiqua" w:hAnsi="Book Antiqua" w:cs="Times New Roman"/>
          <w:color w:val="231F20"/>
          <w:sz w:val="24"/>
          <w:szCs w:val="24"/>
        </w:rPr>
        <w:lastRenderedPageBreak/>
        <w:t>40, and 48 h (</w:t>
      </w:r>
      <w:r w:rsidR="00C6548E">
        <w:rPr>
          <w:rFonts w:ascii="Book Antiqua" w:hAnsi="Book Antiqua" w:cs="Times New Roman" w:hint="eastAsia"/>
          <w:color w:val="231F20"/>
          <w:sz w:val="24"/>
          <w:szCs w:val="24"/>
          <w:vertAlign w:val="superscript"/>
        </w:rPr>
        <w:t>c</w:t>
      </w:r>
      <w:r w:rsidR="00C6548E" w:rsidRPr="00C6548E">
        <w:rPr>
          <w:rFonts w:ascii="Book Antiqua" w:hAnsi="Book Antiqua" w:cs="Times New Roman"/>
          <w:i/>
          <w:color w:val="231F20"/>
          <w:sz w:val="24"/>
          <w:szCs w:val="24"/>
        </w:rPr>
        <w:t xml:space="preserve">P &lt; </w:t>
      </w:r>
      <w:r w:rsidRPr="004931C2">
        <w:rPr>
          <w:rFonts w:ascii="Book Antiqua" w:hAnsi="Book Antiqua" w:cs="Times New Roman"/>
          <w:color w:val="231F20"/>
          <w:sz w:val="24"/>
          <w:szCs w:val="24"/>
        </w:rPr>
        <w:t>0.01). Furthermore, the increases in the PCNA levels in the ConA</w:t>
      </w:r>
      <w:r w:rsidR="00C6548E">
        <w:rPr>
          <w:rFonts w:ascii="Book Antiqua" w:hAnsi="Book Antiqua" w:cs="Times New Roman"/>
          <w:color w:val="231F20"/>
          <w:sz w:val="24"/>
          <w:szCs w:val="24"/>
        </w:rPr>
        <w:t xml:space="preserve"> + </w:t>
      </w:r>
      <w:r w:rsidRPr="004931C2">
        <w:rPr>
          <w:rFonts w:ascii="Book Antiqua" w:hAnsi="Book Antiqua" w:cs="Times New Roman"/>
          <w:color w:val="231F20"/>
          <w:sz w:val="24"/>
          <w:szCs w:val="24"/>
        </w:rPr>
        <w:t>PHX</w:t>
      </w:r>
      <w:r w:rsidR="00C6548E">
        <w:rPr>
          <w:rFonts w:ascii="Book Antiqua" w:hAnsi="Book Antiqua" w:cs="Times New Roman"/>
          <w:color w:val="231F20"/>
          <w:sz w:val="24"/>
          <w:szCs w:val="24"/>
        </w:rPr>
        <w:t xml:space="preserve"> + </w:t>
      </w:r>
      <w:r w:rsidRPr="004931C2">
        <w:rPr>
          <w:rFonts w:ascii="Book Antiqua" w:hAnsi="Book Antiqua" w:cs="Times New Roman"/>
          <w:color w:val="231F20"/>
          <w:sz w:val="24"/>
          <w:szCs w:val="24"/>
        </w:rPr>
        <w:t>IL-22 group were significantly greater than those in the ConA and PHX groups at 32 h, 40 h and 48 h (</w:t>
      </w:r>
      <w:r w:rsidRPr="004931C2">
        <w:rPr>
          <w:rFonts w:ascii="Book Antiqua" w:hAnsi="Book Antiqua" w:cs="Times New Roman"/>
          <w:color w:val="231F20"/>
          <w:sz w:val="24"/>
          <w:szCs w:val="24"/>
          <w:vertAlign w:val="superscript"/>
        </w:rPr>
        <w:t>a</w:t>
      </w:r>
      <w:r w:rsidR="00C6548E" w:rsidRPr="00C6548E">
        <w:rPr>
          <w:rFonts w:ascii="Book Antiqua" w:hAnsi="Book Antiqua" w:cs="Times New Roman"/>
          <w:i/>
          <w:color w:val="231F20"/>
          <w:sz w:val="24"/>
          <w:szCs w:val="24"/>
        </w:rPr>
        <w:t xml:space="preserve">P &lt; </w:t>
      </w:r>
      <w:r w:rsidRPr="004931C2">
        <w:rPr>
          <w:rFonts w:ascii="Book Antiqua" w:hAnsi="Book Antiqua" w:cs="Times New Roman"/>
          <w:color w:val="231F20"/>
          <w:sz w:val="24"/>
          <w:szCs w:val="24"/>
        </w:rPr>
        <w:t>0.05)</w:t>
      </w:r>
      <w:r w:rsidR="00C6548E">
        <w:rPr>
          <w:rFonts w:ascii="Book Antiqua" w:hAnsi="Book Antiqua" w:cs="Times New Roman" w:hint="eastAsia"/>
          <w:color w:val="231F20"/>
          <w:sz w:val="24"/>
          <w:szCs w:val="24"/>
        </w:rPr>
        <w:t>;</w:t>
      </w:r>
      <w:r w:rsidRPr="004931C2">
        <w:rPr>
          <w:rFonts w:ascii="Book Antiqua" w:hAnsi="Book Antiqua" w:cs="Times New Roman"/>
          <w:color w:val="231F20"/>
          <w:sz w:val="24"/>
          <w:szCs w:val="24"/>
        </w:rPr>
        <w:t xml:space="preserve"> </w:t>
      </w:r>
      <w:r w:rsidRPr="00C6548E">
        <w:rPr>
          <w:rFonts w:ascii="Book Antiqua" w:hAnsi="Book Antiqua" w:cs="Times New Roman"/>
          <w:color w:val="231F20"/>
          <w:sz w:val="24"/>
          <w:szCs w:val="24"/>
        </w:rPr>
        <w:t>B:</w:t>
      </w:r>
      <w:r w:rsidRPr="00C6548E">
        <w:rPr>
          <w:rFonts w:ascii="Book Antiqua" w:hAnsi="Book Antiqua" w:cs="Times New Roman"/>
          <w:color w:val="000000"/>
          <w:sz w:val="24"/>
          <w:szCs w:val="24"/>
        </w:rPr>
        <w:t xml:space="preserve"> </w:t>
      </w:r>
      <w:r w:rsidRPr="004931C2">
        <w:rPr>
          <w:rFonts w:ascii="Book Antiqua" w:hAnsi="Book Antiqua" w:cs="Times New Roman"/>
          <w:color w:val="231F20"/>
          <w:sz w:val="24"/>
          <w:szCs w:val="24"/>
        </w:rPr>
        <w:t>PCNA labeling of the cells at 32 h after hepatectomy in the PHX, ConA, ConA</w:t>
      </w:r>
      <w:r w:rsidR="00C6548E">
        <w:rPr>
          <w:rFonts w:ascii="Book Antiqua" w:hAnsi="Book Antiqua" w:cs="Times New Roman"/>
          <w:color w:val="231F20"/>
          <w:sz w:val="24"/>
          <w:szCs w:val="24"/>
        </w:rPr>
        <w:t xml:space="preserve"> + </w:t>
      </w:r>
      <w:r w:rsidRPr="004931C2">
        <w:rPr>
          <w:rFonts w:ascii="Book Antiqua" w:hAnsi="Book Antiqua" w:cs="Times New Roman"/>
          <w:color w:val="231F20"/>
          <w:sz w:val="24"/>
          <w:szCs w:val="24"/>
        </w:rPr>
        <w:t>PHX and ConA</w:t>
      </w:r>
      <w:r w:rsidR="00C6548E">
        <w:rPr>
          <w:rFonts w:ascii="Book Antiqua" w:hAnsi="Book Antiqua" w:cs="Times New Roman"/>
          <w:color w:val="231F20"/>
          <w:sz w:val="24"/>
          <w:szCs w:val="24"/>
        </w:rPr>
        <w:t xml:space="preserve"> + </w:t>
      </w:r>
      <w:r w:rsidRPr="004931C2">
        <w:rPr>
          <w:rFonts w:ascii="Book Antiqua" w:hAnsi="Book Antiqua" w:cs="Times New Roman"/>
          <w:color w:val="231F20"/>
          <w:sz w:val="24"/>
          <w:szCs w:val="24"/>
        </w:rPr>
        <w:t>PHX</w:t>
      </w:r>
      <w:r w:rsidR="00C6548E">
        <w:rPr>
          <w:rFonts w:ascii="Book Antiqua" w:hAnsi="Book Antiqua" w:cs="Times New Roman"/>
          <w:color w:val="231F20"/>
          <w:sz w:val="24"/>
          <w:szCs w:val="24"/>
        </w:rPr>
        <w:t xml:space="preserve"> + </w:t>
      </w:r>
      <w:r w:rsidRPr="004931C2">
        <w:rPr>
          <w:rFonts w:ascii="Book Antiqua" w:hAnsi="Book Antiqua" w:cs="Times New Roman"/>
          <w:color w:val="231F20"/>
          <w:sz w:val="24"/>
          <w:szCs w:val="24"/>
        </w:rPr>
        <w:t>IL-22 groups, respectively</w:t>
      </w:r>
      <w:r w:rsidR="00880B1B">
        <w:rPr>
          <w:rFonts w:ascii="Book Antiqua" w:hAnsi="Book Antiqua" w:cs="Times New Roman" w:hint="eastAsia"/>
          <w:color w:val="231F20"/>
          <w:sz w:val="24"/>
          <w:szCs w:val="24"/>
        </w:rPr>
        <w:t xml:space="preserve"> </w:t>
      </w:r>
      <w:r w:rsidR="00C6548E" w:rsidRPr="00C6548E">
        <w:rPr>
          <w:rFonts w:ascii="Book Antiqua" w:hAnsi="Book Antiqua" w:cs="Times New Roman"/>
          <w:color w:val="231F20"/>
          <w:sz w:val="24"/>
          <w:szCs w:val="24"/>
        </w:rPr>
        <w:t>(a-d)</w:t>
      </w:r>
      <w:r w:rsidR="00C6548E">
        <w:rPr>
          <w:rFonts w:ascii="Book Antiqua" w:hAnsi="Book Antiqua" w:cs="Times New Roman" w:hint="eastAsia"/>
          <w:color w:val="231F20"/>
          <w:sz w:val="24"/>
          <w:szCs w:val="24"/>
        </w:rPr>
        <w:t>;</w:t>
      </w:r>
      <w:r w:rsidR="00C6548E">
        <w:rPr>
          <w:rFonts w:ascii="Book Antiqua" w:hAnsi="Book Antiqua" w:cs="Times New Roman"/>
          <w:color w:val="000000"/>
          <w:sz w:val="24"/>
          <w:szCs w:val="24"/>
        </w:rPr>
        <w:t xml:space="preserve"> </w:t>
      </w:r>
      <w:r w:rsidRPr="004931C2">
        <w:rPr>
          <w:rFonts w:ascii="Book Antiqua" w:hAnsi="Book Antiqua" w:cs="Times New Roman"/>
          <w:color w:val="231F20"/>
          <w:sz w:val="24"/>
          <w:szCs w:val="24"/>
        </w:rPr>
        <w:t>PCNA labeling of the cells at 48 h after hepatectomy in the PHX, ConA, ConA</w:t>
      </w:r>
      <w:r w:rsidR="00880B1B">
        <w:rPr>
          <w:rFonts w:ascii="Book Antiqua" w:hAnsi="Book Antiqua" w:cs="Times New Roman" w:hint="eastAsia"/>
          <w:color w:val="231F20"/>
          <w:sz w:val="24"/>
          <w:szCs w:val="24"/>
        </w:rPr>
        <w:t xml:space="preserve"> </w:t>
      </w:r>
      <w:r w:rsidR="00C6548E">
        <w:rPr>
          <w:rFonts w:ascii="Book Antiqua" w:hAnsi="Book Antiqua" w:cs="Times New Roman"/>
          <w:color w:val="231F20"/>
          <w:sz w:val="24"/>
          <w:szCs w:val="24"/>
        </w:rPr>
        <w:t>+</w:t>
      </w:r>
      <w:r w:rsidR="00880B1B">
        <w:rPr>
          <w:rFonts w:ascii="Book Antiqua" w:hAnsi="Book Antiqua" w:cs="Times New Roman"/>
          <w:color w:val="231F20"/>
          <w:sz w:val="24"/>
          <w:szCs w:val="24"/>
        </w:rPr>
        <w:t xml:space="preserve"> </w:t>
      </w:r>
      <w:r w:rsidRPr="004931C2">
        <w:rPr>
          <w:rFonts w:ascii="Book Antiqua" w:hAnsi="Book Antiqua" w:cs="Times New Roman"/>
          <w:color w:val="231F20"/>
          <w:sz w:val="24"/>
          <w:szCs w:val="24"/>
        </w:rPr>
        <w:t>PHX and ConA</w:t>
      </w:r>
      <w:r w:rsidR="00880B1B">
        <w:rPr>
          <w:rFonts w:ascii="Book Antiqua" w:hAnsi="Book Antiqua" w:cs="Times New Roman" w:hint="eastAsia"/>
          <w:color w:val="231F20"/>
          <w:sz w:val="24"/>
          <w:szCs w:val="24"/>
        </w:rPr>
        <w:t xml:space="preserve"> </w:t>
      </w:r>
      <w:r w:rsidR="00C6548E">
        <w:rPr>
          <w:rFonts w:ascii="Book Antiqua" w:hAnsi="Book Antiqua" w:cs="Times New Roman"/>
          <w:color w:val="231F20"/>
          <w:sz w:val="24"/>
          <w:szCs w:val="24"/>
        </w:rPr>
        <w:t>+</w:t>
      </w:r>
      <w:r w:rsidR="00880B1B">
        <w:rPr>
          <w:rFonts w:ascii="Book Antiqua" w:hAnsi="Book Antiqua" w:cs="Times New Roman"/>
          <w:color w:val="231F20"/>
          <w:sz w:val="24"/>
          <w:szCs w:val="24"/>
        </w:rPr>
        <w:t xml:space="preserve"> </w:t>
      </w:r>
      <w:r w:rsidRPr="004931C2">
        <w:rPr>
          <w:rFonts w:ascii="Book Antiqua" w:hAnsi="Book Antiqua" w:cs="Times New Roman"/>
          <w:color w:val="231F20"/>
          <w:sz w:val="24"/>
          <w:szCs w:val="24"/>
        </w:rPr>
        <w:t>PHX</w:t>
      </w:r>
      <w:r w:rsidR="00880B1B">
        <w:rPr>
          <w:rFonts w:ascii="Book Antiqua" w:hAnsi="Book Antiqua" w:cs="Times New Roman" w:hint="eastAsia"/>
          <w:color w:val="231F20"/>
          <w:sz w:val="24"/>
          <w:szCs w:val="24"/>
        </w:rPr>
        <w:t xml:space="preserve"> </w:t>
      </w:r>
      <w:r w:rsidR="00C6548E">
        <w:rPr>
          <w:rFonts w:ascii="Book Antiqua" w:hAnsi="Book Antiqua" w:cs="Times New Roman"/>
          <w:color w:val="231F20"/>
          <w:sz w:val="24"/>
          <w:szCs w:val="24"/>
        </w:rPr>
        <w:t>+</w:t>
      </w:r>
      <w:r w:rsidR="00880B1B">
        <w:rPr>
          <w:rFonts w:ascii="Book Antiqua" w:hAnsi="Book Antiqua" w:cs="Times New Roman"/>
          <w:color w:val="231F20"/>
          <w:sz w:val="24"/>
          <w:szCs w:val="24"/>
        </w:rPr>
        <w:t xml:space="preserve"> </w:t>
      </w:r>
      <w:r w:rsidRPr="004931C2">
        <w:rPr>
          <w:rFonts w:ascii="Book Antiqua" w:hAnsi="Book Antiqua" w:cs="Times New Roman"/>
          <w:color w:val="231F20"/>
          <w:sz w:val="24"/>
          <w:szCs w:val="24"/>
        </w:rPr>
        <w:t>IL-22 groups, respectively</w:t>
      </w:r>
      <w:r w:rsidR="00C6548E">
        <w:rPr>
          <w:rFonts w:ascii="Book Antiqua" w:hAnsi="Book Antiqua" w:cs="Times New Roman" w:hint="eastAsia"/>
          <w:color w:val="231F20"/>
          <w:sz w:val="24"/>
          <w:szCs w:val="24"/>
        </w:rPr>
        <w:t xml:space="preserve"> </w:t>
      </w:r>
      <w:r w:rsidR="00C6548E" w:rsidRPr="00C6548E">
        <w:rPr>
          <w:rFonts w:ascii="Book Antiqua" w:hAnsi="Book Antiqua" w:cs="Times New Roman"/>
          <w:color w:val="231F20"/>
          <w:sz w:val="24"/>
          <w:szCs w:val="24"/>
        </w:rPr>
        <w:t>(e-h)</w:t>
      </w:r>
      <w:r w:rsidRPr="004931C2">
        <w:rPr>
          <w:rFonts w:ascii="Book Antiqua" w:hAnsi="Book Antiqua" w:cs="Times New Roman"/>
          <w:color w:val="231F20"/>
          <w:sz w:val="24"/>
          <w:szCs w:val="24"/>
        </w:rPr>
        <w:t>.</w:t>
      </w:r>
    </w:p>
    <w:p w:rsidR="004931C2" w:rsidRPr="004931C2" w:rsidRDefault="004931C2" w:rsidP="004931C2">
      <w:pPr>
        <w:adjustRightInd w:val="0"/>
        <w:snapToGrid w:val="0"/>
        <w:spacing w:line="360" w:lineRule="auto"/>
        <w:rPr>
          <w:rFonts w:ascii="Book Antiqua" w:hAnsi="Book Antiqua"/>
          <w:sz w:val="24"/>
          <w:szCs w:val="24"/>
        </w:rPr>
      </w:pPr>
    </w:p>
    <w:p w:rsidR="004931C2" w:rsidRPr="004931C2" w:rsidRDefault="004931C2" w:rsidP="004931C2">
      <w:pPr>
        <w:widowControl/>
        <w:adjustRightInd w:val="0"/>
        <w:snapToGrid w:val="0"/>
        <w:spacing w:line="360" w:lineRule="auto"/>
        <w:rPr>
          <w:rFonts w:ascii="Book Antiqua" w:hAnsi="Book Antiqua" w:cs="Times New Roman"/>
          <w:color w:val="231F20"/>
          <w:sz w:val="24"/>
          <w:szCs w:val="24"/>
        </w:rPr>
      </w:pPr>
      <w:r w:rsidRPr="004931C2">
        <w:rPr>
          <w:rFonts w:ascii="Book Antiqua" w:hAnsi="Book Antiqua" w:cs="Times New Roman"/>
          <w:color w:val="231F20"/>
          <w:sz w:val="24"/>
          <w:szCs w:val="24"/>
        </w:rPr>
        <w:br w:type="page"/>
      </w:r>
    </w:p>
    <w:p w:rsidR="004931C2" w:rsidRPr="004931C2" w:rsidRDefault="004931C2" w:rsidP="004931C2">
      <w:pPr>
        <w:adjustRightInd w:val="0"/>
        <w:snapToGrid w:val="0"/>
        <w:spacing w:line="360" w:lineRule="auto"/>
        <w:ind w:firstLineChars="250" w:firstLine="600"/>
        <w:rPr>
          <w:rFonts w:ascii="Book Antiqua" w:hAnsi="Book Antiqua" w:cs="Times New Roman"/>
          <w:color w:val="231F20"/>
          <w:sz w:val="24"/>
          <w:szCs w:val="24"/>
        </w:rPr>
      </w:pPr>
      <w:r w:rsidRPr="004931C2">
        <w:rPr>
          <w:rFonts w:ascii="Book Antiqua" w:hAnsi="Book Antiqua" w:cs="Times New Roman"/>
          <w:color w:val="231F20"/>
          <w:sz w:val="24"/>
          <w:szCs w:val="24"/>
        </w:rPr>
        <w:lastRenderedPageBreak/>
        <w:t>a</w:t>
      </w:r>
      <w:r w:rsidR="00880B1B">
        <w:rPr>
          <w:rFonts w:ascii="Book Antiqua" w:hAnsi="Book Antiqua" w:cs="Times New Roman"/>
          <w:color w:val="231F20"/>
          <w:sz w:val="24"/>
          <w:szCs w:val="24"/>
        </w:rPr>
        <w:t xml:space="preserve"> </w:t>
      </w:r>
      <w:r w:rsidRPr="004931C2">
        <w:rPr>
          <w:rFonts w:ascii="Book Antiqua" w:hAnsi="Book Antiqua" w:cs="Times New Roman"/>
          <w:color w:val="231F20"/>
          <w:sz w:val="24"/>
          <w:szCs w:val="24"/>
        </w:rPr>
        <w:t>b</w:t>
      </w:r>
      <w:r w:rsidR="00880B1B">
        <w:rPr>
          <w:rFonts w:ascii="Book Antiqua" w:hAnsi="Book Antiqua" w:cs="Times New Roman"/>
          <w:color w:val="231F20"/>
          <w:sz w:val="24"/>
          <w:szCs w:val="24"/>
        </w:rPr>
        <w:t xml:space="preserve"> </w:t>
      </w:r>
    </w:p>
    <w:p w:rsidR="004931C2" w:rsidRPr="004931C2" w:rsidRDefault="00C6548E" w:rsidP="00C6548E">
      <w:pPr>
        <w:adjustRightInd w:val="0"/>
        <w:snapToGrid w:val="0"/>
        <w:spacing w:line="360" w:lineRule="auto"/>
        <w:ind w:firstLineChars="100" w:firstLine="240"/>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14:anchorId="63975E82" wp14:editId="411185B5">
            <wp:extent cx="2493781" cy="1997049"/>
            <wp:effectExtent l="0" t="0" r="1905" b="3810"/>
            <wp:docPr id="14" name="图片 14" descr="C:\Users\baishideng-2014\Desktop\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ishideng-2014\Desktop\5.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3851" cy="1997105"/>
                    </a:xfrm>
                    <a:prstGeom prst="rect">
                      <a:avLst/>
                    </a:prstGeom>
                    <a:noFill/>
                    <a:ln>
                      <a:noFill/>
                    </a:ln>
                  </pic:spPr>
                </pic:pic>
              </a:graphicData>
            </a:graphic>
          </wp:inline>
        </w:drawing>
      </w:r>
      <w:r w:rsidR="004931C2" w:rsidRPr="004931C2">
        <w:rPr>
          <w:rFonts w:ascii="Book Antiqua" w:hAnsi="Book Antiqua" w:cs="Times New Roman"/>
          <w:noProof/>
          <w:color w:val="000000" w:themeColor="text1"/>
          <w:sz w:val="24"/>
          <w:szCs w:val="24"/>
        </w:rPr>
        <w:drawing>
          <wp:inline distT="0" distB="0" distL="0" distR="0" wp14:anchorId="58433A7B" wp14:editId="262776B3">
            <wp:extent cx="2544418" cy="1884459"/>
            <wp:effectExtent l="0" t="0" r="8890" b="1905"/>
            <wp:docPr id="11" name="图片 11" descr="C:\Users\lzr\Desktop\线性英5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zr\Desktop\线性英5b.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0413" cy="1888899"/>
                    </a:xfrm>
                    <a:prstGeom prst="rect">
                      <a:avLst/>
                    </a:prstGeom>
                    <a:noFill/>
                    <a:ln>
                      <a:noFill/>
                    </a:ln>
                  </pic:spPr>
                </pic:pic>
              </a:graphicData>
            </a:graphic>
          </wp:inline>
        </w:drawing>
      </w:r>
    </w:p>
    <w:p w:rsidR="004931C2" w:rsidRPr="004931C2" w:rsidRDefault="00C6548E" w:rsidP="00C6548E">
      <w:pPr>
        <w:adjustRightInd w:val="0"/>
        <w:snapToGrid w:val="0"/>
        <w:spacing w:line="360" w:lineRule="auto"/>
        <w:rPr>
          <w:rFonts w:ascii="Book Antiqua" w:hAnsi="Book Antiqua" w:cs="Times New Roman"/>
          <w:color w:val="231F20"/>
          <w:sz w:val="24"/>
          <w:szCs w:val="24"/>
        </w:rPr>
      </w:pPr>
      <w:r w:rsidRPr="00C6548E">
        <w:rPr>
          <w:rFonts w:ascii="Book Antiqua" w:hAnsi="Book Antiqua" w:cs="Times New Roman"/>
          <w:b/>
          <w:color w:val="231F20"/>
          <w:sz w:val="24"/>
          <w:szCs w:val="24"/>
        </w:rPr>
        <w:t>Fig</w:t>
      </w:r>
      <w:r w:rsidRPr="00C6548E">
        <w:rPr>
          <w:rFonts w:ascii="Book Antiqua" w:hAnsi="Book Antiqua" w:cs="Times New Roman" w:hint="eastAsia"/>
          <w:b/>
          <w:color w:val="231F20"/>
          <w:sz w:val="24"/>
          <w:szCs w:val="24"/>
        </w:rPr>
        <w:t>ure</w:t>
      </w:r>
      <w:r w:rsidRPr="00C6548E">
        <w:rPr>
          <w:rFonts w:ascii="Book Antiqua" w:hAnsi="Book Antiqua" w:cs="Times New Roman"/>
          <w:b/>
          <w:color w:val="231F20"/>
          <w:sz w:val="24"/>
          <w:szCs w:val="24"/>
        </w:rPr>
        <w:t xml:space="preserve"> 5</w:t>
      </w:r>
      <w:r w:rsidR="004931C2" w:rsidRPr="00C6548E">
        <w:rPr>
          <w:rFonts w:ascii="Book Antiqua" w:hAnsi="Book Antiqua" w:cs="Times New Roman"/>
          <w:b/>
          <w:color w:val="231F20"/>
          <w:sz w:val="24"/>
          <w:szCs w:val="24"/>
        </w:rPr>
        <w:t xml:space="preserve"> </w:t>
      </w:r>
      <w:r w:rsidR="004931C2" w:rsidRPr="00C6548E">
        <w:rPr>
          <w:rFonts w:ascii="Book Antiqua" w:hAnsi="Book Antiqua" w:cs="Times New Roman"/>
          <w:b/>
          <w:color w:val="000000"/>
          <w:sz w:val="24"/>
          <w:szCs w:val="24"/>
        </w:rPr>
        <w:t xml:space="preserve">Hepatic </w:t>
      </w:r>
      <w:r w:rsidR="004931C2" w:rsidRPr="00880B1B">
        <w:rPr>
          <w:rFonts w:ascii="Book Antiqua" w:hAnsi="Book Antiqua" w:cs="Times New Roman"/>
          <w:b/>
          <w:i/>
          <w:color w:val="000000"/>
          <w:sz w:val="24"/>
          <w:szCs w:val="24"/>
        </w:rPr>
        <w:t>AFP</w:t>
      </w:r>
      <w:r w:rsidR="004931C2" w:rsidRPr="00C6548E">
        <w:rPr>
          <w:rFonts w:ascii="Book Antiqua" w:hAnsi="Book Antiqua" w:cs="Times New Roman"/>
          <w:b/>
          <w:color w:val="000000"/>
          <w:sz w:val="24"/>
          <w:szCs w:val="24"/>
        </w:rPr>
        <w:t xml:space="preserve"> mRNA expression in the remnant liver after partial hepatectomy. </w:t>
      </w:r>
      <w:r>
        <w:rPr>
          <w:rFonts w:ascii="Book Antiqua" w:hAnsi="Book Antiqua" w:cs="Times New Roman" w:hint="eastAsia"/>
          <w:color w:val="000000"/>
          <w:sz w:val="24"/>
          <w:szCs w:val="24"/>
        </w:rPr>
        <w:t>A, B</w:t>
      </w:r>
      <w:r w:rsidR="004931C2" w:rsidRPr="004931C2">
        <w:rPr>
          <w:rFonts w:ascii="Book Antiqua" w:hAnsi="Book Antiqua" w:cs="Times New Roman"/>
          <w:color w:val="000000"/>
          <w:sz w:val="24"/>
          <w:szCs w:val="24"/>
        </w:rPr>
        <w:t xml:space="preserve">: </w:t>
      </w:r>
      <w:r w:rsidR="004931C2" w:rsidRPr="00C6548E">
        <w:rPr>
          <w:rFonts w:ascii="Book Antiqua" w:hAnsi="Book Antiqua" w:cs="Times New Roman"/>
          <w:i/>
          <w:color w:val="000000"/>
          <w:sz w:val="24"/>
          <w:szCs w:val="24"/>
        </w:rPr>
        <w:t>AFP</w:t>
      </w:r>
      <w:r w:rsidR="004931C2" w:rsidRPr="004931C2">
        <w:rPr>
          <w:rFonts w:ascii="Book Antiqua" w:hAnsi="Book Antiqua" w:cs="Times New Roman"/>
          <w:color w:val="000000"/>
          <w:sz w:val="24"/>
          <w:szCs w:val="24"/>
        </w:rPr>
        <w:t xml:space="preserve"> mRNA expression began at 32 h and significantly increased to peak at 48 h after hepatectomy. With the </w:t>
      </w:r>
      <w:r w:rsidR="00880B1B">
        <w:rPr>
          <w:rFonts w:ascii="Book Antiqua" w:hAnsi="Book Antiqua" w:cs="Times New Roman"/>
          <w:color w:val="231F20"/>
          <w:kern w:val="0"/>
          <w:sz w:val="24"/>
          <w:szCs w:val="24"/>
        </w:rPr>
        <w:t>interleukin (IL)</w:t>
      </w:r>
      <w:r w:rsidR="004931C2" w:rsidRPr="004931C2">
        <w:rPr>
          <w:rFonts w:ascii="Book Antiqua" w:hAnsi="Book Antiqua" w:cs="Times New Roman"/>
          <w:color w:val="000000"/>
          <w:sz w:val="24"/>
          <w:szCs w:val="24"/>
        </w:rPr>
        <w:t>-22 pretreatment, the AFP mRNA levels significantly increased at 32</w:t>
      </w:r>
      <w:r>
        <w:rPr>
          <w:rFonts w:ascii="Book Antiqua" w:hAnsi="Book Antiqua" w:cs="Times New Roman" w:hint="eastAsia"/>
          <w:color w:val="000000"/>
          <w:sz w:val="24"/>
          <w:szCs w:val="24"/>
        </w:rPr>
        <w:t xml:space="preserve"> </w:t>
      </w:r>
      <w:r w:rsidR="004931C2" w:rsidRPr="004931C2">
        <w:rPr>
          <w:rFonts w:ascii="Book Antiqua" w:hAnsi="Book Antiqua" w:cs="Times New Roman"/>
          <w:color w:val="000000"/>
          <w:sz w:val="24"/>
          <w:szCs w:val="24"/>
        </w:rPr>
        <w:t xml:space="preserve">h after partial hepatectomy compared with the </w:t>
      </w:r>
      <w:r w:rsidR="00880B1B" w:rsidRPr="00880B1B">
        <w:rPr>
          <w:rFonts w:ascii="Book Antiqua" w:hAnsi="Book Antiqua" w:cs="Times New Roman"/>
          <w:color w:val="000000"/>
          <w:sz w:val="24"/>
          <w:szCs w:val="24"/>
        </w:rPr>
        <w:t>concanavalin A (ConA)</w:t>
      </w:r>
      <w:r w:rsidR="00880B1B">
        <w:rPr>
          <w:rFonts w:ascii="Book Antiqua" w:hAnsi="Book Antiqua" w:cs="Times New Roman" w:hint="eastAsia"/>
          <w:color w:val="000000"/>
          <w:sz w:val="24"/>
          <w:szCs w:val="24"/>
        </w:rPr>
        <w:t xml:space="preserve"> </w:t>
      </w:r>
      <w:r>
        <w:rPr>
          <w:rFonts w:ascii="Book Antiqua" w:hAnsi="Book Antiqua" w:cs="Times New Roman"/>
          <w:color w:val="000000"/>
          <w:sz w:val="24"/>
          <w:szCs w:val="24"/>
        </w:rPr>
        <w:t>+</w:t>
      </w:r>
      <w:r w:rsidR="00880B1B">
        <w:rPr>
          <w:rFonts w:ascii="Book Antiqua" w:hAnsi="Book Antiqua" w:cs="Times New Roman"/>
          <w:color w:val="000000"/>
          <w:sz w:val="24"/>
          <w:szCs w:val="24"/>
        </w:rPr>
        <w:t xml:space="preserve"> </w:t>
      </w:r>
      <w:r w:rsidR="004931C2" w:rsidRPr="004931C2">
        <w:rPr>
          <w:rFonts w:ascii="Book Antiqua" w:hAnsi="Book Antiqua" w:cs="Times New Roman"/>
          <w:color w:val="000000"/>
          <w:sz w:val="24"/>
          <w:szCs w:val="24"/>
        </w:rPr>
        <w:t>PHX group (</w:t>
      </w:r>
      <w:r w:rsidR="004931C2" w:rsidRPr="004931C2">
        <w:rPr>
          <w:rFonts w:ascii="Book Antiqua" w:hAnsi="Book Antiqua" w:cs="Times New Roman"/>
          <w:color w:val="000000"/>
          <w:sz w:val="24"/>
          <w:szCs w:val="24"/>
          <w:vertAlign w:val="superscript"/>
        </w:rPr>
        <w:t>a</w:t>
      </w:r>
      <w:r w:rsidRPr="00C6548E">
        <w:rPr>
          <w:rFonts w:ascii="Book Antiqua" w:hAnsi="Book Antiqua" w:cs="Times New Roman"/>
          <w:i/>
          <w:color w:val="000000"/>
          <w:sz w:val="24"/>
          <w:szCs w:val="24"/>
        </w:rPr>
        <w:t xml:space="preserve">P &lt; </w:t>
      </w:r>
      <w:r w:rsidR="004931C2" w:rsidRPr="004931C2">
        <w:rPr>
          <w:rFonts w:ascii="Book Antiqua" w:hAnsi="Book Antiqua" w:cs="Times New Roman"/>
          <w:color w:val="000000"/>
          <w:sz w:val="24"/>
          <w:szCs w:val="24"/>
        </w:rPr>
        <w:t>0.05), and marked increases were observed at 40 h, 48 h and 1 w</w:t>
      </w:r>
      <w:r>
        <w:rPr>
          <w:rFonts w:ascii="Book Antiqua" w:hAnsi="Book Antiqua" w:cs="Times New Roman" w:hint="eastAsia"/>
          <w:color w:val="000000"/>
          <w:sz w:val="24"/>
          <w:szCs w:val="24"/>
        </w:rPr>
        <w:t>k</w:t>
      </w:r>
      <w:r w:rsidR="004931C2" w:rsidRPr="004931C2">
        <w:rPr>
          <w:rFonts w:ascii="Book Antiqua" w:hAnsi="Book Antiqua" w:cs="Times New Roman"/>
          <w:color w:val="000000"/>
          <w:sz w:val="24"/>
          <w:szCs w:val="24"/>
        </w:rPr>
        <w:t xml:space="preserve"> (</w:t>
      </w:r>
      <w:r>
        <w:rPr>
          <w:rFonts w:ascii="Book Antiqua" w:hAnsi="Book Antiqua" w:cs="Times New Roman" w:hint="eastAsia"/>
          <w:color w:val="000000"/>
          <w:sz w:val="24"/>
          <w:szCs w:val="24"/>
          <w:vertAlign w:val="superscript"/>
        </w:rPr>
        <w:t>c</w:t>
      </w:r>
      <w:r w:rsidRPr="00C6548E">
        <w:rPr>
          <w:rFonts w:ascii="Book Antiqua" w:hAnsi="Book Antiqua" w:cs="Times New Roman"/>
          <w:i/>
          <w:color w:val="000000"/>
          <w:sz w:val="24"/>
          <w:szCs w:val="24"/>
        </w:rPr>
        <w:t xml:space="preserve">P &lt; </w:t>
      </w:r>
      <w:r w:rsidR="004931C2" w:rsidRPr="004931C2">
        <w:rPr>
          <w:rFonts w:ascii="Book Antiqua" w:hAnsi="Book Antiqua" w:cs="Times New Roman"/>
          <w:color w:val="000000"/>
          <w:sz w:val="24"/>
          <w:szCs w:val="24"/>
        </w:rPr>
        <w:t xml:space="preserve">0.01). However, the difference was not significant at </w:t>
      </w:r>
      <w:r w:rsidR="004931C2" w:rsidRPr="004931C2">
        <w:rPr>
          <w:rFonts w:ascii="Book Antiqua" w:hAnsi="Book Antiqua" w:cs="Times New Roman"/>
          <w:color w:val="231F20"/>
          <w:sz w:val="24"/>
          <w:szCs w:val="24"/>
        </w:rPr>
        <w:t>2 w</w:t>
      </w:r>
      <w:r>
        <w:rPr>
          <w:rFonts w:ascii="Book Antiqua" w:hAnsi="Book Antiqua" w:cs="Times New Roman" w:hint="eastAsia"/>
          <w:color w:val="231F20"/>
          <w:sz w:val="24"/>
          <w:szCs w:val="24"/>
        </w:rPr>
        <w:t>k</w:t>
      </w:r>
      <w:r w:rsidR="004931C2" w:rsidRPr="004931C2">
        <w:rPr>
          <w:rFonts w:ascii="Book Antiqua" w:hAnsi="Book Antiqua" w:cs="Times New Roman"/>
          <w:color w:val="231F20"/>
          <w:sz w:val="24"/>
          <w:szCs w:val="24"/>
        </w:rPr>
        <w:t xml:space="preserve"> (</w:t>
      </w:r>
      <w:r w:rsidR="004931C2" w:rsidRPr="00C6548E">
        <w:rPr>
          <w:rFonts w:ascii="Book Antiqua" w:hAnsi="Book Antiqua" w:cs="Times New Roman"/>
          <w:i/>
          <w:color w:val="231F20"/>
          <w:sz w:val="24"/>
          <w:szCs w:val="24"/>
        </w:rPr>
        <w:t>P</w:t>
      </w:r>
      <w:r>
        <w:rPr>
          <w:rFonts w:ascii="Book Antiqua" w:hAnsi="Book Antiqua" w:cs="Times New Roman" w:hint="eastAsia"/>
          <w:color w:val="231F20"/>
          <w:sz w:val="24"/>
          <w:szCs w:val="24"/>
        </w:rPr>
        <w:t xml:space="preserve"> </w:t>
      </w:r>
      <w:r w:rsidR="004931C2" w:rsidRPr="004931C2">
        <w:rPr>
          <w:rFonts w:ascii="Book Antiqua" w:hAnsi="Book Antiqua" w:cs="Times New Roman"/>
          <w:color w:val="231F20"/>
          <w:sz w:val="24"/>
          <w:szCs w:val="24"/>
        </w:rPr>
        <w:t>&gt;</w:t>
      </w:r>
      <w:r>
        <w:rPr>
          <w:rFonts w:ascii="Book Antiqua" w:hAnsi="Book Antiqua" w:cs="Times New Roman" w:hint="eastAsia"/>
          <w:color w:val="231F20"/>
          <w:sz w:val="24"/>
          <w:szCs w:val="24"/>
        </w:rPr>
        <w:t xml:space="preserve"> </w:t>
      </w:r>
      <w:r w:rsidR="004931C2" w:rsidRPr="004931C2">
        <w:rPr>
          <w:rFonts w:ascii="Book Antiqua" w:hAnsi="Book Antiqua" w:cs="Times New Roman"/>
          <w:color w:val="231F20"/>
          <w:sz w:val="24"/>
          <w:szCs w:val="24"/>
        </w:rPr>
        <w:t>0.05).</w:t>
      </w:r>
    </w:p>
    <w:p w:rsidR="004931C2" w:rsidRPr="004931C2" w:rsidRDefault="004931C2" w:rsidP="004931C2">
      <w:pPr>
        <w:widowControl/>
        <w:adjustRightInd w:val="0"/>
        <w:snapToGrid w:val="0"/>
        <w:spacing w:line="360" w:lineRule="auto"/>
        <w:rPr>
          <w:rFonts w:ascii="Book Antiqua" w:hAnsi="Book Antiqua" w:cs="Times New Roman"/>
          <w:color w:val="231F20"/>
          <w:sz w:val="24"/>
          <w:szCs w:val="24"/>
        </w:rPr>
      </w:pPr>
      <w:r w:rsidRPr="004931C2">
        <w:rPr>
          <w:rFonts w:ascii="Book Antiqua" w:hAnsi="Book Antiqua" w:cs="Times New Roman"/>
          <w:color w:val="231F20"/>
          <w:sz w:val="24"/>
          <w:szCs w:val="24"/>
        </w:rPr>
        <w:br w:type="page"/>
      </w:r>
    </w:p>
    <w:p w:rsidR="004931C2" w:rsidRPr="004931C2" w:rsidRDefault="004931C2" w:rsidP="004931C2">
      <w:pPr>
        <w:adjustRightInd w:val="0"/>
        <w:snapToGrid w:val="0"/>
        <w:spacing w:line="360" w:lineRule="auto"/>
        <w:ind w:firstLineChars="250" w:firstLine="600"/>
        <w:rPr>
          <w:rFonts w:ascii="Book Antiqua" w:hAnsi="Book Antiqua" w:cs="Times New Roman"/>
          <w:sz w:val="24"/>
          <w:szCs w:val="24"/>
        </w:rPr>
      </w:pPr>
      <w:r w:rsidRPr="004931C2">
        <w:rPr>
          <w:rFonts w:ascii="Book Antiqua" w:hAnsi="Book Antiqua"/>
          <w:noProof/>
          <w:sz w:val="24"/>
          <w:szCs w:val="24"/>
        </w:rPr>
        <w:lastRenderedPageBreak/>
        <w:drawing>
          <wp:inline distT="0" distB="0" distL="0" distR="0" wp14:anchorId="530167B9" wp14:editId="77F514F9">
            <wp:extent cx="4564380" cy="2070100"/>
            <wp:effectExtent l="0" t="0" r="7620" b="0"/>
            <wp:docPr id="13" name="图片 13" descr="说明: C:\Users\lzr\Desktop\图片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C:\Users\lzr\Desktop\图片2.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4380" cy="2070100"/>
                    </a:xfrm>
                    <a:prstGeom prst="rect">
                      <a:avLst/>
                    </a:prstGeom>
                    <a:noFill/>
                    <a:ln>
                      <a:noFill/>
                    </a:ln>
                  </pic:spPr>
                </pic:pic>
              </a:graphicData>
            </a:graphic>
          </wp:inline>
        </w:drawing>
      </w:r>
    </w:p>
    <w:p w:rsidR="004931C2" w:rsidRPr="004931C2" w:rsidRDefault="004931C2" w:rsidP="004931C2">
      <w:pPr>
        <w:adjustRightInd w:val="0"/>
        <w:snapToGrid w:val="0"/>
        <w:spacing w:line="360" w:lineRule="auto"/>
        <w:rPr>
          <w:rFonts w:ascii="Book Antiqua" w:hAnsi="Book Antiqua" w:cs="Times New Roman"/>
          <w:color w:val="000000"/>
          <w:sz w:val="24"/>
          <w:szCs w:val="24"/>
        </w:rPr>
      </w:pPr>
      <w:r w:rsidRPr="004931C2">
        <w:rPr>
          <w:rFonts w:ascii="Book Antiqua" w:hAnsi="Book Antiqua" w:cs="Times New Roman"/>
          <w:b/>
          <w:color w:val="231F20"/>
          <w:sz w:val="24"/>
          <w:szCs w:val="24"/>
        </w:rPr>
        <w:t>Fig</w:t>
      </w:r>
      <w:r w:rsidRPr="004931C2">
        <w:rPr>
          <w:rFonts w:ascii="Book Antiqua" w:hAnsi="Book Antiqua" w:cs="Times New Roman" w:hint="eastAsia"/>
          <w:b/>
          <w:color w:val="231F20"/>
          <w:sz w:val="24"/>
          <w:szCs w:val="24"/>
        </w:rPr>
        <w:t>ure</w:t>
      </w:r>
      <w:r w:rsidRPr="004931C2">
        <w:rPr>
          <w:rFonts w:ascii="Book Antiqua" w:hAnsi="Book Antiqua" w:cs="Times New Roman"/>
          <w:b/>
          <w:color w:val="231F20"/>
          <w:sz w:val="24"/>
          <w:szCs w:val="24"/>
        </w:rPr>
        <w:t xml:space="preserve"> 6 </w:t>
      </w:r>
      <w:r w:rsidRPr="004931C2">
        <w:rPr>
          <w:rFonts w:ascii="Book Antiqua" w:hAnsi="Book Antiqua" w:cs="Times New Roman"/>
          <w:b/>
          <w:color w:val="000000"/>
          <w:sz w:val="24"/>
          <w:szCs w:val="24"/>
        </w:rPr>
        <w:t xml:space="preserve">Western blot detection of the activations of </w:t>
      </w:r>
      <w:r w:rsidRPr="004931C2">
        <w:rPr>
          <w:rFonts w:ascii="Book Antiqua" w:hAnsi="Book Antiqua" w:cs="Times New Roman"/>
          <w:b/>
          <w:iCs/>
          <w:color w:val="000000" w:themeColor="text1"/>
          <w:sz w:val="24"/>
          <w:szCs w:val="24"/>
        </w:rPr>
        <w:t>STAT3 and CyclinD1</w:t>
      </w:r>
      <w:r w:rsidRPr="004931C2">
        <w:rPr>
          <w:rFonts w:ascii="Book Antiqua" w:hAnsi="Book Antiqua" w:cs="Times New Roman"/>
          <w:b/>
          <w:color w:val="000000"/>
          <w:sz w:val="24"/>
          <w:szCs w:val="24"/>
        </w:rPr>
        <w:t xml:space="preserve"> in the remnant livers after partial hepatectomy. </w:t>
      </w:r>
      <w:r w:rsidRPr="004931C2">
        <w:rPr>
          <w:rFonts w:ascii="Book Antiqua" w:hAnsi="Book Antiqua" w:cs="Times New Roman"/>
          <w:color w:val="000000"/>
          <w:sz w:val="24"/>
          <w:szCs w:val="24"/>
        </w:rPr>
        <w:t xml:space="preserve">With the administration of </w:t>
      </w:r>
      <w:r w:rsidR="00880B1B">
        <w:rPr>
          <w:rFonts w:ascii="Book Antiqua" w:hAnsi="Book Antiqua" w:cs="Times New Roman"/>
          <w:color w:val="231F20"/>
          <w:kern w:val="0"/>
          <w:sz w:val="24"/>
          <w:szCs w:val="24"/>
        </w:rPr>
        <w:t>interleukin (IL)</w:t>
      </w:r>
      <w:r w:rsidRPr="004931C2">
        <w:rPr>
          <w:rFonts w:ascii="Book Antiqua" w:hAnsi="Book Antiqua" w:cs="Times New Roman"/>
          <w:color w:val="000000"/>
          <w:sz w:val="24"/>
          <w:szCs w:val="24"/>
        </w:rPr>
        <w:t xml:space="preserve">-22, </w:t>
      </w:r>
      <w:r w:rsidRPr="004931C2">
        <w:rPr>
          <w:rFonts w:ascii="Book Antiqua" w:hAnsi="Book Antiqua" w:cs="Times New Roman"/>
          <w:iCs/>
          <w:color w:val="000000" w:themeColor="text1"/>
          <w:sz w:val="24"/>
          <w:szCs w:val="24"/>
        </w:rPr>
        <w:t>STAT3 and CyclinD1</w:t>
      </w:r>
      <w:r w:rsidRPr="004931C2">
        <w:rPr>
          <w:rFonts w:ascii="Book Antiqua" w:hAnsi="Book Antiqua" w:cs="Times New Roman"/>
          <w:color w:val="000000"/>
          <w:sz w:val="24"/>
          <w:szCs w:val="24"/>
        </w:rPr>
        <w:t xml:space="preserve"> were activated much earlier, and the most significant increases in the four groups were observed at 32 h, 48 h, and 2 w</w:t>
      </w:r>
      <w:r w:rsidR="00C6548E">
        <w:rPr>
          <w:rFonts w:ascii="Book Antiqua" w:hAnsi="Book Antiqua" w:cs="Times New Roman" w:hint="eastAsia"/>
          <w:color w:val="000000"/>
          <w:sz w:val="24"/>
          <w:szCs w:val="24"/>
        </w:rPr>
        <w:t>k</w:t>
      </w:r>
      <w:r w:rsidRPr="004931C2">
        <w:rPr>
          <w:rFonts w:ascii="Book Antiqua" w:hAnsi="Book Antiqua" w:cs="Times New Roman"/>
          <w:color w:val="000000"/>
          <w:sz w:val="24"/>
          <w:szCs w:val="24"/>
        </w:rPr>
        <w:t xml:space="preserve">; whereas the least significant increases were observed in the </w:t>
      </w:r>
      <w:r w:rsidR="00880B1B" w:rsidRPr="00880B1B">
        <w:rPr>
          <w:rFonts w:ascii="Book Antiqua" w:hAnsi="Book Antiqua" w:cs="Times New Roman"/>
          <w:color w:val="231F20"/>
          <w:sz w:val="24"/>
          <w:szCs w:val="24"/>
        </w:rPr>
        <w:t>concanavalin A (ConA)</w:t>
      </w:r>
      <w:r w:rsidR="00880B1B">
        <w:rPr>
          <w:rFonts w:ascii="Book Antiqua" w:hAnsi="Book Antiqua" w:cs="Times New Roman" w:hint="eastAsia"/>
          <w:color w:val="231F20"/>
          <w:sz w:val="24"/>
          <w:szCs w:val="24"/>
        </w:rPr>
        <w:t xml:space="preserve"> </w:t>
      </w:r>
      <w:r w:rsidR="00C6548E">
        <w:rPr>
          <w:rFonts w:ascii="Book Antiqua" w:hAnsi="Book Antiqua" w:cs="Times New Roman"/>
          <w:color w:val="231F20"/>
          <w:sz w:val="24"/>
          <w:szCs w:val="24"/>
        </w:rPr>
        <w:t>+</w:t>
      </w:r>
      <w:r w:rsidR="00880B1B">
        <w:rPr>
          <w:rFonts w:ascii="Book Antiqua" w:hAnsi="Book Antiqua" w:cs="Times New Roman"/>
          <w:color w:val="231F20"/>
          <w:sz w:val="24"/>
          <w:szCs w:val="24"/>
        </w:rPr>
        <w:t xml:space="preserve"> </w:t>
      </w:r>
      <w:r w:rsidRPr="004931C2">
        <w:rPr>
          <w:rFonts w:ascii="Book Antiqua" w:hAnsi="Book Antiqua" w:cs="Times New Roman"/>
          <w:color w:val="231F20"/>
          <w:sz w:val="24"/>
          <w:szCs w:val="24"/>
        </w:rPr>
        <w:t>PHX group</w:t>
      </w:r>
      <w:r w:rsidRPr="004931C2">
        <w:rPr>
          <w:rFonts w:ascii="Book Antiqua" w:hAnsi="Book Antiqua" w:cs="Times New Roman"/>
          <w:color w:val="000000"/>
          <w:sz w:val="24"/>
          <w:szCs w:val="24"/>
        </w:rPr>
        <w:t xml:space="preserve"> at all of the time points.</w:t>
      </w:r>
    </w:p>
    <w:p w:rsidR="004931C2" w:rsidRPr="004931C2" w:rsidRDefault="004931C2" w:rsidP="004931C2">
      <w:pPr>
        <w:adjustRightInd w:val="0"/>
        <w:snapToGrid w:val="0"/>
        <w:spacing w:line="360" w:lineRule="auto"/>
        <w:rPr>
          <w:rFonts w:ascii="Book Antiqua" w:hAnsi="Book Antiqua" w:cs="Times New Roman"/>
          <w:color w:val="231F20"/>
          <w:sz w:val="24"/>
          <w:szCs w:val="24"/>
        </w:rPr>
      </w:pPr>
    </w:p>
    <w:p w:rsidR="004931C2" w:rsidRPr="004931C2" w:rsidRDefault="004931C2" w:rsidP="004931C2">
      <w:pPr>
        <w:adjustRightInd w:val="0"/>
        <w:snapToGrid w:val="0"/>
        <w:spacing w:line="360" w:lineRule="auto"/>
        <w:rPr>
          <w:rFonts w:ascii="Book Antiqua" w:hAnsi="Book Antiqua"/>
          <w:sz w:val="24"/>
          <w:szCs w:val="24"/>
        </w:rPr>
      </w:pPr>
    </w:p>
    <w:p w:rsidR="004931C2" w:rsidRPr="004931C2" w:rsidRDefault="004931C2" w:rsidP="004931C2">
      <w:pPr>
        <w:adjustRightInd w:val="0"/>
        <w:snapToGrid w:val="0"/>
        <w:spacing w:line="360" w:lineRule="auto"/>
        <w:rPr>
          <w:rFonts w:ascii="Book Antiqua" w:hAnsi="Book Antiqua" w:cs="Times New Roman"/>
          <w:color w:val="231F20"/>
          <w:sz w:val="24"/>
          <w:szCs w:val="24"/>
        </w:rPr>
      </w:pPr>
    </w:p>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rsidR="00A22279" w:rsidRPr="004931C2" w:rsidRDefault="00A22279" w:rsidP="004931C2">
      <w:pPr>
        <w:adjustRightInd w:val="0"/>
        <w:snapToGrid w:val="0"/>
        <w:spacing w:line="360" w:lineRule="auto"/>
        <w:rPr>
          <w:rFonts w:ascii="Book Antiqua" w:hAnsi="Book Antiqua"/>
          <w:sz w:val="24"/>
          <w:szCs w:val="24"/>
        </w:rPr>
      </w:pPr>
    </w:p>
    <w:sectPr w:rsidR="00A22279" w:rsidRPr="004931C2">
      <w:headerReference w:type="defaul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3BEB" w:rsidRDefault="009B3BEB" w:rsidP="000958E5">
      <w:r>
        <w:separator/>
      </w:r>
    </w:p>
  </w:endnote>
  <w:endnote w:type="continuationSeparator" w:id="0">
    <w:p w:rsidR="009B3BEB" w:rsidRDefault="009B3BEB" w:rsidP="00095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ouYuan">
    <w:altName w:val="Arial Unicode MS"/>
    <w:charset w:val="86"/>
    <w:family w:val="modern"/>
    <w:pitch w:val="fixed"/>
    <w:sig w:usb0="00000000"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3BEB" w:rsidRDefault="009B3BEB" w:rsidP="000958E5">
      <w:r>
        <w:separator/>
      </w:r>
    </w:p>
  </w:footnote>
  <w:footnote w:type="continuationSeparator" w:id="0">
    <w:p w:rsidR="009B3BEB" w:rsidRDefault="009B3BEB" w:rsidP="000958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042395"/>
      <w:docPartObj>
        <w:docPartGallery w:val="Page Numbers (Top of Page)"/>
        <w:docPartUnique/>
      </w:docPartObj>
    </w:sdtPr>
    <w:sdtEndPr/>
    <w:sdtContent>
      <w:p w:rsidR="004931C2" w:rsidRDefault="004931C2">
        <w:pPr>
          <w:pStyle w:val="Header"/>
          <w:jc w:val="right"/>
        </w:pPr>
        <w:r>
          <w:fldChar w:fldCharType="begin"/>
        </w:r>
        <w:r>
          <w:instrText>PAGE   \* MERGEFORMAT</w:instrText>
        </w:r>
        <w:r>
          <w:fldChar w:fldCharType="separate"/>
        </w:r>
        <w:r w:rsidR="00F26C4F" w:rsidRPr="00F26C4F">
          <w:rPr>
            <w:noProof/>
            <w:lang w:val="zh-CN"/>
          </w:rPr>
          <w:t>27</w:t>
        </w:r>
        <w:r>
          <w:fldChar w:fldCharType="end"/>
        </w:r>
      </w:p>
    </w:sdtContent>
  </w:sdt>
  <w:p w:rsidR="004931C2" w:rsidRDefault="004931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687750"/>
    <w:multiLevelType w:val="hybridMultilevel"/>
    <w:tmpl w:val="D23CCFD0"/>
    <w:lvl w:ilvl="0" w:tplc="D44C06D8">
      <w:start w:val="1"/>
      <w:numFmt w:val="decimal"/>
      <w:lvlText w:val="%1."/>
      <w:lvlJc w:val="left"/>
      <w:pPr>
        <w:ind w:left="862" w:hanging="720"/>
      </w:pPr>
      <w:rPr>
        <w:rFonts w:ascii="Times New Roman" w:eastAsiaTheme="minorEastAsia" w:hAnsi="Times New Roman" w:cs="Times New Roman"/>
        <w:b w:val="0"/>
        <w:lang w:val="en-US"/>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B63"/>
    <w:rsid w:val="000000A3"/>
    <w:rsid w:val="0001636B"/>
    <w:rsid w:val="0002392D"/>
    <w:rsid w:val="0004021F"/>
    <w:rsid w:val="00075DDE"/>
    <w:rsid w:val="000958E5"/>
    <w:rsid w:val="000A5B77"/>
    <w:rsid w:val="000C3346"/>
    <w:rsid w:val="000F1FDD"/>
    <w:rsid w:val="00105EB7"/>
    <w:rsid w:val="00137810"/>
    <w:rsid w:val="001432A2"/>
    <w:rsid w:val="00170317"/>
    <w:rsid w:val="00173092"/>
    <w:rsid w:val="00187D57"/>
    <w:rsid w:val="0019333C"/>
    <w:rsid w:val="001A0481"/>
    <w:rsid w:val="001C4191"/>
    <w:rsid w:val="001D3B51"/>
    <w:rsid w:val="002071F3"/>
    <w:rsid w:val="003200E6"/>
    <w:rsid w:val="003224CB"/>
    <w:rsid w:val="003665A1"/>
    <w:rsid w:val="003C1AB7"/>
    <w:rsid w:val="003E77C5"/>
    <w:rsid w:val="003F5A58"/>
    <w:rsid w:val="00427AD3"/>
    <w:rsid w:val="004701AA"/>
    <w:rsid w:val="004931C2"/>
    <w:rsid w:val="004D4F93"/>
    <w:rsid w:val="004F0A9C"/>
    <w:rsid w:val="005215E9"/>
    <w:rsid w:val="005253F3"/>
    <w:rsid w:val="00556744"/>
    <w:rsid w:val="00604726"/>
    <w:rsid w:val="00631F81"/>
    <w:rsid w:val="006648BF"/>
    <w:rsid w:val="00681182"/>
    <w:rsid w:val="006E574E"/>
    <w:rsid w:val="0074618F"/>
    <w:rsid w:val="007B2B61"/>
    <w:rsid w:val="00866B63"/>
    <w:rsid w:val="00880B1B"/>
    <w:rsid w:val="008A54ED"/>
    <w:rsid w:val="008C251A"/>
    <w:rsid w:val="00901485"/>
    <w:rsid w:val="00916FBE"/>
    <w:rsid w:val="00927575"/>
    <w:rsid w:val="009B3BEB"/>
    <w:rsid w:val="009E5730"/>
    <w:rsid w:val="00A12868"/>
    <w:rsid w:val="00A22279"/>
    <w:rsid w:val="00A23E2D"/>
    <w:rsid w:val="00A55C66"/>
    <w:rsid w:val="00A929AB"/>
    <w:rsid w:val="00AB0048"/>
    <w:rsid w:val="00B01353"/>
    <w:rsid w:val="00B0469A"/>
    <w:rsid w:val="00B13839"/>
    <w:rsid w:val="00BF5033"/>
    <w:rsid w:val="00C02D84"/>
    <w:rsid w:val="00C0351F"/>
    <w:rsid w:val="00C270FB"/>
    <w:rsid w:val="00C53063"/>
    <w:rsid w:val="00C6548E"/>
    <w:rsid w:val="00C86719"/>
    <w:rsid w:val="00CE394B"/>
    <w:rsid w:val="00D46140"/>
    <w:rsid w:val="00D843E7"/>
    <w:rsid w:val="00D94418"/>
    <w:rsid w:val="00E11086"/>
    <w:rsid w:val="00E1571F"/>
    <w:rsid w:val="00E7092F"/>
    <w:rsid w:val="00EB3E57"/>
    <w:rsid w:val="00EF6864"/>
    <w:rsid w:val="00F26C4F"/>
    <w:rsid w:val="00FA2C93"/>
    <w:rsid w:val="00FE78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96534C1-3FAD-4B77-A720-CE3D6F13E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8E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958E5"/>
    <w:rPr>
      <w:sz w:val="18"/>
      <w:szCs w:val="18"/>
    </w:rPr>
  </w:style>
  <w:style w:type="paragraph" w:styleId="Footer">
    <w:name w:val="footer"/>
    <w:basedOn w:val="Normal"/>
    <w:link w:val="FooterChar"/>
    <w:uiPriority w:val="99"/>
    <w:unhideWhenUsed/>
    <w:rsid w:val="000958E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0958E5"/>
    <w:rPr>
      <w:sz w:val="18"/>
      <w:szCs w:val="18"/>
    </w:rPr>
  </w:style>
  <w:style w:type="paragraph" w:styleId="BalloonText">
    <w:name w:val="Balloon Text"/>
    <w:basedOn w:val="Normal"/>
    <w:link w:val="BalloonTextChar"/>
    <w:uiPriority w:val="99"/>
    <w:semiHidden/>
    <w:unhideWhenUsed/>
    <w:rsid w:val="000958E5"/>
    <w:pPr>
      <w:jc w:val="left"/>
    </w:pPr>
    <w:rPr>
      <w:rFonts w:ascii="Tahoma" w:hAnsi="Tahoma" w:cs="Tahoma"/>
      <w:sz w:val="16"/>
      <w:szCs w:val="18"/>
    </w:rPr>
  </w:style>
  <w:style w:type="character" w:customStyle="1" w:styleId="BalloonTextChar">
    <w:name w:val="Balloon Text Char"/>
    <w:basedOn w:val="DefaultParagraphFont"/>
    <w:link w:val="BalloonText"/>
    <w:uiPriority w:val="99"/>
    <w:semiHidden/>
    <w:rsid w:val="000958E5"/>
    <w:rPr>
      <w:rFonts w:ascii="Tahoma" w:hAnsi="Tahoma" w:cs="Tahoma"/>
      <w:sz w:val="16"/>
      <w:szCs w:val="18"/>
    </w:rPr>
  </w:style>
  <w:style w:type="paragraph" w:styleId="ListParagraph">
    <w:name w:val="List Paragraph"/>
    <w:basedOn w:val="Normal"/>
    <w:uiPriority w:val="34"/>
    <w:qFormat/>
    <w:rsid w:val="000958E5"/>
    <w:pPr>
      <w:ind w:firstLineChars="200" w:firstLine="420"/>
    </w:pPr>
  </w:style>
  <w:style w:type="character" w:customStyle="1" w:styleId="apple-converted-space">
    <w:name w:val="apple-converted-space"/>
    <w:basedOn w:val="DefaultParagraphFont"/>
    <w:rsid w:val="000958E5"/>
  </w:style>
  <w:style w:type="character" w:customStyle="1" w:styleId="web-item2">
    <w:name w:val="web-item2"/>
    <w:basedOn w:val="DefaultParagraphFont"/>
    <w:rsid w:val="000958E5"/>
    <w:rPr>
      <w:sz w:val="18"/>
      <w:szCs w:val="18"/>
    </w:rPr>
  </w:style>
  <w:style w:type="character" w:styleId="CommentReference">
    <w:name w:val="annotation reference"/>
    <w:basedOn w:val="DefaultParagraphFont"/>
    <w:uiPriority w:val="99"/>
    <w:semiHidden/>
    <w:unhideWhenUsed/>
    <w:rsid w:val="000958E5"/>
    <w:rPr>
      <w:sz w:val="18"/>
      <w:szCs w:val="18"/>
    </w:rPr>
  </w:style>
  <w:style w:type="paragraph" w:styleId="CommentText">
    <w:name w:val="annotation text"/>
    <w:basedOn w:val="Normal"/>
    <w:link w:val="CommentTextChar"/>
    <w:uiPriority w:val="99"/>
    <w:unhideWhenUsed/>
    <w:rsid w:val="000958E5"/>
    <w:rPr>
      <w:sz w:val="24"/>
      <w:szCs w:val="24"/>
    </w:rPr>
  </w:style>
  <w:style w:type="character" w:customStyle="1" w:styleId="CommentTextChar">
    <w:name w:val="Comment Text Char"/>
    <w:basedOn w:val="DefaultParagraphFont"/>
    <w:link w:val="CommentText"/>
    <w:uiPriority w:val="99"/>
    <w:semiHidden/>
    <w:rsid w:val="000958E5"/>
    <w:rPr>
      <w:sz w:val="24"/>
      <w:szCs w:val="24"/>
    </w:rPr>
  </w:style>
  <w:style w:type="paragraph" w:styleId="CommentSubject">
    <w:name w:val="annotation subject"/>
    <w:basedOn w:val="CommentText"/>
    <w:next w:val="CommentText"/>
    <w:link w:val="CommentSubjectChar"/>
    <w:uiPriority w:val="99"/>
    <w:semiHidden/>
    <w:unhideWhenUsed/>
    <w:rsid w:val="000958E5"/>
    <w:rPr>
      <w:b/>
      <w:bCs/>
      <w:sz w:val="20"/>
      <w:szCs w:val="20"/>
    </w:rPr>
  </w:style>
  <w:style w:type="character" w:customStyle="1" w:styleId="CommentSubjectChar">
    <w:name w:val="Comment Subject Char"/>
    <w:basedOn w:val="CommentTextChar"/>
    <w:link w:val="CommentSubject"/>
    <w:uiPriority w:val="99"/>
    <w:semiHidden/>
    <w:rsid w:val="000958E5"/>
    <w:rPr>
      <w:b/>
      <w:bCs/>
      <w:sz w:val="20"/>
      <w:szCs w:val="20"/>
    </w:rPr>
  </w:style>
  <w:style w:type="paragraph" w:styleId="Revision">
    <w:name w:val="Revision"/>
    <w:hidden/>
    <w:uiPriority w:val="99"/>
    <w:semiHidden/>
    <w:rsid w:val="000958E5"/>
  </w:style>
  <w:style w:type="character" w:customStyle="1" w:styleId="Char1">
    <w:name w:val="批注文字 Char1"/>
    <w:uiPriority w:val="99"/>
    <w:rsid w:val="00CE394B"/>
    <w:rPr>
      <w:rFonts w:eastAsia="SimSun"/>
      <w:kern w:val="2"/>
      <w:sz w:val="21"/>
      <w:szCs w:val="24"/>
      <w:lang w:val="en-US" w:eastAsia="zh-CN" w:bidi="ar-SA"/>
    </w:rPr>
  </w:style>
  <w:style w:type="character" w:customStyle="1" w:styleId="trans">
    <w:name w:val="trans"/>
    <w:basedOn w:val="DefaultParagraphFont"/>
    <w:rsid w:val="00CE394B"/>
  </w:style>
  <w:style w:type="character" w:customStyle="1" w:styleId="webdict">
    <w:name w:val="webdict"/>
    <w:basedOn w:val="DefaultParagraphFont"/>
    <w:rsid w:val="00CE394B"/>
  </w:style>
  <w:style w:type="character" w:styleId="Hyperlink">
    <w:name w:val="Hyperlink"/>
    <w:rsid w:val="00CE394B"/>
    <w:rPr>
      <w:color w:val="0000FF"/>
      <w:u w:val="single"/>
    </w:rPr>
  </w:style>
  <w:style w:type="table" w:styleId="TableGrid">
    <w:name w:val="Table Grid"/>
    <w:basedOn w:val="TableNormal"/>
    <w:uiPriority w:val="59"/>
    <w:rsid w:val="001703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581603">
      <w:bodyDiv w:val="1"/>
      <w:marLeft w:val="0"/>
      <w:marRight w:val="0"/>
      <w:marTop w:val="0"/>
      <w:marBottom w:val="0"/>
      <w:divBdr>
        <w:top w:val="none" w:sz="0" w:space="0" w:color="auto"/>
        <w:left w:val="none" w:sz="0" w:space="0" w:color="auto"/>
        <w:bottom w:val="none" w:sz="0" w:space="0" w:color="auto"/>
        <w:right w:val="none" w:sz="0" w:space="0" w:color="auto"/>
      </w:divBdr>
    </w:div>
    <w:div w:id="414590368">
      <w:bodyDiv w:val="1"/>
      <w:marLeft w:val="0"/>
      <w:marRight w:val="0"/>
      <w:marTop w:val="0"/>
      <w:marBottom w:val="0"/>
      <w:divBdr>
        <w:top w:val="none" w:sz="0" w:space="0" w:color="auto"/>
        <w:left w:val="none" w:sz="0" w:space="0" w:color="auto"/>
        <w:bottom w:val="none" w:sz="0" w:space="0" w:color="auto"/>
        <w:right w:val="none" w:sz="0" w:space="0" w:color="auto"/>
      </w:divBdr>
    </w:div>
    <w:div w:id="430705061">
      <w:bodyDiv w:val="1"/>
      <w:marLeft w:val="0"/>
      <w:marRight w:val="0"/>
      <w:marTop w:val="0"/>
      <w:marBottom w:val="0"/>
      <w:divBdr>
        <w:top w:val="none" w:sz="0" w:space="0" w:color="auto"/>
        <w:left w:val="none" w:sz="0" w:space="0" w:color="auto"/>
        <w:bottom w:val="none" w:sz="0" w:space="0" w:color="auto"/>
        <w:right w:val="none" w:sz="0" w:space="0" w:color="auto"/>
      </w:divBdr>
    </w:div>
    <w:div w:id="601228304">
      <w:bodyDiv w:val="1"/>
      <w:marLeft w:val="0"/>
      <w:marRight w:val="0"/>
      <w:marTop w:val="0"/>
      <w:marBottom w:val="0"/>
      <w:divBdr>
        <w:top w:val="none" w:sz="0" w:space="0" w:color="auto"/>
        <w:left w:val="none" w:sz="0" w:space="0" w:color="auto"/>
        <w:bottom w:val="none" w:sz="0" w:space="0" w:color="auto"/>
        <w:right w:val="none" w:sz="0" w:space="0" w:color="auto"/>
      </w:divBdr>
    </w:div>
    <w:div w:id="1486582539">
      <w:bodyDiv w:val="1"/>
      <w:marLeft w:val="0"/>
      <w:marRight w:val="0"/>
      <w:marTop w:val="0"/>
      <w:marBottom w:val="0"/>
      <w:divBdr>
        <w:top w:val="none" w:sz="0" w:space="0" w:color="auto"/>
        <w:left w:val="none" w:sz="0" w:space="0" w:color="auto"/>
        <w:bottom w:val="none" w:sz="0" w:space="0" w:color="auto"/>
        <w:right w:val="none" w:sz="0" w:space="0" w:color="auto"/>
      </w:divBdr>
    </w:div>
    <w:div w:id="1519346038">
      <w:bodyDiv w:val="1"/>
      <w:marLeft w:val="0"/>
      <w:marRight w:val="0"/>
      <w:marTop w:val="0"/>
      <w:marBottom w:val="0"/>
      <w:divBdr>
        <w:top w:val="none" w:sz="0" w:space="0" w:color="auto"/>
        <w:left w:val="none" w:sz="0" w:space="0" w:color="auto"/>
        <w:bottom w:val="none" w:sz="0" w:space="0" w:color="auto"/>
        <w:right w:val="none" w:sz="0" w:space="0" w:color="auto"/>
      </w:divBdr>
      <w:divsChild>
        <w:div w:id="778064280">
          <w:marLeft w:val="0"/>
          <w:marRight w:val="0"/>
          <w:marTop w:val="0"/>
          <w:marBottom w:val="0"/>
          <w:divBdr>
            <w:top w:val="none" w:sz="0" w:space="0" w:color="auto"/>
            <w:left w:val="none" w:sz="0" w:space="0" w:color="auto"/>
            <w:bottom w:val="none" w:sz="0" w:space="0" w:color="auto"/>
            <w:right w:val="none" w:sz="0" w:space="0" w:color="auto"/>
          </w:divBdr>
          <w:divsChild>
            <w:div w:id="1381202521">
              <w:marLeft w:val="0"/>
              <w:marRight w:val="0"/>
              <w:marTop w:val="0"/>
              <w:marBottom w:val="0"/>
              <w:divBdr>
                <w:top w:val="none" w:sz="0" w:space="0" w:color="auto"/>
                <w:left w:val="none" w:sz="0" w:space="0" w:color="auto"/>
                <w:bottom w:val="none" w:sz="0" w:space="0" w:color="auto"/>
                <w:right w:val="none" w:sz="0" w:space="0" w:color="auto"/>
              </w:divBdr>
            </w:div>
            <w:div w:id="1528451068">
              <w:marLeft w:val="0"/>
              <w:marRight w:val="0"/>
              <w:marTop w:val="0"/>
              <w:marBottom w:val="0"/>
              <w:divBdr>
                <w:top w:val="none" w:sz="0" w:space="0" w:color="auto"/>
                <w:left w:val="none" w:sz="0" w:space="0" w:color="auto"/>
                <w:bottom w:val="none" w:sz="0" w:space="0" w:color="auto"/>
                <w:right w:val="none" w:sz="0" w:space="0" w:color="auto"/>
              </w:divBdr>
            </w:div>
            <w:div w:id="435641159">
              <w:marLeft w:val="0"/>
              <w:marRight w:val="0"/>
              <w:marTop w:val="0"/>
              <w:marBottom w:val="0"/>
              <w:divBdr>
                <w:top w:val="none" w:sz="0" w:space="0" w:color="auto"/>
                <w:left w:val="none" w:sz="0" w:space="0" w:color="auto"/>
                <w:bottom w:val="none" w:sz="0" w:space="0" w:color="auto"/>
                <w:right w:val="none" w:sz="0" w:space="0" w:color="auto"/>
              </w:divBdr>
            </w:div>
            <w:div w:id="1710716343">
              <w:marLeft w:val="0"/>
              <w:marRight w:val="0"/>
              <w:marTop w:val="0"/>
              <w:marBottom w:val="0"/>
              <w:divBdr>
                <w:top w:val="none" w:sz="0" w:space="0" w:color="auto"/>
                <w:left w:val="none" w:sz="0" w:space="0" w:color="auto"/>
                <w:bottom w:val="none" w:sz="0" w:space="0" w:color="auto"/>
                <w:right w:val="none" w:sz="0" w:space="0" w:color="auto"/>
              </w:divBdr>
            </w:div>
            <w:div w:id="471405377">
              <w:marLeft w:val="0"/>
              <w:marRight w:val="0"/>
              <w:marTop w:val="0"/>
              <w:marBottom w:val="0"/>
              <w:divBdr>
                <w:top w:val="none" w:sz="0" w:space="0" w:color="auto"/>
                <w:left w:val="none" w:sz="0" w:space="0" w:color="auto"/>
                <w:bottom w:val="none" w:sz="0" w:space="0" w:color="auto"/>
                <w:right w:val="none" w:sz="0" w:space="0" w:color="auto"/>
              </w:divBdr>
            </w:div>
            <w:div w:id="995375877">
              <w:marLeft w:val="0"/>
              <w:marRight w:val="0"/>
              <w:marTop w:val="0"/>
              <w:marBottom w:val="0"/>
              <w:divBdr>
                <w:top w:val="none" w:sz="0" w:space="0" w:color="auto"/>
                <w:left w:val="none" w:sz="0" w:space="0" w:color="auto"/>
                <w:bottom w:val="none" w:sz="0" w:space="0" w:color="auto"/>
                <w:right w:val="none" w:sz="0" w:space="0" w:color="auto"/>
              </w:divBdr>
            </w:div>
            <w:div w:id="1498299472">
              <w:marLeft w:val="0"/>
              <w:marRight w:val="0"/>
              <w:marTop w:val="0"/>
              <w:marBottom w:val="0"/>
              <w:divBdr>
                <w:top w:val="none" w:sz="0" w:space="0" w:color="auto"/>
                <w:left w:val="none" w:sz="0" w:space="0" w:color="auto"/>
                <w:bottom w:val="none" w:sz="0" w:space="0" w:color="auto"/>
                <w:right w:val="none" w:sz="0" w:space="0" w:color="auto"/>
              </w:divBdr>
            </w:div>
            <w:div w:id="1742634162">
              <w:marLeft w:val="0"/>
              <w:marRight w:val="0"/>
              <w:marTop w:val="0"/>
              <w:marBottom w:val="0"/>
              <w:divBdr>
                <w:top w:val="none" w:sz="0" w:space="0" w:color="auto"/>
                <w:left w:val="none" w:sz="0" w:space="0" w:color="auto"/>
                <w:bottom w:val="none" w:sz="0" w:space="0" w:color="auto"/>
                <w:right w:val="none" w:sz="0" w:space="0" w:color="auto"/>
              </w:divBdr>
            </w:div>
            <w:div w:id="1602058465">
              <w:marLeft w:val="0"/>
              <w:marRight w:val="0"/>
              <w:marTop w:val="0"/>
              <w:marBottom w:val="0"/>
              <w:divBdr>
                <w:top w:val="none" w:sz="0" w:space="0" w:color="auto"/>
                <w:left w:val="none" w:sz="0" w:space="0" w:color="auto"/>
                <w:bottom w:val="none" w:sz="0" w:space="0" w:color="auto"/>
                <w:right w:val="none" w:sz="0" w:space="0" w:color="auto"/>
              </w:divBdr>
            </w:div>
            <w:div w:id="2064712772">
              <w:marLeft w:val="0"/>
              <w:marRight w:val="0"/>
              <w:marTop w:val="0"/>
              <w:marBottom w:val="0"/>
              <w:divBdr>
                <w:top w:val="none" w:sz="0" w:space="0" w:color="auto"/>
                <w:left w:val="none" w:sz="0" w:space="0" w:color="auto"/>
                <w:bottom w:val="none" w:sz="0" w:space="0" w:color="auto"/>
                <w:right w:val="none" w:sz="0" w:space="0" w:color="auto"/>
              </w:divBdr>
            </w:div>
            <w:div w:id="711811657">
              <w:marLeft w:val="0"/>
              <w:marRight w:val="0"/>
              <w:marTop w:val="0"/>
              <w:marBottom w:val="0"/>
              <w:divBdr>
                <w:top w:val="none" w:sz="0" w:space="0" w:color="auto"/>
                <w:left w:val="none" w:sz="0" w:space="0" w:color="auto"/>
                <w:bottom w:val="none" w:sz="0" w:space="0" w:color="auto"/>
                <w:right w:val="none" w:sz="0" w:space="0" w:color="auto"/>
              </w:divBdr>
            </w:div>
            <w:div w:id="729428161">
              <w:marLeft w:val="0"/>
              <w:marRight w:val="0"/>
              <w:marTop w:val="0"/>
              <w:marBottom w:val="0"/>
              <w:divBdr>
                <w:top w:val="none" w:sz="0" w:space="0" w:color="auto"/>
                <w:left w:val="none" w:sz="0" w:space="0" w:color="auto"/>
                <w:bottom w:val="none" w:sz="0" w:space="0" w:color="auto"/>
                <w:right w:val="none" w:sz="0" w:space="0" w:color="auto"/>
              </w:divBdr>
            </w:div>
            <w:div w:id="58407981">
              <w:marLeft w:val="0"/>
              <w:marRight w:val="0"/>
              <w:marTop w:val="0"/>
              <w:marBottom w:val="0"/>
              <w:divBdr>
                <w:top w:val="none" w:sz="0" w:space="0" w:color="auto"/>
                <w:left w:val="none" w:sz="0" w:space="0" w:color="auto"/>
                <w:bottom w:val="none" w:sz="0" w:space="0" w:color="auto"/>
                <w:right w:val="none" w:sz="0" w:space="0" w:color="auto"/>
              </w:divBdr>
            </w:div>
            <w:div w:id="347492400">
              <w:marLeft w:val="0"/>
              <w:marRight w:val="0"/>
              <w:marTop w:val="0"/>
              <w:marBottom w:val="0"/>
              <w:divBdr>
                <w:top w:val="none" w:sz="0" w:space="0" w:color="auto"/>
                <w:left w:val="none" w:sz="0" w:space="0" w:color="auto"/>
                <w:bottom w:val="none" w:sz="0" w:space="0" w:color="auto"/>
                <w:right w:val="none" w:sz="0" w:space="0" w:color="auto"/>
              </w:divBdr>
            </w:div>
            <w:div w:id="1634872301">
              <w:marLeft w:val="0"/>
              <w:marRight w:val="0"/>
              <w:marTop w:val="0"/>
              <w:marBottom w:val="0"/>
              <w:divBdr>
                <w:top w:val="none" w:sz="0" w:space="0" w:color="auto"/>
                <w:left w:val="none" w:sz="0" w:space="0" w:color="auto"/>
                <w:bottom w:val="none" w:sz="0" w:space="0" w:color="auto"/>
                <w:right w:val="none" w:sz="0" w:space="0" w:color="auto"/>
              </w:divBdr>
            </w:div>
            <w:div w:id="1212958690">
              <w:marLeft w:val="0"/>
              <w:marRight w:val="0"/>
              <w:marTop w:val="0"/>
              <w:marBottom w:val="0"/>
              <w:divBdr>
                <w:top w:val="none" w:sz="0" w:space="0" w:color="auto"/>
                <w:left w:val="none" w:sz="0" w:space="0" w:color="auto"/>
                <w:bottom w:val="none" w:sz="0" w:space="0" w:color="auto"/>
                <w:right w:val="none" w:sz="0" w:space="0" w:color="auto"/>
              </w:divBdr>
            </w:div>
            <w:div w:id="1453747153">
              <w:marLeft w:val="0"/>
              <w:marRight w:val="0"/>
              <w:marTop w:val="0"/>
              <w:marBottom w:val="0"/>
              <w:divBdr>
                <w:top w:val="none" w:sz="0" w:space="0" w:color="auto"/>
                <w:left w:val="none" w:sz="0" w:space="0" w:color="auto"/>
                <w:bottom w:val="none" w:sz="0" w:space="0" w:color="auto"/>
                <w:right w:val="none" w:sz="0" w:space="0" w:color="auto"/>
              </w:divBdr>
            </w:div>
            <w:div w:id="1277714102">
              <w:marLeft w:val="0"/>
              <w:marRight w:val="0"/>
              <w:marTop w:val="0"/>
              <w:marBottom w:val="0"/>
              <w:divBdr>
                <w:top w:val="none" w:sz="0" w:space="0" w:color="auto"/>
                <w:left w:val="none" w:sz="0" w:space="0" w:color="auto"/>
                <w:bottom w:val="none" w:sz="0" w:space="0" w:color="auto"/>
                <w:right w:val="none" w:sz="0" w:space="0" w:color="auto"/>
              </w:divBdr>
            </w:div>
            <w:div w:id="356391115">
              <w:marLeft w:val="0"/>
              <w:marRight w:val="0"/>
              <w:marTop w:val="0"/>
              <w:marBottom w:val="0"/>
              <w:divBdr>
                <w:top w:val="none" w:sz="0" w:space="0" w:color="auto"/>
                <w:left w:val="none" w:sz="0" w:space="0" w:color="auto"/>
                <w:bottom w:val="none" w:sz="0" w:space="0" w:color="auto"/>
                <w:right w:val="none" w:sz="0" w:space="0" w:color="auto"/>
              </w:divBdr>
            </w:div>
            <w:div w:id="1154636909">
              <w:marLeft w:val="0"/>
              <w:marRight w:val="0"/>
              <w:marTop w:val="0"/>
              <w:marBottom w:val="0"/>
              <w:divBdr>
                <w:top w:val="none" w:sz="0" w:space="0" w:color="auto"/>
                <w:left w:val="none" w:sz="0" w:space="0" w:color="auto"/>
                <w:bottom w:val="none" w:sz="0" w:space="0" w:color="auto"/>
                <w:right w:val="none" w:sz="0" w:space="0" w:color="auto"/>
              </w:divBdr>
            </w:div>
            <w:div w:id="1589314617">
              <w:marLeft w:val="0"/>
              <w:marRight w:val="0"/>
              <w:marTop w:val="0"/>
              <w:marBottom w:val="0"/>
              <w:divBdr>
                <w:top w:val="none" w:sz="0" w:space="0" w:color="auto"/>
                <w:left w:val="none" w:sz="0" w:space="0" w:color="auto"/>
                <w:bottom w:val="none" w:sz="0" w:space="0" w:color="auto"/>
                <w:right w:val="none" w:sz="0" w:space="0" w:color="auto"/>
              </w:divBdr>
            </w:div>
            <w:div w:id="127866520">
              <w:marLeft w:val="0"/>
              <w:marRight w:val="0"/>
              <w:marTop w:val="0"/>
              <w:marBottom w:val="0"/>
              <w:divBdr>
                <w:top w:val="none" w:sz="0" w:space="0" w:color="auto"/>
                <w:left w:val="none" w:sz="0" w:space="0" w:color="auto"/>
                <w:bottom w:val="none" w:sz="0" w:space="0" w:color="auto"/>
                <w:right w:val="none" w:sz="0" w:space="0" w:color="auto"/>
              </w:divBdr>
            </w:div>
            <w:div w:id="1286423788">
              <w:marLeft w:val="0"/>
              <w:marRight w:val="0"/>
              <w:marTop w:val="0"/>
              <w:marBottom w:val="0"/>
              <w:divBdr>
                <w:top w:val="none" w:sz="0" w:space="0" w:color="auto"/>
                <w:left w:val="none" w:sz="0" w:space="0" w:color="auto"/>
                <w:bottom w:val="none" w:sz="0" w:space="0" w:color="auto"/>
                <w:right w:val="none" w:sz="0" w:space="0" w:color="auto"/>
              </w:divBdr>
            </w:div>
            <w:div w:id="651369841">
              <w:marLeft w:val="0"/>
              <w:marRight w:val="0"/>
              <w:marTop w:val="0"/>
              <w:marBottom w:val="0"/>
              <w:divBdr>
                <w:top w:val="none" w:sz="0" w:space="0" w:color="auto"/>
                <w:left w:val="none" w:sz="0" w:space="0" w:color="auto"/>
                <w:bottom w:val="none" w:sz="0" w:space="0" w:color="auto"/>
                <w:right w:val="none" w:sz="0" w:space="0" w:color="auto"/>
              </w:divBdr>
            </w:div>
            <w:div w:id="2068067612">
              <w:marLeft w:val="0"/>
              <w:marRight w:val="0"/>
              <w:marTop w:val="0"/>
              <w:marBottom w:val="0"/>
              <w:divBdr>
                <w:top w:val="none" w:sz="0" w:space="0" w:color="auto"/>
                <w:left w:val="none" w:sz="0" w:space="0" w:color="auto"/>
                <w:bottom w:val="none" w:sz="0" w:space="0" w:color="auto"/>
                <w:right w:val="none" w:sz="0" w:space="0" w:color="auto"/>
              </w:divBdr>
            </w:div>
            <w:div w:id="4285951">
              <w:marLeft w:val="0"/>
              <w:marRight w:val="0"/>
              <w:marTop w:val="0"/>
              <w:marBottom w:val="0"/>
              <w:divBdr>
                <w:top w:val="none" w:sz="0" w:space="0" w:color="auto"/>
                <w:left w:val="none" w:sz="0" w:space="0" w:color="auto"/>
                <w:bottom w:val="none" w:sz="0" w:space="0" w:color="auto"/>
                <w:right w:val="none" w:sz="0" w:space="0" w:color="auto"/>
              </w:divBdr>
            </w:div>
            <w:div w:id="31681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5567">
      <w:bodyDiv w:val="1"/>
      <w:marLeft w:val="0"/>
      <w:marRight w:val="0"/>
      <w:marTop w:val="0"/>
      <w:marBottom w:val="0"/>
      <w:divBdr>
        <w:top w:val="none" w:sz="0" w:space="0" w:color="auto"/>
        <w:left w:val="none" w:sz="0" w:space="0" w:color="auto"/>
        <w:bottom w:val="none" w:sz="0" w:space="0" w:color="auto"/>
        <w:right w:val="none" w:sz="0" w:space="0" w:color="auto"/>
      </w:divBdr>
    </w:div>
    <w:div w:id="1992711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uzirong0730@163.com" TargetMode="External"/><Relationship Id="rId13" Type="http://schemas.openxmlformats.org/officeDocument/2006/relationships/image" Target="media/image3.tiff"/><Relationship Id="rId18" Type="http://schemas.openxmlformats.org/officeDocument/2006/relationships/image" Target="media/image8.tif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tiff"/><Relationship Id="rId7" Type="http://schemas.openxmlformats.org/officeDocument/2006/relationships/hyperlink" Target="http://creativecommons.org/licenses/by-nc/4.0/" TargetMode="Externa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tif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tiff"/><Relationship Id="rId23" Type="http://schemas.openxmlformats.org/officeDocument/2006/relationships/image" Target="media/image13.png"/><Relationship Id="rId10" Type="http://schemas.openxmlformats.org/officeDocument/2006/relationships/hyperlink" Target="javascript:void(0);" TargetMode="External"/><Relationship Id="rId19" Type="http://schemas.openxmlformats.org/officeDocument/2006/relationships/image" Target="media/image9.tiff"/><Relationship Id="rId4" Type="http://schemas.openxmlformats.org/officeDocument/2006/relationships/webSettings" Target="webSettings.xml"/><Relationship Id="rId9" Type="http://schemas.openxmlformats.org/officeDocument/2006/relationships/hyperlink" Target="javascript:void(0);" TargetMode="External"/><Relationship Id="rId14" Type="http://schemas.openxmlformats.org/officeDocument/2006/relationships/image" Target="media/image4.tiff"/><Relationship Id="rId22" Type="http://schemas.openxmlformats.org/officeDocument/2006/relationships/image" Target="media/image1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5104</Words>
  <Characters>29099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lzr</dc:creator>
  <cp:lastModifiedBy>LS Ma</cp:lastModifiedBy>
  <cp:revision>2</cp:revision>
  <dcterms:created xsi:type="dcterms:W3CDTF">2015-10-23T14:12:00Z</dcterms:created>
  <dcterms:modified xsi:type="dcterms:W3CDTF">2015-10-23T14:12:00Z</dcterms:modified>
</cp:coreProperties>
</file>